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drawings/drawing3.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drawings/drawing4.xml" ContentType="application/vnd.openxmlformats-officedocument.drawingml.chartshapes+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drawings/drawing5.xml" ContentType="application/vnd.openxmlformats-officedocument.drawingml.chartshapes+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1C67ED" w:rsidRPr="00B91F3C" w14:paraId="658490C0" w14:textId="77777777" w:rsidTr="00BC6F70">
        <w:trPr>
          <w:trHeight w:val="851"/>
        </w:trPr>
        <w:tc>
          <w:tcPr>
            <w:tcW w:w="465" w:type="pct"/>
            <w:tcBorders>
              <w:bottom w:val="single" w:sz="8" w:space="0" w:color="auto"/>
            </w:tcBorders>
            <w:vAlign w:val="bottom"/>
          </w:tcPr>
          <w:p w14:paraId="5F24902A" w14:textId="77777777" w:rsidR="001C67ED" w:rsidRPr="00B91F3C" w:rsidRDefault="001C67ED" w:rsidP="00BC6F70">
            <w:pPr>
              <w:spacing w:after="120"/>
            </w:pPr>
            <w:bookmarkStart w:id="0" w:name="_Hlk137651738"/>
            <w:bookmarkStart w:id="1" w:name="_Toc462934071"/>
            <w:bookmarkStart w:id="2" w:name="_Toc480714127"/>
            <w:r w:rsidRPr="00B91F3C">
              <w:rPr>
                <w:lang w:eastAsia="es-ES_tradnl"/>
              </w:rPr>
              <w:drawing>
                <wp:inline distT="0" distB="0" distL="0" distR="0" wp14:anchorId="00FAABD4" wp14:editId="2B9E8BBB">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8BB764C" w14:textId="77777777" w:rsidR="001C67ED" w:rsidRPr="00B91F3C" w:rsidRDefault="001C67ED" w:rsidP="00BC6F70">
            <w:pPr>
              <w:spacing w:after="120"/>
            </w:pPr>
            <w:r w:rsidRPr="00B91F3C">
              <w:rPr>
                <w:lang w:eastAsia="es-ES_tradnl"/>
              </w:rPr>
              <w:drawing>
                <wp:inline distT="0" distB="0" distL="0" distR="0" wp14:anchorId="7C6342BF" wp14:editId="07049F7A">
                  <wp:extent cx="866775" cy="375285"/>
                  <wp:effectExtent l="19050" t="0" r="9525" b="0"/>
                  <wp:docPr id="1"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2017-ru-blk-sm2"/>
                          <pic:cNvPicPr>
                            <a:picLocks noChangeAspect="1" noChangeArrowheads="1"/>
                          </pic:cNvPicPr>
                        </pic:nvPicPr>
                        <pic:blipFill>
                          <a:blip r:embed="rId12" cstate="print"/>
                          <a:srcRect b="41057"/>
                          <a:stretch>
                            <a:fillRect/>
                          </a:stretch>
                        </pic:blipFill>
                        <pic:spPr bwMode="auto">
                          <a:xfrm>
                            <a:off x="0" y="0"/>
                            <a:ext cx="866775" cy="375285"/>
                          </a:xfrm>
                          <a:prstGeom prst="rect">
                            <a:avLst/>
                          </a:prstGeom>
                          <a:noFill/>
                          <a:ln w="9525">
                            <a:noFill/>
                            <a:miter lim="800000"/>
                            <a:headEnd/>
                            <a:tailEnd/>
                          </a:ln>
                        </pic:spPr>
                      </pic:pic>
                    </a:graphicData>
                  </a:graphic>
                </wp:inline>
              </w:drawing>
            </w:r>
          </w:p>
        </w:tc>
        <w:tc>
          <w:tcPr>
            <w:tcW w:w="2703" w:type="pct"/>
            <w:tcBorders>
              <w:bottom w:val="single" w:sz="8" w:space="0" w:color="auto"/>
            </w:tcBorders>
            <w:vAlign w:val="bottom"/>
          </w:tcPr>
          <w:p w14:paraId="6AB60FAF" w14:textId="35C79A88" w:rsidR="001C67ED" w:rsidRPr="00B91F3C" w:rsidRDefault="001C67ED" w:rsidP="00BC6F70">
            <w:pPr>
              <w:spacing w:after="120"/>
              <w:ind w:left="2021"/>
              <w:jc w:val="right"/>
              <w:rPr>
                <w:rFonts w:ascii="Times New Roman" w:hAnsi="Times New Roman" w:cs="Times New Roman"/>
                <w:szCs w:val="22"/>
              </w:rPr>
            </w:pPr>
            <w:r w:rsidRPr="00B91F3C">
              <w:rPr>
                <w:rFonts w:ascii="Times New Roman" w:hAnsi="Times New Roman" w:cs="Times New Roman"/>
                <w:sz w:val="40"/>
              </w:rPr>
              <w:t>CBD</w:t>
            </w:r>
            <w:r w:rsidRPr="00B91F3C">
              <w:rPr>
                <w:rFonts w:ascii="Times New Roman" w:hAnsi="Times New Roman" w:cs="Times New Roman"/>
              </w:rPr>
              <w:t>/SBI/</w:t>
            </w:r>
            <w:r w:rsidR="006D00FF" w:rsidRPr="00B91F3C">
              <w:rPr>
                <w:rFonts w:ascii="Times New Roman" w:hAnsi="Times New Roman" w:cs="Times New Roman"/>
              </w:rPr>
              <w:t>4/6/Add.1</w:t>
            </w:r>
          </w:p>
        </w:tc>
      </w:tr>
      <w:tr w:rsidR="001C67ED" w:rsidRPr="00B91F3C" w14:paraId="693BDDE9" w14:textId="77777777" w:rsidTr="00BC6F70">
        <w:tc>
          <w:tcPr>
            <w:tcW w:w="2297" w:type="pct"/>
            <w:gridSpan w:val="2"/>
            <w:tcBorders>
              <w:top w:val="single" w:sz="8" w:space="0" w:color="auto"/>
              <w:bottom w:val="single" w:sz="12" w:space="0" w:color="auto"/>
            </w:tcBorders>
          </w:tcPr>
          <w:p w14:paraId="29B21056" w14:textId="77777777" w:rsidR="001C67ED" w:rsidRPr="00B91F3C" w:rsidRDefault="001C67ED" w:rsidP="00BC6F70">
            <w:pPr>
              <w:pStyle w:val="Cornernotation"/>
              <w:suppressLineNumbers/>
              <w:suppressAutoHyphens/>
              <w:spacing w:before="120" w:after="120"/>
              <w:ind w:left="0" w:right="0" w:firstLine="0"/>
            </w:pPr>
            <w:r w:rsidRPr="00B91F3C">
              <w:rPr>
                <w:b w:val="0"/>
                <w:lang w:eastAsia="es-ES_tradnl"/>
              </w:rPr>
              <w:drawing>
                <wp:inline distT="0" distB="0" distL="0" distR="0" wp14:anchorId="5766AD69" wp14:editId="191787CA">
                  <wp:extent cx="2616200" cy="1089025"/>
                  <wp:effectExtent l="19050" t="0" r="0" b="0"/>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srcRect/>
                          <a:stretch>
                            <a:fillRect/>
                          </a:stretch>
                        </pic:blipFill>
                        <pic:spPr bwMode="auto">
                          <a:xfrm>
                            <a:off x="0" y="0"/>
                            <a:ext cx="2616200" cy="1089025"/>
                          </a:xfrm>
                          <a:prstGeom prst="rect">
                            <a:avLst/>
                          </a:prstGeom>
                          <a:noFill/>
                          <a:ln w="9525">
                            <a:noFill/>
                            <a:miter lim="800000"/>
                            <a:headEnd/>
                            <a:tailEnd/>
                          </a:ln>
                        </pic:spPr>
                      </pic:pic>
                    </a:graphicData>
                  </a:graphic>
                </wp:inline>
              </w:drawing>
            </w:r>
          </w:p>
        </w:tc>
        <w:tc>
          <w:tcPr>
            <w:tcW w:w="2703" w:type="pct"/>
            <w:tcBorders>
              <w:top w:val="single" w:sz="8" w:space="0" w:color="auto"/>
              <w:bottom w:val="single" w:sz="12" w:space="0" w:color="auto"/>
            </w:tcBorders>
          </w:tcPr>
          <w:p w14:paraId="2F296D03" w14:textId="77777777" w:rsidR="001C67ED" w:rsidRPr="00B91F3C" w:rsidRDefault="001C67ED" w:rsidP="00BC6F70">
            <w:pPr>
              <w:ind w:left="2584"/>
              <w:rPr>
                <w:rFonts w:ascii="Times New Roman" w:hAnsi="Times New Roman" w:cs="Times New Roman"/>
                <w:sz w:val="22"/>
                <w:szCs w:val="22"/>
              </w:rPr>
            </w:pPr>
            <w:proofErr w:type="spellStart"/>
            <w:r w:rsidRPr="00B91F3C">
              <w:rPr>
                <w:rFonts w:ascii="Times New Roman" w:hAnsi="Times New Roman" w:cs="Times New Roman"/>
                <w:sz w:val="22"/>
              </w:rPr>
              <w:t>Distr</w:t>
            </w:r>
            <w:proofErr w:type="spellEnd"/>
            <w:r w:rsidRPr="00B91F3C">
              <w:rPr>
                <w:rFonts w:ascii="Times New Roman" w:hAnsi="Times New Roman" w:cs="Times New Roman"/>
                <w:sz w:val="22"/>
              </w:rPr>
              <w:t>.: General</w:t>
            </w:r>
          </w:p>
          <w:p w14:paraId="6347E7A6" w14:textId="02A245D1" w:rsidR="001C67ED" w:rsidRPr="00B91F3C" w:rsidRDefault="009570F7" w:rsidP="00BC6F70">
            <w:pPr>
              <w:ind w:left="2584"/>
              <w:rPr>
                <w:rFonts w:ascii="Times New Roman" w:hAnsi="Times New Roman" w:cs="Times New Roman"/>
                <w:sz w:val="22"/>
                <w:szCs w:val="22"/>
              </w:rPr>
            </w:pPr>
            <w:r w:rsidRPr="00B91F3C">
              <w:rPr>
                <w:rFonts w:ascii="Times New Roman" w:hAnsi="Times New Roman" w:cs="Times New Roman"/>
                <w:sz w:val="22"/>
              </w:rPr>
              <w:t>16</w:t>
            </w:r>
            <w:r w:rsidR="001C67ED" w:rsidRPr="00B91F3C">
              <w:rPr>
                <w:rFonts w:ascii="Times New Roman" w:hAnsi="Times New Roman" w:cs="Times New Roman"/>
                <w:sz w:val="22"/>
              </w:rPr>
              <w:t xml:space="preserve"> </w:t>
            </w:r>
            <w:proofErr w:type="spellStart"/>
            <w:r w:rsidR="001C67ED" w:rsidRPr="00B91F3C">
              <w:rPr>
                <w:rFonts w:ascii="Times New Roman" w:hAnsi="Times New Roman" w:cs="Times New Roman"/>
                <w:sz w:val="22"/>
              </w:rPr>
              <w:t>April</w:t>
            </w:r>
            <w:proofErr w:type="spellEnd"/>
            <w:r w:rsidR="001C67ED" w:rsidRPr="00B91F3C">
              <w:rPr>
                <w:rFonts w:ascii="Times New Roman" w:hAnsi="Times New Roman" w:cs="Times New Roman"/>
                <w:sz w:val="22"/>
              </w:rPr>
              <w:t xml:space="preserve"> 2024</w:t>
            </w:r>
          </w:p>
          <w:p w14:paraId="588ECA28" w14:textId="77777777" w:rsidR="001C67ED" w:rsidRPr="00B91F3C" w:rsidRDefault="001C67ED" w:rsidP="00BC6F70">
            <w:pPr>
              <w:ind w:left="2584"/>
              <w:rPr>
                <w:sz w:val="22"/>
                <w:szCs w:val="22"/>
              </w:rPr>
            </w:pPr>
            <w:r w:rsidRPr="00B91F3C">
              <w:rPr>
                <w:rFonts w:ascii="Times New Roman" w:hAnsi="Times New Roman" w:cs="Times New Roman"/>
                <w:sz w:val="22"/>
              </w:rPr>
              <w:t>Russian</w:t>
            </w:r>
            <w:r w:rsidRPr="00B91F3C">
              <w:rPr>
                <w:rFonts w:ascii="Times New Roman" w:hAnsi="Times New Roman" w:cs="Times New Roman"/>
                <w:sz w:val="22"/>
              </w:rPr>
              <w:br/>
            </w:r>
            <w:proofErr w:type="spellStart"/>
            <w:r w:rsidRPr="00B91F3C">
              <w:rPr>
                <w:rFonts w:ascii="Times New Roman" w:hAnsi="Times New Roman" w:cs="Times New Roman"/>
                <w:sz w:val="22"/>
              </w:rPr>
              <w:t>Original</w:t>
            </w:r>
            <w:proofErr w:type="spellEnd"/>
            <w:r w:rsidRPr="00B91F3C">
              <w:rPr>
                <w:rFonts w:ascii="Times New Roman" w:hAnsi="Times New Roman" w:cs="Times New Roman"/>
                <w:sz w:val="22"/>
              </w:rPr>
              <w:t>: English</w:t>
            </w:r>
          </w:p>
          <w:p w14:paraId="78EE4E39" w14:textId="77777777" w:rsidR="001C67ED" w:rsidRPr="00B91F3C" w:rsidRDefault="001C67ED" w:rsidP="00BC6F70"/>
        </w:tc>
      </w:tr>
    </w:tbl>
    <w:p w14:paraId="38BD2191" w14:textId="77777777" w:rsidR="001C67ED" w:rsidRPr="00B91F3C" w:rsidRDefault="001C67ED" w:rsidP="001C67ED">
      <w:pPr>
        <w:pStyle w:val="Cornernotation"/>
        <w:rPr>
          <w:bCs/>
        </w:rPr>
      </w:pPr>
      <w:r w:rsidRPr="00B91F3C">
        <w:t>Вспомогательный орган по осуществлению</w:t>
      </w:r>
    </w:p>
    <w:p w14:paraId="4ABD7D0F" w14:textId="77777777" w:rsidR="001C67ED" w:rsidRPr="00B91F3C" w:rsidRDefault="001C67ED" w:rsidP="001C67ED">
      <w:pPr>
        <w:pStyle w:val="Cornernotation"/>
        <w:rPr>
          <w:bCs/>
          <w:sz w:val="22"/>
          <w:szCs w:val="22"/>
        </w:rPr>
      </w:pPr>
      <w:r w:rsidRPr="00B91F3C">
        <w:rPr>
          <w:sz w:val="22"/>
        </w:rPr>
        <w:t xml:space="preserve">Четвертое совещание </w:t>
      </w:r>
    </w:p>
    <w:p w14:paraId="627389EE" w14:textId="77777777" w:rsidR="001C67ED" w:rsidRPr="00B91F3C" w:rsidRDefault="001C67ED" w:rsidP="001C67ED">
      <w:pPr>
        <w:pStyle w:val="Venuedate"/>
      </w:pPr>
      <w:r w:rsidRPr="00B91F3C">
        <w:t xml:space="preserve">Найроби, </w:t>
      </w:r>
      <w:proofErr w:type="gramStart"/>
      <w:r w:rsidRPr="00B91F3C">
        <w:t>21-29</w:t>
      </w:r>
      <w:proofErr w:type="gramEnd"/>
      <w:r w:rsidRPr="00B91F3C">
        <w:t xml:space="preserve"> мая 2024 года </w:t>
      </w:r>
    </w:p>
    <w:p w14:paraId="057F555E" w14:textId="4F73A578" w:rsidR="001C67ED" w:rsidRPr="00B91F3C" w:rsidRDefault="001C67ED" w:rsidP="001C67ED">
      <w:pPr>
        <w:pStyle w:val="Cornernotation-Item"/>
        <w:rPr>
          <w:b w:val="0"/>
          <w:bCs w:val="0"/>
        </w:rPr>
      </w:pPr>
      <w:r w:rsidRPr="00B91F3C">
        <w:rPr>
          <w:b w:val="0"/>
        </w:rPr>
        <w:t>Пункт </w:t>
      </w:r>
      <w:r w:rsidR="009570F7" w:rsidRPr="00B91F3C">
        <w:rPr>
          <w:b w:val="0"/>
        </w:rPr>
        <w:t xml:space="preserve">4 (b) </w:t>
      </w:r>
      <w:r w:rsidRPr="00B91F3C">
        <w:rPr>
          <w:b w:val="0"/>
        </w:rPr>
        <w:t>предварительной повестки дня</w:t>
      </w:r>
      <w:r w:rsidRPr="00B91F3C">
        <w:rPr>
          <w:rStyle w:val="Appelnotedebasdep"/>
          <w:b w:val="0"/>
          <w:bCs w:val="0"/>
        </w:rPr>
        <w:footnoteReference w:customMarkFollows="1" w:id="2"/>
        <w:t>*</w:t>
      </w:r>
    </w:p>
    <w:p w14:paraId="2C2D0392" w14:textId="77777777" w:rsidR="00E31385" w:rsidRPr="00B91F3C" w:rsidRDefault="00E31385" w:rsidP="00E31385">
      <w:pPr>
        <w:pStyle w:val="Cornernotation-Item"/>
      </w:pPr>
      <w:r w:rsidRPr="00B91F3C">
        <w:t xml:space="preserve">Мобилизация ресурсов и механизм финансирования: </w:t>
      </w:r>
    </w:p>
    <w:p w14:paraId="55EECB82" w14:textId="77777777" w:rsidR="00E31385" w:rsidRPr="00B91F3C" w:rsidRDefault="00E31385" w:rsidP="00E31385">
      <w:pPr>
        <w:pStyle w:val="Cornernotation-Item"/>
      </w:pPr>
      <w:r w:rsidRPr="00B91F3C">
        <w:t>механизм финансирования</w:t>
      </w:r>
    </w:p>
    <w:bookmarkEnd w:id="0"/>
    <w:p w14:paraId="45022167" w14:textId="66B0EEF0" w:rsidR="00E31385" w:rsidRPr="00B91F3C" w:rsidRDefault="000E0255" w:rsidP="007655D1">
      <w:pPr>
        <w:pStyle w:val="Titre"/>
        <w:ind w:right="429"/>
        <w:jc w:val="left"/>
      </w:pPr>
      <w:sdt>
        <w:sdtPr>
          <w:alias w:val="Title"/>
          <w:tag w:val=""/>
          <w:id w:val="-1975355689"/>
          <w:placeholder>
            <w:docPart w:val="5DE4F23AE18D4DEEA49BC6649D25689E"/>
          </w:placeholder>
          <w:dataBinding w:prefixMappings="xmlns:ns0='http://purl.org/dc/elements/1.1/' xmlns:ns1='http://schemas.openxmlformats.org/package/2006/metadata/core-properties' " w:xpath="/ns1:coreProperties[1]/ns0:title[1]" w:storeItemID="{6C3C8BC8-F283-45AE-878A-BAB7291924A1}"/>
          <w:text/>
        </w:sdtPr>
        <w:sdtEndPr/>
        <w:sdtContent>
          <w:r w:rsidR="00972AF6" w:rsidRPr="00B91F3C">
            <w:t>Предварительный д</w:t>
          </w:r>
          <w:r w:rsidR="0012399A" w:rsidRPr="00B91F3C">
            <w:t xml:space="preserve">оклад </w:t>
          </w:r>
          <w:r w:rsidR="00972AF6" w:rsidRPr="00B91F3C">
            <w:t>С</w:t>
          </w:r>
          <w:r w:rsidR="0012399A" w:rsidRPr="00B91F3C">
            <w:t>овета Г</w:t>
          </w:r>
          <w:r w:rsidR="00972AF6" w:rsidRPr="00B91F3C">
            <w:t>лобального экологического фонда</w:t>
          </w:r>
        </w:sdtContent>
      </w:sdt>
    </w:p>
    <w:p w14:paraId="7DC84AD3" w14:textId="77777777" w:rsidR="00E31385" w:rsidRPr="00B91F3C" w:rsidRDefault="00E31385" w:rsidP="00E31385">
      <w:pPr>
        <w:pStyle w:val="Sous-titre"/>
        <w:spacing w:before="120" w:after="120"/>
        <w:ind w:left="567"/>
        <w:jc w:val="left"/>
        <w:rPr>
          <w:rFonts w:ascii="Times New Roman" w:hAnsi="Times New Roman" w:cs="Times New Roman"/>
          <w:color w:val="auto"/>
        </w:rPr>
      </w:pPr>
      <w:r w:rsidRPr="00B91F3C">
        <w:rPr>
          <w:rFonts w:ascii="Times New Roman" w:hAnsi="Times New Roman"/>
          <w:color w:val="auto"/>
        </w:rPr>
        <w:t>Записка секретариата</w:t>
      </w:r>
    </w:p>
    <w:p w14:paraId="07EB7BC3" w14:textId="635DBD88" w:rsidR="00E31385" w:rsidRPr="00B91F3C" w:rsidRDefault="00E31385" w:rsidP="00E31385">
      <w:pPr>
        <w:pStyle w:val="Para10"/>
      </w:pPr>
      <w:r w:rsidRPr="00B91F3C">
        <w:t xml:space="preserve">Меморандум о договоренности между Конференцией Сторон Конвенции о биологическом разнообразии и Советом Глобального экологического фонда (ГЭФ) предусматривает, что Совет подготавливает и представляет доклад каждому очередному совещанию Конференции Сторон (пункт 3.1 приложения к решению </w:t>
      </w:r>
      <w:hyperlink r:id="rId14" w:history="1">
        <w:r w:rsidRPr="00B91F3C">
          <w:rPr>
            <w:rStyle w:val="Lienhypertexte"/>
          </w:rPr>
          <w:t>II</w:t>
        </w:r>
        <w:r w:rsidRPr="00B91F3C">
          <w:rPr>
            <w:rStyle w:val="Lienhypertexte"/>
          </w:rPr>
          <w:t>I</w:t>
        </w:r>
        <w:r w:rsidRPr="00B91F3C">
          <w:rPr>
            <w:rStyle w:val="Lienhypertexte"/>
          </w:rPr>
          <w:t>/8</w:t>
        </w:r>
      </w:hyperlink>
      <w:r w:rsidRPr="00B91F3C">
        <w:t>).</w:t>
      </w:r>
    </w:p>
    <w:p w14:paraId="6FF7AC19" w14:textId="3664AF45" w:rsidR="00E31385" w:rsidRPr="00B91F3C" w:rsidRDefault="00E31385" w:rsidP="00E31385">
      <w:pPr>
        <w:pStyle w:val="Para10"/>
      </w:pPr>
      <w:r w:rsidRPr="00B91F3C">
        <w:t xml:space="preserve">В пункте 8 (e) своего решения </w:t>
      </w:r>
      <w:hyperlink r:id="rId15" w:history="1">
        <w:r w:rsidRPr="00B91F3C">
          <w:rPr>
            <w:rStyle w:val="Lienhypertexte"/>
          </w:rPr>
          <w:t>XII/30</w:t>
        </w:r>
      </w:hyperlink>
      <w:r w:rsidRPr="00B91F3C">
        <w:t xml:space="preserve"> Конференция Сторон предложила ГЭФ распространять предварительный проект своего доклада Вспомогательному органу по осуществлению до совещания Конференции Сторон, на котором этот доклад должен рассматриваться официально, в целях стимулирования эффективного и своевременного изучения приводимой в нем информации.</w:t>
      </w:r>
    </w:p>
    <w:p w14:paraId="0B922722" w14:textId="77777777" w:rsidR="00E31385" w:rsidRPr="00B91F3C" w:rsidRDefault="00E31385" w:rsidP="00E31385">
      <w:pPr>
        <w:pStyle w:val="Para10"/>
      </w:pPr>
      <w:r w:rsidRPr="00B91F3C">
        <w:t>В соответствии с этим предложением Совет ГЭФ представляет свой предварительный доклад на рассмотрение Вспомогательному органу на настоящем совещании и любезно сопровождает его переводом на французский и испанский языки.</w:t>
      </w:r>
    </w:p>
    <w:p w14:paraId="00F3F422" w14:textId="77777777" w:rsidR="00E31385" w:rsidRPr="00B91F3C" w:rsidRDefault="00E31385" w:rsidP="00E31385">
      <w:pPr>
        <w:pStyle w:val="Para10"/>
      </w:pPr>
      <w:r w:rsidRPr="00B91F3C">
        <w:t>Доклад прилагается к настоящей записке в той форме, в которой он был получен секретариатом, за тем исключением, что список утвержденных за отчетный период проектов и программ, содержащийся в приложении к этому докладу, был опубликован отдельно в качестве информационного документа CBD/SBI/4/INF/12.</w:t>
      </w:r>
    </w:p>
    <w:p w14:paraId="1361E219" w14:textId="77777777" w:rsidR="002877F1" w:rsidRPr="00B91F3C" w:rsidRDefault="002877F1" w:rsidP="0096056B">
      <w:pPr>
        <w:jc w:val="center"/>
        <w:rPr>
          <w:b/>
          <w:smallCaps/>
          <w:sz w:val="32"/>
          <w:szCs w:val="32"/>
        </w:rPr>
        <w:sectPr w:rsidR="002877F1" w:rsidRPr="00B91F3C" w:rsidSect="009964DD">
          <w:headerReference w:type="even" r:id="rId16"/>
          <w:headerReference w:type="default" r:id="rId17"/>
          <w:footerReference w:type="even" r:id="rId18"/>
          <w:footerReference w:type="first" r:id="rId19"/>
          <w:pgSz w:w="12240" w:h="15840"/>
          <w:pgMar w:top="1134" w:right="1440" w:bottom="1134" w:left="1440" w:header="720" w:footer="720" w:gutter="0"/>
          <w:pgNumType w:fmt="lowerRoman" w:start="1"/>
          <w:cols w:space="720"/>
          <w:titlePg/>
          <w:docGrid w:linePitch="360"/>
        </w:sectPr>
      </w:pPr>
    </w:p>
    <w:p w14:paraId="758EBBFD" w14:textId="77777777" w:rsidR="00591C61" w:rsidRPr="00B91F3C" w:rsidRDefault="00591C61" w:rsidP="00591C61">
      <w:pPr>
        <w:rPr>
          <w:rFonts w:ascii="Times New Roman" w:hAnsi="Times New Roman" w:cs="Times New Roman"/>
          <w:b/>
        </w:rPr>
      </w:pPr>
    </w:p>
    <w:p w14:paraId="7FCECD6C" w14:textId="419D0A81" w:rsidR="00591C61" w:rsidRPr="00B91F3C" w:rsidRDefault="00B638B3" w:rsidP="00B638B3">
      <w:pPr>
        <w:jc w:val="center"/>
        <w:rPr>
          <w:rFonts w:ascii="Times New Roman" w:hAnsi="Times New Roman" w:cs="Times New Roman"/>
          <w:b/>
        </w:rPr>
      </w:pPr>
      <w:r w:rsidRPr="00B91F3C">
        <w:rPr>
          <w:rFonts w:ascii="Times New Roman" w:hAnsi="Times New Roman" w:cs="Times New Roman"/>
          <w:b/>
          <w:lang w:eastAsia="es-ES_tradnl"/>
        </w:rPr>
        <w:drawing>
          <wp:inline distT="0" distB="0" distL="0" distR="0" wp14:anchorId="087F3793" wp14:editId="240383C9">
            <wp:extent cx="2030681" cy="93281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36093" cy="935304"/>
                    </a:xfrm>
                    <a:prstGeom prst="rect">
                      <a:avLst/>
                    </a:prstGeom>
                    <a:noFill/>
                  </pic:spPr>
                </pic:pic>
              </a:graphicData>
            </a:graphic>
          </wp:inline>
        </w:drawing>
      </w:r>
    </w:p>
    <w:p w14:paraId="57ED145B" w14:textId="77777777" w:rsidR="00B638B3" w:rsidRPr="00B91F3C" w:rsidRDefault="00B638B3" w:rsidP="00591C61">
      <w:pPr>
        <w:rPr>
          <w:rFonts w:ascii="Times New Roman" w:hAnsi="Times New Roman" w:cs="Times New Roman"/>
          <w:b/>
        </w:rPr>
      </w:pPr>
    </w:p>
    <w:p w14:paraId="49B87A9D" w14:textId="77777777" w:rsidR="00591C61" w:rsidRPr="00B91F3C" w:rsidRDefault="00591C61" w:rsidP="00591C61">
      <w:pPr>
        <w:rPr>
          <w:rFonts w:ascii="Times New Roman" w:hAnsi="Times New Roman" w:cs="Times New Roman"/>
          <w:b/>
          <w:bCs/>
          <w:sz w:val="20"/>
          <w:szCs w:val="20"/>
        </w:rPr>
      </w:pPr>
      <w:r w:rsidRPr="00B91F3C">
        <w:rPr>
          <w:rFonts w:ascii="Times New Roman" w:hAnsi="Times New Roman" w:cs="Times New Roman"/>
          <w:b/>
          <w:sz w:val="20"/>
          <w:szCs w:val="20"/>
        </w:rPr>
        <w:t>Г-н Карлос Мануэль Родригес</w:t>
      </w:r>
    </w:p>
    <w:p w14:paraId="4544BBDE" w14:textId="77777777" w:rsidR="00591C61" w:rsidRPr="00B91F3C" w:rsidRDefault="00591C61" w:rsidP="00591C61">
      <w:pPr>
        <w:rPr>
          <w:rFonts w:ascii="Times New Roman" w:hAnsi="Times New Roman" w:cs="Times New Roman"/>
          <w:sz w:val="20"/>
          <w:szCs w:val="20"/>
        </w:rPr>
      </w:pPr>
      <w:r w:rsidRPr="00B91F3C">
        <w:rPr>
          <w:rFonts w:ascii="Times New Roman" w:hAnsi="Times New Roman" w:cs="Times New Roman"/>
          <w:sz w:val="20"/>
          <w:szCs w:val="20"/>
        </w:rPr>
        <w:t>Главный исполнительный директор и Председатель</w:t>
      </w:r>
    </w:p>
    <w:p w14:paraId="78E7FD86" w14:textId="77777777" w:rsidR="00591C61" w:rsidRPr="00B91F3C" w:rsidRDefault="00591C61" w:rsidP="00591C61">
      <w:pPr>
        <w:spacing w:after="200" w:line="276" w:lineRule="auto"/>
        <w:ind w:left="6480" w:firstLine="41"/>
        <w:jc w:val="right"/>
        <w:rPr>
          <w:rFonts w:ascii="Times New Roman" w:hAnsi="Times New Roman" w:cs="Times New Roman"/>
          <w:sz w:val="20"/>
          <w:szCs w:val="20"/>
        </w:rPr>
      </w:pPr>
      <w:r w:rsidRPr="00B91F3C">
        <w:rPr>
          <w:rFonts w:ascii="Times New Roman" w:hAnsi="Times New Roman" w:cs="Times New Roman"/>
          <w:sz w:val="20"/>
          <w:szCs w:val="20"/>
        </w:rPr>
        <w:t>16 апреля 2024 года</w:t>
      </w:r>
    </w:p>
    <w:p w14:paraId="76F601A0" w14:textId="10C73ACB" w:rsidR="00591C61" w:rsidRPr="00B91F3C" w:rsidRDefault="00591C61" w:rsidP="00591C61">
      <w:pPr>
        <w:rPr>
          <w:rFonts w:ascii="Times New Roman" w:hAnsi="Times New Roman" w:cs="Times New Roman"/>
          <w:sz w:val="20"/>
          <w:szCs w:val="20"/>
        </w:rPr>
      </w:pPr>
      <w:r w:rsidRPr="00B91F3C">
        <w:rPr>
          <w:rFonts w:ascii="Times New Roman" w:hAnsi="Times New Roman" w:cs="Times New Roman"/>
          <w:sz w:val="20"/>
          <w:szCs w:val="20"/>
        </w:rPr>
        <w:t>Г-</w:t>
      </w:r>
      <w:r w:rsidR="00BD58FD" w:rsidRPr="00B91F3C">
        <w:rPr>
          <w:rFonts w:ascii="Times New Roman" w:hAnsi="Times New Roman" w:cs="Times New Roman"/>
          <w:sz w:val="20"/>
          <w:szCs w:val="20"/>
        </w:rPr>
        <w:t>ну</w:t>
      </w:r>
      <w:r w:rsidRPr="00B91F3C">
        <w:rPr>
          <w:rFonts w:ascii="Times New Roman" w:hAnsi="Times New Roman" w:cs="Times New Roman"/>
          <w:sz w:val="20"/>
          <w:szCs w:val="20"/>
        </w:rPr>
        <w:t xml:space="preserve"> Дэвиду Куперу</w:t>
      </w:r>
    </w:p>
    <w:p w14:paraId="56A95262" w14:textId="77777777" w:rsidR="00591C61" w:rsidRPr="00B91F3C" w:rsidRDefault="00591C61" w:rsidP="00591C61">
      <w:pPr>
        <w:rPr>
          <w:rFonts w:ascii="Times New Roman" w:hAnsi="Times New Roman" w:cs="Times New Roman"/>
          <w:sz w:val="20"/>
          <w:szCs w:val="20"/>
        </w:rPr>
      </w:pPr>
      <w:r w:rsidRPr="00B91F3C">
        <w:rPr>
          <w:rFonts w:ascii="Times New Roman" w:hAnsi="Times New Roman" w:cs="Times New Roman"/>
          <w:sz w:val="20"/>
          <w:szCs w:val="20"/>
        </w:rPr>
        <w:t>Исполняющему обязанности Исполнительного секретаря</w:t>
      </w:r>
    </w:p>
    <w:p w14:paraId="38CA4BCC" w14:textId="77777777" w:rsidR="00591C61" w:rsidRPr="00B91F3C" w:rsidRDefault="00591C61" w:rsidP="00591C61">
      <w:pPr>
        <w:rPr>
          <w:rFonts w:ascii="Times New Roman" w:hAnsi="Times New Roman" w:cs="Times New Roman"/>
          <w:sz w:val="20"/>
          <w:szCs w:val="20"/>
        </w:rPr>
      </w:pPr>
      <w:r w:rsidRPr="00B91F3C">
        <w:rPr>
          <w:rFonts w:ascii="Times New Roman" w:hAnsi="Times New Roman" w:cs="Times New Roman"/>
          <w:sz w:val="20"/>
          <w:szCs w:val="20"/>
        </w:rPr>
        <w:t>Секретариат Конвенции о биологическом разнообразии</w:t>
      </w:r>
    </w:p>
    <w:p w14:paraId="43CAB4EA" w14:textId="77777777" w:rsidR="00591C61" w:rsidRPr="00B91F3C" w:rsidRDefault="00591C61" w:rsidP="00591C61">
      <w:pPr>
        <w:rPr>
          <w:rFonts w:ascii="Times New Roman" w:hAnsi="Times New Roman" w:cs="Times New Roman"/>
          <w:sz w:val="20"/>
          <w:szCs w:val="20"/>
        </w:rPr>
      </w:pPr>
      <w:r w:rsidRPr="00B91F3C">
        <w:rPr>
          <w:rFonts w:ascii="Times New Roman" w:hAnsi="Times New Roman" w:cs="Times New Roman"/>
          <w:sz w:val="20"/>
          <w:szCs w:val="20"/>
        </w:rPr>
        <w:t>Монреаль, QC H2Y 1N9</w:t>
      </w:r>
    </w:p>
    <w:p w14:paraId="528B4CBF" w14:textId="77777777" w:rsidR="00591C61" w:rsidRPr="00B91F3C" w:rsidRDefault="00591C61" w:rsidP="00591C61">
      <w:pPr>
        <w:rPr>
          <w:rFonts w:ascii="Times New Roman" w:hAnsi="Times New Roman" w:cs="Times New Roman"/>
          <w:sz w:val="20"/>
          <w:szCs w:val="20"/>
        </w:rPr>
      </w:pPr>
      <w:r w:rsidRPr="00B91F3C">
        <w:rPr>
          <w:rFonts w:ascii="Times New Roman" w:hAnsi="Times New Roman" w:cs="Times New Roman"/>
          <w:sz w:val="20"/>
          <w:szCs w:val="20"/>
        </w:rPr>
        <w:t>Канада</w:t>
      </w:r>
    </w:p>
    <w:p w14:paraId="450C3020" w14:textId="77777777" w:rsidR="00591C61" w:rsidRPr="00B91F3C" w:rsidRDefault="00591C61" w:rsidP="00591C61">
      <w:pPr>
        <w:spacing w:after="200" w:line="276" w:lineRule="auto"/>
        <w:rPr>
          <w:rFonts w:ascii="Times New Roman" w:hAnsi="Times New Roman" w:cs="Times New Roman"/>
          <w:sz w:val="20"/>
          <w:szCs w:val="20"/>
        </w:rPr>
      </w:pPr>
    </w:p>
    <w:p w14:paraId="7F9F1550" w14:textId="77777777" w:rsidR="00591C61" w:rsidRPr="00B91F3C" w:rsidRDefault="00591C61" w:rsidP="00591C61">
      <w:pPr>
        <w:spacing w:after="200" w:line="276" w:lineRule="auto"/>
        <w:ind w:right="713"/>
        <w:rPr>
          <w:rFonts w:ascii="Times New Roman" w:hAnsi="Times New Roman" w:cs="Times New Roman"/>
          <w:sz w:val="20"/>
          <w:szCs w:val="20"/>
        </w:rPr>
      </w:pPr>
      <w:r w:rsidRPr="00B91F3C">
        <w:rPr>
          <w:rFonts w:ascii="Times New Roman" w:hAnsi="Times New Roman" w:cs="Times New Roman"/>
          <w:sz w:val="20"/>
          <w:szCs w:val="20"/>
        </w:rPr>
        <w:t>Уважаемый господин Купер,</w:t>
      </w:r>
    </w:p>
    <w:p w14:paraId="1501882A" w14:textId="77777777" w:rsidR="00591C61" w:rsidRPr="00B91F3C" w:rsidRDefault="00591C61" w:rsidP="00591C61">
      <w:pPr>
        <w:spacing w:after="200" w:line="276" w:lineRule="auto"/>
        <w:ind w:right="713" w:firstLine="567"/>
        <w:jc w:val="both"/>
        <w:rPr>
          <w:rFonts w:ascii="Times New Roman" w:hAnsi="Times New Roman" w:cs="Times New Roman"/>
          <w:sz w:val="20"/>
          <w:szCs w:val="20"/>
        </w:rPr>
      </w:pPr>
      <w:r w:rsidRPr="00B91F3C">
        <w:rPr>
          <w:rFonts w:ascii="Times New Roman" w:hAnsi="Times New Roman" w:cs="Times New Roman"/>
          <w:sz w:val="20"/>
          <w:szCs w:val="20"/>
        </w:rPr>
        <w:t>С большим удовольствием направляю проект доклада Глобального экологического фонда для 16-го совещания Конференции Сторон четвертому совещанию Вспомогательного органа по осуществлению Конвенции о биологическом разнообразии, которое будет проходить с 21 по 29 мая в Найроби, Кения.</w:t>
      </w:r>
    </w:p>
    <w:p w14:paraId="76D16E86" w14:textId="77777777" w:rsidR="00591C61" w:rsidRPr="00B91F3C" w:rsidRDefault="00591C61" w:rsidP="00591C61">
      <w:pPr>
        <w:spacing w:after="200" w:line="276" w:lineRule="auto"/>
        <w:ind w:right="713" w:firstLine="567"/>
        <w:jc w:val="both"/>
        <w:rPr>
          <w:rFonts w:ascii="Times New Roman" w:hAnsi="Times New Roman" w:cs="Times New Roman"/>
          <w:sz w:val="20"/>
          <w:szCs w:val="20"/>
        </w:rPr>
      </w:pPr>
      <w:r w:rsidRPr="00B91F3C">
        <w:rPr>
          <w:rFonts w:ascii="Times New Roman" w:hAnsi="Times New Roman" w:cs="Times New Roman"/>
          <w:sz w:val="20"/>
          <w:szCs w:val="20"/>
        </w:rPr>
        <w:t xml:space="preserve">ГЭФ представляет настоящий доклад ВОО-4 в ответ на предложение, направленное Конференцией Сторон Глобальному экологическому фонду, представить предварительный проект своего официального доклада Конференции Сторон, обращая особое внимание на действия Глобального экологического фонда в ответ на предыдущие руководящие указания Конференции Сторон (пункт 8 (е) решения XII/30). </w:t>
      </w:r>
    </w:p>
    <w:p w14:paraId="5B89FE84" w14:textId="77777777" w:rsidR="00591C61" w:rsidRPr="00B91F3C" w:rsidRDefault="00591C61" w:rsidP="00591C61">
      <w:pPr>
        <w:spacing w:after="200" w:line="276" w:lineRule="auto"/>
        <w:ind w:right="713" w:firstLine="567"/>
        <w:jc w:val="both"/>
        <w:rPr>
          <w:rFonts w:ascii="Times New Roman" w:hAnsi="Times New Roman" w:cs="Times New Roman"/>
          <w:sz w:val="20"/>
          <w:szCs w:val="20"/>
        </w:rPr>
      </w:pPr>
      <w:r w:rsidRPr="00B91F3C">
        <w:rPr>
          <w:rFonts w:ascii="Times New Roman" w:hAnsi="Times New Roman" w:cs="Times New Roman"/>
          <w:sz w:val="20"/>
          <w:szCs w:val="20"/>
        </w:rPr>
        <w:t>В этом документе содержится отчет о деятельности ГЭФ в области биологического разнообразия. В связи вызванным пандемией COVID-19 изменением дат проведения КС-15 и КС-16 и, соответственно, периодов представления отчетности ГЭФ для КС, настоящий проект доклада для КС-16 охватывает последние 6 месяцев ГЭФ-7 и первые 20 месяцев ГЭФ-8, а именно период с 1 января 2023 года по 29 февраля 2024 года. Итоговый доклад для КС-16 будет охватывать период с 1 января 2023 года по 30 июня 2024 года.</w:t>
      </w:r>
    </w:p>
    <w:p w14:paraId="57F60743" w14:textId="77777777" w:rsidR="00591C61" w:rsidRPr="00B91F3C" w:rsidRDefault="00591C61" w:rsidP="00591C61">
      <w:pPr>
        <w:spacing w:after="200" w:line="276" w:lineRule="auto"/>
        <w:ind w:right="713" w:firstLine="567"/>
        <w:jc w:val="both"/>
        <w:rPr>
          <w:rFonts w:ascii="Times New Roman" w:hAnsi="Times New Roman" w:cs="Times New Roman"/>
          <w:sz w:val="20"/>
          <w:szCs w:val="20"/>
        </w:rPr>
      </w:pPr>
      <w:r w:rsidRPr="00B91F3C">
        <w:rPr>
          <w:rFonts w:ascii="Times New Roman" w:hAnsi="Times New Roman" w:cs="Times New Roman"/>
          <w:sz w:val="20"/>
          <w:szCs w:val="20"/>
        </w:rPr>
        <w:t>Прилагаю полный вариант доклада на английском языке с соответствующими приложениями.</w:t>
      </w:r>
    </w:p>
    <w:p w14:paraId="1481721B" w14:textId="77777777" w:rsidR="00591C61" w:rsidRPr="00B91F3C" w:rsidRDefault="00591C61" w:rsidP="00591C61">
      <w:pPr>
        <w:spacing w:after="200" w:line="276" w:lineRule="auto"/>
        <w:ind w:right="713" w:firstLine="567"/>
        <w:jc w:val="both"/>
        <w:rPr>
          <w:rFonts w:ascii="Times New Roman" w:hAnsi="Times New Roman" w:cs="Times New Roman"/>
          <w:sz w:val="20"/>
          <w:szCs w:val="20"/>
        </w:rPr>
      </w:pPr>
      <w:r w:rsidRPr="00B91F3C">
        <w:rPr>
          <w:rFonts w:ascii="Times New Roman" w:hAnsi="Times New Roman" w:cs="Times New Roman"/>
          <w:sz w:val="20"/>
          <w:szCs w:val="20"/>
        </w:rPr>
        <w:t>В соответствии с установившейся практикой и в целях оказания помощи секретариату КБР в его работе мы в ближайшее время направим варианты основной части этого документа на испанском и французском языках. С учетом того, что приложения представляют собой список проектов ГЭФ, получивших финансирование в течение отчетного периода, перевод предложений предоставляться не будет.</w:t>
      </w:r>
    </w:p>
    <w:p w14:paraId="45032457" w14:textId="77777777" w:rsidR="00591C61" w:rsidRPr="00B91F3C" w:rsidRDefault="00591C61" w:rsidP="00591C61">
      <w:pPr>
        <w:spacing w:after="200" w:line="276" w:lineRule="auto"/>
        <w:ind w:right="713" w:firstLine="567"/>
        <w:jc w:val="both"/>
        <w:rPr>
          <w:rFonts w:ascii="Times New Roman" w:hAnsi="Times New Roman" w:cs="Times New Roman"/>
          <w:sz w:val="20"/>
          <w:szCs w:val="20"/>
        </w:rPr>
      </w:pPr>
      <w:r w:rsidRPr="00B91F3C">
        <w:rPr>
          <w:rFonts w:ascii="Times New Roman" w:hAnsi="Times New Roman" w:cs="Times New Roman"/>
          <w:sz w:val="20"/>
          <w:szCs w:val="20"/>
        </w:rPr>
        <w:t>Желаем вам успеха в заключительных приготовлениях к проведению ВОО‑4.</w:t>
      </w:r>
    </w:p>
    <w:p w14:paraId="2495EFBB" w14:textId="77777777" w:rsidR="00591C61" w:rsidRPr="00B91F3C" w:rsidRDefault="00591C61" w:rsidP="00591C61">
      <w:pPr>
        <w:spacing w:after="200" w:line="276" w:lineRule="auto"/>
        <w:ind w:left="3261" w:right="707"/>
        <w:jc w:val="center"/>
        <w:rPr>
          <w:rFonts w:ascii="Times New Roman" w:hAnsi="Times New Roman" w:cs="Times New Roman"/>
          <w:sz w:val="20"/>
          <w:szCs w:val="20"/>
        </w:rPr>
      </w:pPr>
      <w:r w:rsidRPr="00B91F3C">
        <w:rPr>
          <w:rFonts w:ascii="Times New Roman" w:hAnsi="Times New Roman" w:cs="Times New Roman"/>
          <w:sz w:val="20"/>
          <w:szCs w:val="20"/>
        </w:rPr>
        <w:t>С уважением,</w:t>
      </w:r>
    </w:p>
    <w:p w14:paraId="271A8F69" w14:textId="77777777" w:rsidR="00591C61" w:rsidRPr="00B91F3C" w:rsidRDefault="00591C61" w:rsidP="00591C61">
      <w:pPr>
        <w:ind w:left="3261" w:right="707"/>
        <w:jc w:val="center"/>
        <w:rPr>
          <w:rFonts w:ascii="Times New Roman" w:hAnsi="Times New Roman" w:cs="Times New Roman"/>
          <w:sz w:val="20"/>
          <w:szCs w:val="20"/>
        </w:rPr>
      </w:pPr>
      <w:r w:rsidRPr="00B91F3C">
        <w:rPr>
          <w:rFonts w:ascii="Times New Roman" w:hAnsi="Times New Roman" w:cs="Times New Roman"/>
          <w:sz w:val="20"/>
          <w:szCs w:val="20"/>
        </w:rPr>
        <w:t>(</w:t>
      </w:r>
      <w:r w:rsidRPr="00B91F3C">
        <w:rPr>
          <w:rFonts w:ascii="Times New Roman" w:hAnsi="Times New Roman" w:cs="Times New Roman"/>
          <w:i/>
          <w:sz w:val="20"/>
          <w:szCs w:val="20"/>
        </w:rPr>
        <w:t>подпись</w:t>
      </w:r>
      <w:r w:rsidRPr="00B91F3C">
        <w:rPr>
          <w:rFonts w:ascii="Times New Roman" w:hAnsi="Times New Roman" w:cs="Times New Roman"/>
          <w:sz w:val="20"/>
          <w:szCs w:val="20"/>
        </w:rPr>
        <w:t xml:space="preserve">) Клод </w:t>
      </w:r>
      <w:proofErr w:type="spellStart"/>
      <w:r w:rsidRPr="00B91F3C">
        <w:rPr>
          <w:rFonts w:ascii="Times New Roman" w:hAnsi="Times New Roman" w:cs="Times New Roman"/>
          <w:sz w:val="20"/>
          <w:szCs w:val="20"/>
        </w:rPr>
        <w:t>Гаскон</w:t>
      </w:r>
      <w:proofErr w:type="spellEnd"/>
    </w:p>
    <w:p w14:paraId="40FC64A5" w14:textId="77777777" w:rsidR="00591C61" w:rsidRPr="00B91F3C" w:rsidRDefault="00591C61" w:rsidP="00591C61">
      <w:pPr>
        <w:ind w:left="3261" w:right="707"/>
        <w:jc w:val="center"/>
        <w:rPr>
          <w:rFonts w:ascii="Times New Roman" w:hAnsi="Times New Roman" w:cs="Times New Roman"/>
          <w:sz w:val="20"/>
          <w:szCs w:val="20"/>
        </w:rPr>
      </w:pPr>
      <w:r w:rsidRPr="00B91F3C">
        <w:rPr>
          <w:rFonts w:ascii="Times New Roman" w:hAnsi="Times New Roman" w:cs="Times New Roman"/>
          <w:sz w:val="20"/>
          <w:szCs w:val="20"/>
        </w:rPr>
        <w:t>Исполняющий обязанности Главного исполнительного директора и Председателя</w:t>
      </w:r>
    </w:p>
    <w:p w14:paraId="01872A7A" w14:textId="77777777" w:rsidR="00ED17C4" w:rsidRPr="00B91F3C" w:rsidRDefault="00ED17C4" w:rsidP="0096056B">
      <w:pPr>
        <w:jc w:val="center"/>
        <w:rPr>
          <w:rFonts w:ascii="Times New Roman" w:hAnsi="Times New Roman" w:cs="Times New Roman"/>
          <w:b/>
          <w:smallCaps/>
          <w:sz w:val="32"/>
          <w:szCs w:val="32"/>
        </w:rPr>
        <w:sectPr w:rsidR="00ED17C4" w:rsidRPr="00B91F3C" w:rsidSect="009964DD">
          <w:pgSz w:w="12240" w:h="15840"/>
          <w:pgMar w:top="1134" w:right="1440" w:bottom="1134" w:left="1440" w:header="720" w:footer="720" w:gutter="0"/>
          <w:pgNumType w:fmt="lowerRoman" w:start="1"/>
          <w:cols w:space="720"/>
          <w:docGrid w:linePitch="360"/>
        </w:sectPr>
      </w:pPr>
    </w:p>
    <w:p w14:paraId="776C9FC6" w14:textId="77777777" w:rsidR="009E2C7E" w:rsidRPr="00B91F3C" w:rsidRDefault="009E2C7E" w:rsidP="009E2C7E">
      <w:pPr>
        <w:ind w:left="720"/>
      </w:pPr>
    </w:p>
    <w:p w14:paraId="1D3A756E" w14:textId="77777777" w:rsidR="009E2C7E" w:rsidRPr="00B91F3C" w:rsidRDefault="009E2C7E" w:rsidP="009E2C7E">
      <w:pPr>
        <w:jc w:val="center"/>
        <w:rPr>
          <w:b/>
          <w:smallCaps/>
          <w:sz w:val="24"/>
          <w:szCs w:val="24"/>
        </w:rPr>
      </w:pPr>
      <w:r w:rsidRPr="00B91F3C">
        <w:rPr>
          <w:lang w:eastAsia="es-ES_tradnl"/>
        </w:rPr>
        <w:drawing>
          <wp:anchor distT="0" distB="0" distL="114300" distR="114300" simplePos="0" relativeHeight="251659776" behindDoc="0" locked="0" layoutInCell="1" allowOverlap="1" wp14:anchorId="27EC6CC0" wp14:editId="3414D17A">
            <wp:simplePos x="0" y="0"/>
            <wp:positionH relativeFrom="margin">
              <wp:align>center</wp:align>
            </wp:positionH>
            <wp:positionV relativeFrom="margin">
              <wp:align>top</wp:align>
            </wp:positionV>
            <wp:extent cx="2466975" cy="1133475"/>
            <wp:effectExtent l="0" t="0" r="0" b="0"/>
            <wp:wrapSquare wrapText="bothSides"/>
            <wp:docPr id="1456656506" name="Picture 1456656506" descr="A logo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656506" name="Picture 1456656506" descr="A logo of a company&#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66975" cy="1133475"/>
                    </a:xfrm>
                    <a:prstGeom prst="rect">
                      <a:avLst/>
                    </a:prstGeom>
                    <a:noFill/>
                  </pic:spPr>
                </pic:pic>
              </a:graphicData>
            </a:graphic>
          </wp:anchor>
        </w:drawing>
      </w:r>
    </w:p>
    <w:p w14:paraId="66B7B23C" w14:textId="77777777" w:rsidR="009E2C7E" w:rsidRPr="00B91F3C" w:rsidRDefault="009E2C7E" w:rsidP="009E2C7E">
      <w:pPr>
        <w:jc w:val="center"/>
        <w:rPr>
          <w:b/>
          <w:smallCaps/>
          <w:sz w:val="32"/>
          <w:szCs w:val="32"/>
        </w:rPr>
      </w:pPr>
    </w:p>
    <w:p w14:paraId="303D8742" w14:textId="77777777" w:rsidR="009E2C7E" w:rsidRPr="00B91F3C" w:rsidRDefault="009E2C7E" w:rsidP="009E2C7E">
      <w:pPr>
        <w:jc w:val="center"/>
        <w:rPr>
          <w:b/>
          <w:smallCaps/>
          <w:sz w:val="32"/>
          <w:szCs w:val="32"/>
        </w:rPr>
      </w:pPr>
    </w:p>
    <w:p w14:paraId="437AB230" w14:textId="77777777" w:rsidR="009E2C7E" w:rsidRPr="00B91F3C" w:rsidRDefault="009E2C7E" w:rsidP="009E2C7E">
      <w:pPr>
        <w:jc w:val="center"/>
        <w:rPr>
          <w:b/>
          <w:smallCaps/>
          <w:sz w:val="32"/>
          <w:szCs w:val="32"/>
        </w:rPr>
      </w:pPr>
    </w:p>
    <w:p w14:paraId="5512B2A7" w14:textId="77777777" w:rsidR="009E2C7E" w:rsidRPr="00B91F3C" w:rsidRDefault="009E2C7E" w:rsidP="009E2C7E">
      <w:pPr>
        <w:jc w:val="center"/>
        <w:rPr>
          <w:b/>
          <w:smallCaps/>
          <w:sz w:val="32"/>
          <w:szCs w:val="32"/>
        </w:rPr>
      </w:pPr>
    </w:p>
    <w:tbl>
      <w:tblPr>
        <w:tblStyle w:val="Grilledutableau"/>
        <w:tblW w:w="0" w:type="auto"/>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9E2C7E" w:rsidRPr="00B91F3C" w14:paraId="00B2D273" w14:textId="77777777" w:rsidTr="00DA5094">
        <w:tc>
          <w:tcPr>
            <w:tcW w:w="9350" w:type="dxa"/>
          </w:tcPr>
          <w:p w14:paraId="495C9AFE" w14:textId="77777777" w:rsidR="009E2C7E" w:rsidRPr="00B91F3C" w:rsidRDefault="009E2C7E" w:rsidP="00DA5094">
            <w:pPr>
              <w:jc w:val="center"/>
              <w:rPr>
                <w:b/>
                <w:smallCaps/>
                <w:sz w:val="2"/>
                <w:szCs w:val="32"/>
              </w:rPr>
            </w:pPr>
          </w:p>
        </w:tc>
      </w:tr>
    </w:tbl>
    <w:p w14:paraId="674046E3" w14:textId="77777777" w:rsidR="009E2C7E" w:rsidRPr="00B91F3C" w:rsidRDefault="009E2C7E" w:rsidP="009E2C7E">
      <w:pPr>
        <w:jc w:val="center"/>
        <w:rPr>
          <w:b/>
          <w:smallCaps/>
          <w:sz w:val="32"/>
          <w:szCs w:val="32"/>
        </w:rPr>
      </w:pPr>
    </w:p>
    <w:p w14:paraId="6186DFF7" w14:textId="77777777" w:rsidR="0096056B" w:rsidRPr="00B91F3C" w:rsidRDefault="0096056B" w:rsidP="0096056B">
      <w:pPr>
        <w:jc w:val="center"/>
        <w:rPr>
          <w:b/>
          <w:smallCaps/>
          <w:sz w:val="32"/>
          <w:szCs w:val="32"/>
        </w:rPr>
      </w:pPr>
    </w:p>
    <w:p w14:paraId="6A9E86D0" w14:textId="77777777" w:rsidR="0096056B" w:rsidRPr="00B91F3C" w:rsidRDefault="0096056B" w:rsidP="0096056B">
      <w:pPr>
        <w:jc w:val="center"/>
        <w:rPr>
          <w:b/>
          <w:smallCaps/>
          <w:sz w:val="32"/>
          <w:szCs w:val="32"/>
        </w:rPr>
      </w:pPr>
    </w:p>
    <w:p w14:paraId="4F951F90" w14:textId="32F120CA" w:rsidR="0096056B" w:rsidRPr="00B91F3C" w:rsidRDefault="00E16992" w:rsidP="00E16992">
      <w:pPr>
        <w:tabs>
          <w:tab w:val="left" w:pos="6648"/>
        </w:tabs>
        <w:rPr>
          <w:b/>
          <w:smallCaps/>
          <w:sz w:val="32"/>
          <w:szCs w:val="32"/>
        </w:rPr>
      </w:pPr>
      <w:r w:rsidRPr="00B91F3C">
        <w:rPr>
          <w:b/>
          <w:smallCaps/>
          <w:sz w:val="32"/>
        </w:rPr>
        <w:tab/>
      </w:r>
    </w:p>
    <w:p w14:paraId="6783C67D" w14:textId="456292D6" w:rsidR="00E16992" w:rsidRPr="00B91F3C" w:rsidRDefault="00E16992" w:rsidP="00E16992">
      <w:pPr>
        <w:tabs>
          <w:tab w:val="left" w:pos="6648"/>
        </w:tabs>
        <w:rPr>
          <w:b/>
          <w:smallCaps/>
          <w:sz w:val="32"/>
          <w:szCs w:val="32"/>
        </w:rPr>
      </w:pPr>
    </w:p>
    <w:p w14:paraId="71A7E505" w14:textId="77777777" w:rsidR="00E16992" w:rsidRPr="00B91F3C" w:rsidRDefault="00E16992" w:rsidP="00E16992">
      <w:pPr>
        <w:tabs>
          <w:tab w:val="left" w:pos="6648"/>
        </w:tabs>
        <w:rPr>
          <w:b/>
          <w:smallCaps/>
          <w:sz w:val="32"/>
          <w:szCs w:val="32"/>
        </w:rPr>
      </w:pPr>
    </w:p>
    <w:p w14:paraId="4603CC4F" w14:textId="77777777" w:rsidR="0096056B" w:rsidRPr="00B91F3C" w:rsidRDefault="0096056B" w:rsidP="0096056B">
      <w:pPr>
        <w:jc w:val="center"/>
        <w:rPr>
          <w:b/>
          <w:smallCaps/>
          <w:sz w:val="32"/>
          <w:szCs w:val="32"/>
        </w:rPr>
      </w:pPr>
    </w:p>
    <w:p w14:paraId="16C827B5" w14:textId="77777777" w:rsidR="0096056B" w:rsidRPr="00B91F3C" w:rsidRDefault="0096056B" w:rsidP="0096056B">
      <w:pPr>
        <w:jc w:val="center"/>
        <w:rPr>
          <w:b/>
          <w:smallCaps/>
          <w:sz w:val="32"/>
          <w:szCs w:val="32"/>
        </w:rPr>
      </w:pPr>
    </w:p>
    <w:p w14:paraId="5E954D9C" w14:textId="77777777" w:rsidR="002A35E4" w:rsidRPr="00B91F3C" w:rsidRDefault="002A35E4" w:rsidP="0096056B">
      <w:pPr>
        <w:jc w:val="center"/>
        <w:rPr>
          <w:b/>
          <w:smallCaps/>
          <w:sz w:val="32"/>
          <w:szCs w:val="32"/>
        </w:rPr>
      </w:pPr>
    </w:p>
    <w:p w14:paraId="6D6990E1" w14:textId="77777777" w:rsidR="009F5C92" w:rsidRPr="00B91F3C" w:rsidRDefault="0021706A" w:rsidP="0021706A">
      <w:pPr>
        <w:jc w:val="center"/>
        <w:rPr>
          <w:b/>
          <w:smallCaps/>
          <w:sz w:val="32"/>
        </w:rPr>
      </w:pPr>
      <w:r w:rsidRPr="00B91F3C">
        <w:rPr>
          <w:b/>
          <w:smallCaps/>
          <w:sz w:val="32"/>
        </w:rPr>
        <w:t xml:space="preserve">Проект доклада Глобального экологического фонда </w:t>
      </w:r>
    </w:p>
    <w:p w14:paraId="270D3B60" w14:textId="05E8064C" w:rsidR="009F5C92" w:rsidRPr="00B91F3C" w:rsidRDefault="0021706A" w:rsidP="0021706A">
      <w:pPr>
        <w:jc w:val="center"/>
        <w:rPr>
          <w:b/>
          <w:smallCaps/>
          <w:sz w:val="32"/>
        </w:rPr>
      </w:pPr>
      <w:r w:rsidRPr="00B91F3C">
        <w:rPr>
          <w:b/>
          <w:smallCaps/>
          <w:sz w:val="32"/>
        </w:rPr>
        <w:t>для 16-го совещания Конференции Сторон, представленный четвертом</w:t>
      </w:r>
      <w:r w:rsidR="009F5C92" w:rsidRPr="00B91F3C">
        <w:rPr>
          <w:b/>
          <w:smallCaps/>
          <w:sz w:val="32"/>
        </w:rPr>
        <w:t>у</w:t>
      </w:r>
      <w:r w:rsidRPr="00B91F3C">
        <w:rPr>
          <w:b/>
          <w:smallCaps/>
          <w:sz w:val="32"/>
        </w:rPr>
        <w:t xml:space="preserve"> совещани</w:t>
      </w:r>
      <w:r w:rsidR="009F5C92" w:rsidRPr="00B91F3C">
        <w:rPr>
          <w:b/>
          <w:smallCaps/>
          <w:sz w:val="32"/>
        </w:rPr>
        <w:t>ю</w:t>
      </w:r>
      <w:r w:rsidRPr="00B91F3C">
        <w:rPr>
          <w:b/>
          <w:smallCaps/>
          <w:sz w:val="32"/>
        </w:rPr>
        <w:t xml:space="preserve"> Вспомогательного органа по осуществлению </w:t>
      </w:r>
    </w:p>
    <w:p w14:paraId="18DDA262" w14:textId="41AB8DBE" w:rsidR="0021706A" w:rsidRPr="00B91F3C" w:rsidRDefault="0021706A" w:rsidP="0021706A">
      <w:pPr>
        <w:jc w:val="center"/>
        <w:rPr>
          <w:b/>
          <w:smallCaps/>
          <w:sz w:val="32"/>
          <w:szCs w:val="32"/>
        </w:rPr>
      </w:pPr>
      <w:r w:rsidRPr="00B91F3C">
        <w:rPr>
          <w:b/>
          <w:smallCaps/>
          <w:sz w:val="32"/>
        </w:rPr>
        <w:t>Конвенции о биологическом разнообразии</w:t>
      </w:r>
    </w:p>
    <w:p w14:paraId="09AB3D4E" w14:textId="77777777" w:rsidR="0021706A" w:rsidRPr="00B91F3C" w:rsidRDefault="0021706A" w:rsidP="0021706A">
      <w:pPr>
        <w:jc w:val="center"/>
        <w:rPr>
          <w:b/>
          <w:smallCaps/>
          <w:sz w:val="32"/>
          <w:szCs w:val="32"/>
        </w:rPr>
      </w:pPr>
    </w:p>
    <w:p w14:paraId="095B998E" w14:textId="234F5DCF" w:rsidR="0021706A" w:rsidRPr="00B91F3C" w:rsidRDefault="00043ED8" w:rsidP="0021706A">
      <w:pPr>
        <w:jc w:val="center"/>
        <w:rPr>
          <w:b/>
          <w:smallCaps/>
          <w:sz w:val="32"/>
          <w:szCs w:val="32"/>
        </w:rPr>
      </w:pPr>
      <w:r w:rsidRPr="00B91F3C">
        <w:rPr>
          <w:b/>
          <w:smallCaps/>
          <w:sz w:val="32"/>
        </w:rPr>
        <w:t>1 марта 2024 года</w:t>
      </w:r>
    </w:p>
    <w:p w14:paraId="663203FA" w14:textId="77777777" w:rsidR="005B5C3A" w:rsidRPr="00B91F3C" w:rsidRDefault="005B5C3A" w:rsidP="00CB3758">
      <w:pPr>
        <w:jc w:val="center"/>
        <w:rPr>
          <w:b/>
          <w:smallCaps/>
          <w:sz w:val="32"/>
          <w:szCs w:val="32"/>
        </w:rPr>
      </w:pPr>
    </w:p>
    <w:p w14:paraId="6A746F3F" w14:textId="77777777" w:rsidR="005B5C3A" w:rsidRPr="00B91F3C" w:rsidRDefault="005B5C3A" w:rsidP="00CB3758">
      <w:pPr>
        <w:jc w:val="center"/>
        <w:rPr>
          <w:b/>
          <w:sz w:val="32"/>
          <w:szCs w:val="32"/>
        </w:rPr>
        <w:sectPr w:rsidR="005B5C3A" w:rsidRPr="00B91F3C" w:rsidSect="009964DD">
          <w:footerReference w:type="default" r:id="rId22"/>
          <w:headerReference w:type="first" r:id="rId23"/>
          <w:footerReference w:type="first" r:id="rId24"/>
          <w:pgSz w:w="12240" w:h="15840"/>
          <w:pgMar w:top="1134" w:right="1440" w:bottom="1134" w:left="1440" w:header="720" w:footer="720" w:gutter="0"/>
          <w:pgNumType w:fmt="lowerRoman" w:start="1"/>
          <w:cols w:space="720"/>
          <w:titlePg/>
          <w:docGrid w:linePitch="360"/>
        </w:sectPr>
      </w:pPr>
    </w:p>
    <w:p w14:paraId="0C34E1FE" w14:textId="72764FDF" w:rsidR="00373FE7" w:rsidRPr="00B91F3C" w:rsidRDefault="00373FE7" w:rsidP="00373FE7">
      <w:pPr>
        <w:rPr>
          <w:snapToGrid w:val="0"/>
        </w:rPr>
      </w:pPr>
    </w:p>
    <w:p w14:paraId="323FD78B" w14:textId="6DF3EB8D" w:rsidR="00D23DAC" w:rsidRPr="00B91F3C" w:rsidRDefault="00D23DAC" w:rsidP="00373FE7">
      <w:pPr>
        <w:rPr>
          <w:snapToGrid w:val="0"/>
        </w:rPr>
      </w:pPr>
    </w:p>
    <w:p w14:paraId="01396491" w14:textId="08275CFF" w:rsidR="00D23DAC" w:rsidRPr="00B91F3C" w:rsidRDefault="00D23DAC" w:rsidP="00373FE7">
      <w:pPr>
        <w:rPr>
          <w:snapToGrid w:val="0"/>
          <w:sz w:val="24"/>
          <w:szCs w:val="24"/>
        </w:rPr>
        <w:sectPr w:rsidR="00D23DAC" w:rsidRPr="00B91F3C" w:rsidSect="009964DD">
          <w:footerReference w:type="default" r:id="rId25"/>
          <w:type w:val="continuous"/>
          <w:pgSz w:w="12240" w:h="15840"/>
          <w:pgMar w:top="1080" w:right="1440" w:bottom="1440" w:left="1440" w:header="720" w:footer="720" w:gutter="0"/>
          <w:pgNumType w:fmt="lowerRoman"/>
          <w:cols w:space="720"/>
          <w:docGrid w:linePitch="360"/>
        </w:sectPr>
      </w:pPr>
    </w:p>
    <w:p w14:paraId="55334C36" w14:textId="690DFB77" w:rsidR="00EE6E9F" w:rsidRPr="00B91F3C" w:rsidRDefault="00EE6E9F" w:rsidP="008E080F">
      <w:pPr>
        <w:pStyle w:val="Titre1"/>
      </w:pPr>
      <w:bookmarkStart w:id="3" w:name="_Toc102227392"/>
      <w:bookmarkStart w:id="4" w:name="_Toc165893300"/>
      <w:bookmarkStart w:id="5" w:name="_Toc165899235"/>
      <w:r w:rsidRPr="00B91F3C">
        <w:lastRenderedPageBreak/>
        <w:t>Резюме</w:t>
      </w:r>
      <w:bookmarkEnd w:id="3"/>
      <w:bookmarkEnd w:id="4"/>
      <w:bookmarkEnd w:id="5"/>
    </w:p>
    <w:p w14:paraId="494DD134" w14:textId="5BC01798" w:rsidR="002C52D6" w:rsidRPr="00B91F3C" w:rsidRDefault="0021706A" w:rsidP="007655D1">
      <w:pPr>
        <w:pStyle w:val="Paragraphedeliste"/>
      </w:pPr>
      <w:bookmarkStart w:id="6" w:name="_Hlk100558904"/>
      <w:r w:rsidRPr="00B91F3C">
        <w:t xml:space="preserve">Настоящий проект доклада для 16-го совещания Конференции Сторон (КС) Конвенции о биологическом разнообразии (КБР) содержит информацию о деятельности Глобального экологического фонда (ГЭФ) в целевой области «Биоразнообразие» в ответ на адресованные ГЭФ руководящие указания КС-15, полученные в декабре 2022 года. В связи вызванным пандемией COVID-19 изменением дат проведения КС-15 и КС-16 и, соответственно, периодов представления отчетности ГЭФ для КС, настоящий проект доклада для КС-16 охватывает последние 6 месяцев ГЭФ-7 и первые 20 месяцев ГЭФ-8, а именно период с 1 января 2022 года по 29 февраля 2024 года. </w:t>
      </w:r>
    </w:p>
    <w:p w14:paraId="41D144D9" w14:textId="1EF08DAB" w:rsidR="001E0A65" w:rsidRPr="00B91F3C" w:rsidRDefault="001E0A65" w:rsidP="007655D1">
      <w:pPr>
        <w:pStyle w:val="Paragraphedeliste"/>
      </w:pPr>
      <w:r w:rsidRPr="00B91F3C">
        <w:t xml:space="preserve">По состоянию на 1 января 2022 года большая часть ресурсов ГЭФ-7 на целевую область «Биоразнообразие» была распределена, о чем был представлен полный отчет в докладе ГЭФ для КС-15: </w:t>
      </w:r>
      <w:hyperlink r:id="rId26" w:history="1">
        <w:r w:rsidRPr="00B91F3C">
          <w:rPr>
            <w:rStyle w:val="Lienhypertexte"/>
          </w:rPr>
          <w:t>https://www.cbd.int/doc/c/a6f0/7e44/d494250f54314cf3f350b920/cop-15-08-ru.pdf</w:t>
        </w:r>
      </w:hyperlink>
      <w:r w:rsidR="00EC0F8C" w:rsidRPr="00B91F3C">
        <w:t xml:space="preserve">. </w:t>
      </w:r>
      <w:r w:rsidRPr="00B91F3C">
        <w:t>За последние 6 месяцев ГЭФ-7 было одобрено 63 проекта с использованием средств на биоразнообразие, в том числе 57 проектов в целевой области «Биоразнообразие» и 6 проектов многоцелевой направленности на общую сумму 145,13 м</w:t>
      </w:r>
      <w:r w:rsidR="00672ECC" w:rsidRPr="00B91F3C">
        <w:t xml:space="preserve">лн долл. США из средств ГЭФ на </w:t>
      </w:r>
      <w:r w:rsidRPr="00B91F3C">
        <w:t>целе</w:t>
      </w:r>
      <w:r w:rsidR="00672ECC" w:rsidRPr="00B91F3C">
        <w:t xml:space="preserve">вую область «Биоразнообразие». </w:t>
      </w:r>
      <w:r w:rsidRPr="00B91F3C">
        <w:t>Полный перечень этих проектов приводится в Приложении 1.</w:t>
      </w:r>
    </w:p>
    <w:p w14:paraId="1F462017" w14:textId="281452A7" w:rsidR="001E0A65" w:rsidRPr="00B91F3C" w:rsidRDefault="001E0A65" w:rsidP="007655D1">
      <w:pPr>
        <w:pStyle w:val="Paragraphedeliste"/>
      </w:pPr>
      <w:r w:rsidRPr="00B91F3C">
        <w:t xml:space="preserve">Общая стоимость инвестиций ГЭФ-7 в выполнение </w:t>
      </w:r>
      <w:proofErr w:type="spellStart"/>
      <w:r w:rsidRPr="00B91F3C">
        <w:t>Айтинских</w:t>
      </w:r>
      <w:proofErr w:type="spellEnd"/>
      <w:r w:rsidRPr="00B91F3C">
        <w:t xml:space="preserve"> целевых задач в области биоразнообразия составила 2,04 млрд долл. США, которые привлекли софинансирование в размере 16,51 млрд долл. США, в результате чего общая сумма инвестиций д</w:t>
      </w:r>
      <w:r w:rsidR="002752C2" w:rsidRPr="00B91F3C">
        <w:t>остигла 18,55 млрд долл. США. Т</w:t>
      </w:r>
      <w:r w:rsidRPr="00B91F3C">
        <w:t>аким образом, коэффициент софинансирования составил 8 долл. США софинансирования на каждый доллар, предоставленный ГЭФ.</w:t>
      </w:r>
    </w:p>
    <w:p w14:paraId="0AC3FC35" w14:textId="79DF42AB" w:rsidR="001E0A65" w:rsidRPr="00B91F3C" w:rsidRDefault="001E0A65" w:rsidP="007655D1">
      <w:pPr>
        <w:pStyle w:val="Paragraphedeliste"/>
      </w:pPr>
      <w:r w:rsidRPr="00B91F3C">
        <w:t xml:space="preserve">Инвестиции ГЭФ-8 в целевую область «Биоразнообразие» и связанное с ними выделение средств в рамках комплексных программ (КП) и соответствующих целевых областей ГЭФ способствуют осуществлению Куньминско-Монреальской глобальной рамочной программы в области биоразнообразия (КМГПБ).  </w:t>
      </w:r>
    </w:p>
    <w:p w14:paraId="0E70C47A" w14:textId="22A03F43" w:rsidR="001C29BD" w:rsidRPr="00B91F3C" w:rsidRDefault="001C29BD" w:rsidP="007655D1">
      <w:pPr>
        <w:pStyle w:val="Paragraphedeliste"/>
      </w:pPr>
      <w:r w:rsidRPr="00B91F3C">
        <w:t>Совокупный прямой вклад всех программных направлений ГЭФ-8 (</w:t>
      </w:r>
      <w:r w:rsidR="00350E46" w:rsidRPr="00B91F3C">
        <w:t>с</w:t>
      </w:r>
      <w:r w:rsidRPr="00B91F3C">
        <w:t>тратегия целевой области «Биоразнообразие», комплексные программы ГЭФ-8, целевая область «Международные воды», Фонд наименее развитых стран для адаптации к изменению климата, не связанный с грантами инструмент и программа малых грантов) в КМГПБ в течение первых 20 месяцев ГЭФ-8 составил 2 млрд долл. США. Это позволило привлечь софинансирование в размере 13,9 млрд долл. США, таким образом, общий объем инвестиций дос</w:t>
      </w:r>
      <w:r w:rsidR="00350E46" w:rsidRPr="00B91F3C">
        <w:t xml:space="preserve">тиг более 15,9 млрд долл. США. </w:t>
      </w:r>
      <w:r w:rsidRPr="00B91F3C">
        <w:t>Это означает, что в отчетном периоде коэффициент софинансирования составил 6,9 долл. США софинансирования на каждый доллар, вложенный ГЭФ.</w:t>
      </w:r>
    </w:p>
    <w:p w14:paraId="2BDEBCBE" w14:textId="3EE227CC" w:rsidR="001E0A65" w:rsidRPr="00B91F3C" w:rsidRDefault="001E0A65" w:rsidP="007655D1">
      <w:pPr>
        <w:pStyle w:val="Paragraphedeliste"/>
      </w:pPr>
      <w:r w:rsidRPr="00B91F3C">
        <w:lastRenderedPageBreak/>
        <w:t>За период ГЭФ-8 на целевую область «Биоразнообразие» было выделено 1 918,80 млн долл. США, из которых 1 452,9 млн долл. США были предоставлены странам для сохранения биоразнообразия через Систему прозрачного распределения ресурсов (СПРР). Из этих средств 641 млн долл. США было условно выделено на поддержку комплексных программ. За отчетный период в рамках целевой области «Биоразнообразие» было обеспечено использование 60% средст</w:t>
      </w:r>
      <w:r w:rsidR="00414BA8" w:rsidRPr="00B91F3C">
        <w:t xml:space="preserve">в (или 1 158,4 млн долл. США). </w:t>
      </w:r>
      <w:r w:rsidRPr="00B91F3C">
        <w:t xml:space="preserve">Иными словами, за время, соответствующее лишь 42% от длительности ГЭФ-8, было распределено 60% средств, выделенных на биоразнообразие, что свидетельствует о своевременном планировании. </w:t>
      </w:r>
    </w:p>
    <w:p w14:paraId="41D69849" w14:textId="6764FA9C" w:rsidR="001E0A65" w:rsidRPr="00B91F3C" w:rsidRDefault="001E0A65" w:rsidP="007655D1">
      <w:pPr>
        <w:pStyle w:val="Paragraphedeliste"/>
      </w:pPr>
      <w:r w:rsidRPr="00B91F3C">
        <w:t>Эти средства обеспечили поддержку 15 проектов в целевой области «Биоразнообразие» и 24 проекта многоцелевой направленности, 18 программных подходов, включа</w:t>
      </w:r>
      <w:r w:rsidR="00B82A0B" w:rsidRPr="00B91F3C">
        <w:t>я 10 комплексных программ (КП).</w:t>
      </w:r>
      <w:r w:rsidRPr="00B91F3C">
        <w:t xml:space="preserve"> Эти КП включали в </w:t>
      </w:r>
      <w:r w:rsidR="00B82A0B" w:rsidRPr="00B91F3C">
        <w:t xml:space="preserve">себя 149 подчиненных проектов. </w:t>
      </w:r>
      <w:r w:rsidRPr="00B91F3C">
        <w:t xml:space="preserve">За счет указанных инвестиций помощь получили девяносто семь (97) стран. Полный перечень этих проектов приводится в Приложении 2 к настоящему докладу. </w:t>
      </w:r>
    </w:p>
    <w:p w14:paraId="01FD5A45" w14:textId="381A5855" w:rsidR="001E0A65" w:rsidRPr="00B91F3C" w:rsidRDefault="001E0A65" w:rsidP="007655D1">
      <w:pPr>
        <w:pStyle w:val="Paragraphedeliste"/>
      </w:pPr>
      <w:r w:rsidRPr="00B91F3C">
        <w:t>За отчетный период были утверждены две крупные глобальные программы в поддер</w:t>
      </w:r>
      <w:r w:rsidR="00B82A0B" w:rsidRPr="00B91F3C">
        <w:t xml:space="preserve">жку стимулирующих мероприятий. </w:t>
      </w:r>
      <w:r w:rsidRPr="00B91F3C">
        <w:t>Первая из них, «Комплексная программа в поддержку пересмотра и обновления национальных стратегий и планов действий по сохранению биоразнообразия (НСПДСБ) и подготовки седьмых национальных докладов», была утверждена в отчетный период в рамках одного проекта, осуществляемого ЮНЕП в качестве учреждения-исполнителя ГЭФ (проектное финансирование ГЭФ: 36 435 000 долл. США), и одного проекта, осуществляемого ПРООН в качестве учреждения-исполнителя ГЭФ (проектное финансирование ГЭФ: 35 600 000 долл. США). В общей сложности эта Комплексная программа оказывает поддержку 139 странам. Она опирается на проект ГЭФ-7 «Скорейшие действия в поддержку глобальной рамочной программы в области биоразнообразия», который позволил инициировать работу по согласованию национальных рамочных программ с КМГПБ в 138 странах.</w:t>
      </w:r>
    </w:p>
    <w:p w14:paraId="20FD9F4A" w14:textId="3C18318B" w:rsidR="001E0A65" w:rsidRPr="00B91F3C" w:rsidRDefault="001E0A65" w:rsidP="007655D1">
      <w:pPr>
        <w:pStyle w:val="Paragraphedeliste"/>
      </w:pPr>
      <w:r w:rsidRPr="00B91F3C">
        <w:t xml:space="preserve">Кроме того, в отчетный период была утверждена «Комплексная программа в поддержку разработки национальных планов по финансированию биоразнообразия» (проектное финансирование ГЭФ: 38 190 000 долл. США), которая оказывает поддержку 91 стране в разработке национальных планов по финансированию деятельности в области биоразнообразия. Эта глобальная программа оказывает поддержку странам, ранее не получавшим помощи от Инициативы по финансированию биоразнообразия (БИОФИН) ПРООН. Основным результатом этого проекта станет национальный по финансированию биоразнообразия, подготовленной каждой из стран-участников. </w:t>
      </w:r>
    </w:p>
    <w:p w14:paraId="46759816" w14:textId="02FAB782" w:rsidR="001E0A65" w:rsidRPr="00B91F3C" w:rsidRDefault="001E0A65" w:rsidP="007655D1">
      <w:pPr>
        <w:pStyle w:val="Paragraphedeliste"/>
      </w:pPr>
      <w:r w:rsidRPr="00B91F3C">
        <w:t xml:space="preserve">В описании комплексных программ, приведенном в программных направлениях ГЭФ-8, был отмечен их потенциальный вклад в осуществление глобальной рамочной программы в области биоразнообразия на период после 2020 года, которая затем была утверждена КС-15 в качестве Куньминско-Монреальской глобальной рамочной программы в области биоразнообразия (КМГПБ). В разделе III настоящего доклада </w:t>
      </w:r>
      <w:r w:rsidRPr="00B91F3C">
        <w:lastRenderedPageBreak/>
        <w:t>приводится сводная информация о 10 КП, утвержденных за отчетный период, которые внесли вклад в выполнение всех задач КМГПБ.</w:t>
      </w:r>
    </w:p>
    <w:p w14:paraId="0C91C6B8" w14:textId="1DFB5300" w:rsidR="00256B9A" w:rsidRPr="00B91F3C" w:rsidRDefault="001E0A65" w:rsidP="007655D1">
      <w:pPr>
        <w:pStyle w:val="Paragraphedeliste"/>
      </w:pPr>
      <w:r w:rsidRPr="00B91F3C">
        <w:t>В программных направлениях ГЭФ-8 была признана важная роль смешанного финансирования и содержалось обязательство интенсифицировать применение новаторских решений в области смешанного финансирования. За отчетный период были утверждены четыре проекта на основе смешанного финансирования, которые вносят н</w:t>
      </w:r>
      <w:r w:rsidR="00B82A0B" w:rsidRPr="00B91F3C">
        <w:t xml:space="preserve">епосредственный вклад в КМГПБ. </w:t>
      </w:r>
      <w:r w:rsidRPr="00B91F3C">
        <w:t xml:space="preserve">Они получили финансовую поддержку ГЭФ в размере 66 млн долл. США, которая на настоящий момент позволила привлечь еще 1,378 млрд долл. США.  </w:t>
      </w:r>
    </w:p>
    <w:p w14:paraId="65689658" w14:textId="0D439152" w:rsidR="001E0A65" w:rsidRPr="00B91F3C" w:rsidRDefault="001E0A65" w:rsidP="007655D1">
      <w:pPr>
        <w:pStyle w:val="Paragraphedeliste"/>
      </w:pPr>
      <w:r w:rsidRPr="00B91F3C">
        <w:t xml:space="preserve">По данным последнего годового доклада о мониторинге программы малых грантов (ПМГ), опубликованного ПРООН и охватывающего период с 1 июля 2022 года по 30 июня 2023 года (2023 финансовый год), за отчетный период 1 179 новых проектов ПМГ получили финансирование ГЭФ общим объемом 38,22 млн долл. США. Число проектов ПМГ, которые находились в процессе осуществления в течение 2023 финансового года, составило 2 443, тогда как объем грантов достиг 83,68 млн долл. США, а общий объем софинансирования </w:t>
      </w:r>
      <w:r w:rsidR="00723E13" w:rsidRPr="00B91F3C">
        <w:rPr>
          <w:rFonts w:cstheme="minorHAnsi"/>
        </w:rPr>
        <w:t>—</w:t>
      </w:r>
      <w:r w:rsidRPr="00B91F3C">
        <w:t xml:space="preserve"> 88,90 млн долл. США. За период с 1 июля 2022 года по 30 июня 2023 года были осуществлены и признаны завершенными 338 проектов </w:t>
      </w:r>
      <w:r w:rsidR="00723E13" w:rsidRPr="00B91F3C">
        <w:t xml:space="preserve">ПМГ в области биоразнообразия. </w:t>
      </w:r>
      <w:r w:rsidRPr="00B91F3C">
        <w:t>Эти проекты позволили как непосредственно, так и косвенно повысить качество управления 154 охраняемыми районами и 260 районами, сохраняемыми коренными народами и местными общинами, общая площадь которых составила 9,1 млн га. Общинная практика сохранения и устойчивого использования биоразнообразия была улучшена в 189 целевых наземных/морских ландшафтах. Кроме того, ПМГ позволила сохранить или улучшить статус сохранности не менее чем 873 видов. Что касается устойчивого использования биоразнообразия, то проекты ПМГ способствовали производству в общей сложности 892 видов продукции на основе биоразнообразия, что оказало положительное воздействие на устойчивое использование биоразнообразия.</w:t>
      </w:r>
    </w:p>
    <w:p w14:paraId="16730115" w14:textId="4DE439E8" w:rsidR="001E0A65" w:rsidRPr="00B91F3C" w:rsidRDefault="001E0A65" w:rsidP="007655D1">
      <w:pPr>
        <w:pStyle w:val="Paragraphedeliste"/>
      </w:pPr>
      <w:r w:rsidRPr="00B91F3C">
        <w:t>В течение отчетного периода продолжилось осуществление инициативы в области инклюзивного сохранения ГЭФ-7 (</w:t>
      </w:r>
      <w:r w:rsidR="003570C2" w:rsidRPr="00B91F3C">
        <w:t>п</w:t>
      </w:r>
      <w:r w:rsidRPr="00B91F3C">
        <w:t xml:space="preserve">роектное финансирование ГЭФ: 22 535 780 долл. США), направленной на укрепление ответственного управления биоразнообразием со стороны коренных народов и местных общин. Первое совещание руководящего комитета проекта, который целиком образован лидерами коренных народов, избранными своими общинами, было проведено членами Первых наций </w:t>
      </w:r>
      <w:proofErr w:type="spellStart"/>
      <w:r w:rsidRPr="00B91F3C">
        <w:t>тла</w:t>
      </w:r>
      <w:proofErr w:type="spellEnd"/>
      <w:r w:rsidRPr="00B91F3C">
        <w:t>-о-</w:t>
      </w:r>
      <w:proofErr w:type="spellStart"/>
      <w:r w:rsidRPr="00B91F3C">
        <w:t>куи</w:t>
      </w:r>
      <w:proofErr w:type="spellEnd"/>
      <w:r w:rsidRPr="00B91F3C">
        <w:t>-</w:t>
      </w:r>
      <w:proofErr w:type="spellStart"/>
      <w:r w:rsidRPr="00B91F3C">
        <w:t>ахт</w:t>
      </w:r>
      <w:proofErr w:type="spellEnd"/>
      <w:r w:rsidRPr="00B91F3C">
        <w:t xml:space="preserve"> в ботаническом саду </w:t>
      </w:r>
      <w:proofErr w:type="spellStart"/>
      <w:r w:rsidRPr="00B91F3C">
        <w:t>Науэйум</w:t>
      </w:r>
      <w:proofErr w:type="spellEnd"/>
      <w:r w:rsidRPr="00B91F3C">
        <w:t xml:space="preserve"> в Канаде перед сессие</w:t>
      </w:r>
      <w:r w:rsidR="003570C2" w:rsidRPr="00B91F3C">
        <w:t xml:space="preserve">й Ассамблеи ГЭФ. </w:t>
      </w:r>
      <w:r w:rsidRPr="00B91F3C">
        <w:t>При том что проект в целом осуществляется силами двух учреждений-исполнителей ГЭФ (</w:t>
      </w:r>
      <w:proofErr w:type="spellStart"/>
      <w:r w:rsidRPr="00B91F3C">
        <w:t>Консервейшн</w:t>
      </w:r>
      <w:proofErr w:type="spellEnd"/>
      <w:r w:rsidRPr="00B91F3C">
        <w:t xml:space="preserve"> Интернэшнл и МСОП), отобранных на конкурсной основе, руководящие указания и руководство со стороны КНМО являются важнейшей особенностью инициативы в области инклюзивного сохранения, которая образована </w:t>
      </w:r>
      <w:proofErr w:type="spellStart"/>
      <w:r w:rsidRPr="00B91F3C">
        <w:t>субпроектами</w:t>
      </w:r>
      <w:proofErr w:type="spellEnd"/>
      <w:r w:rsidRPr="00B91F3C">
        <w:t xml:space="preserve"> под руководством организато</w:t>
      </w:r>
      <w:r w:rsidR="003570C2" w:rsidRPr="00B91F3C">
        <w:t xml:space="preserve">ров из числа коренных народов. </w:t>
      </w:r>
      <w:r w:rsidRPr="00B91F3C">
        <w:t xml:space="preserve">В настоящее время в Америке, Африке и Азии ведется осуществление тринадцати таких </w:t>
      </w:r>
      <w:proofErr w:type="spellStart"/>
      <w:r w:rsidRPr="00B91F3C">
        <w:t>субпроектов</w:t>
      </w:r>
      <w:proofErr w:type="spellEnd"/>
      <w:r w:rsidRPr="00B91F3C">
        <w:t>. В рамках ГЭФ-8 будет предоставлен второй транш инициативы в области инклюзивного сохранения, причем конкурс предложений от учреждений-исполнителей будет объявлен не позднее второго квартала 2024 года.</w:t>
      </w:r>
    </w:p>
    <w:p w14:paraId="4FE0F3F8" w14:textId="77F6FB41" w:rsidR="001E0A65" w:rsidRPr="00B91F3C" w:rsidRDefault="001E0A65" w:rsidP="007655D1">
      <w:pPr>
        <w:pStyle w:val="Paragraphedeliste"/>
      </w:pPr>
      <w:r w:rsidRPr="00B91F3C">
        <w:lastRenderedPageBreak/>
        <w:t>В разделе V доклада приведена сводная информация о деятельности ГЭФ, предпринятой в ответ на руководящие указания КС-15.</w:t>
      </w:r>
    </w:p>
    <w:p w14:paraId="0403DFC6" w14:textId="559F0B9C" w:rsidR="001E0A65" w:rsidRPr="00B91F3C" w:rsidRDefault="001E0A65" w:rsidP="007655D1">
      <w:pPr>
        <w:pStyle w:val="Paragraphedeliste"/>
      </w:pPr>
      <w:r w:rsidRPr="00B91F3C">
        <w:t xml:space="preserve">В рамках ключевых решений Конференции Сторон КС-15 КБР в пунктах 29 и 30 решения КС 15/7 о мобилизации ресурсов и в пунктах 19 и 20 решения 15/15 о механизме финансирования поручила Глобальному экологическому фонду создать в 2023 году целевой и общедоступный Фонд глобальной рамочной программы в области биоразнообразия, позволяющий оперативно привлекать и распределять новые и дополнительные ресурсы из всех источников сообразно масштабным целям Куньминско-Монреальской глобальной рамочной программы в области биоразнообразия. </w:t>
      </w:r>
    </w:p>
    <w:p w14:paraId="244B63DB" w14:textId="75A92896" w:rsidR="001E0A65" w:rsidRPr="00B91F3C" w:rsidRDefault="001E0A65" w:rsidP="007655D1">
      <w:pPr>
        <w:pStyle w:val="Paragraphedeliste"/>
      </w:pPr>
      <w:r w:rsidRPr="00B91F3C">
        <w:t>В ответ на это поручение о создании целевого и общедоступного Фонд</w:t>
      </w:r>
      <w:r w:rsidR="00591C61" w:rsidRPr="00B91F3C">
        <w:t>а глобальной рамочной программы</w:t>
      </w:r>
      <w:r w:rsidRPr="00B91F3C">
        <w:t xml:space="preserve"> в области биоразнообразия (ФГПБ) Совет ГЭФ в июне 2023 года утвердил учреждение ФГПБ</w:t>
      </w:r>
      <w:r w:rsidR="005C5D2B" w:rsidRPr="00B91F3C">
        <w:rPr>
          <w:rStyle w:val="Appelnotedebasdep"/>
        </w:rPr>
        <w:footnoteReference w:id="3"/>
      </w:r>
      <w:r w:rsidRPr="00B91F3C">
        <w:t xml:space="preserve"> и его программные направления</w:t>
      </w:r>
      <w:r w:rsidR="005C5D2B" w:rsidRPr="00B91F3C">
        <w:rPr>
          <w:rStyle w:val="Appelnotedebasdep"/>
        </w:rPr>
        <w:footnoteReference w:id="4"/>
      </w:r>
      <w:r w:rsidRPr="00B91F3C">
        <w:t xml:space="preserve">. Седьмая ассамблея ГЭФ ратифицировала решение о создании ФГПБ в августе 2024 года и основала фонд. </w:t>
      </w:r>
    </w:p>
    <w:p w14:paraId="43D911B2" w14:textId="0BD657AD" w:rsidR="001E0A65" w:rsidRPr="00B91F3C" w:rsidRDefault="001E0A65" w:rsidP="007655D1">
      <w:pPr>
        <w:pStyle w:val="Paragraphedeliste"/>
      </w:pPr>
      <w:r w:rsidRPr="00B91F3C">
        <w:t xml:space="preserve">В течение этого периода секретариат ГЭФ провел интенсивный процесс консультаций, который включал в себя многочисленные консультации с Советом ГЭФ, многосторонними банками развития и международными финансовыми учреждениями, частным сектором и секретариатом КБР, а также брифинги для представителей гражданского общества, Консультативной группы по вопросам коренных народов ГЭФ и учреждений-исполнителей ГЭФ. К этому процессу активно привлекались координационные центры КБР, принявшие участие в выпуске многочисленных совместных уведомлений.  </w:t>
      </w:r>
    </w:p>
    <w:p w14:paraId="0CABA9EB" w14:textId="6B0730FD" w:rsidR="001E0A65" w:rsidRPr="00B91F3C" w:rsidRDefault="001E0A65" w:rsidP="007655D1">
      <w:pPr>
        <w:pStyle w:val="Paragraphedeliste"/>
      </w:pPr>
      <w:r w:rsidRPr="00B91F3C">
        <w:t>Решение первого Совета ФГПБ, который провел свое заседание 8 и 9 февраля 2024 года, позволило приступить к программированию. В частности Совет ФГПБ постановил выделять ресурсы в виде отдельных программных траншей в целях повышения предсказуемости для стран-получателей при одновременном распределении финансовых взносов на скользящей основе. Принятие политики распределения средств ФГПБ послужило импульсом для выделения первого программного транша ФГПБ, благодаря которому предоставляются средства на программы в размере 211 млн долл. США. Эта сумма отражает все обязательства, подтвержденные Доверительным управляющим на дату утверждения политики распределения средств, в том числе обязательства Канады, Соединенного Королевства Великобритании и Северной Ирландии, Германии, Японии и Испании, за вычетом потребностей организационного бюджета. Люксембург также подтвердил готовность внести вклад в ФГПБ после объявления первого транша.</w:t>
      </w:r>
    </w:p>
    <w:p w14:paraId="5DC70A89" w14:textId="1E9EC500" w:rsidR="001E0A65" w:rsidRPr="00B91F3C" w:rsidRDefault="001E0A65" w:rsidP="007655D1">
      <w:pPr>
        <w:pStyle w:val="Paragraphedeliste"/>
      </w:pPr>
      <w:r w:rsidRPr="00B91F3C">
        <w:lastRenderedPageBreak/>
        <w:t xml:space="preserve">С учетом руководящих указаний КС и отзывов, полученных в ходе консультативного процесса, управленческие механизмы, проектный цикл и распределение ресурсов в рамках ФГПБ отличаются от принятых в целевом фонде ГЭФ.  </w:t>
      </w:r>
    </w:p>
    <w:p w14:paraId="7932D137" w14:textId="29507FDB" w:rsidR="001E0A65" w:rsidRPr="00B91F3C" w:rsidRDefault="001E0A65" w:rsidP="007655D1">
      <w:pPr>
        <w:pStyle w:val="Paragraphedeliste"/>
      </w:pPr>
      <w:r w:rsidRPr="00B91F3C">
        <w:t>В рамках программных траншей все средства ФГПБ выдел</w:t>
      </w:r>
      <w:r w:rsidR="005F3E41" w:rsidRPr="00B91F3C">
        <w:t>я</w:t>
      </w:r>
      <w:r w:rsidRPr="00B91F3C">
        <w:t xml:space="preserve">ются на проекты на страновой основе по итогам последовательных отборочных туров, к участию в которых допускаются все страны, имеющие право на помощь. Первые два отборочных тура были проведены с февраля по апрель 2024 года. </w:t>
      </w:r>
    </w:p>
    <w:p w14:paraId="2D9112E8" w14:textId="0A3CD12C" w:rsidR="001E0A65" w:rsidRPr="00B91F3C" w:rsidRDefault="001E0A65" w:rsidP="007655D1">
      <w:pPr>
        <w:pStyle w:val="Paragraphedeliste"/>
      </w:pPr>
      <w:r w:rsidRPr="00B91F3C">
        <w:t>Специальный первый отборочный тур был организован для ускоренного утверждения первых проектов ФГПБ с учетом срочности осуществления КМГПБ и поставленной Советом ФГПБ цели, которая заключается в представлении первой программы работы второму совещанию Совета ФГПБ, запланированного на неделю, н</w:t>
      </w:r>
      <w:r w:rsidR="00C31073" w:rsidRPr="00B91F3C">
        <w:t xml:space="preserve">ачинающуюся 17 июня 2024 года. </w:t>
      </w:r>
      <w:r w:rsidRPr="00B91F3C">
        <w:t>В рамках первого тура исполнительный директор утвердил четыре заявки на гранты на подготовку проектов (ГПП) из четырех соответствующих правилам заявок на ГПП, полученных в установленный для подачи заявок срок с 21</w:t>
      </w:r>
      <w:r w:rsidR="00645B04" w:rsidRPr="00B91F3C">
        <w:t xml:space="preserve"> февраля по 1 марта 2024 года. </w:t>
      </w:r>
      <w:r w:rsidRPr="00B91F3C">
        <w:t xml:space="preserve">Общий объем средств, запрошенных на четыре проекта, составлял 39,8 млн долл. США. Ожидается, что соответствующие полностью доработанные проекты будут представлены на утверждение на втором совещании Совета ФГПБ или до его начала. </w:t>
      </w:r>
    </w:p>
    <w:p w14:paraId="5BA70312" w14:textId="32974BB6" w:rsidR="001E0A65" w:rsidRPr="00B91F3C" w:rsidRDefault="001E0A65" w:rsidP="007655D1">
      <w:pPr>
        <w:pStyle w:val="Paragraphedeliste"/>
      </w:pPr>
      <w:r w:rsidRPr="00B91F3C">
        <w:t>Прием заявок на ГПП в рамках второго отборочного тура проходил с 4 марта 20</w:t>
      </w:r>
      <w:r w:rsidR="00645B04" w:rsidRPr="00B91F3C">
        <w:t xml:space="preserve">24 года по 1 апреля 2024 года. </w:t>
      </w:r>
      <w:r w:rsidRPr="00B91F3C">
        <w:t xml:space="preserve">Решения об удовлетворении заявок на ГПП будут </w:t>
      </w:r>
      <w:r w:rsidR="00645B04" w:rsidRPr="00B91F3C">
        <w:t>объявлены</w:t>
      </w:r>
      <w:r w:rsidRPr="00B91F3C">
        <w:t xml:space="preserve"> по истечении срока публикации настоящего доклада, к 1 мая 2024 года.</w:t>
      </w:r>
    </w:p>
    <w:p w14:paraId="415435B8" w14:textId="033DB6E8" w:rsidR="001E0A65" w:rsidRPr="00B91F3C" w:rsidRDefault="001E0A65" w:rsidP="007655D1">
      <w:pPr>
        <w:pStyle w:val="Paragraphedeliste"/>
      </w:pPr>
      <w:r w:rsidRPr="00B91F3C">
        <w:t>По состоянию на конец 2023 года портфель проектов, финансируемых за счет средств на биоразнообразие, которые находятся в процессе осуществления, о</w:t>
      </w:r>
      <w:r w:rsidR="00591C61" w:rsidRPr="00B91F3C">
        <w:t>ценивался в 2,61 млрд долл. США.</w:t>
      </w:r>
      <w:r w:rsidRPr="00B91F3C">
        <w:t xml:space="preserve"> Это включает почти 500 проектов, 255 из которых получают финансирование исключительно в рамках целевой области «Биоразнообразие» в размере 709 млн долл. США. </w:t>
      </w:r>
    </w:p>
    <w:p w14:paraId="77A480B2" w14:textId="30325146" w:rsidR="001E0A65" w:rsidRPr="00B91F3C" w:rsidRDefault="001E0A65" w:rsidP="007655D1">
      <w:pPr>
        <w:pStyle w:val="Paragraphedeliste"/>
      </w:pPr>
      <w:r w:rsidRPr="00B91F3C">
        <w:t xml:space="preserve">В рамках портфеля проектов в области биоразнообразия, находящихся в процессе осуществления, 85% проектов получили удовлетворительную оценку за достигнутый прогресс в осуществлении, и 89% проектов получили удовлетворительную оценку за вероятность достижения их целей в области развития. Эти показатели превышают средний показатель по ГЭФ. Кроме того, 85% проектов многоцелевой направленности, многие из которых включают средства на биоразнообразие, получили удовлетворительную оценку за достигнутый прогресс в осуществлении, и 88 % проектов получили удовлетворительную оценку за вероятность достижения их целей в области развития.  </w:t>
      </w:r>
    </w:p>
    <w:p w14:paraId="3C9A6B7C" w14:textId="3654DA36" w:rsidR="001E0A65" w:rsidRPr="00B91F3C" w:rsidRDefault="001E0A65" w:rsidP="007655D1">
      <w:pPr>
        <w:pStyle w:val="Paragraphedeliste"/>
      </w:pPr>
      <w:r w:rsidRPr="00B91F3C">
        <w:t xml:space="preserve">ГЭФ продолжает мобилизацию финансовых ресурсов из всех источников для достижения целей проектов и программ. Целевой показатель софинансирования ГЭФ-8, заключающийся в мобилизации семи долларов на каждый потраченный «доллар ГЭФ», в рамках текущего программного цикла превзойден на полтора года и составил </w:t>
      </w:r>
      <w:r w:rsidRPr="00B91F3C">
        <w:lastRenderedPageBreak/>
        <w:t>коэффициента 7,9 к 1 применительно ко всему портфелю ГЭФ. Повысился и коэффициент привлеченных инвестиций, который в настоящее время составляет 6,3 доллара на каждый доллар, инвестированный ГЭФ, что превышает целевой коэффициент 5 к 1, установленный для стран с уровнем дохода выше среднего и стран с высоким уровнем дохода, которые не являются МОСРГ или НРС.</w:t>
      </w:r>
    </w:p>
    <w:p w14:paraId="0B3C0E5D" w14:textId="31FD4849" w:rsidR="001E0A65" w:rsidRPr="00B91F3C" w:rsidRDefault="001E0A65" w:rsidP="007655D1">
      <w:pPr>
        <w:pStyle w:val="Paragraphedeliste"/>
      </w:pPr>
      <w:r w:rsidRPr="00B91F3C">
        <w:t xml:space="preserve">В соответствии с глобальными целями многосторонних природоохранных соглашений и соответствующих форумов, ГЭФ задает амбициозные, но достижимые целевые показатели в отношении глобальных экологических выгод, которые должны быть обеспечены с помощью программ ГЭФ-8. </w:t>
      </w:r>
    </w:p>
    <w:p w14:paraId="046CFA41" w14:textId="0CFE7AC4" w:rsidR="001E0A65" w:rsidRPr="00B91F3C" w:rsidRDefault="001E0A65" w:rsidP="007655D1">
      <w:pPr>
        <w:pStyle w:val="Paragraphedeliste"/>
      </w:pPr>
      <w:r w:rsidRPr="00B91F3C">
        <w:t xml:space="preserve">По итогам 20 месяцев ГЭФ-8 был достигнут значительный прогресс в достижении четырех целевых показателей, касающихся сохранения и устойчивого использования биоразнообразия. Ожидаемые результаты утвержденных проектов и программ уже обеспечили достижение более чем наполовину целевого показателя «создание наземных охраняемых районов или </w:t>
      </w:r>
      <w:r w:rsidR="00645B04" w:rsidRPr="00B91F3C">
        <w:t>внедрение улучшенных</w:t>
      </w:r>
      <w:r w:rsidRPr="00B91F3C">
        <w:t xml:space="preserve"> методов управления ими на </w:t>
      </w:r>
      <w:r w:rsidR="00E875D1" w:rsidRPr="00B91F3C">
        <w:t>территории</w:t>
      </w:r>
      <w:r w:rsidRPr="00B91F3C">
        <w:t xml:space="preserve"> 150 млн га», полностью целевого показателя «создание морских охраняемых районов или </w:t>
      </w:r>
      <w:r w:rsidR="00645B04" w:rsidRPr="00B91F3C">
        <w:t xml:space="preserve">внедрение улучшенных методов </w:t>
      </w:r>
      <w:r w:rsidRPr="00B91F3C">
        <w:t xml:space="preserve">управления ими на </w:t>
      </w:r>
      <w:r w:rsidR="00E875D1" w:rsidRPr="00B91F3C">
        <w:t>территории</w:t>
      </w:r>
      <w:r w:rsidRPr="00B91F3C">
        <w:t xml:space="preserve"> 100 млн га» и наполовину целевого показателя улучшенной практики эксплуатации как наземных (195 млн га), так и морских (70 млн га) районов в интересах сохранения биоразнообразия. </w:t>
      </w:r>
    </w:p>
    <w:p w14:paraId="65D82269" w14:textId="26948100" w:rsidR="001E0A65" w:rsidRPr="00B91F3C" w:rsidRDefault="001E0A65" w:rsidP="007655D1">
      <w:pPr>
        <w:pStyle w:val="Paragraphedeliste"/>
      </w:pPr>
      <w:r w:rsidRPr="00B91F3C">
        <w:t xml:space="preserve">В течение отчетного периода Управление независимой оценки ГЭФ провело четыре оценки, имеющие значение для целевой области «Биоразнообразие»: a) оценку обеспечиваемой ГЭФ поддержки в области устойчивого лесопользования; b) стратегическую оценку групп стран: экосистема бассейна Нижнего Меконга; c) стратегическую оценку групп стран: обеспечиваемая ГЭФ поддержка странам с засушливыми районами; d) оценку подходов, основанных на участии </w:t>
      </w:r>
      <w:r w:rsidR="00645B04" w:rsidRPr="00B91F3C">
        <w:t xml:space="preserve">местных общин, в проектах ГЭФ. </w:t>
      </w:r>
      <w:r w:rsidRPr="00B91F3C">
        <w:t>В докладе кратко изложены основные положения этих оценок и ответы руководства секретариата ГЭФ, одобренные Советом ГЭФ.</w:t>
      </w:r>
    </w:p>
    <w:bookmarkEnd w:id="6"/>
    <w:p w14:paraId="297E6876" w14:textId="77777777" w:rsidR="001425F2" w:rsidRPr="00B91F3C" w:rsidRDefault="001425F2" w:rsidP="001425F2">
      <w:pPr>
        <w:spacing w:before="240" w:after="120" w:line="240" w:lineRule="auto"/>
        <w:jc w:val="center"/>
        <w:rPr>
          <w:b/>
          <w:sz w:val="24"/>
          <w:szCs w:val="24"/>
        </w:rPr>
      </w:pPr>
      <w:r w:rsidRPr="00B91F3C">
        <w:br w:type="page"/>
      </w:r>
    </w:p>
    <w:p w14:paraId="2DB089AC" w14:textId="27EF1F5B" w:rsidR="006D2491" w:rsidRPr="00B91F3C" w:rsidRDefault="006D2491" w:rsidP="006D2491">
      <w:pPr>
        <w:spacing w:line="240" w:lineRule="auto"/>
        <w:jc w:val="center"/>
        <w:rPr>
          <w:rFonts w:eastAsia="MS Mincho" w:cstheme="minorHAnsi"/>
          <w:b/>
          <w:sz w:val="24"/>
          <w:szCs w:val="24"/>
        </w:rPr>
      </w:pPr>
      <w:r w:rsidRPr="00B91F3C">
        <w:rPr>
          <w:b/>
          <w:sz w:val="24"/>
        </w:rPr>
        <w:lastRenderedPageBreak/>
        <w:t xml:space="preserve">Содержание </w:t>
      </w:r>
    </w:p>
    <w:sdt>
      <w:sdtPr>
        <w:rPr>
          <w:rFonts w:asciiTheme="minorHAnsi" w:eastAsiaTheme="minorHAnsi" w:hAnsiTheme="minorHAnsi" w:cstheme="minorBidi"/>
          <w:color w:val="auto"/>
          <w:kern w:val="0"/>
          <w:sz w:val="22"/>
          <w:szCs w:val="22"/>
        </w:rPr>
        <w:id w:val="-1908525753"/>
        <w:docPartObj>
          <w:docPartGallery w:val="Table of Contents"/>
          <w:docPartUnique/>
        </w:docPartObj>
      </w:sdtPr>
      <w:sdtEndPr>
        <w:rPr>
          <w:b/>
          <w:bCs/>
        </w:rPr>
      </w:sdtEndPr>
      <w:sdtContent>
        <w:p w14:paraId="7548550F" w14:textId="3D28E30C" w:rsidR="00565546" w:rsidRPr="00B91F3C" w:rsidRDefault="00565546">
          <w:pPr>
            <w:pStyle w:val="En-ttedetabledesmatires"/>
            <w:rPr>
              <w:sz w:val="2"/>
              <w:szCs w:val="2"/>
            </w:rPr>
          </w:pPr>
        </w:p>
        <w:p w14:paraId="22B652BB" w14:textId="6A6B3446" w:rsidR="00565546" w:rsidRPr="00B91F3C" w:rsidRDefault="00565546">
          <w:pPr>
            <w:pStyle w:val="TM1"/>
            <w:rPr>
              <w:rFonts w:eastAsiaTheme="minorEastAsia" w:cstheme="minorHAnsi"/>
              <w:noProof w:val="0"/>
              <w:kern w:val="2"/>
              <w:lang w:eastAsia="fr-FR"/>
              <w14:ligatures w14:val="standardContextual"/>
            </w:rPr>
          </w:pPr>
          <w:r w:rsidRPr="00B91F3C">
            <w:rPr>
              <w:noProof w:val="0"/>
            </w:rPr>
            <w:fldChar w:fldCharType="begin"/>
          </w:r>
          <w:r w:rsidRPr="00B91F3C">
            <w:rPr>
              <w:noProof w:val="0"/>
            </w:rPr>
            <w:instrText xml:space="preserve"> TOC \o "1-3" \h \z \u </w:instrText>
          </w:r>
          <w:r w:rsidRPr="00B91F3C">
            <w:rPr>
              <w:noProof w:val="0"/>
            </w:rPr>
            <w:fldChar w:fldCharType="separate"/>
          </w:r>
          <w:hyperlink w:anchor="_Toc165899235" w:history="1">
            <w:r w:rsidRPr="00B91F3C">
              <w:rPr>
                <w:rStyle w:val="Lienhypertexte"/>
                <w:rFonts w:cstheme="minorHAnsi"/>
                <w:noProof w:val="0"/>
              </w:rPr>
              <w:t>Резюме</w:t>
            </w:r>
            <w:r w:rsidRPr="00B91F3C">
              <w:rPr>
                <w:rFonts w:cstheme="minorHAnsi"/>
                <w:noProof w:val="0"/>
                <w:webHidden/>
              </w:rPr>
              <w:tab/>
            </w:r>
            <w:r w:rsidR="008137EE" w:rsidRPr="00B91F3C">
              <w:rPr>
                <w:rFonts w:cstheme="minorHAnsi"/>
                <w:noProof w:val="0"/>
                <w:webHidden/>
              </w:rPr>
              <w:tab/>
            </w:r>
            <w:r w:rsidRPr="00B91F3C">
              <w:rPr>
                <w:rFonts w:cstheme="minorHAnsi"/>
                <w:noProof w:val="0"/>
                <w:webHidden/>
              </w:rPr>
              <w:fldChar w:fldCharType="begin"/>
            </w:r>
            <w:r w:rsidRPr="00B91F3C">
              <w:rPr>
                <w:rFonts w:cstheme="minorHAnsi"/>
                <w:noProof w:val="0"/>
                <w:webHidden/>
              </w:rPr>
              <w:instrText xml:space="preserve"> PAGEREF _Toc165899235 \h </w:instrText>
            </w:r>
            <w:r w:rsidRPr="00B91F3C">
              <w:rPr>
                <w:rFonts w:cstheme="minorHAnsi"/>
                <w:noProof w:val="0"/>
                <w:webHidden/>
              </w:rPr>
            </w:r>
            <w:r w:rsidRPr="00B91F3C">
              <w:rPr>
                <w:rFonts w:cstheme="minorHAnsi"/>
                <w:noProof w:val="0"/>
                <w:webHidden/>
              </w:rPr>
              <w:fldChar w:fldCharType="separate"/>
            </w:r>
            <w:r w:rsidRPr="00B91F3C">
              <w:rPr>
                <w:rFonts w:cstheme="minorHAnsi"/>
                <w:noProof w:val="0"/>
                <w:webHidden/>
              </w:rPr>
              <w:t>ii</w:t>
            </w:r>
            <w:r w:rsidRPr="00B91F3C">
              <w:rPr>
                <w:rFonts w:cstheme="minorHAnsi"/>
                <w:noProof w:val="0"/>
                <w:webHidden/>
              </w:rPr>
              <w:fldChar w:fldCharType="end"/>
            </w:r>
          </w:hyperlink>
        </w:p>
        <w:p w14:paraId="47908B34" w14:textId="1239B0F1" w:rsidR="00565546" w:rsidRPr="00B91F3C" w:rsidRDefault="000E0255">
          <w:pPr>
            <w:pStyle w:val="TM1"/>
            <w:rPr>
              <w:rFonts w:eastAsiaTheme="minorEastAsia" w:cstheme="minorHAnsi"/>
              <w:noProof w:val="0"/>
              <w:kern w:val="2"/>
              <w:lang w:eastAsia="fr-FR"/>
              <w14:ligatures w14:val="standardContextual"/>
            </w:rPr>
          </w:pPr>
          <w:hyperlink w:anchor="_Toc165899236" w:history="1">
            <w:r w:rsidR="00565546" w:rsidRPr="00B91F3C">
              <w:rPr>
                <w:rStyle w:val="Lienhypertexte"/>
                <w:rFonts w:cstheme="minorHAnsi"/>
                <w:noProof w:val="0"/>
              </w:rPr>
              <w:t>I.</w:t>
            </w:r>
            <w:r w:rsidR="00565546" w:rsidRPr="00B91F3C">
              <w:rPr>
                <w:rFonts w:eastAsiaTheme="minorEastAsia" w:cstheme="minorHAnsi"/>
                <w:noProof w:val="0"/>
                <w:kern w:val="2"/>
                <w:lang w:eastAsia="fr-FR"/>
                <w14:ligatures w14:val="standardContextual"/>
              </w:rPr>
              <w:tab/>
            </w:r>
            <w:r w:rsidR="00565546" w:rsidRPr="00B91F3C">
              <w:rPr>
                <w:rStyle w:val="Lienhypertexte"/>
                <w:rFonts w:cstheme="minorHAnsi"/>
                <w:noProof w:val="0"/>
              </w:rPr>
              <w:t>Проектные мероприятия в поддержку осуществления КБР</w:t>
            </w:r>
            <w:r w:rsidR="00565546" w:rsidRPr="00B91F3C">
              <w:rPr>
                <w:rFonts w:cstheme="minorHAnsi"/>
                <w:noProof w:val="0"/>
                <w:webHidden/>
              </w:rPr>
              <w:tab/>
            </w:r>
            <w:r w:rsidR="00565546" w:rsidRPr="00B91F3C">
              <w:rPr>
                <w:rFonts w:cstheme="minorHAnsi"/>
                <w:noProof w:val="0"/>
                <w:webHidden/>
              </w:rPr>
              <w:fldChar w:fldCharType="begin"/>
            </w:r>
            <w:r w:rsidR="00565546" w:rsidRPr="00B91F3C">
              <w:rPr>
                <w:rFonts w:cstheme="minorHAnsi"/>
                <w:noProof w:val="0"/>
                <w:webHidden/>
              </w:rPr>
              <w:instrText xml:space="preserve"> PAGEREF _Toc165899236 \h </w:instrText>
            </w:r>
            <w:r w:rsidR="00565546" w:rsidRPr="00B91F3C">
              <w:rPr>
                <w:rFonts w:cstheme="minorHAnsi"/>
                <w:noProof w:val="0"/>
                <w:webHidden/>
              </w:rPr>
            </w:r>
            <w:r w:rsidR="00565546" w:rsidRPr="00B91F3C">
              <w:rPr>
                <w:rFonts w:cstheme="minorHAnsi"/>
                <w:noProof w:val="0"/>
                <w:webHidden/>
              </w:rPr>
              <w:fldChar w:fldCharType="separate"/>
            </w:r>
            <w:r w:rsidR="00565546" w:rsidRPr="00B91F3C">
              <w:rPr>
                <w:rFonts w:cstheme="minorHAnsi"/>
                <w:noProof w:val="0"/>
                <w:webHidden/>
              </w:rPr>
              <w:t>1</w:t>
            </w:r>
            <w:r w:rsidR="00565546" w:rsidRPr="00B91F3C">
              <w:rPr>
                <w:rFonts w:cstheme="minorHAnsi"/>
                <w:noProof w:val="0"/>
                <w:webHidden/>
              </w:rPr>
              <w:fldChar w:fldCharType="end"/>
            </w:r>
          </w:hyperlink>
        </w:p>
        <w:p w14:paraId="0F39175F" w14:textId="066DEDF0" w:rsidR="00565546" w:rsidRPr="00B91F3C" w:rsidRDefault="000E0255" w:rsidP="0022558E">
          <w:pPr>
            <w:pStyle w:val="TM2"/>
            <w:rPr>
              <w:rFonts w:eastAsiaTheme="minorEastAsia"/>
              <w:b w:val="0"/>
              <w:noProof w:val="0"/>
              <w:snapToGrid/>
              <w:kern w:val="2"/>
              <w:lang w:eastAsia="fr-FR"/>
              <w14:ligatures w14:val="standardContextual"/>
            </w:rPr>
          </w:pPr>
          <w:hyperlink w:anchor="_Toc165899237" w:history="1">
            <w:r w:rsidR="00565546" w:rsidRPr="00B91F3C">
              <w:rPr>
                <w:rStyle w:val="Lienhypertexte"/>
                <w:b w:val="0"/>
                <w:noProof w:val="0"/>
              </w:rPr>
              <w:t>Программы в рамках целевой области «Биоразнообразие» с 1 января 2022 года по 30 июня 2022 года (последние 6 месяцев ГЭФ-7)</w:t>
            </w:r>
            <w:r w:rsidR="00565546" w:rsidRPr="00B91F3C">
              <w:rPr>
                <w:b w:val="0"/>
                <w:noProof w:val="0"/>
                <w:webHidden/>
              </w:rPr>
              <w:tab/>
            </w:r>
            <w:r w:rsidR="00565546" w:rsidRPr="00B91F3C">
              <w:rPr>
                <w:b w:val="0"/>
                <w:noProof w:val="0"/>
                <w:webHidden/>
              </w:rPr>
              <w:fldChar w:fldCharType="begin"/>
            </w:r>
            <w:r w:rsidR="00565546" w:rsidRPr="00B91F3C">
              <w:rPr>
                <w:b w:val="0"/>
                <w:noProof w:val="0"/>
                <w:webHidden/>
              </w:rPr>
              <w:instrText xml:space="preserve"> PAGEREF _Toc165899237 \h </w:instrText>
            </w:r>
            <w:r w:rsidR="00565546" w:rsidRPr="00B91F3C">
              <w:rPr>
                <w:b w:val="0"/>
                <w:noProof w:val="0"/>
                <w:webHidden/>
              </w:rPr>
            </w:r>
            <w:r w:rsidR="00565546" w:rsidRPr="00B91F3C">
              <w:rPr>
                <w:b w:val="0"/>
                <w:noProof w:val="0"/>
                <w:webHidden/>
              </w:rPr>
              <w:fldChar w:fldCharType="separate"/>
            </w:r>
            <w:r w:rsidR="00565546" w:rsidRPr="00B91F3C">
              <w:rPr>
                <w:b w:val="0"/>
                <w:noProof w:val="0"/>
                <w:webHidden/>
              </w:rPr>
              <w:t>1</w:t>
            </w:r>
            <w:r w:rsidR="00565546" w:rsidRPr="00B91F3C">
              <w:rPr>
                <w:b w:val="0"/>
                <w:noProof w:val="0"/>
                <w:webHidden/>
              </w:rPr>
              <w:fldChar w:fldCharType="end"/>
            </w:r>
          </w:hyperlink>
        </w:p>
        <w:p w14:paraId="1C4243F2" w14:textId="63524200" w:rsidR="00565546" w:rsidRPr="00B91F3C" w:rsidRDefault="000E0255" w:rsidP="0022558E">
          <w:pPr>
            <w:pStyle w:val="TM2"/>
            <w:rPr>
              <w:rFonts w:eastAsiaTheme="minorEastAsia"/>
              <w:b w:val="0"/>
              <w:noProof w:val="0"/>
              <w:snapToGrid/>
              <w:kern w:val="2"/>
              <w:lang w:eastAsia="fr-FR"/>
              <w14:ligatures w14:val="standardContextual"/>
            </w:rPr>
          </w:pPr>
          <w:hyperlink w:anchor="_Toc165899238" w:history="1">
            <w:r w:rsidR="00565546" w:rsidRPr="00B91F3C">
              <w:rPr>
                <w:rStyle w:val="Lienhypertexte"/>
                <w:b w:val="0"/>
                <w:noProof w:val="0"/>
              </w:rPr>
              <w:t>Сводные данные о программах ГЭФ-7 в области биоразнообразия в поддержку осуществления КБР</w:t>
            </w:r>
            <w:r w:rsidR="00565546" w:rsidRPr="00B91F3C">
              <w:rPr>
                <w:b w:val="0"/>
                <w:noProof w:val="0"/>
                <w:webHidden/>
              </w:rPr>
              <w:tab/>
            </w:r>
            <w:r w:rsidR="00565546" w:rsidRPr="00B91F3C">
              <w:rPr>
                <w:b w:val="0"/>
                <w:noProof w:val="0"/>
                <w:webHidden/>
              </w:rPr>
              <w:fldChar w:fldCharType="begin"/>
            </w:r>
            <w:r w:rsidR="00565546" w:rsidRPr="00B91F3C">
              <w:rPr>
                <w:b w:val="0"/>
                <w:noProof w:val="0"/>
                <w:webHidden/>
              </w:rPr>
              <w:instrText xml:space="preserve"> PAGEREF _Toc165899238 \h </w:instrText>
            </w:r>
            <w:r w:rsidR="00565546" w:rsidRPr="00B91F3C">
              <w:rPr>
                <w:b w:val="0"/>
                <w:noProof w:val="0"/>
                <w:webHidden/>
              </w:rPr>
            </w:r>
            <w:r w:rsidR="00565546" w:rsidRPr="00B91F3C">
              <w:rPr>
                <w:b w:val="0"/>
                <w:noProof w:val="0"/>
                <w:webHidden/>
              </w:rPr>
              <w:fldChar w:fldCharType="separate"/>
            </w:r>
            <w:r w:rsidR="00565546" w:rsidRPr="00B91F3C">
              <w:rPr>
                <w:b w:val="0"/>
                <w:noProof w:val="0"/>
                <w:webHidden/>
              </w:rPr>
              <w:t>1</w:t>
            </w:r>
            <w:r w:rsidR="00565546" w:rsidRPr="00B91F3C">
              <w:rPr>
                <w:b w:val="0"/>
                <w:noProof w:val="0"/>
                <w:webHidden/>
              </w:rPr>
              <w:fldChar w:fldCharType="end"/>
            </w:r>
          </w:hyperlink>
        </w:p>
        <w:p w14:paraId="353569BD" w14:textId="1D0FEBED" w:rsidR="00565546" w:rsidRPr="00B91F3C" w:rsidRDefault="000E0255">
          <w:pPr>
            <w:pStyle w:val="TM1"/>
            <w:rPr>
              <w:rFonts w:eastAsiaTheme="minorEastAsia" w:cstheme="minorHAnsi"/>
              <w:noProof w:val="0"/>
              <w:kern w:val="2"/>
              <w:lang w:eastAsia="fr-FR"/>
              <w14:ligatures w14:val="standardContextual"/>
            </w:rPr>
          </w:pPr>
          <w:hyperlink w:anchor="_Toc165899239" w:history="1">
            <w:r w:rsidR="00565546" w:rsidRPr="00B91F3C">
              <w:rPr>
                <w:rStyle w:val="Lienhypertexte"/>
                <w:rFonts w:cstheme="minorHAnsi"/>
                <w:noProof w:val="0"/>
              </w:rPr>
              <w:t>II.</w:t>
            </w:r>
            <w:r w:rsidR="00565546" w:rsidRPr="00B91F3C">
              <w:rPr>
                <w:rFonts w:eastAsiaTheme="minorEastAsia" w:cstheme="minorHAnsi"/>
                <w:noProof w:val="0"/>
                <w:kern w:val="2"/>
                <w:lang w:eastAsia="fr-FR"/>
                <w14:ligatures w14:val="standardContextual"/>
              </w:rPr>
              <w:tab/>
            </w:r>
            <w:r w:rsidR="00565546" w:rsidRPr="00B91F3C">
              <w:rPr>
                <w:rStyle w:val="Lienhypertexte"/>
                <w:rFonts w:cstheme="minorHAnsi"/>
                <w:noProof w:val="0"/>
              </w:rPr>
              <w:t>Использование ресурсов в программах ГЭФ-7</w:t>
            </w:r>
            <w:r w:rsidR="00565546" w:rsidRPr="00B91F3C">
              <w:rPr>
                <w:rFonts w:cstheme="minorHAnsi"/>
                <w:noProof w:val="0"/>
                <w:webHidden/>
              </w:rPr>
              <w:tab/>
            </w:r>
            <w:r w:rsidR="00565546" w:rsidRPr="00B91F3C">
              <w:rPr>
                <w:rFonts w:cstheme="minorHAnsi"/>
                <w:noProof w:val="0"/>
                <w:webHidden/>
              </w:rPr>
              <w:fldChar w:fldCharType="begin"/>
            </w:r>
            <w:r w:rsidR="00565546" w:rsidRPr="00B91F3C">
              <w:rPr>
                <w:rFonts w:cstheme="minorHAnsi"/>
                <w:noProof w:val="0"/>
                <w:webHidden/>
              </w:rPr>
              <w:instrText xml:space="preserve"> PAGEREF _Toc165899239 \h </w:instrText>
            </w:r>
            <w:r w:rsidR="00565546" w:rsidRPr="00B91F3C">
              <w:rPr>
                <w:rFonts w:cstheme="minorHAnsi"/>
                <w:noProof w:val="0"/>
                <w:webHidden/>
              </w:rPr>
            </w:r>
            <w:r w:rsidR="00565546" w:rsidRPr="00B91F3C">
              <w:rPr>
                <w:rFonts w:cstheme="minorHAnsi"/>
                <w:noProof w:val="0"/>
                <w:webHidden/>
              </w:rPr>
              <w:fldChar w:fldCharType="separate"/>
            </w:r>
            <w:r w:rsidR="00565546" w:rsidRPr="00B91F3C">
              <w:rPr>
                <w:rFonts w:cstheme="minorHAnsi"/>
                <w:noProof w:val="0"/>
                <w:webHidden/>
              </w:rPr>
              <w:t>5</w:t>
            </w:r>
            <w:r w:rsidR="00565546" w:rsidRPr="00B91F3C">
              <w:rPr>
                <w:rFonts w:cstheme="minorHAnsi"/>
                <w:noProof w:val="0"/>
                <w:webHidden/>
              </w:rPr>
              <w:fldChar w:fldCharType="end"/>
            </w:r>
          </w:hyperlink>
        </w:p>
        <w:p w14:paraId="5D2654CB" w14:textId="1983F96F" w:rsidR="00565546" w:rsidRPr="00B91F3C" w:rsidRDefault="000E0255">
          <w:pPr>
            <w:pStyle w:val="TM1"/>
            <w:rPr>
              <w:rFonts w:eastAsiaTheme="minorEastAsia" w:cstheme="minorHAnsi"/>
              <w:noProof w:val="0"/>
              <w:kern w:val="2"/>
              <w:lang w:eastAsia="fr-FR"/>
              <w14:ligatures w14:val="standardContextual"/>
            </w:rPr>
          </w:pPr>
          <w:hyperlink w:anchor="_Toc165899240" w:history="1">
            <w:r w:rsidR="00565546" w:rsidRPr="00B91F3C">
              <w:rPr>
                <w:rStyle w:val="Lienhypertexte"/>
                <w:rFonts w:cstheme="minorHAnsi"/>
                <w:noProof w:val="0"/>
              </w:rPr>
              <w:t>III.</w:t>
            </w:r>
            <w:r w:rsidR="00565546" w:rsidRPr="00B91F3C">
              <w:rPr>
                <w:rFonts w:eastAsiaTheme="minorEastAsia" w:cstheme="minorHAnsi"/>
                <w:noProof w:val="0"/>
                <w:kern w:val="2"/>
                <w:lang w:eastAsia="fr-FR"/>
                <w14:ligatures w14:val="standardContextual"/>
              </w:rPr>
              <w:tab/>
            </w:r>
            <w:r w:rsidR="00565546" w:rsidRPr="00B91F3C">
              <w:rPr>
                <w:rStyle w:val="Lienhypertexte"/>
                <w:rFonts w:cstheme="minorHAnsi"/>
                <w:noProof w:val="0"/>
              </w:rPr>
              <w:t>Использование ресурсов в программах ГЭФ-8</w:t>
            </w:r>
            <w:r w:rsidR="00565546" w:rsidRPr="00B91F3C">
              <w:rPr>
                <w:rFonts w:cstheme="minorHAnsi"/>
                <w:noProof w:val="0"/>
                <w:webHidden/>
              </w:rPr>
              <w:tab/>
            </w:r>
            <w:r w:rsidR="00565546" w:rsidRPr="00B91F3C">
              <w:rPr>
                <w:rFonts w:cstheme="minorHAnsi"/>
                <w:noProof w:val="0"/>
                <w:webHidden/>
              </w:rPr>
              <w:fldChar w:fldCharType="begin"/>
            </w:r>
            <w:r w:rsidR="00565546" w:rsidRPr="00B91F3C">
              <w:rPr>
                <w:rFonts w:cstheme="minorHAnsi"/>
                <w:noProof w:val="0"/>
                <w:webHidden/>
              </w:rPr>
              <w:instrText xml:space="preserve"> PAGEREF _Toc165899240 \h </w:instrText>
            </w:r>
            <w:r w:rsidR="00565546" w:rsidRPr="00B91F3C">
              <w:rPr>
                <w:rFonts w:cstheme="minorHAnsi"/>
                <w:noProof w:val="0"/>
                <w:webHidden/>
              </w:rPr>
            </w:r>
            <w:r w:rsidR="00565546" w:rsidRPr="00B91F3C">
              <w:rPr>
                <w:rFonts w:cstheme="minorHAnsi"/>
                <w:noProof w:val="0"/>
                <w:webHidden/>
              </w:rPr>
              <w:fldChar w:fldCharType="separate"/>
            </w:r>
            <w:r w:rsidR="00565546" w:rsidRPr="00B91F3C">
              <w:rPr>
                <w:rFonts w:cstheme="minorHAnsi"/>
                <w:noProof w:val="0"/>
                <w:webHidden/>
              </w:rPr>
              <w:t>8</w:t>
            </w:r>
            <w:r w:rsidR="00565546" w:rsidRPr="00B91F3C">
              <w:rPr>
                <w:rFonts w:cstheme="minorHAnsi"/>
                <w:noProof w:val="0"/>
                <w:webHidden/>
              </w:rPr>
              <w:fldChar w:fldCharType="end"/>
            </w:r>
          </w:hyperlink>
        </w:p>
        <w:p w14:paraId="228FE77C" w14:textId="2A3D087C" w:rsidR="00565546" w:rsidRPr="00B91F3C" w:rsidRDefault="000E0255" w:rsidP="00930845">
          <w:pPr>
            <w:pStyle w:val="TM2"/>
            <w:rPr>
              <w:rFonts w:eastAsiaTheme="minorEastAsia"/>
              <w:b w:val="0"/>
              <w:noProof w:val="0"/>
              <w:snapToGrid/>
              <w:kern w:val="2"/>
              <w:lang w:eastAsia="fr-FR"/>
              <w14:ligatures w14:val="standardContextual"/>
            </w:rPr>
          </w:pPr>
          <w:hyperlink w:anchor="_Toc165899241" w:history="1">
            <w:r w:rsidR="00565546" w:rsidRPr="00B91F3C">
              <w:rPr>
                <w:rStyle w:val="Lienhypertexte"/>
                <w:b w:val="0"/>
                <w:noProof w:val="0"/>
              </w:rPr>
              <w:t>Распределение ресурсов на программы в рамках целевой области «Биоразнообразие» с 1 июля 2022 года по 29 февраля 2024 года (первые 20 месяцев ГЭФ-8)</w:t>
            </w:r>
            <w:r w:rsidR="00565546" w:rsidRPr="00B91F3C">
              <w:rPr>
                <w:b w:val="0"/>
                <w:noProof w:val="0"/>
                <w:webHidden/>
              </w:rPr>
              <w:tab/>
            </w:r>
            <w:r w:rsidR="00565546" w:rsidRPr="00B91F3C">
              <w:rPr>
                <w:b w:val="0"/>
                <w:noProof w:val="0"/>
                <w:webHidden/>
              </w:rPr>
              <w:fldChar w:fldCharType="begin"/>
            </w:r>
            <w:r w:rsidR="00565546" w:rsidRPr="00B91F3C">
              <w:rPr>
                <w:b w:val="0"/>
                <w:noProof w:val="0"/>
                <w:webHidden/>
              </w:rPr>
              <w:instrText xml:space="preserve"> PAGEREF _Toc165899241 \h </w:instrText>
            </w:r>
            <w:r w:rsidR="00565546" w:rsidRPr="00B91F3C">
              <w:rPr>
                <w:b w:val="0"/>
                <w:noProof w:val="0"/>
                <w:webHidden/>
              </w:rPr>
            </w:r>
            <w:r w:rsidR="00565546" w:rsidRPr="00B91F3C">
              <w:rPr>
                <w:b w:val="0"/>
                <w:noProof w:val="0"/>
                <w:webHidden/>
              </w:rPr>
              <w:fldChar w:fldCharType="separate"/>
            </w:r>
            <w:r w:rsidR="00565546" w:rsidRPr="00B91F3C">
              <w:rPr>
                <w:b w:val="0"/>
                <w:noProof w:val="0"/>
                <w:webHidden/>
              </w:rPr>
              <w:t>8</w:t>
            </w:r>
            <w:r w:rsidR="00565546" w:rsidRPr="00B91F3C">
              <w:rPr>
                <w:b w:val="0"/>
                <w:noProof w:val="0"/>
                <w:webHidden/>
              </w:rPr>
              <w:fldChar w:fldCharType="end"/>
            </w:r>
          </w:hyperlink>
        </w:p>
        <w:p w14:paraId="05B03D91" w14:textId="0CFD3CC5" w:rsidR="00565546" w:rsidRPr="00B91F3C" w:rsidRDefault="000E0255" w:rsidP="00930845">
          <w:pPr>
            <w:pStyle w:val="TM2"/>
            <w:rPr>
              <w:rFonts w:eastAsiaTheme="minorEastAsia"/>
              <w:b w:val="0"/>
              <w:noProof w:val="0"/>
              <w:snapToGrid/>
              <w:kern w:val="2"/>
              <w:lang w:eastAsia="fr-FR"/>
              <w14:ligatures w14:val="standardContextual"/>
            </w:rPr>
          </w:pPr>
          <w:hyperlink w:anchor="_Toc165899242" w:history="1">
            <w:r w:rsidR="00565546" w:rsidRPr="00B91F3C">
              <w:rPr>
                <w:rStyle w:val="Lienhypertexte"/>
                <w:b w:val="0"/>
                <w:noProof w:val="0"/>
              </w:rPr>
              <w:t>Гранты на подготовку проектов</w:t>
            </w:r>
            <w:r w:rsidR="00565546" w:rsidRPr="00B91F3C">
              <w:rPr>
                <w:b w:val="0"/>
                <w:noProof w:val="0"/>
                <w:webHidden/>
              </w:rPr>
              <w:tab/>
            </w:r>
            <w:r w:rsidR="00565546" w:rsidRPr="00B91F3C">
              <w:rPr>
                <w:b w:val="0"/>
                <w:noProof w:val="0"/>
                <w:webHidden/>
              </w:rPr>
              <w:fldChar w:fldCharType="begin"/>
            </w:r>
            <w:r w:rsidR="00565546" w:rsidRPr="00B91F3C">
              <w:rPr>
                <w:b w:val="0"/>
                <w:noProof w:val="0"/>
                <w:webHidden/>
              </w:rPr>
              <w:instrText xml:space="preserve"> PAGEREF _Toc165899242 \h </w:instrText>
            </w:r>
            <w:r w:rsidR="00565546" w:rsidRPr="00B91F3C">
              <w:rPr>
                <w:b w:val="0"/>
                <w:noProof w:val="0"/>
                <w:webHidden/>
              </w:rPr>
            </w:r>
            <w:r w:rsidR="00565546" w:rsidRPr="00B91F3C">
              <w:rPr>
                <w:b w:val="0"/>
                <w:noProof w:val="0"/>
                <w:webHidden/>
              </w:rPr>
              <w:fldChar w:fldCharType="separate"/>
            </w:r>
            <w:r w:rsidR="00565546" w:rsidRPr="00B91F3C">
              <w:rPr>
                <w:b w:val="0"/>
                <w:noProof w:val="0"/>
                <w:webHidden/>
              </w:rPr>
              <w:t>10</w:t>
            </w:r>
            <w:r w:rsidR="00565546" w:rsidRPr="00B91F3C">
              <w:rPr>
                <w:b w:val="0"/>
                <w:noProof w:val="0"/>
                <w:webHidden/>
              </w:rPr>
              <w:fldChar w:fldCharType="end"/>
            </w:r>
          </w:hyperlink>
        </w:p>
        <w:p w14:paraId="55369C05" w14:textId="06743C41" w:rsidR="00565546" w:rsidRPr="00B91F3C" w:rsidRDefault="000E0255" w:rsidP="00930845">
          <w:pPr>
            <w:pStyle w:val="TM2"/>
            <w:rPr>
              <w:rFonts w:eastAsiaTheme="minorEastAsia"/>
              <w:b w:val="0"/>
              <w:noProof w:val="0"/>
              <w:snapToGrid/>
              <w:kern w:val="2"/>
              <w:lang w:eastAsia="fr-FR"/>
              <w14:ligatures w14:val="standardContextual"/>
            </w:rPr>
          </w:pPr>
          <w:hyperlink w:anchor="_Toc165899243" w:history="1">
            <w:r w:rsidR="00565546" w:rsidRPr="00B91F3C">
              <w:rPr>
                <w:rStyle w:val="Lienhypertexte"/>
                <w:b w:val="0"/>
                <w:noProof w:val="0"/>
              </w:rPr>
              <w:t>Поддержка осуществления Картахенского протокола по биобезопасности к Конвенции о биологическом разнообразии</w:t>
            </w:r>
            <w:r w:rsidR="00565546" w:rsidRPr="00B91F3C">
              <w:rPr>
                <w:b w:val="0"/>
                <w:noProof w:val="0"/>
                <w:webHidden/>
              </w:rPr>
              <w:tab/>
            </w:r>
            <w:r w:rsidR="00565546" w:rsidRPr="00B91F3C">
              <w:rPr>
                <w:b w:val="0"/>
                <w:noProof w:val="0"/>
                <w:webHidden/>
              </w:rPr>
              <w:fldChar w:fldCharType="begin"/>
            </w:r>
            <w:r w:rsidR="00565546" w:rsidRPr="00B91F3C">
              <w:rPr>
                <w:b w:val="0"/>
                <w:noProof w:val="0"/>
                <w:webHidden/>
              </w:rPr>
              <w:instrText xml:space="preserve"> PAGEREF _Toc165899243 \h </w:instrText>
            </w:r>
            <w:r w:rsidR="00565546" w:rsidRPr="00B91F3C">
              <w:rPr>
                <w:b w:val="0"/>
                <w:noProof w:val="0"/>
                <w:webHidden/>
              </w:rPr>
            </w:r>
            <w:r w:rsidR="00565546" w:rsidRPr="00B91F3C">
              <w:rPr>
                <w:b w:val="0"/>
                <w:noProof w:val="0"/>
                <w:webHidden/>
              </w:rPr>
              <w:fldChar w:fldCharType="separate"/>
            </w:r>
            <w:r w:rsidR="00565546" w:rsidRPr="00B91F3C">
              <w:rPr>
                <w:b w:val="0"/>
                <w:noProof w:val="0"/>
                <w:webHidden/>
              </w:rPr>
              <w:t>10</w:t>
            </w:r>
            <w:r w:rsidR="00565546" w:rsidRPr="00B91F3C">
              <w:rPr>
                <w:b w:val="0"/>
                <w:noProof w:val="0"/>
                <w:webHidden/>
              </w:rPr>
              <w:fldChar w:fldCharType="end"/>
            </w:r>
          </w:hyperlink>
        </w:p>
        <w:p w14:paraId="2B0C5C6F" w14:textId="68709F8D" w:rsidR="00565546" w:rsidRPr="00B91F3C" w:rsidRDefault="000E0255" w:rsidP="00930845">
          <w:pPr>
            <w:pStyle w:val="TM2"/>
            <w:rPr>
              <w:rFonts w:eastAsiaTheme="minorEastAsia"/>
              <w:b w:val="0"/>
              <w:noProof w:val="0"/>
              <w:snapToGrid/>
              <w:kern w:val="2"/>
              <w:lang w:eastAsia="fr-FR"/>
              <w14:ligatures w14:val="standardContextual"/>
            </w:rPr>
          </w:pPr>
          <w:hyperlink w:anchor="_Toc165899244" w:history="1">
            <w:r w:rsidR="00565546" w:rsidRPr="00B91F3C">
              <w:rPr>
                <w:rStyle w:val="Lienhypertexte"/>
                <w:b w:val="0"/>
                <w:noProof w:val="0"/>
              </w:rPr>
              <w:t>Поддержка ратификации и осуществления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w:t>
            </w:r>
            <w:r w:rsidR="00565546" w:rsidRPr="00B91F3C">
              <w:rPr>
                <w:b w:val="0"/>
                <w:noProof w:val="0"/>
                <w:webHidden/>
              </w:rPr>
              <w:tab/>
            </w:r>
            <w:r w:rsidR="00565546" w:rsidRPr="00B91F3C">
              <w:rPr>
                <w:b w:val="0"/>
                <w:noProof w:val="0"/>
                <w:webHidden/>
              </w:rPr>
              <w:fldChar w:fldCharType="begin"/>
            </w:r>
            <w:r w:rsidR="00565546" w:rsidRPr="00B91F3C">
              <w:rPr>
                <w:b w:val="0"/>
                <w:noProof w:val="0"/>
                <w:webHidden/>
              </w:rPr>
              <w:instrText xml:space="preserve"> PAGEREF _Toc165899244 \h </w:instrText>
            </w:r>
            <w:r w:rsidR="00565546" w:rsidRPr="00B91F3C">
              <w:rPr>
                <w:b w:val="0"/>
                <w:noProof w:val="0"/>
                <w:webHidden/>
              </w:rPr>
            </w:r>
            <w:r w:rsidR="00565546" w:rsidRPr="00B91F3C">
              <w:rPr>
                <w:b w:val="0"/>
                <w:noProof w:val="0"/>
                <w:webHidden/>
              </w:rPr>
              <w:fldChar w:fldCharType="separate"/>
            </w:r>
            <w:r w:rsidR="00565546" w:rsidRPr="00B91F3C">
              <w:rPr>
                <w:b w:val="0"/>
                <w:noProof w:val="0"/>
                <w:webHidden/>
              </w:rPr>
              <w:t>10</w:t>
            </w:r>
            <w:r w:rsidR="00565546" w:rsidRPr="00B91F3C">
              <w:rPr>
                <w:b w:val="0"/>
                <w:noProof w:val="0"/>
                <w:webHidden/>
              </w:rPr>
              <w:fldChar w:fldCharType="end"/>
            </w:r>
          </w:hyperlink>
        </w:p>
        <w:p w14:paraId="1442E864" w14:textId="507A1769" w:rsidR="00565546" w:rsidRPr="00B91F3C" w:rsidRDefault="000E0255" w:rsidP="00930845">
          <w:pPr>
            <w:pStyle w:val="TM2"/>
            <w:rPr>
              <w:rFonts w:eastAsiaTheme="minorEastAsia"/>
              <w:b w:val="0"/>
              <w:noProof w:val="0"/>
              <w:snapToGrid/>
              <w:kern w:val="2"/>
              <w:lang w:eastAsia="fr-FR"/>
              <w14:ligatures w14:val="standardContextual"/>
            </w:rPr>
          </w:pPr>
          <w:hyperlink w:anchor="_Toc165899245" w:history="1">
            <w:r w:rsidR="00565546" w:rsidRPr="00B91F3C">
              <w:rPr>
                <w:rStyle w:val="Lienhypertexte"/>
                <w:b w:val="0"/>
                <w:noProof w:val="0"/>
              </w:rPr>
              <w:t>Стимулирующие мероприятия</w:t>
            </w:r>
            <w:r w:rsidR="00565546" w:rsidRPr="00B91F3C">
              <w:rPr>
                <w:b w:val="0"/>
                <w:noProof w:val="0"/>
                <w:webHidden/>
              </w:rPr>
              <w:tab/>
            </w:r>
            <w:r w:rsidR="00565546" w:rsidRPr="00B91F3C">
              <w:rPr>
                <w:b w:val="0"/>
                <w:noProof w:val="0"/>
                <w:webHidden/>
              </w:rPr>
              <w:fldChar w:fldCharType="begin"/>
            </w:r>
            <w:r w:rsidR="00565546" w:rsidRPr="00B91F3C">
              <w:rPr>
                <w:b w:val="0"/>
                <w:noProof w:val="0"/>
                <w:webHidden/>
              </w:rPr>
              <w:instrText xml:space="preserve"> PAGEREF _Toc165899245 \h </w:instrText>
            </w:r>
            <w:r w:rsidR="00565546" w:rsidRPr="00B91F3C">
              <w:rPr>
                <w:b w:val="0"/>
                <w:noProof w:val="0"/>
                <w:webHidden/>
              </w:rPr>
            </w:r>
            <w:r w:rsidR="00565546" w:rsidRPr="00B91F3C">
              <w:rPr>
                <w:b w:val="0"/>
                <w:noProof w:val="0"/>
                <w:webHidden/>
              </w:rPr>
              <w:fldChar w:fldCharType="separate"/>
            </w:r>
            <w:r w:rsidR="00565546" w:rsidRPr="00B91F3C">
              <w:rPr>
                <w:b w:val="0"/>
                <w:noProof w:val="0"/>
                <w:webHidden/>
              </w:rPr>
              <w:t>11</w:t>
            </w:r>
            <w:r w:rsidR="00565546" w:rsidRPr="00B91F3C">
              <w:rPr>
                <w:b w:val="0"/>
                <w:noProof w:val="0"/>
                <w:webHidden/>
              </w:rPr>
              <w:fldChar w:fldCharType="end"/>
            </w:r>
          </w:hyperlink>
        </w:p>
        <w:p w14:paraId="65DA048A" w14:textId="1031699B" w:rsidR="00565546" w:rsidRPr="00B91F3C" w:rsidRDefault="000E0255" w:rsidP="00930845">
          <w:pPr>
            <w:pStyle w:val="TM2"/>
            <w:rPr>
              <w:rFonts w:eastAsiaTheme="minorEastAsia"/>
              <w:b w:val="0"/>
              <w:noProof w:val="0"/>
              <w:snapToGrid/>
              <w:kern w:val="2"/>
              <w:lang w:eastAsia="fr-FR"/>
              <w14:ligatures w14:val="standardContextual"/>
            </w:rPr>
          </w:pPr>
          <w:hyperlink w:anchor="_Toc165899246" w:history="1">
            <w:r w:rsidR="00565546" w:rsidRPr="00B91F3C">
              <w:rPr>
                <w:rStyle w:val="Lienhypertexte"/>
                <w:b w:val="0"/>
                <w:noProof w:val="0"/>
              </w:rPr>
              <w:t>Вклад комплексных программ (КП) ГЭФ в выполнение задач Куньминско-Монреальской глобальной рамочной программы в области биоразнообразия в течение отчетного периода</w:t>
            </w:r>
            <w:r w:rsidR="00565546" w:rsidRPr="00B91F3C">
              <w:rPr>
                <w:b w:val="0"/>
                <w:noProof w:val="0"/>
                <w:webHidden/>
              </w:rPr>
              <w:tab/>
            </w:r>
            <w:r w:rsidR="00565546" w:rsidRPr="00B91F3C">
              <w:rPr>
                <w:b w:val="0"/>
                <w:noProof w:val="0"/>
                <w:webHidden/>
              </w:rPr>
              <w:fldChar w:fldCharType="begin"/>
            </w:r>
            <w:r w:rsidR="00565546" w:rsidRPr="00B91F3C">
              <w:rPr>
                <w:b w:val="0"/>
                <w:noProof w:val="0"/>
                <w:webHidden/>
              </w:rPr>
              <w:instrText xml:space="preserve"> PAGEREF _Toc165899246 \h </w:instrText>
            </w:r>
            <w:r w:rsidR="00565546" w:rsidRPr="00B91F3C">
              <w:rPr>
                <w:b w:val="0"/>
                <w:noProof w:val="0"/>
                <w:webHidden/>
              </w:rPr>
            </w:r>
            <w:r w:rsidR="00565546" w:rsidRPr="00B91F3C">
              <w:rPr>
                <w:b w:val="0"/>
                <w:noProof w:val="0"/>
                <w:webHidden/>
              </w:rPr>
              <w:fldChar w:fldCharType="separate"/>
            </w:r>
            <w:r w:rsidR="00565546" w:rsidRPr="00B91F3C">
              <w:rPr>
                <w:b w:val="0"/>
                <w:noProof w:val="0"/>
                <w:webHidden/>
              </w:rPr>
              <w:t>12</w:t>
            </w:r>
            <w:r w:rsidR="00565546" w:rsidRPr="00B91F3C">
              <w:rPr>
                <w:b w:val="0"/>
                <w:noProof w:val="0"/>
                <w:webHidden/>
              </w:rPr>
              <w:fldChar w:fldCharType="end"/>
            </w:r>
          </w:hyperlink>
        </w:p>
        <w:p w14:paraId="77ED1585" w14:textId="506BDA73" w:rsidR="00565546" w:rsidRPr="00B91F3C" w:rsidRDefault="000E0255" w:rsidP="00930845">
          <w:pPr>
            <w:pStyle w:val="TM2"/>
            <w:rPr>
              <w:rFonts w:eastAsiaTheme="minorEastAsia"/>
              <w:b w:val="0"/>
              <w:noProof w:val="0"/>
              <w:snapToGrid/>
              <w:kern w:val="2"/>
              <w:lang w:eastAsia="fr-FR"/>
              <w14:ligatures w14:val="standardContextual"/>
            </w:rPr>
          </w:pPr>
          <w:hyperlink w:anchor="_Toc165899247" w:history="1">
            <w:r w:rsidR="00565546" w:rsidRPr="00B91F3C">
              <w:rPr>
                <w:rStyle w:val="Lienhypertexte"/>
                <w:b w:val="0"/>
                <w:noProof w:val="0"/>
              </w:rPr>
              <w:t>КП «Восстановление экосистем» (Участвующие страны: Ангола, Бразилия, Вьетнам, Гаити, ДР Конго, Камбоджа, Кот-д'Ивуар, Мавритания, Мадагаскар, Мали, Мексика, Мозамбик, Непал, Перу, Руанда, Сан-Томе и Принсипи, Сьерра-Леоне, Узбекистан, Чад и Южная Африка)</w:t>
            </w:r>
            <w:r w:rsidR="00565546" w:rsidRPr="00B91F3C">
              <w:rPr>
                <w:b w:val="0"/>
                <w:noProof w:val="0"/>
                <w:webHidden/>
              </w:rPr>
              <w:tab/>
            </w:r>
            <w:r w:rsidR="00565546" w:rsidRPr="00B91F3C">
              <w:rPr>
                <w:b w:val="0"/>
                <w:noProof w:val="0"/>
                <w:webHidden/>
              </w:rPr>
              <w:fldChar w:fldCharType="begin"/>
            </w:r>
            <w:r w:rsidR="00565546" w:rsidRPr="00B91F3C">
              <w:rPr>
                <w:b w:val="0"/>
                <w:noProof w:val="0"/>
                <w:webHidden/>
              </w:rPr>
              <w:instrText xml:space="preserve"> PAGEREF _Toc165899247 \h </w:instrText>
            </w:r>
            <w:r w:rsidR="00565546" w:rsidRPr="00B91F3C">
              <w:rPr>
                <w:b w:val="0"/>
                <w:noProof w:val="0"/>
                <w:webHidden/>
              </w:rPr>
            </w:r>
            <w:r w:rsidR="00565546" w:rsidRPr="00B91F3C">
              <w:rPr>
                <w:b w:val="0"/>
                <w:noProof w:val="0"/>
                <w:webHidden/>
              </w:rPr>
              <w:fldChar w:fldCharType="separate"/>
            </w:r>
            <w:r w:rsidR="00565546" w:rsidRPr="00B91F3C">
              <w:rPr>
                <w:b w:val="0"/>
                <w:noProof w:val="0"/>
                <w:webHidden/>
              </w:rPr>
              <w:t>16</w:t>
            </w:r>
            <w:r w:rsidR="00565546" w:rsidRPr="00B91F3C">
              <w:rPr>
                <w:b w:val="0"/>
                <w:noProof w:val="0"/>
                <w:webHidden/>
              </w:rPr>
              <w:fldChar w:fldCharType="end"/>
            </w:r>
          </w:hyperlink>
        </w:p>
        <w:p w14:paraId="5D5F8507" w14:textId="2112ACB8" w:rsidR="00565546" w:rsidRPr="00B91F3C" w:rsidRDefault="000E0255" w:rsidP="00930845">
          <w:pPr>
            <w:pStyle w:val="TM2"/>
            <w:rPr>
              <w:rFonts w:eastAsiaTheme="minorEastAsia"/>
              <w:b w:val="0"/>
              <w:noProof w:val="0"/>
              <w:snapToGrid/>
              <w:kern w:val="2"/>
              <w:lang w:eastAsia="fr-FR"/>
              <w14:ligatures w14:val="standardContextual"/>
            </w:rPr>
          </w:pPr>
          <w:hyperlink w:anchor="_Toc165899248" w:history="1">
            <w:r w:rsidR="00565546" w:rsidRPr="00B91F3C">
              <w:rPr>
                <w:rStyle w:val="Lienhypertexte"/>
                <w:b w:val="0"/>
                <w:noProof w:val="0"/>
              </w:rPr>
              <w:t>КП «Голубые и зеленые острова» (Участвующие страны: Белиз, Вануату, Кабо-Верде, Коморские Острова, Куба, Маврикий, Мальдивские Острова, Микронезия, Палау, Папуа-Новая Гвинея, Самоа, Сейшельские Острова, Сент-Люсия, Тимор-Лешти и Тринидад и Тобаго)</w:t>
            </w:r>
            <w:r w:rsidR="00565546" w:rsidRPr="00B91F3C">
              <w:rPr>
                <w:b w:val="0"/>
                <w:noProof w:val="0"/>
                <w:webHidden/>
              </w:rPr>
              <w:tab/>
            </w:r>
            <w:r w:rsidR="00565546" w:rsidRPr="00B91F3C">
              <w:rPr>
                <w:b w:val="0"/>
                <w:noProof w:val="0"/>
                <w:webHidden/>
              </w:rPr>
              <w:fldChar w:fldCharType="begin"/>
            </w:r>
            <w:r w:rsidR="00565546" w:rsidRPr="00B91F3C">
              <w:rPr>
                <w:b w:val="0"/>
                <w:noProof w:val="0"/>
                <w:webHidden/>
              </w:rPr>
              <w:instrText xml:space="preserve"> PAGEREF _Toc165899248 \h </w:instrText>
            </w:r>
            <w:r w:rsidR="00565546" w:rsidRPr="00B91F3C">
              <w:rPr>
                <w:b w:val="0"/>
                <w:noProof w:val="0"/>
                <w:webHidden/>
              </w:rPr>
            </w:r>
            <w:r w:rsidR="00565546" w:rsidRPr="00B91F3C">
              <w:rPr>
                <w:b w:val="0"/>
                <w:noProof w:val="0"/>
                <w:webHidden/>
              </w:rPr>
              <w:fldChar w:fldCharType="separate"/>
            </w:r>
            <w:r w:rsidR="00565546" w:rsidRPr="00B91F3C">
              <w:rPr>
                <w:b w:val="0"/>
                <w:noProof w:val="0"/>
                <w:webHidden/>
              </w:rPr>
              <w:t>16</w:t>
            </w:r>
            <w:r w:rsidR="00565546" w:rsidRPr="00B91F3C">
              <w:rPr>
                <w:b w:val="0"/>
                <w:noProof w:val="0"/>
                <w:webHidden/>
              </w:rPr>
              <w:fldChar w:fldCharType="end"/>
            </w:r>
          </w:hyperlink>
        </w:p>
        <w:p w14:paraId="347F452B" w14:textId="7AA0FE20" w:rsidR="00565546" w:rsidRPr="00B91F3C" w:rsidRDefault="000E0255" w:rsidP="00930845">
          <w:pPr>
            <w:pStyle w:val="TM2"/>
            <w:rPr>
              <w:rFonts w:eastAsiaTheme="minorEastAsia"/>
              <w:b w:val="0"/>
              <w:noProof w:val="0"/>
              <w:snapToGrid/>
              <w:kern w:val="2"/>
              <w:lang w:eastAsia="fr-FR"/>
              <w14:ligatures w14:val="standardContextual"/>
            </w:rPr>
          </w:pPr>
          <w:hyperlink w:anchor="_Toc165899249" w:history="1">
            <w:r w:rsidR="00565546" w:rsidRPr="00B91F3C">
              <w:rPr>
                <w:rStyle w:val="Lienhypertexte"/>
                <w:b w:val="0"/>
                <w:noProof w:val="0"/>
              </w:rPr>
              <w:t>КП «Ускоритель нулевого уровня выбросов, благоприятный для природы» (Участвующие страны: Вьетнам, Индонезия, Коста-Рика, Кот-д'Ивуар, Маврикий, Марокко, Мексика, Нигерия, Таиланд, Танзания, Тринидад и Тобаго и Чили)</w:t>
            </w:r>
            <w:r w:rsidR="00565546" w:rsidRPr="00B91F3C">
              <w:rPr>
                <w:b w:val="0"/>
                <w:noProof w:val="0"/>
                <w:webHidden/>
              </w:rPr>
              <w:tab/>
            </w:r>
            <w:r w:rsidR="00565546" w:rsidRPr="00B91F3C">
              <w:rPr>
                <w:b w:val="0"/>
                <w:noProof w:val="0"/>
                <w:webHidden/>
              </w:rPr>
              <w:fldChar w:fldCharType="begin"/>
            </w:r>
            <w:r w:rsidR="00565546" w:rsidRPr="00B91F3C">
              <w:rPr>
                <w:b w:val="0"/>
                <w:noProof w:val="0"/>
                <w:webHidden/>
              </w:rPr>
              <w:instrText xml:space="preserve"> PAGEREF _Toc165899249 \h </w:instrText>
            </w:r>
            <w:r w:rsidR="00565546" w:rsidRPr="00B91F3C">
              <w:rPr>
                <w:b w:val="0"/>
                <w:noProof w:val="0"/>
                <w:webHidden/>
              </w:rPr>
            </w:r>
            <w:r w:rsidR="00565546" w:rsidRPr="00B91F3C">
              <w:rPr>
                <w:b w:val="0"/>
                <w:noProof w:val="0"/>
                <w:webHidden/>
              </w:rPr>
              <w:fldChar w:fldCharType="separate"/>
            </w:r>
            <w:r w:rsidR="00565546" w:rsidRPr="00B91F3C">
              <w:rPr>
                <w:b w:val="0"/>
                <w:noProof w:val="0"/>
                <w:webHidden/>
              </w:rPr>
              <w:t>17</w:t>
            </w:r>
            <w:r w:rsidR="00565546" w:rsidRPr="00B91F3C">
              <w:rPr>
                <w:b w:val="0"/>
                <w:noProof w:val="0"/>
                <w:webHidden/>
              </w:rPr>
              <w:fldChar w:fldCharType="end"/>
            </w:r>
          </w:hyperlink>
        </w:p>
        <w:p w14:paraId="118D647B" w14:textId="26A42371" w:rsidR="00565546" w:rsidRPr="00B91F3C" w:rsidRDefault="000E0255" w:rsidP="00930845">
          <w:pPr>
            <w:pStyle w:val="TM2"/>
            <w:rPr>
              <w:rFonts w:eastAsiaTheme="minorEastAsia"/>
              <w:b w:val="0"/>
              <w:noProof w:val="0"/>
              <w:snapToGrid/>
              <w:kern w:val="2"/>
              <w:lang w:eastAsia="fr-FR"/>
              <w14:ligatures w14:val="standardContextual"/>
            </w:rPr>
          </w:pPr>
          <w:hyperlink w:anchor="_Toc165899250" w:history="1">
            <w:r w:rsidR="00565546" w:rsidRPr="00B91F3C">
              <w:rPr>
                <w:rStyle w:val="Lienhypertexte"/>
                <w:b w:val="0"/>
                <w:noProof w:val="0"/>
              </w:rPr>
              <w:t>КП «Циркулярные решения проблемы пластикового загрязнения» (Участвующие страны: Бразилия, Буркина-Фасо, Доминиканская Республика, Индия, Иордания, Камбоджа, Коста-Рика, Лаосская НДР, Марокко, Нигерия, Острова Кука, Перу, Сенегал, Филиппины и Южная Африка)</w:t>
            </w:r>
            <w:r w:rsidR="00565546" w:rsidRPr="00B91F3C">
              <w:rPr>
                <w:b w:val="0"/>
                <w:noProof w:val="0"/>
                <w:webHidden/>
              </w:rPr>
              <w:tab/>
            </w:r>
            <w:r w:rsidR="00565546" w:rsidRPr="00B91F3C">
              <w:rPr>
                <w:b w:val="0"/>
                <w:noProof w:val="0"/>
                <w:webHidden/>
              </w:rPr>
              <w:fldChar w:fldCharType="begin"/>
            </w:r>
            <w:r w:rsidR="00565546" w:rsidRPr="00B91F3C">
              <w:rPr>
                <w:b w:val="0"/>
                <w:noProof w:val="0"/>
                <w:webHidden/>
              </w:rPr>
              <w:instrText xml:space="preserve"> PAGEREF _Toc165899250 \h </w:instrText>
            </w:r>
            <w:r w:rsidR="00565546" w:rsidRPr="00B91F3C">
              <w:rPr>
                <w:b w:val="0"/>
                <w:noProof w:val="0"/>
                <w:webHidden/>
              </w:rPr>
            </w:r>
            <w:r w:rsidR="00565546" w:rsidRPr="00B91F3C">
              <w:rPr>
                <w:b w:val="0"/>
                <w:noProof w:val="0"/>
                <w:webHidden/>
              </w:rPr>
              <w:fldChar w:fldCharType="separate"/>
            </w:r>
            <w:r w:rsidR="00565546" w:rsidRPr="00B91F3C">
              <w:rPr>
                <w:b w:val="0"/>
                <w:noProof w:val="0"/>
                <w:webHidden/>
              </w:rPr>
              <w:t>18</w:t>
            </w:r>
            <w:r w:rsidR="00565546" w:rsidRPr="00B91F3C">
              <w:rPr>
                <w:b w:val="0"/>
                <w:noProof w:val="0"/>
                <w:webHidden/>
              </w:rPr>
              <w:fldChar w:fldCharType="end"/>
            </w:r>
          </w:hyperlink>
        </w:p>
        <w:p w14:paraId="78547EB3" w14:textId="5B08FE1B" w:rsidR="00565546" w:rsidRPr="00B91F3C" w:rsidRDefault="000E0255" w:rsidP="00930845">
          <w:pPr>
            <w:pStyle w:val="TM2"/>
            <w:rPr>
              <w:rFonts w:eastAsiaTheme="minorEastAsia"/>
              <w:b w:val="0"/>
              <w:noProof w:val="0"/>
              <w:snapToGrid/>
              <w:kern w:val="2"/>
              <w:lang w:eastAsia="fr-FR"/>
              <w14:ligatures w14:val="standardContextual"/>
            </w:rPr>
          </w:pPr>
          <w:hyperlink w:anchor="_Toc165899251" w:history="1">
            <w:r w:rsidR="00565546" w:rsidRPr="00B91F3C">
              <w:rPr>
                <w:rStyle w:val="Lienhypertexte"/>
                <w:b w:val="0"/>
                <w:noProof w:val="0"/>
              </w:rPr>
              <w:t>КП «Ликвидация опасных химических веществ в цепочке поставок» (Участвующие страны: Индия, Камбоджа, Коста-Рика, Монголия, Пакистан, Перу, Тринидад и Тобаго и Эквадор)</w:t>
            </w:r>
            <w:r w:rsidR="00565546" w:rsidRPr="00B91F3C">
              <w:rPr>
                <w:b w:val="0"/>
                <w:noProof w:val="0"/>
                <w:webHidden/>
              </w:rPr>
              <w:tab/>
            </w:r>
            <w:r w:rsidR="00565546" w:rsidRPr="00B91F3C">
              <w:rPr>
                <w:b w:val="0"/>
                <w:noProof w:val="0"/>
                <w:webHidden/>
              </w:rPr>
              <w:fldChar w:fldCharType="begin"/>
            </w:r>
            <w:r w:rsidR="00565546" w:rsidRPr="00B91F3C">
              <w:rPr>
                <w:b w:val="0"/>
                <w:noProof w:val="0"/>
                <w:webHidden/>
              </w:rPr>
              <w:instrText xml:space="preserve"> PAGEREF _Toc165899251 \h </w:instrText>
            </w:r>
            <w:r w:rsidR="00565546" w:rsidRPr="00B91F3C">
              <w:rPr>
                <w:b w:val="0"/>
                <w:noProof w:val="0"/>
                <w:webHidden/>
              </w:rPr>
            </w:r>
            <w:r w:rsidR="00565546" w:rsidRPr="00B91F3C">
              <w:rPr>
                <w:b w:val="0"/>
                <w:noProof w:val="0"/>
                <w:webHidden/>
              </w:rPr>
              <w:fldChar w:fldCharType="separate"/>
            </w:r>
            <w:r w:rsidR="00565546" w:rsidRPr="00B91F3C">
              <w:rPr>
                <w:b w:val="0"/>
                <w:noProof w:val="0"/>
                <w:webHidden/>
              </w:rPr>
              <w:t>19</w:t>
            </w:r>
            <w:r w:rsidR="00565546" w:rsidRPr="00B91F3C">
              <w:rPr>
                <w:b w:val="0"/>
                <w:noProof w:val="0"/>
                <w:webHidden/>
              </w:rPr>
              <w:fldChar w:fldCharType="end"/>
            </w:r>
          </w:hyperlink>
        </w:p>
        <w:p w14:paraId="5C8D85D2" w14:textId="235CCAE3" w:rsidR="00565546" w:rsidRPr="00B91F3C" w:rsidRDefault="000E0255" w:rsidP="00930845">
          <w:pPr>
            <w:pStyle w:val="TM2"/>
            <w:rPr>
              <w:rFonts w:eastAsiaTheme="minorEastAsia"/>
              <w:b w:val="0"/>
              <w:noProof w:val="0"/>
              <w:snapToGrid/>
              <w:kern w:val="2"/>
              <w:lang w:eastAsia="fr-FR"/>
              <w14:ligatures w14:val="standardContextual"/>
            </w:rPr>
          </w:pPr>
          <w:hyperlink w:anchor="_Toc165899252" w:history="1">
            <w:r w:rsidR="00565546" w:rsidRPr="00B91F3C">
              <w:rPr>
                <w:rStyle w:val="Lienhypertexte"/>
                <w:b w:val="0"/>
                <w:noProof w:val="0"/>
              </w:rPr>
              <w:t>КП «Устойчивые ландшафты Амазонки» (Участвующие страны: Боливия, Бразилия, Венесуэла, Гайана, Колумбия, Перу, Суринам, Эквадор)</w:t>
            </w:r>
            <w:r w:rsidR="00565546" w:rsidRPr="00B91F3C">
              <w:rPr>
                <w:b w:val="0"/>
                <w:noProof w:val="0"/>
                <w:webHidden/>
              </w:rPr>
              <w:tab/>
            </w:r>
            <w:r w:rsidR="00565546" w:rsidRPr="00B91F3C">
              <w:rPr>
                <w:b w:val="0"/>
                <w:noProof w:val="0"/>
                <w:webHidden/>
              </w:rPr>
              <w:fldChar w:fldCharType="begin"/>
            </w:r>
            <w:r w:rsidR="00565546" w:rsidRPr="00B91F3C">
              <w:rPr>
                <w:b w:val="0"/>
                <w:noProof w:val="0"/>
                <w:webHidden/>
              </w:rPr>
              <w:instrText xml:space="preserve"> PAGEREF _Toc165899252 \h </w:instrText>
            </w:r>
            <w:r w:rsidR="00565546" w:rsidRPr="00B91F3C">
              <w:rPr>
                <w:b w:val="0"/>
                <w:noProof w:val="0"/>
                <w:webHidden/>
              </w:rPr>
            </w:r>
            <w:r w:rsidR="00565546" w:rsidRPr="00B91F3C">
              <w:rPr>
                <w:b w:val="0"/>
                <w:noProof w:val="0"/>
                <w:webHidden/>
              </w:rPr>
              <w:fldChar w:fldCharType="separate"/>
            </w:r>
            <w:r w:rsidR="00565546" w:rsidRPr="00B91F3C">
              <w:rPr>
                <w:b w:val="0"/>
                <w:noProof w:val="0"/>
                <w:webHidden/>
              </w:rPr>
              <w:t>20</w:t>
            </w:r>
            <w:r w:rsidR="00565546" w:rsidRPr="00B91F3C">
              <w:rPr>
                <w:b w:val="0"/>
                <w:noProof w:val="0"/>
                <w:webHidden/>
              </w:rPr>
              <w:fldChar w:fldCharType="end"/>
            </w:r>
          </w:hyperlink>
        </w:p>
        <w:p w14:paraId="3C53BF9A" w14:textId="11B248DA" w:rsidR="00565546" w:rsidRPr="00B91F3C" w:rsidRDefault="000E0255" w:rsidP="00930845">
          <w:pPr>
            <w:pStyle w:val="TM2"/>
            <w:rPr>
              <w:rFonts w:eastAsiaTheme="minorEastAsia"/>
              <w:b w:val="0"/>
              <w:noProof w:val="0"/>
              <w:snapToGrid/>
              <w:kern w:val="2"/>
              <w:lang w:eastAsia="fr-FR"/>
              <w14:ligatures w14:val="standardContextual"/>
            </w:rPr>
          </w:pPr>
          <w:hyperlink w:anchor="_Toc165899253" w:history="1">
            <w:r w:rsidR="00565546" w:rsidRPr="00B91F3C">
              <w:rPr>
                <w:rStyle w:val="Lienhypertexte"/>
                <w:b w:val="0"/>
                <w:noProof w:val="0"/>
              </w:rPr>
              <w:t>КП «Критический лесной биом Конго» (Участвующие страны: Ангола, ДР Конго, Камерун, Сан-Томе и Принсипи, Центральноафриканская Республика и Экваториальная Гвинея)</w:t>
            </w:r>
            <w:r w:rsidR="00565546" w:rsidRPr="00B91F3C">
              <w:rPr>
                <w:b w:val="0"/>
                <w:noProof w:val="0"/>
                <w:webHidden/>
              </w:rPr>
              <w:tab/>
            </w:r>
            <w:r w:rsidR="00565546" w:rsidRPr="00B91F3C">
              <w:rPr>
                <w:b w:val="0"/>
                <w:noProof w:val="0"/>
                <w:webHidden/>
              </w:rPr>
              <w:fldChar w:fldCharType="begin"/>
            </w:r>
            <w:r w:rsidR="00565546" w:rsidRPr="00B91F3C">
              <w:rPr>
                <w:b w:val="0"/>
                <w:noProof w:val="0"/>
                <w:webHidden/>
              </w:rPr>
              <w:instrText xml:space="preserve"> PAGEREF _Toc165899253 \h </w:instrText>
            </w:r>
            <w:r w:rsidR="00565546" w:rsidRPr="00B91F3C">
              <w:rPr>
                <w:b w:val="0"/>
                <w:noProof w:val="0"/>
                <w:webHidden/>
              </w:rPr>
            </w:r>
            <w:r w:rsidR="00565546" w:rsidRPr="00B91F3C">
              <w:rPr>
                <w:b w:val="0"/>
                <w:noProof w:val="0"/>
                <w:webHidden/>
              </w:rPr>
              <w:fldChar w:fldCharType="separate"/>
            </w:r>
            <w:r w:rsidR="00565546" w:rsidRPr="00B91F3C">
              <w:rPr>
                <w:b w:val="0"/>
                <w:noProof w:val="0"/>
                <w:webHidden/>
              </w:rPr>
              <w:t>21</w:t>
            </w:r>
            <w:r w:rsidR="00565546" w:rsidRPr="00B91F3C">
              <w:rPr>
                <w:b w:val="0"/>
                <w:noProof w:val="0"/>
                <w:webHidden/>
              </w:rPr>
              <w:fldChar w:fldCharType="end"/>
            </w:r>
          </w:hyperlink>
        </w:p>
        <w:p w14:paraId="73EA4983" w14:textId="12383CB5" w:rsidR="00565546" w:rsidRPr="00B91F3C" w:rsidRDefault="000E0255" w:rsidP="00930845">
          <w:pPr>
            <w:pStyle w:val="TM2"/>
            <w:rPr>
              <w:rFonts w:eastAsiaTheme="minorEastAsia"/>
              <w:b w:val="0"/>
              <w:noProof w:val="0"/>
              <w:snapToGrid/>
              <w:kern w:val="2"/>
              <w:lang w:eastAsia="fr-FR"/>
              <w14:ligatures w14:val="standardContextual"/>
            </w:rPr>
          </w:pPr>
          <w:hyperlink w:anchor="_Toc165899254" w:history="1">
            <w:r w:rsidR="00565546" w:rsidRPr="00B91F3C">
              <w:rPr>
                <w:rStyle w:val="Lienhypertexte"/>
                <w:b w:val="0"/>
                <w:noProof w:val="0"/>
              </w:rPr>
              <w:t>КП «Критический лесной биом Гвинейский лес» (Участвующие страны: Гвинея, Гвинея-Бисау, Либерия, Сьерра-Леоне)</w:t>
            </w:r>
            <w:r w:rsidR="00565546" w:rsidRPr="00B91F3C">
              <w:rPr>
                <w:b w:val="0"/>
                <w:noProof w:val="0"/>
                <w:webHidden/>
              </w:rPr>
              <w:tab/>
            </w:r>
            <w:r w:rsidR="00565546" w:rsidRPr="00B91F3C">
              <w:rPr>
                <w:b w:val="0"/>
                <w:noProof w:val="0"/>
                <w:webHidden/>
              </w:rPr>
              <w:fldChar w:fldCharType="begin"/>
            </w:r>
            <w:r w:rsidR="00565546" w:rsidRPr="00B91F3C">
              <w:rPr>
                <w:b w:val="0"/>
                <w:noProof w:val="0"/>
                <w:webHidden/>
              </w:rPr>
              <w:instrText xml:space="preserve"> PAGEREF _Toc165899254 \h </w:instrText>
            </w:r>
            <w:r w:rsidR="00565546" w:rsidRPr="00B91F3C">
              <w:rPr>
                <w:b w:val="0"/>
                <w:noProof w:val="0"/>
                <w:webHidden/>
              </w:rPr>
            </w:r>
            <w:r w:rsidR="00565546" w:rsidRPr="00B91F3C">
              <w:rPr>
                <w:b w:val="0"/>
                <w:noProof w:val="0"/>
                <w:webHidden/>
              </w:rPr>
              <w:fldChar w:fldCharType="separate"/>
            </w:r>
            <w:r w:rsidR="00565546" w:rsidRPr="00B91F3C">
              <w:rPr>
                <w:b w:val="0"/>
                <w:noProof w:val="0"/>
                <w:webHidden/>
              </w:rPr>
              <w:t>21</w:t>
            </w:r>
            <w:r w:rsidR="00565546" w:rsidRPr="00B91F3C">
              <w:rPr>
                <w:b w:val="0"/>
                <w:noProof w:val="0"/>
                <w:webHidden/>
              </w:rPr>
              <w:fldChar w:fldCharType="end"/>
            </w:r>
          </w:hyperlink>
        </w:p>
        <w:p w14:paraId="7E132D3C" w14:textId="6B3F9ED4" w:rsidR="00565546" w:rsidRPr="00B91F3C" w:rsidRDefault="000E0255" w:rsidP="00930845">
          <w:pPr>
            <w:pStyle w:val="TM2"/>
            <w:rPr>
              <w:rFonts w:eastAsiaTheme="minorEastAsia"/>
              <w:b w:val="0"/>
              <w:noProof w:val="0"/>
              <w:snapToGrid/>
              <w:kern w:val="2"/>
              <w:lang w:eastAsia="fr-FR"/>
              <w14:ligatures w14:val="standardContextual"/>
            </w:rPr>
          </w:pPr>
          <w:hyperlink w:anchor="_Toc165899255" w:history="1">
            <w:r w:rsidR="00565546" w:rsidRPr="00B91F3C">
              <w:rPr>
                <w:rStyle w:val="Lienhypertexte"/>
                <w:b w:val="0"/>
                <w:noProof w:val="0"/>
              </w:rPr>
              <w:t>КП «Индо-малайский критический лесной биом» (Участвующие страны: Лаосская НДР, Папуа-Новая Гвинея, Таиланд)</w:t>
            </w:r>
            <w:r w:rsidR="00565546" w:rsidRPr="00B91F3C">
              <w:rPr>
                <w:b w:val="0"/>
                <w:noProof w:val="0"/>
                <w:webHidden/>
              </w:rPr>
              <w:tab/>
            </w:r>
            <w:r w:rsidR="00565546" w:rsidRPr="00B91F3C">
              <w:rPr>
                <w:b w:val="0"/>
                <w:noProof w:val="0"/>
                <w:webHidden/>
              </w:rPr>
              <w:fldChar w:fldCharType="begin"/>
            </w:r>
            <w:r w:rsidR="00565546" w:rsidRPr="00B91F3C">
              <w:rPr>
                <w:b w:val="0"/>
                <w:noProof w:val="0"/>
                <w:webHidden/>
              </w:rPr>
              <w:instrText xml:space="preserve"> PAGEREF _Toc165899255 \h </w:instrText>
            </w:r>
            <w:r w:rsidR="00565546" w:rsidRPr="00B91F3C">
              <w:rPr>
                <w:b w:val="0"/>
                <w:noProof w:val="0"/>
                <w:webHidden/>
              </w:rPr>
            </w:r>
            <w:r w:rsidR="00565546" w:rsidRPr="00B91F3C">
              <w:rPr>
                <w:b w:val="0"/>
                <w:noProof w:val="0"/>
                <w:webHidden/>
              </w:rPr>
              <w:fldChar w:fldCharType="separate"/>
            </w:r>
            <w:r w:rsidR="00565546" w:rsidRPr="00B91F3C">
              <w:rPr>
                <w:b w:val="0"/>
                <w:noProof w:val="0"/>
                <w:webHidden/>
              </w:rPr>
              <w:t>22</w:t>
            </w:r>
            <w:r w:rsidR="00565546" w:rsidRPr="00B91F3C">
              <w:rPr>
                <w:b w:val="0"/>
                <w:noProof w:val="0"/>
                <w:webHidden/>
              </w:rPr>
              <w:fldChar w:fldCharType="end"/>
            </w:r>
          </w:hyperlink>
        </w:p>
        <w:p w14:paraId="40BB405F" w14:textId="6316E4AB" w:rsidR="00565546" w:rsidRPr="00B91F3C" w:rsidRDefault="000E0255" w:rsidP="00930845">
          <w:pPr>
            <w:pStyle w:val="TM2"/>
            <w:rPr>
              <w:rFonts w:eastAsiaTheme="minorEastAsia"/>
              <w:b w:val="0"/>
              <w:noProof w:val="0"/>
              <w:snapToGrid/>
              <w:kern w:val="2"/>
              <w:lang w:eastAsia="fr-FR"/>
              <w14:ligatures w14:val="standardContextual"/>
            </w:rPr>
          </w:pPr>
          <w:hyperlink w:anchor="_Toc165899256" w:history="1">
            <w:r w:rsidR="00565546" w:rsidRPr="00B91F3C">
              <w:rPr>
                <w:rStyle w:val="Lienhypertexte"/>
                <w:b w:val="0"/>
                <w:noProof w:val="0"/>
              </w:rPr>
              <w:t>КП «Центральноамериканский критический лесной биом» (Участвующие страны: Гватемала, Гондурас, Мексика, Никарагуа, Панама и Сальвадор)</w:t>
            </w:r>
            <w:r w:rsidR="00565546" w:rsidRPr="00B91F3C">
              <w:rPr>
                <w:b w:val="0"/>
                <w:noProof w:val="0"/>
                <w:webHidden/>
              </w:rPr>
              <w:tab/>
            </w:r>
            <w:r w:rsidR="00565546" w:rsidRPr="00B91F3C">
              <w:rPr>
                <w:b w:val="0"/>
                <w:noProof w:val="0"/>
                <w:webHidden/>
              </w:rPr>
              <w:fldChar w:fldCharType="begin"/>
            </w:r>
            <w:r w:rsidR="00565546" w:rsidRPr="00B91F3C">
              <w:rPr>
                <w:b w:val="0"/>
                <w:noProof w:val="0"/>
                <w:webHidden/>
              </w:rPr>
              <w:instrText xml:space="preserve"> PAGEREF _Toc165899256 \h </w:instrText>
            </w:r>
            <w:r w:rsidR="00565546" w:rsidRPr="00B91F3C">
              <w:rPr>
                <w:b w:val="0"/>
                <w:noProof w:val="0"/>
                <w:webHidden/>
              </w:rPr>
            </w:r>
            <w:r w:rsidR="00565546" w:rsidRPr="00B91F3C">
              <w:rPr>
                <w:b w:val="0"/>
                <w:noProof w:val="0"/>
                <w:webHidden/>
              </w:rPr>
              <w:fldChar w:fldCharType="separate"/>
            </w:r>
            <w:r w:rsidR="00565546" w:rsidRPr="00B91F3C">
              <w:rPr>
                <w:b w:val="0"/>
                <w:noProof w:val="0"/>
                <w:webHidden/>
              </w:rPr>
              <w:t>23</w:t>
            </w:r>
            <w:r w:rsidR="00565546" w:rsidRPr="00B91F3C">
              <w:rPr>
                <w:b w:val="0"/>
                <w:noProof w:val="0"/>
                <w:webHidden/>
              </w:rPr>
              <w:fldChar w:fldCharType="end"/>
            </w:r>
          </w:hyperlink>
        </w:p>
        <w:p w14:paraId="6AA153CD" w14:textId="18579547" w:rsidR="00565546" w:rsidRPr="00B91F3C" w:rsidRDefault="000E0255" w:rsidP="00930845">
          <w:pPr>
            <w:pStyle w:val="TM2"/>
            <w:rPr>
              <w:rFonts w:eastAsiaTheme="minorEastAsia"/>
              <w:b w:val="0"/>
              <w:noProof w:val="0"/>
              <w:snapToGrid/>
              <w:kern w:val="2"/>
              <w:lang w:eastAsia="fr-FR"/>
              <w14:ligatures w14:val="standardContextual"/>
            </w:rPr>
          </w:pPr>
          <w:hyperlink w:anchor="_Toc165899257" w:history="1">
            <w:r w:rsidR="00565546" w:rsidRPr="00B91F3C">
              <w:rPr>
                <w:rStyle w:val="Lienhypertexte"/>
                <w:b w:val="0"/>
                <w:noProof w:val="0"/>
              </w:rPr>
              <w:t>КП «Сохранение дикой природы в интересах развития» (Участвующие страны: Гвинея, Замбия, Индонезия, Кения, Колумбия, Малави, Мексика, Мозамбик, Непал, Парагвай, Таиланд, Уганда, Филиппины, Эсватини и Эфиопия)</w:t>
            </w:r>
            <w:r w:rsidR="00565546" w:rsidRPr="00B91F3C">
              <w:rPr>
                <w:b w:val="0"/>
                <w:noProof w:val="0"/>
                <w:webHidden/>
              </w:rPr>
              <w:tab/>
            </w:r>
            <w:r w:rsidR="00565546" w:rsidRPr="00B91F3C">
              <w:rPr>
                <w:b w:val="0"/>
                <w:noProof w:val="0"/>
                <w:webHidden/>
              </w:rPr>
              <w:fldChar w:fldCharType="begin"/>
            </w:r>
            <w:r w:rsidR="00565546" w:rsidRPr="00B91F3C">
              <w:rPr>
                <w:b w:val="0"/>
                <w:noProof w:val="0"/>
                <w:webHidden/>
              </w:rPr>
              <w:instrText xml:space="preserve"> PAGEREF _Toc165899257 \h </w:instrText>
            </w:r>
            <w:r w:rsidR="00565546" w:rsidRPr="00B91F3C">
              <w:rPr>
                <w:b w:val="0"/>
                <w:noProof w:val="0"/>
                <w:webHidden/>
              </w:rPr>
            </w:r>
            <w:r w:rsidR="00565546" w:rsidRPr="00B91F3C">
              <w:rPr>
                <w:b w:val="0"/>
                <w:noProof w:val="0"/>
                <w:webHidden/>
              </w:rPr>
              <w:fldChar w:fldCharType="separate"/>
            </w:r>
            <w:r w:rsidR="00565546" w:rsidRPr="00B91F3C">
              <w:rPr>
                <w:b w:val="0"/>
                <w:noProof w:val="0"/>
                <w:webHidden/>
              </w:rPr>
              <w:t>24</w:t>
            </w:r>
            <w:r w:rsidR="00565546" w:rsidRPr="00B91F3C">
              <w:rPr>
                <w:b w:val="0"/>
                <w:noProof w:val="0"/>
                <w:webHidden/>
              </w:rPr>
              <w:fldChar w:fldCharType="end"/>
            </w:r>
          </w:hyperlink>
        </w:p>
        <w:p w14:paraId="4A18D0C4" w14:textId="289135AD" w:rsidR="00565546" w:rsidRPr="00B91F3C" w:rsidRDefault="000E0255" w:rsidP="00930845">
          <w:pPr>
            <w:pStyle w:val="TM2"/>
            <w:rPr>
              <w:rFonts w:eastAsiaTheme="minorEastAsia"/>
              <w:b w:val="0"/>
              <w:noProof w:val="0"/>
              <w:snapToGrid/>
              <w:kern w:val="2"/>
              <w:lang w:eastAsia="fr-FR"/>
              <w14:ligatures w14:val="standardContextual"/>
            </w:rPr>
          </w:pPr>
          <w:hyperlink w:anchor="_Toc165899258" w:history="1">
            <w:r w:rsidR="00565546" w:rsidRPr="00B91F3C">
              <w:rPr>
                <w:rStyle w:val="Lienhypertexte"/>
                <w:b w:val="0"/>
                <w:noProof w:val="0"/>
              </w:rPr>
              <w:t>КП «Продовольственные системы» (Участвующие страны: Ангола, Аргентина, Бенин, Буркина-Фасо, Бутан, Гана, Гренада, Индия, Индонезия, Казахстан, Кения, Китай, Коста-Рика, Малайзия, Мексика, Намибия, Науру, Нигерия, Пакистан, Перу, Соломоновы Острова, Танзания, Турция, Уганда, Филиппины, Чад, Чили, Шри-Ланка, Эквадор, Эсватини, Эфиопия и Южная Африка)</w:t>
            </w:r>
            <w:r w:rsidR="00565546" w:rsidRPr="00B91F3C">
              <w:rPr>
                <w:b w:val="0"/>
                <w:noProof w:val="0"/>
                <w:webHidden/>
              </w:rPr>
              <w:tab/>
            </w:r>
            <w:r w:rsidR="00565546" w:rsidRPr="00B91F3C">
              <w:rPr>
                <w:b w:val="0"/>
                <w:noProof w:val="0"/>
                <w:webHidden/>
              </w:rPr>
              <w:fldChar w:fldCharType="begin"/>
            </w:r>
            <w:r w:rsidR="00565546" w:rsidRPr="00B91F3C">
              <w:rPr>
                <w:b w:val="0"/>
                <w:noProof w:val="0"/>
                <w:webHidden/>
              </w:rPr>
              <w:instrText xml:space="preserve"> PAGEREF _Toc165899258 \h </w:instrText>
            </w:r>
            <w:r w:rsidR="00565546" w:rsidRPr="00B91F3C">
              <w:rPr>
                <w:b w:val="0"/>
                <w:noProof w:val="0"/>
                <w:webHidden/>
              </w:rPr>
            </w:r>
            <w:r w:rsidR="00565546" w:rsidRPr="00B91F3C">
              <w:rPr>
                <w:b w:val="0"/>
                <w:noProof w:val="0"/>
                <w:webHidden/>
              </w:rPr>
              <w:fldChar w:fldCharType="separate"/>
            </w:r>
            <w:r w:rsidR="00565546" w:rsidRPr="00B91F3C">
              <w:rPr>
                <w:b w:val="0"/>
                <w:noProof w:val="0"/>
                <w:webHidden/>
              </w:rPr>
              <w:t>25</w:t>
            </w:r>
            <w:r w:rsidR="00565546" w:rsidRPr="00B91F3C">
              <w:rPr>
                <w:b w:val="0"/>
                <w:noProof w:val="0"/>
                <w:webHidden/>
              </w:rPr>
              <w:fldChar w:fldCharType="end"/>
            </w:r>
          </w:hyperlink>
        </w:p>
        <w:p w14:paraId="350DBB42" w14:textId="0E922C91" w:rsidR="00565546" w:rsidRPr="00B91F3C" w:rsidRDefault="000E0255" w:rsidP="00930845">
          <w:pPr>
            <w:pStyle w:val="TM2"/>
            <w:rPr>
              <w:rFonts w:eastAsiaTheme="minorEastAsia"/>
              <w:b w:val="0"/>
              <w:noProof w:val="0"/>
              <w:snapToGrid/>
              <w:kern w:val="2"/>
              <w:lang w:eastAsia="fr-FR"/>
              <w14:ligatures w14:val="standardContextual"/>
            </w:rPr>
          </w:pPr>
          <w:hyperlink w:anchor="_Toc165899259" w:history="1">
            <w:r w:rsidR="00565546" w:rsidRPr="00B91F3C">
              <w:rPr>
                <w:rStyle w:val="Lienhypertexte"/>
                <w:b w:val="0"/>
                <w:noProof w:val="0"/>
              </w:rPr>
              <w:t>КП «Чистые и здоровые океаны» (Участвующие страны: Венесуэла, Вьетнам, Гренада, Иордания, Мадагаскар, Мальдивские Острова, Мексика, Молдова, Панама, Перу, Сент-Китс и Невис, Таиланд, Тринидад и Тобаго и Шри-Ланка)</w:t>
            </w:r>
            <w:r w:rsidR="00565546" w:rsidRPr="00B91F3C">
              <w:rPr>
                <w:b w:val="0"/>
                <w:noProof w:val="0"/>
                <w:webHidden/>
              </w:rPr>
              <w:tab/>
            </w:r>
            <w:r w:rsidR="00565546" w:rsidRPr="00B91F3C">
              <w:rPr>
                <w:b w:val="0"/>
                <w:noProof w:val="0"/>
                <w:webHidden/>
              </w:rPr>
              <w:fldChar w:fldCharType="begin"/>
            </w:r>
            <w:r w:rsidR="00565546" w:rsidRPr="00B91F3C">
              <w:rPr>
                <w:b w:val="0"/>
                <w:noProof w:val="0"/>
                <w:webHidden/>
              </w:rPr>
              <w:instrText xml:space="preserve"> PAGEREF _Toc165899259 \h </w:instrText>
            </w:r>
            <w:r w:rsidR="00565546" w:rsidRPr="00B91F3C">
              <w:rPr>
                <w:b w:val="0"/>
                <w:noProof w:val="0"/>
                <w:webHidden/>
              </w:rPr>
            </w:r>
            <w:r w:rsidR="00565546" w:rsidRPr="00B91F3C">
              <w:rPr>
                <w:b w:val="0"/>
                <w:noProof w:val="0"/>
                <w:webHidden/>
              </w:rPr>
              <w:fldChar w:fldCharType="separate"/>
            </w:r>
            <w:r w:rsidR="00565546" w:rsidRPr="00B91F3C">
              <w:rPr>
                <w:b w:val="0"/>
                <w:noProof w:val="0"/>
                <w:webHidden/>
              </w:rPr>
              <w:t>26</w:t>
            </w:r>
            <w:r w:rsidR="00565546" w:rsidRPr="00B91F3C">
              <w:rPr>
                <w:b w:val="0"/>
                <w:noProof w:val="0"/>
                <w:webHidden/>
              </w:rPr>
              <w:fldChar w:fldCharType="end"/>
            </w:r>
          </w:hyperlink>
        </w:p>
        <w:p w14:paraId="6AD59476" w14:textId="1574F406" w:rsidR="00565546" w:rsidRPr="00B91F3C" w:rsidRDefault="000E0255" w:rsidP="00930845">
          <w:pPr>
            <w:pStyle w:val="TM2"/>
            <w:rPr>
              <w:rFonts w:eastAsiaTheme="minorEastAsia"/>
              <w:b w:val="0"/>
              <w:noProof w:val="0"/>
              <w:snapToGrid/>
              <w:kern w:val="2"/>
              <w:lang w:eastAsia="fr-FR"/>
              <w14:ligatures w14:val="standardContextual"/>
            </w:rPr>
          </w:pPr>
          <w:hyperlink w:anchor="_Toc165899260" w:history="1">
            <w:r w:rsidR="00565546" w:rsidRPr="00B91F3C">
              <w:rPr>
                <w:rStyle w:val="Lienhypertexte"/>
                <w:b w:val="0"/>
                <w:noProof w:val="0"/>
              </w:rPr>
              <w:t>КП «Зеленое развитие транспортной инфраструктуры» (Участвующие страны: Малайзия, Непал, Суринам, Украина и Филиппины)</w:t>
            </w:r>
            <w:r w:rsidR="00565546" w:rsidRPr="00B91F3C">
              <w:rPr>
                <w:b w:val="0"/>
                <w:noProof w:val="0"/>
                <w:webHidden/>
              </w:rPr>
              <w:tab/>
            </w:r>
            <w:r w:rsidR="00565546" w:rsidRPr="00B91F3C">
              <w:rPr>
                <w:b w:val="0"/>
                <w:noProof w:val="0"/>
                <w:webHidden/>
              </w:rPr>
              <w:fldChar w:fldCharType="begin"/>
            </w:r>
            <w:r w:rsidR="00565546" w:rsidRPr="00B91F3C">
              <w:rPr>
                <w:b w:val="0"/>
                <w:noProof w:val="0"/>
                <w:webHidden/>
              </w:rPr>
              <w:instrText xml:space="preserve"> PAGEREF _Toc165899260 \h </w:instrText>
            </w:r>
            <w:r w:rsidR="00565546" w:rsidRPr="00B91F3C">
              <w:rPr>
                <w:b w:val="0"/>
                <w:noProof w:val="0"/>
                <w:webHidden/>
              </w:rPr>
            </w:r>
            <w:r w:rsidR="00565546" w:rsidRPr="00B91F3C">
              <w:rPr>
                <w:b w:val="0"/>
                <w:noProof w:val="0"/>
                <w:webHidden/>
              </w:rPr>
              <w:fldChar w:fldCharType="separate"/>
            </w:r>
            <w:r w:rsidR="00565546" w:rsidRPr="00B91F3C">
              <w:rPr>
                <w:b w:val="0"/>
                <w:noProof w:val="0"/>
                <w:webHidden/>
              </w:rPr>
              <w:t>27</w:t>
            </w:r>
            <w:r w:rsidR="00565546" w:rsidRPr="00B91F3C">
              <w:rPr>
                <w:b w:val="0"/>
                <w:noProof w:val="0"/>
                <w:webHidden/>
              </w:rPr>
              <w:fldChar w:fldCharType="end"/>
            </w:r>
          </w:hyperlink>
        </w:p>
        <w:p w14:paraId="1EAD69A2" w14:textId="6DEFC265" w:rsidR="00565546" w:rsidRPr="00B91F3C" w:rsidRDefault="000E0255" w:rsidP="00930845">
          <w:pPr>
            <w:pStyle w:val="TM2"/>
            <w:rPr>
              <w:rFonts w:eastAsiaTheme="minorEastAsia"/>
              <w:b w:val="0"/>
              <w:noProof w:val="0"/>
              <w:snapToGrid/>
              <w:kern w:val="2"/>
              <w:lang w:eastAsia="fr-FR"/>
              <w14:ligatures w14:val="standardContextual"/>
            </w:rPr>
          </w:pPr>
          <w:hyperlink w:anchor="_Toc165899261" w:history="1">
            <w:r w:rsidR="00565546" w:rsidRPr="00B91F3C">
              <w:rPr>
                <w:rStyle w:val="Lienhypertexte"/>
                <w:b w:val="0"/>
                <w:noProof w:val="0"/>
              </w:rPr>
              <w:t>Другие способы участия ГЭФ в осуществлении Куньминско-Монреальской глобальной рамочной программы в области биоразнообразия</w:t>
            </w:r>
            <w:r w:rsidR="00565546" w:rsidRPr="00B91F3C">
              <w:rPr>
                <w:b w:val="0"/>
                <w:noProof w:val="0"/>
                <w:webHidden/>
              </w:rPr>
              <w:tab/>
            </w:r>
            <w:r w:rsidR="00565546" w:rsidRPr="00B91F3C">
              <w:rPr>
                <w:b w:val="0"/>
                <w:noProof w:val="0"/>
                <w:webHidden/>
              </w:rPr>
              <w:fldChar w:fldCharType="begin"/>
            </w:r>
            <w:r w:rsidR="00565546" w:rsidRPr="00B91F3C">
              <w:rPr>
                <w:b w:val="0"/>
                <w:noProof w:val="0"/>
                <w:webHidden/>
              </w:rPr>
              <w:instrText xml:space="preserve"> PAGEREF _Toc165899261 \h </w:instrText>
            </w:r>
            <w:r w:rsidR="00565546" w:rsidRPr="00B91F3C">
              <w:rPr>
                <w:b w:val="0"/>
                <w:noProof w:val="0"/>
                <w:webHidden/>
              </w:rPr>
            </w:r>
            <w:r w:rsidR="00565546" w:rsidRPr="00B91F3C">
              <w:rPr>
                <w:b w:val="0"/>
                <w:noProof w:val="0"/>
                <w:webHidden/>
              </w:rPr>
              <w:fldChar w:fldCharType="separate"/>
            </w:r>
            <w:r w:rsidR="00565546" w:rsidRPr="00B91F3C">
              <w:rPr>
                <w:b w:val="0"/>
                <w:noProof w:val="0"/>
                <w:webHidden/>
              </w:rPr>
              <w:t>27</w:t>
            </w:r>
            <w:r w:rsidR="00565546" w:rsidRPr="00B91F3C">
              <w:rPr>
                <w:b w:val="0"/>
                <w:noProof w:val="0"/>
                <w:webHidden/>
              </w:rPr>
              <w:fldChar w:fldCharType="end"/>
            </w:r>
          </w:hyperlink>
        </w:p>
        <w:p w14:paraId="7DBA1B94" w14:textId="582CD788" w:rsidR="00565546" w:rsidRPr="00B91F3C" w:rsidRDefault="000E0255">
          <w:pPr>
            <w:pStyle w:val="TM3"/>
            <w:rPr>
              <w:rFonts w:eastAsiaTheme="minorEastAsia" w:cstheme="minorHAnsi"/>
              <w:bCs/>
              <w:noProof w:val="0"/>
              <w:kern w:val="2"/>
              <w:lang w:eastAsia="fr-FR"/>
              <w14:ligatures w14:val="standardContextual"/>
            </w:rPr>
          </w:pPr>
          <w:hyperlink w:anchor="_Toc165899262" w:history="1">
            <w:r w:rsidR="00565546" w:rsidRPr="00B91F3C">
              <w:rPr>
                <w:rStyle w:val="Lienhypertexte"/>
                <w:rFonts w:cstheme="minorHAnsi"/>
                <w:bCs/>
                <w:noProof w:val="0"/>
              </w:rPr>
              <w:t>Адаптация к изменению климата</w:t>
            </w:r>
            <w:r w:rsidR="00565546" w:rsidRPr="00B91F3C">
              <w:rPr>
                <w:rFonts w:cstheme="minorHAnsi"/>
                <w:bCs/>
                <w:noProof w:val="0"/>
                <w:webHidden/>
              </w:rPr>
              <w:tab/>
            </w:r>
            <w:r w:rsidR="00565546" w:rsidRPr="00B91F3C">
              <w:rPr>
                <w:rFonts w:cstheme="minorHAnsi"/>
                <w:bCs/>
                <w:noProof w:val="0"/>
                <w:webHidden/>
              </w:rPr>
              <w:fldChar w:fldCharType="begin"/>
            </w:r>
            <w:r w:rsidR="00565546" w:rsidRPr="00B91F3C">
              <w:rPr>
                <w:rFonts w:cstheme="minorHAnsi"/>
                <w:bCs/>
                <w:noProof w:val="0"/>
                <w:webHidden/>
              </w:rPr>
              <w:instrText xml:space="preserve"> PAGEREF _Toc165899262 \h </w:instrText>
            </w:r>
            <w:r w:rsidR="00565546" w:rsidRPr="00B91F3C">
              <w:rPr>
                <w:rFonts w:cstheme="minorHAnsi"/>
                <w:bCs/>
                <w:noProof w:val="0"/>
                <w:webHidden/>
              </w:rPr>
            </w:r>
            <w:r w:rsidR="00565546" w:rsidRPr="00B91F3C">
              <w:rPr>
                <w:rFonts w:cstheme="minorHAnsi"/>
                <w:bCs/>
                <w:noProof w:val="0"/>
                <w:webHidden/>
              </w:rPr>
              <w:fldChar w:fldCharType="separate"/>
            </w:r>
            <w:r w:rsidR="00565546" w:rsidRPr="00B91F3C">
              <w:rPr>
                <w:rFonts w:cstheme="minorHAnsi"/>
                <w:bCs/>
                <w:noProof w:val="0"/>
                <w:webHidden/>
              </w:rPr>
              <w:t>27</w:t>
            </w:r>
            <w:r w:rsidR="00565546" w:rsidRPr="00B91F3C">
              <w:rPr>
                <w:rFonts w:cstheme="minorHAnsi"/>
                <w:bCs/>
                <w:noProof w:val="0"/>
                <w:webHidden/>
              </w:rPr>
              <w:fldChar w:fldCharType="end"/>
            </w:r>
          </w:hyperlink>
        </w:p>
        <w:p w14:paraId="67C0F1A7" w14:textId="3DF4DC4E" w:rsidR="00565546" w:rsidRPr="00B91F3C" w:rsidRDefault="000E0255">
          <w:pPr>
            <w:pStyle w:val="TM3"/>
            <w:rPr>
              <w:rFonts w:eastAsiaTheme="minorEastAsia" w:cstheme="minorHAnsi"/>
              <w:bCs/>
              <w:noProof w:val="0"/>
              <w:kern w:val="2"/>
              <w:lang w:eastAsia="fr-FR"/>
              <w14:ligatures w14:val="standardContextual"/>
            </w:rPr>
          </w:pPr>
          <w:hyperlink w:anchor="_Toc165899263" w:history="1">
            <w:r w:rsidR="00565546" w:rsidRPr="00B91F3C">
              <w:rPr>
                <w:rStyle w:val="Lienhypertexte"/>
                <w:rFonts w:cstheme="minorHAnsi"/>
                <w:bCs/>
                <w:noProof w:val="0"/>
              </w:rPr>
              <w:t>Целевая область «Международные воды»</w:t>
            </w:r>
            <w:r w:rsidR="00565546" w:rsidRPr="00B91F3C">
              <w:rPr>
                <w:rFonts w:cstheme="minorHAnsi"/>
                <w:bCs/>
                <w:noProof w:val="0"/>
                <w:webHidden/>
              </w:rPr>
              <w:tab/>
            </w:r>
            <w:r w:rsidR="00565546" w:rsidRPr="00B91F3C">
              <w:rPr>
                <w:rFonts w:cstheme="minorHAnsi"/>
                <w:bCs/>
                <w:noProof w:val="0"/>
                <w:webHidden/>
              </w:rPr>
              <w:fldChar w:fldCharType="begin"/>
            </w:r>
            <w:r w:rsidR="00565546" w:rsidRPr="00B91F3C">
              <w:rPr>
                <w:rFonts w:cstheme="minorHAnsi"/>
                <w:bCs/>
                <w:noProof w:val="0"/>
                <w:webHidden/>
              </w:rPr>
              <w:instrText xml:space="preserve"> PAGEREF _Toc165899263 \h </w:instrText>
            </w:r>
            <w:r w:rsidR="00565546" w:rsidRPr="00B91F3C">
              <w:rPr>
                <w:rFonts w:cstheme="minorHAnsi"/>
                <w:bCs/>
                <w:noProof w:val="0"/>
                <w:webHidden/>
              </w:rPr>
            </w:r>
            <w:r w:rsidR="00565546" w:rsidRPr="00B91F3C">
              <w:rPr>
                <w:rFonts w:cstheme="minorHAnsi"/>
                <w:bCs/>
                <w:noProof w:val="0"/>
                <w:webHidden/>
              </w:rPr>
              <w:fldChar w:fldCharType="separate"/>
            </w:r>
            <w:r w:rsidR="00565546" w:rsidRPr="00B91F3C">
              <w:rPr>
                <w:rFonts w:cstheme="minorHAnsi"/>
                <w:bCs/>
                <w:noProof w:val="0"/>
                <w:webHidden/>
              </w:rPr>
              <w:t>28</w:t>
            </w:r>
            <w:r w:rsidR="00565546" w:rsidRPr="00B91F3C">
              <w:rPr>
                <w:rFonts w:cstheme="minorHAnsi"/>
                <w:bCs/>
                <w:noProof w:val="0"/>
                <w:webHidden/>
              </w:rPr>
              <w:fldChar w:fldCharType="end"/>
            </w:r>
          </w:hyperlink>
        </w:p>
        <w:p w14:paraId="70037B4B" w14:textId="33C3A314" w:rsidR="00565546" w:rsidRPr="00B91F3C" w:rsidRDefault="000E0255">
          <w:pPr>
            <w:pStyle w:val="TM3"/>
            <w:rPr>
              <w:rFonts w:eastAsiaTheme="minorEastAsia" w:cstheme="minorHAnsi"/>
              <w:bCs/>
              <w:noProof w:val="0"/>
              <w:kern w:val="2"/>
              <w:lang w:eastAsia="fr-FR"/>
              <w14:ligatures w14:val="standardContextual"/>
            </w:rPr>
          </w:pPr>
          <w:hyperlink w:anchor="_Toc165899264" w:history="1">
            <w:r w:rsidR="00565546" w:rsidRPr="00B91F3C">
              <w:rPr>
                <w:rStyle w:val="Lienhypertexte"/>
                <w:rFonts w:cstheme="minorHAnsi"/>
                <w:bCs/>
                <w:noProof w:val="0"/>
              </w:rPr>
              <w:t>Не связанные с грантами инструменты</w:t>
            </w:r>
            <w:r w:rsidR="00565546" w:rsidRPr="00B91F3C">
              <w:rPr>
                <w:rFonts w:cstheme="minorHAnsi"/>
                <w:bCs/>
                <w:noProof w:val="0"/>
                <w:webHidden/>
              </w:rPr>
              <w:tab/>
            </w:r>
            <w:r w:rsidR="00565546" w:rsidRPr="00B91F3C">
              <w:rPr>
                <w:rFonts w:cstheme="minorHAnsi"/>
                <w:bCs/>
                <w:noProof w:val="0"/>
                <w:webHidden/>
              </w:rPr>
              <w:fldChar w:fldCharType="begin"/>
            </w:r>
            <w:r w:rsidR="00565546" w:rsidRPr="00B91F3C">
              <w:rPr>
                <w:rFonts w:cstheme="minorHAnsi"/>
                <w:bCs/>
                <w:noProof w:val="0"/>
                <w:webHidden/>
              </w:rPr>
              <w:instrText xml:space="preserve"> PAGEREF _Toc165899264 \h </w:instrText>
            </w:r>
            <w:r w:rsidR="00565546" w:rsidRPr="00B91F3C">
              <w:rPr>
                <w:rFonts w:cstheme="minorHAnsi"/>
                <w:bCs/>
                <w:noProof w:val="0"/>
                <w:webHidden/>
              </w:rPr>
            </w:r>
            <w:r w:rsidR="00565546" w:rsidRPr="00B91F3C">
              <w:rPr>
                <w:rFonts w:cstheme="minorHAnsi"/>
                <w:bCs/>
                <w:noProof w:val="0"/>
                <w:webHidden/>
              </w:rPr>
              <w:fldChar w:fldCharType="separate"/>
            </w:r>
            <w:r w:rsidR="00565546" w:rsidRPr="00B91F3C">
              <w:rPr>
                <w:rFonts w:cstheme="minorHAnsi"/>
                <w:bCs/>
                <w:noProof w:val="0"/>
                <w:webHidden/>
              </w:rPr>
              <w:t>31</w:t>
            </w:r>
            <w:r w:rsidR="00565546" w:rsidRPr="00B91F3C">
              <w:rPr>
                <w:rFonts w:cstheme="minorHAnsi"/>
                <w:bCs/>
                <w:noProof w:val="0"/>
                <w:webHidden/>
              </w:rPr>
              <w:fldChar w:fldCharType="end"/>
            </w:r>
          </w:hyperlink>
        </w:p>
        <w:p w14:paraId="509DCE1A" w14:textId="21ECDEE7" w:rsidR="00565546" w:rsidRPr="00B91F3C" w:rsidRDefault="000E0255" w:rsidP="00930845">
          <w:pPr>
            <w:pStyle w:val="TM2"/>
            <w:rPr>
              <w:rFonts w:eastAsiaTheme="minorEastAsia"/>
              <w:b w:val="0"/>
              <w:noProof w:val="0"/>
              <w:snapToGrid/>
              <w:kern w:val="2"/>
              <w:lang w:eastAsia="fr-FR"/>
              <w14:ligatures w14:val="standardContextual"/>
            </w:rPr>
          </w:pPr>
          <w:hyperlink w:anchor="_Toc165899265" w:history="1">
            <w:r w:rsidR="00565546" w:rsidRPr="00B91F3C">
              <w:rPr>
                <w:rStyle w:val="Lienhypertexte"/>
                <w:b w:val="0"/>
                <w:noProof w:val="0"/>
              </w:rPr>
              <w:t>Оказание поддержки коренным народам и местным общинам в осуществлении Куньминско-Монреальской глобальной рамочной программы в области биоразнообразия</w:t>
            </w:r>
            <w:r w:rsidR="00565546" w:rsidRPr="00B91F3C">
              <w:rPr>
                <w:b w:val="0"/>
                <w:noProof w:val="0"/>
                <w:webHidden/>
              </w:rPr>
              <w:tab/>
            </w:r>
            <w:r w:rsidR="00565546" w:rsidRPr="00B91F3C">
              <w:rPr>
                <w:b w:val="0"/>
                <w:noProof w:val="0"/>
                <w:webHidden/>
              </w:rPr>
              <w:fldChar w:fldCharType="begin"/>
            </w:r>
            <w:r w:rsidR="00565546" w:rsidRPr="00B91F3C">
              <w:rPr>
                <w:b w:val="0"/>
                <w:noProof w:val="0"/>
                <w:webHidden/>
              </w:rPr>
              <w:instrText xml:space="preserve"> PAGEREF _Toc165899265 \h </w:instrText>
            </w:r>
            <w:r w:rsidR="00565546" w:rsidRPr="00B91F3C">
              <w:rPr>
                <w:b w:val="0"/>
                <w:noProof w:val="0"/>
                <w:webHidden/>
              </w:rPr>
            </w:r>
            <w:r w:rsidR="00565546" w:rsidRPr="00B91F3C">
              <w:rPr>
                <w:b w:val="0"/>
                <w:noProof w:val="0"/>
                <w:webHidden/>
              </w:rPr>
              <w:fldChar w:fldCharType="separate"/>
            </w:r>
            <w:r w:rsidR="00565546" w:rsidRPr="00B91F3C">
              <w:rPr>
                <w:b w:val="0"/>
                <w:noProof w:val="0"/>
                <w:webHidden/>
              </w:rPr>
              <w:t>34</w:t>
            </w:r>
            <w:r w:rsidR="00565546" w:rsidRPr="00B91F3C">
              <w:rPr>
                <w:b w:val="0"/>
                <w:noProof w:val="0"/>
                <w:webHidden/>
              </w:rPr>
              <w:fldChar w:fldCharType="end"/>
            </w:r>
          </w:hyperlink>
        </w:p>
        <w:p w14:paraId="50F89DFA" w14:textId="224FF5B1" w:rsidR="00565546" w:rsidRPr="00B91F3C" w:rsidRDefault="000E0255" w:rsidP="00930845">
          <w:pPr>
            <w:pStyle w:val="TM2"/>
            <w:rPr>
              <w:rFonts w:eastAsiaTheme="minorEastAsia"/>
              <w:b w:val="0"/>
              <w:noProof w:val="0"/>
              <w:snapToGrid/>
              <w:kern w:val="2"/>
              <w:lang w:eastAsia="fr-FR"/>
              <w14:ligatures w14:val="standardContextual"/>
            </w:rPr>
          </w:pPr>
          <w:hyperlink w:anchor="_Toc165899266" w:history="1">
            <w:r w:rsidR="00565546" w:rsidRPr="00B91F3C">
              <w:rPr>
                <w:rStyle w:val="Lienhypertexte"/>
                <w:b w:val="0"/>
                <w:noProof w:val="0"/>
              </w:rPr>
              <w:t>Программа малых грантов</w:t>
            </w:r>
            <w:r w:rsidR="00565546" w:rsidRPr="00B91F3C">
              <w:rPr>
                <w:b w:val="0"/>
                <w:noProof w:val="0"/>
                <w:webHidden/>
              </w:rPr>
              <w:tab/>
            </w:r>
            <w:r w:rsidR="00565546" w:rsidRPr="00B91F3C">
              <w:rPr>
                <w:b w:val="0"/>
                <w:noProof w:val="0"/>
                <w:webHidden/>
              </w:rPr>
              <w:fldChar w:fldCharType="begin"/>
            </w:r>
            <w:r w:rsidR="00565546" w:rsidRPr="00B91F3C">
              <w:rPr>
                <w:b w:val="0"/>
                <w:noProof w:val="0"/>
                <w:webHidden/>
              </w:rPr>
              <w:instrText xml:space="preserve"> PAGEREF _Toc165899266 \h </w:instrText>
            </w:r>
            <w:r w:rsidR="00565546" w:rsidRPr="00B91F3C">
              <w:rPr>
                <w:b w:val="0"/>
                <w:noProof w:val="0"/>
                <w:webHidden/>
              </w:rPr>
            </w:r>
            <w:r w:rsidR="00565546" w:rsidRPr="00B91F3C">
              <w:rPr>
                <w:b w:val="0"/>
                <w:noProof w:val="0"/>
                <w:webHidden/>
              </w:rPr>
              <w:fldChar w:fldCharType="separate"/>
            </w:r>
            <w:r w:rsidR="00565546" w:rsidRPr="00B91F3C">
              <w:rPr>
                <w:b w:val="0"/>
                <w:noProof w:val="0"/>
                <w:webHidden/>
              </w:rPr>
              <w:t>36</w:t>
            </w:r>
            <w:r w:rsidR="00565546" w:rsidRPr="00B91F3C">
              <w:rPr>
                <w:b w:val="0"/>
                <w:noProof w:val="0"/>
                <w:webHidden/>
              </w:rPr>
              <w:fldChar w:fldCharType="end"/>
            </w:r>
          </w:hyperlink>
        </w:p>
        <w:p w14:paraId="6CD15430" w14:textId="66B428A6" w:rsidR="00565546" w:rsidRPr="00B91F3C" w:rsidRDefault="000E0255">
          <w:pPr>
            <w:pStyle w:val="TM3"/>
            <w:rPr>
              <w:rFonts w:eastAsiaTheme="minorEastAsia" w:cstheme="minorHAnsi"/>
              <w:bCs/>
              <w:noProof w:val="0"/>
              <w:kern w:val="2"/>
              <w:lang w:eastAsia="fr-FR"/>
              <w14:ligatures w14:val="standardContextual"/>
            </w:rPr>
          </w:pPr>
          <w:hyperlink w:anchor="_Toc165899267" w:history="1">
            <w:r w:rsidR="00565546" w:rsidRPr="00B91F3C">
              <w:rPr>
                <w:rStyle w:val="Lienhypertexte"/>
                <w:rFonts w:cstheme="minorHAnsi"/>
                <w:bCs/>
                <w:noProof w:val="0"/>
              </w:rPr>
              <w:t>Текущее состояние портфеля ПМГ</w:t>
            </w:r>
            <w:r w:rsidR="00565546" w:rsidRPr="00B91F3C">
              <w:rPr>
                <w:rFonts w:cstheme="minorHAnsi"/>
                <w:bCs/>
                <w:noProof w:val="0"/>
                <w:webHidden/>
              </w:rPr>
              <w:tab/>
            </w:r>
            <w:r w:rsidR="00565546" w:rsidRPr="00B91F3C">
              <w:rPr>
                <w:rFonts w:cstheme="minorHAnsi"/>
                <w:bCs/>
                <w:noProof w:val="0"/>
                <w:webHidden/>
              </w:rPr>
              <w:fldChar w:fldCharType="begin"/>
            </w:r>
            <w:r w:rsidR="00565546" w:rsidRPr="00B91F3C">
              <w:rPr>
                <w:rFonts w:cstheme="minorHAnsi"/>
                <w:bCs/>
                <w:noProof w:val="0"/>
                <w:webHidden/>
              </w:rPr>
              <w:instrText xml:space="preserve"> PAGEREF _Toc165899267 \h </w:instrText>
            </w:r>
            <w:r w:rsidR="00565546" w:rsidRPr="00B91F3C">
              <w:rPr>
                <w:rFonts w:cstheme="minorHAnsi"/>
                <w:bCs/>
                <w:noProof w:val="0"/>
                <w:webHidden/>
              </w:rPr>
            </w:r>
            <w:r w:rsidR="00565546" w:rsidRPr="00B91F3C">
              <w:rPr>
                <w:rFonts w:cstheme="minorHAnsi"/>
                <w:bCs/>
                <w:noProof w:val="0"/>
                <w:webHidden/>
              </w:rPr>
              <w:fldChar w:fldCharType="separate"/>
            </w:r>
            <w:r w:rsidR="00565546" w:rsidRPr="00B91F3C">
              <w:rPr>
                <w:rFonts w:cstheme="minorHAnsi"/>
                <w:bCs/>
                <w:noProof w:val="0"/>
                <w:webHidden/>
              </w:rPr>
              <w:t>36</w:t>
            </w:r>
            <w:r w:rsidR="00565546" w:rsidRPr="00B91F3C">
              <w:rPr>
                <w:rFonts w:cstheme="minorHAnsi"/>
                <w:bCs/>
                <w:noProof w:val="0"/>
                <w:webHidden/>
              </w:rPr>
              <w:fldChar w:fldCharType="end"/>
            </w:r>
          </w:hyperlink>
        </w:p>
        <w:p w14:paraId="3597A382" w14:textId="3C17DBFC" w:rsidR="00565546" w:rsidRPr="00B91F3C" w:rsidRDefault="000E0255" w:rsidP="00930845">
          <w:pPr>
            <w:pStyle w:val="TM2"/>
            <w:rPr>
              <w:rFonts w:eastAsiaTheme="minorEastAsia"/>
              <w:b w:val="0"/>
              <w:noProof w:val="0"/>
              <w:snapToGrid/>
              <w:kern w:val="2"/>
              <w:lang w:eastAsia="fr-FR"/>
              <w14:ligatures w14:val="standardContextual"/>
            </w:rPr>
          </w:pPr>
          <w:hyperlink w:anchor="_Toc165899268" w:history="1">
            <w:r w:rsidR="00565546" w:rsidRPr="00B91F3C">
              <w:rPr>
                <w:rStyle w:val="Lienhypertexte"/>
                <w:b w:val="0"/>
                <w:noProof w:val="0"/>
              </w:rPr>
              <w:t>Ход осуществления ПМГ 2.0 в период ГЭФ-8</w:t>
            </w:r>
            <w:r w:rsidR="00565546" w:rsidRPr="00B91F3C">
              <w:rPr>
                <w:b w:val="0"/>
                <w:noProof w:val="0"/>
                <w:webHidden/>
              </w:rPr>
              <w:tab/>
            </w:r>
            <w:r w:rsidR="00565546" w:rsidRPr="00B91F3C">
              <w:rPr>
                <w:b w:val="0"/>
                <w:noProof w:val="0"/>
                <w:webHidden/>
              </w:rPr>
              <w:fldChar w:fldCharType="begin"/>
            </w:r>
            <w:r w:rsidR="00565546" w:rsidRPr="00B91F3C">
              <w:rPr>
                <w:b w:val="0"/>
                <w:noProof w:val="0"/>
                <w:webHidden/>
              </w:rPr>
              <w:instrText xml:space="preserve"> PAGEREF _Toc165899268 \h </w:instrText>
            </w:r>
            <w:r w:rsidR="00565546" w:rsidRPr="00B91F3C">
              <w:rPr>
                <w:b w:val="0"/>
                <w:noProof w:val="0"/>
                <w:webHidden/>
              </w:rPr>
            </w:r>
            <w:r w:rsidR="00565546" w:rsidRPr="00B91F3C">
              <w:rPr>
                <w:b w:val="0"/>
                <w:noProof w:val="0"/>
                <w:webHidden/>
              </w:rPr>
              <w:fldChar w:fldCharType="separate"/>
            </w:r>
            <w:r w:rsidR="00565546" w:rsidRPr="00B91F3C">
              <w:rPr>
                <w:b w:val="0"/>
                <w:noProof w:val="0"/>
                <w:webHidden/>
              </w:rPr>
              <w:t>37</w:t>
            </w:r>
            <w:r w:rsidR="00565546" w:rsidRPr="00B91F3C">
              <w:rPr>
                <w:b w:val="0"/>
                <w:noProof w:val="0"/>
                <w:webHidden/>
              </w:rPr>
              <w:fldChar w:fldCharType="end"/>
            </w:r>
          </w:hyperlink>
        </w:p>
        <w:p w14:paraId="156885A0" w14:textId="574653EE" w:rsidR="00565546" w:rsidRPr="00B91F3C" w:rsidRDefault="000E0255" w:rsidP="00930845">
          <w:pPr>
            <w:pStyle w:val="TM2"/>
            <w:rPr>
              <w:rFonts w:eastAsiaTheme="minorEastAsia"/>
              <w:b w:val="0"/>
              <w:noProof w:val="0"/>
              <w:snapToGrid/>
              <w:kern w:val="2"/>
              <w:lang w:eastAsia="fr-FR"/>
              <w14:ligatures w14:val="standardContextual"/>
            </w:rPr>
          </w:pPr>
          <w:hyperlink w:anchor="_Toc165899269" w:history="1">
            <w:r w:rsidR="00565546" w:rsidRPr="00B91F3C">
              <w:rPr>
                <w:rStyle w:val="Lienhypertexte"/>
                <w:b w:val="0"/>
                <w:noProof w:val="0"/>
              </w:rPr>
              <w:t>Краткая информация о вкладе программ ГЭФ-8 в осуществление КМГПБ</w:t>
            </w:r>
            <w:r w:rsidR="00565546" w:rsidRPr="00B91F3C">
              <w:rPr>
                <w:b w:val="0"/>
                <w:noProof w:val="0"/>
                <w:webHidden/>
              </w:rPr>
              <w:tab/>
            </w:r>
            <w:r w:rsidR="00565546" w:rsidRPr="00B91F3C">
              <w:rPr>
                <w:b w:val="0"/>
                <w:noProof w:val="0"/>
                <w:webHidden/>
              </w:rPr>
              <w:fldChar w:fldCharType="begin"/>
            </w:r>
            <w:r w:rsidR="00565546" w:rsidRPr="00B91F3C">
              <w:rPr>
                <w:b w:val="0"/>
                <w:noProof w:val="0"/>
                <w:webHidden/>
              </w:rPr>
              <w:instrText xml:space="preserve"> PAGEREF _Toc165899269 \h </w:instrText>
            </w:r>
            <w:r w:rsidR="00565546" w:rsidRPr="00B91F3C">
              <w:rPr>
                <w:b w:val="0"/>
                <w:noProof w:val="0"/>
                <w:webHidden/>
              </w:rPr>
            </w:r>
            <w:r w:rsidR="00565546" w:rsidRPr="00B91F3C">
              <w:rPr>
                <w:b w:val="0"/>
                <w:noProof w:val="0"/>
                <w:webHidden/>
              </w:rPr>
              <w:fldChar w:fldCharType="separate"/>
            </w:r>
            <w:r w:rsidR="00565546" w:rsidRPr="00B91F3C">
              <w:rPr>
                <w:b w:val="0"/>
                <w:noProof w:val="0"/>
                <w:webHidden/>
              </w:rPr>
              <w:t>38</w:t>
            </w:r>
            <w:r w:rsidR="00565546" w:rsidRPr="00B91F3C">
              <w:rPr>
                <w:b w:val="0"/>
                <w:noProof w:val="0"/>
                <w:webHidden/>
              </w:rPr>
              <w:fldChar w:fldCharType="end"/>
            </w:r>
          </w:hyperlink>
        </w:p>
        <w:p w14:paraId="65DB04F8" w14:textId="52B33EE2" w:rsidR="00565546" w:rsidRPr="00B91F3C" w:rsidRDefault="000E0255">
          <w:pPr>
            <w:pStyle w:val="TM1"/>
            <w:rPr>
              <w:rFonts w:eastAsiaTheme="minorEastAsia" w:cstheme="minorHAnsi"/>
              <w:noProof w:val="0"/>
              <w:kern w:val="2"/>
              <w:lang w:eastAsia="fr-FR"/>
              <w14:ligatures w14:val="standardContextual"/>
            </w:rPr>
          </w:pPr>
          <w:hyperlink w:anchor="_Toc165899270" w:history="1">
            <w:r w:rsidR="00565546" w:rsidRPr="00B91F3C">
              <w:rPr>
                <w:rStyle w:val="Lienhypertexte"/>
                <w:rFonts w:eastAsiaTheme="majorEastAsia" w:cstheme="minorHAnsi"/>
                <w:smallCaps/>
                <w:noProof w:val="0"/>
                <w:snapToGrid w:val="0"/>
                <w:kern w:val="22"/>
              </w:rPr>
              <w:t>IV.</w:t>
            </w:r>
            <w:r w:rsidR="00565546" w:rsidRPr="00B91F3C">
              <w:rPr>
                <w:rFonts w:eastAsiaTheme="minorEastAsia" w:cstheme="minorHAnsi"/>
                <w:noProof w:val="0"/>
                <w:kern w:val="2"/>
                <w:lang w:eastAsia="fr-FR"/>
                <w14:ligatures w14:val="standardContextual"/>
              </w:rPr>
              <w:tab/>
            </w:r>
            <w:r w:rsidR="00565546" w:rsidRPr="00B91F3C">
              <w:rPr>
                <w:rStyle w:val="Lienhypertexte"/>
                <w:rFonts w:eastAsiaTheme="majorEastAsia" w:cstheme="minorHAnsi"/>
                <w:noProof w:val="0"/>
                <w:snapToGrid w:val="0"/>
                <w:kern w:val="22"/>
              </w:rPr>
              <w:t>Принятые ГЭФ меры в ответ на руководящие указания КС-15 КБР</w:t>
            </w:r>
            <w:r w:rsidR="00565546" w:rsidRPr="00B91F3C">
              <w:rPr>
                <w:rFonts w:cstheme="minorHAnsi"/>
                <w:noProof w:val="0"/>
                <w:webHidden/>
              </w:rPr>
              <w:tab/>
            </w:r>
            <w:r w:rsidR="00565546" w:rsidRPr="00B91F3C">
              <w:rPr>
                <w:rFonts w:cstheme="minorHAnsi"/>
                <w:noProof w:val="0"/>
                <w:webHidden/>
              </w:rPr>
              <w:fldChar w:fldCharType="begin"/>
            </w:r>
            <w:r w:rsidR="00565546" w:rsidRPr="00B91F3C">
              <w:rPr>
                <w:rFonts w:cstheme="minorHAnsi"/>
                <w:noProof w:val="0"/>
                <w:webHidden/>
              </w:rPr>
              <w:instrText xml:space="preserve"> PAGEREF _Toc165899270 \h </w:instrText>
            </w:r>
            <w:r w:rsidR="00565546" w:rsidRPr="00B91F3C">
              <w:rPr>
                <w:rFonts w:cstheme="minorHAnsi"/>
                <w:noProof w:val="0"/>
                <w:webHidden/>
              </w:rPr>
            </w:r>
            <w:r w:rsidR="00565546" w:rsidRPr="00B91F3C">
              <w:rPr>
                <w:rFonts w:cstheme="minorHAnsi"/>
                <w:noProof w:val="0"/>
                <w:webHidden/>
              </w:rPr>
              <w:fldChar w:fldCharType="separate"/>
            </w:r>
            <w:r w:rsidR="00565546" w:rsidRPr="00B91F3C">
              <w:rPr>
                <w:rFonts w:cstheme="minorHAnsi"/>
                <w:noProof w:val="0"/>
                <w:webHidden/>
              </w:rPr>
              <w:t>42</w:t>
            </w:r>
            <w:r w:rsidR="00565546" w:rsidRPr="00B91F3C">
              <w:rPr>
                <w:rFonts w:cstheme="minorHAnsi"/>
                <w:noProof w:val="0"/>
                <w:webHidden/>
              </w:rPr>
              <w:fldChar w:fldCharType="end"/>
            </w:r>
          </w:hyperlink>
        </w:p>
        <w:p w14:paraId="13A125D9" w14:textId="43AB4F9B" w:rsidR="00565546" w:rsidRPr="00B91F3C" w:rsidRDefault="000E0255" w:rsidP="00930845">
          <w:pPr>
            <w:pStyle w:val="TM2"/>
            <w:rPr>
              <w:rFonts w:eastAsiaTheme="minorEastAsia"/>
              <w:b w:val="0"/>
              <w:noProof w:val="0"/>
              <w:snapToGrid/>
              <w:kern w:val="2"/>
              <w:lang w:eastAsia="fr-FR"/>
              <w14:ligatures w14:val="standardContextual"/>
            </w:rPr>
          </w:pPr>
          <w:hyperlink w:anchor="_Toc165899273" w:history="1">
            <w:r w:rsidR="00565546" w:rsidRPr="00B91F3C">
              <w:rPr>
                <w:rStyle w:val="Lienhypertexte"/>
                <w:b w:val="0"/>
                <w:noProof w:val="0"/>
              </w:rPr>
              <w:t>Поддержка ГЭФ по повышению согласованности политики</w:t>
            </w:r>
            <w:r w:rsidR="00565546" w:rsidRPr="00B91F3C">
              <w:rPr>
                <w:b w:val="0"/>
                <w:noProof w:val="0"/>
                <w:webHidden/>
              </w:rPr>
              <w:tab/>
            </w:r>
            <w:r w:rsidR="00565546" w:rsidRPr="00B91F3C">
              <w:rPr>
                <w:b w:val="0"/>
                <w:noProof w:val="0"/>
                <w:webHidden/>
              </w:rPr>
              <w:fldChar w:fldCharType="begin"/>
            </w:r>
            <w:r w:rsidR="00565546" w:rsidRPr="00B91F3C">
              <w:rPr>
                <w:b w:val="0"/>
                <w:noProof w:val="0"/>
                <w:webHidden/>
              </w:rPr>
              <w:instrText xml:space="preserve"> PAGEREF _Toc165899273 \h </w:instrText>
            </w:r>
            <w:r w:rsidR="00565546" w:rsidRPr="00B91F3C">
              <w:rPr>
                <w:b w:val="0"/>
                <w:noProof w:val="0"/>
                <w:webHidden/>
              </w:rPr>
            </w:r>
            <w:r w:rsidR="00565546" w:rsidRPr="00B91F3C">
              <w:rPr>
                <w:b w:val="0"/>
                <w:noProof w:val="0"/>
                <w:webHidden/>
              </w:rPr>
              <w:fldChar w:fldCharType="separate"/>
            </w:r>
            <w:r w:rsidR="00565546" w:rsidRPr="00B91F3C">
              <w:rPr>
                <w:b w:val="0"/>
                <w:noProof w:val="0"/>
                <w:webHidden/>
              </w:rPr>
              <w:t>62</w:t>
            </w:r>
            <w:r w:rsidR="00565546" w:rsidRPr="00B91F3C">
              <w:rPr>
                <w:b w:val="0"/>
                <w:noProof w:val="0"/>
                <w:webHidden/>
              </w:rPr>
              <w:fldChar w:fldCharType="end"/>
            </w:r>
          </w:hyperlink>
        </w:p>
        <w:p w14:paraId="2835A2CA" w14:textId="164D4DCF" w:rsidR="00565546" w:rsidRPr="00B91F3C" w:rsidRDefault="000E0255" w:rsidP="00930845">
          <w:pPr>
            <w:pStyle w:val="TM2"/>
            <w:rPr>
              <w:rFonts w:eastAsiaTheme="minorEastAsia"/>
              <w:b w:val="0"/>
              <w:noProof w:val="0"/>
              <w:snapToGrid/>
              <w:kern w:val="2"/>
              <w:lang w:eastAsia="fr-FR"/>
              <w14:ligatures w14:val="standardContextual"/>
            </w:rPr>
          </w:pPr>
          <w:hyperlink w:anchor="_Toc165899274" w:history="1">
            <w:r w:rsidR="00565546" w:rsidRPr="00B91F3C">
              <w:rPr>
                <w:rStyle w:val="Lienhypertexte"/>
                <w:b w:val="0"/>
                <w:noProof w:val="0"/>
              </w:rPr>
              <w:t>Обновленная информация о распределении ресурсов ФГПБ</w:t>
            </w:r>
            <w:r w:rsidR="00565546" w:rsidRPr="00B91F3C">
              <w:rPr>
                <w:b w:val="0"/>
                <w:noProof w:val="0"/>
                <w:webHidden/>
              </w:rPr>
              <w:tab/>
            </w:r>
            <w:r w:rsidR="00565546" w:rsidRPr="00B91F3C">
              <w:rPr>
                <w:b w:val="0"/>
                <w:noProof w:val="0"/>
                <w:webHidden/>
              </w:rPr>
              <w:fldChar w:fldCharType="begin"/>
            </w:r>
            <w:r w:rsidR="00565546" w:rsidRPr="00B91F3C">
              <w:rPr>
                <w:b w:val="0"/>
                <w:noProof w:val="0"/>
                <w:webHidden/>
              </w:rPr>
              <w:instrText xml:space="preserve"> PAGEREF _Toc165899274 \h </w:instrText>
            </w:r>
            <w:r w:rsidR="00565546" w:rsidRPr="00B91F3C">
              <w:rPr>
                <w:b w:val="0"/>
                <w:noProof w:val="0"/>
                <w:webHidden/>
              </w:rPr>
            </w:r>
            <w:r w:rsidR="00565546" w:rsidRPr="00B91F3C">
              <w:rPr>
                <w:b w:val="0"/>
                <w:noProof w:val="0"/>
                <w:webHidden/>
              </w:rPr>
              <w:fldChar w:fldCharType="separate"/>
            </w:r>
            <w:r w:rsidR="00565546" w:rsidRPr="00B91F3C">
              <w:rPr>
                <w:b w:val="0"/>
                <w:noProof w:val="0"/>
                <w:webHidden/>
              </w:rPr>
              <w:t>63</w:t>
            </w:r>
            <w:r w:rsidR="00565546" w:rsidRPr="00B91F3C">
              <w:rPr>
                <w:b w:val="0"/>
                <w:noProof w:val="0"/>
                <w:webHidden/>
              </w:rPr>
              <w:fldChar w:fldCharType="end"/>
            </w:r>
          </w:hyperlink>
        </w:p>
        <w:p w14:paraId="2CB2F8A0" w14:textId="70DF5821" w:rsidR="00565546" w:rsidRPr="00B91F3C" w:rsidRDefault="000E0255">
          <w:pPr>
            <w:pStyle w:val="TM1"/>
            <w:rPr>
              <w:rFonts w:eastAsiaTheme="minorEastAsia" w:cstheme="minorHAnsi"/>
              <w:noProof w:val="0"/>
              <w:kern w:val="2"/>
              <w:lang w:eastAsia="fr-FR"/>
              <w14:ligatures w14:val="standardContextual"/>
            </w:rPr>
          </w:pPr>
          <w:hyperlink w:anchor="_Toc165899275" w:history="1">
            <w:r w:rsidR="00565546" w:rsidRPr="00B91F3C">
              <w:rPr>
                <w:rStyle w:val="Lienhypertexte"/>
                <w:rFonts w:eastAsiaTheme="majorEastAsia" w:cstheme="minorHAnsi"/>
                <w:smallCaps/>
                <w:noProof w:val="0"/>
                <w:snapToGrid w:val="0"/>
                <w:kern w:val="22"/>
              </w:rPr>
              <w:t>V.</w:t>
            </w:r>
            <w:r w:rsidR="00565546" w:rsidRPr="00B91F3C">
              <w:rPr>
                <w:rFonts w:eastAsiaTheme="minorEastAsia" w:cstheme="minorHAnsi"/>
                <w:noProof w:val="0"/>
                <w:kern w:val="2"/>
                <w:lang w:eastAsia="fr-FR"/>
                <w14:ligatures w14:val="standardContextual"/>
              </w:rPr>
              <w:tab/>
            </w:r>
            <w:r w:rsidR="00565546" w:rsidRPr="00B91F3C">
              <w:rPr>
                <w:rStyle w:val="Lienhypertexte"/>
                <w:rFonts w:eastAsiaTheme="majorEastAsia" w:cstheme="minorHAnsi"/>
                <w:noProof w:val="0"/>
                <w:snapToGrid w:val="0"/>
                <w:kern w:val="22"/>
              </w:rPr>
              <w:t>Реализация портфеля проектов</w:t>
            </w:r>
            <w:r w:rsidR="00565546" w:rsidRPr="00B91F3C">
              <w:rPr>
                <w:rFonts w:cstheme="minorHAnsi"/>
                <w:noProof w:val="0"/>
                <w:webHidden/>
              </w:rPr>
              <w:tab/>
            </w:r>
            <w:r w:rsidR="00565546" w:rsidRPr="00B91F3C">
              <w:rPr>
                <w:rFonts w:cstheme="minorHAnsi"/>
                <w:noProof w:val="0"/>
                <w:webHidden/>
              </w:rPr>
              <w:fldChar w:fldCharType="begin"/>
            </w:r>
            <w:r w:rsidR="00565546" w:rsidRPr="00B91F3C">
              <w:rPr>
                <w:rFonts w:cstheme="minorHAnsi"/>
                <w:noProof w:val="0"/>
                <w:webHidden/>
              </w:rPr>
              <w:instrText xml:space="preserve"> PAGEREF _Toc165899275 \h </w:instrText>
            </w:r>
            <w:r w:rsidR="00565546" w:rsidRPr="00B91F3C">
              <w:rPr>
                <w:rFonts w:cstheme="minorHAnsi"/>
                <w:noProof w:val="0"/>
                <w:webHidden/>
              </w:rPr>
            </w:r>
            <w:r w:rsidR="00565546" w:rsidRPr="00B91F3C">
              <w:rPr>
                <w:rFonts w:cstheme="minorHAnsi"/>
                <w:noProof w:val="0"/>
                <w:webHidden/>
              </w:rPr>
              <w:fldChar w:fldCharType="separate"/>
            </w:r>
            <w:r w:rsidR="00565546" w:rsidRPr="00B91F3C">
              <w:rPr>
                <w:rFonts w:cstheme="minorHAnsi"/>
                <w:noProof w:val="0"/>
                <w:webHidden/>
              </w:rPr>
              <w:t>66</w:t>
            </w:r>
            <w:r w:rsidR="00565546" w:rsidRPr="00B91F3C">
              <w:rPr>
                <w:rFonts w:cstheme="minorHAnsi"/>
                <w:noProof w:val="0"/>
                <w:webHidden/>
              </w:rPr>
              <w:fldChar w:fldCharType="end"/>
            </w:r>
          </w:hyperlink>
        </w:p>
        <w:p w14:paraId="68F8D269" w14:textId="18425373" w:rsidR="00565546" w:rsidRPr="00B91F3C" w:rsidRDefault="000E0255" w:rsidP="00930845">
          <w:pPr>
            <w:pStyle w:val="TM2"/>
            <w:rPr>
              <w:rFonts w:eastAsiaTheme="minorEastAsia"/>
              <w:b w:val="0"/>
              <w:noProof w:val="0"/>
              <w:snapToGrid/>
              <w:kern w:val="2"/>
              <w:lang w:eastAsia="fr-FR"/>
              <w14:ligatures w14:val="standardContextual"/>
            </w:rPr>
          </w:pPr>
          <w:hyperlink w:anchor="_Toc165899276" w:history="1">
            <w:r w:rsidR="00565546" w:rsidRPr="00B91F3C">
              <w:rPr>
                <w:rStyle w:val="Lienhypertexte"/>
                <w:b w:val="0"/>
                <w:noProof w:val="0"/>
              </w:rPr>
              <w:t>Реализация портфеля проектов</w:t>
            </w:r>
            <w:r w:rsidR="00565546" w:rsidRPr="00B91F3C">
              <w:rPr>
                <w:b w:val="0"/>
                <w:noProof w:val="0"/>
                <w:webHidden/>
              </w:rPr>
              <w:tab/>
            </w:r>
            <w:r w:rsidR="00565546" w:rsidRPr="00B91F3C">
              <w:rPr>
                <w:b w:val="0"/>
                <w:noProof w:val="0"/>
                <w:webHidden/>
              </w:rPr>
              <w:fldChar w:fldCharType="begin"/>
            </w:r>
            <w:r w:rsidR="00565546" w:rsidRPr="00B91F3C">
              <w:rPr>
                <w:b w:val="0"/>
                <w:noProof w:val="0"/>
                <w:webHidden/>
              </w:rPr>
              <w:instrText xml:space="preserve"> PAGEREF _Toc165899276 \h </w:instrText>
            </w:r>
            <w:r w:rsidR="00565546" w:rsidRPr="00B91F3C">
              <w:rPr>
                <w:b w:val="0"/>
                <w:noProof w:val="0"/>
                <w:webHidden/>
              </w:rPr>
            </w:r>
            <w:r w:rsidR="00565546" w:rsidRPr="00B91F3C">
              <w:rPr>
                <w:b w:val="0"/>
                <w:noProof w:val="0"/>
                <w:webHidden/>
              </w:rPr>
              <w:fldChar w:fldCharType="separate"/>
            </w:r>
            <w:r w:rsidR="00565546" w:rsidRPr="00B91F3C">
              <w:rPr>
                <w:b w:val="0"/>
                <w:noProof w:val="0"/>
                <w:webHidden/>
              </w:rPr>
              <w:t>66</w:t>
            </w:r>
            <w:r w:rsidR="00565546" w:rsidRPr="00B91F3C">
              <w:rPr>
                <w:b w:val="0"/>
                <w:noProof w:val="0"/>
                <w:webHidden/>
              </w:rPr>
              <w:fldChar w:fldCharType="end"/>
            </w:r>
          </w:hyperlink>
        </w:p>
        <w:p w14:paraId="2CAD0081" w14:textId="58F51331" w:rsidR="00565546" w:rsidRPr="00B91F3C" w:rsidRDefault="000E0255" w:rsidP="00930845">
          <w:pPr>
            <w:pStyle w:val="TM2"/>
            <w:rPr>
              <w:rFonts w:eastAsiaTheme="minorEastAsia"/>
              <w:b w:val="0"/>
              <w:noProof w:val="0"/>
              <w:snapToGrid/>
              <w:kern w:val="2"/>
              <w:lang w:eastAsia="fr-FR"/>
              <w14:ligatures w14:val="standardContextual"/>
            </w:rPr>
          </w:pPr>
          <w:hyperlink w:anchor="_Toc165899277" w:history="1">
            <w:r w:rsidR="00565546" w:rsidRPr="00B91F3C">
              <w:rPr>
                <w:rStyle w:val="Lienhypertexte"/>
                <w:b w:val="0"/>
                <w:noProof w:val="0"/>
              </w:rPr>
              <w:t>Меры по оптимизации</w:t>
            </w:r>
            <w:r w:rsidR="00565546" w:rsidRPr="00B91F3C">
              <w:rPr>
                <w:b w:val="0"/>
                <w:noProof w:val="0"/>
                <w:webHidden/>
              </w:rPr>
              <w:tab/>
            </w:r>
            <w:r w:rsidR="00565546" w:rsidRPr="00B91F3C">
              <w:rPr>
                <w:b w:val="0"/>
                <w:noProof w:val="0"/>
                <w:webHidden/>
              </w:rPr>
              <w:fldChar w:fldCharType="begin"/>
            </w:r>
            <w:r w:rsidR="00565546" w:rsidRPr="00B91F3C">
              <w:rPr>
                <w:b w:val="0"/>
                <w:noProof w:val="0"/>
                <w:webHidden/>
              </w:rPr>
              <w:instrText xml:space="preserve"> PAGEREF _Toc165899277 \h </w:instrText>
            </w:r>
            <w:r w:rsidR="00565546" w:rsidRPr="00B91F3C">
              <w:rPr>
                <w:b w:val="0"/>
                <w:noProof w:val="0"/>
                <w:webHidden/>
              </w:rPr>
            </w:r>
            <w:r w:rsidR="00565546" w:rsidRPr="00B91F3C">
              <w:rPr>
                <w:b w:val="0"/>
                <w:noProof w:val="0"/>
                <w:webHidden/>
              </w:rPr>
              <w:fldChar w:fldCharType="separate"/>
            </w:r>
            <w:r w:rsidR="00565546" w:rsidRPr="00B91F3C">
              <w:rPr>
                <w:b w:val="0"/>
                <w:noProof w:val="0"/>
                <w:webHidden/>
              </w:rPr>
              <w:t>66</w:t>
            </w:r>
            <w:r w:rsidR="00565546" w:rsidRPr="00B91F3C">
              <w:rPr>
                <w:b w:val="0"/>
                <w:noProof w:val="0"/>
                <w:webHidden/>
              </w:rPr>
              <w:fldChar w:fldCharType="end"/>
            </w:r>
          </w:hyperlink>
        </w:p>
        <w:p w14:paraId="03F92018" w14:textId="11732E01" w:rsidR="00565546" w:rsidRPr="00B91F3C" w:rsidRDefault="000E0255" w:rsidP="00930845">
          <w:pPr>
            <w:pStyle w:val="TM2"/>
            <w:rPr>
              <w:rFonts w:eastAsiaTheme="minorEastAsia"/>
              <w:b w:val="0"/>
              <w:noProof w:val="0"/>
              <w:snapToGrid/>
              <w:kern w:val="2"/>
              <w:lang w:eastAsia="fr-FR"/>
              <w14:ligatures w14:val="standardContextual"/>
            </w:rPr>
          </w:pPr>
          <w:hyperlink w:anchor="_Toc165899278" w:history="1">
            <w:r w:rsidR="00565546" w:rsidRPr="00B91F3C">
              <w:rPr>
                <w:rStyle w:val="Lienhypertexte"/>
                <w:b w:val="0"/>
                <w:noProof w:val="0"/>
              </w:rPr>
              <w:t>Повышение транспарентности и подотчетности</w:t>
            </w:r>
            <w:r w:rsidR="00565546" w:rsidRPr="00B91F3C">
              <w:rPr>
                <w:b w:val="0"/>
                <w:noProof w:val="0"/>
                <w:webHidden/>
              </w:rPr>
              <w:tab/>
            </w:r>
            <w:r w:rsidR="00565546" w:rsidRPr="00B91F3C">
              <w:rPr>
                <w:b w:val="0"/>
                <w:noProof w:val="0"/>
                <w:webHidden/>
              </w:rPr>
              <w:fldChar w:fldCharType="begin"/>
            </w:r>
            <w:r w:rsidR="00565546" w:rsidRPr="00B91F3C">
              <w:rPr>
                <w:b w:val="0"/>
                <w:noProof w:val="0"/>
                <w:webHidden/>
              </w:rPr>
              <w:instrText xml:space="preserve"> PAGEREF _Toc165899278 \h </w:instrText>
            </w:r>
            <w:r w:rsidR="00565546" w:rsidRPr="00B91F3C">
              <w:rPr>
                <w:b w:val="0"/>
                <w:noProof w:val="0"/>
                <w:webHidden/>
              </w:rPr>
            </w:r>
            <w:r w:rsidR="00565546" w:rsidRPr="00B91F3C">
              <w:rPr>
                <w:b w:val="0"/>
                <w:noProof w:val="0"/>
                <w:webHidden/>
              </w:rPr>
              <w:fldChar w:fldCharType="separate"/>
            </w:r>
            <w:r w:rsidR="00565546" w:rsidRPr="00B91F3C">
              <w:rPr>
                <w:b w:val="0"/>
                <w:noProof w:val="0"/>
                <w:webHidden/>
              </w:rPr>
              <w:t>67</w:t>
            </w:r>
            <w:r w:rsidR="00565546" w:rsidRPr="00B91F3C">
              <w:rPr>
                <w:b w:val="0"/>
                <w:noProof w:val="0"/>
                <w:webHidden/>
              </w:rPr>
              <w:fldChar w:fldCharType="end"/>
            </w:r>
          </w:hyperlink>
        </w:p>
        <w:p w14:paraId="0750FA49" w14:textId="1157206F" w:rsidR="00565546" w:rsidRPr="00B91F3C" w:rsidRDefault="000E0255" w:rsidP="00930845">
          <w:pPr>
            <w:pStyle w:val="TM2"/>
            <w:rPr>
              <w:rFonts w:eastAsiaTheme="minorEastAsia"/>
              <w:b w:val="0"/>
              <w:noProof w:val="0"/>
              <w:snapToGrid/>
              <w:kern w:val="2"/>
              <w:lang w:eastAsia="fr-FR"/>
              <w14:ligatures w14:val="standardContextual"/>
            </w:rPr>
          </w:pPr>
          <w:hyperlink w:anchor="_Toc165899279" w:history="1">
            <w:r w:rsidR="00565546" w:rsidRPr="00B91F3C">
              <w:rPr>
                <w:rStyle w:val="Lienhypertexte"/>
                <w:b w:val="0"/>
                <w:noProof w:val="0"/>
              </w:rPr>
              <w:t>Достижение целей проектов в области развития и прогресс в их осуществлении</w:t>
            </w:r>
            <w:r w:rsidR="00565546" w:rsidRPr="00B91F3C">
              <w:rPr>
                <w:b w:val="0"/>
                <w:noProof w:val="0"/>
                <w:webHidden/>
              </w:rPr>
              <w:tab/>
            </w:r>
            <w:r w:rsidR="00565546" w:rsidRPr="00B91F3C">
              <w:rPr>
                <w:b w:val="0"/>
                <w:noProof w:val="0"/>
                <w:webHidden/>
              </w:rPr>
              <w:fldChar w:fldCharType="begin"/>
            </w:r>
            <w:r w:rsidR="00565546" w:rsidRPr="00B91F3C">
              <w:rPr>
                <w:b w:val="0"/>
                <w:noProof w:val="0"/>
                <w:webHidden/>
              </w:rPr>
              <w:instrText xml:space="preserve"> PAGEREF _Toc165899279 \h </w:instrText>
            </w:r>
            <w:r w:rsidR="00565546" w:rsidRPr="00B91F3C">
              <w:rPr>
                <w:b w:val="0"/>
                <w:noProof w:val="0"/>
                <w:webHidden/>
              </w:rPr>
            </w:r>
            <w:r w:rsidR="00565546" w:rsidRPr="00B91F3C">
              <w:rPr>
                <w:b w:val="0"/>
                <w:noProof w:val="0"/>
                <w:webHidden/>
              </w:rPr>
              <w:fldChar w:fldCharType="separate"/>
            </w:r>
            <w:r w:rsidR="00565546" w:rsidRPr="00B91F3C">
              <w:rPr>
                <w:b w:val="0"/>
                <w:noProof w:val="0"/>
                <w:webHidden/>
              </w:rPr>
              <w:t>67</w:t>
            </w:r>
            <w:r w:rsidR="00565546" w:rsidRPr="00B91F3C">
              <w:rPr>
                <w:b w:val="0"/>
                <w:noProof w:val="0"/>
                <w:webHidden/>
              </w:rPr>
              <w:fldChar w:fldCharType="end"/>
            </w:r>
          </w:hyperlink>
        </w:p>
        <w:p w14:paraId="489E7386" w14:textId="0F081A89" w:rsidR="00565546" w:rsidRPr="00B91F3C" w:rsidRDefault="000E0255" w:rsidP="00930845">
          <w:pPr>
            <w:pStyle w:val="TM2"/>
            <w:rPr>
              <w:rFonts w:eastAsiaTheme="minorEastAsia"/>
              <w:b w:val="0"/>
              <w:noProof w:val="0"/>
              <w:snapToGrid/>
              <w:kern w:val="2"/>
              <w:lang w:eastAsia="fr-FR"/>
              <w14:ligatures w14:val="standardContextual"/>
            </w:rPr>
          </w:pPr>
          <w:hyperlink w:anchor="_Toc165899280" w:history="1">
            <w:r w:rsidR="00565546" w:rsidRPr="00B91F3C">
              <w:rPr>
                <w:rStyle w:val="Lienhypertexte"/>
                <w:b w:val="0"/>
                <w:noProof w:val="0"/>
              </w:rPr>
              <w:t>Увеличение доли софинансирования в портфеле проектов по состоянию на июнь 2023 года</w:t>
            </w:r>
            <w:r w:rsidR="00565546" w:rsidRPr="00B91F3C">
              <w:rPr>
                <w:b w:val="0"/>
                <w:noProof w:val="0"/>
                <w:webHidden/>
              </w:rPr>
              <w:tab/>
            </w:r>
            <w:r w:rsidR="00565546" w:rsidRPr="00B91F3C">
              <w:rPr>
                <w:b w:val="0"/>
                <w:noProof w:val="0"/>
                <w:webHidden/>
              </w:rPr>
              <w:fldChar w:fldCharType="begin"/>
            </w:r>
            <w:r w:rsidR="00565546" w:rsidRPr="00B91F3C">
              <w:rPr>
                <w:b w:val="0"/>
                <w:noProof w:val="0"/>
                <w:webHidden/>
              </w:rPr>
              <w:instrText xml:space="preserve"> PAGEREF _Toc165899280 \h </w:instrText>
            </w:r>
            <w:r w:rsidR="00565546" w:rsidRPr="00B91F3C">
              <w:rPr>
                <w:b w:val="0"/>
                <w:noProof w:val="0"/>
                <w:webHidden/>
              </w:rPr>
            </w:r>
            <w:r w:rsidR="00565546" w:rsidRPr="00B91F3C">
              <w:rPr>
                <w:b w:val="0"/>
                <w:noProof w:val="0"/>
                <w:webHidden/>
              </w:rPr>
              <w:fldChar w:fldCharType="separate"/>
            </w:r>
            <w:r w:rsidR="00565546" w:rsidRPr="00B91F3C">
              <w:rPr>
                <w:b w:val="0"/>
                <w:noProof w:val="0"/>
                <w:webHidden/>
              </w:rPr>
              <w:t>69</w:t>
            </w:r>
            <w:r w:rsidR="00565546" w:rsidRPr="00B91F3C">
              <w:rPr>
                <w:b w:val="0"/>
                <w:noProof w:val="0"/>
                <w:webHidden/>
              </w:rPr>
              <w:fldChar w:fldCharType="end"/>
            </w:r>
          </w:hyperlink>
        </w:p>
        <w:p w14:paraId="01C2AD95" w14:textId="5331D2D0" w:rsidR="00565546" w:rsidRPr="00B91F3C" w:rsidRDefault="000E0255">
          <w:pPr>
            <w:pStyle w:val="TM1"/>
            <w:rPr>
              <w:rFonts w:eastAsiaTheme="minorEastAsia" w:cstheme="minorHAnsi"/>
              <w:noProof w:val="0"/>
              <w:kern w:val="2"/>
              <w:lang w:eastAsia="fr-FR"/>
              <w14:ligatures w14:val="standardContextual"/>
            </w:rPr>
          </w:pPr>
          <w:hyperlink w:anchor="_Toc165899281" w:history="1">
            <w:r w:rsidR="00565546" w:rsidRPr="00B91F3C">
              <w:rPr>
                <w:rStyle w:val="Lienhypertexte"/>
                <w:rFonts w:eastAsiaTheme="majorEastAsia" w:cstheme="minorHAnsi"/>
                <w:smallCaps/>
                <w:noProof w:val="0"/>
                <w:snapToGrid w:val="0"/>
                <w:kern w:val="22"/>
              </w:rPr>
              <w:t>VI.</w:t>
            </w:r>
            <w:r w:rsidR="00565546" w:rsidRPr="00B91F3C">
              <w:rPr>
                <w:rFonts w:eastAsiaTheme="minorEastAsia" w:cstheme="minorHAnsi"/>
                <w:noProof w:val="0"/>
                <w:kern w:val="2"/>
                <w:lang w:eastAsia="fr-FR"/>
                <w14:ligatures w14:val="standardContextual"/>
              </w:rPr>
              <w:tab/>
            </w:r>
            <w:r w:rsidR="00565546" w:rsidRPr="00B91F3C">
              <w:rPr>
                <w:rStyle w:val="Lienhypertexte"/>
                <w:rFonts w:eastAsiaTheme="majorEastAsia" w:cstheme="minorHAnsi"/>
                <w:noProof w:val="0"/>
                <w:snapToGrid w:val="0"/>
                <w:kern w:val="22"/>
              </w:rPr>
              <w:t>Доклад о положении дел в достижении корпоративных результатов и целевых показателей</w:t>
            </w:r>
            <w:r w:rsidR="00565546" w:rsidRPr="00B91F3C">
              <w:rPr>
                <w:rStyle w:val="Lienhypertexte"/>
                <w:rFonts w:eastAsiaTheme="majorEastAsia" w:cstheme="minorHAnsi"/>
                <w:smallCaps/>
                <w:noProof w:val="0"/>
                <w:snapToGrid w:val="0"/>
                <w:kern w:val="22"/>
              </w:rPr>
              <w:t xml:space="preserve"> ГЭФ-7</w:t>
            </w:r>
            <w:r w:rsidR="00565546" w:rsidRPr="00B91F3C">
              <w:rPr>
                <w:rFonts w:cstheme="minorHAnsi"/>
                <w:noProof w:val="0"/>
                <w:webHidden/>
              </w:rPr>
              <w:tab/>
            </w:r>
            <w:r w:rsidR="00565546" w:rsidRPr="00B91F3C">
              <w:rPr>
                <w:rFonts w:cstheme="minorHAnsi"/>
                <w:noProof w:val="0"/>
                <w:webHidden/>
              </w:rPr>
              <w:fldChar w:fldCharType="begin"/>
            </w:r>
            <w:r w:rsidR="00565546" w:rsidRPr="00B91F3C">
              <w:rPr>
                <w:rFonts w:cstheme="minorHAnsi"/>
                <w:noProof w:val="0"/>
                <w:webHidden/>
              </w:rPr>
              <w:instrText xml:space="preserve"> PAGEREF _Toc165899281 \h </w:instrText>
            </w:r>
            <w:r w:rsidR="00565546" w:rsidRPr="00B91F3C">
              <w:rPr>
                <w:rFonts w:cstheme="minorHAnsi"/>
                <w:noProof w:val="0"/>
                <w:webHidden/>
              </w:rPr>
            </w:r>
            <w:r w:rsidR="00565546" w:rsidRPr="00B91F3C">
              <w:rPr>
                <w:rFonts w:cstheme="minorHAnsi"/>
                <w:noProof w:val="0"/>
                <w:webHidden/>
              </w:rPr>
              <w:fldChar w:fldCharType="separate"/>
            </w:r>
            <w:r w:rsidR="00565546" w:rsidRPr="00B91F3C">
              <w:rPr>
                <w:rFonts w:cstheme="minorHAnsi"/>
                <w:noProof w:val="0"/>
                <w:webHidden/>
              </w:rPr>
              <w:t>71</w:t>
            </w:r>
            <w:r w:rsidR="00565546" w:rsidRPr="00B91F3C">
              <w:rPr>
                <w:rFonts w:cstheme="minorHAnsi"/>
                <w:noProof w:val="0"/>
                <w:webHidden/>
              </w:rPr>
              <w:fldChar w:fldCharType="end"/>
            </w:r>
          </w:hyperlink>
        </w:p>
        <w:p w14:paraId="2489CEB3" w14:textId="5E17B90B" w:rsidR="00565546" w:rsidRPr="00B91F3C" w:rsidRDefault="000E0255" w:rsidP="00930845">
          <w:pPr>
            <w:pStyle w:val="TM2"/>
            <w:rPr>
              <w:rFonts w:eastAsiaTheme="minorEastAsia"/>
              <w:b w:val="0"/>
              <w:noProof w:val="0"/>
              <w:snapToGrid/>
              <w:kern w:val="2"/>
              <w:lang w:eastAsia="fr-FR"/>
              <w14:ligatures w14:val="standardContextual"/>
            </w:rPr>
          </w:pPr>
          <w:hyperlink w:anchor="_Toc165899282" w:history="1">
            <w:r w:rsidR="00565546" w:rsidRPr="00B91F3C">
              <w:rPr>
                <w:rStyle w:val="Lienhypertexte"/>
                <w:b w:val="0"/>
                <w:noProof w:val="0"/>
              </w:rPr>
              <w:t>Доклад о положении дел в достижении корпоративных результатов и целевых показателей ГЭФ-8</w:t>
            </w:r>
            <w:r w:rsidR="00565546" w:rsidRPr="00B91F3C">
              <w:rPr>
                <w:b w:val="0"/>
                <w:noProof w:val="0"/>
                <w:webHidden/>
              </w:rPr>
              <w:tab/>
            </w:r>
            <w:r w:rsidR="00565546" w:rsidRPr="00B91F3C">
              <w:rPr>
                <w:b w:val="0"/>
                <w:noProof w:val="0"/>
                <w:webHidden/>
              </w:rPr>
              <w:fldChar w:fldCharType="begin"/>
            </w:r>
            <w:r w:rsidR="00565546" w:rsidRPr="00B91F3C">
              <w:rPr>
                <w:b w:val="0"/>
                <w:noProof w:val="0"/>
                <w:webHidden/>
              </w:rPr>
              <w:instrText xml:space="preserve"> PAGEREF _Toc165899282 \h </w:instrText>
            </w:r>
            <w:r w:rsidR="00565546" w:rsidRPr="00B91F3C">
              <w:rPr>
                <w:b w:val="0"/>
                <w:noProof w:val="0"/>
                <w:webHidden/>
              </w:rPr>
            </w:r>
            <w:r w:rsidR="00565546" w:rsidRPr="00B91F3C">
              <w:rPr>
                <w:b w:val="0"/>
                <w:noProof w:val="0"/>
                <w:webHidden/>
              </w:rPr>
              <w:fldChar w:fldCharType="separate"/>
            </w:r>
            <w:r w:rsidR="00565546" w:rsidRPr="00B91F3C">
              <w:rPr>
                <w:b w:val="0"/>
                <w:noProof w:val="0"/>
                <w:webHidden/>
              </w:rPr>
              <w:t>73</w:t>
            </w:r>
            <w:r w:rsidR="00565546" w:rsidRPr="00B91F3C">
              <w:rPr>
                <w:b w:val="0"/>
                <w:noProof w:val="0"/>
                <w:webHidden/>
              </w:rPr>
              <w:fldChar w:fldCharType="end"/>
            </w:r>
          </w:hyperlink>
        </w:p>
        <w:p w14:paraId="55CB6AE4" w14:textId="09C15857" w:rsidR="00565546" w:rsidRPr="00B91F3C" w:rsidRDefault="000E0255" w:rsidP="00930845">
          <w:pPr>
            <w:pStyle w:val="TM2"/>
            <w:rPr>
              <w:rFonts w:eastAsiaTheme="minorEastAsia"/>
              <w:b w:val="0"/>
              <w:noProof w:val="0"/>
              <w:snapToGrid/>
              <w:kern w:val="2"/>
              <w:lang w:eastAsia="fr-FR"/>
              <w14:ligatures w14:val="standardContextual"/>
            </w:rPr>
          </w:pPr>
          <w:hyperlink w:anchor="_Toc165899283" w:history="1">
            <w:r w:rsidR="00565546" w:rsidRPr="00B91F3C">
              <w:rPr>
                <w:rStyle w:val="Lienhypertexte"/>
                <w:b w:val="0"/>
                <w:noProof w:val="0"/>
              </w:rPr>
              <w:t>Результаты достижения целевых показателей ГЭФ-8 по Рио-де-Жанейрским маркерам</w:t>
            </w:r>
            <w:r w:rsidR="00565546" w:rsidRPr="00B91F3C">
              <w:rPr>
                <w:b w:val="0"/>
                <w:noProof w:val="0"/>
                <w:webHidden/>
              </w:rPr>
              <w:tab/>
            </w:r>
            <w:r w:rsidR="00565546" w:rsidRPr="00B91F3C">
              <w:rPr>
                <w:b w:val="0"/>
                <w:noProof w:val="0"/>
                <w:webHidden/>
              </w:rPr>
              <w:fldChar w:fldCharType="begin"/>
            </w:r>
            <w:r w:rsidR="00565546" w:rsidRPr="00B91F3C">
              <w:rPr>
                <w:b w:val="0"/>
                <w:noProof w:val="0"/>
                <w:webHidden/>
              </w:rPr>
              <w:instrText xml:space="preserve"> PAGEREF _Toc165899283 \h </w:instrText>
            </w:r>
            <w:r w:rsidR="00565546" w:rsidRPr="00B91F3C">
              <w:rPr>
                <w:b w:val="0"/>
                <w:noProof w:val="0"/>
                <w:webHidden/>
              </w:rPr>
            </w:r>
            <w:r w:rsidR="00565546" w:rsidRPr="00B91F3C">
              <w:rPr>
                <w:b w:val="0"/>
                <w:noProof w:val="0"/>
                <w:webHidden/>
              </w:rPr>
              <w:fldChar w:fldCharType="separate"/>
            </w:r>
            <w:r w:rsidR="00565546" w:rsidRPr="00B91F3C">
              <w:rPr>
                <w:b w:val="0"/>
                <w:noProof w:val="0"/>
                <w:webHidden/>
              </w:rPr>
              <w:t>75</w:t>
            </w:r>
            <w:r w:rsidR="00565546" w:rsidRPr="00B91F3C">
              <w:rPr>
                <w:b w:val="0"/>
                <w:noProof w:val="0"/>
                <w:webHidden/>
              </w:rPr>
              <w:fldChar w:fldCharType="end"/>
            </w:r>
          </w:hyperlink>
        </w:p>
        <w:p w14:paraId="77D090B4" w14:textId="582851CB" w:rsidR="00565546" w:rsidRPr="00B91F3C" w:rsidRDefault="000E0255">
          <w:pPr>
            <w:pStyle w:val="TM1"/>
            <w:rPr>
              <w:rFonts w:eastAsiaTheme="minorEastAsia" w:cstheme="minorHAnsi"/>
              <w:noProof w:val="0"/>
              <w:kern w:val="2"/>
              <w:lang w:eastAsia="fr-FR"/>
              <w14:ligatures w14:val="standardContextual"/>
            </w:rPr>
          </w:pPr>
          <w:hyperlink w:anchor="_Toc165899284" w:history="1">
            <w:r w:rsidR="00565546" w:rsidRPr="00B91F3C">
              <w:rPr>
                <w:rStyle w:val="Lienhypertexte"/>
                <w:rFonts w:eastAsiaTheme="majorEastAsia" w:cstheme="minorHAnsi"/>
                <w:smallCaps/>
                <w:noProof w:val="0"/>
                <w:snapToGrid w:val="0"/>
                <w:kern w:val="22"/>
              </w:rPr>
              <w:t>VII.</w:t>
            </w:r>
            <w:r w:rsidR="00565546" w:rsidRPr="00B91F3C">
              <w:rPr>
                <w:rFonts w:eastAsiaTheme="minorEastAsia" w:cstheme="minorHAnsi"/>
                <w:noProof w:val="0"/>
                <w:kern w:val="2"/>
                <w:lang w:eastAsia="fr-FR"/>
                <w14:ligatures w14:val="standardContextual"/>
              </w:rPr>
              <w:tab/>
            </w:r>
            <w:r w:rsidR="00565546" w:rsidRPr="00B91F3C">
              <w:rPr>
                <w:rStyle w:val="Lienhypertexte"/>
                <w:rFonts w:eastAsiaTheme="majorEastAsia" w:cstheme="minorHAnsi"/>
                <w:noProof w:val="0"/>
                <w:snapToGrid w:val="0"/>
                <w:kern w:val="22"/>
              </w:rPr>
              <w:t>Результаты работы Управления независимой оценки ГЭФ</w:t>
            </w:r>
            <w:r w:rsidR="00565546" w:rsidRPr="00B91F3C">
              <w:rPr>
                <w:rFonts w:cstheme="minorHAnsi"/>
                <w:noProof w:val="0"/>
                <w:webHidden/>
              </w:rPr>
              <w:tab/>
            </w:r>
            <w:r w:rsidR="00565546" w:rsidRPr="00B91F3C">
              <w:rPr>
                <w:rFonts w:cstheme="minorHAnsi"/>
                <w:noProof w:val="0"/>
                <w:webHidden/>
              </w:rPr>
              <w:fldChar w:fldCharType="begin"/>
            </w:r>
            <w:r w:rsidR="00565546" w:rsidRPr="00B91F3C">
              <w:rPr>
                <w:rFonts w:cstheme="minorHAnsi"/>
                <w:noProof w:val="0"/>
                <w:webHidden/>
              </w:rPr>
              <w:instrText xml:space="preserve"> PAGEREF _Toc165899284 \h </w:instrText>
            </w:r>
            <w:r w:rsidR="00565546" w:rsidRPr="00B91F3C">
              <w:rPr>
                <w:rFonts w:cstheme="minorHAnsi"/>
                <w:noProof w:val="0"/>
                <w:webHidden/>
              </w:rPr>
            </w:r>
            <w:r w:rsidR="00565546" w:rsidRPr="00B91F3C">
              <w:rPr>
                <w:rFonts w:cstheme="minorHAnsi"/>
                <w:noProof w:val="0"/>
                <w:webHidden/>
              </w:rPr>
              <w:fldChar w:fldCharType="separate"/>
            </w:r>
            <w:r w:rsidR="00565546" w:rsidRPr="00B91F3C">
              <w:rPr>
                <w:rFonts w:cstheme="minorHAnsi"/>
                <w:noProof w:val="0"/>
                <w:webHidden/>
              </w:rPr>
              <w:t>76</w:t>
            </w:r>
            <w:r w:rsidR="00565546" w:rsidRPr="00B91F3C">
              <w:rPr>
                <w:rFonts w:cstheme="minorHAnsi"/>
                <w:noProof w:val="0"/>
                <w:webHidden/>
              </w:rPr>
              <w:fldChar w:fldCharType="end"/>
            </w:r>
          </w:hyperlink>
        </w:p>
        <w:p w14:paraId="174C4E77" w14:textId="1A70782B" w:rsidR="00565546" w:rsidRPr="00B91F3C" w:rsidRDefault="000E0255" w:rsidP="00930845">
          <w:pPr>
            <w:pStyle w:val="TM2"/>
            <w:rPr>
              <w:rFonts w:eastAsiaTheme="minorEastAsia"/>
              <w:b w:val="0"/>
              <w:noProof w:val="0"/>
              <w:snapToGrid/>
              <w:kern w:val="2"/>
              <w:lang w:eastAsia="fr-FR"/>
              <w14:ligatures w14:val="standardContextual"/>
            </w:rPr>
          </w:pPr>
          <w:hyperlink w:anchor="_Toc165899285" w:history="1">
            <w:r w:rsidR="00565546" w:rsidRPr="00B91F3C">
              <w:rPr>
                <w:rStyle w:val="Lienhypertexte"/>
                <w:b w:val="0"/>
                <w:noProof w:val="0"/>
              </w:rPr>
              <w:t>Оценка обеспечиваемой ГЭФ поддержки в области устойчивого лесопользования</w:t>
            </w:r>
            <w:r w:rsidR="00565546" w:rsidRPr="00B91F3C">
              <w:rPr>
                <w:b w:val="0"/>
                <w:noProof w:val="0"/>
                <w:webHidden/>
              </w:rPr>
              <w:tab/>
            </w:r>
            <w:r w:rsidR="00565546" w:rsidRPr="00B91F3C">
              <w:rPr>
                <w:b w:val="0"/>
                <w:noProof w:val="0"/>
                <w:webHidden/>
              </w:rPr>
              <w:fldChar w:fldCharType="begin"/>
            </w:r>
            <w:r w:rsidR="00565546" w:rsidRPr="00B91F3C">
              <w:rPr>
                <w:b w:val="0"/>
                <w:noProof w:val="0"/>
                <w:webHidden/>
              </w:rPr>
              <w:instrText xml:space="preserve"> PAGEREF _Toc165899285 \h </w:instrText>
            </w:r>
            <w:r w:rsidR="00565546" w:rsidRPr="00B91F3C">
              <w:rPr>
                <w:b w:val="0"/>
                <w:noProof w:val="0"/>
                <w:webHidden/>
              </w:rPr>
            </w:r>
            <w:r w:rsidR="00565546" w:rsidRPr="00B91F3C">
              <w:rPr>
                <w:b w:val="0"/>
                <w:noProof w:val="0"/>
                <w:webHidden/>
              </w:rPr>
              <w:fldChar w:fldCharType="separate"/>
            </w:r>
            <w:r w:rsidR="00565546" w:rsidRPr="00B91F3C">
              <w:rPr>
                <w:b w:val="0"/>
                <w:noProof w:val="0"/>
                <w:webHidden/>
              </w:rPr>
              <w:t>76</w:t>
            </w:r>
            <w:r w:rsidR="00565546" w:rsidRPr="00B91F3C">
              <w:rPr>
                <w:b w:val="0"/>
                <w:noProof w:val="0"/>
                <w:webHidden/>
              </w:rPr>
              <w:fldChar w:fldCharType="end"/>
            </w:r>
          </w:hyperlink>
        </w:p>
        <w:p w14:paraId="656AF57C" w14:textId="389A2909" w:rsidR="00565546" w:rsidRPr="00B91F3C" w:rsidRDefault="000E0255" w:rsidP="00930845">
          <w:pPr>
            <w:pStyle w:val="TM2"/>
            <w:rPr>
              <w:rFonts w:eastAsiaTheme="minorEastAsia"/>
              <w:b w:val="0"/>
              <w:noProof w:val="0"/>
              <w:snapToGrid/>
              <w:kern w:val="2"/>
              <w:lang w:eastAsia="fr-FR"/>
              <w14:ligatures w14:val="standardContextual"/>
            </w:rPr>
          </w:pPr>
          <w:hyperlink w:anchor="_Toc165899286" w:history="1">
            <w:r w:rsidR="00565546" w:rsidRPr="00B91F3C">
              <w:rPr>
                <w:rStyle w:val="Lienhypertexte"/>
                <w:b w:val="0"/>
                <w:noProof w:val="0"/>
              </w:rPr>
              <w:t>Стратегическая оценка группы стран: экосистема бассейна Нижнего Меконга, июнь 2023 года</w:t>
            </w:r>
            <w:r w:rsidR="00565546" w:rsidRPr="00B91F3C">
              <w:rPr>
                <w:b w:val="0"/>
                <w:noProof w:val="0"/>
                <w:webHidden/>
              </w:rPr>
              <w:tab/>
            </w:r>
            <w:r w:rsidR="00565546" w:rsidRPr="00B91F3C">
              <w:rPr>
                <w:b w:val="0"/>
                <w:noProof w:val="0"/>
                <w:webHidden/>
              </w:rPr>
              <w:fldChar w:fldCharType="begin"/>
            </w:r>
            <w:r w:rsidR="00565546" w:rsidRPr="00B91F3C">
              <w:rPr>
                <w:b w:val="0"/>
                <w:noProof w:val="0"/>
                <w:webHidden/>
              </w:rPr>
              <w:instrText xml:space="preserve"> PAGEREF _Toc165899286 \h </w:instrText>
            </w:r>
            <w:r w:rsidR="00565546" w:rsidRPr="00B91F3C">
              <w:rPr>
                <w:b w:val="0"/>
                <w:noProof w:val="0"/>
                <w:webHidden/>
              </w:rPr>
            </w:r>
            <w:r w:rsidR="00565546" w:rsidRPr="00B91F3C">
              <w:rPr>
                <w:b w:val="0"/>
                <w:noProof w:val="0"/>
                <w:webHidden/>
              </w:rPr>
              <w:fldChar w:fldCharType="separate"/>
            </w:r>
            <w:r w:rsidR="00565546" w:rsidRPr="00B91F3C">
              <w:rPr>
                <w:b w:val="0"/>
                <w:noProof w:val="0"/>
                <w:webHidden/>
              </w:rPr>
              <w:t>77</w:t>
            </w:r>
            <w:r w:rsidR="00565546" w:rsidRPr="00B91F3C">
              <w:rPr>
                <w:b w:val="0"/>
                <w:noProof w:val="0"/>
                <w:webHidden/>
              </w:rPr>
              <w:fldChar w:fldCharType="end"/>
            </w:r>
          </w:hyperlink>
        </w:p>
        <w:p w14:paraId="5358701C" w14:textId="7FC67278" w:rsidR="00565546" w:rsidRPr="00B91F3C" w:rsidRDefault="000E0255" w:rsidP="00930845">
          <w:pPr>
            <w:pStyle w:val="TM2"/>
            <w:rPr>
              <w:rFonts w:eastAsiaTheme="minorEastAsia"/>
              <w:b w:val="0"/>
              <w:noProof w:val="0"/>
              <w:snapToGrid/>
              <w:kern w:val="2"/>
              <w:lang w:eastAsia="fr-FR"/>
              <w14:ligatures w14:val="standardContextual"/>
            </w:rPr>
          </w:pPr>
          <w:hyperlink w:anchor="_Toc165899287" w:history="1">
            <w:r w:rsidR="00565546" w:rsidRPr="00B91F3C">
              <w:rPr>
                <w:rStyle w:val="Lienhypertexte"/>
                <w:b w:val="0"/>
                <w:noProof w:val="0"/>
              </w:rPr>
              <w:t>Стратегическая оценка группы стран: обеспечиваемая ГЭФ поддержка странам с засушливыми районами, январь 2024 года</w:t>
            </w:r>
            <w:r w:rsidR="00565546" w:rsidRPr="00B91F3C">
              <w:rPr>
                <w:b w:val="0"/>
                <w:noProof w:val="0"/>
                <w:webHidden/>
              </w:rPr>
              <w:tab/>
            </w:r>
            <w:r w:rsidR="00565546" w:rsidRPr="00B91F3C">
              <w:rPr>
                <w:b w:val="0"/>
                <w:noProof w:val="0"/>
                <w:webHidden/>
              </w:rPr>
              <w:fldChar w:fldCharType="begin"/>
            </w:r>
            <w:r w:rsidR="00565546" w:rsidRPr="00B91F3C">
              <w:rPr>
                <w:b w:val="0"/>
                <w:noProof w:val="0"/>
                <w:webHidden/>
              </w:rPr>
              <w:instrText xml:space="preserve"> PAGEREF _Toc165899287 \h </w:instrText>
            </w:r>
            <w:r w:rsidR="00565546" w:rsidRPr="00B91F3C">
              <w:rPr>
                <w:b w:val="0"/>
                <w:noProof w:val="0"/>
                <w:webHidden/>
              </w:rPr>
            </w:r>
            <w:r w:rsidR="00565546" w:rsidRPr="00B91F3C">
              <w:rPr>
                <w:b w:val="0"/>
                <w:noProof w:val="0"/>
                <w:webHidden/>
              </w:rPr>
              <w:fldChar w:fldCharType="separate"/>
            </w:r>
            <w:r w:rsidR="00565546" w:rsidRPr="00B91F3C">
              <w:rPr>
                <w:b w:val="0"/>
                <w:noProof w:val="0"/>
                <w:webHidden/>
              </w:rPr>
              <w:t>79</w:t>
            </w:r>
            <w:r w:rsidR="00565546" w:rsidRPr="00B91F3C">
              <w:rPr>
                <w:b w:val="0"/>
                <w:noProof w:val="0"/>
                <w:webHidden/>
              </w:rPr>
              <w:fldChar w:fldCharType="end"/>
            </w:r>
          </w:hyperlink>
        </w:p>
        <w:p w14:paraId="02D1C8C1" w14:textId="23658AFC" w:rsidR="00565546" w:rsidRPr="00B91F3C" w:rsidRDefault="000E0255" w:rsidP="00930845">
          <w:pPr>
            <w:pStyle w:val="TM2"/>
            <w:rPr>
              <w:rFonts w:eastAsiaTheme="minorEastAsia" w:cstheme="minorBidi"/>
              <w:b w:val="0"/>
              <w:bCs w:val="0"/>
              <w:noProof w:val="0"/>
              <w:snapToGrid/>
              <w:kern w:val="2"/>
              <w:sz w:val="24"/>
              <w:szCs w:val="24"/>
              <w:lang w:eastAsia="fr-FR"/>
              <w14:ligatures w14:val="standardContextual"/>
            </w:rPr>
          </w:pPr>
          <w:hyperlink w:anchor="_Toc165899288" w:history="1">
            <w:r w:rsidR="00565546" w:rsidRPr="00B91F3C">
              <w:rPr>
                <w:rStyle w:val="Lienhypertexte"/>
                <w:b w:val="0"/>
                <w:noProof w:val="0"/>
              </w:rPr>
              <w:t>Оценка подходов, основанных на участии общин, в проектах ГЭФ, январь 2024 года</w:t>
            </w:r>
            <w:r w:rsidR="00565546" w:rsidRPr="00B91F3C">
              <w:rPr>
                <w:b w:val="0"/>
                <w:noProof w:val="0"/>
                <w:webHidden/>
              </w:rPr>
              <w:tab/>
            </w:r>
            <w:r w:rsidR="00565546" w:rsidRPr="00B91F3C">
              <w:rPr>
                <w:b w:val="0"/>
                <w:noProof w:val="0"/>
                <w:webHidden/>
              </w:rPr>
              <w:fldChar w:fldCharType="begin"/>
            </w:r>
            <w:r w:rsidR="00565546" w:rsidRPr="00B91F3C">
              <w:rPr>
                <w:b w:val="0"/>
                <w:noProof w:val="0"/>
                <w:webHidden/>
              </w:rPr>
              <w:instrText xml:space="preserve"> PAGEREF _Toc165899288 \h </w:instrText>
            </w:r>
            <w:r w:rsidR="00565546" w:rsidRPr="00B91F3C">
              <w:rPr>
                <w:b w:val="0"/>
                <w:noProof w:val="0"/>
                <w:webHidden/>
              </w:rPr>
            </w:r>
            <w:r w:rsidR="00565546" w:rsidRPr="00B91F3C">
              <w:rPr>
                <w:b w:val="0"/>
                <w:noProof w:val="0"/>
                <w:webHidden/>
              </w:rPr>
              <w:fldChar w:fldCharType="separate"/>
            </w:r>
            <w:r w:rsidR="00565546" w:rsidRPr="00B91F3C">
              <w:rPr>
                <w:b w:val="0"/>
                <w:noProof w:val="0"/>
                <w:webHidden/>
              </w:rPr>
              <w:t>82</w:t>
            </w:r>
            <w:r w:rsidR="00565546" w:rsidRPr="00B91F3C">
              <w:rPr>
                <w:b w:val="0"/>
                <w:noProof w:val="0"/>
                <w:webHidden/>
              </w:rPr>
              <w:fldChar w:fldCharType="end"/>
            </w:r>
          </w:hyperlink>
        </w:p>
        <w:p w14:paraId="72F406CC" w14:textId="0991BB7E" w:rsidR="00565546" w:rsidRPr="00B91F3C" w:rsidRDefault="00565546">
          <w:r w:rsidRPr="00B91F3C">
            <w:rPr>
              <w:b/>
              <w:bCs/>
            </w:rPr>
            <w:fldChar w:fldCharType="end"/>
          </w:r>
        </w:p>
      </w:sdtContent>
    </w:sdt>
    <w:p w14:paraId="689E4FF7" w14:textId="77777777" w:rsidR="006D2491" w:rsidRPr="00B91F3C" w:rsidRDefault="006D2491" w:rsidP="006D2491">
      <w:pPr>
        <w:spacing w:line="240" w:lineRule="auto"/>
        <w:jc w:val="center"/>
        <w:rPr>
          <w:rFonts w:ascii="Calibri" w:eastAsia="MS Mincho" w:hAnsi="Calibri" w:cs="Angsana New"/>
          <w:bCs/>
          <w:smallCaps/>
          <w:sz w:val="24"/>
          <w:szCs w:val="24"/>
        </w:rPr>
      </w:pPr>
    </w:p>
    <w:p w14:paraId="5A51D990" w14:textId="0B2B6B9C" w:rsidR="006D2491" w:rsidRPr="00B91F3C" w:rsidRDefault="006D2491" w:rsidP="006D2491">
      <w:pPr>
        <w:rPr>
          <w:sz w:val="24"/>
        </w:rPr>
      </w:pPr>
    </w:p>
    <w:p w14:paraId="2CFD8AAA" w14:textId="77777777" w:rsidR="00C74316" w:rsidRPr="00B91F3C" w:rsidRDefault="00C74316" w:rsidP="008B5A2D">
      <w:pPr>
        <w:spacing w:before="360" w:after="240" w:line="240" w:lineRule="auto"/>
        <w:jc w:val="center"/>
        <w:rPr>
          <w:b/>
          <w:bCs/>
          <w:sz w:val="24"/>
          <w:szCs w:val="24"/>
        </w:rPr>
      </w:pPr>
      <w:r w:rsidRPr="00B91F3C">
        <w:br w:type="page"/>
      </w:r>
    </w:p>
    <w:p w14:paraId="50754B72" w14:textId="18591815" w:rsidR="006D2491" w:rsidRPr="00B91F3C" w:rsidRDefault="006D2491" w:rsidP="008B5A2D">
      <w:pPr>
        <w:spacing w:before="360" w:after="240" w:line="240" w:lineRule="auto"/>
        <w:jc w:val="center"/>
        <w:rPr>
          <w:b/>
          <w:bCs/>
          <w:sz w:val="24"/>
          <w:szCs w:val="24"/>
        </w:rPr>
      </w:pPr>
      <w:r w:rsidRPr="00B91F3C">
        <w:rPr>
          <w:b/>
          <w:sz w:val="24"/>
        </w:rPr>
        <w:lastRenderedPageBreak/>
        <w:t xml:space="preserve">Список иллюстраций </w:t>
      </w:r>
    </w:p>
    <w:p w14:paraId="5B2DE410" w14:textId="52CBF8C9" w:rsidR="00526530" w:rsidRPr="00B91F3C" w:rsidRDefault="00526530" w:rsidP="00D074FC">
      <w:pPr>
        <w:pStyle w:val="Tabledesillustrations"/>
        <w:rPr>
          <w:rFonts w:eastAsiaTheme="minorEastAsia"/>
          <w:kern w:val="2"/>
          <w:sz w:val="22"/>
          <w14:ligatures w14:val="standardContextual"/>
        </w:rPr>
      </w:pPr>
      <w:r w:rsidRPr="00B91F3C">
        <w:rPr>
          <w:rFonts w:eastAsiaTheme="majorEastAsia" w:cstheme="minorHAnsi"/>
          <w:snapToGrid w:val="0"/>
        </w:rPr>
        <w:fldChar w:fldCharType="begin"/>
      </w:r>
      <w:r w:rsidRPr="00B91F3C">
        <w:rPr>
          <w:rFonts w:eastAsiaTheme="majorEastAsia" w:cstheme="minorHAnsi"/>
          <w:snapToGrid w:val="0"/>
        </w:rPr>
        <w:instrText xml:space="preserve"> TOC \h \z \c "Figure" </w:instrText>
      </w:r>
      <w:r w:rsidRPr="00B91F3C">
        <w:rPr>
          <w:rFonts w:eastAsiaTheme="majorEastAsia" w:cstheme="minorHAnsi"/>
          <w:snapToGrid w:val="0"/>
        </w:rPr>
        <w:fldChar w:fldCharType="separate"/>
      </w:r>
      <w:hyperlink w:anchor="_Toc161334840" w:history="1">
        <w:r w:rsidR="00F12906" w:rsidRPr="00B91F3C">
          <w:t>Диаграмма 1. Оцен</w:t>
        </w:r>
        <w:r w:rsidR="00F12906" w:rsidRPr="00B91F3C">
          <w:t>к</w:t>
        </w:r>
        <w:r w:rsidR="00F12906" w:rsidRPr="00B91F3C">
          <w:t>а результатов и прогресса в осуществлении текущих проектов ГЭФ по всем целевым областям по состоянию на 30 июня 2023 года</w:t>
        </w:r>
        <w:r w:rsidRPr="00B91F3C">
          <w:rPr>
            <w:webHidden/>
          </w:rPr>
          <w:tab/>
        </w:r>
        <w:r w:rsidRPr="00B91F3C">
          <w:rPr>
            <w:webHidden/>
          </w:rPr>
          <w:fldChar w:fldCharType="begin"/>
        </w:r>
        <w:r w:rsidRPr="00B91F3C">
          <w:rPr>
            <w:webHidden/>
          </w:rPr>
          <w:instrText xml:space="preserve"> PAGEREF _Toc161334840 \h </w:instrText>
        </w:r>
        <w:r w:rsidRPr="00B91F3C">
          <w:rPr>
            <w:webHidden/>
          </w:rPr>
        </w:r>
        <w:r w:rsidRPr="00B91F3C">
          <w:rPr>
            <w:webHidden/>
          </w:rPr>
          <w:fldChar w:fldCharType="separate"/>
        </w:r>
        <w:r w:rsidR="006D30FB" w:rsidRPr="00B91F3C">
          <w:rPr>
            <w:webHidden/>
          </w:rPr>
          <w:t>67</w:t>
        </w:r>
        <w:r w:rsidRPr="00B91F3C">
          <w:rPr>
            <w:webHidden/>
          </w:rPr>
          <w:fldChar w:fldCharType="end"/>
        </w:r>
      </w:hyperlink>
    </w:p>
    <w:p w14:paraId="0A931B26" w14:textId="7C726286" w:rsidR="00526530" w:rsidRPr="00B91F3C" w:rsidRDefault="00526530" w:rsidP="00D074FC">
      <w:pPr>
        <w:pStyle w:val="Tabledesillustrations"/>
        <w:rPr>
          <w:rFonts w:eastAsiaTheme="minorEastAsia"/>
          <w:kern w:val="2"/>
          <w:sz w:val="22"/>
          <w14:ligatures w14:val="standardContextual"/>
        </w:rPr>
      </w:pPr>
      <w:hyperlink w:anchor="_Toc161334841" w:history="1">
        <w:r w:rsidR="00A72A97" w:rsidRPr="00B91F3C">
          <w:t>Диаграмма 2. Проекты, получившие удовлетворительную оценку, в разбивке по целевым областям по состоянию на 30 июня 2023</w:t>
        </w:r>
        <w:r w:rsidR="00A72A97" w:rsidRPr="00B91F3C">
          <w:t xml:space="preserve"> года</w:t>
        </w:r>
        <w:r w:rsidRPr="00B91F3C">
          <w:rPr>
            <w:webHidden/>
          </w:rPr>
          <w:tab/>
        </w:r>
        <w:r w:rsidRPr="00B91F3C">
          <w:rPr>
            <w:webHidden/>
          </w:rPr>
          <w:fldChar w:fldCharType="begin"/>
        </w:r>
        <w:r w:rsidRPr="00B91F3C">
          <w:rPr>
            <w:webHidden/>
          </w:rPr>
          <w:instrText xml:space="preserve"> PAGEREF _Toc161334841 \h </w:instrText>
        </w:r>
        <w:r w:rsidRPr="00B91F3C">
          <w:rPr>
            <w:webHidden/>
          </w:rPr>
        </w:r>
        <w:r w:rsidRPr="00B91F3C">
          <w:rPr>
            <w:webHidden/>
          </w:rPr>
          <w:fldChar w:fldCharType="separate"/>
        </w:r>
        <w:r w:rsidR="006D30FB" w:rsidRPr="00B91F3C">
          <w:rPr>
            <w:webHidden/>
          </w:rPr>
          <w:t>67</w:t>
        </w:r>
        <w:r w:rsidRPr="00B91F3C">
          <w:rPr>
            <w:webHidden/>
          </w:rPr>
          <w:fldChar w:fldCharType="end"/>
        </w:r>
      </w:hyperlink>
    </w:p>
    <w:p w14:paraId="48853268" w14:textId="16FC8811" w:rsidR="00526530" w:rsidRPr="00B91F3C" w:rsidRDefault="00526530" w:rsidP="00D074FC">
      <w:pPr>
        <w:pStyle w:val="Tabledesillustrations"/>
        <w:rPr>
          <w:rFonts w:eastAsiaTheme="minorEastAsia"/>
          <w:kern w:val="2"/>
          <w:sz w:val="22"/>
          <w14:ligatures w14:val="standardContextual"/>
        </w:rPr>
      </w:pPr>
      <w:hyperlink w:anchor="_Toc161334842" w:history="1">
        <w:r w:rsidR="007A3B55" w:rsidRPr="00B91F3C">
          <w:rPr>
            <w:rFonts w:ascii="Calibri" w:hAnsi="Calibri" w:cs="Calibri"/>
            <w:bCs/>
            <w:iCs/>
            <w:szCs w:val="24"/>
          </w:rPr>
          <w:t>Диаграмма 3. Коэффициент софинансирования текущих проектов в разбивке по целевым областям (2023 год)</w:t>
        </w:r>
        <w:r w:rsidRPr="00B91F3C">
          <w:rPr>
            <w:rStyle w:val="Lienhypertexte"/>
          </w:rPr>
          <w:t>)</w:t>
        </w:r>
        <w:r w:rsidRPr="00B91F3C">
          <w:rPr>
            <w:rStyle w:val="Lienhypertexte"/>
            <w:vertAlign w:val="superscript"/>
          </w:rPr>
          <w:t xml:space="preserve"> </w:t>
        </w:r>
        <w:r w:rsidRPr="00B91F3C">
          <w:rPr>
            <w:webHidden/>
          </w:rPr>
          <w:tab/>
        </w:r>
        <w:r w:rsidRPr="00B91F3C">
          <w:rPr>
            <w:webHidden/>
          </w:rPr>
          <w:fldChar w:fldCharType="begin"/>
        </w:r>
        <w:r w:rsidRPr="00B91F3C">
          <w:rPr>
            <w:webHidden/>
          </w:rPr>
          <w:instrText xml:space="preserve"> PAGEREF _Toc161334842 \h </w:instrText>
        </w:r>
        <w:r w:rsidRPr="00B91F3C">
          <w:rPr>
            <w:webHidden/>
          </w:rPr>
        </w:r>
        <w:r w:rsidRPr="00B91F3C">
          <w:rPr>
            <w:webHidden/>
          </w:rPr>
          <w:fldChar w:fldCharType="separate"/>
        </w:r>
        <w:r w:rsidR="006D30FB" w:rsidRPr="00B91F3C">
          <w:rPr>
            <w:webHidden/>
          </w:rPr>
          <w:t>69</w:t>
        </w:r>
        <w:r w:rsidRPr="00B91F3C">
          <w:rPr>
            <w:webHidden/>
          </w:rPr>
          <w:fldChar w:fldCharType="end"/>
        </w:r>
      </w:hyperlink>
    </w:p>
    <w:p w14:paraId="38EBA310" w14:textId="6AE0373A" w:rsidR="00526530" w:rsidRPr="00B91F3C" w:rsidRDefault="00526530" w:rsidP="00D074FC">
      <w:pPr>
        <w:pStyle w:val="Tabledesillustrations"/>
        <w:rPr>
          <w:rFonts w:eastAsiaTheme="minorEastAsia"/>
          <w:kern w:val="2"/>
          <w:sz w:val="22"/>
          <w14:ligatures w14:val="standardContextual"/>
        </w:rPr>
      </w:pPr>
      <w:hyperlink w:anchor="_Toc161334843" w:history="1">
        <w:r w:rsidR="00EB4634" w:rsidRPr="00B91F3C">
          <w:rPr>
            <w:rFonts w:ascii="Calibri" w:hAnsi="Calibri" w:cs="Calibri"/>
            <w:bCs/>
            <w:iCs/>
            <w:szCs w:val="24"/>
          </w:rPr>
          <w:t>Диаграмма 4. Результаты достижения целевых показателей по основным индикаторам ГЭФ-7 по состоянию на июнь 2022 года</w:t>
        </w:r>
        <w:r w:rsidRPr="00B91F3C">
          <w:rPr>
            <w:webHidden/>
          </w:rPr>
          <w:tab/>
        </w:r>
        <w:r w:rsidRPr="00B91F3C">
          <w:rPr>
            <w:webHidden/>
          </w:rPr>
          <w:fldChar w:fldCharType="begin"/>
        </w:r>
        <w:r w:rsidRPr="00B91F3C">
          <w:rPr>
            <w:webHidden/>
          </w:rPr>
          <w:instrText xml:space="preserve"> PAGEREF _Toc161334843 \h </w:instrText>
        </w:r>
        <w:r w:rsidRPr="00B91F3C">
          <w:rPr>
            <w:webHidden/>
          </w:rPr>
        </w:r>
        <w:r w:rsidRPr="00B91F3C">
          <w:rPr>
            <w:webHidden/>
          </w:rPr>
          <w:fldChar w:fldCharType="separate"/>
        </w:r>
        <w:r w:rsidR="006D30FB" w:rsidRPr="00B91F3C">
          <w:rPr>
            <w:webHidden/>
          </w:rPr>
          <w:t>71</w:t>
        </w:r>
        <w:r w:rsidRPr="00B91F3C">
          <w:rPr>
            <w:webHidden/>
          </w:rPr>
          <w:fldChar w:fldCharType="end"/>
        </w:r>
      </w:hyperlink>
    </w:p>
    <w:p w14:paraId="42DB6A23" w14:textId="6FA3307B" w:rsidR="00526530" w:rsidRPr="00B91F3C" w:rsidRDefault="00526530" w:rsidP="00D074FC">
      <w:pPr>
        <w:pStyle w:val="Tabledesillustrations"/>
        <w:rPr>
          <w:rFonts w:eastAsiaTheme="minorEastAsia"/>
          <w:kern w:val="2"/>
          <w:sz w:val="22"/>
          <w14:ligatures w14:val="standardContextual"/>
        </w:rPr>
      </w:pPr>
      <w:hyperlink w:anchor="_Toc161334844" w:history="1">
        <w:r w:rsidR="00211492" w:rsidRPr="00B91F3C">
          <w:rPr>
            <w:rFonts w:ascii="Calibri" w:hAnsi="Calibri" w:cs="Calibri"/>
            <w:bCs/>
            <w:iCs/>
            <w:szCs w:val="24"/>
          </w:rPr>
          <w:t>Диаграмма 5. Результаты достижения целевых показателей по основным индикаторам ГЭФ-8 по состоянию на февраль 2024 года</w:t>
        </w:r>
        <w:r w:rsidRPr="00B91F3C">
          <w:rPr>
            <w:webHidden/>
          </w:rPr>
          <w:tab/>
        </w:r>
        <w:r w:rsidRPr="00B91F3C">
          <w:rPr>
            <w:webHidden/>
          </w:rPr>
          <w:fldChar w:fldCharType="begin"/>
        </w:r>
        <w:r w:rsidRPr="00B91F3C">
          <w:rPr>
            <w:webHidden/>
          </w:rPr>
          <w:instrText xml:space="preserve"> PAGEREF _Toc161334844 \h </w:instrText>
        </w:r>
        <w:r w:rsidRPr="00B91F3C">
          <w:rPr>
            <w:webHidden/>
          </w:rPr>
        </w:r>
        <w:r w:rsidRPr="00B91F3C">
          <w:rPr>
            <w:webHidden/>
          </w:rPr>
          <w:fldChar w:fldCharType="separate"/>
        </w:r>
        <w:r w:rsidR="006D30FB" w:rsidRPr="00B91F3C">
          <w:rPr>
            <w:webHidden/>
          </w:rPr>
          <w:t>73</w:t>
        </w:r>
        <w:r w:rsidRPr="00B91F3C">
          <w:rPr>
            <w:webHidden/>
          </w:rPr>
          <w:fldChar w:fldCharType="end"/>
        </w:r>
      </w:hyperlink>
    </w:p>
    <w:p w14:paraId="7683ABEF" w14:textId="41FF7337" w:rsidR="00526530" w:rsidRPr="00B91F3C" w:rsidRDefault="00526530" w:rsidP="00D074FC">
      <w:pPr>
        <w:pStyle w:val="Tabledesillustrations"/>
        <w:rPr>
          <w:rFonts w:eastAsiaTheme="minorEastAsia"/>
          <w:kern w:val="2"/>
          <w:sz w:val="22"/>
          <w14:ligatures w14:val="standardContextual"/>
        </w:rPr>
      </w:pPr>
      <w:hyperlink w:anchor="_Toc161334845" w:history="1">
        <w:r w:rsidR="00F32B0E" w:rsidRPr="00B91F3C">
          <w:rPr>
            <w:rFonts w:ascii="Calibri" w:hAnsi="Calibri" w:cs="Calibri"/>
            <w:bCs/>
            <w:iCs/>
            <w:szCs w:val="24"/>
          </w:rPr>
          <w:t>Диаграмма 6. Результаты достижени</w:t>
        </w:r>
        <w:r w:rsidR="00F32B0E" w:rsidRPr="00B91F3C">
          <w:rPr>
            <w:rFonts w:ascii="Calibri" w:hAnsi="Calibri" w:cs="Calibri"/>
            <w:bCs/>
            <w:iCs/>
            <w:szCs w:val="24"/>
          </w:rPr>
          <w:t>я</w:t>
        </w:r>
        <w:r w:rsidR="00F32B0E" w:rsidRPr="00B91F3C">
          <w:rPr>
            <w:rFonts w:ascii="Calibri" w:hAnsi="Calibri" w:cs="Calibri"/>
            <w:bCs/>
            <w:iCs/>
            <w:szCs w:val="24"/>
          </w:rPr>
          <w:t xml:space="preserve"> целевых показателей ГЭФ-8 по Рио-де-Жанейрским маркерам по состоянию на февраль 2024 года</w:t>
        </w:r>
        <w:r w:rsidRPr="00B91F3C">
          <w:rPr>
            <w:webHidden/>
          </w:rPr>
          <w:tab/>
        </w:r>
        <w:r w:rsidRPr="00B91F3C">
          <w:rPr>
            <w:webHidden/>
          </w:rPr>
          <w:fldChar w:fldCharType="begin"/>
        </w:r>
        <w:r w:rsidRPr="00B91F3C">
          <w:rPr>
            <w:webHidden/>
          </w:rPr>
          <w:instrText xml:space="preserve"> PAGEREF _Toc161334845 \h </w:instrText>
        </w:r>
        <w:r w:rsidRPr="00B91F3C">
          <w:rPr>
            <w:webHidden/>
          </w:rPr>
        </w:r>
        <w:r w:rsidRPr="00B91F3C">
          <w:rPr>
            <w:webHidden/>
          </w:rPr>
          <w:fldChar w:fldCharType="separate"/>
        </w:r>
        <w:r w:rsidR="006D30FB" w:rsidRPr="00B91F3C">
          <w:rPr>
            <w:webHidden/>
          </w:rPr>
          <w:t>74</w:t>
        </w:r>
        <w:r w:rsidRPr="00B91F3C">
          <w:rPr>
            <w:webHidden/>
          </w:rPr>
          <w:fldChar w:fldCharType="end"/>
        </w:r>
      </w:hyperlink>
    </w:p>
    <w:p w14:paraId="48CD54E9" w14:textId="3467ED41" w:rsidR="006D2491" w:rsidRPr="00B91F3C" w:rsidRDefault="00526530" w:rsidP="00D074FC">
      <w:pPr>
        <w:spacing w:after="120"/>
        <w:rPr>
          <w:rFonts w:eastAsiaTheme="majorEastAsia" w:cstheme="minorHAnsi"/>
          <w:b/>
          <w:smallCaps/>
          <w:snapToGrid w:val="0"/>
          <w:sz w:val="24"/>
        </w:rPr>
      </w:pPr>
      <w:r w:rsidRPr="00B91F3C">
        <w:rPr>
          <w:rFonts w:eastAsiaTheme="majorEastAsia" w:cstheme="minorHAnsi"/>
          <w:bCs/>
          <w:snapToGrid w:val="0"/>
          <w:sz w:val="24"/>
          <w:szCs w:val="24"/>
        </w:rPr>
        <w:fldChar w:fldCharType="end"/>
      </w:r>
    </w:p>
    <w:p w14:paraId="083F4C89" w14:textId="319B1175" w:rsidR="000D7E54" w:rsidRPr="00B91F3C" w:rsidRDefault="006D2491" w:rsidP="00601297">
      <w:pPr>
        <w:spacing w:before="360" w:after="240"/>
        <w:jc w:val="center"/>
        <w:rPr>
          <w:sz w:val="24"/>
          <w:szCs w:val="24"/>
        </w:rPr>
      </w:pPr>
      <w:r w:rsidRPr="00B91F3C">
        <w:rPr>
          <w:b/>
          <w:snapToGrid w:val="0"/>
          <w:sz w:val="24"/>
        </w:rPr>
        <w:t>Список таблиц</w:t>
      </w:r>
      <w:r w:rsidRPr="00B91F3C">
        <w:rPr>
          <w:b/>
          <w:sz w:val="24"/>
        </w:rPr>
        <w:t xml:space="preserve"> </w:t>
      </w:r>
    </w:p>
    <w:p w14:paraId="298314A5" w14:textId="6A19F378" w:rsidR="00516B45" w:rsidRPr="00B91F3C" w:rsidRDefault="000E0255" w:rsidP="00A54E70">
      <w:pPr>
        <w:pStyle w:val="Tabledesillustrations"/>
        <w:rPr>
          <w:rFonts w:eastAsiaTheme="minorEastAsia"/>
          <w:sz w:val="22"/>
          <w:lang w:eastAsia="es-ES_tradnl"/>
        </w:rPr>
      </w:pPr>
      <w:hyperlink w:anchor="_Toc165894850" w:history="1">
        <w:r w:rsidR="00516B45" w:rsidRPr="00B91F3C">
          <w:rPr>
            <w:rStyle w:val="Lienhypertexte"/>
            <w:color w:val="auto"/>
            <w:u w:val="none"/>
          </w:rPr>
          <w:t>Таблица</w:t>
        </w:r>
        <w:r w:rsidR="0042764E">
          <w:rPr>
            <w:rStyle w:val="Lienhypertexte"/>
            <w:color w:val="auto"/>
            <w:u w:val="none"/>
          </w:rPr>
          <w:t xml:space="preserve"> </w:t>
        </w:r>
        <w:r w:rsidR="00516B45" w:rsidRPr="00B91F3C">
          <w:rPr>
            <w:rStyle w:val="Lienhypertexte"/>
            <w:color w:val="auto"/>
            <w:u w:val="none"/>
          </w:rPr>
          <w:t>1. Руководящие указания КБР и механизм реализации в период ГЭФ-7</w:t>
        </w:r>
        <w:r w:rsidR="00516B45" w:rsidRPr="00B91F3C">
          <w:rPr>
            <w:webHidden/>
          </w:rPr>
          <w:tab/>
        </w:r>
        <w:r w:rsidR="00516B45" w:rsidRPr="00B91F3C">
          <w:rPr>
            <w:webHidden/>
          </w:rPr>
          <w:fldChar w:fldCharType="begin"/>
        </w:r>
        <w:r w:rsidR="00516B45" w:rsidRPr="00B91F3C">
          <w:rPr>
            <w:webHidden/>
          </w:rPr>
          <w:instrText xml:space="preserve"> PAGEREF _Toc165894850 \h </w:instrText>
        </w:r>
        <w:r w:rsidR="00516B45" w:rsidRPr="00B91F3C">
          <w:rPr>
            <w:webHidden/>
          </w:rPr>
        </w:r>
        <w:r w:rsidR="00516B45" w:rsidRPr="00B91F3C">
          <w:rPr>
            <w:webHidden/>
          </w:rPr>
          <w:fldChar w:fldCharType="separate"/>
        </w:r>
        <w:r w:rsidR="00516B45" w:rsidRPr="00B91F3C">
          <w:rPr>
            <w:webHidden/>
          </w:rPr>
          <w:t>3</w:t>
        </w:r>
        <w:r w:rsidR="00516B45" w:rsidRPr="00B91F3C">
          <w:rPr>
            <w:webHidden/>
          </w:rPr>
          <w:fldChar w:fldCharType="end"/>
        </w:r>
      </w:hyperlink>
    </w:p>
    <w:p w14:paraId="24BBCB45" w14:textId="77777777" w:rsidR="00516B45" w:rsidRPr="00B91F3C" w:rsidRDefault="000E0255" w:rsidP="008537D7">
      <w:pPr>
        <w:pStyle w:val="Tabledesillustrations"/>
        <w:ind w:left="1134" w:hanging="1134"/>
        <w:rPr>
          <w:rFonts w:eastAsiaTheme="minorEastAsia"/>
          <w:sz w:val="22"/>
          <w:lang w:eastAsia="es-ES_tradnl"/>
        </w:rPr>
      </w:pPr>
      <w:hyperlink w:anchor="_Toc165894851" w:history="1">
        <w:r w:rsidR="00516B45" w:rsidRPr="00B91F3C">
          <w:rPr>
            <w:rStyle w:val="Lienhypertexte"/>
            <w:color w:val="auto"/>
            <w:u w:val="none"/>
          </w:rPr>
          <w:t>Таблица 2. Сводная информация об использовании ресурсов в программах целевой области «Биоразнообразие» в период ГЭФ-7 (1 июля 2018 года - 30 июня 2022 года)</w:t>
        </w:r>
        <w:r w:rsidR="00516B45" w:rsidRPr="00B91F3C">
          <w:rPr>
            <w:webHidden/>
          </w:rPr>
          <w:tab/>
          <w:t>5</w:t>
        </w:r>
      </w:hyperlink>
    </w:p>
    <w:p w14:paraId="5371DAED" w14:textId="77777777" w:rsidR="00516B45" w:rsidRPr="000E0255" w:rsidRDefault="000E0255" w:rsidP="008537D7">
      <w:pPr>
        <w:pStyle w:val="Tabledesillustrations"/>
        <w:ind w:left="1134" w:hanging="1134"/>
        <w:rPr>
          <w:rFonts w:eastAsiaTheme="minorEastAsia"/>
          <w:sz w:val="22"/>
          <w:lang w:eastAsia="es-ES_tradnl"/>
        </w:rPr>
      </w:pPr>
      <w:hyperlink w:anchor="_Toc165894852" w:history="1">
        <w:r w:rsidR="00516B45" w:rsidRPr="000E0255">
          <w:rPr>
            <w:rStyle w:val="Lienhypertexte"/>
            <w:color w:val="auto"/>
            <w:u w:val="none"/>
          </w:rPr>
          <w:t xml:space="preserve">Таблица 3. Совокупный прямой вклад программ ГЭФ-7 из всех ресурсов и программных направлений ГЭФ в выполнение Стратегического плана в области биоразнообразия на </w:t>
        </w:r>
        <w:proofErr w:type="gramStart"/>
        <w:r w:rsidR="00516B45" w:rsidRPr="000E0255">
          <w:rPr>
            <w:rStyle w:val="Lienhypertexte"/>
            <w:color w:val="auto"/>
            <w:u w:val="none"/>
          </w:rPr>
          <w:t>2011-2020</w:t>
        </w:r>
        <w:proofErr w:type="gramEnd"/>
        <w:r w:rsidR="00516B45" w:rsidRPr="000E0255">
          <w:rPr>
            <w:rStyle w:val="Lienhypertexte"/>
            <w:color w:val="auto"/>
            <w:u w:val="none"/>
          </w:rPr>
          <w:t xml:space="preserve"> годы (1 июля 2018 года – 30 июня 2022 года)</w:t>
        </w:r>
        <w:r w:rsidR="00516B45" w:rsidRPr="000E0255">
          <w:rPr>
            <w:webHidden/>
          </w:rPr>
          <w:tab/>
          <w:t>6</w:t>
        </w:r>
      </w:hyperlink>
    </w:p>
    <w:p w14:paraId="51E88D2A" w14:textId="77777777" w:rsidR="00516B45" w:rsidRPr="000E0255" w:rsidRDefault="000E0255" w:rsidP="008537D7">
      <w:pPr>
        <w:pStyle w:val="Tabledesillustrations"/>
        <w:ind w:left="1134" w:hanging="1134"/>
        <w:rPr>
          <w:rFonts w:eastAsiaTheme="minorEastAsia"/>
          <w:sz w:val="22"/>
          <w:lang w:eastAsia="es-ES_tradnl"/>
        </w:rPr>
      </w:pPr>
      <w:hyperlink w:anchor="_Toc165894853" w:history="1">
        <w:r w:rsidR="00516B45" w:rsidRPr="000E0255">
          <w:rPr>
            <w:rStyle w:val="Lienhypertexte"/>
            <w:color w:val="auto"/>
            <w:u w:val="none"/>
          </w:rPr>
          <w:t>Таблица 4. Сводная информация об использовании ресурсов в программах целевой области «Биоразнообразие» ГЭФ-8 за отчетный период (1 июля 2022 года - 29 февраля 2024 года)</w:t>
        </w:r>
        <w:r w:rsidR="00516B45" w:rsidRPr="000E0255">
          <w:rPr>
            <w:webHidden/>
          </w:rPr>
          <w:tab/>
          <w:t>9</w:t>
        </w:r>
      </w:hyperlink>
    </w:p>
    <w:p w14:paraId="617C60A5" w14:textId="77777777" w:rsidR="00516B45" w:rsidRPr="000E0255" w:rsidRDefault="000E0255" w:rsidP="008537D7">
      <w:pPr>
        <w:pStyle w:val="Tabledesillustrations"/>
        <w:ind w:left="1134" w:hanging="1134"/>
        <w:rPr>
          <w:rFonts w:eastAsiaTheme="minorEastAsia"/>
          <w:sz w:val="22"/>
          <w:lang w:eastAsia="es-ES_tradnl"/>
        </w:rPr>
      </w:pPr>
      <w:hyperlink w:anchor="_Toc165894854" w:history="1">
        <w:r w:rsidR="00516B45" w:rsidRPr="000E0255">
          <w:rPr>
            <w:rStyle w:val="Lienhypertexte"/>
            <w:color w:val="auto"/>
            <w:u w:val="none"/>
          </w:rPr>
          <w:t>Таблица 5. Взаимосвязи между задачами Куньминско-Монреальской глобальной рамочной программы в области биоразнообразия и комплексными программами</w:t>
        </w:r>
        <w:r w:rsidR="00516B45" w:rsidRPr="000E0255">
          <w:rPr>
            <w:webHidden/>
          </w:rPr>
          <w:tab/>
          <w:t>14</w:t>
        </w:r>
      </w:hyperlink>
    </w:p>
    <w:p w14:paraId="7B94725A" w14:textId="77777777" w:rsidR="00516B45" w:rsidRPr="000E0255" w:rsidRDefault="000E0255" w:rsidP="008537D7">
      <w:pPr>
        <w:pStyle w:val="Tabledesillustrations"/>
        <w:ind w:left="1134" w:hanging="1134"/>
        <w:rPr>
          <w:rFonts w:eastAsiaTheme="minorEastAsia"/>
          <w:sz w:val="22"/>
          <w:lang w:eastAsia="es-ES_tradnl"/>
        </w:rPr>
      </w:pPr>
      <w:hyperlink w:anchor="_Toc165894855" w:history="1">
        <w:r w:rsidR="00516B45" w:rsidRPr="000E0255">
          <w:rPr>
            <w:rStyle w:val="Lienhypertexte"/>
            <w:color w:val="auto"/>
            <w:u w:val="none"/>
          </w:rPr>
          <w:t>Таблица 6. Распределение совокупных средств ГЭФ по ФНРС/СФБИК-А и вкладу в выполнение задач КМГПБ (1 июля 2022 года - 31 декабря 2023 года)</w:t>
        </w:r>
        <w:r w:rsidR="00516B45" w:rsidRPr="000E0255">
          <w:rPr>
            <w:webHidden/>
          </w:rPr>
          <w:tab/>
          <w:t>27</w:t>
        </w:r>
      </w:hyperlink>
    </w:p>
    <w:p w14:paraId="08F3F3CA" w14:textId="77777777" w:rsidR="00516B45" w:rsidRPr="000E0255" w:rsidRDefault="000E0255" w:rsidP="008537D7">
      <w:pPr>
        <w:pStyle w:val="Tabledesillustrations"/>
        <w:ind w:left="1134" w:hanging="1134"/>
        <w:rPr>
          <w:rFonts w:eastAsiaTheme="minorEastAsia"/>
          <w:sz w:val="22"/>
          <w:lang w:eastAsia="es-ES_tradnl"/>
        </w:rPr>
      </w:pPr>
      <w:hyperlink w:anchor="_Toc165894856" w:history="1">
        <w:r w:rsidR="00516B45" w:rsidRPr="000E0255">
          <w:rPr>
            <w:rStyle w:val="Lienhypertexte"/>
            <w:color w:val="auto"/>
            <w:u w:val="none"/>
          </w:rPr>
          <w:t>Таблица 7. Распределение совокупных средств ГЭФ по задачам целевой области «Международные воды» и вкладу в выполнение задач КМГПБ (1 июля 2022 года -29 февраля 2014 года)</w:t>
        </w:r>
        <w:r w:rsidR="00516B45" w:rsidRPr="000E0255">
          <w:rPr>
            <w:webHidden/>
          </w:rPr>
          <w:tab/>
          <w:t>29</w:t>
        </w:r>
      </w:hyperlink>
    </w:p>
    <w:p w14:paraId="11DC4110" w14:textId="77777777" w:rsidR="00516B45" w:rsidRPr="000E0255" w:rsidRDefault="000E0255" w:rsidP="008537D7">
      <w:pPr>
        <w:pStyle w:val="Tabledesillustrations"/>
        <w:ind w:left="1134" w:hanging="1134"/>
      </w:pPr>
      <w:hyperlink w:anchor="_Toc165894857" w:history="1">
        <w:r w:rsidR="00516B45" w:rsidRPr="000E0255">
          <w:rPr>
            <w:rStyle w:val="Lienhypertexte"/>
            <w:color w:val="auto"/>
            <w:u w:val="none"/>
          </w:rPr>
          <w:t>Таблица 8. Распределение совокуп</w:t>
        </w:r>
        <w:r w:rsidR="00516B45" w:rsidRPr="000E0255">
          <w:rPr>
            <w:rStyle w:val="Lienhypertexte"/>
            <w:color w:val="auto"/>
            <w:u w:val="none"/>
          </w:rPr>
          <w:t>н</w:t>
        </w:r>
        <w:r w:rsidR="00516B45" w:rsidRPr="000E0255">
          <w:rPr>
            <w:rStyle w:val="Lienhypertexte"/>
            <w:color w:val="auto"/>
            <w:u w:val="none"/>
          </w:rPr>
          <w:t>ых средств ГЭФ по НГИ и вкладу в выполнение задач КМГПБ (1 июля 2022 года - 24 февраля 2024 года)</w:t>
        </w:r>
        <w:r w:rsidR="00516B45" w:rsidRPr="000E0255">
          <w:rPr>
            <w:webHidden/>
          </w:rPr>
          <w:tab/>
          <w:t>31</w:t>
        </w:r>
      </w:hyperlink>
    </w:p>
    <w:p w14:paraId="0152BFE4" w14:textId="312F7564" w:rsidR="00B73D42" w:rsidRPr="00B73D42" w:rsidRDefault="00B73D42" w:rsidP="008537D7">
      <w:pPr>
        <w:tabs>
          <w:tab w:val="right" w:leader="dot" w:pos="9350"/>
        </w:tabs>
        <w:spacing w:after="120"/>
        <w:ind w:left="1134" w:hanging="1134"/>
        <w:rPr>
          <w:rFonts w:eastAsiaTheme="minorEastAsia"/>
          <w:kern w:val="2"/>
          <w14:ligatures w14:val="standardContextual"/>
        </w:rPr>
      </w:pPr>
      <w:hyperlink w:anchor="_Toc161334838" w:history="1">
        <w:r w:rsidR="00240A9C" w:rsidRPr="00240A9C">
          <w:rPr>
            <w:sz w:val="24"/>
          </w:rPr>
          <w:t xml:space="preserve">Таблица </w:t>
        </w:r>
        <w:r w:rsidRPr="00B73D42">
          <w:rPr>
            <w:sz w:val="24"/>
          </w:rPr>
          <w:t xml:space="preserve">9. </w:t>
        </w:r>
        <w:r w:rsidR="00F24562" w:rsidRPr="000E0255">
          <w:rPr>
            <w:rFonts w:ascii="Calibri" w:hAnsi="Calibri" w:cs="Calibri"/>
            <w:bCs/>
            <w:iCs/>
            <w:sz w:val="24"/>
            <w:szCs w:val="24"/>
          </w:rPr>
          <w:t>Совокупный вклад программ ГЭФ-8 целевой области «Биоразнообразие» и других ресурсов и программных направлений ГЭФ в КМГПБ (с 1 июля 2022 г. по 29 февраля 2024 г.)</w:t>
        </w:r>
        <w:r w:rsidR="00F24562" w:rsidRPr="000E0255">
          <w:rPr>
            <w:rFonts w:ascii="Calibri" w:hAnsi="Calibri" w:cs="Calibri"/>
            <w:bCs/>
            <w:iCs/>
            <w:sz w:val="24"/>
            <w:szCs w:val="24"/>
          </w:rPr>
          <w:tab/>
        </w:r>
        <w:r w:rsidRPr="00B73D42">
          <w:rPr>
            <w:webHidden/>
            <w:sz w:val="24"/>
          </w:rPr>
          <w:fldChar w:fldCharType="begin"/>
        </w:r>
        <w:r w:rsidRPr="00B73D42">
          <w:rPr>
            <w:webHidden/>
            <w:sz w:val="24"/>
          </w:rPr>
          <w:instrText xml:space="preserve"> PAGEREF _Toc161334838 \h </w:instrText>
        </w:r>
        <w:r w:rsidRPr="00B73D42">
          <w:rPr>
            <w:webHidden/>
            <w:sz w:val="24"/>
          </w:rPr>
        </w:r>
        <w:r w:rsidRPr="00B73D42">
          <w:rPr>
            <w:webHidden/>
            <w:sz w:val="24"/>
          </w:rPr>
          <w:fldChar w:fldCharType="separate"/>
        </w:r>
        <w:r w:rsidR="006143E1" w:rsidRPr="000E0255">
          <w:rPr>
            <w:webHidden/>
            <w:sz w:val="24"/>
          </w:rPr>
          <w:t>39</w:t>
        </w:r>
        <w:r w:rsidRPr="00B73D42">
          <w:rPr>
            <w:webHidden/>
            <w:sz w:val="24"/>
          </w:rPr>
          <w:fldChar w:fldCharType="end"/>
        </w:r>
      </w:hyperlink>
    </w:p>
    <w:p w14:paraId="5E984F3D" w14:textId="352BFF6C" w:rsidR="00B73D42" w:rsidRPr="00B73D42" w:rsidRDefault="00B73D42" w:rsidP="00A54E70">
      <w:pPr>
        <w:tabs>
          <w:tab w:val="right" w:leader="dot" w:pos="9350"/>
        </w:tabs>
        <w:spacing w:after="120"/>
        <w:ind w:left="864" w:hanging="864"/>
        <w:rPr>
          <w:rFonts w:eastAsiaTheme="minorEastAsia"/>
          <w:kern w:val="2"/>
          <w14:ligatures w14:val="standardContextual"/>
        </w:rPr>
      </w:pPr>
      <w:hyperlink w:anchor="_Toc161334839" w:history="1">
        <w:r w:rsidR="00240A9C" w:rsidRPr="00240A9C">
          <w:rPr>
            <w:sz w:val="24"/>
          </w:rPr>
          <w:t xml:space="preserve">Таблица </w:t>
        </w:r>
        <w:r w:rsidRPr="00B73D42">
          <w:rPr>
            <w:sz w:val="24"/>
          </w:rPr>
          <w:t xml:space="preserve">10. </w:t>
        </w:r>
        <w:r w:rsidR="00822112" w:rsidRPr="00B91F3C">
          <w:rPr>
            <w:rFonts w:ascii="Calibri" w:hAnsi="Calibri" w:cs="Calibri"/>
            <w:bCs/>
            <w:sz w:val="24"/>
            <w:szCs w:val="24"/>
          </w:rPr>
          <w:t>Решение, принятое КС-15 КБР (решение 15/15), и ответные меры ГЭФ</w:t>
        </w:r>
        <w:r w:rsidRPr="00B73D42">
          <w:rPr>
            <w:webHidden/>
            <w:sz w:val="24"/>
          </w:rPr>
          <w:tab/>
        </w:r>
        <w:r w:rsidRPr="00B73D42">
          <w:rPr>
            <w:webHidden/>
            <w:sz w:val="24"/>
          </w:rPr>
          <w:fldChar w:fldCharType="begin"/>
        </w:r>
        <w:r w:rsidRPr="00B73D42">
          <w:rPr>
            <w:webHidden/>
            <w:sz w:val="24"/>
          </w:rPr>
          <w:instrText xml:space="preserve"> PAGEREF _Toc161334839 \h </w:instrText>
        </w:r>
        <w:r w:rsidRPr="00B73D42">
          <w:rPr>
            <w:webHidden/>
            <w:sz w:val="24"/>
          </w:rPr>
        </w:r>
        <w:r w:rsidRPr="00B73D42">
          <w:rPr>
            <w:webHidden/>
            <w:sz w:val="24"/>
          </w:rPr>
          <w:fldChar w:fldCharType="separate"/>
        </w:r>
        <w:r w:rsidR="006143E1" w:rsidRPr="00B91F3C">
          <w:rPr>
            <w:webHidden/>
            <w:sz w:val="24"/>
          </w:rPr>
          <w:t>41</w:t>
        </w:r>
        <w:r w:rsidRPr="00B73D42">
          <w:rPr>
            <w:webHidden/>
            <w:sz w:val="24"/>
          </w:rPr>
          <w:fldChar w:fldCharType="end"/>
        </w:r>
      </w:hyperlink>
    </w:p>
    <w:p w14:paraId="08769B1E" w14:textId="77777777" w:rsidR="008F0864" w:rsidRPr="00B91F3C" w:rsidRDefault="008F0864" w:rsidP="008F0864"/>
    <w:p w14:paraId="08BA907B" w14:textId="77777777" w:rsidR="008F0864" w:rsidRPr="00B91F3C" w:rsidRDefault="008F0864" w:rsidP="008F0864"/>
    <w:p w14:paraId="396715C0" w14:textId="6A681B3B" w:rsidR="006064E7" w:rsidRPr="00B91F3C" w:rsidRDefault="006064E7" w:rsidP="006D2491">
      <w:pPr>
        <w:rPr>
          <w:sz w:val="24"/>
        </w:rPr>
        <w:sectPr w:rsidR="006064E7" w:rsidRPr="00B91F3C" w:rsidSect="009964DD">
          <w:headerReference w:type="default" r:id="rId27"/>
          <w:footerReference w:type="default" r:id="rId28"/>
          <w:pgSz w:w="12240" w:h="15840"/>
          <w:pgMar w:top="1440" w:right="1440" w:bottom="1440" w:left="1440" w:header="720" w:footer="720" w:gutter="0"/>
          <w:pgNumType w:fmt="lowerRoman"/>
          <w:cols w:space="720"/>
          <w:docGrid w:linePitch="360"/>
        </w:sectPr>
      </w:pPr>
    </w:p>
    <w:p w14:paraId="5940DDB0" w14:textId="77777777" w:rsidR="00947D42" w:rsidRPr="00B91F3C" w:rsidRDefault="00947D42" w:rsidP="00E16992">
      <w:pPr>
        <w:spacing w:before="240" w:after="240" w:line="240" w:lineRule="auto"/>
        <w:rPr>
          <w:sz w:val="24"/>
          <w:szCs w:val="24"/>
        </w:rPr>
        <w:sectPr w:rsidR="00947D42" w:rsidRPr="00B91F3C" w:rsidSect="009964DD">
          <w:footerReference w:type="default" r:id="rId29"/>
          <w:type w:val="continuous"/>
          <w:pgSz w:w="12240" w:h="15840"/>
          <w:pgMar w:top="1440" w:right="1440" w:bottom="1440" w:left="1440" w:header="720" w:footer="720" w:gutter="0"/>
          <w:pgNumType w:start="0"/>
          <w:cols w:space="720"/>
          <w:docGrid w:linePitch="360"/>
        </w:sectPr>
      </w:pPr>
    </w:p>
    <w:p w14:paraId="6012D1E5" w14:textId="035E743D" w:rsidR="00D7359D" w:rsidRPr="00B91F3C" w:rsidRDefault="00D7359D" w:rsidP="008E080F">
      <w:pPr>
        <w:pStyle w:val="Titre1"/>
        <w:numPr>
          <w:ilvl w:val="0"/>
          <w:numId w:val="13"/>
        </w:numPr>
      </w:pPr>
      <w:bookmarkStart w:id="7" w:name="_Toc102227393"/>
      <w:bookmarkStart w:id="8" w:name="_Toc165893301"/>
      <w:bookmarkStart w:id="9" w:name="_Toc165899236"/>
      <w:r w:rsidRPr="00B91F3C">
        <w:lastRenderedPageBreak/>
        <w:t>Проектные мероприятия в поддержку осуществления КБР</w:t>
      </w:r>
      <w:bookmarkEnd w:id="7"/>
      <w:bookmarkEnd w:id="8"/>
      <w:bookmarkEnd w:id="9"/>
    </w:p>
    <w:p w14:paraId="0E1102E1" w14:textId="1E5A476E" w:rsidR="008646AF" w:rsidRPr="00B91F3C" w:rsidRDefault="003C2DC2" w:rsidP="00754458">
      <w:r w:rsidRPr="00B91F3C">
        <w:t>1.</w:t>
      </w:r>
      <w:r w:rsidRPr="00B91F3C">
        <w:tab/>
      </w:r>
      <w:r w:rsidRPr="00B91F3C">
        <w:rPr>
          <w:sz w:val="24"/>
        </w:rPr>
        <w:t>Настоящий проект доклада 16-му совещанию Конференции Сторон (КС) Конвенции о биологическом разнообразии (КБР) содержит информацию о деятельности Глобального экологического фонда (ГЭФ) в целевой области «Биоразнообразие», предпринятой в ответ на адресованные ГЭФ руководящие указания КС-15, полученные в декабре 2022 года. В связи вызванным пандемией COVID-19 изменением дат проведения КС-15 и, соответственно, периодов представления отчетности ГЭФ для КС, настоящий проект доклада для КС-16 охватывает последние 6 месяцев ГЭФ-7 и первые 20 месяцев ГЭФ-8, а именно период с 1 января 2022 года по 29 февраля 2024 года.</w:t>
      </w:r>
      <w:r w:rsidRPr="00B91F3C">
        <w:t xml:space="preserve"> </w:t>
      </w:r>
    </w:p>
    <w:p w14:paraId="602A16C0" w14:textId="037CCD78" w:rsidR="00BA7FE3" w:rsidRPr="00B91F3C" w:rsidRDefault="00BA7FE3" w:rsidP="007655D1">
      <w:pPr>
        <w:pStyle w:val="Paragraphedeliste"/>
      </w:pPr>
      <w:r w:rsidRPr="00B91F3C">
        <w:t xml:space="preserve">В данном разделе доклада приводится сводная информация по следующим вопросам: a) последние 6 месяцев программ ГЭФ-7; b) краткая сводная информация о программах ГЭФ-7 за весь седьмой период пополнения ГЭФ, и c) сводная информация о первых 20 месяцах программ ГЭФ-8. </w:t>
      </w:r>
    </w:p>
    <w:p w14:paraId="307248F4" w14:textId="763D418B" w:rsidR="005E5A0E" w:rsidRPr="00B91F3C" w:rsidRDefault="00240DC3" w:rsidP="004E0A93">
      <w:pPr>
        <w:pStyle w:val="Titre2"/>
      </w:pPr>
      <w:bookmarkStart w:id="10" w:name="_Toc165893302"/>
      <w:bookmarkStart w:id="11" w:name="_Toc165899237"/>
      <w:r w:rsidRPr="00B91F3C">
        <w:t>Программы</w:t>
      </w:r>
      <w:r w:rsidR="00BA7FE3" w:rsidRPr="00B91F3C">
        <w:t xml:space="preserve"> в рамках целевой области «Биоразнообразие» с 1 января 2022 года по 30 июня 2022 года (последние 6 месяцев ГЭФ-7)</w:t>
      </w:r>
      <w:bookmarkEnd w:id="10"/>
      <w:bookmarkEnd w:id="11"/>
    </w:p>
    <w:p w14:paraId="169D6B9A" w14:textId="4C19A756" w:rsidR="00BA7FE3" w:rsidRPr="00B91F3C" w:rsidRDefault="005D666B" w:rsidP="007655D1">
      <w:pPr>
        <w:pStyle w:val="Paragraphedeliste"/>
      </w:pPr>
      <w:r w:rsidRPr="00B91F3C">
        <w:t xml:space="preserve">По состоянию на 1 января 2022 года подавляющее большинство средств в целевой области «Биоразнообразие» было распределено по программам, о чем был представлен полный отчет в докладе ГЭФ для КС-15: </w:t>
      </w:r>
      <w:hyperlink r:id="rId30" w:history="1">
        <w:r w:rsidRPr="00B91F3C">
          <w:rPr>
            <w:rStyle w:val="Lienhypertexte"/>
          </w:rPr>
          <w:t>https://www.cbd.int/doc/c/a6f0/7e44/d494250f54314cf3f350b920/cop-15-08-ru.pdf</w:t>
        </w:r>
      </w:hyperlink>
      <w:r w:rsidRPr="00B91F3C">
        <w:t>.</w:t>
      </w:r>
      <w:r w:rsidR="00240DC3" w:rsidRPr="00B91F3C">
        <w:rPr>
          <w:b/>
        </w:rPr>
        <w:t xml:space="preserve"> </w:t>
      </w:r>
      <w:r w:rsidRPr="00B91F3C">
        <w:t>За последние 6 месяцев ГЭФ-7 было одобрено 63 проекта с использованием средств на биоразнообразие, в том числе 57 проектов в целевой области «Биоразнообразие» и 6 проектов многоцелевой направленности на общую сумму 145,13 м</w:t>
      </w:r>
      <w:r w:rsidR="00BC6F70" w:rsidRPr="00B91F3C">
        <w:t xml:space="preserve">лн долл. США из средств ГЭФ на </w:t>
      </w:r>
      <w:r w:rsidRPr="00B91F3C">
        <w:t>целе</w:t>
      </w:r>
      <w:r w:rsidR="00240DC3" w:rsidRPr="00B91F3C">
        <w:t xml:space="preserve">вую область «Биоразнообразие». </w:t>
      </w:r>
      <w:r w:rsidRPr="00B91F3C">
        <w:t>Полный перечень этих проектов приводится в Приложении 1.</w:t>
      </w:r>
    </w:p>
    <w:p w14:paraId="426DE0E8" w14:textId="25AF0344" w:rsidR="00BA7FE3" w:rsidRPr="00B91F3C" w:rsidRDefault="00BA7FE3" w:rsidP="004E0A93">
      <w:pPr>
        <w:pStyle w:val="Titre2"/>
      </w:pPr>
      <w:bookmarkStart w:id="12" w:name="_Toc165893303"/>
      <w:bookmarkStart w:id="13" w:name="_Toc165899238"/>
      <w:r w:rsidRPr="00B91F3C">
        <w:t>Сводные данные о программах ГЭФ-7 в области биоразнообразия в поддержку осуществления КБР</w:t>
      </w:r>
      <w:bookmarkEnd w:id="12"/>
      <w:bookmarkEnd w:id="13"/>
    </w:p>
    <w:p w14:paraId="5D779929" w14:textId="78099B4D" w:rsidR="00925FCB" w:rsidRPr="00B91F3C" w:rsidRDefault="00925FCB" w:rsidP="007655D1">
      <w:pPr>
        <w:pStyle w:val="Paragraphedeliste"/>
      </w:pPr>
      <w:bookmarkStart w:id="14" w:name="_Hlk32178223"/>
      <w:r w:rsidRPr="00B91F3C">
        <w:t>Цель стратегии целевой области «Биоразнообразие» ГЭФ-7 заключается в сохранении глобально значимого биоразнообразия в наземных и морских ландшафтах. Для достижения этой цели ГЭФ инвестирует средства в страны, чтобы помочь им в выполнении трех задач, сформулированных в руководящих указаниях КС-13 для ГЭФ в декабре 2016 года, которые отражены в документе о программных приоритетах на четырехлетний период:</w:t>
      </w:r>
    </w:p>
    <w:p w14:paraId="503BABA3" w14:textId="0AB95F68" w:rsidR="00925FCB" w:rsidRPr="00B91F3C" w:rsidRDefault="00925FCB" w:rsidP="009F4B69">
      <w:pPr>
        <w:numPr>
          <w:ilvl w:val="0"/>
          <w:numId w:val="1"/>
        </w:numPr>
        <w:spacing w:before="120" w:after="120" w:line="240" w:lineRule="auto"/>
        <w:ind w:left="1080"/>
        <w:jc w:val="both"/>
        <w:rPr>
          <w:rFonts w:cstheme="minorHAnsi"/>
          <w:sz w:val="24"/>
          <w:szCs w:val="24"/>
        </w:rPr>
      </w:pPr>
      <w:r w:rsidRPr="00B91F3C">
        <w:rPr>
          <w:sz w:val="24"/>
        </w:rPr>
        <w:t xml:space="preserve">учет вопросов сохранения биоразнообразия в работе секторов, а также в деятельности, связанной с наземными и морскими ландшафтами; </w:t>
      </w:r>
    </w:p>
    <w:p w14:paraId="1C345BB7" w14:textId="77777777" w:rsidR="00925FCB" w:rsidRPr="00B91F3C" w:rsidRDefault="00925FCB" w:rsidP="009F4B69">
      <w:pPr>
        <w:numPr>
          <w:ilvl w:val="0"/>
          <w:numId w:val="1"/>
        </w:numPr>
        <w:spacing w:before="120" w:after="120" w:line="240" w:lineRule="auto"/>
        <w:ind w:left="1080"/>
        <w:jc w:val="both"/>
        <w:rPr>
          <w:rFonts w:cstheme="minorHAnsi"/>
          <w:sz w:val="24"/>
          <w:szCs w:val="24"/>
        </w:rPr>
      </w:pPr>
      <w:r w:rsidRPr="00B91F3C">
        <w:rPr>
          <w:sz w:val="24"/>
        </w:rPr>
        <w:t xml:space="preserve">устранение прямых факторов в целях сохранения мест обитания и видов; и </w:t>
      </w:r>
    </w:p>
    <w:p w14:paraId="69C1B263" w14:textId="6CDCD9B7" w:rsidR="00C04F3E" w:rsidRPr="00B91F3C" w:rsidRDefault="00925FCB" w:rsidP="009F4B69">
      <w:pPr>
        <w:numPr>
          <w:ilvl w:val="0"/>
          <w:numId w:val="1"/>
        </w:numPr>
        <w:spacing w:before="120" w:after="120" w:line="240" w:lineRule="auto"/>
        <w:ind w:left="1080"/>
        <w:jc w:val="both"/>
        <w:rPr>
          <w:rFonts w:cstheme="minorHAnsi"/>
          <w:sz w:val="24"/>
          <w:szCs w:val="24"/>
        </w:rPr>
      </w:pPr>
      <w:r w:rsidRPr="00B91F3C">
        <w:rPr>
          <w:sz w:val="24"/>
        </w:rPr>
        <w:lastRenderedPageBreak/>
        <w:t>дальнейшая совершенствование основ политики и организационных структур в области биоразнообразия</w:t>
      </w:r>
      <w:bookmarkStart w:id="15" w:name="_Toc476081881"/>
      <w:bookmarkStart w:id="16" w:name="_Toc476693266"/>
      <w:bookmarkEnd w:id="14"/>
    </w:p>
    <w:p w14:paraId="2B46396C" w14:textId="725D9B77" w:rsidR="00665E66" w:rsidRPr="00B91F3C" w:rsidRDefault="00925FCB" w:rsidP="007655D1">
      <w:pPr>
        <w:pStyle w:val="Paragraphedeliste"/>
      </w:pPr>
      <w:r w:rsidRPr="00B91F3C">
        <w:t xml:space="preserve">В </w:t>
      </w:r>
      <w:r w:rsidR="00E26125" w:rsidRPr="00B91F3C">
        <w:t>т</w:t>
      </w:r>
      <w:r w:rsidRPr="00B91F3C">
        <w:t xml:space="preserve">аблице 1 ниже представлен совместный вклад стратегии целевой области «Биоразнообразие» и программных направлений этой целевой области, программы широкого воздействия «Продовольственные системы, землепользование и восстановление», программы широкого воздействия «Устойчивое развитие городов», программы широкого воздействия «Устойчивое лесопользование» и инвестиций в целевую область «Международные воды» в достижение этой цели и выполнение всех трех задач ГЭФ-7. </w:t>
      </w:r>
    </w:p>
    <w:p w14:paraId="01DFA022" w14:textId="77777777" w:rsidR="00540300" w:rsidRPr="00B91F3C" w:rsidRDefault="00540300" w:rsidP="00351AAB">
      <w:pPr>
        <w:pStyle w:val="Lgende"/>
      </w:pPr>
      <w:bookmarkStart w:id="17" w:name="_Toc492908736"/>
      <w:bookmarkStart w:id="18" w:name="_Toc492920107"/>
      <w:bookmarkStart w:id="19" w:name="_Toc492933764"/>
      <w:bookmarkStart w:id="20" w:name="_Toc492986461"/>
      <w:bookmarkStart w:id="21" w:name="_Toc492993869"/>
      <w:bookmarkStart w:id="22" w:name="_Toc492996654"/>
      <w:bookmarkStart w:id="23" w:name="_Toc492998810"/>
      <w:bookmarkStart w:id="24" w:name="_Toc492998980"/>
      <w:bookmarkStart w:id="25" w:name="_Toc493003965"/>
      <w:bookmarkStart w:id="26" w:name="_Toc501635652"/>
      <w:bookmarkStart w:id="27" w:name="_Toc102227142"/>
      <w:bookmarkStart w:id="28" w:name="_Toc103967143"/>
      <w:bookmarkEnd w:id="15"/>
      <w:bookmarkEnd w:id="16"/>
      <w:r w:rsidRPr="00B91F3C">
        <w:br w:type="page"/>
      </w:r>
    </w:p>
    <w:p w14:paraId="5154EDE4" w14:textId="0CE81B47" w:rsidR="00925FCB" w:rsidRPr="00B91F3C" w:rsidRDefault="00D32514" w:rsidP="00351AAB">
      <w:pPr>
        <w:pStyle w:val="Lgende"/>
      </w:pPr>
      <w:bookmarkStart w:id="29" w:name="_Toc165894850"/>
      <w:r w:rsidRPr="00B91F3C">
        <w:lastRenderedPageBreak/>
        <w:t>Таблица</w:t>
      </w:r>
      <w:r w:rsidR="0012399A" w:rsidRPr="00B91F3C">
        <w:t>1</w:t>
      </w:r>
      <w:r w:rsidR="00EB7E19" w:rsidRPr="00B91F3C">
        <w:t xml:space="preserve">. </w:t>
      </w:r>
      <w:r w:rsidRPr="00B91F3C">
        <w:t>Руководящие указания КБР и механизм реализации в период ГЭФ-7</w:t>
      </w:r>
      <w:bookmarkEnd w:id="17"/>
      <w:bookmarkEnd w:id="18"/>
      <w:bookmarkEnd w:id="19"/>
      <w:bookmarkEnd w:id="20"/>
      <w:bookmarkEnd w:id="21"/>
      <w:bookmarkEnd w:id="22"/>
      <w:bookmarkEnd w:id="23"/>
      <w:bookmarkEnd w:id="24"/>
      <w:bookmarkEnd w:id="25"/>
      <w:bookmarkEnd w:id="26"/>
      <w:bookmarkEnd w:id="27"/>
      <w:bookmarkEnd w:id="28"/>
      <w:bookmarkEnd w:id="29"/>
    </w:p>
    <w:tbl>
      <w:tblPr>
        <w:tblW w:w="9455" w:type="dxa"/>
        <w:jc w:val="center"/>
        <w:tblLayout w:type="fixed"/>
        <w:tblLook w:val="0000" w:firstRow="0" w:lastRow="0" w:firstColumn="0" w:lastColumn="0" w:noHBand="0" w:noVBand="0"/>
      </w:tblPr>
      <w:tblGrid>
        <w:gridCol w:w="4415"/>
        <w:gridCol w:w="5040"/>
      </w:tblGrid>
      <w:tr w:rsidR="00925FCB" w:rsidRPr="00B91F3C" w14:paraId="53F2CA4C" w14:textId="77777777" w:rsidTr="00B926E0">
        <w:trPr>
          <w:tblHeader/>
          <w:jc w:val="center"/>
        </w:trPr>
        <w:tc>
          <w:tcPr>
            <w:tcW w:w="441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0" w:type="dxa"/>
              <w:bottom w:w="0" w:type="dxa"/>
              <w:right w:w="0" w:type="dxa"/>
            </w:tcMar>
            <w:vAlign w:val="center"/>
          </w:tcPr>
          <w:p w14:paraId="42372935" w14:textId="593CCA01" w:rsidR="00925FCB" w:rsidRPr="00B91F3C" w:rsidRDefault="00925FCB" w:rsidP="00CC7FBC">
            <w:pPr>
              <w:spacing w:line="240" w:lineRule="auto"/>
              <w:ind w:left="180" w:right="190"/>
              <w:jc w:val="center"/>
            </w:pPr>
            <w:r w:rsidRPr="00B91F3C">
              <w:rPr>
                <w:b/>
              </w:rPr>
              <w:t>Руководящие указания КС-13 КБР: Программные приоритеты на четырехлетний период</w:t>
            </w:r>
          </w:p>
        </w:tc>
        <w:tc>
          <w:tcPr>
            <w:tcW w:w="5040"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5934A6E0" w14:textId="5649DFE5" w:rsidR="00925FCB" w:rsidRPr="00B91F3C" w:rsidRDefault="00925FCB" w:rsidP="00CC7FBC">
            <w:pPr>
              <w:spacing w:line="240" w:lineRule="auto"/>
              <w:ind w:left="56"/>
              <w:jc w:val="center"/>
            </w:pPr>
            <w:r w:rsidRPr="00B91F3C">
              <w:rPr>
                <w:b/>
              </w:rPr>
              <w:t>Механизм реализации</w:t>
            </w:r>
          </w:p>
        </w:tc>
      </w:tr>
      <w:tr w:rsidR="00925FCB" w:rsidRPr="00B91F3C" w14:paraId="66A58B5C" w14:textId="77777777" w:rsidTr="00665E66">
        <w:trPr>
          <w:jc w:val="center"/>
        </w:trPr>
        <w:tc>
          <w:tcPr>
            <w:tcW w:w="4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6EA3FE8" w14:textId="6036C735" w:rsidR="00925FCB" w:rsidRPr="00B91F3C" w:rsidRDefault="00925FCB" w:rsidP="00CC7FBC">
            <w:pPr>
              <w:ind w:left="180" w:right="190"/>
            </w:pPr>
            <w:r w:rsidRPr="00B91F3C">
              <w:rPr>
                <w:b/>
              </w:rPr>
              <w:t>I. Учет вопросов биоразнообразия в работе секторов, а также в деятельности, связанной с наземными и морскими ландшафтами</w:t>
            </w:r>
          </w:p>
          <w:p w14:paraId="2A8B6798" w14:textId="277196A3" w:rsidR="00925FCB" w:rsidRPr="00B91F3C" w:rsidRDefault="00925FCB" w:rsidP="00CC7FBC">
            <w:pPr>
              <w:ind w:left="180" w:right="190"/>
            </w:pPr>
            <w:r w:rsidRPr="00B91F3C">
              <w:t>A) Совершенствование политики и процессов принятия решений на основе учета ценностей биоразнообразия и экосистемных услуг</w:t>
            </w:r>
          </w:p>
          <w:p w14:paraId="4111F1D5" w14:textId="77777777" w:rsidR="00925FCB" w:rsidRPr="00B91F3C" w:rsidRDefault="00925FCB" w:rsidP="00CC7FBC">
            <w:pPr>
              <w:ind w:left="180" w:right="190"/>
            </w:pPr>
            <w:r w:rsidRPr="00B91F3C">
              <w:t>B) Управление ресурсами биоразнообразия в наземных и морских ландшафтах</w:t>
            </w:r>
          </w:p>
          <w:p w14:paraId="68775A62" w14:textId="77777777" w:rsidR="00925FCB" w:rsidRPr="00B91F3C" w:rsidRDefault="00925FCB" w:rsidP="00CC7FBC">
            <w:pPr>
              <w:ind w:left="180" w:right="190"/>
            </w:pPr>
            <w:r w:rsidRPr="00B91F3C">
              <w:t>C) Использование биоразнообразия для целей устойчивого развития сельского хозяйства</w:t>
            </w:r>
          </w:p>
        </w:tc>
        <w:tc>
          <w:tcPr>
            <w:tcW w:w="5040" w:type="dxa"/>
            <w:tcBorders>
              <w:top w:val="single" w:sz="4" w:space="0" w:color="000000"/>
              <w:left w:val="single" w:sz="4" w:space="0" w:color="000000"/>
              <w:bottom w:val="single" w:sz="4" w:space="0" w:color="000000"/>
              <w:right w:val="single" w:sz="4" w:space="0" w:color="000000"/>
            </w:tcBorders>
            <w:shd w:val="clear" w:color="auto" w:fill="FFFFFF"/>
          </w:tcPr>
          <w:p w14:paraId="4FD7D6EC" w14:textId="7ABBF093" w:rsidR="007347FC" w:rsidRPr="00B91F3C" w:rsidRDefault="0014002F" w:rsidP="00CC7FBC">
            <w:pPr>
              <w:ind w:left="56"/>
            </w:pPr>
            <w:r w:rsidRPr="00B91F3C">
              <w:rPr>
                <w:b/>
              </w:rPr>
              <w:t>Инвестиции и программные направления целевой области «Биоразнообразие»</w:t>
            </w:r>
          </w:p>
          <w:p w14:paraId="0368CD8C" w14:textId="77777777" w:rsidR="00253DAE" w:rsidRPr="00B91F3C" w:rsidRDefault="00925FCB" w:rsidP="00CC7FBC">
            <w:pPr>
              <w:ind w:left="56"/>
            </w:pPr>
            <w:r w:rsidRPr="00B91F3C">
              <w:t>Учет вопросов биоразнообразия в приоритетных секторах</w:t>
            </w:r>
          </w:p>
          <w:p w14:paraId="14611EAD" w14:textId="77777777" w:rsidR="00253DAE" w:rsidRPr="00B91F3C" w:rsidRDefault="00925FCB" w:rsidP="00CC7FBC">
            <w:pPr>
              <w:ind w:left="56"/>
            </w:pPr>
            <w:r w:rsidRPr="00B91F3C">
              <w:t>Глобальная программа по охране дикой природы (предотвращение вымирания известных видов, находящихся под угрозой исчезновения, и дикая природа для целей устойчивого развития)</w:t>
            </w:r>
          </w:p>
          <w:p w14:paraId="538C4E43" w14:textId="77777777" w:rsidR="00253DAE" w:rsidRPr="00B91F3C" w:rsidRDefault="00925FCB" w:rsidP="00CC7FBC">
            <w:pPr>
              <w:ind w:left="56"/>
            </w:pPr>
            <w:r w:rsidRPr="00B91F3C">
              <w:t>Оценка и учет природного капитала</w:t>
            </w:r>
          </w:p>
          <w:p w14:paraId="4B5B8ECE" w14:textId="77777777" w:rsidR="00253DAE" w:rsidRPr="00B91F3C" w:rsidRDefault="00925FCB" w:rsidP="00CC7FBC">
            <w:pPr>
              <w:ind w:left="56"/>
            </w:pPr>
            <w:r w:rsidRPr="00B91F3C">
              <w:t>Устойчивое использование генетических ресурсов растений и животных</w:t>
            </w:r>
          </w:p>
          <w:p w14:paraId="20BA5AEA" w14:textId="5C33811C" w:rsidR="00253DAE" w:rsidRPr="00B91F3C" w:rsidRDefault="00925FCB" w:rsidP="00CC7FBC">
            <w:pPr>
              <w:ind w:left="56"/>
            </w:pPr>
            <w:r w:rsidRPr="00B91F3C">
              <w:t>Инициатива в области инклюзивного сохранения</w:t>
            </w:r>
          </w:p>
          <w:p w14:paraId="096CB74A" w14:textId="77777777" w:rsidR="001D73BD" w:rsidRPr="00B91F3C" w:rsidRDefault="001D73BD" w:rsidP="00CC7FBC">
            <w:pPr>
              <w:ind w:left="56"/>
              <w:rPr>
                <w:b/>
                <w:bCs/>
              </w:rPr>
            </w:pPr>
          </w:p>
          <w:p w14:paraId="2CADC16B" w14:textId="4DE9479A" w:rsidR="00D87049" w:rsidRPr="00B91F3C" w:rsidRDefault="00925FCB" w:rsidP="00CC7FBC">
            <w:pPr>
              <w:ind w:left="56"/>
            </w:pPr>
            <w:r w:rsidRPr="00B91F3C">
              <w:rPr>
                <w:b/>
              </w:rPr>
              <w:t>Программы широкого воздействия</w:t>
            </w:r>
          </w:p>
          <w:p w14:paraId="0F45179A" w14:textId="77777777" w:rsidR="00D87049" w:rsidRPr="00B91F3C" w:rsidRDefault="00925FCB" w:rsidP="00CC7FBC">
            <w:pPr>
              <w:ind w:left="56"/>
            </w:pPr>
            <w:r w:rsidRPr="00B91F3C">
              <w:t>Программа широкого воздействия «Продовольственные системы, землепользование и восстановление»</w:t>
            </w:r>
          </w:p>
          <w:p w14:paraId="07AF69E1" w14:textId="77777777" w:rsidR="00D87049" w:rsidRPr="00B91F3C" w:rsidRDefault="00925FCB" w:rsidP="00CC7FBC">
            <w:pPr>
              <w:ind w:left="56"/>
            </w:pPr>
            <w:r w:rsidRPr="00B91F3C">
              <w:t>Программа широкого воздействия «Устойчивое развитие городов»</w:t>
            </w:r>
          </w:p>
          <w:p w14:paraId="23373F1A" w14:textId="1CCD4CE2" w:rsidR="00D87049" w:rsidRPr="00B91F3C" w:rsidRDefault="00925FCB" w:rsidP="00CC7FBC">
            <w:pPr>
              <w:ind w:left="56"/>
            </w:pPr>
            <w:r w:rsidRPr="00B91F3C">
              <w:t>Программа широкого воздействия «Устойчивое лесопользование» (бассейны рек Амазонки, Конго, устойчивые ландшафты в засушливых районах)</w:t>
            </w:r>
          </w:p>
          <w:p w14:paraId="0B0B3094" w14:textId="77777777" w:rsidR="001D73BD" w:rsidRPr="00B91F3C" w:rsidRDefault="001D73BD" w:rsidP="00CC7FBC">
            <w:pPr>
              <w:ind w:left="56"/>
            </w:pPr>
          </w:p>
          <w:p w14:paraId="0C6BBE87" w14:textId="1BF652D8" w:rsidR="00925FCB" w:rsidRPr="00B91F3C" w:rsidRDefault="00925FCB" w:rsidP="00CC7FBC">
            <w:pPr>
              <w:ind w:left="56"/>
            </w:pPr>
            <w:r w:rsidRPr="00B91F3C">
              <w:rPr>
                <w:b/>
              </w:rPr>
              <w:t>Другие целевые области</w:t>
            </w:r>
          </w:p>
          <w:p w14:paraId="1C78F040" w14:textId="77777777" w:rsidR="00925FCB" w:rsidRPr="00B91F3C" w:rsidRDefault="00925FCB" w:rsidP="00CC7FBC">
            <w:pPr>
              <w:ind w:left="56"/>
            </w:pPr>
            <w:r w:rsidRPr="00B91F3C">
              <w:t>Международные воды/Устойчивый рыбный промысел</w:t>
            </w:r>
          </w:p>
        </w:tc>
      </w:tr>
      <w:tr w:rsidR="00925FCB" w:rsidRPr="00B91F3C" w14:paraId="2A41A1B1" w14:textId="77777777" w:rsidTr="00665E66">
        <w:trPr>
          <w:jc w:val="center"/>
        </w:trPr>
        <w:tc>
          <w:tcPr>
            <w:tcW w:w="4415" w:type="dxa"/>
            <w:tcBorders>
              <w:top w:val="single" w:sz="4" w:space="0" w:color="000000"/>
              <w:left w:val="single" w:sz="4" w:space="0" w:color="000000"/>
              <w:bottom w:val="single" w:sz="4" w:space="0" w:color="auto"/>
              <w:right w:val="single" w:sz="4" w:space="0" w:color="000000"/>
            </w:tcBorders>
            <w:shd w:val="clear" w:color="auto" w:fill="FFFFFF"/>
            <w:tcMar>
              <w:top w:w="0" w:type="dxa"/>
              <w:left w:w="0" w:type="dxa"/>
              <w:bottom w:w="0" w:type="dxa"/>
              <w:right w:w="0" w:type="dxa"/>
            </w:tcMar>
          </w:tcPr>
          <w:p w14:paraId="77E02687" w14:textId="23FE3F38" w:rsidR="00925FCB" w:rsidRPr="00B91F3C" w:rsidRDefault="00925FCB" w:rsidP="00CC7FBC">
            <w:pPr>
              <w:ind w:left="180" w:right="190"/>
              <w:rPr>
                <w:b/>
                <w:bCs/>
              </w:rPr>
            </w:pPr>
            <w:r w:rsidRPr="00B91F3C">
              <w:rPr>
                <w:b/>
              </w:rPr>
              <w:t xml:space="preserve">II. Устранение прямых факторов в целях охраны мест обитания и видов </w:t>
            </w:r>
          </w:p>
          <w:p w14:paraId="6D330EA3" w14:textId="77777777" w:rsidR="00925FCB" w:rsidRPr="00B91F3C" w:rsidRDefault="00925FCB" w:rsidP="00CC7FBC">
            <w:pPr>
              <w:ind w:left="180" w:right="190"/>
            </w:pPr>
            <w:r w:rsidRPr="00B91F3C">
              <w:t>D) Предотвращение распространения инвазивных чужеродных видов и контроль за ними</w:t>
            </w:r>
          </w:p>
          <w:p w14:paraId="5AC57E52" w14:textId="77777777" w:rsidR="00925FCB" w:rsidRPr="00B91F3C" w:rsidRDefault="00925FCB" w:rsidP="00CC7FBC">
            <w:pPr>
              <w:ind w:left="180" w:right="190"/>
            </w:pPr>
            <w:r w:rsidRPr="00B91F3C">
              <w:t>E) Сокращение нагрузки на коралловые рифы и другие уязвимые прибрежные и морские экосистемы</w:t>
            </w:r>
          </w:p>
          <w:p w14:paraId="658BFA69" w14:textId="77777777" w:rsidR="00925FCB" w:rsidRPr="00B91F3C" w:rsidRDefault="00925FCB" w:rsidP="00CC7FBC">
            <w:pPr>
              <w:ind w:left="180" w:right="190"/>
            </w:pPr>
            <w:r w:rsidRPr="00B91F3C">
              <w:t>F) Повышение эффективности систем охраняемых районов</w:t>
            </w:r>
          </w:p>
          <w:p w14:paraId="46127A31" w14:textId="15EE9ADB" w:rsidR="00925FCB" w:rsidRPr="00B91F3C" w:rsidRDefault="00925FCB" w:rsidP="00EE2ECE">
            <w:pPr>
              <w:ind w:left="180" w:right="190"/>
            </w:pPr>
            <w:r w:rsidRPr="00B91F3C">
              <w:t xml:space="preserve">G) Ведение борьбы с незаконным и неустойчивым использованием видов при направлении приоритетных действий на </w:t>
            </w:r>
            <w:r w:rsidRPr="00B91F3C">
              <w:lastRenderedPageBreak/>
              <w:t>сохранение видов, находящихся под угрозой и</w:t>
            </w:r>
            <w:r w:rsidR="00EE2ECE" w:rsidRPr="00B91F3C">
              <w:t>с</w:t>
            </w:r>
            <w:r w:rsidRPr="00B91F3C">
              <w:t>чезновения</w:t>
            </w:r>
          </w:p>
        </w:tc>
        <w:tc>
          <w:tcPr>
            <w:tcW w:w="5040" w:type="dxa"/>
            <w:tcBorders>
              <w:top w:val="single" w:sz="4" w:space="0" w:color="000000"/>
              <w:left w:val="single" w:sz="4" w:space="0" w:color="000000"/>
              <w:bottom w:val="single" w:sz="4" w:space="0" w:color="auto"/>
              <w:right w:val="single" w:sz="4" w:space="0" w:color="000000"/>
            </w:tcBorders>
            <w:shd w:val="clear" w:color="auto" w:fill="FFFFFF"/>
          </w:tcPr>
          <w:p w14:paraId="5ACF94FD" w14:textId="364AC065" w:rsidR="00D87049" w:rsidRPr="00B91F3C" w:rsidRDefault="0014002F" w:rsidP="00CC7FBC">
            <w:pPr>
              <w:ind w:left="56"/>
            </w:pPr>
            <w:r w:rsidRPr="00B91F3C">
              <w:rPr>
                <w:b/>
              </w:rPr>
              <w:lastRenderedPageBreak/>
              <w:t>Инвестиции и программные направления целевой области «Биоразнообразие»</w:t>
            </w:r>
          </w:p>
          <w:p w14:paraId="21D1B3D3" w14:textId="77777777" w:rsidR="00D87049" w:rsidRPr="00B91F3C" w:rsidRDefault="00925FCB" w:rsidP="00CC7FBC">
            <w:pPr>
              <w:ind w:left="56"/>
            </w:pPr>
            <w:r w:rsidRPr="00B91F3C">
              <w:t>Предупреждение, контроль и регулирование распространения инвазивных чужеродных видов (с особым вниманием к островам)</w:t>
            </w:r>
          </w:p>
          <w:p w14:paraId="1CF9126D" w14:textId="77777777" w:rsidR="00D87049" w:rsidRPr="00B91F3C" w:rsidRDefault="00925FCB" w:rsidP="00CC7FBC">
            <w:pPr>
              <w:ind w:left="56"/>
            </w:pPr>
            <w:r w:rsidRPr="00B91F3C">
              <w:t>Повышение уровня финансовой устойчивости, эффективности управления и экосистемного охвата территорий глобальных охраняемых районов</w:t>
            </w:r>
          </w:p>
          <w:p w14:paraId="2E14C1E1" w14:textId="77777777" w:rsidR="001D73BD" w:rsidRPr="00B91F3C" w:rsidRDefault="001D73BD" w:rsidP="00CC7FBC">
            <w:pPr>
              <w:ind w:left="56"/>
              <w:rPr>
                <w:b/>
                <w:bCs/>
              </w:rPr>
            </w:pPr>
          </w:p>
          <w:p w14:paraId="14AC5881" w14:textId="2AC04B48" w:rsidR="00D87049" w:rsidRPr="00B91F3C" w:rsidRDefault="00925FCB" w:rsidP="00CC7FBC">
            <w:pPr>
              <w:ind w:left="56"/>
            </w:pPr>
            <w:r w:rsidRPr="00B91F3C">
              <w:rPr>
                <w:b/>
              </w:rPr>
              <w:t>Другие целевые области</w:t>
            </w:r>
          </w:p>
          <w:p w14:paraId="6D4FD23F" w14:textId="5732B03D" w:rsidR="00AF1807" w:rsidRPr="00B91F3C" w:rsidRDefault="00925FCB" w:rsidP="00CC7FBC">
            <w:pPr>
              <w:ind w:left="56"/>
            </w:pPr>
            <w:r w:rsidRPr="00B91F3C">
              <w:t>Международные воды/Прибрежные и морские охраняемые районы</w:t>
            </w:r>
          </w:p>
        </w:tc>
      </w:tr>
      <w:tr w:rsidR="00925FCB" w:rsidRPr="00B91F3C" w14:paraId="02C71119" w14:textId="77777777" w:rsidTr="00665E66">
        <w:trPr>
          <w:jc w:val="center"/>
        </w:trPr>
        <w:tc>
          <w:tcPr>
            <w:tcW w:w="4415" w:type="dxa"/>
            <w:tcBorders>
              <w:top w:val="single" w:sz="4" w:space="0" w:color="auto"/>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2E4BEDF" w14:textId="36F502FC" w:rsidR="00925FCB" w:rsidRPr="00B91F3C" w:rsidRDefault="00925FCB" w:rsidP="00CC7FBC">
            <w:pPr>
              <w:ind w:left="180" w:right="190"/>
            </w:pPr>
            <w:r w:rsidRPr="00B91F3C">
              <w:rPr>
                <w:b/>
              </w:rPr>
              <w:t>III. Дальнейшее совершенствование основ политики и организационных структур в области биоразнообразия</w:t>
            </w:r>
          </w:p>
          <w:p w14:paraId="19EECCB3" w14:textId="77777777" w:rsidR="007B4AC4" w:rsidRPr="00B91F3C" w:rsidRDefault="00925FCB" w:rsidP="00CC7FBC">
            <w:pPr>
              <w:ind w:left="180" w:right="190"/>
            </w:pPr>
            <w:r w:rsidRPr="00B91F3C">
              <w:t xml:space="preserve">H) Осуществление </w:t>
            </w:r>
            <w:proofErr w:type="spellStart"/>
            <w:r w:rsidRPr="00B91F3C">
              <w:t>Картахенского</w:t>
            </w:r>
            <w:proofErr w:type="spellEnd"/>
            <w:r w:rsidRPr="00B91F3C">
              <w:t xml:space="preserve"> протокола по биобезопасности</w:t>
            </w:r>
          </w:p>
          <w:p w14:paraId="6D86A64F" w14:textId="7C4C145F" w:rsidR="00925FCB" w:rsidRPr="00B91F3C" w:rsidRDefault="007B4AC4" w:rsidP="00CC7FBC">
            <w:pPr>
              <w:ind w:left="180" w:right="190"/>
            </w:pPr>
            <w:r w:rsidRPr="00B91F3C">
              <w:t>I) Осуществление Нагойского протокола регулирования доступа к генетическим ресурсам и совместного использования выгод</w:t>
            </w:r>
            <w:r w:rsidRPr="00B91F3C">
              <w:noBreakHyphen/>
            </w:r>
          </w:p>
          <w:p w14:paraId="61A71B62" w14:textId="77777777" w:rsidR="00925FCB" w:rsidRPr="00B91F3C" w:rsidRDefault="00925FCB" w:rsidP="00CC7FBC">
            <w:pPr>
              <w:ind w:left="180" w:right="190"/>
            </w:pPr>
            <w:r w:rsidRPr="00B91F3C">
              <w:t>J) Совершенствование политики, планирования и обзора в области биоразнообразия</w:t>
            </w:r>
          </w:p>
        </w:tc>
        <w:tc>
          <w:tcPr>
            <w:tcW w:w="5040" w:type="dxa"/>
            <w:tcBorders>
              <w:top w:val="single" w:sz="4" w:space="0" w:color="auto"/>
              <w:left w:val="single" w:sz="4" w:space="0" w:color="000000"/>
              <w:bottom w:val="single" w:sz="4" w:space="0" w:color="000000"/>
              <w:right w:val="single" w:sz="4" w:space="0" w:color="000000"/>
            </w:tcBorders>
            <w:shd w:val="clear" w:color="auto" w:fill="auto"/>
          </w:tcPr>
          <w:p w14:paraId="78E32EE7" w14:textId="7078B3AF" w:rsidR="00D87049" w:rsidRPr="00B91F3C" w:rsidRDefault="0014002F" w:rsidP="00CC7FBC">
            <w:pPr>
              <w:ind w:left="56"/>
            </w:pPr>
            <w:r w:rsidRPr="00B91F3C">
              <w:rPr>
                <w:b/>
              </w:rPr>
              <w:t>Инвестиции и программные направления целевой области «Биоразнообразие»</w:t>
            </w:r>
          </w:p>
          <w:p w14:paraId="23D28423" w14:textId="77777777" w:rsidR="00D87049" w:rsidRPr="00B91F3C" w:rsidRDefault="00925FCB" w:rsidP="00CC7FBC">
            <w:pPr>
              <w:ind w:left="56"/>
            </w:pPr>
            <w:r w:rsidRPr="00B91F3C">
              <w:t xml:space="preserve">Осуществление </w:t>
            </w:r>
            <w:proofErr w:type="spellStart"/>
            <w:r w:rsidRPr="00B91F3C">
              <w:t>Картахенского</w:t>
            </w:r>
            <w:proofErr w:type="spellEnd"/>
            <w:r w:rsidRPr="00B91F3C">
              <w:t xml:space="preserve"> протокола по биобезопасности </w:t>
            </w:r>
          </w:p>
          <w:p w14:paraId="1D97CD8A" w14:textId="77777777" w:rsidR="00D87049" w:rsidRPr="00B91F3C" w:rsidRDefault="00925FCB" w:rsidP="00CC7FBC">
            <w:pPr>
              <w:ind w:left="56"/>
            </w:pPr>
            <w:r w:rsidRPr="00B91F3C">
              <w:t>Осуществление Нагойского протокола регулирования доступа к генетическим ресурсам и совместного использования выгод</w:t>
            </w:r>
          </w:p>
          <w:p w14:paraId="1684E161" w14:textId="6F82393B" w:rsidR="00925FCB" w:rsidRPr="00B91F3C" w:rsidRDefault="00925FCB" w:rsidP="00CC7FBC">
            <w:pPr>
              <w:ind w:left="56"/>
            </w:pPr>
            <w:r w:rsidRPr="00B91F3C">
              <w:t>Помощь в подготовке национальной отчетности и разработке НСПДСБ</w:t>
            </w:r>
          </w:p>
        </w:tc>
      </w:tr>
    </w:tbl>
    <w:p w14:paraId="2753B3C3" w14:textId="77777777" w:rsidR="00D506B9" w:rsidRPr="00B91F3C" w:rsidRDefault="00D506B9" w:rsidP="008E080F">
      <w:pPr>
        <w:pStyle w:val="Titre1"/>
        <w:sectPr w:rsidR="00D506B9" w:rsidRPr="00B91F3C" w:rsidSect="009964DD">
          <w:footerReference w:type="default" r:id="rId31"/>
          <w:pgSz w:w="12240" w:h="15840"/>
          <w:pgMar w:top="1440" w:right="1440" w:bottom="1440" w:left="1440" w:header="720" w:footer="720" w:gutter="0"/>
          <w:pgNumType w:start="1"/>
          <w:cols w:space="720"/>
          <w:docGrid w:linePitch="360"/>
        </w:sectPr>
      </w:pPr>
      <w:bookmarkStart w:id="30" w:name="_Toc102227395"/>
    </w:p>
    <w:p w14:paraId="094741A2" w14:textId="669003B6" w:rsidR="00C555A0" w:rsidRPr="00B91F3C" w:rsidRDefault="005E76E1" w:rsidP="008E080F">
      <w:pPr>
        <w:pStyle w:val="Titre1"/>
        <w:numPr>
          <w:ilvl w:val="0"/>
          <w:numId w:val="13"/>
        </w:numPr>
      </w:pPr>
      <w:bookmarkStart w:id="31" w:name="_Toc102227396"/>
      <w:bookmarkStart w:id="32" w:name="_Toc165893304"/>
      <w:bookmarkStart w:id="33" w:name="_Toc165899239"/>
      <w:bookmarkEnd w:id="30"/>
      <w:r w:rsidRPr="00B91F3C">
        <w:lastRenderedPageBreak/>
        <w:t>Использование ресурсов в программах ГЭФ-7</w:t>
      </w:r>
      <w:bookmarkEnd w:id="31"/>
      <w:bookmarkEnd w:id="32"/>
      <w:bookmarkEnd w:id="33"/>
    </w:p>
    <w:p w14:paraId="78034BB5" w14:textId="7D8B79C5" w:rsidR="001D20AB" w:rsidRPr="00B91F3C" w:rsidRDefault="00364EA4" w:rsidP="007655D1">
      <w:pPr>
        <w:pStyle w:val="Paragraphedeliste"/>
      </w:pPr>
      <w:r w:rsidRPr="00B91F3C">
        <w:t xml:space="preserve">В течение периода ГЭФ-7 на целевую область «Биоразнообразие» был выделен в общей сложности 1,29 млрд долл. США, из которых 1,03 млрд долл. США был предоставлен странам через Систему прозрачного распределения ресурсов (СПРР). Ниже в таблице 2 приводится сводная информация по использованию ресурсов из целевой области «Биоразнообразие» в период ГЭФ-7. </w:t>
      </w:r>
    </w:p>
    <w:p w14:paraId="214DB95E" w14:textId="42F8FDC2" w:rsidR="00B20283" w:rsidRPr="00B91F3C" w:rsidRDefault="00694ED1" w:rsidP="00351AAB">
      <w:pPr>
        <w:pStyle w:val="Lgende"/>
      </w:pPr>
      <w:bookmarkStart w:id="34" w:name="_Toc102227143"/>
      <w:bookmarkStart w:id="35" w:name="_Toc103967144"/>
      <w:bookmarkStart w:id="36" w:name="_Toc165894851"/>
      <w:r w:rsidRPr="00B91F3C">
        <w:t xml:space="preserve">Таблица </w:t>
      </w:r>
      <w:r w:rsidR="0012399A" w:rsidRPr="00B91F3C">
        <w:t>2</w:t>
      </w:r>
      <w:r w:rsidRPr="00B91F3C">
        <w:t>. Сводная информация об использовании ресурсов в программах целевой области «Биоразнообразие» в период ГЭФ-7 (1 июля 2018 года - 30 июня 2022 года)</w:t>
      </w:r>
      <w:r w:rsidR="00B20283" w:rsidRPr="00B91F3C">
        <w:rPr>
          <w:bCs/>
          <w:vertAlign w:val="superscript"/>
        </w:rPr>
        <w:footnoteReference w:id="5"/>
      </w:r>
      <w:bookmarkEnd w:id="34"/>
      <w:bookmarkEnd w:id="35"/>
      <w:bookmarkEnd w:id="36"/>
    </w:p>
    <w:tbl>
      <w:tblPr>
        <w:tblW w:w="0" w:type="auto"/>
        <w:jc w:val="center"/>
        <w:tblBorders>
          <w:top w:val="single" w:sz="12" w:space="0" w:color="008000"/>
          <w:bottom w:val="single" w:sz="12" w:space="0" w:color="008000"/>
        </w:tblBorders>
        <w:tblLayout w:type="fixed"/>
        <w:tblLook w:val="01E0" w:firstRow="1" w:lastRow="1" w:firstColumn="1" w:lastColumn="1" w:noHBand="0" w:noVBand="0"/>
      </w:tblPr>
      <w:tblGrid>
        <w:gridCol w:w="3510"/>
        <w:gridCol w:w="1710"/>
        <w:gridCol w:w="2070"/>
        <w:gridCol w:w="1980"/>
      </w:tblGrid>
      <w:tr w:rsidR="00B20283" w:rsidRPr="00B91F3C" w14:paraId="0C910893" w14:textId="77777777" w:rsidTr="006038F4">
        <w:trPr>
          <w:trHeight w:val="432"/>
          <w:jc w:val="center"/>
        </w:trPr>
        <w:tc>
          <w:tcPr>
            <w:tcW w:w="3510" w:type="dxa"/>
            <w:tcBorders>
              <w:bottom w:val="single" w:sz="6" w:space="0" w:color="008000"/>
            </w:tcBorders>
            <w:shd w:val="clear" w:color="auto" w:fill="auto"/>
          </w:tcPr>
          <w:p w14:paraId="006D2278" w14:textId="77777777" w:rsidR="00B20283" w:rsidRPr="00B91F3C" w:rsidRDefault="00B20283" w:rsidP="00753AE7">
            <w:pPr>
              <w:spacing w:line="240" w:lineRule="auto"/>
              <w:rPr>
                <w:rFonts w:cstheme="minorHAnsi"/>
                <w:b/>
                <w:bCs/>
              </w:rPr>
            </w:pPr>
          </w:p>
          <w:p w14:paraId="75CFFC7B" w14:textId="77777777" w:rsidR="00B20283" w:rsidRPr="00B91F3C" w:rsidRDefault="00B20283">
            <w:pPr>
              <w:spacing w:line="240" w:lineRule="auto"/>
              <w:rPr>
                <w:rFonts w:cstheme="minorHAnsi"/>
                <w:b/>
              </w:rPr>
            </w:pPr>
            <w:r w:rsidRPr="00B91F3C">
              <w:rPr>
                <w:b/>
              </w:rPr>
              <w:t>Целевая область «Биоразнообразие»</w:t>
            </w:r>
          </w:p>
        </w:tc>
        <w:tc>
          <w:tcPr>
            <w:tcW w:w="1710" w:type="dxa"/>
            <w:tcBorders>
              <w:bottom w:val="single" w:sz="6" w:space="0" w:color="008000"/>
            </w:tcBorders>
            <w:shd w:val="clear" w:color="auto" w:fill="auto"/>
          </w:tcPr>
          <w:p w14:paraId="4715DEF0" w14:textId="2F7EDF3B" w:rsidR="00B20283" w:rsidRPr="00B91F3C" w:rsidRDefault="00B20283">
            <w:pPr>
              <w:spacing w:line="240" w:lineRule="auto"/>
              <w:jc w:val="center"/>
              <w:rPr>
                <w:rFonts w:cstheme="minorHAnsi"/>
                <w:b/>
              </w:rPr>
            </w:pPr>
            <w:r w:rsidRPr="00B91F3C">
              <w:rPr>
                <w:b/>
              </w:rPr>
              <w:t>ГЭФ-7</w:t>
            </w:r>
          </w:p>
          <w:p w14:paraId="2D1683EA" w14:textId="77777777" w:rsidR="00B20283" w:rsidRPr="00B91F3C" w:rsidRDefault="00B20283">
            <w:pPr>
              <w:spacing w:line="240" w:lineRule="auto"/>
              <w:jc w:val="center"/>
              <w:rPr>
                <w:rFonts w:cstheme="minorHAnsi"/>
                <w:b/>
              </w:rPr>
            </w:pPr>
            <w:r w:rsidRPr="00B91F3C">
              <w:rPr>
                <w:b/>
              </w:rPr>
              <w:t>Целевые задачи программ</w:t>
            </w:r>
          </w:p>
          <w:p w14:paraId="53CF82F8" w14:textId="77777777" w:rsidR="00B20283" w:rsidRPr="00B91F3C" w:rsidRDefault="00B20283">
            <w:pPr>
              <w:spacing w:line="240" w:lineRule="auto"/>
              <w:jc w:val="center"/>
              <w:rPr>
                <w:rFonts w:cstheme="minorHAnsi"/>
                <w:b/>
              </w:rPr>
            </w:pPr>
            <w:r w:rsidRPr="00B91F3C">
              <w:rPr>
                <w:b/>
              </w:rPr>
              <w:t>(млн долл. США)</w:t>
            </w:r>
          </w:p>
        </w:tc>
        <w:tc>
          <w:tcPr>
            <w:tcW w:w="2070" w:type="dxa"/>
            <w:tcBorders>
              <w:bottom w:val="single" w:sz="6" w:space="0" w:color="008000"/>
            </w:tcBorders>
            <w:shd w:val="clear" w:color="auto" w:fill="auto"/>
          </w:tcPr>
          <w:p w14:paraId="5AE05190" w14:textId="52F2B263" w:rsidR="00B20283" w:rsidRPr="00B91F3C" w:rsidRDefault="00B20283">
            <w:pPr>
              <w:spacing w:line="240" w:lineRule="auto"/>
              <w:jc w:val="center"/>
              <w:rPr>
                <w:rFonts w:cstheme="minorHAnsi"/>
                <w:b/>
              </w:rPr>
            </w:pPr>
            <w:r w:rsidRPr="00B91F3C">
              <w:rPr>
                <w:b/>
              </w:rPr>
              <w:t>ГЭФ-7</w:t>
            </w:r>
          </w:p>
          <w:p w14:paraId="6AA5E99C" w14:textId="33175677" w:rsidR="00B20283" w:rsidRPr="00B91F3C" w:rsidRDefault="00372140">
            <w:pPr>
              <w:spacing w:line="240" w:lineRule="auto"/>
              <w:jc w:val="center"/>
              <w:rPr>
                <w:rFonts w:cstheme="minorHAnsi"/>
                <w:b/>
              </w:rPr>
            </w:pPr>
            <w:r w:rsidRPr="00B91F3C">
              <w:rPr>
                <w:b/>
              </w:rPr>
              <w:t>Программы</w:t>
            </w:r>
          </w:p>
          <w:p w14:paraId="79FFFFE0" w14:textId="77777777" w:rsidR="00B20283" w:rsidRPr="00B91F3C" w:rsidRDefault="00B20283">
            <w:pPr>
              <w:spacing w:line="240" w:lineRule="auto"/>
              <w:jc w:val="center"/>
              <w:rPr>
                <w:rFonts w:cstheme="minorHAnsi"/>
                <w:b/>
              </w:rPr>
            </w:pPr>
            <w:r w:rsidRPr="00B91F3C">
              <w:rPr>
                <w:b/>
              </w:rPr>
              <w:t>(млн долл. США)</w:t>
            </w:r>
          </w:p>
        </w:tc>
        <w:tc>
          <w:tcPr>
            <w:tcW w:w="1980" w:type="dxa"/>
            <w:tcBorders>
              <w:bottom w:val="single" w:sz="6" w:space="0" w:color="008000"/>
            </w:tcBorders>
            <w:shd w:val="clear" w:color="auto" w:fill="auto"/>
          </w:tcPr>
          <w:p w14:paraId="6D083E64" w14:textId="0984B638" w:rsidR="00B20283" w:rsidRPr="00B91F3C" w:rsidRDefault="00B20283">
            <w:pPr>
              <w:spacing w:line="240" w:lineRule="auto"/>
              <w:jc w:val="center"/>
              <w:rPr>
                <w:rFonts w:cstheme="minorHAnsi"/>
                <w:b/>
              </w:rPr>
            </w:pPr>
            <w:r w:rsidRPr="00B91F3C">
              <w:rPr>
                <w:b/>
              </w:rPr>
              <w:t>ГЭФ-7</w:t>
            </w:r>
          </w:p>
          <w:p w14:paraId="1B99709B" w14:textId="4B483DDA" w:rsidR="009176FE" w:rsidRPr="00B91F3C" w:rsidRDefault="00B20283">
            <w:pPr>
              <w:spacing w:line="240" w:lineRule="auto"/>
              <w:jc w:val="center"/>
              <w:rPr>
                <w:rFonts w:cstheme="minorHAnsi"/>
                <w:b/>
              </w:rPr>
            </w:pPr>
            <w:r w:rsidRPr="00B91F3C">
              <w:rPr>
                <w:b/>
              </w:rPr>
              <w:t>Программы</w:t>
            </w:r>
          </w:p>
          <w:p w14:paraId="704E72A5" w14:textId="358071C5" w:rsidR="00B20283" w:rsidRPr="00B91F3C" w:rsidRDefault="00B20283">
            <w:pPr>
              <w:spacing w:line="240" w:lineRule="auto"/>
              <w:jc w:val="center"/>
              <w:rPr>
                <w:rFonts w:cstheme="minorHAnsi"/>
                <w:b/>
              </w:rPr>
            </w:pPr>
            <w:r w:rsidRPr="00B91F3C">
              <w:rPr>
                <w:b/>
              </w:rPr>
              <w:t>(%)</w:t>
            </w:r>
          </w:p>
        </w:tc>
      </w:tr>
      <w:tr w:rsidR="00B20283" w:rsidRPr="00B91F3C" w14:paraId="000C4110" w14:textId="77777777" w:rsidTr="006D69F9">
        <w:trPr>
          <w:trHeight w:val="288"/>
          <w:jc w:val="center"/>
        </w:trPr>
        <w:tc>
          <w:tcPr>
            <w:tcW w:w="3510" w:type="dxa"/>
            <w:shd w:val="clear" w:color="auto" w:fill="auto"/>
            <w:vAlign w:val="center"/>
          </w:tcPr>
          <w:p w14:paraId="3302A0C8" w14:textId="77777777" w:rsidR="00B20283" w:rsidRPr="00B91F3C" w:rsidRDefault="00B20283" w:rsidP="00C21AB7">
            <w:pPr>
              <w:spacing w:line="240" w:lineRule="auto"/>
              <w:rPr>
                <w:rFonts w:cstheme="minorHAnsi"/>
                <w:iCs/>
              </w:rPr>
            </w:pPr>
            <w:r w:rsidRPr="00B91F3C">
              <w:t xml:space="preserve">Страновые ассигнования по СПРР </w:t>
            </w:r>
          </w:p>
        </w:tc>
        <w:tc>
          <w:tcPr>
            <w:tcW w:w="1710" w:type="dxa"/>
            <w:shd w:val="clear" w:color="auto" w:fill="auto"/>
            <w:vAlign w:val="center"/>
          </w:tcPr>
          <w:p w14:paraId="06DEE709" w14:textId="58462849" w:rsidR="00B20283" w:rsidRPr="00B91F3C" w:rsidRDefault="00B20283" w:rsidP="000C20EA">
            <w:pPr>
              <w:spacing w:line="240" w:lineRule="auto"/>
              <w:jc w:val="right"/>
              <w:rPr>
                <w:rFonts w:cstheme="minorHAnsi"/>
                <w:iCs/>
              </w:rPr>
            </w:pPr>
            <w:r w:rsidRPr="00B91F3C">
              <w:t>1</w:t>
            </w:r>
            <w:r w:rsidR="00D82991" w:rsidRPr="00B91F3C">
              <w:t> </w:t>
            </w:r>
            <w:r w:rsidRPr="00B91F3C">
              <w:t>031</w:t>
            </w:r>
          </w:p>
        </w:tc>
        <w:tc>
          <w:tcPr>
            <w:tcW w:w="2070" w:type="dxa"/>
            <w:shd w:val="clear" w:color="auto" w:fill="auto"/>
          </w:tcPr>
          <w:p w14:paraId="3051F799" w14:textId="2CE0D2FD" w:rsidR="00B20283" w:rsidRPr="00B91F3C" w:rsidRDefault="00E1548C" w:rsidP="000C20EA">
            <w:pPr>
              <w:spacing w:line="240" w:lineRule="auto"/>
              <w:jc w:val="right"/>
              <w:rPr>
                <w:rFonts w:cstheme="minorHAnsi"/>
                <w:bCs/>
                <w:iCs/>
                <w:highlight w:val="yellow"/>
              </w:rPr>
            </w:pPr>
            <w:r w:rsidRPr="00B91F3C">
              <w:t xml:space="preserve"> 965,69 </w:t>
            </w:r>
          </w:p>
        </w:tc>
        <w:tc>
          <w:tcPr>
            <w:tcW w:w="1980" w:type="dxa"/>
            <w:shd w:val="clear" w:color="auto" w:fill="auto"/>
          </w:tcPr>
          <w:p w14:paraId="53946C51" w14:textId="480AF0FA" w:rsidR="00B20283" w:rsidRPr="00B91F3C" w:rsidRDefault="00E1548C" w:rsidP="00C21AB7">
            <w:pPr>
              <w:spacing w:line="240" w:lineRule="auto"/>
              <w:jc w:val="center"/>
              <w:rPr>
                <w:rFonts w:cstheme="minorHAnsi"/>
                <w:bCs/>
                <w:i/>
              </w:rPr>
            </w:pPr>
            <w:r w:rsidRPr="00B91F3C">
              <w:t>94%</w:t>
            </w:r>
          </w:p>
        </w:tc>
      </w:tr>
      <w:tr w:rsidR="00B20283" w:rsidRPr="00B91F3C" w14:paraId="3413F0D0" w14:textId="77777777" w:rsidTr="006D69F9">
        <w:trPr>
          <w:trHeight w:val="288"/>
          <w:jc w:val="center"/>
        </w:trPr>
        <w:tc>
          <w:tcPr>
            <w:tcW w:w="3510" w:type="dxa"/>
            <w:shd w:val="clear" w:color="auto" w:fill="auto"/>
            <w:vAlign w:val="center"/>
          </w:tcPr>
          <w:p w14:paraId="67DB4521" w14:textId="77777777" w:rsidR="00B20283" w:rsidRPr="00B91F3C" w:rsidRDefault="00B20283" w:rsidP="00C21AB7">
            <w:pPr>
              <w:spacing w:line="240" w:lineRule="auto"/>
              <w:rPr>
                <w:rFonts w:cstheme="minorHAnsi"/>
                <w:iCs/>
              </w:rPr>
            </w:pPr>
            <w:r w:rsidRPr="00B91F3C">
              <w:t>Зарезервировано по СПРР</w:t>
            </w:r>
          </w:p>
        </w:tc>
        <w:tc>
          <w:tcPr>
            <w:tcW w:w="1710" w:type="dxa"/>
            <w:shd w:val="clear" w:color="auto" w:fill="auto"/>
            <w:vAlign w:val="center"/>
          </w:tcPr>
          <w:p w14:paraId="61F7F062" w14:textId="77777777" w:rsidR="00B20283" w:rsidRPr="00B91F3C" w:rsidRDefault="00B20283" w:rsidP="000C20EA">
            <w:pPr>
              <w:spacing w:line="240" w:lineRule="auto"/>
              <w:jc w:val="right"/>
              <w:rPr>
                <w:rFonts w:cstheme="minorHAnsi"/>
              </w:rPr>
            </w:pPr>
          </w:p>
        </w:tc>
        <w:tc>
          <w:tcPr>
            <w:tcW w:w="2070" w:type="dxa"/>
            <w:shd w:val="clear" w:color="auto" w:fill="auto"/>
          </w:tcPr>
          <w:p w14:paraId="7FCDC0EE" w14:textId="77777777" w:rsidR="00B20283" w:rsidRPr="00B91F3C" w:rsidRDefault="00B20283" w:rsidP="000C20EA">
            <w:pPr>
              <w:spacing w:line="240" w:lineRule="auto"/>
              <w:jc w:val="right"/>
              <w:rPr>
                <w:rFonts w:cstheme="minorHAnsi"/>
                <w:bCs/>
              </w:rPr>
            </w:pPr>
          </w:p>
        </w:tc>
        <w:tc>
          <w:tcPr>
            <w:tcW w:w="1980" w:type="dxa"/>
            <w:shd w:val="clear" w:color="auto" w:fill="auto"/>
          </w:tcPr>
          <w:p w14:paraId="136F68CB" w14:textId="77777777" w:rsidR="00B20283" w:rsidRPr="00B91F3C" w:rsidRDefault="00B20283" w:rsidP="00C21AB7">
            <w:pPr>
              <w:spacing w:line="240" w:lineRule="auto"/>
              <w:jc w:val="center"/>
              <w:rPr>
                <w:rFonts w:cstheme="minorHAnsi"/>
                <w:bCs/>
              </w:rPr>
            </w:pPr>
          </w:p>
        </w:tc>
      </w:tr>
      <w:tr w:rsidR="00B20283" w:rsidRPr="00B91F3C" w14:paraId="11750A55" w14:textId="77777777" w:rsidTr="006D69F9">
        <w:trPr>
          <w:trHeight w:val="288"/>
          <w:jc w:val="center"/>
        </w:trPr>
        <w:tc>
          <w:tcPr>
            <w:tcW w:w="3510" w:type="dxa"/>
            <w:shd w:val="clear" w:color="auto" w:fill="auto"/>
            <w:vAlign w:val="center"/>
          </w:tcPr>
          <w:p w14:paraId="07EC50CA" w14:textId="34870EA6" w:rsidR="00B20283" w:rsidRPr="00B91F3C" w:rsidRDefault="004B4877" w:rsidP="00C21AB7">
            <w:pPr>
              <w:spacing w:line="240" w:lineRule="auto"/>
              <w:rPr>
                <w:rFonts w:cstheme="minorHAnsi"/>
              </w:rPr>
            </w:pPr>
            <w:r w:rsidRPr="00B91F3C">
              <w:t>Стимулирующие мероприятия</w:t>
            </w:r>
          </w:p>
        </w:tc>
        <w:tc>
          <w:tcPr>
            <w:tcW w:w="1710" w:type="dxa"/>
            <w:shd w:val="clear" w:color="auto" w:fill="auto"/>
            <w:vAlign w:val="center"/>
          </w:tcPr>
          <w:p w14:paraId="0FE409C3" w14:textId="24DE924D" w:rsidR="00B20283" w:rsidRPr="00B91F3C" w:rsidRDefault="00F636E8" w:rsidP="000C20EA">
            <w:pPr>
              <w:spacing w:line="240" w:lineRule="auto"/>
              <w:jc w:val="right"/>
              <w:rPr>
                <w:rFonts w:cstheme="minorHAnsi"/>
              </w:rPr>
            </w:pPr>
            <w:r w:rsidRPr="00B91F3C">
              <w:t>46</w:t>
            </w:r>
          </w:p>
        </w:tc>
        <w:tc>
          <w:tcPr>
            <w:tcW w:w="2070" w:type="dxa"/>
            <w:shd w:val="clear" w:color="auto" w:fill="auto"/>
          </w:tcPr>
          <w:p w14:paraId="3A57300B" w14:textId="284A429C" w:rsidR="00B20283" w:rsidRPr="00B91F3C" w:rsidRDefault="00E1548C" w:rsidP="000C20EA">
            <w:pPr>
              <w:spacing w:line="240" w:lineRule="auto"/>
              <w:jc w:val="right"/>
              <w:rPr>
                <w:rFonts w:cstheme="minorHAnsi"/>
                <w:bCs/>
              </w:rPr>
            </w:pPr>
            <w:r w:rsidRPr="00B91F3C">
              <w:t xml:space="preserve"> 44,37 </w:t>
            </w:r>
          </w:p>
        </w:tc>
        <w:tc>
          <w:tcPr>
            <w:tcW w:w="1980" w:type="dxa"/>
            <w:shd w:val="clear" w:color="auto" w:fill="auto"/>
          </w:tcPr>
          <w:p w14:paraId="3DDAE44C" w14:textId="43EA327D" w:rsidR="00B20283" w:rsidRPr="00B91F3C" w:rsidRDefault="00E1548C" w:rsidP="00C21AB7">
            <w:pPr>
              <w:spacing w:line="240" w:lineRule="auto"/>
              <w:jc w:val="center"/>
              <w:rPr>
                <w:rFonts w:cstheme="minorHAnsi"/>
                <w:bCs/>
              </w:rPr>
            </w:pPr>
            <w:r w:rsidRPr="00B91F3C">
              <w:t>96%</w:t>
            </w:r>
          </w:p>
        </w:tc>
      </w:tr>
      <w:tr w:rsidR="00B20283" w:rsidRPr="00B91F3C" w14:paraId="30C4BC5C" w14:textId="77777777" w:rsidTr="006D69F9">
        <w:trPr>
          <w:trHeight w:val="288"/>
          <w:jc w:val="center"/>
        </w:trPr>
        <w:tc>
          <w:tcPr>
            <w:tcW w:w="3510" w:type="dxa"/>
            <w:shd w:val="clear" w:color="auto" w:fill="auto"/>
            <w:vAlign w:val="center"/>
          </w:tcPr>
          <w:p w14:paraId="521A26BC" w14:textId="77777777" w:rsidR="00B20283" w:rsidRPr="00B91F3C" w:rsidRDefault="00B20283" w:rsidP="00C21AB7">
            <w:pPr>
              <w:spacing w:line="240" w:lineRule="auto"/>
              <w:rPr>
                <w:rFonts w:cstheme="minorHAnsi"/>
              </w:rPr>
            </w:pPr>
            <w:r w:rsidRPr="00B91F3C">
              <w:t>Глобальные и региональные проекты и программы по биоразнообразию</w:t>
            </w:r>
          </w:p>
        </w:tc>
        <w:tc>
          <w:tcPr>
            <w:tcW w:w="1710" w:type="dxa"/>
            <w:shd w:val="clear" w:color="auto" w:fill="auto"/>
            <w:vAlign w:val="center"/>
          </w:tcPr>
          <w:p w14:paraId="504CDB8E" w14:textId="04DC9A36" w:rsidR="00B20283" w:rsidRPr="00B91F3C" w:rsidRDefault="002C2FB9" w:rsidP="000C20EA">
            <w:pPr>
              <w:spacing w:line="240" w:lineRule="auto"/>
              <w:jc w:val="right"/>
              <w:rPr>
                <w:rFonts w:cstheme="minorHAnsi"/>
              </w:rPr>
            </w:pPr>
            <w:r w:rsidRPr="00B91F3C">
              <w:t>55</w:t>
            </w:r>
          </w:p>
        </w:tc>
        <w:tc>
          <w:tcPr>
            <w:tcW w:w="2070" w:type="dxa"/>
            <w:shd w:val="clear" w:color="auto" w:fill="auto"/>
          </w:tcPr>
          <w:p w14:paraId="2F8FA796" w14:textId="2CCC53AF" w:rsidR="00B20283" w:rsidRPr="00B91F3C" w:rsidRDefault="00E1548C" w:rsidP="000C20EA">
            <w:pPr>
              <w:spacing w:line="240" w:lineRule="auto"/>
              <w:jc w:val="right"/>
              <w:rPr>
                <w:rFonts w:cstheme="minorHAnsi"/>
                <w:bCs/>
              </w:rPr>
            </w:pPr>
            <w:r w:rsidRPr="00B91F3C">
              <w:t xml:space="preserve"> 86,95 </w:t>
            </w:r>
          </w:p>
        </w:tc>
        <w:tc>
          <w:tcPr>
            <w:tcW w:w="1980" w:type="dxa"/>
            <w:shd w:val="clear" w:color="auto" w:fill="auto"/>
          </w:tcPr>
          <w:p w14:paraId="351CE688" w14:textId="35B324AF" w:rsidR="00B20283" w:rsidRPr="00B91F3C" w:rsidRDefault="00E1548C" w:rsidP="00C21AB7">
            <w:pPr>
              <w:spacing w:line="240" w:lineRule="auto"/>
              <w:jc w:val="center"/>
              <w:rPr>
                <w:rFonts w:cstheme="minorHAnsi"/>
                <w:bCs/>
              </w:rPr>
            </w:pPr>
            <w:r w:rsidRPr="00B91F3C">
              <w:t>158%</w:t>
            </w:r>
          </w:p>
        </w:tc>
      </w:tr>
      <w:tr w:rsidR="00B20283" w:rsidRPr="00B91F3C" w14:paraId="2A71946C" w14:textId="77777777" w:rsidTr="006D69F9">
        <w:trPr>
          <w:trHeight w:val="288"/>
          <w:jc w:val="center"/>
        </w:trPr>
        <w:tc>
          <w:tcPr>
            <w:tcW w:w="3510" w:type="dxa"/>
            <w:shd w:val="clear" w:color="auto" w:fill="auto"/>
            <w:vAlign w:val="center"/>
          </w:tcPr>
          <w:p w14:paraId="067ADDCE" w14:textId="6B8DB68D" w:rsidR="00B20283" w:rsidRPr="00B91F3C" w:rsidRDefault="00B20283" w:rsidP="00C21AB7">
            <w:pPr>
              <w:spacing w:line="240" w:lineRule="auto"/>
              <w:rPr>
                <w:rFonts w:cstheme="minorHAnsi"/>
              </w:rPr>
            </w:pPr>
            <w:r w:rsidRPr="00B91F3C">
              <w:t>Стимулирование комплексных программ</w:t>
            </w:r>
          </w:p>
        </w:tc>
        <w:tc>
          <w:tcPr>
            <w:tcW w:w="1710" w:type="dxa"/>
            <w:shd w:val="clear" w:color="auto" w:fill="auto"/>
            <w:vAlign w:val="center"/>
          </w:tcPr>
          <w:p w14:paraId="329BED25" w14:textId="439F1C26" w:rsidR="00B20283" w:rsidRPr="00B91F3C" w:rsidRDefault="00A923DD" w:rsidP="000C20EA">
            <w:pPr>
              <w:spacing w:line="240" w:lineRule="auto"/>
              <w:jc w:val="right"/>
              <w:rPr>
                <w:rFonts w:cstheme="minorHAnsi"/>
              </w:rPr>
            </w:pPr>
            <w:r w:rsidRPr="00B91F3C">
              <w:t>160</w:t>
            </w:r>
          </w:p>
        </w:tc>
        <w:tc>
          <w:tcPr>
            <w:tcW w:w="2070" w:type="dxa"/>
            <w:shd w:val="clear" w:color="auto" w:fill="auto"/>
          </w:tcPr>
          <w:p w14:paraId="22E57EF5" w14:textId="07BAB741" w:rsidR="00B20283" w:rsidRPr="00B91F3C" w:rsidRDefault="00B20283" w:rsidP="000C20EA">
            <w:pPr>
              <w:spacing w:line="240" w:lineRule="auto"/>
              <w:jc w:val="right"/>
              <w:rPr>
                <w:rFonts w:cstheme="minorHAnsi"/>
                <w:bCs/>
              </w:rPr>
            </w:pPr>
          </w:p>
        </w:tc>
        <w:tc>
          <w:tcPr>
            <w:tcW w:w="1980" w:type="dxa"/>
            <w:shd w:val="clear" w:color="auto" w:fill="auto"/>
          </w:tcPr>
          <w:p w14:paraId="594440AA" w14:textId="34932BAF" w:rsidR="00B20283" w:rsidRPr="00B91F3C" w:rsidRDefault="00B20283" w:rsidP="00C21AB7">
            <w:pPr>
              <w:spacing w:line="240" w:lineRule="auto"/>
              <w:jc w:val="center"/>
              <w:rPr>
                <w:rFonts w:cstheme="minorHAnsi"/>
                <w:bCs/>
              </w:rPr>
            </w:pPr>
          </w:p>
        </w:tc>
      </w:tr>
      <w:tr w:rsidR="00B20283" w:rsidRPr="00B91F3C" w14:paraId="5848D59E" w14:textId="77777777" w:rsidTr="006D69F9">
        <w:trPr>
          <w:trHeight w:val="288"/>
          <w:jc w:val="center"/>
        </w:trPr>
        <w:tc>
          <w:tcPr>
            <w:tcW w:w="3510" w:type="dxa"/>
            <w:shd w:val="clear" w:color="auto" w:fill="auto"/>
            <w:vAlign w:val="center"/>
          </w:tcPr>
          <w:p w14:paraId="6257C4D4" w14:textId="3E9E5554" w:rsidR="006A5CB6" w:rsidRPr="00B91F3C" w:rsidRDefault="00773F4F" w:rsidP="000A1A12">
            <w:pPr>
              <w:ind w:left="340"/>
            </w:pPr>
            <w:r w:rsidRPr="00B91F3C">
              <w:t>Продовольственные системы, землепользование и восстановление</w:t>
            </w:r>
          </w:p>
        </w:tc>
        <w:tc>
          <w:tcPr>
            <w:tcW w:w="1710" w:type="dxa"/>
            <w:shd w:val="clear" w:color="auto" w:fill="auto"/>
            <w:vAlign w:val="center"/>
          </w:tcPr>
          <w:p w14:paraId="5C26F1CC" w14:textId="566E0572" w:rsidR="00B20283" w:rsidRPr="00B91F3C" w:rsidRDefault="00773F4F" w:rsidP="000C20EA">
            <w:pPr>
              <w:spacing w:line="240" w:lineRule="auto"/>
              <w:jc w:val="right"/>
              <w:rPr>
                <w:rFonts w:cstheme="minorHAnsi"/>
              </w:rPr>
            </w:pPr>
            <w:r w:rsidRPr="00B91F3C">
              <w:t>92</w:t>
            </w:r>
          </w:p>
        </w:tc>
        <w:tc>
          <w:tcPr>
            <w:tcW w:w="2070" w:type="dxa"/>
            <w:shd w:val="clear" w:color="auto" w:fill="auto"/>
          </w:tcPr>
          <w:p w14:paraId="5D1717D1" w14:textId="0CFFB7D0" w:rsidR="002B7640" w:rsidRPr="00B91F3C" w:rsidRDefault="00E1548C" w:rsidP="000C20EA">
            <w:pPr>
              <w:spacing w:line="240" w:lineRule="auto"/>
              <w:jc w:val="right"/>
              <w:rPr>
                <w:rFonts w:cstheme="minorHAnsi"/>
                <w:bCs/>
              </w:rPr>
            </w:pPr>
            <w:r w:rsidRPr="00B91F3C">
              <w:t xml:space="preserve"> 75,34 </w:t>
            </w:r>
          </w:p>
        </w:tc>
        <w:tc>
          <w:tcPr>
            <w:tcW w:w="1980" w:type="dxa"/>
            <w:shd w:val="clear" w:color="auto" w:fill="auto"/>
          </w:tcPr>
          <w:p w14:paraId="59F99EAA" w14:textId="493B54DE" w:rsidR="00AC4C9E" w:rsidRPr="00B91F3C" w:rsidRDefault="00E1548C" w:rsidP="00C21AB7">
            <w:pPr>
              <w:spacing w:line="240" w:lineRule="auto"/>
              <w:jc w:val="center"/>
              <w:rPr>
                <w:rFonts w:cstheme="minorHAnsi"/>
                <w:bCs/>
              </w:rPr>
            </w:pPr>
            <w:r w:rsidRPr="00B91F3C">
              <w:t>82%</w:t>
            </w:r>
          </w:p>
        </w:tc>
      </w:tr>
      <w:tr w:rsidR="00B20283" w:rsidRPr="00B91F3C" w14:paraId="33A64C8D" w14:textId="77777777" w:rsidTr="006D69F9">
        <w:trPr>
          <w:trHeight w:val="288"/>
          <w:jc w:val="center"/>
        </w:trPr>
        <w:tc>
          <w:tcPr>
            <w:tcW w:w="3510" w:type="dxa"/>
            <w:shd w:val="clear" w:color="auto" w:fill="auto"/>
            <w:vAlign w:val="center"/>
          </w:tcPr>
          <w:p w14:paraId="7D3803E2" w14:textId="1DAA41D8" w:rsidR="00AC4C9E" w:rsidRPr="00B91F3C" w:rsidRDefault="00AC4C9E" w:rsidP="000A1A12">
            <w:pPr>
              <w:ind w:left="340"/>
            </w:pPr>
            <w:r w:rsidRPr="00B91F3C">
              <w:t>Основные биомы УЛП</w:t>
            </w:r>
          </w:p>
        </w:tc>
        <w:tc>
          <w:tcPr>
            <w:tcW w:w="1710" w:type="dxa"/>
            <w:shd w:val="clear" w:color="auto" w:fill="auto"/>
            <w:vAlign w:val="center"/>
          </w:tcPr>
          <w:p w14:paraId="68F9EE1C" w14:textId="6C0AD0C6" w:rsidR="00503D75" w:rsidRPr="00B91F3C" w:rsidRDefault="00AC4C9E" w:rsidP="000C20EA">
            <w:pPr>
              <w:spacing w:line="240" w:lineRule="auto"/>
              <w:jc w:val="right"/>
              <w:rPr>
                <w:rFonts w:cstheme="minorHAnsi"/>
              </w:rPr>
            </w:pPr>
            <w:r w:rsidRPr="00B91F3C">
              <w:t>53</w:t>
            </w:r>
          </w:p>
        </w:tc>
        <w:tc>
          <w:tcPr>
            <w:tcW w:w="2070" w:type="dxa"/>
            <w:shd w:val="clear" w:color="auto" w:fill="auto"/>
          </w:tcPr>
          <w:p w14:paraId="57308F7F" w14:textId="0433AC3B" w:rsidR="002E6C14" w:rsidRPr="00B91F3C" w:rsidRDefault="00E1548C" w:rsidP="000C20EA">
            <w:pPr>
              <w:spacing w:line="240" w:lineRule="auto"/>
              <w:jc w:val="right"/>
              <w:rPr>
                <w:rFonts w:cstheme="minorHAnsi"/>
                <w:bCs/>
              </w:rPr>
            </w:pPr>
            <w:r w:rsidRPr="00B91F3C">
              <w:t xml:space="preserve"> 49,84 </w:t>
            </w:r>
          </w:p>
        </w:tc>
        <w:tc>
          <w:tcPr>
            <w:tcW w:w="1980" w:type="dxa"/>
            <w:shd w:val="clear" w:color="auto" w:fill="auto"/>
          </w:tcPr>
          <w:p w14:paraId="7CFDE77B" w14:textId="4D631645" w:rsidR="002E6C14" w:rsidRPr="00B91F3C" w:rsidRDefault="00E1548C" w:rsidP="00C21AB7">
            <w:pPr>
              <w:spacing w:line="240" w:lineRule="auto"/>
              <w:jc w:val="center"/>
              <w:rPr>
                <w:rFonts w:cstheme="minorHAnsi"/>
                <w:bCs/>
              </w:rPr>
            </w:pPr>
            <w:r w:rsidRPr="00B91F3C">
              <w:t>94%</w:t>
            </w:r>
          </w:p>
        </w:tc>
      </w:tr>
      <w:tr w:rsidR="00A05F23" w:rsidRPr="00B91F3C" w14:paraId="7920A253" w14:textId="77777777" w:rsidTr="006D69F9">
        <w:trPr>
          <w:trHeight w:val="288"/>
          <w:jc w:val="center"/>
        </w:trPr>
        <w:tc>
          <w:tcPr>
            <w:tcW w:w="3510" w:type="dxa"/>
            <w:shd w:val="clear" w:color="auto" w:fill="auto"/>
            <w:vAlign w:val="center"/>
          </w:tcPr>
          <w:p w14:paraId="2B01E6D4" w14:textId="421513E7" w:rsidR="00A05F23" w:rsidRPr="00B91F3C" w:rsidRDefault="00A05F23" w:rsidP="000A1A12">
            <w:pPr>
              <w:ind w:left="340"/>
            </w:pPr>
            <w:r w:rsidRPr="00B91F3C">
              <w:t xml:space="preserve">Устойчивое развитие городов </w:t>
            </w:r>
          </w:p>
        </w:tc>
        <w:tc>
          <w:tcPr>
            <w:tcW w:w="1710" w:type="dxa"/>
            <w:shd w:val="clear" w:color="auto" w:fill="auto"/>
            <w:vAlign w:val="center"/>
          </w:tcPr>
          <w:p w14:paraId="03011DDF" w14:textId="6AC6ACD2" w:rsidR="00A05F23" w:rsidRPr="00B91F3C" w:rsidRDefault="00A05F23" w:rsidP="000C20EA">
            <w:pPr>
              <w:spacing w:line="240" w:lineRule="auto"/>
              <w:jc w:val="right"/>
              <w:rPr>
                <w:rFonts w:cstheme="minorHAnsi"/>
                <w:i/>
              </w:rPr>
            </w:pPr>
            <w:r w:rsidRPr="00B91F3C">
              <w:t>15</w:t>
            </w:r>
          </w:p>
        </w:tc>
        <w:tc>
          <w:tcPr>
            <w:tcW w:w="2070" w:type="dxa"/>
            <w:shd w:val="clear" w:color="auto" w:fill="auto"/>
          </w:tcPr>
          <w:p w14:paraId="5CE3B918" w14:textId="6D5A2FCD" w:rsidR="00A05F23" w:rsidRPr="00B91F3C" w:rsidRDefault="00E1548C" w:rsidP="000C20EA">
            <w:pPr>
              <w:spacing w:line="240" w:lineRule="auto"/>
              <w:jc w:val="right"/>
              <w:rPr>
                <w:rFonts w:cstheme="minorHAnsi"/>
                <w:bCs/>
              </w:rPr>
            </w:pPr>
            <w:r w:rsidRPr="00B91F3C">
              <w:t xml:space="preserve"> 15,30 </w:t>
            </w:r>
          </w:p>
        </w:tc>
        <w:tc>
          <w:tcPr>
            <w:tcW w:w="1980" w:type="dxa"/>
            <w:shd w:val="clear" w:color="auto" w:fill="auto"/>
          </w:tcPr>
          <w:p w14:paraId="2740B9B2" w14:textId="78A99FDD" w:rsidR="00A05F23" w:rsidRPr="00B91F3C" w:rsidRDefault="00E1548C" w:rsidP="00C21AB7">
            <w:pPr>
              <w:spacing w:line="240" w:lineRule="auto"/>
              <w:jc w:val="center"/>
              <w:rPr>
                <w:rFonts w:cstheme="minorHAnsi"/>
                <w:bCs/>
              </w:rPr>
            </w:pPr>
            <w:r w:rsidRPr="00B91F3C">
              <w:t>102%</w:t>
            </w:r>
          </w:p>
        </w:tc>
      </w:tr>
      <w:tr w:rsidR="00A05F23" w:rsidRPr="00B91F3C" w14:paraId="31084C34" w14:textId="77777777" w:rsidTr="006D69F9">
        <w:trPr>
          <w:trHeight w:val="288"/>
          <w:jc w:val="center"/>
        </w:trPr>
        <w:tc>
          <w:tcPr>
            <w:tcW w:w="3510" w:type="dxa"/>
            <w:tcBorders>
              <w:top w:val="single" w:sz="6" w:space="0" w:color="008000"/>
            </w:tcBorders>
            <w:shd w:val="clear" w:color="auto" w:fill="auto"/>
            <w:vAlign w:val="center"/>
          </w:tcPr>
          <w:p w14:paraId="53B4F2E3" w14:textId="77777777" w:rsidR="00A05F23" w:rsidRPr="00B91F3C" w:rsidRDefault="00A05F23" w:rsidP="00C21AB7">
            <w:pPr>
              <w:spacing w:line="240" w:lineRule="auto"/>
              <w:rPr>
                <w:rFonts w:cstheme="minorHAnsi"/>
                <w:b/>
              </w:rPr>
            </w:pPr>
            <w:r w:rsidRPr="00B91F3C">
              <w:rPr>
                <w:b/>
              </w:rPr>
              <w:t>Всего средств</w:t>
            </w:r>
          </w:p>
        </w:tc>
        <w:tc>
          <w:tcPr>
            <w:tcW w:w="1710" w:type="dxa"/>
            <w:tcBorders>
              <w:top w:val="single" w:sz="6" w:space="0" w:color="008000"/>
            </w:tcBorders>
            <w:shd w:val="clear" w:color="auto" w:fill="auto"/>
            <w:vAlign w:val="center"/>
          </w:tcPr>
          <w:p w14:paraId="5FD6C501" w14:textId="52572F79" w:rsidR="00A05F23" w:rsidRPr="00B91F3C" w:rsidRDefault="00A05F23" w:rsidP="000C20EA">
            <w:pPr>
              <w:spacing w:line="240" w:lineRule="auto"/>
              <w:jc w:val="right"/>
              <w:rPr>
                <w:rFonts w:cstheme="minorHAnsi"/>
                <w:b/>
              </w:rPr>
            </w:pPr>
            <w:r w:rsidRPr="00B91F3C">
              <w:rPr>
                <w:b/>
              </w:rPr>
              <w:t>1 292</w:t>
            </w:r>
          </w:p>
        </w:tc>
        <w:tc>
          <w:tcPr>
            <w:tcW w:w="2070" w:type="dxa"/>
            <w:tcBorders>
              <w:top w:val="single" w:sz="6" w:space="0" w:color="008000"/>
            </w:tcBorders>
            <w:shd w:val="clear" w:color="auto" w:fill="auto"/>
          </w:tcPr>
          <w:p w14:paraId="4D50AFB3" w14:textId="6CEADE76" w:rsidR="009043A4" w:rsidRPr="00B91F3C" w:rsidRDefault="00E1548C" w:rsidP="000C20EA">
            <w:pPr>
              <w:spacing w:line="240" w:lineRule="auto"/>
              <w:jc w:val="right"/>
              <w:rPr>
                <w:rFonts w:cstheme="minorHAnsi"/>
                <w:b/>
                <w:highlight w:val="cyan"/>
              </w:rPr>
            </w:pPr>
            <w:r w:rsidRPr="00B91F3C">
              <w:t>1 237,48</w:t>
            </w:r>
          </w:p>
        </w:tc>
        <w:tc>
          <w:tcPr>
            <w:tcW w:w="1980" w:type="dxa"/>
            <w:tcBorders>
              <w:top w:val="single" w:sz="6" w:space="0" w:color="008000"/>
            </w:tcBorders>
            <w:shd w:val="clear" w:color="auto" w:fill="auto"/>
          </w:tcPr>
          <w:p w14:paraId="2B7134EE" w14:textId="0D0DA16E" w:rsidR="00A05F23" w:rsidRPr="00B91F3C" w:rsidRDefault="00E1548C" w:rsidP="00C21AB7">
            <w:pPr>
              <w:spacing w:line="240" w:lineRule="auto"/>
              <w:jc w:val="center"/>
              <w:rPr>
                <w:rFonts w:cstheme="minorHAnsi"/>
                <w:b/>
              </w:rPr>
            </w:pPr>
            <w:r w:rsidRPr="00B91F3C">
              <w:t>96%</w:t>
            </w:r>
          </w:p>
        </w:tc>
      </w:tr>
    </w:tbl>
    <w:p w14:paraId="56D13F63" w14:textId="77777777" w:rsidR="003C737E" w:rsidRPr="00B91F3C" w:rsidRDefault="003C737E" w:rsidP="003C737E">
      <w:pPr>
        <w:rPr>
          <w:sz w:val="24"/>
          <w:szCs w:val="24"/>
        </w:rPr>
      </w:pPr>
    </w:p>
    <w:p w14:paraId="096F4A65" w14:textId="589DB337" w:rsidR="00E93F29" w:rsidRPr="00B91F3C" w:rsidRDefault="00895320" w:rsidP="007655D1">
      <w:pPr>
        <w:pStyle w:val="Paragraphedeliste"/>
        <w:rPr>
          <w:i/>
          <w:iCs/>
        </w:rPr>
      </w:pPr>
      <w:bookmarkStart w:id="37" w:name="_Hlk160702255"/>
      <w:r w:rsidRPr="00B91F3C">
        <w:t xml:space="preserve">Данные, приведенные в Таблице 3 ниже, отражают </w:t>
      </w:r>
      <w:bookmarkStart w:id="38" w:name="_Hlk32178128"/>
      <w:r w:rsidRPr="00B91F3C">
        <w:t xml:space="preserve">общий совокупный и прямой вклад программ, финансируемых за счет всех ресурсов ГЭФ, в выполнение </w:t>
      </w:r>
      <w:proofErr w:type="spellStart"/>
      <w:r w:rsidRPr="00B91F3C">
        <w:t>Айтинских</w:t>
      </w:r>
      <w:proofErr w:type="spellEnd"/>
      <w:r w:rsidRPr="00B91F3C">
        <w:t xml:space="preserve"> целевых задач в области биоразнообразия по всем программным направлениям в период ГЭФ-7 (стратегия целевой области «Биоразнообразие», программы широкого воздействия в ГЭФ-7, целевая область «Международные воды», Фонд наименее развитых стран для адаптации к изменению климата, не связанный с грантами инструмент и программа малых грантов). Общая стоимость инвестиций ГЭФ в период ГЭФ-7 в рамках вклада всех этих программ в выполнение </w:t>
      </w:r>
      <w:proofErr w:type="spellStart"/>
      <w:r w:rsidRPr="00B91F3C">
        <w:t>Айтинских</w:t>
      </w:r>
      <w:proofErr w:type="spellEnd"/>
      <w:r w:rsidRPr="00B91F3C">
        <w:t xml:space="preserve"> целевых задач в области биоразнообразия составила 2,04 млрд долл. США, которые привлекли софинансирование в размере 16,51 млрд долл. США, в результате чего общая сумма инвестиций достигла 18,55 млрд долл. </w:t>
      </w:r>
      <w:r w:rsidR="007B18A3" w:rsidRPr="00B91F3C">
        <w:lastRenderedPageBreak/>
        <w:t xml:space="preserve">США. </w:t>
      </w:r>
      <w:r w:rsidRPr="00B91F3C">
        <w:t>Таким образом, коэффициент софинансирования составил 8 долл. США софинансирования на каждый доллар, предоставленный ГЭФ.</w:t>
      </w:r>
    </w:p>
    <w:p w14:paraId="0D86C9D7" w14:textId="03861E13" w:rsidR="00DE0D6E" w:rsidRPr="00B91F3C" w:rsidRDefault="006064E7" w:rsidP="00351AAB">
      <w:pPr>
        <w:pStyle w:val="Lgende"/>
      </w:pPr>
      <w:bookmarkStart w:id="39" w:name="_Toc102227145"/>
      <w:bookmarkStart w:id="40" w:name="_Toc103967146"/>
      <w:bookmarkStart w:id="41" w:name="_Toc165894852"/>
      <w:bookmarkEnd w:id="37"/>
      <w:bookmarkEnd w:id="38"/>
      <w:r w:rsidRPr="00B91F3C">
        <w:t xml:space="preserve">Таблица </w:t>
      </w:r>
      <w:r w:rsidR="0012399A" w:rsidRPr="00B91F3C">
        <w:t>3</w:t>
      </w:r>
      <w:r w:rsidR="00A07804" w:rsidRPr="00B91F3C">
        <w:t xml:space="preserve">. </w:t>
      </w:r>
      <w:r w:rsidRPr="00B91F3C">
        <w:t>Совокупный прямой вклад программ ГЭФ-7 из всех ресурсов и программных направлений ГЭФ в выполнение Стратегического плана в области би</w:t>
      </w:r>
      <w:r w:rsidR="003F6067" w:rsidRPr="00B91F3C">
        <w:t xml:space="preserve">оразнообразия на </w:t>
      </w:r>
      <w:proofErr w:type="gramStart"/>
      <w:r w:rsidR="003F6067" w:rsidRPr="00B91F3C">
        <w:t>2011-2020</w:t>
      </w:r>
      <w:proofErr w:type="gramEnd"/>
      <w:r w:rsidR="003F6067" w:rsidRPr="00B91F3C">
        <w:t xml:space="preserve"> годы</w:t>
      </w:r>
      <w:r w:rsidRPr="00B91F3C">
        <w:br/>
        <w:t>(1 июля 2018 года – 30 июня 2022 года)</w:t>
      </w:r>
      <w:r w:rsidR="00DE0D6E" w:rsidRPr="00B91F3C">
        <w:rPr>
          <w:vertAlign w:val="superscript"/>
        </w:rPr>
        <w:footnoteReference w:id="6"/>
      </w:r>
      <w:bookmarkEnd w:id="39"/>
      <w:bookmarkEnd w:id="40"/>
      <w:bookmarkEnd w:id="4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1842"/>
        <w:gridCol w:w="1630"/>
        <w:gridCol w:w="1878"/>
        <w:gridCol w:w="1878"/>
      </w:tblGrid>
      <w:tr w:rsidR="008A436D" w:rsidRPr="00B91F3C" w14:paraId="7CFD5BF4" w14:textId="77777777" w:rsidTr="007A3C24">
        <w:trPr>
          <w:tblHeader/>
        </w:trPr>
        <w:tc>
          <w:tcPr>
            <w:tcW w:w="2122" w:type="dxa"/>
            <w:shd w:val="clear" w:color="auto" w:fill="E2EFD9" w:themeFill="accent6" w:themeFillTint="33"/>
            <w:vAlign w:val="center"/>
          </w:tcPr>
          <w:p w14:paraId="0C5A8C14" w14:textId="77777777" w:rsidR="008A436D" w:rsidRPr="00B91F3C" w:rsidRDefault="008A436D" w:rsidP="00C21AB7">
            <w:pPr>
              <w:spacing w:line="240" w:lineRule="auto"/>
              <w:jc w:val="center"/>
              <w:rPr>
                <w:rFonts w:cstheme="minorHAnsi"/>
                <w:b/>
                <w:sz w:val="18"/>
                <w:szCs w:val="18"/>
              </w:rPr>
            </w:pPr>
            <w:r w:rsidRPr="00B91F3C">
              <w:rPr>
                <w:b/>
                <w:sz w:val="18"/>
                <w:szCs w:val="18"/>
              </w:rPr>
              <w:t>Источник финансирования</w:t>
            </w:r>
          </w:p>
        </w:tc>
        <w:tc>
          <w:tcPr>
            <w:tcW w:w="1842" w:type="dxa"/>
            <w:shd w:val="clear" w:color="auto" w:fill="E2EFD9" w:themeFill="accent6" w:themeFillTint="33"/>
            <w:vAlign w:val="center"/>
          </w:tcPr>
          <w:p w14:paraId="08BCA06E" w14:textId="7AB18A63" w:rsidR="008A436D" w:rsidRPr="00B91F3C" w:rsidRDefault="005E68A2" w:rsidP="00C21AB7">
            <w:pPr>
              <w:spacing w:line="240" w:lineRule="auto"/>
              <w:jc w:val="center"/>
              <w:rPr>
                <w:rFonts w:cstheme="minorHAnsi"/>
                <w:b/>
                <w:sz w:val="18"/>
                <w:szCs w:val="18"/>
              </w:rPr>
            </w:pPr>
            <w:r w:rsidRPr="00B91F3C">
              <w:rPr>
                <w:b/>
                <w:sz w:val="18"/>
                <w:szCs w:val="18"/>
              </w:rPr>
              <w:t>Проектное финансирование ГЭФ</w:t>
            </w:r>
            <w:r w:rsidRPr="00B91F3C">
              <w:rPr>
                <w:b/>
                <w:sz w:val="18"/>
                <w:szCs w:val="18"/>
              </w:rPr>
              <w:br/>
              <w:t>(</w:t>
            </w:r>
            <w:r w:rsidR="008A436D" w:rsidRPr="00B91F3C">
              <w:rPr>
                <w:b/>
                <w:sz w:val="18"/>
                <w:szCs w:val="18"/>
              </w:rPr>
              <w:t xml:space="preserve">млн долл. США) </w:t>
            </w:r>
          </w:p>
        </w:tc>
        <w:tc>
          <w:tcPr>
            <w:tcW w:w="1630" w:type="dxa"/>
            <w:shd w:val="clear" w:color="auto" w:fill="E2EFD9" w:themeFill="accent6" w:themeFillTint="33"/>
            <w:vAlign w:val="center"/>
          </w:tcPr>
          <w:p w14:paraId="47634DAD" w14:textId="4BC23931" w:rsidR="008A436D" w:rsidRPr="00B91F3C" w:rsidRDefault="008A436D" w:rsidP="00C21AB7">
            <w:pPr>
              <w:spacing w:line="240" w:lineRule="auto"/>
              <w:jc w:val="center"/>
              <w:rPr>
                <w:rFonts w:cstheme="minorHAnsi"/>
                <w:b/>
                <w:sz w:val="18"/>
                <w:szCs w:val="18"/>
              </w:rPr>
            </w:pPr>
            <w:r w:rsidRPr="00B91F3C">
              <w:rPr>
                <w:b/>
                <w:sz w:val="18"/>
                <w:szCs w:val="18"/>
              </w:rPr>
              <w:t xml:space="preserve">Софинансирование </w:t>
            </w:r>
            <w:r w:rsidRPr="00B91F3C">
              <w:rPr>
                <w:b/>
                <w:sz w:val="18"/>
                <w:szCs w:val="18"/>
              </w:rPr>
              <w:br/>
              <w:t>(млн долл. США)</w:t>
            </w:r>
            <w:r w:rsidRPr="00B91F3C">
              <w:rPr>
                <w:rFonts w:cstheme="minorHAnsi"/>
                <w:b/>
                <w:sz w:val="18"/>
                <w:szCs w:val="18"/>
                <w:vertAlign w:val="superscript"/>
              </w:rPr>
              <w:footnoteReference w:id="7"/>
            </w:r>
          </w:p>
        </w:tc>
        <w:tc>
          <w:tcPr>
            <w:tcW w:w="1878" w:type="dxa"/>
            <w:shd w:val="clear" w:color="auto" w:fill="E2EFD9" w:themeFill="accent6" w:themeFillTint="33"/>
            <w:vAlign w:val="center"/>
          </w:tcPr>
          <w:p w14:paraId="47A7C066" w14:textId="6E39AE86" w:rsidR="008A436D" w:rsidRPr="00B91F3C" w:rsidRDefault="008A436D" w:rsidP="005E68A2">
            <w:pPr>
              <w:spacing w:line="240" w:lineRule="auto"/>
              <w:jc w:val="center"/>
              <w:rPr>
                <w:rFonts w:cstheme="minorHAnsi"/>
                <w:b/>
                <w:sz w:val="18"/>
                <w:szCs w:val="18"/>
              </w:rPr>
            </w:pPr>
            <w:r w:rsidRPr="00B91F3C">
              <w:rPr>
                <w:b/>
                <w:sz w:val="18"/>
                <w:szCs w:val="18"/>
              </w:rPr>
              <w:t xml:space="preserve">Всего </w:t>
            </w:r>
            <w:r w:rsidRPr="00B91F3C">
              <w:rPr>
                <w:b/>
                <w:sz w:val="18"/>
                <w:szCs w:val="18"/>
              </w:rPr>
              <w:br/>
              <w:t>(</w:t>
            </w:r>
            <w:r w:rsidR="005E68A2" w:rsidRPr="00B91F3C">
              <w:rPr>
                <w:b/>
                <w:sz w:val="18"/>
                <w:szCs w:val="18"/>
              </w:rPr>
              <w:t>п</w:t>
            </w:r>
            <w:r w:rsidRPr="00B91F3C">
              <w:rPr>
                <w:b/>
                <w:sz w:val="18"/>
                <w:szCs w:val="18"/>
              </w:rPr>
              <w:t xml:space="preserve">роектное финансирование ГЭФ </w:t>
            </w:r>
            <w:r w:rsidRPr="00B91F3C">
              <w:rPr>
                <w:b/>
                <w:sz w:val="18"/>
                <w:szCs w:val="18"/>
              </w:rPr>
              <w:br/>
              <w:t>и софинансирование)</w:t>
            </w:r>
            <w:r w:rsidRPr="00B91F3C">
              <w:rPr>
                <w:b/>
                <w:sz w:val="18"/>
                <w:szCs w:val="18"/>
              </w:rPr>
              <w:br/>
              <w:t>(млн долл. США)</w:t>
            </w:r>
          </w:p>
        </w:tc>
        <w:tc>
          <w:tcPr>
            <w:tcW w:w="1878" w:type="dxa"/>
            <w:shd w:val="clear" w:color="auto" w:fill="E2EFD9" w:themeFill="accent6" w:themeFillTint="33"/>
            <w:vAlign w:val="center"/>
          </w:tcPr>
          <w:p w14:paraId="098CE36C" w14:textId="52468DB6" w:rsidR="008A436D" w:rsidRPr="00B91F3C" w:rsidRDefault="008A436D" w:rsidP="005E68A2">
            <w:pPr>
              <w:spacing w:line="240" w:lineRule="auto"/>
              <w:jc w:val="center"/>
              <w:rPr>
                <w:rFonts w:cstheme="minorHAnsi"/>
                <w:b/>
                <w:sz w:val="18"/>
                <w:szCs w:val="18"/>
              </w:rPr>
            </w:pPr>
            <w:r w:rsidRPr="00B91F3C">
              <w:rPr>
                <w:b/>
                <w:sz w:val="18"/>
                <w:szCs w:val="18"/>
              </w:rPr>
              <w:t xml:space="preserve">% от общей суммы </w:t>
            </w:r>
            <w:r w:rsidRPr="00B91F3C">
              <w:rPr>
                <w:b/>
                <w:sz w:val="18"/>
                <w:szCs w:val="18"/>
              </w:rPr>
              <w:br/>
              <w:t>(</w:t>
            </w:r>
            <w:r w:rsidR="005E68A2" w:rsidRPr="00B91F3C">
              <w:rPr>
                <w:b/>
                <w:sz w:val="18"/>
                <w:szCs w:val="18"/>
              </w:rPr>
              <w:t>п</w:t>
            </w:r>
            <w:r w:rsidRPr="00B91F3C">
              <w:rPr>
                <w:b/>
                <w:sz w:val="18"/>
                <w:szCs w:val="18"/>
              </w:rPr>
              <w:t xml:space="preserve">роектное финансирование ГЭФ </w:t>
            </w:r>
            <w:r w:rsidRPr="00B91F3C">
              <w:rPr>
                <w:b/>
                <w:sz w:val="18"/>
                <w:szCs w:val="18"/>
              </w:rPr>
              <w:br/>
              <w:t>и софинансирование)</w:t>
            </w:r>
          </w:p>
        </w:tc>
      </w:tr>
      <w:tr w:rsidR="008A436D" w:rsidRPr="00B91F3C" w14:paraId="25FE0370" w14:textId="77777777" w:rsidTr="007A3C24">
        <w:tc>
          <w:tcPr>
            <w:tcW w:w="2122" w:type="dxa"/>
            <w:shd w:val="clear" w:color="auto" w:fill="FFFFFF" w:themeFill="background1"/>
          </w:tcPr>
          <w:p w14:paraId="1EBDA8E9" w14:textId="77777777" w:rsidR="008A436D" w:rsidRPr="00B91F3C" w:rsidRDefault="008A436D" w:rsidP="00C21AB7">
            <w:pPr>
              <w:spacing w:line="240" w:lineRule="auto"/>
              <w:rPr>
                <w:rFonts w:cstheme="minorHAnsi"/>
                <w:b/>
                <w:bCs/>
                <w:sz w:val="20"/>
                <w:szCs w:val="20"/>
              </w:rPr>
            </w:pPr>
            <w:r w:rsidRPr="00B91F3C">
              <w:rPr>
                <w:b/>
                <w:sz w:val="20"/>
                <w:szCs w:val="20"/>
              </w:rPr>
              <w:t>СПРР на биоразнообразие</w:t>
            </w:r>
            <w:r w:rsidRPr="00B91F3C">
              <w:rPr>
                <w:rFonts w:cstheme="minorHAnsi"/>
                <w:b/>
                <w:bCs/>
                <w:sz w:val="20"/>
                <w:szCs w:val="20"/>
                <w:vertAlign w:val="superscript"/>
              </w:rPr>
              <w:footnoteReference w:id="8"/>
            </w:r>
          </w:p>
        </w:tc>
        <w:tc>
          <w:tcPr>
            <w:tcW w:w="1842" w:type="dxa"/>
            <w:shd w:val="clear" w:color="auto" w:fill="FFFFFF" w:themeFill="background1"/>
            <w:vAlign w:val="center"/>
          </w:tcPr>
          <w:p w14:paraId="6D05C37D" w14:textId="16E20FD0" w:rsidR="008A436D" w:rsidRPr="00B91F3C" w:rsidRDefault="00E909D8" w:rsidP="000C20EA">
            <w:pPr>
              <w:spacing w:line="240" w:lineRule="auto"/>
              <w:jc w:val="right"/>
              <w:rPr>
                <w:rFonts w:cstheme="minorHAnsi"/>
                <w:sz w:val="20"/>
                <w:szCs w:val="20"/>
              </w:rPr>
            </w:pPr>
            <w:r w:rsidRPr="00B91F3C">
              <w:rPr>
                <w:sz w:val="20"/>
                <w:szCs w:val="20"/>
              </w:rPr>
              <w:t xml:space="preserve">631,92 </w:t>
            </w:r>
          </w:p>
        </w:tc>
        <w:tc>
          <w:tcPr>
            <w:tcW w:w="1630" w:type="dxa"/>
            <w:shd w:val="clear" w:color="auto" w:fill="FFFFFF" w:themeFill="background1"/>
            <w:vAlign w:val="center"/>
          </w:tcPr>
          <w:p w14:paraId="1129923E" w14:textId="2BBB353B" w:rsidR="008A436D" w:rsidRPr="00B91F3C" w:rsidRDefault="002C78BB" w:rsidP="000C20EA">
            <w:pPr>
              <w:spacing w:line="240" w:lineRule="auto"/>
              <w:jc w:val="right"/>
              <w:rPr>
                <w:rFonts w:cstheme="minorHAnsi"/>
                <w:sz w:val="20"/>
                <w:szCs w:val="20"/>
              </w:rPr>
            </w:pPr>
            <w:r w:rsidRPr="00B91F3C">
              <w:rPr>
                <w:sz w:val="20"/>
                <w:szCs w:val="20"/>
              </w:rPr>
              <w:t xml:space="preserve">4 890 </w:t>
            </w:r>
          </w:p>
        </w:tc>
        <w:tc>
          <w:tcPr>
            <w:tcW w:w="1878" w:type="dxa"/>
            <w:shd w:val="clear" w:color="auto" w:fill="FFFFFF" w:themeFill="background1"/>
            <w:vAlign w:val="center"/>
          </w:tcPr>
          <w:p w14:paraId="02DC0382" w14:textId="7BD2B9A4" w:rsidR="008A436D" w:rsidRPr="00B91F3C" w:rsidRDefault="000D3555" w:rsidP="000C20EA">
            <w:pPr>
              <w:spacing w:line="240" w:lineRule="auto"/>
              <w:jc w:val="right"/>
              <w:rPr>
                <w:rFonts w:cstheme="minorHAnsi"/>
                <w:sz w:val="20"/>
                <w:szCs w:val="20"/>
              </w:rPr>
            </w:pPr>
            <w:r w:rsidRPr="00B91F3C">
              <w:rPr>
                <w:sz w:val="20"/>
                <w:szCs w:val="20"/>
              </w:rPr>
              <w:t xml:space="preserve">5 521 </w:t>
            </w:r>
          </w:p>
        </w:tc>
        <w:tc>
          <w:tcPr>
            <w:tcW w:w="1878" w:type="dxa"/>
            <w:shd w:val="clear" w:color="auto" w:fill="FFFFFF" w:themeFill="background1"/>
            <w:vAlign w:val="center"/>
          </w:tcPr>
          <w:p w14:paraId="4D7F416E" w14:textId="6C98EE4C" w:rsidR="008A436D" w:rsidRPr="00B91F3C" w:rsidRDefault="000D3555" w:rsidP="00C21AB7">
            <w:pPr>
              <w:spacing w:line="240" w:lineRule="auto"/>
              <w:jc w:val="center"/>
              <w:rPr>
                <w:rFonts w:cstheme="minorHAnsi"/>
                <w:sz w:val="20"/>
                <w:szCs w:val="20"/>
              </w:rPr>
            </w:pPr>
            <w:r w:rsidRPr="00B91F3C">
              <w:rPr>
                <w:sz w:val="20"/>
                <w:szCs w:val="20"/>
              </w:rPr>
              <w:t>25%</w:t>
            </w:r>
          </w:p>
        </w:tc>
      </w:tr>
      <w:tr w:rsidR="008A436D" w:rsidRPr="00B91F3C" w14:paraId="7EDEED3A" w14:textId="77777777" w:rsidTr="007A3C24">
        <w:tc>
          <w:tcPr>
            <w:tcW w:w="2122" w:type="dxa"/>
            <w:shd w:val="clear" w:color="auto" w:fill="auto"/>
          </w:tcPr>
          <w:p w14:paraId="1CD6AE71" w14:textId="77777777" w:rsidR="008A436D" w:rsidRPr="00B91F3C" w:rsidRDefault="008A436D" w:rsidP="00C21AB7">
            <w:pPr>
              <w:spacing w:line="240" w:lineRule="auto"/>
              <w:rPr>
                <w:rFonts w:cstheme="minorHAnsi"/>
                <w:b/>
                <w:bCs/>
                <w:sz w:val="20"/>
                <w:szCs w:val="20"/>
              </w:rPr>
            </w:pPr>
            <w:r w:rsidRPr="00B91F3C">
              <w:rPr>
                <w:b/>
                <w:sz w:val="20"/>
                <w:szCs w:val="20"/>
              </w:rPr>
              <w:t>ПШВ «Продовольственные системы, землепользование и восстановление»</w:t>
            </w:r>
          </w:p>
        </w:tc>
        <w:tc>
          <w:tcPr>
            <w:tcW w:w="1842" w:type="dxa"/>
            <w:shd w:val="clear" w:color="auto" w:fill="auto"/>
            <w:vAlign w:val="center"/>
          </w:tcPr>
          <w:p w14:paraId="72EED4DA" w14:textId="0CEC82C5" w:rsidR="008A436D" w:rsidRPr="00B91F3C" w:rsidRDefault="005919A7" w:rsidP="000C20EA">
            <w:pPr>
              <w:spacing w:line="240" w:lineRule="auto"/>
              <w:jc w:val="right"/>
              <w:rPr>
                <w:rFonts w:cstheme="minorHAnsi"/>
                <w:sz w:val="20"/>
                <w:szCs w:val="20"/>
              </w:rPr>
            </w:pPr>
            <w:r w:rsidRPr="00B91F3C">
              <w:rPr>
                <w:sz w:val="20"/>
                <w:szCs w:val="20"/>
              </w:rPr>
              <w:t>306,44</w:t>
            </w:r>
            <w:r w:rsidR="000973A1" w:rsidRPr="00B91F3C">
              <w:rPr>
                <w:rStyle w:val="Appelnotedebasdep"/>
                <w:rFonts w:cstheme="minorHAnsi"/>
                <w:sz w:val="20"/>
                <w:szCs w:val="20"/>
              </w:rPr>
              <w:footnoteReference w:id="9"/>
            </w:r>
            <w:r w:rsidRPr="00B91F3C">
              <w:rPr>
                <w:sz w:val="20"/>
                <w:szCs w:val="20"/>
              </w:rPr>
              <w:t xml:space="preserve"> </w:t>
            </w:r>
          </w:p>
          <w:p w14:paraId="4F68AB0D" w14:textId="64187C03" w:rsidR="008A436D" w:rsidRPr="00B91F3C" w:rsidRDefault="008A436D" w:rsidP="000C20EA">
            <w:pPr>
              <w:spacing w:line="240" w:lineRule="auto"/>
              <w:jc w:val="right"/>
              <w:rPr>
                <w:rFonts w:cstheme="minorHAnsi"/>
                <w:sz w:val="20"/>
                <w:szCs w:val="20"/>
              </w:rPr>
            </w:pPr>
            <w:r w:rsidRPr="00B91F3C">
              <w:rPr>
                <w:sz w:val="20"/>
                <w:szCs w:val="20"/>
              </w:rPr>
              <w:t>(105,96 долл. США из СПРР на биоразнообразие)</w:t>
            </w:r>
          </w:p>
        </w:tc>
        <w:tc>
          <w:tcPr>
            <w:tcW w:w="1630" w:type="dxa"/>
            <w:shd w:val="clear" w:color="auto" w:fill="auto"/>
            <w:vAlign w:val="center"/>
          </w:tcPr>
          <w:p w14:paraId="7D76F54D" w14:textId="21566E52" w:rsidR="008A436D" w:rsidRPr="00B91F3C" w:rsidRDefault="009F26E0" w:rsidP="000C20EA">
            <w:pPr>
              <w:spacing w:line="240" w:lineRule="auto"/>
              <w:jc w:val="right"/>
              <w:rPr>
                <w:rFonts w:cstheme="minorHAnsi"/>
                <w:sz w:val="20"/>
                <w:szCs w:val="20"/>
              </w:rPr>
            </w:pPr>
            <w:r w:rsidRPr="00B91F3C">
              <w:rPr>
                <w:sz w:val="20"/>
                <w:szCs w:val="20"/>
              </w:rPr>
              <w:t>2 734</w:t>
            </w:r>
          </w:p>
        </w:tc>
        <w:tc>
          <w:tcPr>
            <w:tcW w:w="1878" w:type="dxa"/>
            <w:shd w:val="clear" w:color="auto" w:fill="auto"/>
            <w:vAlign w:val="center"/>
          </w:tcPr>
          <w:p w14:paraId="344E96B9" w14:textId="446EFB2A" w:rsidR="008A436D" w:rsidRPr="00B91F3C" w:rsidRDefault="00854284" w:rsidP="000C20EA">
            <w:pPr>
              <w:spacing w:line="240" w:lineRule="auto"/>
              <w:jc w:val="right"/>
              <w:rPr>
                <w:rFonts w:cstheme="minorHAnsi"/>
                <w:sz w:val="20"/>
                <w:szCs w:val="20"/>
              </w:rPr>
            </w:pPr>
            <w:r w:rsidRPr="00B91F3C">
              <w:rPr>
                <w:sz w:val="20"/>
                <w:szCs w:val="20"/>
              </w:rPr>
              <w:t>3 042,50</w:t>
            </w:r>
          </w:p>
        </w:tc>
        <w:tc>
          <w:tcPr>
            <w:tcW w:w="1878" w:type="dxa"/>
            <w:shd w:val="clear" w:color="auto" w:fill="auto"/>
            <w:vAlign w:val="center"/>
          </w:tcPr>
          <w:p w14:paraId="45F90FC6" w14:textId="453F9E11" w:rsidR="008A436D" w:rsidRPr="00B91F3C" w:rsidRDefault="00D157E9" w:rsidP="00C21AB7">
            <w:pPr>
              <w:spacing w:line="240" w:lineRule="auto"/>
              <w:jc w:val="center"/>
              <w:rPr>
                <w:rFonts w:cstheme="minorHAnsi"/>
                <w:sz w:val="20"/>
                <w:szCs w:val="20"/>
              </w:rPr>
            </w:pPr>
            <w:r w:rsidRPr="00B91F3C">
              <w:rPr>
                <w:sz w:val="20"/>
                <w:szCs w:val="20"/>
              </w:rPr>
              <w:t>14%</w:t>
            </w:r>
          </w:p>
        </w:tc>
      </w:tr>
      <w:tr w:rsidR="008A436D" w:rsidRPr="00B91F3C" w14:paraId="59115A68" w14:textId="77777777" w:rsidTr="007A3C24">
        <w:tc>
          <w:tcPr>
            <w:tcW w:w="2122" w:type="dxa"/>
            <w:shd w:val="clear" w:color="auto" w:fill="auto"/>
          </w:tcPr>
          <w:p w14:paraId="493FC327" w14:textId="77777777" w:rsidR="008A436D" w:rsidRPr="00B91F3C" w:rsidRDefault="008A436D" w:rsidP="00C21AB7">
            <w:pPr>
              <w:spacing w:line="240" w:lineRule="auto"/>
              <w:rPr>
                <w:rFonts w:cstheme="minorHAnsi"/>
                <w:b/>
                <w:bCs/>
                <w:sz w:val="20"/>
                <w:szCs w:val="20"/>
              </w:rPr>
            </w:pPr>
            <w:r w:rsidRPr="00B91F3C">
              <w:rPr>
                <w:b/>
                <w:sz w:val="20"/>
                <w:szCs w:val="20"/>
              </w:rPr>
              <w:t>ПШВ «Устойчивое лесопользование»</w:t>
            </w:r>
          </w:p>
        </w:tc>
        <w:tc>
          <w:tcPr>
            <w:tcW w:w="1842" w:type="dxa"/>
            <w:shd w:val="clear" w:color="auto" w:fill="auto"/>
            <w:vAlign w:val="center"/>
          </w:tcPr>
          <w:p w14:paraId="2E2E9D64" w14:textId="6C0B2203" w:rsidR="008A436D" w:rsidRPr="00B91F3C" w:rsidRDefault="00560B72" w:rsidP="000C20EA">
            <w:pPr>
              <w:spacing w:line="240" w:lineRule="auto"/>
              <w:jc w:val="right"/>
              <w:rPr>
                <w:rFonts w:cstheme="minorHAnsi"/>
                <w:sz w:val="20"/>
                <w:szCs w:val="20"/>
              </w:rPr>
            </w:pPr>
            <w:r w:rsidRPr="00B91F3C">
              <w:rPr>
                <w:sz w:val="20"/>
                <w:szCs w:val="20"/>
              </w:rPr>
              <w:t>241,35</w:t>
            </w:r>
            <w:r w:rsidR="006E70AD" w:rsidRPr="00B91F3C">
              <w:rPr>
                <w:rStyle w:val="Appelnotedebasdep"/>
                <w:rFonts w:cstheme="minorHAnsi"/>
                <w:sz w:val="20"/>
                <w:szCs w:val="20"/>
              </w:rPr>
              <w:footnoteReference w:id="10"/>
            </w:r>
            <w:r w:rsidRPr="00B91F3C">
              <w:rPr>
                <w:sz w:val="20"/>
                <w:szCs w:val="20"/>
              </w:rPr>
              <w:t xml:space="preserve"> </w:t>
            </w:r>
          </w:p>
          <w:p w14:paraId="4D58C039" w14:textId="19DBC86B" w:rsidR="008A436D" w:rsidRPr="00B91F3C" w:rsidRDefault="008A436D" w:rsidP="000C20EA">
            <w:pPr>
              <w:spacing w:line="240" w:lineRule="auto"/>
              <w:jc w:val="right"/>
              <w:rPr>
                <w:rFonts w:cstheme="minorHAnsi"/>
                <w:sz w:val="20"/>
                <w:szCs w:val="20"/>
              </w:rPr>
            </w:pPr>
            <w:r w:rsidRPr="00B91F3C">
              <w:rPr>
                <w:sz w:val="20"/>
                <w:szCs w:val="20"/>
              </w:rPr>
              <w:t>(92,03 долл. США СПРР на биоразнообразие)</w:t>
            </w:r>
          </w:p>
        </w:tc>
        <w:tc>
          <w:tcPr>
            <w:tcW w:w="1630" w:type="dxa"/>
            <w:shd w:val="clear" w:color="auto" w:fill="auto"/>
            <w:vAlign w:val="center"/>
          </w:tcPr>
          <w:p w14:paraId="60D31BB4" w14:textId="4AA3C547" w:rsidR="008A436D" w:rsidRPr="00B91F3C" w:rsidRDefault="008A436D" w:rsidP="000C20EA">
            <w:pPr>
              <w:spacing w:line="240" w:lineRule="auto"/>
              <w:jc w:val="right"/>
              <w:rPr>
                <w:rFonts w:cstheme="minorHAnsi"/>
                <w:sz w:val="20"/>
                <w:szCs w:val="20"/>
              </w:rPr>
            </w:pPr>
            <w:r w:rsidRPr="00B91F3C">
              <w:rPr>
                <w:sz w:val="20"/>
                <w:szCs w:val="20"/>
              </w:rPr>
              <w:t>1 706</w:t>
            </w:r>
          </w:p>
        </w:tc>
        <w:tc>
          <w:tcPr>
            <w:tcW w:w="1878" w:type="dxa"/>
            <w:shd w:val="clear" w:color="auto" w:fill="auto"/>
            <w:vAlign w:val="center"/>
          </w:tcPr>
          <w:p w14:paraId="1DDAAFCB" w14:textId="5FD689BD" w:rsidR="008A436D" w:rsidRPr="00B91F3C" w:rsidRDefault="00C3186E" w:rsidP="000C20EA">
            <w:pPr>
              <w:spacing w:line="240" w:lineRule="auto"/>
              <w:jc w:val="right"/>
              <w:rPr>
                <w:rFonts w:cstheme="minorHAnsi"/>
                <w:sz w:val="20"/>
                <w:szCs w:val="20"/>
              </w:rPr>
            </w:pPr>
            <w:r w:rsidRPr="00B91F3C">
              <w:rPr>
                <w:sz w:val="20"/>
                <w:szCs w:val="20"/>
              </w:rPr>
              <w:t xml:space="preserve">1 947,40 </w:t>
            </w:r>
          </w:p>
        </w:tc>
        <w:tc>
          <w:tcPr>
            <w:tcW w:w="1878" w:type="dxa"/>
            <w:shd w:val="clear" w:color="auto" w:fill="auto"/>
            <w:vAlign w:val="center"/>
          </w:tcPr>
          <w:p w14:paraId="6996CBB2" w14:textId="12381FEA" w:rsidR="008A436D" w:rsidRPr="00B91F3C" w:rsidRDefault="00316858" w:rsidP="00C21AB7">
            <w:pPr>
              <w:spacing w:line="240" w:lineRule="auto"/>
              <w:jc w:val="center"/>
              <w:rPr>
                <w:rFonts w:cstheme="minorHAnsi"/>
                <w:sz w:val="20"/>
                <w:szCs w:val="20"/>
              </w:rPr>
            </w:pPr>
            <w:r w:rsidRPr="00B91F3C">
              <w:rPr>
                <w:sz w:val="20"/>
                <w:szCs w:val="20"/>
              </w:rPr>
              <w:t>9%</w:t>
            </w:r>
          </w:p>
        </w:tc>
      </w:tr>
      <w:tr w:rsidR="008A436D" w:rsidRPr="00B91F3C" w14:paraId="10EFF951" w14:textId="77777777" w:rsidTr="007A3C24">
        <w:tc>
          <w:tcPr>
            <w:tcW w:w="2122" w:type="dxa"/>
            <w:shd w:val="clear" w:color="auto" w:fill="auto"/>
          </w:tcPr>
          <w:p w14:paraId="09C63375" w14:textId="77777777" w:rsidR="008A436D" w:rsidRPr="00B91F3C" w:rsidRDefault="008A436D" w:rsidP="00C21AB7">
            <w:pPr>
              <w:spacing w:line="240" w:lineRule="auto"/>
              <w:rPr>
                <w:rFonts w:cstheme="minorHAnsi"/>
                <w:b/>
                <w:bCs/>
                <w:sz w:val="20"/>
                <w:szCs w:val="20"/>
              </w:rPr>
            </w:pPr>
            <w:r w:rsidRPr="00B91F3C">
              <w:rPr>
                <w:b/>
                <w:sz w:val="20"/>
                <w:szCs w:val="20"/>
              </w:rPr>
              <w:t>ПШВ «Устойчивое развитие городов»</w:t>
            </w:r>
          </w:p>
        </w:tc>
        <w:tc>
          <w:tcPr>
            <w:tcW w:w="1842" w:type="dxa"/>
            <w:shd w:val="clear" w:color="auto" w:fill="auto"/>
            <w:vAlign w:val="center"/>
          </w:tcPr>
          <w:p w14:paraId="13B0C3A8" w14:textId="4F95F318" w:rsidR="008A436D" w:rsidRPr="00B91F3C" w:rsidRDefault="008B2FCA" w:rsidP="000C20EA">
            <w:pPr>
              <w:spacing w:line="240" w:lineRule="auto"/>
              <w:jc w:val="right"/>
              <w:rPr>
                <w:rFonts w:cstheme="minorHAnsi"/>
                <w:sz w:val="20"/>
                <w:szCs w:val="20"/>
              </w:rPr>
            </w:pPr>
            <w:r w:rsidRPr="00B91F3C">
              <w:rPr>
                <w:sz w:val="20"/>
                <w:szCs w:val="20"/>
              </w:rPr>
              <w:t>146,74</w:t>
            </w:r>
            <w:r w:rsidR="000C4FC6" w:rsidRPr="00B91F3C">
              <w:rPr>
                <w:rStyle w:val="Appelnotedebasdep"/>
                <w:rFonts w:cstheme="minorHAnsi"/>
                <w:sz w:val="20"/>
                <w:szCs w:val="20"/>
              </w:rPr>
              <w:footnoteReference w:id="11"/>
            </w:r>
            <w:r w:rsidRPr="00B91F3C">
              <w:rPr>
                <w:sz w:val="20"/>
                <w:szCs w:val="20"/>
              </w:rPr>
              <w:t xml:space="preserve"> </w:t>
            </w:r>
          </w:p>
          <w:p w14:paraId="7F4EC7B0" w14:textId="7D7EE00D" w:rsidR="008A436D" w:rsidRPr="00B91F3C" w:rsidRDefault="008A436D" w:rsidP="000C20EA">
            <w:pPr>
              <w:spacing w:line="240" w:lineRule="auto"/>
              <w:jc w:val="right"/>
              <w:rPr>
                <w:rFonts w:cstheme="minorHAnsi"/>
                <w:sz w:val="20"/>
                <w:szCs w:val="20"/>
              </w:rPr>
            </w:pPr>
            <w:r w:rsidRPr="00B91F3C">
              <w:rPr>
                <w:sz w:val="20"/>
                <w:szCs w:val="20"/>
              </w:rPr>
              <w:t>(33,32 долл. США СПРР на биоразнообразие)</w:t>
            </w:r>
          </w:p>
        </w:tc>
        <w:tc>
          <w:tcPr>
            <w:tcW w:w="1630" w:type="dxa"/>
            <w:shd w:val="clear" w:color="auto" w:fill="auto"/>
            <w:vAlign w:val="center"/>
          </w:tcPr>
          <w:p w14:paraId="0C4FABF8" w14:textId="70AA4518" w:rsidR="008A436D" w:rsidRPr="00B91F3C" w:rsidRDefault="008A436D" w:rsidP="000C20EA">
            <w:pPr>
              <w:spacing w:line="240" w:lineRule="auto"/>
              <w:jc w:val="right"/>
              <w:rPr>
                <w:rFonts w:cstheme="minorHAnsi"/>
                <w:sz w:val="20"/>
                <w:szCs w:val="20"/>
              </w:rPr>
            </w:pPr>
            <w:r w:rsidRPr="00B91F3C">
              <w:rPr>
                <w:sz w:val="20"/>
                <w:szCs w:val="20"/>
              </w:rPr>
              <w:t>1 690</w:t>
            </w:r>
          </w:p>
        </w:tc>
        <w:tc>
          <w:tcPr>
            <w:tcW w:w="1878" w:type="dxa"/>
            <w:shd w:val="clear" w:color="auto" w:fill="auto"/>
            <w:vAlign w:val="center"/>
          </w:tcPr>
          <w:p w14:paraId="6784F47A" w14:textId="4E02E34B" w:rsidR="008A436D" w:rsidRPr="00B91F3C" w:rsidRDefault="00593C4F" w:rsidP="000C20EA">
            <w:pPr>
              <w:spacing w:line="240" w:lineRule="auto"/>
              <w:jc w:val="right"/>
              <w:rPr>
                <w:rFonts w:cstheme="minorHAnsi"/>
                <w:sz w:val="20"/>
                <w:szCs w:val="20"/>
              </w:rPr>
            </w:pPr>
            <w:r w:rsidRPr="00B91F3C">
              <w:rPr>
                <w:sz w:val="20"/>
                <w:szCs w:val="20"/>
              </w:rPr>
              <w:t xml:space="preserve">1 836,50 </w:t>
            </w:r>
          </w:p>
        </w:tc>
        <w:tc>
          <w:tcPr>
            <w:tcW w:w="1878" w:type="dxa"/>
            <w:shd w:val="clear" w:color="auto" w:fill="auto"/>
            <w:vAlign w:val="center"/>
          </w:tcPr>
          <w:p w14:paraId="72A3CCAD" w14:textId="4F6E252F" w:rsidR="008A436D" w:rsidRPr="00B91F3C" w:rsidRDefault="00593C4F" w:rsidP="00C21AB7">
            <w:pPr>
              <w:spacing w:line="240" w:lineRule="auto"/>
              <w:jc w:val="center"/>
              <w:rPr>
                <w:rFonts w:cstheme="minorHAnsi"/>
                <w:sz w:val="20"/>
                <w:szCs w:val="20"/>
              </w:rPr>
            </w:pPr>
            <w:r w:rsidRPr="00B91F3C">
              <w:rPr>
                <w:sz w:val="20"/>
                <w:szCs w:val="20"/>
              </w:rPr>
              <w:t>8 %</w:t>
            </w:r>
          </w:p>
        </w:tc>
      </w:tr>
      <w:tr w:rsidR="008A436D" w:rsidRPr="00B91F3C" w14:paraId="3BC5DCCD" w14:textId="77777777" w:rsidTr="007A3C24">
        <w:tc>
          <w:tcPr>
            <w:tcW w:w="2122" w:type="dxa"/>
            <w:shd w:val="clear" w:color="auto" w:fill="auto"/>
          </w:tcPr>
          <w:p w14:paraId="613C64A0" w14:textId="77777777" w:rsidR="008A436D" w:rsidRPr="00B91F3C" w:rsidRDefault="008A436D" w:rsidP="00C21AB7">
            <w:pPr>
              <w:spacing w:line="240" w:lineRule="auto"/>
              <w:rPr>
                <w:rFonts w:cstheme="minorHAnsi"/>
                <w:b/>
                <w:bCs/>
                <w:sz w:val="20"/>
                <w:szCs w:val="20"/>
              </w:rPr>
            </w:pPr>
            <w:r w:rsidRPr="00B91F3C">
              <w:rPr>
                <w:b/>
                <w:sz w:val="20"/>
                <w:szCs w:val="20"/>
              </w:rPr>
              <w:t>Зарезервировано на биоразнообразие</w:t>
            </w:r>
          </w:p>
        </w:tc>
        <w:tc>
          <w:tcPr>
            <w:tcW w:w="1842" w:type="dxa"/>
            <w:shd w:val="clear" w:color="auto" w:fill="auto"/>
            <w:vAlign w:val="center"/>
          </w:tcPr>
          <w:p w14:paraId="64ED43E9" w14:textId="619671A1" w:rsidR="008A436D" w:rsidRPr="00B91F3C" w:rsidRDefault="00DD7025" w:rsidP="000C20EA">
            <w:pPr>
              <w:spacing w:line="240" w:lineRule="auto"/>
              <w:jc w:val="right"/>
              <w:rPr>
                <w:rFonts w:cstheme="minorHAnsi"/>
                <w:sz w:val="20"/>
                <w:szCs w:val="20"/>
              </w:rPr>
            </w:pPr>
            <w:r w:rsidRPr="00B91F3C">
              <w:rPr>
                <w:sz w:val="20"/>
                <w:szCs w:val="20"/>
              </w:rPr>
              <w:t xml:space="preserve">119,16 </w:t>
            </w:r>
          </w:p>
        </w:tc>
        <w:tc>
          <w:tcPr>
            <w:tcW w:w="1630" w:type="dxa"/>
            <w:shd w:val="clear" w:color="auto" w:fill="auto"/>
            <w:vAlign w:val="center"/>
          </w:tcPr>
          <w:p w14:paraId="7D533029" w14:textId="1D61DA81" w:rsidR="008A436D" w:rsidRPr="00B91F3C" w:rsidRDefault="000C5ED0" w:rsidP="000C20EA">
            <w:pPr>
              <w:spacing w:line="240" w:lineRule="auto"/>
              <w:jc w:val="right"/>
              <w:rPr>
                <w:rFonts w:cstheme="minorHAnsi"/>
                <w:sz w:val="20"/>
                <w:szCs w:val="20"/>
              </w:rPr>
            </w:pPr>
            <w:r w:rsidRPr="00B91F3C">
              <w:rPr>
                <w:sz w:val="20"/>
                <w:szCs w:val="20"/>
              </w:rPr>
              <w:t xml:space="preserve">922 </w:t>
            </w:r>
          </w:p>
        </w:tc>
        <w:tc>
          <w:tcPr>
            <w:tcW w:w="1878" w:type="dxa"/>
            <w:shd w:val="clear" w:color="auto" w:fill="auto"/>
            <w:vAlign w:val="center"/>
          </w:tcPr>
          <w:p w14:paraId="7B6B9206" w14:textId="74C53EB0" w:rsidR="008A436D" w:rsidRPr="00B91F3C" w:rsidRDefault="006875A2" w:rsidP="000C20EA">
            <w:pPr>
              <w:spacing w:line="240" w:lineRule="auto"/>
              <w:jc w:val="right"/>
              <w:rPr>
                <w:rFonts w:cstheme="minorHAnsi"/>
                <w:sz w:val="20"/>
                <w:szCs w:val="20"/>
              </w:rPr>
            </w:pPr>
            <w:r w:rsidRPr="00B91F3C">
              <w:rPr>
                <w:sz w:val="20"/>
                <w:szCs w:val="20"/>
              </w:rPr>
              <w:t>1 041,20</w:t>
            </w:r>
          </w:p>
        </w:tc>
        <w:tc>
          <w:tcPr>
            <w:tcW w:w="1878" w:type="dxa"/>
            <w:shd w:val="clear" w:color="auto" w:fill="auto"/>
            <w:vAlign w:val="center"/>
          </w:tcPr>
          <w:p w14:paraId="68CDD734" w14:textId="0EC9BFAD" w:rsidR="008A436D" w:rsidRPr="00B91F3C" w:rsidRDefault="004752EA" w:rsidP="00C21AB7">
            <w:pPr>
              <w:spacing w:line="240" w:lineRule="auto"/>
              <w:jc w:val="center"/>
              <w:rPr>
                <w:rFonts w:cstheme="minorHAnsi"/>
                <w:sz w:val="20"/>
                <w:szCs w:val="20"/>
              </w:rPr>
            </w:pPr>
            <w:r w:rsidRPr="00B91F3C">
              <w:rPr>
                <w:sz w:val="20"/>
                <w:szCs w:val="20"/>
              </w:rPr>
              <w:t>5 %</w:t>
            </w:r>
          </w:p>
        </w:tc>
      </w:tr>
      <w:tr w:rsidR="008A436D" w:rsidRPr="00B91F3C" w14:paraId="5B95B2FC" w14:textId="77777777" w:rsidTr="007A3C24">
        <w:trPr>
          <w:trHeight w:val="566"/>
        </w:trPr>
        <w:tc>
          <w:tcPr>
            <w:tcW w:w="2122" w:type="dxa"/>
            <w:shd w:val="clear" w:color="auto" w:fill="auto"/>
          </w:tcPr>
          <w:p w14:paraId="30B4886E" w14:textId="77777777" w:rsidR="008A436D" w:rsidRPr="00B91F3C" w:rsidRDefault="008A436D" w:rsidP="00C21AB7">
            <w:pPr>
              <w:spacing w:line="240" w:lineRule="auto"/>
              <w:rPr>
                <w:rFonts w:cstheme="minorHAnsi"/>
                <w:b/>
                <w:bCs/>
                <w:sz w:val="20"/>
                <w:szCs w:val="20"/>
              </w:rPr>
            </w:pPr>
            <w:r w:rsidRPr="00B91F3C">
              <w:rPr>
                <w:b/>
                <w:sz w:val="20"/>
                <w:szCs w:val="20"/>
              </w:rPr>
              <w:t>Фонд для наименее развитых стран</w:t>
            </w:r>
          </w:p>
        </w:tc>
        <w:tc>
          <w:tcPr>
            <w:tcW w:w="1842" w:type="dxa"/>
            <w:shd w:val="clear" w:color="auto" w:fill="auto"/>
            <w:vAlign w:val="center"/>
          </w:tcPr>
          <w:p w14:paraId="18E2A347" w14:textId="19065D15" w:rsidR="008A436D" w:rsidRPr="00B91F3C" w:rsidRDefault="00BF5EF6" w:rsidP="000C20EA">
            <w:pPr>
              <w:spacing w:line="240" w:lineRule="auto"/>
              <w:jc w:val="right"/>
              <w:rPr>
                <w:rFonts w:cstheme="minorHAnsi"/>
                <w:sz w:val="20"/>
                <w:szCs w:val="20"/>
              </w:rPr>
            </w:pPr>
            <w:r w:rsidRPr="00B91F3C">
              <w:rPr>
                <w:sz w:val="20"/>
                <w:szCs w:val="20"/>
              </w:rPr>
              <w:t>29,80</w:t>
            </w:r>
          </w:p>
        </w:tc>
        <w:tc>
          <w:tcPr>
            <w:tcW w:w="1630" w:type="dxa"/>
            <w:shd w:val="clear" w:color="auto" w:fill="auto"/>
            <w:vAlign w:val="center"/>
          </w:tcPr>
          <w:p w14:paraId="499EA0ED" w14:textId="25852E66" w:rsidR="008A436D" w:rsidRPr="00B91F3C" w:rsidRDefault="005164C8" w:rsidP="000C20EA">
            <w:pPr>
              <w:spacing w:line="240" w:lineRule="auto"/>
              <w:jc w:val="right"/>
              <w:rPr>
                <w:rFonts w:cstheme="minorHAnsi"/>
                <w:sz w:val="20"/>
                <w:szCs w:val="20"/>
              </w:rPr>
            </w:pPr>
            <w:r w:rsidRPr="00B91F3C">
              <w:rPr>
                <w:sz w:val="20"/>
                <w:szCs w:val="20"/>
              </w:rPr>
              <w:t>149,60</w:t>
            </w:r>
          </w:p>
        </w:tc>
        <w:tc>
          <w:tcPr>
            <w:tcW w:w="1878" w:type="dxa"/>
            <w:shd w:val="clear" w:color="auto" w:fill="auto"/>
            <w:vAlign w:val="center"/>
          </w:tcPr>
          <w:p w14:paraId="735330D2" w14:textId="7B9A97FA" w:rsidR="008A436D" w:rsidRPr="00B91F3C" w:rsidRDefault="001B1C86" w:rsidP="000C20EA">
            <w:pPr>
              <w:spacing w:line="240" w:lineRule="auto"/>
              <w:jc w:val="right"/>
              <w:rPr>
                <w:rFonts w:cstheme="minorHAnsi"/>
                <w:sz w:val="20"/>
                <w:szCs w:val="20"/>
              </w:rPr>
            </w:pPr>
            <w:r w:rsidRPr="00B91F3C">
              <w:rPr>
                <w:sz w:val="20"/>
                <w:szCs w:val="20"/>
              </w:rPr>
              <w:t xml:space="preserve">179,40 </w:t>
            </w:r>
          </w:p>
        </w:tc>
        <w:tc>
          <w:tcPr>
            <w:tcW w:w="1878" w:type="dxa"/>
            <w:shd w:val="clear" w:color="auto" w:fill="auto"/>
            <w:vAlign w:val="center"/>
          </w:tcPr>
          <w:p w14:paraId="5984ED6F" w14:textId="7B2CFA2B" w:rsidR="008A436D" w:rsidRPr="00B91F3C" w:rsidRDefault="001229E6" w:rsidP="00C21AB7">
            <w:pPr>
              <w:spacing w:line="240" w:lineRule="auto"/>
              <w:jc w:val="center"/>
              <w:rPr>
                <w:rFonts w:cstheme="minorHAnsi"/>
                <w:sz w:val="20"/>
                <w:szCs w:val="20"/>
              </w:rPr>
            </w:pPr>
            <w:r w:rsidRPr="00B91F3C">
              <w:rPr>
                <w:sz w:val="20"/>
                <w:szCs w:val="20"/>
              </w:rPr>
              <w:t>1 %</w:t>
            </w:r>
          </w:p>
        </w:tc>
      </w:tr>
      <w:tr w:rsidR="008A436D" w:rsidRPr="00B91F3C" w14:paraId="77B576D1" w14:textId="77777777" w:rsidTr="007A3C24">
        <w:trPr>
          <w:trHeight w:val="602"/>
        </w:trPr>
        <w:tc>
          <w:tcPr>
            <w:tcW w:w="2122" w:type="dxa"/>
            <w:shd w:val="clear" w:color="auto" w:fill="auto"/>
          </w:tcPr>
          <w:p w14:paraId="19004A76" w14:textId="520D6237" w:rsidR="008A436D" w:rsidRPr="00B91F3C" w:rsidRDefault="008A436D" w:rsidP="00C21AB7">
            <w:pPr>
              <w:spacing w:line="240" w:lineRule="auto"/>
              <w:rPr>
                <w:rFonts w:cstheme="minorHAnsi"/>
                <w:b/>
                <w:bCs/>
                <w:sz w:val="20"/>
                <w:szCs w:val="20"/>
              </w:rPr>
            </w:pPr>
            <w:r w:rsidRPr="00B91F3C">
              <w:rPr>
                <w:b/>
                <w:sz w:val="20"/>
                <w:szCs w:val="20"/>
              </w:rPr>
              <w:t>Целевая область «Международные воды»</w:t>
            </w:r>
          </w:p>
        </w:tc>
        <w:tc>
          <w:tcPr>
            <w:tcW w:w="1842" w:type="dxa"/>
            <w:shd w:val="clear" w:color="auto" w:fill="auto"/>
            <w:vAlign w:val="center"/>
          </w:tcPr>
          <w:p w14:paraId="3B354D56" w14:textId="4CC027CF" w:rsidR="008A436D" w:rsidRPr="00B91F3C" w:rsidRDefault="00BF5EF6" w:rsidP="000C20EA">
            <w:pPr>
              <w:spacing w:line="240" w:lineRule="auto"/>
              <w:jc w:val="right"/>
              <w:rPr>
                <w:rFonts w:cstheme="minorHAnsi"/>
                <w:sz w:val="20"/>
                <w:szCs w:val="20"/>
              </w:rPr>
            </w:pPr>
            <w:r w:rsidRPr="00B91F3C">
              <w:rPr>
                <w:sz w:val="20"/>
                <w:szCs w:val="20"/>
              </w:rPr>
              <w:t>374,70</w:t>
            </w:r>
          </w:p>
        </w:tc>
        <w:tc>
          <w:tcPr>
            <w:tcW w:w="1630" w:type="dxa"/>
            <w:shd w:val="clear" w:color="auto" w:fill="auto"/>
            <w:vAlign w:val="center"/>
          </w:tcPr>
          <w:p w14:paraId="06E4A620" w14:textId="0151B41C" w:rsidR="008A436D" w:rsidRPr="00B91F3C" w:rsidRDefault="008A436D" w:rsidP="000C20EA">
            <w:pPr>
              <w:spacing w:line="240" w:lineRule="auto"/>
              <w:jc w:val="right"/>
              <w:rPr>
                <w:rFonts w:cstheme="minorHAnsi"/>
                <w:sz w:val="20"/>
                <w:szCs w:val="20"/>
              </w:rPr>
            </w:pPr>
            <w:r w:rsidRPr="00B91F3C">
              <w:rPr>
                <w:sz w:val="20"/>
                <w:szCs w:val="20"/>
              </w:rPr>
              <w:t>2 960,40</w:t>
            </w:r>
          </w:p>
        </w:tc>
        <w:tc>
          <w:tcPr>
            <w:tcW w:w="1878" w:type="dxa"/>
            <w:shd w:val="clear" w:color="auto" w:fill="auto"/>
            <w:vAlign w:val="center"/>
          </w:tcPr>
          <w:p w14:paraId="0CC5D0DA" w14:textId="1706D15D" w:rsidR="008A436D" w:rsidRPr="00B91F3C" w:rsidRDefault="00177686" w:rsidP="000C20EA">
            <w:pPr>
              <w:spacing w:line="240" w:lineRule="auto"/>
              <w:jc w:val="right"/>
              <w:rPr>
                <w:rFonts w:cstheme="minorHAnsi"/>
                <w:sz w:val="20"/>
                <w:szCs w:val="20"/>
              </w:rPr>
            </w:pPr>
            <w:r w:rsidRPr="00B91F3C">
              <w:rPr>
                <w:sz w:val="20"/>
                <w:szCs w:val="20"/>
              </w:rPr>
              <w:t xml:space="preserve">3 335,10 </w:t>
            </w:r>
          </w:p>
        </w:tc>
        <w:tc>
          <w:tcPr>
            <w:tcW w:w="1878" w:type="dxa"/>
            <w:shd w:val="clear" w:color="auto" w:fill="auto"/>
            <w:vAlign w:val="center"/>
          </w:tcPr>
          <w:p w14:paraId="1BE9E9A7" w14:textId="03A98E53" w:rsidR="008A436D" w:rsidRPr="00B91F3C" w:rsidRDefault="009D42EF" w:rsidP="00C21AB7">
            <w:pPr>
              <w:spacing w:line="240" w:lineRule="auto"/>
              <w:jc w:val="center"/>
              <w:rPr>
                <w:rFonts w:cstheme="minorHAnsi"/>
                <w:sz w:val="20"/>
                <w:szCs w:val="20"/>
              </w:rPr>
            </w:pPr>
            <w:r w:rsidRPr="00B91F3C">
              <w:rPr>
                <w:sz w:val="20"/>
                <w:szCs w:val="20"/>
              </w:rPr>
              <w:t>18 %</w:t>
            </w:r>
          </w:p>
        </w:tc>
      </w:tr>
      <w:tr w:rsidR="008A436D" w:rsidRPr="00B91F3C" w14:paraId="1EEF4268" w14:textId="77777777" w:rsidTr="007A3C24">
        <w:tc>
          <w:tcPr>
            <w:tcW w:w="2122" w:type="dxa"/>
            <w:shd w:val="clear" w:color="auto" w:fill="auto"/>
          </w:tcPr>
          <w:p w14:paraId="079C3740" w14:textId="77777777" w:rsidR="008A436D" w:rsidRPr="00B91F3C" w:rsidRDefault="008A436D" w:rsidP="00C21AB7">
            <w:pPr>
              <w:spacing w:line="240" w:lineRule="auto"/>
              <w:rPr>
                <w:rFonts w:cstheme="minorHAnsi"/>
                <w:b/>
                <w:bCs/>
                <w:sz w:val="20"/>
                <w:szCs w:val="20"/>
              </w:rPr>
            </w:pPr>
            <w:r w:rsidRPr="00B91F3C">
              <w:rPr>
                <w:b/>
                <w:sz w:val="20"/>
                <w:szCs w:val="20"/>
              </w:rPr>
              <w:t>Не связанные с грантами инструменты</w:t>
            </w:r>
          </w:p>
        </w:tc>
        <w:tc>
          <w:tcPr>
            <w:tcW w:w="1842" w:type="dxa"/>
            <w:shd w:val="clear" w:color="auto" w:fill="auto"/>
            <w:vAlign w:val="center"/>
          </w:tcPr>
          <w:p w14:paraId="0F004787" w14:textId="02C3FF54" w:rsidR="008A436D" w:rsidRPr="00B91F3C" w:rsidRDefault="006E5003" w:rsidP="000C20EA">
            <w:pPr>
              <w:spacing w:line="240" w:lineRule="auto"/>
              <w:jc w:val="right"/>
              <w:rPr>
                <w:rFonts w:cstheme="minorHAnsi"/>
                <w:sz w:val="20"/>
                <w:szCs w:val="20"/>
              </w:rPr>
            </w:pPr>
            <w:r w:rsidRPr="00B91F3C">
              <w:rPr>
                <w:sz w:val="20"/>
                <w:szCs w:val="20"/>
              </w:rPr>
              <w:t xml:space="preserve">64,90 </w:t>
            </w:r>
          </w:p>
        </w:tc>
        <w:tc>
          <w:tcPr>
            <w:tcW w:w="1630" w:type="dxa"/>
            <w:shd w:val="clear" w:color="auto" w:fill="auto"/>
            <w:vAlign w:val="center"/>
          </w:tcPr>
          <w:p w14:paraId="18C4BF24" w14:textId="389E84C7" w:rsidR="008A436D" w:rsidRPr="00B91F3C" w:rsidRDefault="008A436D" w:rsidP="000C20EA">
            <w:pPr>
              <w:spacing w:line="240" w:lineRule="auto"/>
              <w:jc w:val="right"/>
              <w:rPr>
                <w:rFonts w:cstheme="minorHAnsi"/>
                <w:sz w:val="20"/>
                <w:szCs w:val="20"/>
              </w:rPr>
            </w:pPr>
            <w:r w:rsidRPr="00B91F3C">
              <w:rPr>
                <w:sz w:val="20"/>
                <w:szCs w:val="20"/>
              </w:rPr>
              <w:t>1 332</w:t>
            </w:r>
          </w:p>
        </w:tc>
        <w:tc>
          <w:tcPr>
            <w:tcW w:w="1878" w:type="dxa"/>
            <w:shd w:val="clear" w:color="auto" w:fill="auto"/>
            <w:vAlign w:val="center"/>
          </w:tcPr>
          <w:p w14:paraId="4EE58B4A" w14:textId="36773A5D" w:rsidR="008A436D" w:rsidRPr="00B91F3C" w:rsidRDefault="00A10008" w:rsidP="000C20EA">
            <w:pPr>
              <w:spacing w:line="240" w:lineRule="auto"/>
              <w:jc w:val="right"/>
              <w:rPr>
                <w:rFonts w:cstheme="minorHAnsi"/>
                <w:sz w:val="20"/>
                <w:szCs w:val="20"/>
              </w:rPr>
            </w:pPr>
            <w:r w:rsidRPr="00B91F3C">
              <w:rPr>
                <w:sz w:val="20"/>
                <w:szCs w:val="20"/>
              </w:rPr>
              <w:t>1 396,90</w:t>
            </w:r>
          </w:p>
        </w:tc>
        <w:tc>
          <w:tcPr>
            <w:tcW w:w="1878" w:type="dxa"/>
            <w:shd w:val="clear" w:color="auto" w:fill="auto"/>
            <w:vAlign w:val="center"/>
          </w:tcPr>
          <w:p w14:paraId="571D6D19" w14:textId="523ADE85" w:rsidR="008A436D" w:rsidRPr="00B91F3C" w:rsidRDefault="00C6492E" w:rsidP="00C21AB7">
            <w:pPr>
              <w:spacing w:line="240" w:lineRule="auto"/>
              <w:jc w:val="center"/>
              <w:rPr>
                <w:rFonts w:cstheme="minorHAnsi"/>
                <w:sz w:val="20"/>
                <w:szCs w:val="20"/>
              </w:rPr>
            </w:pPr>
            <w:r w:rsidRPr="00B91F3C">
              <w:rPr>
                <w:sz w:val="20"/>
                <w:szCs w:val="20"/>
              </w:rPr>
              <w:t>8 %</w:t>
            </w:r>
          </w:p>
        </w:tc>
      </w:tr>
      <w:tr w:rsidR="008A436D" w:rsidRPr="00B91F3C" w14:paraId="4F2FCA46" w14:textId="77777777" w:rsidTr="007A3C24">
        <w:tc>
          <w:tcPr>
            <w:tcW w:w="2122" w:type="dxa"/>
            <w:shd w:val="clear" w:color="auto" w:fill="auto"/>
          </w:tcPr>
          <w:p w14:paraId="5BD35FF4" w14:textId="1BD645EF" w:rsidR="008A436D" w:rsidRPr="00B91F3C" w:rsidRDefault="008A436D" w:rsidP="00C21AB7">
            <w:pPr>
              <w:spacing w:line="240" w:lineRule="auto"/>
              <w:rPr>
                <w:rFonts w:cstheme="minorHAnsi"/>
                <w:b/>
                <w:bCs/>
                <w:sz w:val="20"/>
                <w:szCs w:val="20"/>
              </w:rPr>
            </w:pPr>
            <w:r w:rsidRPr="00B91F3C">
              <w:rPr>
                <w:b/>
                <w:sz w:val="20"/>
                <w:szCs w:val="20"/>
              </w:rPr>
              <w:t>Программа малых грантов</w:t>
            </w:r>
          </w:p>
        </w:tc>
        <w:tc>
          <w:tcPr>
            <w:tcW w:w="1842" w:type="dxa"/>
            <w:tcBorders>
              <w:bottom w:val="single" w:sz="4" w:space="0" w:color="auto"/>
            </w:tcBorders>
            <w:shd w:val="clear" w:color="auto" w:fill="auto"/>
            <w:vAlign w:val="center"/>
          </w:tcPr>
          <w:p w14:paraId="5714FB1E" w14:textId="0ACF9C0E" w:rsidR="008A436D" w:rsidRPr="00B91F3C" w:rsidRDefault="00153940" w:rsidP="000C20EA">
            <w:pPr>
              <w:spacing w:line="240" w:lineRule="auto"/>
              <w:jc w:val="right"/>
              <w:rPr>
                <w:rFonts w:cstheme="minorHAnsi"/>
                <w:sz w:val="20"/>
                <w:szCs w:val="20"/>
              </w:rPr>
            </w:pPr>
            <w:r w:rsidRPr="00B91F3C">
              <w:rPr>
                <w:sz w:val="20"/>
                <w:szCs w:val="20"/>
              </w:rPr>
              <w:t>123,08</w:t>
            </w:r>
          </w:p>
        </w:tc>
        <w:tc>
          <w:tcPr>
            <w:tcW w:w="1630" w:type="dxa"/>
            <w:tcBorders>
              <w:bottom w:val="single" w:sz="4" w:space="0" w:color="auto"/>
            </w:tcBorders>
            <w:shd w:val="clear" w:color="auto" w:fill="auto"/>
            <w:vAlign w:val="center"/>
          </w:tcPr>
          <w:p w14:paraId="5AF281D1" w14:textId="0E1A7853" w:rsidR="008A436D" w:rsidRPr="00B91F3C" w:rsidRDefault="00153940" w:rsidP="000C20EA">
            <w:pPr>
              <w:spacing w:line="240" w:lineRule="auto"/>
              <w:jc w:val="right"/>
              <w:rPr>
                <w:rFonts w:cstheme="minorHAnsi"/>
                <w:sz w:val="20"/>
                <w:szCs w:val="20"/>
              </w:rPr>
            </w:pPr>
            <w:r w:rsidRPr="00B91F3C">
              <w:rPr>
                <w:sz w:val="20"/>
                <w:szCs w:val="20"/>
              </w:rPr>
              <w:t>128</w:t>
            </w:r>
          </w:p>
        </w:tc>
        <w:tc>
          <w:tcPr>
            <w:tcW w:w="1878" w:type="dxa"/>
            <w:tcBorders>
              <w:bottom w:val="single" w:sz="4" w:space="0" w:color="auto"/>
            </w:tcBorders>
            <w:shd w:val="clear" w:color="auto" w:fill="auto"/>
            <w:vAlign w:val="center"/>
          </w:tcPr>
          <w:p w14:paraId="246B198D" w14:textId="178BEFBA" w:rsidR="008A436D" w:rsidRPr="00B91F3C" w:rsidRDefault="00F6512A" w:rsidP="000C20EA">
            <w:pPr>
              <w:spacing w:line="240" w:lineRule="auto"/>
              <w:jc w:val="right"/>
              <w:rPr>
                <w:rFonts w:cstheme="minorHAnsi"/>
                <w:sz w:val="20"/>
                <w:szCs w:val="20"/>
              </w:rPr>
            </w:pPr>
            <w:r w:rsidRPr="00B91F3C">
              <w:rPr>
                <w:sz w:val="20"/>
                <w:szCs w:val="20"/>
              </w:rPr>
              <w:t>251,08</w:t>
            </w:r>
          </w:p>
        </w:tc>
        <w:tc>
          <w:tcPr>
            <w:tcW w:w="1878" w:type="dxa"/>
            <w:tcBorders>
              <w:bottom w:val="single" w:sz="4" w:space="0" w:color="auto"/>
            </w:tcBorders>
            <w:shd w:val="clear" w:color="auto" w:fill="auto"/>
            <w:vAlign w:val="center"/>
          </w:tcPr>
          <w:p w14:paraId="3BBFFBE8" w14:textId="0DE9C697" w:rsidR="008A436D" w:rsidRPr="00B91F3C" w:rsidRDefault="00F6512A" w:rsidP="00C21AB7">
            <w:pPr>
              <w:spacing w:line="240" w:lineRule="auto"/>
              <w:jc w:val="center"/>
              <w:rPr>
                <w:rFonts w:cstheme="minorHAnsi"/>
                <w:sz w:val="20"/>
                <w:szCs w:val="20"/>
              </w:rPr>
            </w:pPr>
            <w:r w:rsidRPr="00B91F3C">
              <w:rPr>
                <w:sz w:val="20"/>
                <w:szCs w:val="20"/>
              </w:rPr>
              <w:t>1 %</w:t>
            </w:r>
          </w:p>
        </w:tc>
      </w:tr>
      <w:tr w:rsidR="00CB0C04" w:rsidRPr="00B91F3C" w14:paraId="417A0A9B" w14:textId="77777777" w:rsidTr="007A3C24">
        <w:tc>
          <w:tcPr>
            <w:tcW w:w="2122" w:type="dxa"/>
            <w:shd w:val="clear" w:color="auto" w:fill="auto"/>
          </w:tcPr>
          <w:p w14:paraId="776FB4D8" w14:textId="24C086FC" w:rsidR="00CB0C04" w:rsidRPr="00B91F3C" w:rsidRDefault="00CB0C04" w:rsidP="00C21AB7">
            <w:pPr>
              <w:spacing w:line="240" w:lineRule="auto"/>
              <w:rPr>
                <w:rFonts w:cstheme="minorHAnsi"/>
                <w:b/>
                <w:bCs/>
                <w:i/>
                <w:iCs/>
                <w:sz w:val="20"/>
                <w:szCs w:val="20"/>
              </w:rPr>
            </w:pPr>
            <w:r w:rsidRPr="00B91F3C">
              <w:rPr>
                <w:b/>
                <w:i/>
                <w:sz w:val="20"/>
                <w:szCs w:val="20"/>
              </w:rPr>
              <w:lastRenderedPageBreak/>
              <w:t>Всего (млрд долл. США, %)</w:t>
            </w:r>
          </w:p>
        </w:tc>
        <w:tc>
          <w:tcPr>
            <w:tcW w:w="1842" w:type="dxa"/>
            <w:tcBorders>
              <w:top w:val="single" w:sz="4" w:space="0" w:color="auto"/>
              <w:left w:val="nil"/>
              <w:bottom w:val="single" w:sz="4" w:space="0" w:color="auto"/>
              <w:right w:val="single" w:sz="4" w:space="0" w:color="auto"/>
            </w:tcBorders>
            <w:shd w:val="clear" w:color="auto" w:fill="auto"/>
            <w:vAlign w:val="center"/>
          </w:tcPr>
          <w:p w14:paraId="1379C55F" w14:textId="0E563527" w:rsidR="00343515" w:rsidRPr="00B91F3C" w:rsidRDefault="00BC0D28" w:rsidP="00441E1C">
            <w:pPr>
              <w:spacing w:line="240" w:lineRule="auto"/>
              <w:jc w:val="right"/>
              <w:rPr>
                <w:rFonts w:cstheme="minorHAnsi"/>
                <w:color w:val="000000"/>
                <w:sz w:val="20"/>
                <w:szCs w:val="20"/>
              </w:rPr>
            </w:pPr>
            <w:r w:rsidRPr="00B91F3C">
              <w:rPr>
                <w:color w:val="000000"/>
                <w:sz w:val="20"/>
                <w:szCs w:val="20"/>
              </w:rPr>
              <w:t>2,04</w:t>
            </w:r>
          </w:p>
        </w:tc>
        <w:tc>
          <w:tcPr>
            <w:tcW w:w="1630" w:type="dxa"/>
            <w:tcBorders>
              <w:top w:val="single" w:sz="4" w:space="0" w:color="auto"/>
              <w:left w:val="single" w:sz="4" w:space="0" w:color="auto"/>
              <w:bottom w:val="single" w:sz="4" w:space="0" w:color="auto"/>
              <w:right w:val="single" w:sz="4" w:space="0" w:color="auto"/>
            </w:tcBorders>
            <w:shd w:val="clear" w:color="auto" w:fill="auto"/>
            <w:vAlign w:val="center"/>
          </w:tcPr>
          <w:p w14:paraId="41958D93" w14:textId="068C388A" w:rsidR="00073896" w:rsidRPr="00B91F3C" w:rsidRDefault="0076267E" w:rsidP="00441E1C">
            <w:pPr>
              <w:spacing w:line="240" w:lineRule="auto"/>
              <w:jc w:val="right"/>
              <w:rPr>
                <w:rFonts w:cstheme="minorHAnsi"/>
                <w:color w:val="000000"/>
                <w:sz w:val="20"/>
                <w:szCs w:val="20"/>
              </w:rPr>
            </w:pPr>
            <w:r w:rsidRPr="00B91F3C">
              <w:rPr>
                <w:color w:val="000000"/>
                <w:sz w:val="20"/>
                <w:szCs w:val="20"/>
              </w:rPr>
              <w:t>16,51</w:t>
            </w:r>
          </w:p>
        </w:tc>
        <w:tc>
          <w:tcPr>
            <w:tcW w:w="1878" w:type="dxa"/>
            <w:tcBorders>
              <w:top w:val="single" w:sz="4" w:space="0" w:color="auto"/>
              <w:left w:val="single" w:sz="4" w:space="0" w:color="auto"/>
              <w:bottom w:val="single" w:sz="4" w:space="0" w:color="auto"/>
              <w:right w:val="single" w:sz="4" w:space="0" w:color="auto"/>
            </w:tcBorders>
            <w:shd w:val="clear" w:color="auto" w:fill="auto"/>
            <w:vAlign w:val="center"/>
          </w:tcPr>
          <w:p w14:paraId="216525DC" w14:textId="4C61BB38" w:rsidR="00073896" w:rsidRPr="00B91F3C" w:rsidRDefault="00B56343" w:rsidP="00441E1C">
            <w:pPr>
              <w:spacing w:line="240" w:lineRule="auto"/>
              <w:jc w:val="right"/>
              <w:rPr>
                <w:rFonts w:cstheme="minorHAnsi"/>
                <w:color w:val="000000"/>
                <w:sz w:val="20"/>
                <w:szCs w:val="20"/>
              </w:rPr>
            </w:pPr>
            <w:r w:rsidRPr="00B91F3C">
              <w:rPr>
                <w:color w:val="000000"/>
                <w:sz w:val="20"/>
                <w:szCs w:val="20"/>
              </w:rPr>
              <w:t>18,55</w:t>
            </w:r>
          </w:p>
        </w:tc>
        <w:tc>
          <w:tcPr>
            <w:tcW w:w="1878" w:type="dxa"/>
            <w:tcBorders>
              <w:top w:val="single" w:sz="4" w:space="0" w:color="auto"/>
              <w:left w:val="single" w:sz="4" w:space="0" w:color="auto"/>
              <w:bottom w:val="single" w:sz="4" w:space="0" w:color="auto"/>
            </w:tcBorders>
            <w:shd w:val="clear" w:color="auto" w:fill="auto"/>
            <w:vAlign w:val="center"/>
          </w:tcPr>
          <w:p w14:paraId="406A1A26" w14:textId="3E130FDA" w:rsidR="00CB0C04" w:rsidRPr="00B91F3C" w:rsidRDefault="00247D3C" w:rsidP="00C21AB7">
            <w:pPr>
              <w:spacing w:line="240" w:lineRule="auto"/>
              <w:jc w:val="center"/>
              <w:rPr>
                <w:rFonts w:cstheme="minorHAnsi"/>
                <w:b/>
                <w:bCs/>
                <w:sz w:val="20"/>
                <w:szCs w:val="20"/>
              </w:rPr>
            </w:pPr>
            <w:r w:rsidRPr="00B91F3C">
              <w:rPr>
                <w:b/>
                <w:sz w:val="20"/>
                <w:szCs w:val="20"/>
              </w:rPr>
              <w:t>100 %</w:t>
            </w:r>
          </w:p>
        </w:tc>
      </w:tr>
    </w:tbl>
    <w:p w14:paraId="7C2851E2" w14:textId="77777777" w:rsidR="00EA5A9D" w:rsidRPr="00B91F3C" w:rsidRDefault="00EA5A9D" w:rsidP="00C21AB7">
      <w:pPr>
        <w:rPr>
          <w:sz w:val="24"/>
          <w:szCs w:val="24"/>
        </w:rPr>
      </w:pPr>
    </w:p>
    <w:p w14:paraId="05DC9C00" w14:textId="77777777" w:rsidR="006064E7" w:rsidRPr="00B91F3C" w:rsidRDefault="006064E7" w:rsidP="00C21AB7">
      <w:pPr>
        <w:rPr>
          <w:sz w:val="16"/>
          <w:szCs w:val="16"/>
        </w:rPr>
      </w:pPr>
    </w:p>
    <w:p w14:paraId="52B4B4F0" w14:textId="77777777" w:rsidR="006064E7" w:rsidRPr="00B91F3C" w:rsidRDefault="006064E7" w:rsidP="008E080F">
      <w:pPr>
        <w:pStyle w:val="Titre1"/>
      </w:pPr>
      <w:r w:rsidRPr="00B91F3C">
        <w:br w:type="page"/>
      </w:r>
    </w:p>
    <w:p w14:paraId="1568D960" w14:textId="2ECC0E17" w:rsidR="00D145BB" w:rsidRPr="00B91F3C" w:rsidRDefault="00D145BB" w:rsidP="008E080F">
      <w:pPr>
        <w:pStyle w:val="Titre1"/>
        <w:numPr>
          <w:ilvl w:val="0"/>
          <w:numId w:val="13"/>
        </w:numPr>
      </w:pPr>
      <w:bookmarkStart w:id="42" w:name="_Toc165893305"/>
      <w:bookmarkStart w:id="43" w:name="_Toc165899240"/>
      <w:r w:rsidRPr="00B91F3C">
        <w:lastRenderedPageBreak/>
        <w:t>Использование ресурсов в программах ГЭФ-8</w:t>
      </w:r>
      <w:bookmarkEnd w:id="42"/>
      <w:bookmarkEnd w:id="43"/>
      <w:r w:rsidRPr="00B91F3C">
        <w:t xml:space="preserve"> </w:t>
      </w:r>
    </w:p>
    <w:p w14:paraId="7B240CCD" w14:textId="41B8A916" w:rsidR="00510704" w:rsidRPr="00B91F3C" w:rsidRDefault="00510704" w:rsidP="004E0A93">
      <w:pPr>
        <w:pStyle w:val="Titre2"/>
      </w:pPr>
      <w:bookmarkStart w:id="44" w:name="_Toc165893306"/>
      <w:bookmarkStart w:id="45" w:name="_Toc165899241"/>
      <w:r w:rsidRPr="00B91F3C">
        <w:t xml:space="preserve">Распределение </w:t>
      </w:r>
      <w:r w:rsidR="00D41693" w:rsidRPr="00B91F3C">
        <w:t>ресурсов</w:t>
      </w:r>
      <w:r w:rsidRPr="00B91F3C">
        <w:t xml:space="preserve"> на программы в рамках целевой области «Биоразнообразие» с 1 июля 2022 года по 29 февраля 2024 года (первые 20 месяцев ГЭФ-8)</w:t>
      </w:r>
      <w:bookmarkEnd w:id="44"/>
      <w:bookmarkEnd w:id="45"/>
    </w:p>
    <w:p w14:paraId="4C56B31A" w14:textId="291F7714" w:rsidR="00110516" w:rsidRPr="00B91F3C" w:rsidRDefault="00CD4156" w:rsidP="007655D1">
      <w:pPr>
        <w:pStyle w:val="Paragraphedeliste"/>
        <w:rPr>
          <w:rFonts w:eastAsia="Calibri"/>
          <w:color w:val="000000"/>
        </w:rPr>
      </w:pPr>
      <w:r w:rsidRPr="00B91F3C">
        <w:t xml:space="preserve">Инвестиции ГЭФ-8 в целевую область «Биоразнообразие» и связанное с ними выделение средств в рамках комплексных программ (КП) и соответствующих целевых областей ГЭФ оказывают поддержку осуществлению Куньминско-Монреальской глобальной рамочной программы в области биоразнообразия (КМГПБ).  </w:t>
      </w:r>
    </w:p>
    <w:p w14:paraId="6637A007" w14:textId="13B8D023" w:rsidR="00CD4156" w:rsidRPr="00B91F3C" w:rsidRDefault="00CD4156" w:rsidP="007655D1">
      <w:pPr>
        <w:pStyle w:val="Paragraphedeliste"/>
        <w:rPr>
          <w:rFonts w:eastAsia="Calibri"/>
          <w:color w:val="000000"/>
        </w:rPr>
      </w:pPr>
      <w:r w:rsidRPr="00B91F3C">
        <w:t xml:space="preserve">Стратегия целевой области «Биоразнообразие» ГЭФ-8 отвечает целям КБР и протоколов к ней, а также значимым для ГЭФ целям конвенций, связанных с биоразнообразием. </w:t>
      </w:r>
      <w:r w:rsidRPr="00B91F3C">
        <w:rPr>
          <w:color w:val="000000"/>
        </w:rPr>
        <w:t xml:space="preserve">Цель стратегии целевой области «Биоразнообразие» ГЭФ-8 заключается в </w:t>
      </w:r>
      <w:r w:rsidRPr="00B91F3C">
        <w:rPr>
          <w:i/>
          <w:iCs/>
          <w:color w:val="000000"/>
        </w:rPr>
        <w:t>обеспечении сохранения, устойчивого использования и восстановления биоразнообразия, имеющего глобальное значение</w:t>
      </w:r>
      <w:r w:rsidRPr="00B91F3C">
        <w:rPr>
          <w:color w:val="000000"/>
        </w:rPr>
        <w:t xml:space="preserve">. </w:t>
      </w:r>
    </w:p>
    <w:p w14:paraId="7F0319A3" w14:textId="697B7F16" w:rsidR="00CD4156" w:rsidRPr="00B91F3C" w:rsidRDefault="00CD4156" w:rsidP="007655D1">
      <w:pPr>
        <w:pStyle w:val="Paragraphedeliste"/>
      </w:pPr>
      <w:r w:rsidRPr="00B91F3C">
        <w:t>Для достижения этой конечной цели стратегия способствует выполнению следующих трех задач:</w:t>
      </w:r>
    </w:p>
    <w:p w14:paraId="34FB6E0A" w14:textId="77777777" w:rsidR="00CD4156" w:rsidRPr="00B91F3C" w:rsidRDefault="00CD4156" w:rsidP="009F4B69">
      <w:pPr>
        <w:numPr>
          <w:ilvl w:val="0"/>
          <w:numId w:val="6"/>
        </w:numPr>
        <w:spacing w:before="120" w:after="120" w:line="240" w:lineRule="auto"/>
        <w:ind w:left="1260" w:hanging="540"/>
        <w:jc w:val="both"/>
        <w:rPr>
          <w:rFonts w:eastAsia="Calibri" w:cstheme="minorHAnsi"/>
          <w:sz w:val="24"/>
          <w:szCs w:val="24"/>
        </w:rPr>
      </w:pPr>
      <w:r w:rsidRPr="00B91F3C">
        <w:rPr>
          <w:sz w:val="24"/>
        </w:rPr>
        <w:t>Активизация процессов сохранения, устойчивого использования и восстановления природных экосистем.</w:t>
      </w:r>
    </w:p>
    <w:p w14:paraId="589E4F7F" w14:textId="77777777" w:rsidR="00CD4156" w:rsidRPr="00B91F3C" w:rsidRDefault="00CD4156" w:rsidP="009F4B69">
      <w:pPr>
        <w:numPr>
          <w:ilvl w:val="0"/>
          <w:numId w:val="6"/>
        </w:numPr>
        <w:spacing w:before="120" w:after="120" w:line="240" w:lineRule="auto"/>
        <w:ind w:left="1260" w:hanging="540"/>
        <w:jc w:val="both"/>
        <w:rPr>
          <w:rFonts w:eastAsia="Calibri" w:cstheme="minorHAnsi"/>
          <w:sz w:val="24"/>
          <w:szCs w:val="24"/>
        </w:rPr>
      </w:pPr>
      <w:r w:rsidRPr="00B91F3C">
        <w:rPr>
          <w:sz w:val="24"/>
        </w:rPr>
        <w:t xml:space="preserve">Эффективное осуществление </w:t>
      </w:r>
      <w:proofErr w:type="spellStart"/>
      <w:r w:rsidRPr="00B91F3C">
        <w:rPr>
          <w:sz w:val="24"/>
        </w:rPr>
        <w:t>Картахенского</w:t>
      </w:r>
      <w:proofErr w:type="spellEnd"/>
      <w:r w:rsidRPr="00B91F3C">
        <w:rPr>
          <w:sz w:val="24"/>
        </w:rPr>
        <w:t xml:space="preserve"> и Нагойского протоколов.</w:t>
      </w:r>
    </w:p>
    <w:p w14:paraId="07A4B553" w14:textId="6ACBCCD0" w:rsidR="002E58B5" w:rsidRPr="00B91F3C" w:rsidRDefault="00CD4156" w:rsidP="009F4B69">
      <w:pPr>
        <w:keepNext/>
        <w:numPr>
          <w:ilvl w:val="0"/>
          <w:numId w:val="6"/>
        </w:numPr>
        <w:spacing w:before="120" w:after="120" w:line="240" w:lineRule="auto"/>
        <w:ind w:left="1260" w:hanging="540"/>
        <w:jc w:val="both"/>
        <w:rPr>
          <w:rFonts w:eastAsia="Calibri" w:cstheme="minorHAnsi"/>
          <w:b/>
          <w:sz w:val="24"/>
          <w:szCs w:val="24"/>
        </w:rPr>
      </w:pPr>
      <w:r w:rsidRPr="00B91F3C">
        <w:rPr>
          <w:sz w:val="24"/>
        </w:rPr>
        <w:t>Активизация мобилизации внутренних ресурсов на нужды биоразнообразия.</w:t>
      </w:r>
      <w:r w:rsidRPr="00B91F3C">
        <w:rPr>
          <w:b/>
          <w:sz w:val="24"/>
        </w:rPr>
        <w:t xml:space="preserve"> </w:t>
      </w:r>
    </w:p>
    <w:p w14:paraId="62132EF0" w14:textId="3251D7BA" w:rsidR="00CD2D05" w:rsidRPr="00B91F3C" w:rsidRDefault="005D666B" w:rsidP="007655D1">
      <w:pPr>
        <w:pStyle w:val="Paragraphedeliste"/>
      </w:pPr>
      <w:r w:rsidRPr="00B91F3C">
        <w:t xml:space="preserve">В период ГЭФ-8 на целевую область «Биоразнообразие» выделяется 1 918,8 млн долл. США, из которых 1 452,9 млн долл. США предоставляются странам для сохранения биоразнообразия через Систему прозрачного распределения ресурсов (СПРР), </w:t>
      </w:r>
      <w:r w:rsidR="008B28C5" w:rsidRPr="00B91F3C">
        <w:t>причем</w:t>
      </w:r>
      <w:r w:rsidRPr="00B91F3C">
        <w:t xml:space="preserve"> 641 млн долл. США </w:t>
      </w:r>
      <w:r w:rsidR="008B28C5" w:rsidRPr="00B91F3C">
        <w:t xml:space="preserve">из этой суммы </w:t>
      </w:r>
      <w:r w:rsidRPr="00B91F3C">
        <w:t>было условно выделено на поддержку комплексных программ. В таблице 4 ниже приводится сводная информация об использовании 60% ресурсов ГЭФ (или 1 158,4 млн долл. США), которое было обеспечено в рамках целевой области «Биоразноо</w:t>
      </w:r>
      <w:r w:rsidR="008B28C5" w:rsidRPr="00B91F3C">
        <w:t xml:space="preserve">бразие» за отчетный период. </w:t>
      </w:r>
      <w:r w:rsidRPr="00B91F3C">
        <w:t xml:space="preserve">Иными словами, 60% средств на биоразнообразие было распределено по программам в течение первых 20 месяцев 48-месячнного периода ГЭФ-8 (42%), что свидетельствует о своевременном распределении </w:t>
      </w:r>
      <w:r w:rsidR="008B28C5" w:rsidRPr="00B91F3C">
        <w:t xml:space="preserve">средств, в частности через КП. </w:t>
      </w:r>
      <w:r w:rsidRPr="00B91F3C">
        <w:t>На сегодняшний день Совет ГЭФ запрограммировал средства на десять из одиннадцати КП.</w:t>
      </w:r>
    </w:p>
    <w:p w14:paraId="31456584" w14:textId="77E48BA9" w:rsidR="005D666B" w:rsidRPr="00B91F3C" w:rsidRDefault="005D666B" w:rsidP="007655D1">
      <w:pPr>
        <w:pStyle w:val="Paragraphedeliste"/>
      </w:pPr>
      <w:r w:rsidRPr="00B91F3C">
        <w:t xml:space="preserve">Эти средства </w:t>
      </w:r>
      <w:r w:rsidR="008B28C5" w:rsidRPr="00B91F3C">
        <w:t xml:space="preserve">были </w:t>
      </w:r>
      <w:r w:rsidRPr="00B91F3C">
        <w:t>направлены на финансирование 15 проектов в целевой области «Биоразнообразие» и 24 проектов многоцелевой направленности, 18 програ</w:t>
      </w:r>
      <w:r w:rsidR="008B28C5" w:rsidRPr="00B91F3C">
        <w:t xml:space="preserve">ммных подходов, включая 10 КП. </w:t>
      </w:r>
      <w:r w:rsidRPr="00B91F3C">
        <w:t xml:space="preserve">Эти КП включали в </w:t>
      </w:r>
      <w:r w:rsidR="008B28C5" w:rsidRPr="00B91F3C">
        <w:t>себя 149 подчиненных проектов. Указанные</w:t>
      </w:r>
      <w:r w:rsidRPr="00B91F3C">
        <w:t xml:space="preserve"> инвестиции позволили оказать помощь девяносто семи (97) странам. Данные показатели включают оплату услуг учреждений и гранты</w:t>
      </w:r>
      <w:r w:rsidR="008B28C5" w:rsidRPr="00B91F3C">
        <w:t xml:space="preserve"> на подготовку проектов (ГПП). </w:t>
      </w:r>
      <w:r w:rsidRPr="00B91F3C">
        <w:t xml:space="preserve">Полный перечень этих проектов приводится в Приложении 2 к настоящему докладу. </w:t>
      </w:r>
    </w:p>
    <w:p w14:paraId="7246FF0F" w14:textId="77777777" w:rsidR="006064E7" w:rsidRPr="00B91F3C" w:rsidRDefault="006064E7" w:rsidP="005D666B">
      <w:pPr>
        <w:spacing w:before="240" w:line="240" w:lineRule="auto"/>
        <w:jc w:val="center"/>
        <w:rPr>
          <w:b/>
          <w:sz w:val="24"/>
          <w:szCs w:val="24"/>
        </w:rPr>
      </w:pPr>
      <w:r w:rsidRPr="00B91F3C">
        <w:br w:type="page"/>
      </w:r>
    </w:p>
    <w:p w14:paraId="11192887" w14:textId="614D0FFC" w:rsidR="005D666B" w:rsidRPr="00B91F3C" w:rsidRDefault="006064E7" w:rsidP="00351AAB">
      <w:pPr>
        <w:pStyle w:val="Lgende"/>
      </w:pPr>
      <w:bookmarkStart w:id="46" w:name="_Toc165894853"/>
      <w:r w:rsidRPr="00B91F3C">
        <w:lastRenderedPageBreak/>
        <w:t>Таблиц</w:t>
      </w:r>
      <w:r w:rsidR="00D41693" w:rsidRPr="00B91F3C">
        <w:t xml:space="preserve">а </w:t>
      </w:r>
      <w:r w:rsidR="0012399A" w:rsidRPr="00B91F3C">
        <w:t>4</w:t>
      </w:r>
      <w:r w:rsidR="00D41693" w:rsidRPr="00B91F3C">
        <w:t xml:space="preserve">. </w:t>
      </w:r>
      <w:r w:rsidRPr="00B91F3C">
        <w:t>Сводная информация об использовании ресурсов в программах целевой области «Биоразнообразие» ГЭФ-8 за отчетный период (1 июля 2022 года - 29 февраля 2024 года)</w:t>
      </w:r>
      <w:r w:rsidR="005D666B" w:rsidRPr="00B91F3C">
        <w:rPr>
          <w:vertAlign w:val="superscript"/>
        </w:rPr>
        <w:footnoteReference w:id="12"/>
      </w:r>
      <w:bookmarkEnd w:id="46"/>
    </w:p>
    <w:tbl>
      <w:tblPr>
        <w:tblW w:w="9680" w:type="dxa"/>
        <w:tblLook w:val="04A0" w:firstRow="1" w:lastRow="0" w:firstColumn="1" w:lastColumn="0" w:noHBand="0" w:noVBand="1"/>
      </w:tblPr>
      <w:tblGrid>
        <w:gridCol w:w="3380"/>
        <w:gridCol w:w="2100"/>
        <w:gridCol w:w="2100"/>
        <w:gridCol w:w="2100"/>
      </w:tblGrid>
      <w:tr w:rsidR="00B060FA" w:rsidRPr="00B91F3C" w14:paraId="2B997880" w14:textId="77777777" w:rsidTr="00B060FA">
        <w:trPr>
          <w:trHeight w:val="293"/>
        </w:trPr>
        <w:tc>
          <w:tcPr>
            <w:tcW w:w="3380" w:type="dxa"/>
            <w:tcBorders>
              <w:top w:val="single" w:sz="12" w:space="0" w:color="008000"/>
              <w:left w:val="nil"/>
              <w:bottom w:val="nil"/>
              <w:right w:val="nil"/>
            </w:tcBorders>
            <w:shd w:val="clear" w:color="auto" w:fill="auto"/>
            <w:vAlign w:val="center"/>
            <w:hideMark/>
          </w:tcPr>
          <w:p w14:paraId="668BF42A" w14:textId="77777777" w:rsidR="00B060FA" w:rsidRPr="00B91F3C" w:rsidRDefault="00B060FA" w:rsidP="00B060FA">
            <w:pPr>
              <w:spacing w:line="240" w:lineRule="auto"/>
              <w:rPr>
                <w:rFonts w:ascii="Calibri" w:eastAsia="Times New Roman" w:hAnsi="Calibri" w:cs="Calibri"/>
                <w:b/>
                <w:bCs/>
                <w:color w:val="000000"/>
              </w:rPr>
            </w:pPr>
            <w:bookmarkStart w:id="47" w:name="_Hlk160528112"/>
            <w:bookmarkStart w:id="48" w:name="_Toc102227399"/>
            <w:r w:rsidRPr="00B91F3C">
              <w:rPr>
                <w:rFonts w:ascii="Calibri" w:hAnsi="Calibri"/>
                <w:b/>
                <w:color w:val="000000"/>
              </w:rPr>
              <w:t> </w:t>
            </w:r>
          </w:p>
        </w:tc>
        <w:tc>
          <w:tcPr>
            <w:tcW w:w="2100" w:type="dxa"/>
            <w:tcBorders>
              <w:top w:val="single" w:sz="12" w:space="0" w:color="008000"/>
              <w:left w:val="nil"/>
              <w:bottom w:val="nil"/>
              <w:right w:val="nil"/>
            </w:tcBorders>
            <w:shd w:val="clear" w:color="auto" w:fill="auto"/>
            <w:vAlign w:val="center"/>
            <w:hideMark/>
          </w:tcPr>
          <w:p w14:paraId="2222EF50" w14:textId="77777777" w:rsidR="00B060FA" w:rsidRPr="00B91F3C" w:rsidRDefault="00B060FA" w:rsidP="00B060FA">
            <w:pPr>
              <w:spacing w:line="240" w:lineRule="auto"/>
              <w:rPr>
                <w:rFonts w:ascii="Calibri" w:eastAsia="Times New Roman" w:hAnsi="Calibri" w:cs="Calibri"/>
                <w:b/>
                <w:bCs/>
                <w:color w:val="000000"/>
              </w:rPr>
            </w:pPr>
            <w:r w:rsidRPr="00B91F3C">
              <w:rPr>
                <w:rFonts w:ascii="Calibri" w:hAnsi="Calibri"/>
                <w:b/>
                <w:color w:val="000000"/>
              </w:rPr>
              <w:t>ГЭФ-8</w:t>
            </w:r>
          </w:p>
        </w:tc>
        <w:tc>
          <w:tcPr>
            <w:tcW w:w="2100" w:type="dxa"/>
            <w:tcBorders>
              <w:top w:val="single" w:sz="12" w:space="0" w:color="008000"/>
              <w:left w:val="nil"/>
              <w:bottom w:val="nil"/>
              <w:right w:val="nil"/>
            </w:tcBorders>
            <w:shd w:val="clear" w:color="auto" w:fill="auto"/>
            <w:vAlign w:val="center"/>
            <w:hideMark/>
          </w:tcPr>
          <w:p w14:paraId="314393CD" w14:textId="77777777" w:rsidR="00B060FA" w:rsidRPr="00B91F3C" w:rsidRDefault="00B060FA" w:rsidP="00B060FA">
            <w:pPr>
              <w:spacing w:line="240" w:lineRule="auto"/>
              <w:rPr>
                <w:rFonts w:ascii="Calibri" w:eastAsia="Times New Roman" w:hAnsi="Calibri" w:cs="Calibri"/>
                <w:b/>
                <w:bCs/>
                <w:color w:val="000000"/>
              </w:rPr>
            </w:pPr>
            <w:r w:rsidRPr="00B91F3C">
              <w:rPr>
                <w:rFonts w:ascii="Calibri" w:hAnsi="Calibri"/>
                <w:b/>
                <w:color w:val="000000"/>
              </w:rPr>
              <w:t>ГЭФ-8</w:t>
            </w:r>
          </w:p>
        </w:tc>
        <w:tc>
          <w:tcPr>
            <w:tcW w:w="2100" w:type="dxa"/>
            <w:tcBorders>
              <w:top w:val="single" w:sz="12" w:space="0" w:color="008000"/>
              <w:left w:val="nil"/>
              <w:bottom w:val="nil"/>
              <w:right w:val="nil"/>
            </w:tcBorders>
            <w:shd w:val="clear" w:color="auto" w:fill="auto"/>
            <w:vAlign w:val="center"/>
            <w:hideMark/>
          </w:tcPr>
          <w:p w14:paraId="0889DABF" w14:textId="77777777" w:rsidR="00B060FA" w:rsidRPr="00B91F3C" w:rsidRDefault="00B060FA" w:rsidP="00B060FA">
            <w:pPr>
              <w:spacing w:line="240" w:lineRule="auto"/>
              <w:rPr>
                <w:rFonts w:ascii="Calibri" w:eastAsia="Times New Roman" w:hAnsi="Calibri" w:cs="Calibri"/>
                <w:b/>
                <w:bCs/>
                <w:color w:val="000000"/>
              </w:rPr>
            </w:pPr>
            <w:r w:rsidRPr="00B91F3C">
              <w:rPr>
                <w:rFonts w:ascii="Calibri" w:hAnsi="Calibri"/>
                <w:b/>
                <w:color w:val="000000"/>
              </w:rPr>
              <w:t>ГЭФ-8</w:t>
            </w:r>
          </w:p>
        </w:tc>
      </w:tr>
      <w:tr w:rsidR="00B060FA" w:rsidRPr="00B91F3C" w14:paraId="395B220A" w14:textId="77777777" w:rsidTr="00B060FA">
        <w:trPr>
          <w:trHeight w:val="285"/>
        </w:trPr>
        <w:tc>
          <w:tcPr>
            <w:tcW w:w="3380" w:type="dxa"/>
            <w:tcBorders>
              <w:top w:val="nil"/>
              <w:left w:val="nil"/>
              <w:bottom w:val="nil"/>
              <w:right w:val="nil"/>
            </w:tcBorders>
            <w:shd w:val="clear" w:color="auto" w:fill="auto"/>
            <w:vAlign w:val="center"/>
            <w:hideMark/>
          </w:tcPr>
          <w:p w14:paraId="39B0994C" w14:textId="77777777" w:rsidR="00B060FA" w:rsidRPr="00B91F3C" w:rsidRDefault="00B060FA" w:rsidP="00B060FA">
            <w:pPr>
              <w:spacing w:line="240" w:lineRule="auto"/>
              <w:rPr>
                <w:rFonts w:eastAsia="Times New Roman" w:cstheme="minorHAnsi"/>
                <w:b/>
                <w:bCs/>
                <w:color w:val="000000"/>
              </w:rPr>
            </w:pPr>
            <w:r w:rsidRPr="00B91F3C">
              <w:rPr>
                <w:b/>
                <w:color w:val="000000"/>
              </w:rPr>
              <w:t>Целевая область «Биоразнообразие»</w:t>
            </w:r>
          </w:p>
        </w:tc>
        <w:tc>
          <w:tcPr>
            <w:tcW w:w="2100" w:type="dxa"/>
            <w:tcBorders>
              <w:top w:val="nil"/>
              <w:left w:val="nil"/>
              <w:bottom w:val="nil"/>
              <w:right w:val="nil"/>
            </w:tcBorders>
            <w:shd w:val="clear" w:color="auto" w:fill="auto"/>
            <w:vAlign w:val="center"/>
            <w:hideMark/>
          </w:tcPr>
          <w:p w14:paraId="46F5C76F" w14:textId="77777777" w:rsidR="00B060FA" w:rsidRPr="00B91F3C" w:rsidRDefault="00B060FA" w:rsidP="00B060FA">
            <w:pPr>
              <w:spacing w:line="240" w:lineRule="auto"/>
              <w:rPr>
                <w:rFonts w:eastAsia="Times New Roman" w:cstheme="minorHAnsi"/>
                <w:b/>
                <w:bCs/>
                <w:color w:val="000000"/>
              </w:rPr>
            </w:pPr>
            <w:r w:rsidRPr="00B91F3C">
              <w:rPr>
                <w:b/>
                <w:color w:val="000000"/>
              </w:rPr>
              <w:t>Целевые задачи программ</w:t>
            </w:r>
          </w:p>
        </w:tc>
        <w:tc>
          <w:tcPr>
            <w:tcW w:w="2100" w:type="dxa"/>
            <w:tcBorders>
              <w:top w:val="nil"/>
              <w:left w:val="nil"/>
              <w:bottom w:val="nil"/>
              <w:right w:val="nil"/>
            </w:tcBorders>
            <w:shd w:val="clear" w:color="auto" w:fill="auto"/>
            <w:vAlign w:val="center"/>
            <w:hideMark/>
          </w:tcPr>
          <w:p w14:paraId="5DF0CA75" w14:textId="3109233E" w:rsidR="00B060FA" w:rsidRPr="00B91F3C" w:rsidRDefault="00B060FA" w:rsidP="00B060FA">
            <w:pPr>
              <w:spacing w:line="240" w:lineRule="auto"/>
              <w:rPr>
                <w:rFonts w:eastAsia="Times New Roman" w:cstheme="minorHAnsi"/>
                <w:b/>
                <w:bCs/>
                <w:color w:val="000000"/>
              </w:rPr>
            </w:pPr>
            <w:r w:rsidRPr="00B91F3C">
              <w:rPr>
                <w:b/>
                <w:color w:val="000000"/>
              </w:rPr>
              <w:t>Программы за отчетный период</w:t>
            </w:r>
          </w:p>
        </w:tc>
        <w:tc>
          <w:tcPr>
            <w:tcW w:w="2100" w:type="dxa"/>
            <w:tcBorders>
              <w:top w:val="nil"/>
              <w:left w:val="nil"/>
              <w:bottom w:val="nil"/>
              <w:right w:val="nil"/>
            </w:tcBorders>
            <w:shd w:val="clear" w:color="auto" w:fill="auto"/>
            <w:vAlign w:val="center"/>
            <w:hideMark/>
          </w:tcPr>
          <w:p w14:paraId="7993E23C" w14:textId="77777777" w:rsidR="00B060FA" w:rsidRPr="00B91F3C" w:rsidRDefault="00B060FA" w:rsidP="00B060FA">
            <w:pPr>
              <w:spacing w:line="240" w:lineRule="auto"/>
              <w:rPr>
                <w:rFonts w:eastAsia="Times New Roman" w:cstheme="minorHAnsi"/>
                <w:b/>
                <w:bCs/>
                <w:color w:val="000000"/>
              </w:rPr>
            </w:pPr>
            <w:r w:rsidRPr="00B91F3C">
              <w:rPr>
                <w:b/>
                <w:color w:val="000000"/>
              </w:rPr>
              <w:t>Программы (%)</w:t>
            </w:r>
          </w:p>
        </w:tc>
      </w:tr>
      <w:tr w:rsidR="00B060FA" w:rsidRPr="00B91F3C" w14:paraId="187909D7" w14:textId="77777777" w:rsidTr="008F43CE">
        <w:trPr>
          <w:trHeight w:val="549"/>
        </w:trPr>
        <w:tc>
          <w:tcPr>
            <w:tcW w:w="3380" w:type="dxa"/>
            <w:tcBorders>
              <w:top w:val="nil"/>
              <w:left w:val="nil"/>
              <w:bottom w:val="single" w:sz="8" w:space="0" w:color="008000"/>
              <w:right w:val="nil"/>
            </w:tcBorders>
            <w:shd w:val="clear" w:color="auto" w:fill="auto"/>
            <w:hideMark/>
          </w:tcPr>
          <w:p w14:paraId="7835B86A" w14:textId="77777777" w:rsidR="00B060FA" w:rsidRPr="00B91F3C" w:rsidRDefault="00B060FA" w:rsidP="00B060FA">
            <w:pPr>
              <w:spacing w:line="240" w:lineRule="auto"/>
              <w:rPr>
                <w:rFonts w:eastAsia="Times New Roman" w:cstheme="minorHAnsi"/>
                <w:color w:val="000000"/>
              </w:rPr>
            </w:pPr>
            <w:r w:rsidRPr="00B91F3C">
              <w:rPr>
                <w:color w:val="000000"/>
              </w:rPr>
              <w:t> </w:t>
            </w:r>
          </w:p>
        </w:tc>
        <w:tc>
          <w:tcPr>
            <w:tcW w:w="2100" w:type="dxa"/>
            <w:tcBorders>
              <w:top w:val="nil"/>
              <w:left w:val="nil"/>
              <w:bottom w:val="single" w:sz="8" w:space="0" w:color="008000"/>
              <w:right w:val="nil"/>
            </w:tcBorders>
            <w:shd w:val="clear" w:color="auto" w:fill="auto"/>
            <w:hideMark/>
          </w:tcPr>
          <w:p w14:paraId="3FF0B218" w14:textId="77777777" w:rsidR="00B060FA" w:rsidRPr="00B91F3C" w:rsidRDefault="00B060FA" w:rsidP="00B060FA">
            <w:pPr>
              <w:spacing w:line="240" w:lineRule="auto"/>
              <w:rPr>
                <w:rFonts w:eastAsia="Times New Roman" w:cstheme="minorHAnsi"/>
                <w:b/>
                <w:bCs/>
                <w:color w:val="000000"/>
              </w:rPr>
            </w:pPr>
            <w:r w:rsidRPr="00B91F3C">
              <w:rPr>
                <w:b/>
                <w:color w:val="000000"/>
              </w:rPr>
              <w:t>(млн долл. США)</w:t>
            </w:r>
          </w:p>
        </w:tc>
        <w:tc>
          <w:tcPr>
            <w:tcW w:w="2100" w:type="dxa"/>
            <w:tcBorders>
              <w:top w:val="nil"/>
              <w:left w:val="nil"/>
              <w:bottom w:val="single" w:sz="8" w:space="0" w:color="008000"/>
              <w:right w:val="nil"/>
            </w:tcBorders>
            <w:shd w:val="clear" w:color="auto" w:fill="auto"/>
            <w:hideMark/>
          </w:tcPr>
          <w:p w14:paraId="0FED18AA" w14:textId="77777777" w:rsidR="00B060FA" w:rsidRPr="00B91F3C" w:rsidRDefault="00B060FA" w:rsidP="00B060FA">
            <w:pPr>
              <w:spacing w:line="240" w:lineRule="auto"/>
              <w:rPr>
                <w:rFonts w:eastAsia="Times New Roman" w:cstheme="minorHAnsi"/>
                <w:b/>
                <w:bCs/>
                <w:color w:val="000000"/>
              </w:rPr>
            </w:pPr>
            <w:r w:rsidRPr="00B91F3C">
              <w:rPr>
                <w:b/>
                <w:color w:val="000000"/>
              </w:rPr>
              <w:t>(млн долл. США)</w:t>
            </w:r>
          </w:p>
        </w:tc>
        <w:tc>
          <w:tcPr>
            <w:tcW w:w="2100" w:type="dxa"/>
            <w:tcBorders>
              <w:top w:val="nil"/>
              <w:left w:val="nil"/>
              <w:bottom w:val="single" w:sz="8" w:space="0" w:color="008000"/>
              <w:right w:val="nil"/>
            </w:tcBorders>
            <w:shd w:val="clear" w:color="auto" w:fill="auto"/>
            <w:hideMark/>
          </w:tcPr>
          <w:p w14:paraId="15D7F259" w14:textId="77777777" w:rsidR="00B060FA" w:rsidRPr="00B91F3C" w:rsidRDefault="00B060FA" w:rsidP="00B060FA">
            <w:pPr>
              <w:spacing w:line="240" w:lineRule="auto"/>
              <w:rPr>
                <w:rFonts w:eastAsia="Times New Roman" w:cstheme="minorHAnsi"/>
                <w:color w:val="000000"/>
              </w:rPr>
            </w:pPr>
            <w:r w:rsidRPr="00B91F3C">
              <w:rPr>
                <w:color w:val="000000"/>
              </w:rPr>
              <w:t> </w:t>
            </w:r>
          </w:p>
        </w:tc>
      </w:tr>
      <w:tr w:rsidR="00B060FA" w:rsidRPr="00B91F3C" w14:paraId="31CDCFE6" w14:textId="77777777" w:rsidTr="00B060FA">
        <w:trPr>
          <w:trHeight w:val="285"/>
        </w:trPr>
        <w:tc>
          <w:tcPr>
            <w:tcW w:w="3380" w:type="dxa"/>
            <w:tcBorders>
              <w:top w:val="nil"/>
              <w:left w:val="nil"/>
              <w:bottom w:val="nil"/>
              <w:right w:val="nil"/>
            </w:tcBorders>
            <w:shd w:val="clear" w:color="auto" w:fill="auto"/>
            <w:vAlign w:val="center"/>
            <w:hideMark/>
          </w:tcPr>
          <w:p w14:paraId="767B37D9" w14:textId="0DD4A050" w:rsidR="00B060FA" w:rsidRPr="00B91F3C" w:rsidRDefault="00B060FA" w:rsidP="00B060FA">
            <w:pPr>
              <w:spacing w:line="240" w:lineRule="auto"/>
              <w:rPr>
                <w:rFonts w:eastAsia="Times New Roman" w:cstheme="minorHAnsi"/>
                <w:b/>
                <w:bCs/>
                <w:i/>
                <w:iCs/>
                <w:color w:val="000000"/>
              </w:rPr>
            </w:pPr>
            <w:r w:rsidRPr="00B91F3C">
              <w:rPr>
                <w:b/>
                <w:i/>
                <w:color w:val="000000"/>
              </w:rPr>
              <w:t>Страновые ассигнования по СПРР</w:t>
            </w:r>
            <w:r w:rsidR="00B12873" w:rsidRPr="00B91F3C">
              <w:rPr>
                <w:rStyle w:val="Appelnotedebasdep"/>
                <w:rFonts w:eastAsia="Times New Roman" w:cstheme="minorHAnsi"/>
                <w:b/>
                <w:bCs/>
                <w:i/>
                <w:iCs/>
                <w:color w:val="000000"/>
              </w:rPr>
              <w:footnoteReference w:id="13"/>
            </w:r>
            <w:r w:rsidRPr="00B91F3C">
              <w:rPr>
                <w:b/>
                <w:i/>
                <w:color w:val="000000"/>
              </w:rPr>
              <w:t xml:space="preserve"> </w:t>
            </w:r>
          </w:p>
        </w:tc>
        <w:tc>
          <w:tcPr>
            <w:tcW w:w="2100" w:type="dxa"/>
            <w:tcBorders>
              <w:top w:val="nil"/>
              <w:left w:val="nil"/>
              <w:bottom w:val="nil"/>
              <w:right w:val="nil"/>
            </w:tcBorders>
            <w:shd w:val="clear" w:color="auto" w:fill="auto"/>
            <w:vAlign w:val="center"/>
            <w:hideMark/>
          </w:tcPr>
          <w:p w14:paraId="701A6941" w14:textId="27BD7BC5" w:rsidR="00B060FA" w:rsidRPr="00B91F3C" w:rsidRDefault="00B060FA" w:rsidP="0027141A">
            <w:pPr>
              <w:spacing w:line="240" w:lineRule="auto"/>
              <w:jc w:val="right"/>
              <w:rPr>
                <w:rFonts w:eastAsia="Times New Roman" w:cstheme="minorHAnsi"/>
                <w:b/>
                <w:bCs/>
                <w:i/>
                <w:iCs/>
                <w:color w:val="000000"/>
              </w:rPr>
            </w:pPr>
            <w:r w:rsidRPr="00B91F3C">
              <w:rPr>
                <w:b/>
                <w:i/>
                <w:color w:val="000000"/>
              </w:rPr>
              <w:t xml:space="preserve">811,89 </w:t>
            </w:r>
          </w:p>
        </w:tc>
        <w:tc>
          <w:tcPr>
            <w:tcW w:w="2100" w:type="dxa"/>
            <w:tcBorders>
              <w:top w:val="nil"/>
              <w:left w:val="nil"/>
              <w:bottom w:val="nil"/>
              <w:right w:val="nil"/>
            </w:tcBorders>
            <w:shd w:val="clear" w:color="auto" w:fill="auto"/>
            <w:vAlign w:val="center"/>
            <w:hideMark/>
          </w:tcPr>
          <w:p w14:paraId="4044D255" w14:textId="1120219B" w:rsidR="00B060FA" w:rsidRPr="00B91F3C" w:rsidRDefault="00B060FA" w:rsidP="0027141A">
            <w:pPr>
              <w:spacing w:line="240" w:lineRule="auto"/>
              <w:jc w:val="right"/>
              <w:rPr>
                <w:rFonts w:eastAsia="Times New Roman" w:cstheme="minorHAnsi"/>
                <w:b/>
                <w:bCs/>
                <w:i/>
                <w:iCs/>
                <w:color w:val="000000"/>
              </w:rPr>
            </w:pPr>
            <w:r w:rsidRPr="00B91F3C">
              <w:rPr>
                <w:b/>
                <w:i/>
                <w:color w:val="000000"/>
              </w:rPr>
              <w:t xml:space="preserve">201,03 </w:t>
            </w:r>
          </w:p>
        </w:tc>
        <w:tc>
          <w:tcPr>
            <w:tcW w:w="2100" w:type="dxa"/>
            <w:tcBorders>
              <w:top w:val="nil"/>
              <w:left w:val="nil"/>
              <w:bottom w:val="nil"/>
              <w:right w:val="nil"/>
            </w:tcBorders>
            <w:shd w:val="clear" w:color="auto" w:fill="auto"/>
            <w:vAlign w:val="center"/>
            <w:hideMark/>
          </w:tcPr>
          <w:p w14:paraId="2B45DA20" w14:textId="77777777" w:rsidR="00B060FA" w:rsidRPr="00B91F3C" w:rsidRDefault="00B060FA" w:rsidP="0027141A">
            <w:pPr>
              <w:spacing w:line="240" w:lineRule="auto"/>
              <w:jc w:val="center"/>
              <w:rPr>
                <w:rFonts w:eastAsia="Times New Roman" w:cstheme="minorHAnsi"/>
                <w:b/>
                <w:bCs/>
                <w:i/>
                <w:iCs/>
                <w:color w:val="000000"/>
              </w:rPr>
            </w:pPr>
            <w:r w:rsidRPr="00B91F3C">
              <w:rPr>
                <w:b/>
                <w:i/>
                <w:color w:val="000000"/>
              </w:rPr>
              <w:t>25%</w:t>
            </w:r>
          </w:p>
        </w:tc>
      </w:tr>
      <w:tr w:rsidR="00B060FA" w:rsidRPr="00B91F3C" w14:paraId="3CB44C91" w14:textId="77777777" w:rsidTr="00B060FA">
        <w:trPr>
          <w:trHeight w:val="285"/>
        </w:trPr>
        <w:tc>
          <w:tcPr>
            <w:tcW w:w="3380" w:type="dxa"/>
            <w:tcBorders>
              <w:top w:val="nil"/>
              <w:left w:val="nil"/>
              <w:bottom w:val="nil"/>
              <w:right w:val="nil"/>
            </w:tcBorders>
            <w:shd w:val="clear" w:color="auto" w:fill="auto"/>
            <w:vAlign w:val="center"/>
            <w:hideMark/>
          </w:tcPr>
          <w:p w14:paraId="3FAD6EF7" w14:textId="77777777" w:rsidR="00B060FA" w:rsidRPr="00B91F3C" w:rsidRDefault="00B060FA" w:rsidP="00B060FA">
            <w:pPr>
              <w:spacing w:line="240" w:lineRule="auto"/>
              <w:rPr>
                <w:rFonts w:eastAsia="Times New Roman" w:cstheme="minorHAnsi"/>
                <w:b/>
                <w:bCs/>
                <w:i/>
                <w:iCs/>
                <w:color w:val="000000"/>
              </w:rPr>
            </w:pPr>
            <w:r w:rsidRPr="00B91F3C">
              <w:rPr>
                <w:b/>
                <w:i/>
                <w:color w:val="000000"/>
              </w:rPr>
              <w:t>Зарезервировано по СПРР</w:t>
            </w:r>
          </w:p>
        </w:tc>
        <w:tc>
          <w:tcPr>
            <w:tcW w:w="2100" w:type="dxa"/>
            <w:tcBorders>
              <w:top w:val="nil"/>
              <w:left w:val="nil"/>
              <w:bottom w:val="nil"/>
              <w:right w:val="nil"/>
            </w:tcBorders>
            <w:shd w:val="clear" w:color="auto" w:fill="auto"/>
            <w:vAlign w:val="center"/>
            <w:hideMark/>
          </w:tcPr>
          <w:p w14:paraId="7B86CD59" w14:textId="1D217166" w:rsidR="00B060FA" w:rsidRPr="00B91F3C" w:rsidRDefault="00B060FA" w:rsidP="0027141A">
            <w:pPr>
              <w:spacing w:line="240" w:lineRule="auto"/>
              <w:jc w:val="right"/>
              <w:rPr>
                <w:rFonts w:eastAsia="Times New Roman" w:cstheme="minorHAnsi"/>
                <w:b/>
                <w:bCs/>
                <w:i/>
                <w:iCs/>
                <w:color w:val="000000"/>
              </w:rPr>
            </w:pPr>
            <w:r w:rsidRPr="00B91F3C">
              <w:rPr>
                <w:b/>
                <w:i/>
                <w:color w:val="000000"/>
              </w:rPr>
              <w:t xml:space="preserve">182,85 </w:t>
            </w:r>
          </w:p>
        </w:tc>
        <w:tc>
          <w:tcPr>
            <w:tcW w:w="2100" w:type="dxa"/>
            <w:tcBorders>
              <w:top w:val="nil"/>
              <w:left w:val="nil"/>
              <w:bottom w:val="nil"/>
              <w:right w:val="nil"/>
            </w:tcBorders>
            <w:shd w:val="clear" w:color="auto" w:fill="auto"/>
            <w:vAlign w:val="center"/>
            <w:hideMark/>
          </w:tcPr>
          <w:p w14:paraId="7D80C471" w14:textId="18B5FFEB" w:rsidR="00B060FA" w:rsidRPr="00B91F3C" w:rsidRDefault="00B060FA" w:rsidP="0027141A">
            <w:pPr>
              <w:spacing w:line="240" w:lineRule="auto"/>
              <w:jc w:val="right"/>
              <w:rPr>
                <w:rFonts w:eastAsia="Times New Roman" w:cstheme="minorHAnsi"/>
                <w:b/>
                <w:bCs/>
                <w:i/>
                <w:iCs/>
                <w:color w:val="000000"/>
              </w:rPr>
            </w:pPr>
            <w:r w:rsidRPr="00B91F3C">
              <w:rPr>
                <w:b/>
                <w:i/>
                <w:color w:val="000000"/>
              </w:rPr>
              <w:t xml:space="preserve">120,15 </w:t>
            </w:r>
          </w:p>
        </w:tc>
        <w:tc>
          <w:tcPr>
            <w:tcW w:w="2100" w:type="dxa"/>
            <w:tcBorders>
              <w:top w:val="nil"/>
              <w:left w:val="nil"/>
              <w:bottom w:val="nil"/>
              <w:right w:val="nil"/>
            </w:tcBorders>
            <w:shd w:val="clear" w:color="auto" w:fill="auto"/>
            <w:vAlign w:val="center"/>
            <w:hideMark/>
          </w:tcPr>
          <w:p w14:paraId="4FFD1FA8" w14:textId="77777777" w:rsidR="00B060FA" w:rsidRPr="00B91F3C" w:rsidRDefault="00B060FA" w:rsidP="0027141A">
            <w:pPr>
              <w:spacing w:line="240" w:lineRule="auto"/>
              <w:jc w:val="center"/>
              <w:rPr>
                <w:rFonts w:eastAsia="Times New Roman" w:cstheme="minorHAnsi"/>
                <w:b/>
                <w:bCs/>
                <w:i/>
                <w:iCs/>
                <w:color w:val="000000"/>
              </w:rPr>
            </w:pPr>
            <w:r w:rsidRPr="00B91F3C">
              <w:rPr>
                <w:b/>
                <w:i/>
                <w:color w:val="000000"/>
              </w:rPr>
              <w:t>66%</w:t>
            </w:r>
          </w:p>
        </w:tc>
      </w:tr>
      <w:tr w:rsidR="00B060FA" w:rsidRPr="00B91F3C" w14:paraId="67BDEEF9" w14:textId="77777777" w:rsidTr="00B060FA">
        <w:trPr>
          <w:trHeight w:val="285"/>
        </w:trPr>
        <w:tc>
          <w:tcPr>
            <w:tcW w:w="3380" w:type="dxa"/>
            <w:tcBorders>
              <w:top w:val="nil"/>
              <w:left w:val="nil"/>
              <w:bottom w:val="nil"/>
              <w:right w:val="nil"/>
            </w:tcBorders>
            <w:shd w:val="clear" w:color="auto" w:fill="auto"/>
            <w:vAlign w:val="center"/>
            <w:hideMark/>
          </w:tcPr>
          <w:p w14:paraId="6BEA3D07" w14:textId="77777777" w:rsidR="00B060FA" w:rsidRPr="00B91F3C" w:rsidRDefault="00B060FA" w:rsidP="00B060FA">
            <w:pPr>
              <w:spacing w:line="240" w:lineRule="auto"/>
              <w:rPr>
                <w:rFonts w:eastAsia="Times New Roman" w:cstheme="minorHAnsi"/>
                <w:color w:val="000000"/>
              </w:rPr>
            </w:pPr>
            <w:r w:rsidRPr="00B91F3C">
              <w:rPr>
                <w:color w:val="000000"/>
              </w:rPr>
              <w:t>Стимулирующие мероприятия</w:t>
            </w:r>
          </w:p>
        </w:tc>
        <w:tc>
          <w:tcPr>
            <w:tcW w:w="2100" w:type="dxa"/>
            <w:tcBorders>
              <w:top w:val="nil"/>
              <w:left w:val="nil"/>
              <w:bottom w:val="nil"/>
              <w:right w:val="nil"/>
            </w:tcBorders>
            <w:shd w:val="clear" w:color="auto" w:fill="auto"/>
            <w:vAlign w:val="center"/>
            <w:hideMark/>
          </w:tcPr>
          <w:p w14:paraId="14341408" w14:textId="77777777" w:rsidR="00B060FA" w:rsidRPr="00B91F3C" w:rsidRDefault="00B060FA" w:rsidP="0027141A">
            <w:pPr>
              <w:spacing w:line="240" w:lineRule="auto"/>
              <w:jc w:val="right"/>
              <w:rPr>
                <w:rFonts w:eastAsia="Times New Roman" w:cstheme="minorHAnsi"/>
                <w:color w:val="000000"/>
              </w:rPr>
            </w:pPr>
            <w:r w:rsidRPr="00B91F3C">
              <w:rPr>
                <w:color w:val="000000"/>
              </w:rPr>
              <w:t xml:space="preserve">                          145,56 </w:t>
            </w:r>
          </w:p>
        </w:tc>
        <w:tc>
          <w:tcPr>
            <w:tcW w:w="2100" w:type="dxa"/>
            <w:tcBorders>
              <w:top w:val="nil"/>
              <w:left w:val="nil"/>
              <w:bottom w:val="nil"/>
              <w:right w:val="nil"/>
            </w:tcBorders>
            <w:shd w:val="clear" w:color="auto" w:fill="auto"/>
            <w:vAlign w:val="center"/>
            <w:hideMark/>
          </w:tcPr>
          <w:p w14:paraId="2CF12C55" w14:textId="77777777" w:rsidR="00B060FA" w:rsidRPr="00B91F3C" w:rsidRDefault="00B060FA" w:rsidP="0027141A">
            <w:pPr>
              <w:spacing w:line="240" w:lineRule="auto"/>
              <w:jc w:val="right"/>
              <w:rPr>
                <w:rFonts w:eastAsia="Times New Roman" w:cstheme="minorHAnsi"/>
                <w:color w:val="000000"/>
              </w:rPr>
            </w:pPr>
            <w:r w:rsidRPr="00B91F3C">
              <w:rPr>
                <w:color w:val="000000"/>
              </w:rPr>
              <w:t xml:space="preserve">                          120,15 </w:t>
            </w:r>
          </w:p>
        </w:tc>
        <w:tc>
          <w:tcPr>
            <w:tcW w:w="2100" w:type="dxa"/>
            <w:tcBorders>
              <w:top w:val="nil"/>
              <w:left w:val="nil"/>
              <w:bottom w:val="nil"/>
              <w:right w:val="nil"/>
            </w:tcBorders>
            <w:shd w:val="clear" w:color="auto" w:fill="auto"/>
            <w:vAlign w:val="center"/>
            <w:hideMark/>
          </w:tcPr>
          <w:p w14:paraId="3B3E7FE9" w14:textId="77777777" w:rsidR="00B060FA" w:rsidRPr="00B91F3C" w:rsidRDefault="00B060FA" w:rsidP="0027141A">
            <w:pPr>
              <w:spacing w:line="240" w:lineRule="auto"/>
              <w:jc w:val="center"/>
              <w:rPr>
                <w:rFonts w:eastAsia="Times New Roman" w:cstheme="minorHAnsi"/>
                <w:color w:val="000000"/>
              </w:rPr>
            </w:pPr>
            <w:r w:rsidRPr="00B91F3C">
              <w:rPr>
                <w:color w:val="000000"/>
              </w:rPr>
              <w:t>83%</w:t>
            </w:r>
          </w:p>
        </w:tc>
      </w:tr>
      <w:tr w:rsidR="00B060FA" w:rsidRPr="00B91F3C" w14:paraId="66AADF56" w14:textId="77777777" w:rsidTr="00B060FA">
        <w:trPr>
          <w:trHeight w:val="570"/>
        </w:trPr>
        <w:tc>
          <w:tcPr>
            <w:tcW w:w="3380" w:type="dxa"/>
            <w:tcBorders>
              <w:top w:val="nil"/>
              <w:left w:val="nil"/>
              <w:bottom w:val="nil"/>
              <w:right w:val="nil"/>
            </w:tcBorders>
            <w:shd w:val="clear" w:color="auto" w:fill="auto"/>
            <w:vAlign w:val="center"/>
            <w:hideMark/>
          </w:tcPr>
          <w:p w14:paraId="7C85C4C8" w14:textId="77777777" w:rsidR="00B060FA" w:rsidRPr="00B91F3C" w:rsidRDefault="00B060FA" w:rsidP="00B060FA">
            <w:pPr>
              <w:spacing w:line="240" w:lineRule="auto"/>
              <w:rPr>
                <w:rFonts w:eastAsia="Times New Roman" w:cstheme="minorHAnsi"/>
                <w:color w:val="000000"/>
              </w:rPr>
            </w:pPr>
            <w:r w:rsidRPr="00B91F3C">
              <w:rPr>
                <w:color w:val="000000"/>
              </w:rPr>
              <w:t>Глобальные и региональные проекты и программы в области биоразнообразия</w:t>
            </w:r>
          </w:p>
        </w:tc>
        <w:tc>
          <w:tcPr>
            <w:tcW w:w="2100" w:type="dxa"/>
            <w:tcBorders>
              <w:top w:val="nil"/>
              <w:left w:val="nil"/>
              <w:bottom w:val="nil"/>
              <w:right w:val="nil"/>
            </w:tcBorders>
            <w:shd w:val="clear" w:color="auto" w:fill="auto"/>
            <w:vAlign w:val="center"/>
            <w:hideMark/>
          </w:tcPr>
          <w:p w14:paraId="32DB364D" w14:textId="77777777" w:rsidR="00B060FA" w:rsidRPr="00B91F3C" w:rsidRDefault="00B060FA" w:rsidP="0027141A">
            <w:pPr>
              <w:spacing w:line="240" w:lineRule="auto"/>
              <w:jc w:val="right"/>
              <w:rPr>
                <w:rFonts w:eastAsia="Times New Roman" w:cstheme="minorHAnsi"/>
                <w:color w:val="000000"/>
              </w:rPr>
            </w:pPr>
            <w:r w:rsidRPr="00B91F3C">
              <w:rPr>
                <w:color w:val="000000"/>
              </w:rPr>
              <w:t xml:space="preserve">                            37,29 </w:t>
            </w:r>
          </w:p>
        </w:tc>
        <w:tc>
          <w:tcPr>
            <w:tcW w:w="2100" w:type="dxa"/>
            <w:tcBorders>
              <w:top w:val="nil"/>
              <w:left w:val="nil"/>
              <w:bottom w:val="nil"/>
              <w:right w:val="nil"/>
            </w:tcBorders>
            <w:shd w:val="clear" w:color="auto" w:fill="auto"/>
            <w:vAlign w:val="center"/>
            <w:hideMark/>
          </w:tcPr>
          <w:p w14:paraId="1EBEF560" w14:textId="016C123A" w:rsidR="00B060FA" w:rsidRPr="00B91F3C" w:rsidRDefault="00B060FA" w:rsidP="0027141A">
            <w:pPr>
              <w:spacing w:line="240" w:lineRule="auto"/>
              <w:jc w:val="right"/>
              <w:rPr>
                <w:rFonts w:eastAsia="Times New Roman" w:cstheme="minorHAnsi"/>
                <w:color w:val="000000"/>
              </w:rPr>
            </w:pPr>
            <w:r w:rsidRPr="00B91F3C">
              <w:rPr>
                <w:color w:val="000000"/>
              </w:rPr>
              <w:t xml:space="preserve"> -   </w:t>
            </w:r>
          </w:p>
        </w:tc>
        <w:tc>
          <w:tcPr>
            <w:tcW w:w="2100" w:type="dxa"/>
            <w:tcBorders>
              <w:top w:val="nil"/>
              <w:left w:val="nil"/>
              <w:bottom w:val="nil"/>
              <w:right w:val="nil"/>
            </w:tcBorders>
            <w:shd w:val="clear" w:color="auto" w:fill="auto"/>
            <w:vAlign w:val="center"/>
            <w:hideMark/>
          </w:tcPr>
          <w:p w14:paraId="1ED82FB4" w14:textId="77777777" w:rsidR="00B060FA" w:rsidRPr="00B91F3C" w:rsidRDefault="00B060FA" w:rsidP="0027141A">
            <w:pPr>
              <w:spacing w:line="240" w:lineRule="auto"/>
              <w:jc w:val="center"/>
              <w:rPr>
                <w:rFonts w:eastAsia="Times New Roman" w:cstheme="minorHAnsi"/>
                <w:color w:val="000000"/>
              </w:rPr>
            </w:pPr>
            <w:r w:rsidRPr="00B91F3C">
              <w:rPr>
                <w:color w:val="000000"/>
              </w:rPr>
              <w:t>0%</w:t>
            </w:r>
          </w:p>
        </w:tc>
      </w:tr>
      <w:tr w:rsidR="00B060FA" w:rsidRPr="00B91F3C" w14:paraId="5D00623B" w14:textId="77777777" w:rsidTr="00B060FA">
        <w:trPr>
          <w:trHeight w:val="285"/>
        </w:trPr>
        <w:tc>
          <w:tcPr>
            <w:tcW w:w="3380" w:type="dxa"/>
            <w:tcBorders>
              <w:top w:val="nil"/>
              <w:left w:val="nil"/>
              <w:bottom w:val="nil"/>
              <w:right w:val="nil"/>
            </w:tcBorders>
            <w:shd w:val="clear" w:color="auto" w:fill="auto"/>
            <w:vAlign w:val="center"/>
            <w:hideMark/>
          </w:tcPr>
          <w:p w14:paraId="4446C301" w14:textId="76D62092" w:rsidR="00B060FA" w:rsidRPr="00B91F3C" w:rsidRDefault="00B060FA" w:rsidP="00B060FA">
            <w:pPr>
              <w:spacing w:line="240" w:lineRule="auto"/>
              <w:rPr>
                <w:rFonts w:eastAsia="Times New Roman" w:cstheme="minorHAnsi"/>
                <w:b/>
                <w:bCs/>
                <w:i/>
                <w:iCs/>
                <w:color w:val="000000"/>
              </w:rPr>
            </w:pPr>
            <w:r w:rsidRPr="00B91F3C">
              <w:rPr>
                <w:b/>
                <w:i/>
                <w:color w:val="000000"/>
              </w:rPr>
              <w:t>Комплексные программы</w:t>
            </w:r>
            <w:r w:rsidR="00F947CB" w:rsidRPr="00B91F3C">
              <w:rPr>
                <w:rStyle w:val="Appelnotedebasdep"/>
                <w:rFonts w:eastAsia="Times New Roman" w:cstheme="minorHAnsi"/>
                <w:b/>
                <w:bCs/>
                <w:i/>
                <w:iCs/>
                <w:color w:val="000000"/>
              </w:rPr>
              <w:footnoteReference w:id="14"/>
            </w:r>
          </w:p>
        </w:tc>
        <w:tc>
          <w:tcPr>
            <w:tcW w:w="2100" w:type="dxa"/>
            <w:tcBorders>
              <w:top w:val="nil"/>
              <w:left w:val="nil"/>
              <w:bottom w:val="nil"/>
              <w:right w:val="nil"/>
            </w:tcBorders>
            <w:shd w:val="clear" w:color="auto" w:fill="auto"/>
            <w:vAlign w:val="center"/>
            <w:hideMark/>
          </w:tcPr>
          <w:p w14:paraId="69B3D241" w14:textId="2B3A2F00" w:rsidR="00B060FA" w:rsidRPr="00B91F3C" w:rsidRDefault="00B060FA" w:rsidP="0027141A">
            <w:pPr>
              <w:spacing w:line="240" w:lineRule="auto"/>
              <w:jc w:val="right"/>
              <w:rPr>
                <w:rFonts w:eastAsia="Times New Roman" w:cstheme="minorHAnsi"/>
                <w:b/>
                <w:bCs/>
                <w:i/>
                <w:iCs/>
                <w:color w:val="000000"/>
              </w:rPr>
            </w:pPr>
            <w:r w:rsidRPr="00B91F3C">
              <w:rPr>
                <w:b/>
                <w:i/>
                <w:color w:val="000000"/>
              </w:rPr>
              <w:t xml:space="preserve">924,06 </w:t>
            </w:r>
          </w:p>
        </w:tc>
        <w:tc>
          <w:tcPr>
            <w:tcW w:w="2100" w:type="dxa"/>
            <w:tcBorders>
              <w:top w:val="nil"/>
              <w:left w:val="nil"/>
              <w:bottom w:val="nil"/>
              <w:right w:val="nil"/>
            </w:tcBorders>
            <w:shd w:val="clear" w:color="auto" w:fill="auto"/>
            <w:vAlign w:val="center"/>
            <w:hideMark/>
          </w:tcPr>
          <w:p w14:paraId="32960019" w14:textId="19278E39" w:rsidR="00B060FA" w:rsidRPr="00B91F3C" w:rsidRDefault="00B060FA" w:rsidP="0027141A">
            <w:pPr>
              <w:spacing w:line="240" w:lineRule="auto"/>
              <w:jc w:val="right"/>
              <w:rPr>
                <w:rFonts w:eastAsia="Times New Roman" w:cstheme="minorHAnsi"/>
                <w:b/>
                <w:bCs/>
                <w:i/>
                <w:iCs/>
                <w:color w:val="000000"/>
              </w:rPr>
            </w:pPr>
            <w:r w:rsidRPr="00B91F3C">
              <w:rPr>
                <w:b/>
                <w:i/>
                <w:color w:val="000000"/>
              </w:rPr>
              <w:t xml:space="preserve">837,36 </w:t>
            </w:r>
          </w:p>
        </w:tc>
        <w:tc>
          <w:tcPr>
            <w:tcW w:w="2100" w:type="dxa"/>
            <w:tcBorders>
              <w:top w:val="nil"/>
              <w:left w:val="nil"/>
              <w:bottom w:val="nil"/>
              <w:right w:val="nil"/>
            </w:tcBorders>
            <w:shd w:val="clear" w:color="auto" w:fill="auto"/>
            <w:vAlign w:val="center"/>
            <w:hideMark/>
          </w:tcPr>
          <w:p w14:paraId="3F8E9BEB" w14:textId="77777777" w:rsidR="00B060FA" w:rsidRPr="00B91F3C" w:rsidRDefault="00B060FA" w:rsidP="0027141A">
            <w:pPr>
              <w:spacing w:line="240" w:lineRule="auto"/>
              <w:jc w:val="center"/>
              <w:rPr>
                <w:rFonts w:eastAsia="Times New Roman" w:cstheme="minorHAnsi"/>
                <w:b/>
                <w:bCs/>
                <w:i/>
                <w:iCs/>
                <w:color w:val="000000"/>
              </w:rPr>
            </w:pPr>
            <w:r w:rsidRPr="00B91F3C">
              <w:rPr>
                <w:b/>
                <w:i/>
                <w:color w:val="000000"/>
              </w:rPr>
              <w:t>91%</w:t>
            </w:r>
          </w:p>
        </w:tc>
      </w:tr>
      <w:tr w:rsidR="00B060FA" w:rsidRPr="00B91F3C" w14:paraId="7AD9BD78" w14:textId="77777777" w:rsidTr="00B060FA">
        <w:trPr>
          <w:trHeight w:val="285"/>
        </w:trPr>
        <w:tc>
          <w:tcPr>
            <w:tcW w:w="3380" w:type="dxa"/>
            <w:tcBorders>
              <w:top w:val="nil"/>
              <w:left w:val="nil"/>
              <w:bottom w:val="nil"/>
              <w:right w:val="nil"/>
            </w:tcBorders>
            <w:shd w:val="clear" w:color="auto" w:fill="auto"/>
            <w:vAlign w:val="center"/>
            <w:hideMark/>
          </w:tcPr>
          <w:p w14:paraId="72C565CB" w14:textId="572926A7" w:rsidR="00B060FA" w:rsidRPr="00B91F3C" w:rsidRDefault="00B060FA" w:rsidP="00C418C2">
            <w:pPr>
              <w:spacing w:line="240" w:lineRule="auto"/>
              <w:rPr>
                <w:rFonts w:eastAsia="Times New Roman" w:cstheme="minorHAnsi"/>
                <w:color w:val="000000"/>
              </w:rPr>
            </w:pPr>
            <w:bookmarkStart w:id="49" w:name="RANGE!A11"/>
            <w:r w:rsidRPr="00B91F3C">
              <w:rPr>
                <w:color w:val="000000"/>
              </w:rPr>
              <w:t xml:space="preserve">Продовольственные системы </w:t>
            </w:r>
            <w:bookmarkEnd w:id="49"/>
          </w:p>
        </w:tc>
        <w:tc>
          <w:tcPr>
            <w:tcW w:w="2100" w:type="dxa"/>
            <w:tcBorders>
              <w:top w:val="nil"/>
              <w:left w:val="nil"/>
              <w:bottom w:val="nil"/>
              <w:right w:val="nil"/>
            </w:tcBorders>
            <w:shd w:val="clear" w:color="auto" w:fill="auto"/>
            <w:vAlign w:val="center"/>
            <w:hideMark/>
          </w:tcPr>
          <w:p w14:paraId="19DF2053" w14:textId="77777777" w:rsidR="00B060FA" w:rsidRPr="00B91F3C" w:rsidRDefault="00B060FA" w:rsidP="0027141A">
            <w:pPr>
              <w:spacing w:line="240" w:lineRule="auto"/>
              <w:ind w:firstLineChars="100" w:firstLine="220"/>
              <w:jc w:val="right"/>
              <w:rPr>
                <w:rFonts w:eastAsia="Times New Roman" w:cstheme="minorHAnsi"/>
                <w:color w:val="000000"/>
              </w:rPr>
            </w:pPr>
          </w:p>
        </w:tc>
        <w:tc>
          <w:tcPr>
            <w:tcW w:w="2100" w:type="dxa"/>
            <w:tcBorders>
              <w:top w:val="nil"/>
              <w:left w:val="nil"/>
              <w:bottom w:val="nil"/>
              <w:right w:val="nil"/>
            </w:tcBorders>
            <w:shd w:val="clear" w:color="auto" w:fill="auto"/>
            <w:vAlign w:val="center"/>
            <w:hideMark/>
          </w:tcPr>
          <w:p w14:paraId="1FE7C222" w14:textId="77777777" w:rsidR="00B060FA" w:rsidRPr="00B91F3C" w:rsidRDefault="00B060FA" w:rsidP="0027141A">
            <w:pPr>
              <w:spacing w:line="240" w:lineRule="auto"/>
              <w:jc w:val="right"/>
              <w:rPr>
                <w:rFonts w:eastAsia="Times New Roman" w:cstheme="minorHAnsi"/>
                <w:color w:val="000000"/>
              </w:rPr>
            </w:pPr>
            <w:r w:rsidRPr="00B91F3C">
              <w:rPr>
                <w:color w:val="000000"/>
              </w:rPr>
              <w:t xml:space="preserve">                          161,50 </w:t>
            </w:r>
          </w:p>
        </w:tc>
        <w:tc>
          <w:tcPr>
            <w:tcW w:w="2100" w:type="dxa"/>
            <w:tcBorders>
              <w:top w:val="nil"/>
              <w:left w:val="nil"/>
              <w:bottom w:val="nil"/>
              <w:right w:val="nil"/>
            </w:tcBorders>
            <w:shd w:val="clear" w:color="auto" w:fill="auto"/>
            <w:vAlign w:val="center"/>
            <w:hideMark/>
          </w:tcPr>
          <w:p w14:paraId="190F4BC0" w14:textId="77777777" w:rsidR="00B060FA" w:rsidRPr="00B91F3C" w:rsidRDefault="00B060FA" w:rsidP="0027141A">
            <w:pPr>
              <w:spacing w:line="240" w:lineRule="auto"/>
              <w:jc w:val="center"/>
              <w:rPr>
                <w:rFonts w:eastAsia="Times New Roman" w:cstheme="minorHAnsi"/>
                <w:color w:val="000000"/>
              </w:rPr>
            </w:pPr>
          </w:p>
        </w:tc>
      </w:tr>
      <w:tr w:rsidR="00B060FA" w:rsidRPr="00B91F3C" w14:paraId="39986627" w14:textId="77777777" w:rsidTr="00B060FA">
        <w:trPr>
          <w:trHeight w:val="570"/>
        </w:trPr>
        <w:tc>
          <w:tcPr>
            <w:tcW w:w="3380" w:type="dxa"/>
            <w:tcBorders>
              <w:top w:val="nil"/>
              <w:left w:val="nil"/>
              <w:bottom w:val="nil"/>
              <w:right w:val="nil"/>
            </w:tcBorders>
            <w:shd w:val="clear" w:color="auto" w:fill="auto"/>
            <w:vAlign w:val="center"/>
            <w:hideMark/>
          </w:tcPr>
          <w:p w14:paraId="0E4691B1" w14:textId="3D7C3843" w:rsidR="00B060FA" w:rsidRPr="00B91F3C" w:rsidRDefault="00B060FA" w:rsidP="00C418C2">
            <w:pPr>
              <w:spacing w:line="240" w:lineRule="auto"/>
              <w:rPr>
                <w:rFonts w:eastAsia="Times New Roman" w:cstheme="minorHAnsi"/>
                <w:color w:val="000000"/>
              </w:rPr>
            </w:pPr>
            <w:r w:rsidRPr="00B91F3C">
              <w:rPr>
                <w:color w:val="000000"/>
              </w:rPr>
              <w:t>Восстановление экосистем</w:t>
            </w:r>
          </w:p>
        </w:tc>
        <w:tc>
          <w:tcPr>
            <w:tcW w:w="2100" w:type="dxa"/>
            <w:tcBorders>
              <w:top w:val="nil"/>
              <w:left w:val="nil"/>
              <w:bottom w:val="nil"/>
              <w:right w:val="nil"/>
            </w:tcBorders>
            <w:shd w:val="clear" w:color="auto" w:fill="auto"/>
            <w:vAlign w:val="center"/>
            <w:hideMark/>
          </w:tcPr>
          <w:p w14:paraId="444FF8C2" w14:textId="77777777" w:rsidR="00B060FA" w:rsidRPr="00B91F3C" w:rsidRDefault="00B060FA" w:rsidP="0027141A">
            <w:pPr>
              <w:spacing w:line="240" w:lineRule="auto"/>
              <w:ind w:firstLineChars="100" w:firstLine="220"/>
              <w:jc w:val="right"/>
              <w:rPr>
                <w:rFonts w:eastAsia="Times New Roman" w:cstheme="minorHAnsi"/>
                <w:color w:val="000000"/>
              </w:rPr>
            </w:pPr>
          </w:p>
        </w:tc>
        <w:tc>
          <w:tcPr>
            <w:tcW w:w="2100" w:type="dxa"/>
            <w:tcBorders>
              <w:top w:val="nil"/>
              <w:left w:val="nil"/>
              <w:bottom w:val="nil"/>
              <w:right w:val="nil"/>
            </w:tcBorders>
            <w:shd w:val="clear" w:color="auto" w:fill="auto"/>
            <w:vAlign w:val="center"/>
            <w:hideMark/>
          </w:tcPr>
          <w:p w14:paraId="4B0712ED" w14:textId="77777777" w:rsidR="00B060FA" w:rsidRPr="00B91F3C" w:rsidRDefault="00B060FA" w:rsidP="0027141A">
            <w:pPr>
              <w:spacing w:line="240" w:lineRule="auto"/>
              <w:jc w:val="right"/>
              <w:rPr>
                <w:rFonts w:eastAsia="Times New Roman" w:cstheme="minorHAnsi"/>
                <w:color w:val="000000"/>
              </w:rPr>
            </w:pPr>
            <w:r w:rsidRPr="00B91F3C">
              <w:rPr>
                <w:color w:val="000000"/>
              </w:rPr>
              <w:t xml:space="preserve">                          135,08 </w:t>
            </w:r>
          </w:p>
        </w:tc>
        <w:tc>
          <w:tcPr>
            <w:tcW w:w="2100" w:type="dxa"/>
            <w:tcBorders>
              <w:top w:val="nil"/>
              <w:left w:val="nil"/>
              <w:bottom w:val="nil"/>
              <w:right w:val="nil"/>
            </w:tcBorders>
            <w:shd w:val="clear" w:color="auto" w:fill="auto"/>
            <w:vAlign w:val="center"/>
            <w:hideMark/>
          </w:tcPr>
          <w:p w14:paraId="696DEFE0" w14:textId="77777777" w:rsidR="00B060FA" w:rsidRPr="00B91F3C" w:rsidRDefault="00B060FA" w:rsidP="0027141A">
            <w:pPr>
              <w:spacing w:line="240" w:lineRule="auto"/>
              <w:jc w:val="center"/>
              <w:rPr>
                <w:rFonts w:eastAsia="Times New Roman" w:cstheme="minorHAnsi"/>
                <w:color w:val="000000"/>
              </w:rPr>
            </w:pPr>
          </w:p>
        </w:tc>
      </w:tr>
      <w:tr w:rsidR="00B060FA" w:rsidRPr="00B91F3C" w14:paraId="7A493F0D" w14:textId="77777777" w:rsidTr="00B060FA">
        <w:trPr>
          <w:trHeight w:val="570"/>
        </w:trPr>
        <w:tc>
          <w:tcPr>
            <w:tcW w:w="3380" w:type="dxa"/>
            <w:tcBorders>
              <w:top w:val="nil"/>
              <w:left w:val="nil"/>
              <w:bottom w:val="nil"/>
              <w:right w:val="nil"/>
            </w:tcBorders>
            <w:shd w:val="clear" w:color="auto" w:fill="auto"/>
            <w:vAlign w:val="center"/>
            <w:hideMark/>
          </w:tcPr>
          <w:p w14:paraId="2693B0B9" w14:textId="2A300576" w:rsidR="00B060FA" w:rsidRPr="00B91F3C" w:rsidRDefault="00B060FA" w:rsidP="00C418C2">
            <w:pPr>
              <w:spacing w:line="240" w:lineRule="auto"/>
              <w:rPr>
                <w:rFonts w:eastAsia="Times New Roman" w:cstheme="minorHAnsi"/>
                <w:color w:val="000000"/>
              </w:rPr>
            </w:pPr>
            <w:r w:rsidRPr="00B91F3C">
              <w:rPr>
                <w:color w:val="000000"/>
              </w:rPr>
              <w:t>Устойчивое развитие городов</w:t>
            </w:r>
          </w:p>
        </w:tc>
        <w:tc>
          <w:tcPr>
            <w:tcW w:w="2100" w:type="dxa"/>
            <w:tcBorders>
              <w:top w:val="nil"/>
              <w:left w:val="nil"/>
              <w:bottom w:val="nil"/>
              <w:right w:val="nil"/>
            </w:tcBorders>
            <w:shd w:val="clear" w:color="auto" w:fill="auto"/>
            <w:vAlign w:val="center"/>
            <w:hideMark/>
          </w:tcPr>
          <w:p w14:paraId="0AEF78C9" w14:textId="77777777" w:rsidR="00B060FA" w:rsidRPr="00B91F3C" w:rsidRDefault="00B060FA" w:rsidP="0027141A">
            <w:pPr>
              <w:spacing w:line="240" w:lineRule="auto"/>
              <w:ind w:firstLineChars="100" w:firstLine="220"/>
              <w:jc w:val="right"/>
              <w:rPr>
                <w:rFonts w:eastAsia="Times New Roman" w:cstheme="minorHAnsi"/>
                <w:color w:val="000000"/>
              </w:rPr>
            </w:pPr>
          </w:p>
        </w:tc>
        <w:tc>
          <w:tcPr>
            <w:tcW w:w="2100" w:type="dxa"/>
            <w:tcBorders>
              <w:top w:val="nil"/>
              <w:left w:val="nil"/>
              <w:bottom w:val="nil"/>
              <w:right w:val="nil"/>
            </w:tcBorders>
            <w:shd w:val="clear" w:color="auto" w:fill="auto"/>
            <w:vAlign w:val="center"/>
            <w:hideMark/>
          </w:tcPr>
          <w:p w14:paraId="1FF966C0" w14:textId="17F60169" w:rsidR="00B060FA" w:rsidRPr="00B91F3C" w:rsidRDefault="00B060FA" w:rsidP="0027141A">
            <w:pPr>
              <w:spacing w:line="240" w:lineRule="auto"/>
              <w:jc w:val="right"/>
              <w:rPr>
                <w:rFonts w:eastAsia="Times New Roman" w:cstheme="minorHAnsi"/>
                <w:color w:val="000000"/>
              </w:rPr>
            </w:pPr>
            <w:r w:rsidRPr="00B91F3C">
              <w:rPr>
                <w:color w:val="000000"/>
              </w:rPr>
              <w:t xml:space="preserve">-   </w:t>
            </w:r>
          </w:p>
        </w:tc>
        <w:tc>
          <w:tcPr>
            <w:tcW w:w="2100" w:type="dxa"/>
            <w:tcBorders>
              <w:top w:val="nil"/>
              <w:left w:val="nil"/>
              <w:bottom w:val="nil"/>
              <w:right w:val="nil"/>
            </w:tcBorders>
            <w:shd w:val="clear" w:color="auto" w:fill="auto"/>
            <w:vAlign w:val="center"/>
            <w:hideMark/>
          </w:tcPr>
          <w:p w14:paraId="3DE7A246" w14:textId="77777777" w:rsidR="00B060FA" w:rsidRPr="00B91F3C" w:rsidRDefault="00B060FA" w:rsidP="0027141A">
            <w:pPr>
              <w:spacing w:line="240" w:lineRule="auto"/>
              <w:jc w:val="center"/>
              <w:rPr>
                <w:rFonts w:eastAsia="Times New Roman" w:cstheme="minorHAnsi"/>
                <w:color w:val="000000"/>
              </w:rPr>
            </w:pPr>
          </w:p>
        </w:tc>
      </w:tr>
      <w:tr w:rsidR="00B060FA" w:rsidRPr="00B91F3C" w14:paraId="654BF512" w14:textId="77777777" w:rsidTr="00B060FA">
        <w:trPr>
          <w:trHeight w:val="570"/>
        </w:trPr>
        <w:tc>
          <w:tcPr>
            <w:tcW w:w="3380" w:type="dxa"/>
            <w:tcBorders>
              <w:top w:val="nil"/>
              <w:left w:val="nil"/>
              <w:bottom w:val="nil"/>
              <w:right w:val="nil"/>
            </w:tcBorders>
            <w:shd w:val="clear" w:color="auto" w:fill="auto"/>
            <w:vAlign w:val="center"/>
            <w:hideMark/>
          </w:tcPr>
          <w:p w14:paraId="6704DDF1" w14:textId="00BC246F" w:rsidR="00B060FA" w:rsidRPr="00B91F3C" w:rsidRDefault="00B060FA" w:rsidP="00C418C2">
            <w:pPr>
              <w:spacing w:line="240" w:lineRule="auto"/>
              <w:rPr>
                <w:rFonts w:eastAsia="Times New Roman" w:cstheme="minorHAnsi"/>
                <w:color w:val="000000"/>
              </w:rPr>
            </w:pPr>
            <w:r w:rsidRPr="00B91F3C">
              <w:rPr>
                <w:color w:val="000000"/>
              </w:rPr>
              <w:t xml:space="preserve">Амазонка, Конго и критические лесные биомы </w:t>
            </w:r>
          </w:p>
        </w:tc>
        <w:tc>
          <w:tcPr>
            <w:tcW w:w="2100" w:type="dxa"/>
            <w:tcBorders>
              <w:top w:val="nil"/>
              <w:left w:val="nil"/>
              <w:bottom w:val="nil"/>
              <w:right w:val="nil"/>
            </w:tcBorders>
            <w:shd w:val="clear" w:color="auto" w:fill="auto"/>
            <w:vAlign w:val="center"/>
            <w:hideMark/>
          </w:tcPr>
          <w:p w14:paraId="40C34915" w14:textId="77777777" w:rsidR="00B060FA" w:rsidRPr="00B91F3C" w:rsidRDefault="00B060FA" w:rsidP="0027141A">
            <w:pPr>
              <w:spacing w:line="240" w:lineRule="auto"/>
              <w:ind w:firstLineChars="100" w:firstLine="220"/>
              <w:jc w:val="right"/>
              <w:rPr>
                <w:rFonts w:eastAsia="Times New Roman" w:cstheme="minorHAnsi"/>
                <w:color w:val="000000"/>
              </w:rPr>
            </w:pPr>
          </w:p>
        </w:tc>
        <w:tc>
          <w:tcPr>
            <w:tcW w:w="2100" w:type="dxa"/>
            <w:tcBorders>
              <w:top w:val="nil"/>
              <w:left w:val="nil"/>
              <w:bottom w:val="nil"/>
              <w:right w:val="nil"/>
            </w:tcBorders>
            <w:shd w:val="clear" w:color="auto" w:fill="auto"/>
            <w:vAlign w:val="center"/>
            <w:hideMark/>
          </w:tcPr>
          <w:p w14:paraId="1ED77F00" w14:textId="77777777" w:rsidR="00B060FA" w:rsidRPr="00B91F3C" w:rsidRDefault="00B060FA" w:rsidP="0027141A">
            <w:pPr>
              <w:spacing w:line="240" w:lineRule="auto"/>
              <w:jc w:val="right"/>
              <w:rPr>
                <w:rFonts w:eastAsia="Times New Roman" w:cstheme="minorHAnsi"/>
                <w:color w:val="000000"/>
              </w:rPr>
            </w:pPr>
            <w:r w:rsidRPr="00B91F3C">
              <w:rPr>
                <w:color w:val="000000"/>
              </w:rPr>
              <w:t xml:space="preserve">                          216,72 </w:t>
            </w:r>
          </w:p>
        </w:tc>
        <w:tc>
          <w:tcPr>
            <w:tcW w:w="2100" w:type="dxa"/>
            <w:tcBorders>
              <w:top w:val="nil"/>
              <w:left w:val="nil"/>
              <w:bottom w:val="nil"/>
              <w:right w:val="nil"/>
            </w:tcBorders>
            <w:shd w:val="clear" w:color="auto" w:fill="auto"/>
            <w:vAlign w:val="center"/>
            <w:hideMark/>
          </w:tcPr>
          <w:p w14:paraId="4C2FEAB5" w14:textId="77777777" w:rsidR="00B060FA" w:rsidRPr="00B91F3C" w:rsidRDefault="00B060FA" w:rsidP="0027141A">
            <w:pPr>
              <w:spacing w:line="240" w:lineRule="auto"/>
              <w:jc w:val="center"/>
              <w:rPr>
                <w:rFonts w:eastAsia="Times New Roman" w:cstheme="minorHAnsi"/>
                <w:color w:val="000000"/>
              </w:rPr>
            </w:pPr>
          </w:p>
        </w:tc>
      </w:tr>
      <w:tr w:rsidR="00B060FA" w:rsidRPr="00B91F3C" w14:paraId="7006C3DC" w14:textId="77777777" w:rsidTr="00B060FA">
        <w:trPr>
          <w:trHeight w:val="570"/>
        </w:trPr>
        <w:tc>
          <w:tcPr>
            <w:tcW w:w="3380" w:type="dxa"/>
            <w:tcBorders>
              <w:top w:val="nil"/>
              <w:left w:val="nil"/>
              <w:bottom w:val="nil"/>
              <w:right w:val="nil"/>
            </w:tcBorders>
            <w:shd w:val="clear" w:color="auto" w:fill="auto"/>
            <w:vAlign w:val="center"/>
            <w:hideMark/>
          </w:tcPr>
          <w:p w14:paraId="464589BB" w14:textId="77777777" w:rsidR="00C418C2" w:rsidRPr="00B91F3C" w:rsidRDefault="00C418C2" w:rsidP="00C418C2">
            <w:pPr>
              <w:spacing w:line="240" w:lineRule="auto"/>
              <w:rPr>
                <w:rFonts w:eastAsia="Times New Roman" w:cstheme="minorHAnsi"/>
                <w:color w:val="000000"/>
              </w:rPr>
            </w:pPr>
          </w:p>
          <w:p w14:paraId="2E05B325" w14:textId="2BDFDD9D" w:rsidR="00B060FA" w:rsidRPr="00B91F3C" w:rsidRDefault="00B060FA" w:rsidP="00C418C2">
            <w:pPr>
              <w:spacing w:line="240" w:lineRule="auto"/>
              <w:rPr>
                <w:rFonts w:eastAsia="Times New Roman" w:cstheme="minorHAnsi"/>
                <w:color w:val="000000"/>
              </w:rPr>
            </w:pPr>
            <w:r w:rsidRPr="00B91F3C">
              <w:rPr>
                <w:color w:val="000000"/>
              </w:rPr>
              <w:t xml:space="preserve">Циркулярные решения проблемы пластикового загрязнения  </w:t>
            </w:r>
          </w:p>
        </w:tc>
        <w:tc>
          <w:tcPr>
            <w:tcW w:w="2100" w:type="dxa"/>
            <w:tcBorders>
              <w:top w:val="nil"/>
              <w:left w:val="nil"/>
              <w:bottom w:val="nil"/>
              <w:right w:val="nil"/>
            </w:tcBorders>
            <w:shd w:val="clear" w:color="auto" w:fill="auto"/>
            <w:vAlign w:val="center"/>
            <w:hideMark/>
          </w:tcPr>
          <w:p w14:paraId="2BB652BB" w14:textId="77777777" w:rsidR="00B060FA" w:rsidRPr="00B91F3C" w:rsidRDefault="00B060FA" w:rsidP="0027141A">
            <w:pPr>
              <w:spacing w:line="240" w:lineRule="auto"/>
              <w:ind w:firstLineChars="100" w:firstLine="220"/>
              <w:jc w:val="right"/>
              <w:rPr>
                <w:rFonts w:eastAsia="Times New Roman" w:cstheme="minorHAnsi"/>
                <w:color w:val="000000"/>
              </w:rPr>
            </w:pPr>
          </w:p>
        </w:tc>
        <w:tc>
          <w:tcPr>
            <w:tcW w:w="2100" w:type="dxa"/>
            <w:tcBorders>
              <w:top w:val="nil"/>
              <w:left w:val="nil"/>
              <w:bottom w:val="nil"/>
              <w:right w:val="nil"/>
            </w:tcBorders>
            <w:shd w:val="clear" w:color="auto" w:fill="auto"/>
            <w:vAlign w:val="center"/>
            <w:hideMark/>
          </w:tcPr>
          <w:p w14:paraId="0C90A3EF" w14:textId="77777777" w:rsidR="00B060FA" w:rsidRPr="00B91F3C" w:rsidRDefault="00B060FA" w:rsidP="0027141A">
            <w:pPr>
              <w:spacing w:line="240" w:lineRule="auto"/>
              <w:jc w:val="right"/>
              <w:rPr>
                <w:rFonts w:eastAsia="Times New Roman" w:cstheme="minorHAnsi"/>
                <w:color w:val="000000"/>
              </w:rPr>
            </w:pPr>
            <w:r w:rsidRPr="00B91F3C">
              <w:rPr>
                <w:color w:val="000000"/>
              </w:rPr>
              <w:t xml:space="preserve">                            23,87 </w:t>
            </w:r>
          </w:p>
        </w:tc>
        <w:tc>
          <w:tcPr>
            <w:tcW w:w="2100" w:type="dxa"/>
            <w:tcBorders>
              <w:top w:val="nil"/>
              <w:left w:val="nil"/>
              <w:bottom w:val="nil"/>
              <w:right w:val="nil"/>
            </w:tcBorders>
            <w:shd w:val="clear" w:color="auto" w:fill="auto"/>
            <w:vAlign w:val="center"/>
            <w:hideMark/>
          </w:tcPr>
          <w:p w14:paraId="23EDACB1" w14:textId="77777777" w:rsidR="00B060FA" w:rsidRPr="00B91F3C" w:rsidRDefault="00B060FA" w:rsidP="0027141A">
            <w:pPr>
              <w:spacing w:line="240" w:lineRule="auto"/>
              <w:jc w:val="center"/>
              <w:rPr>
                <w:rFonts w:eastAsia="Times New Roman" w:cstheme="minorHAnsi"/>
                <w:color w:val="000000"/>
              </w:rPr>
            </w:pPr>
          </w:p>
        </w:tc>
      </w:tr>
      <w:tr w:rsidR="00B060FA" w:rsidRPr="00B91F3C" w14:paraId="4704250D" w14:textId="77777777" w:rsidTr="00B060FA">
        <w:trPr>
          <w:trHeight w:val="570"/>
        </w:trPr>
        <w:tc>
          <w:tcPr>
            <w:tcW w:w="3380" w:type="dxa"/>
            <w:tcBorders>
              <w:top w:val="nil"/>
              <w:left w:val="nil"/>
              <w:bottom w:val="nil"/>
              <w:right w:val="nil"/>
            </w:tcBorders>
            <w:shd w:val="clear" w:color="auto" w:fill="auto"/>
            <w:vAlign w:val="center"/>
            <w:hideMark/>
          </w:tcPr>
          <w:p w14:paraId="4E94CCA7" w14:textId="5107775D" w:rsidR="00B060FA" w:rsidRPr="00B91F3C" w:rsidRDefault="00B060FA" w:rsidP="00C418C2">
            <w:pPr>
              <w:spacing w:line="240" w:lineRule="auto"/>
              <w:rPr>
                <w:rFonts w:eastAsia="Times New Roman" w:cstheme="minorHAnsi"/>
                <w:color w:val="000000"/>
              </w:rPr>
            </w:pPr>
            <w:r w:rsidRPr="00B91F3C">
              <w:rPr>
                <w:color w:val="000000"/>
              </w:rPr>
              <w:t xml:space="preserve">Голубые и зеленые острова </w:t>
            </w:r>
          </w:p>
        </w:tc>
        <w:tc>
          <w:tcPr>
            <w:tcW w:w="2100" w:type="dxa"/>
            <w:tcBorders>
              <w:top w:val="nil"/>
              <w:left w:val="nil"/>
              <w:bottom w:val="nil"/>
              <w:right w:val="nil"/>
            </w:tcBorders>
            <w:shd w:val="clear" w:color="auto" w:fill="auto"/>
            <w:vAlign w:val="center"/>
            <w:hideMark/>
          </w:tcPr>
          <w:p w14:paraId="3D7BF4B7" w14:textId="77777777" w:rsidR="00B060FA" w:rsidRPr="00B91F3C" w:rsidRDefault="00B060FA" w:rsidP="0027141A">
            <w:pPr>
              <w:spacing w:line="240" w:lineRule="auto"/>
              <w:ind w:firstLineChars="100" w:firstLine="220"/>
              <w:jc w:val="right"/>
              <w:rPr>
                <w:rFonts w:eastAsia="Times New Roman" w:cstheme="minorHAnsi"/>
                <w:color w:val="000000"/>
              </w:rPr>
            </w:pPr>
          </w:p>
        </w:tc>
        <w:tc>
          <w:tcPr>
            <w:tcW w:w="2100" w:type="dxa"/>
            <w:tcBorders>
              <w:top w:val="nil"/>
              <w:left w:val="nil"/>
              <w:bottom w:val="nil"/>
              <w:right w:val="nil"/>
            </w:tcBorders>
            <w:shd w:val="clear" w:color="auto" w:fill="auto"/>
            <w:vAlign w:val="center"/>
            <w:hideMark/>
          </w:tcPr>
          <w:p w14:paraId="5767E659" w14:textId="77777777" w:rsidR="00B060FA" w:rsidRPr="00B91F3C" w:rsidRDefault="00B060FA" w:rsidP="0027141A">
            <w:pPr>
              <w:spacing w:line="240" w:lineRule="auto"/>
              <w:jc w:val="right"/>
              <w:rPr>
                <w:rFonts w:eastAsia="Times New Roman" w:cstheme="minorHAnsi"/>
                <w:color w:val="000000"/>
              </w:rPr>
            </w:pPr>
            <w:r w:rsidRPr="00B91F3C">
              <w:rPr>
                <w:color w:val="000000"/>
              </w:rPr>
              <w:t xml:space="preserve">                            75,27 </w:t>
            </w:r>
          </w:p>
        </w:tc>
        <w:tc>
          <w:tcPr>
            <w:tcW w:w="2100" w:type="dxa"/>
            <w:tcBorders>
              <w:top w:val="nil"/>
              <w:left w:val="nil"/>
              <w:bottom w:val="nil"/>
              <w:right w:val="nil"/>
            </w:tcBorders>
            <w:shd w:val="clear" w:color="auto" w:fill="auto"/>
            <w:vAlign w:val="center"/>
            <w:hideMark/>
          </w:tcPr>
          <w:p w14:paraId="47FCC451" w14:textId="77777777" w:rsidR="00B060FA" w:rsidRPr="00B91F3C" w:rsidRDefault="00B060FA" w:rsidP="0027141A">
            <w:pPr>
              <w:spacing w:line="240" w:lineRule="auto"/>
              <w:jc w:val="center"/>
              <w:rPr>
                <w:rFonts w:eastAsia="Times New Roman" w:cstheme="minorHAnsi"/>
                <w:color w:val="000000"/>
              </w:rPr>
            </w:pPr>
          </w:p>
        </w:tc>
      </w:tr>
      <w:tr w:rsidR="00B060FA" w:rsidRPr="00B91F3C" w14:paraId="5786E735" w14:textId="77777777" w:rsidTr="00B060FA">
        <w:trPr>
          <w:trHeight w:val="570"/>
        </w:trPr>
        <w:tc>
          <w:tcPr>
            <w:tcW w:w="3380" w:type="dxa"/>
            <w:tcBorders>
              <w:top w:val="nil"/>
              <w:left w:val="nil"/>
              <w:bottom w:val="nil"/>
              <w:right w:val="nil"/>
            </w:tcBorders>
            <w:shd w:val="clear" w:color="auto" w:fill="auto"/>
            <w:vAlign w:val="center"/>
            <w:hideMark/>
          </w:tcPr>
          <w:p w14:paraId="050E4476" w14:textId="09A1AC30" w:rsidR="00B060FA" w:rsidRPr="00B91F3C" w:rsidRDefault="00B060FA" w:rsidP="00C418C2">
            <w:pPr>
              <w:spacing w:line="240" w:lineRule="auto"/>
              <w:rPr>
                <w:rFonts w:eastAsia="Times New Roman" w:cstheme="minorHAnsi"/>
                <w:color w:val="000000"/>
              </w:rPr>
            </w:pPr>
            <w:r w:rsidRPr="00B91F3C">
              <w:rPr>
                <w:color w:val="000000"/>
              </w:rPr>
              <w:t>Чистые и здоровые океаны</w:t>
            </w:r>
          </w:p>
        </w:tc>
        <w:tc>
          <w:tcPr>
            <w:tcW w:w="2100" w:type="dxa"/>
            <w:tcBorders>
              <w:top w:val="nil"/>
              <w:left w:val="nil"/>
              <w:bottom w:val="nil"/>
              <w:right w:val="nil"/>
            </w:tcBorders>
            <w:shd w:val="clear" w:color="auto" w:fill="auto"/>
            <w:vAlign w:val="center"/>
            <w:hideMark/>
          </w:tcPr>
          <w:p w14:paraId="0F650317" w14:textId="77777777" w:rsidR="00B060FA" w:rsidRPr="00B91F3C" w:rsidRDefault="00B060FA" w:rsidP="0027141A">
            <w:pPr>
              <w:spacing w:line="240" w:lineRule="auto"/>
              <w:ind w:firstLineChars="100" w:firstLine="220"/>
              <w:jc w:val="right"/>
              <w:rPr>
                <w:rFonts w:eastAsia="Times New Roman" w:cstheme="minorHAnsi"/>
                <w:color w:val="000000"/>
              </w:rPr>
            </w:pPr>
          </w:p>
        </w:tc>
        <w:tc>
          <w:tcPr>
            <w:tcW w:w="2100" w:type="dxa"/>
            <w:tcBorders>
              <w:top w:val="nil"/>
              <w:left w:val="nil"/>
              <w:bottom w:val="nil"/>
              <w:right w:val="nil"/>
            </w:tcBorders>
            <w:shd w:val="clear" w:color="auto" w:fill="auto"/>
            <w:vAlign w:val="center"/>
            <w:hideMark/>
          </w:tcPr>
          <w:p w14:paraId="313440E1" w14:textId="77777777" w:rsidR="00B060FA" w:rsidRPr="00B91F3C" w:rsidRDefault="00B060FA" w:rsidP="0027141A">
            <w:pPr>
              <w:spacing w:line="240" w:lineRule="auto"/>
              <w:jc w:val="right"/>
              <w:rPr>
                <w:rFonts w:eastAsia="Times New Roman" w:cstheme="minorHAnsi"/>
                <w:color w:val="000000"/>
              </w:rPr>
            </w:pPr>
            <w:r w:rsidRPr="00B91F3C">
              <w:rPr>
                <w:color w:val="000000"/>
              </w:rPr>
              <w:t xml:space="preserve">                            38,88 </w:t>
            </w:r>
          </w:p>
        </w:tc>
        <w:tc>
          <w:tcPr>
            <w:tcW w:w="2100" w:type="dxa"/>
            <w:tcBorders>
              <w:top w:val="nil"/>
              <w:left w:val="nil"/>
              <w:bottom w:val="nil"/>
              <w:right w:val="nil"/>
            </w:tcBorders>
            <w:shd w:val="clear" w:color="auto" w:fill="auto"/>
            <w:vAlign w:val="center"/>
            <w:hideMark/>
          </w:tcPr>
          <w:p w14:paraId="3CA9C211" w14:textId="77777777" w:rsidR="00B060FA" w:rsidRPr="00B91F3C" w:rsidRDefault="00B060FA" w:rsidP="0027141A">
            <w:pPr>
              <w:spacing w:line="240" w:lineRule="auto"/>
              <w:jc w:val="center"/>
              <w:rPr>
                <w:rFonts w:eastAsia="Times New Roman" w:cstheme="minorHAnsi"/>
                <w:color w:val="000000"/>
              </w:rPr>
            </w:pPr>
          </w:p>
        </w:tc>
      </w:tr>
      <w:tr w:rsidR="00B060FA" w:rsidRPr="00B91F3C" w14:paraId="4D13C99E" w14:textId="77777777" w:rsidTr="00B060FA">
        <w:trPr>
          <w:trHeight w:val="570"/>
        </w:trPr>
        <w:tc>
          <w:tcPr>
            <w:tcW w:w="3380" w:type="dxa"/>
            <w:tcBorders>
              <w:top w:val="nil"/>
              <w:left w:val="nil"/>
              <w:bottom w:val="nil"/>
              <w:right w:val="nil"/>
            </w:tcBorders>
            <w:shd w:val="clear" w:color="auto" w:fill="auto"/>
            <w:vAlign w:val="center"/>
            <w:hideMark/>
          </w:tcPr>
          <w:p w14:paraId="3B83331D" w14:textId="77777777" w:rsidR="00B060FA" w:rsidRPr="00B91F3C" w:rsidRDefault="00B060FA" w:rsidP="00C418C2">
            <w:pPr>
              <w:spacing w:line="240" w:lineRule="auto"/>
              <w:rPr>
                <w:color w:val="000000"/>
              </w:rPr>
            </w:pPr>
            <w:r w:rsidRPr="00B91F3C">
              <w:rPr>
                <w:color w:val="000000"/>
              </w:rPr>
              <w:t xml:space="preserve">Ускоритель нулевого уровня выбросов </w:t>
            </w:r>
          </w:p>
          <w:p w14:paraId="6D60BEB5" w14:textId="70F5996A" w:rsidR="00EF6778" w:rsidRPr="00B91F3C" w:rsidRDefault="00EF6778" w:rsidP="00C418C2">
            <w:pPr>
              <w:spacing w:line="240" w:lineRule="auto"/>
              <w:rPr>
                <w:rFonts w:eastAsia="Times New Roman" w:cstheme="minorHAnsi"/>
                <w:color w:val="000000"/>
              </w:rPr>
            </w:pPr>
          </w:p>
        </w:tc>
        <w:tc>
          <w:tcPr>
            <w:tcW w:w="2100" w:type="dxa"/>
            <w:tcBorders>
              <w:top w:val="nil"/>
              <w:left w:val="nil"/>
              <w:bottom w:val="nil"/>
              <w:right w:val="nil"/>
            </w:tcBorders>
            <w:shd w:val="clear" w:color="auto" w:fill="auto"/>
            <w:vAlign w:val="center"/>
            <w:hideMark/>
          </w:tcPr>
          <w:p w14:paraId="33811985" w14:textId="77777777" w:rsidR="00B060FA" w:rsidRPr="00B91F3C" w:rsidRDefault="00B060FA" w:rsidP="0027141A">
            <w:pPr>
              <w:spacing w:line="240" w:lineRule="auto"/>
              <w:ind w:firstLineChars="100" w:firstLine="220"/>
              <w:jc w:val="right"/>
              <w:rPr>
                <w:rFonts w:eastAsia="Times New Roman" w:cstheme="minorHAnsi"/>
                <w:color w:val="000000"/>
              </w:rPr>
            </w:pPr>
          </w:p>
        </w:tc>
        <w:tc>
          <w:tcPr>
            <w:tcW w:w="2100" w:type="dxa"/>
            <w:tcBorders>
              <w:top w:val="nil"/>
              <w:left w:val="nil"/>
              <w:bottom w:val="nil"/>
              <w:right w:val="nil"/>
            </w:tcBorders>
            <w:shd w:val="clear" w:color="auto" w:fill="auto"/>
            <w:vAlign w:val="center"/>
            <w:hideMark/>
          </w:tcPr>
          <w:p w14:paraId="7ABCCF37" w14:textId="77777777" w:rsidR="00B060FA" w:rsidRPr="00B91F3C" w:rsidRDefault="00B060FA" w:rsidP="0027141A">
            <w:pPr>
              <w:spacing w:line="240" w:lineRule="auto"/>
              <w:jc w:val="right"/>
              <w:rPr>
                <w:rFonts w:eastAsia="Times New Roman" w:cstheme="minorHAnsi"/>
                <w:color w:val="000000"/>
              </w:rPr>
            </w:pPr>
            <w:r w:rsidRPr="00B91F3C">
              <w:rPr>
                <w:color w:val="000000"/>
              </w:rPr>
              <w:t xml:space="preserve">                            43,78 </w:t>
            </w:r>
          </w:p>
        </w:tc>
        <w:tc>
          <w:tcPr>
            <w:tcW w:w="2100" w:type="dxa"/>
            <w:tcBorders>
              <w:top w:val="nil"/>
              <w:left w:val="nil"/>
              <w:bottom w:val="nil"/>
              <w:right w:val="nil"/>
            </w:tcBorders>
            <w:shd w:val="clear" w:color="auto" w:fill="auto"/>
            <w:vAlign w:val="center"/>
            <w:hideMark/>
          </w:tcPr>
          <w:p w14:paraId="38667142" w14:textId="77777777" w:rsidR="00B060FA" w:rsidRPr="00B91F3C" w:rsidRDefault="00B060FA" w:rsidP="0027141A">
            <w:pPr>
              <w:spacing w:line="240" w:lineRule="auto"/>
              <w:jc w:val="center"/>
              <w:rPr>
                <w:rFonts w:eastAsia="Times New Roman" w:cstheme="minorHAnsi"/>
                <w:color w:val="000000"/>
              </w:rPr>
            </w:pPr>
          </w:p>
        </w:tc>
      </w:tr>
      <w:tr w:rsidR="00B060FA" w:rsidRPr="00B91F3C" w14:paraId="264A05FE" w14:textId="77777777" w:rsidTr="00B060FA">
        <w:trPr>
          <w:trHeight w:val="570"/>
        </w:trPr>
        <w:tc>
          <w:tcPr>
            <w:tcW w:w="3380" w:type="dxa"/>
            <w:tcBorders>
              <w:top w:val="nil"/>
              <w:left w:val="nil"/>
              <w:bottom w:val="nil"/>
              <w:right w:val="nil"/>
            </w:tcBorders>
            <w:shd w:val="clear" w:color="auto" w:fill="auto"/>
            <w:vAlign w:val="center"/>
            <w:hideMark/>
          </w:tcPr>
          <w:p w14:paraId="0B2A87AC" w14:textId="687F622D" w:rsidR="00B060FA" w:rsidRPr="00B91F3C" w:rsidRDefault="00B060FA" w:rsidP="00C418C2">
            <w:pPr>
              <w:spacing w:line="240" w:lineRule="auto"/>
              <w:rPr>
                <w:rFonts w:eastAsia="Times New Roman" w:cstheme="minorHAnsi"/>
                <w:color w:val="000000"/>
              </w:rPr>
            </w:pPr>
            <w:r w:rsidRPr="00B91F3C">
              <w:rPr>
                <w:color w:val="000000"/>
              </w:rPr>
              <w:t xml:space="preserve">Сохранение дикой природы в интересах развития </w:t>
            </w:r>
          </w:p>
        </w:tc>
        <w:tc>
          <w:tcPr>
            <w:tcW w:w="2100" w:type="dxa"/>
            <w:tcBorders>
              <w:top w:val="nil"/>
              <w:left w:val="nil"/>
              <w:bottom w:val="nil"/>
              <w:right w:val="nil"/>
            </w:tcBorders>
            <w:shd w:val="clear" w:color="auto" w:fill="auto"/>
            <w:vAlign w:val="center"/>
            <w:hideMark/>
          </w:tcPr>
          <w:p w14:paraId="79A379B8" w14:textId="77777777" w:rsidR="00B060FA" w:rsidRPr="00B91F3C" w:rsidRDefault="00B060FA" w:rsidP="0027141A">
            <w:pPr>
              <w:spacing w:line="240" w:lineRule="auto"/>
              <w:ind w:firstLineChars="100" w:firstLine="220"/>
              <w:jc w:val="right"/>
              <w:rPr>
                <w:rFonts w:eastAsia="Times New Roman" w:cstheme="minorHAnsi"/>
                <w:color w:val="000000"/>
              </w:rPr>
            </w:pPr>
          </w:p>
        </w:tc>
        <w:tc>
          <w:tcPr>
            <w:tcW w:w="2100" w:type="dxa"/>
            <w:tcBorders>
              <w:top w:val="nil"/>
              <w:left w:val="nil"/>
              <w:bottom w:val="nil"/>
              <w:right w:val="nil"/>
            </w:tcBorders>
            <w:shd w:val="clear" w:color="auto" w:fill="auto"/>
            <w:vAlign w:val="center"/>
            <w:hideMark/>
          </w:tcPr>
          <w:p w14:paraId="0F817671" w14:textId="77777777" w:rsidR="00B060FA" w:rsidRPr="00B91F3C" w:rsidRDefault="00B060FA" w:rsidP="0027141A">
            <w:pPr>
              <w:spacing w:line="240" w:lineRule="auto"/>
              <w:jc w:val="right"/>
              <w:rPr>
                <w:rFonts w:eastAsia="Times New Roman" w:cstheme="minorHAnsi"/>
                <w:color w:val="000000"/>
              </w:rPr>
            </w:pPr>
            <w:r w:rsidRPr="00B91F3C">
              <w:rPr>
                <w:color w:val="000000"/>
              </w:rPr>
              <w:t xml:space="preserve">                          124,47 </w:t>
            </w:r>
          </w:p>
        </w:tc>
        <w:tc>
          <w:tcPr>
            <w:tcW w:w="2100" w:type="dxa"/>
            <w:tcBorders>
              <w:top w:val="nil"/>
              <w:left w:val="nil"/>
              <w:bottom w:val="nil"/>
              <w:right w:val="nil"/>
            </w:tcBorders>
            <w:shd w:val="clear" w:color="auto" w:fill="auto"/>
            <w:vAlign w:val="center"/>
            <w:hideMark/>
          </w:tcPr>
          <w:p w14:paraId="74A9846B" w14:textId="77777777" w:rsidR="00B060FA" w:rsidRPr="00B91F3C" w:rsidRDefault="00B060FA" w:rsidP="0027141A">
            <w:pPr>
              <w:spacing w:line="240" w:lineRule="auto"/>
              <w:jc w:val="center"/>
              <w:rPr>
                <w:rFonts w:eastAsia="Times New Roman" w:cstheme="minorHAnsi"/>
                <w:color w:val="000000"/>
              </w:rPr>
            </w:pPr>
          </w:p>
        </w:tc>
      </w:tr>
      <w:tr w:rsidR="00B060FA" w:rsidRPr="00B91F3C" w14:paraId="32278828" w14:textId="77777777" w:rsidTr="00B060FA">
        <w:trPr>
          <w:trHeight w:val="855"/>
        </w:trPr>
        <w:tc>
          <w:tcPr>
            <w:tcW w:w="3380" w:type="dxa"/>
            <w:tcBorders>
              <w:top w:val="nil"/>
              <w:left w:val="nil"/>
              <w:bottom w:val="nil"/>
              <w:right w:val="nil"/>
            </w:tcBorders>
            <w:shd w:val="clear" w:color="auto" w:fill="auto"/>
            <w:vAlign w:val="center"/>
            <w:hideMark/>
          </w:tcPr>
          <w:p w14:paraId="00D4A457" w14:textId="3233D0BB" w:rsidR="00B060FA" w:rsidRPr="00B91F3C" w:rsidRDefault="00B060FA" w:rsidP="00C418C2">
            <w:pPr>
              <w:spacing w:line="240" w:lineRule="auto"/>
              <w:rPr>
                <w:rFonts w:eastAsia="Times New Roman" w:cstheme="minorHAnsi"/>
                <w:color w:val="000000"/>
              </w:rPr>
            </w:pPr>
            <w:r w:rsidRPr="00B91F3C">
              <w:rPr>
                <w:color w:val="000000"/>
              </w:rPr>
              <w:lastRenderedPageBreak/>
              <w:t>Зеленое развитие транспортной инфраструктуры</w:t>
            </w:r>
          </w:p>
        </w:tc>
        <w:tc>
          <w:tcPr>
            <w:tcW w:w="2100" w:type="dxa"/>
            <w:tcBorders>
              <w:top w:val="nil"/>
              <w:left w:val="nil"/>
              <w:bottom w:val="nil"/>
              <w:right w:val="nil"/>
            </w:tcBorders>
            <w:shd w:val="clear" w:color="auto" w:fill="auto"/>
            <w:vAlign w:val="center"/>
            <w:hideMark/>
          </w:tcPr>
          <w:p w14:paraId="78B14085" w14:textId="77777777" w:rsidR="00B060FA" w:rsidRPr="00B91F3C" w:rsidRDefault="00B060FA" w:rsidP="0027141A">
            <w:pPr>
              <w:spacing w:line="240" w:lineRule="auto"/>
              <w:ind w:firstLineChars="100" w:firstLine="220"/>
              <w:jc w:val="right"/>
              <w:rPr>
                <w:rFonts w:eastAsia="Times New Roman" w:cstheme="minorHAnsi"/>
                <w:color w:val="000000"/>
              </w:rPr>
            </w:pPr>
          </w:p>
        </w:tc>
        <w:tc>
          <w:tcPr>
            <w:tcW w:w="2100" w:type="dxa"/>
            <w:tcBorders>
              <w:top w:val="nil"/>
              <w:left w:val="nil"/>
              <w:bottom w:val="nil"/>
              <w:right w:val="nil"/>
            </w:tcBorders>
            <w:shd w:val="clear" w:color="auto" w:fill="auto"/>
            <w:vAlign w:val="center"/>
            <w:hideMark/>
          </w:tcPr>
          <w:p w14:paraId="430520E2" w14:textId="77777777" w:rsidR="00B060FA" w:rsidRPr="00B91F3C" w:rsidRDefault="00B060FA" w:rsidP="0027141A">
            <w:pPr>
              <w:spacing w:line="240" w:lineRule="auto"/>
              <w:jc w:val="right"/>
              <w:rPr>
                <w:rFonts w:eastAsia="Times New Roman" w:cstheme="minorHAnsi"/>
                <w:color w:val="000000"/>
              </w:rPr>
            </w:pPr>
            <w:r w:rsidRPr="00B91F3C">
              <w:rPr>
                <w:color w:val="000000"/>
              </w:rPr>
              <w:t xml:space="preserve">                            17,79 </w:t>
            </w:r>
          </w:p>
        </w:tc>
        <w:tc>
          <w:tcPr>
            <w:tcW w:w="2100" w:type="dxa"/>
            <w:tcBorders>
              <w:top w:val="nil"/>
              <w:left w:val="nil"/>
              <w:bottom w:val="nil"/>
              <w:right w:val="nil"/>
            </w:tcBorders>
            <w:shd w:val="clear" w:color="auto" w:fill="auto"/>
            <w:vAlign w:val="center"/>
            <w:hideMark/>
          </w:tcPr>
          <w:p w14:paraId="36CB5924" w14:textId="77777777" w:rsidR="00B060FA" w:rsidRPr="00B91F3C" w:rsidRDefault="00B060FA" w:rsidP="0027141A">
            <w:pPr>
              <w:spacing w:line="240" w:lineRule="auto"/>
              <w:jc w:val="center"/>
              <w:rPr>
                <w:rFonts w:eastAsia="Times New Roman" w:cstheme="minorHAnsi"/>
                <w:color w:val="000000"/>
              </w:rPr>
            </w:pPr>
          </w:p>
        </w:tc>
      </w:tr>
      <w:tr w:rsidR="00B060FA" w:rsidRPr="00B91F3C" w14:paraId="2AA37141" w14:textId="77777777" w:rsidTr="00B060FA">
        <w:trPr>
          <w:trHeight w:val="578"/>
        </w:trPr>
        <w:tc>
          <w:tcPr>
            <w:tcW w:w="3380" w:type="dxa"/>
            <w:tcBorders>
              <w:top w:val="nil"/>
              <w:left w:val="nil"/>
              <w:bottom w:val="nil"/>
              <w:right w:val="nil"/>
            </w:tcBorders>
            <w:shd w:val="clear" w:color="auto" w:fill="auto"/>
            <w:vAlign w:val="center"/>
            <w:hideMark/>
          </w:tcPr>
          <w:p w14:paraId="319F2459" w14:textId="4B85E75D" w:rsidR="00B060FA" w:rsidRPr="00B91F3C" w:rsidRDefault="00B060FA" w:rsidP="00C418C2">
            <w:pPr>
              <w:spacing w:line="240" w:lineRule="auto"/>
              <w:rPr>
                <w:rFonts w:eastAsia="Times New Roman" w:cstheme="minorHAnsi"/>
                <w:color w:val="000000"/>
              </w:rPr>
            </w:pPr>
            <w:r w:rsidRPr="00B91F3C">
              <w:rPr>
                <w:color w:val="000000"/>
              </w:rPr>
              <w:t>Ликвидация опасных химических веществ в цепочке поставок</w:t>
            </w:r>
          </w:p>
        </w:tc>
        <w:tc>
          <w:tcPr>
            <w:tcW w:w="2100" w:type="dxa"/>
            <w:tcBorders>
              <w:top w:val="nil"/>
              <w:left w:val="nil"/>
              <w:bottom w:val="nil"/>
              <w:right w:val="nil"/>
            </w:tcBorders>
            <w:shd w:val="clear" w:color="auto" w:fill="auto"/>
            <w:vAlign w:val="center"/>
            <w:hideMark/>
          </w:tcPr>
          <w:p w14:paraId="41423E8D" w14:textId="77777777" w:rsidR="00B060FA" w:rsidRPr="00B91F3C" w:rsidRDefault="00B060FA" w:rsidP="0027141A">
            <w:pPr>
              <w:spacing w:line="240" w:lineRule="auto"/>
              <w:ind w:firstLineChars="100" w:firstLine="220"/>
              <w:jc w:val="right"/>
              <w:rPr>
                <w:rFonts w:eastAsia="Times New Roman" w:cstheme="minorHAnsi"/>
                <w:color w:val="000000"/>
              </w:rPr>
            </w:pPr>
          </w:p>
        </w:tc>
        <w:tc>
          <w:tcPr>
            <w:tcW w:w="2100" w:type="dxa"/>
            <w:tcBorders>
              <w:top w:val="nil"/>
              <w:left w:val="nil"/>
              <w:bottom w:val="nil"/>
              <w:right w:val="nil"/>
            </w:tcBorders>
            <w:shd w:val="clear" w:color="auto" w:fill="auto"/>
            <w:vAlign w:val="center"/>
            <w:hideMark/>
          </w:tcPr>
          <w:p w14:paraId="2566875C" w14:textId="25B7D4F5" w:rsidR="00B060FA" w:rsidRPr="00B91F3C" w:rsidRDefault="00B209F8" w:rsidP="0027141A">
            <w:pPr>
              <w:spacing w:line="240" w:lineRule="auto"/>
              <w:jc w:val="right"/>
              <w:rPr>
                <w:rFonts w:eastAsia="Times New Roman" w:cstheme="minorHAnsi"/>
              </w:rPr>
            </w:pPr>
            <w:r w:rsidRPr="00B91F3C">
              <w:t>-</w:t>
            </w:r>
          </w:p>
        </w:tc>
        <w:tc>
          <w:tcPr>
            <w:tcW w:w="2100" w:type="dxa"/>
            <w:tcBorders>
              <w:top w:val="nil"/>
              <w:left w:val="nil"/>
              <w:bottom w:val="nil"/>
              <w:right w:val="nil"/>
            </w:tcBorders>
            <w:shd w:val="clear" w:color="auto" w:fill="auto"/>
            <w:vAlign w:val="center"/>
            <w:hideMark/>
          </w:tcPr>
          <w:p w14:paraId="6963899E" w14:textId="77777777" w:rsidR="00B060FA" w:rsidRPr="00B91F3C" w:rsidRDefault="00B060FA" w:rsidP="0027141A">
            <w:pPr>
              <w:spacing w:line="240" w:lineRule="auto"/>
              <w:jc w:val="center"/>
              <w:rPr>
                <w:rFonts w:eastAsia="Times New Roman" w:cstheme="minorHAnsi"/>
              </w:rPr>
            </w:pPr>
          </w:p>
        </w:tc>
      </w:tr>
      <w:tr w:rsidR="00B060FA" w:rsidRPr="00B91F3C" w14:paraId="46517142" w14:textId="77777777" w:rsidTr="00B060FA">
        <w:trPr>
          <w:trHeight w:val="293"/>
        </w:trPr>
        <w:tc>
          <w:tcPr>
            <w:tcW w:w="3380" w:type="dxa"/>
            <w:tcBorders>
              <w:top w:val="single" w:sz="8" w:space="0" w:color="008000"/>
              <w:left w:val="nil"/>
              <w:bottom w:val="single" w:sz="12" w:space="0" w:color="008000"/>
              <w:right w:val="nil"/>
            </w:tcBorders>
            <w:shd w:val="clear" w:color="auto" w:fill="auto"/>
            <w:vAlign w:val="center"/>
            <w:hideMark/>
          </w:tcPr>
          <w:p w14:paraId="5B3C91F2" w14:textId="77777777" w:rsidR="00B060FA" w:rsidRPr="00B91F3C" w:rsidRDefault="00B060FA" w:rsidP="00B060FA">
            <w:pPr>
              <w:spacing w:line="240" w:lineRule="auto"/>
              <w:rPr>
                <w:rFonts w:eastAsia="Times New Roman" w:cstheme="minorHAnsi"/>
                <w:b/>
                <w:bCs/>
                <w:color w:val="000000"/>
              </w:rPr>
            </w:pPr>
            <w:r w:rsidRPr="00B91F3C">
              <w:rPr>
                <w:b/>
                <w:color w:val="000000"/>
              </w:rPr>
              <w:t>Всего средств</w:t>
            </w:r>
          </w:p>
        </w:tc>
        <w:tc>
          <w:tcPr>
            <w:tcW w:w="2100" w:type="dxa"/>
            <w:tcBorders>
              <w:top w:val="single" w:sz="8" w:space="0" w:color="008000"/>
              <w:left w:val="nil"/>
              <w:bottom w:val="single" w:sz="12" w:space="0" w:color="008000"/>
              <w:right w:val="nil"/>
            </w:tcBorders>
            <w:shd w:val="clear" w:color="auto" w:fill="auto"/>
            <w:vAlign w:val="center"/>
            <w:hideMark/>
          </w:tcPr>
          <w:p w14:paraId="3DB7C7C2" w14:textId="620FDFB2" w:rsidR="00B060FA" w:rsidRPr="00B91F3C" w:rsidRDefault="00B060FA" w:rsidP="0027141A">
            <w:pPr>
              <w:spacing w:line="240" w:lineRule="auto"/>
              <w:jc w:val="right"/>
              <w:rPr>
                <w:rFonts w:eastAsia="Times New Roman" w:cstheme="minorHAnsi"/>
                <w:b/>
                <w:bCs/>
                <w:color w:val="000000"/>
              </w:rPr>
            </w:pPr>
            <w:r w:rsidRPr="00B91F3C">
              <w:rPr>
                <w:b/>
                <w:color w:val="000000"/>
              </w:rPr>
              <w:t xml:space="preserve">1 918,80 </w:t>
            </w:r>
          </w:p>
        </w:tc>
        <w:tc>
          <w:tcPr>
            <w:tcW w:w="2100" w:type="dxa"/>
            <w:tcBorders>
              <w:top w:val="single" w:sz="8" w:space="0" w:color="008000"/>
              <w:left w:val="nil"/>
              <w:bottom w:val="single" w:sz="12" w:space="0" w:color="008000"/>
              <w:right w:val="nil"/>
            </w:tcBorders>
            <w:shd w:val="clear" w:color="auto" w:fill="auto"/>
            <w:vAlign w:val="center"/>
            <w:hideMark/>
          </w:tcPr>
          <w:p w14:paraId="4E7724F5" w14:textId="0AB2AD8F" w:rsidR="00B060FA" w:rsidRPr="00B91F3C" w:rsidRDefault="00B060FA" w:rsidP="0027141A">
            <w:pPr>
              <w:spacing w:line="240" w:lineRule="auto"/>
              <w:jc w:val="right"/>
              <w:rPr>
                <w:rFonts w:eastAsia="Times New Roman" w:cstheme="minorHAnsi"/>
                <w:b/>
                <w:bCs/>
                <w:color w:val="000000"/>
              </w:rPr>
            </w:pPr>
            <w:r w:rsidRPr="00B91F3C">
              <w:rPr>
                <w:b/>
                <w:color w:val="000000"/>
              </w:rPr>
              <w:t xml:space="preserve">1 158,54 </w:t>
            </w:r>
          </w:p>
        </w:tc>
        <w:tc>
          <w:tcPr>
            <w:tcW w:w="2100" w:type="dxa"/>
            <w:tcBorders>
              <w:top w:val="single" w:sz="8" w:space="0" w:color="008000"/>
              <w:left w:val="nil"/>
              <w:bottom w:val="single" w:sz="12" w:space="0" w:color="008000"/>
              <w:right w:val="nil"/>
            </w:tcBorders>
            <w:shd w:val="clear" w:color="auto" w:fill="auto"/>
            <w:vAlign w:val="center"/>
            <w:hideMark/>
          </w:tcPr>
          <w:p w14:paraId="4BD1AFC8" w14:textId="77777777" w:rsidR="00B060FA" w:rsidRPr="00B91F3C" w:rsidRDefault="00B060FA" w:rsidP="0027141A">
            <w:pPr>
              <w:spacing w:line="240" w:lineRule="auto"/>
              <w:jc w:val="center"/>
              <w:rPr>
                <w:rFonts w:eastAsia="Times New Roman" w:cstheme="minorHAnsi"/>
                <w:b/>
                <w:bCs/>
                <w:color w:val="000000"/>
              </w:rPr>
            </w:pPr>
            <w:r w:rsidRPr="00B91F3C">
              <w:rPr>
                <w:b/>
                <w:color w:val="000000"/>
              </w:rPr>
              <w:t>60%</w:t>
            </w:r>
          </w:p>
        </w:tc>
      </w:tr>
    </w:tbl>
    <w:p w14:paraId="1D3650AA" w14:textId="66ACEC99" w:rsidR="00D30DB1" w:rsidRPr="00B91F3C" w:rsidRDefault="00D30DB1" w:rsidP="004E0A93">
      <w:pPr>
        <w:pStyle w:val="Titre2"/>
      </w:pPr>
      <w:bookmarkStart w:id="50" w:name="_Toc165893307"/>
      <w:bookmarkStart w:id="51" w:name="_Toc165899242"/>
      <w:bookmarkEnd w:id="47"/>
      <w:r w:rsidRPr="00B91F3C">
        <w:t>Гранты на подготовку проектов</w:t>
      </w:r>
      <w:bookmarkEnd w:id="50"/>
      <w:bookmarkEnd w:id="51"/>
      <w:r w:rsidRPr="00B91F3C">
        <w:t xml:space="preserve"> </w:t>
      </w:r>
      <w:bookmarkEnd w:id="48"/>
    </w:p>
    <w:p w14:paraId="5D3CC29C" w14:textId="6953F111" w:rsidR="00D30DB1" w:rsidRPr="00B91F3C" w:rsidRDefault="00E33B0C" w:rsidP="007655D1">
      <w:pPr>
        <w:pStyle w:val="Paragraphedeliste"/>
      </w:pPr>
      <w:r w:rsidRPr="00B91F3C">
        <w:t xml:space="preserve">В качестве первого шага в разработке проектов для целевого фонда ГЭФ </w:t>
      </w:r>
      <w:r w:rsidR="00EF6778" w:rsidRPr="00B91F3C">
        <w:t>Глобальный экологический фонд</w:t>
      </w:r>
      <w:r w:rsidRPr="00B91F3C">
        <w:t xml:space="preserve"> предоставляет финансирование в виде грантов на подготовку проекта (ГПП), чтобы помочь странам-получателям разработать проектное предложение на основе концепции проекта (бланк идентификации проекта) для последующего утвержден</w:t>
      </w:r>
      <w:r w:rsidR="00EF6778" w:rsidRPr="00B91F3C">
        <w:t xml:space="preserve">ия исполнительным директором. </w:t>
      </w:r>
      <w:r w:rsidRPr="00B91F3C">
        <w:t>За отчетный период было утверждено двести шестьдесят восемь (268) ГПП на сумму 51,74 млн долл. США</w:t>
      </w:r>
      <w:r w:rsidR="005B7CFC" w:rsidRPr="00B91F3C">
        <w:rPr>
          <w:rFonts w:ascii="Calibri" w:eastAsia="MS Mincho" w:hAnsi="Calibri" w:cs="Angsana New"/>
          <w:vertAlign w:val="superscript"/>
        </w:rPr>
        <w:footnoteReference w:id="15"/>
      </w:r>
      <w:r w:rsidRPr="00B91F3C">
        <w:t>.</w:t>
      </w:r>
    </w:p>
    <w:p w14:paraId="594912FD" w14:textId="77777777" w:rsidR="005877DF" w:rsidRPr="00B91F3C" w:rsidRDefault="005877DF" w:rsidP="004E0A93">
      <w:pPr>
        <w:pStyle w:val="Titre2"/>
      </w:pPr>
      <w:bookmarkStart w:id="52" w:name="_Toc165893308"/>
      <w:bookmarkStart w:id="53" w:name="_Toc165899243"/>
      <w:bookmarkStart w:id="54" w:name="_Toc136871749"/>
      <w:bookmarkStart w:id="55" w:name="_Toc155558256"/>
      <w:r w:rsidRPr="00B91F3C">
        <w:t xml:space="preserve">Поддержка осуществления </w:t>
      </w:r>
      <w:proofErr w:type="spellStart"/>
      <w:r w:rsidRPr="00B91F3C">
        <w:t>Картахенского</w:t>
      </w:r>
      <w:proofErr w:type="spellEnd"/>
      <w:r w:rsidRPr="00B91F3C">
        <w:t xml:space="preserve"> протокола по биобезопасности к Конвенции о биологическом разнообразии</w:t>
      </w:r>
      <w:bookmarkEnd w:id="52"/>
      <w:bookmarkEnd w:id="53"/>
      <w:r w:rsidRPr="00B91F3C">
        <w:t xml:space="preserve"> </w:t>
      </w:r>
    </w:p>
    <w:p w14:paraId="636A4D86" w14:textId="1D8A3FBE" w:rsidR="005877DF" w:rsidRPr="00B91F3C" w:rsidRDefault="005877DF" w:rsidP="007655D1">
      <w:pPr>
        <w:pStyle w:val="Paragraphedeliste"/>
      </w:pPr>
      <w:r w:rsidRPr="00B91F3C">
        <w:t>В течение отчетного периода Сторонами, имеющими право на помощь, не было представлено ни одного про</w:t>
      </w:r>
      <w:r w:rsidR="00B55CB5" w:rsidRPr="00B91F3C">
        <w:t xml:space="preserve">екта в поддержку осуществления </w:t>
      </w:r>
      <w:proofErr w:type="spellStart"/>
      <w:r w:rsidRPr="00B91F3C">
        <w:t>Картахенского</w:t>
      </w:r>
      <w:proofErr w:type="spellEnd"/>
      <w:r w:rsidRPr="00B91F3C">
        <w:t xml:space="preserve"> протокола.</w:t>
      </w:r>
    </w:p>
    <w:p w14:paraId="002CF0D0" w14:textId="72BB0CB9" w:rsidR="005877DF" w:rsidRPr="00B91F3C" w:rsidRDefault="005877DF" w:rsidP="004E0A93">
      <w:pPr>
        <w:pStyle w:val="Titre2"/>
      </w:pPr>
      <w:bookmarkStart w:id="56" w:name="_Toc165893309"/>
      <w:bookmarkStart w:id="57" w:name="_Toc165899244"/>
      <w:r w:rsidRPr="00B91F3C">
        <w:t>Поддержка ратификации и осуществления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w:t>
      </w:r>
      <w:bookmarkEnd w:id="56"/>
      <w:bookmarkEnd w:id="57"/>
      <w:r w:rsidRPr="00B91F3C">
        <w:t xml:space="preserve"> </w:t>
      </w:r>
    </w:p>
    <w:p w14:paraId="571F1AF3" w14:textId="251E9D39" w:rsidR="005877DF" w:rsidRPr="00B91F3C" w:rsidRDefault="005877DF" w:rsidP="007655D1">
      <w:pPr>
        <w:pStyle w:val="Paragraphedeliste"/>
      </w:pPr>
      <w:r w:rsidRPr="00B91F3C">
        <w:t>За отчетный период Буркина-Фасо представила один проект в поддержку национального осуществления и создания соответствующего потенциала «Внедрение Нагойского протокола регулирования доступа к генетическим ресурсам и совместного использования выгод и режима традиционных знаний в Буркина-Фасо (ONATRAB)», который в настоящее вр</w:t>
      </w:r>
      <w:r w:rsidR="00326980" w:rsidRPr="00B91F3C">
        <w:t xml:space="preserve">емя находится на рассмотрении. </w:t>
      </w:r>
      <w:r w:rsidRPr="00B91F3C">
        <w:t xml:space="preserve">Помимо этого, был представлен и утвержден проект в Бразилии под названием «Расширение прав и возможностей коренных народов и местных общин (КНМО) в области управления данными и информацией о биоразнообразии в качестве стратегии сохранения их территорий и традиционных знаний и в целях содействия комплексному управлению биоразнообразием». (Проектное финансирование ГЭФ: 6 192 695 долл. США; Софинансирование: 49 450 000 долл. США). Цель этого проекта заключается в укреплении потенциала КНМО в биомах Амазонки и </w:t>
      </w:r>
      <w:proofErr w:type="spellStart"/>
      <w:r w:rsidRPr="00B91F3C">
        <w:t>Серраду</w:t>
      </w:r>
      <w:proofErr w:type="spellEnd"/>
      <w:r w:rsidRPr="00B91F3C">
        <w:t xml:space="preserve"> в отношении производства данных и информации о биоразнообразии и управления ими в качестве стратегии для эффективной защиты территорий</w:t>
      </w:r>
      <w:r w:rsidR="00326980" w:rsidRPr="00B91F3C">
        <w:t xml:space="preserve"> КНМО</w:t>
      </w:r>
      <w:r w:rsidRPr="00B91F3C">
        <w:t>, сохранения традиционных знаний и в целях содействия комплексном</w:t>
      </w:r>
      <w:r w:rsidR="00326980" w:rsidRPr="00B91F3C">
        <w:t xml:space="preserve">у управлению биоразнообразием. </w:t>
      </w:r>
      <w:r w:rsidRPr="00B91F3C">
        <w:t xml:space="preserve">Биоразнообразие на территориях КНМО остается относительно малоизученным, </w:t>
      </w:r>
      <w:r w:rsidR="00326980" w:rsidRPr="00B91F3C">
        <w:t>и</w:t>
      </w:r>
      <w:r w:rsidRPr="00B91F3C">
        <w:t xml:space="preserve"> </w:t>
      </w:r>
      <w:r w:rsidR="00326980" w:rsidRPr="00B91F3C">
        <w:t>в этой связи</w:t>
      </w:r>
      <w:r w:rsidRPr="00B91F3C">
        <w:t xml:space="preserve"> проект направлен на укрепление </w:t>
      </w:r>
      <w:r w:rsidRPr="00B91F3C">
        <w:lastRenderedPageBreak/>
        <w:t>потенциала КНМО применительно к эффективному управлению их территориями и сохранению их систем традиционных знаний. Обзоры биоразнообразия, осуществляемые КНМО, позволят систематизировать информацию об использовании видов и активизировать устойчивое использование и сохранение, что будет способствовать более систематическому управлению биоразнообразием силами КНМО в целях улучшения результатов природоохранной деятельности. Мероприятия в рамках проекта включают совместную разработку протоколов по обмену данными и информацией и создание потенциала КНМО для использования инновационных технологий в области обмена данными и инструментов для отслеживания. Эта работа будет проводиться под эгидой Бразильской системы информации о биоразнообразии (</w:t>
      </w:r>
      <w:proofErr w:type="spellStart"/>
      <w:r w:rsidRPr="00B91F3C">
        <w:t>SiBBr</w:t>
      </w:r>
      <w:proofErr w:type="spellEnd"/>
      <w:r w:rsidRPr="00B91F3C">
        <w:t xml:space="preserve">) и предполагает сотрудничество трех министерств. Речь идет о новаторской пионерской работе по систематизации научных знаний КНМО в интересах охраны природы, включая дальнейшее расширение прав и возможностей КНМО путем создания базы знаний, с тем чтобы они могли требовать совместного использования на справедливой и равной основе выгод от применения генетических ресурсов, имеющихся на их территориях, при одновременном повышении эффективности управления этими охраняемыми районами. Этот проект будет способствовать оптимизации управления биоразнообразием на 1,5 млн га территорий, принадлежащих коренным народам. Этот проект </w:t>
      </w:r>
      <w:r w:rsidR="00042ACF" w:rsidRPr="00B91F3C">
        <w:t xml:space="preserve">обеспечит непосредственные выгоды </w:t>
      </w:r>
      <w:r w:rsidRPr="00B91F3C">
        <w:t>3 000 женщин и 2 000 мужчин.</w:t>
      </w:r>
    </w:p>
    <w:p w14:paraId="1308D784" w14:textId="44866AAD" w:rsidR="000E11A5" w:rsidRPr="00B91F3C" w:rsidRDefault="005877DF" w:rsidP="004E0A93">
      <w:pPr>
        <w:pStyle w:val="Titre2"/>
      </w:pPr>
      <w:bookmarkStart w:id="58" w:name="_Toc165893310"/>
      <w:bookmarkStart w:id="59" w:name="_Toc165899245"/>
      <w:r w:rsidRPr="00B91F3C">
        <w:t>Стимулирующие мероприятия</w:t>
      </w:r>
      <w:bookmarkEnd w:id="58"/>
      <w:bookmarkEnd w:id="59"/>
    </w:p>
    <w:p w14:paraId="5F48E2BF" w14:textId="10073F73" w:rsidR="00D1712D" w:rsidRPr="00B91F3C" w:rsidRDefault="00E92C47" w:rsidP="007655D1">
      <w:pPr>
        <w:pStyle w:val="Paragraphedeliste"/>
      </w:pPr>
      <w:r w:rsidRPr="00B91F3C">
        <w:t>За отчетный период были утверждены две крупные глобальные программы в поддержку стимулирующих мероприятий.</w:t>
      </w:r>
    </w:p>
    <w:p w14:paraId="2C4994C3" w14:textId="7BE1F91C" w:rsidR="00D1712D" w:rsidRPr="00B91F3C" w:rsidRDefault="00FF2690" w:rsidP="007655D1">
      <w:pPr>
        <w:pStyle w:val="Paragraphedeliste"/>
        <w:rPr>
          <w:bCs/>
        </w:rPr>
      </w:pPr>
      <w:r w:rsidRPr="00B91F3C">
        <w:t>Комплексная программа в поддержку пересмотра и обновления НСПДСБ и подготовки седьмых национальных докладов была утверждена в течение отчетного периода в рамках одного проекта, осуществляемого ЮНЕП в качес</w:t>
      </w:r>
      <w:r w:rsidR="00042ACF" w:rsidRPr="00B91F3C">
        <w:t xml:space="preserve">тве учреждения-исполнителя ГЭФ </w:t>
      </w:r>
      <w:r w:rsidRPr="00B91F3C">
        <w:t>(проектное финансирование ГЭФ: 36 435 000 долл. США), и одного проекта, осуществляемого ПРООН в качестве учреждения-исполнителя ГЭФ (проектное финансирование ГЭФ: 35 600 000 долл. США). Каждый из проектов в</w:t>
      </w:r>
      <w:r w:rsidR="003C0D84" w:rsidRPr="00B91F3C">
        <w:t xml:space="preserve">ключает в себя три компонента: </w:t>
      </w:r>
      <w:r w:rsidRPr="00B91F3C">
        <w:rPr>
          <w:i/>
        </w:rPr>
        <w:t>Компонент 1)</w:t>
      </w:r>
      <w:r w:rsidRPr="00B91F3C">
        <w:t xml:space="preserve"> Обновление НСПДСБ: Этот компонент включает пересмотр и обновление имеющихся НСПДСБ в целях их согласования с КМГПБ. Эта деятельность будет опираться на результаты работы, начатой в рамках проекта ГЭФ-7 «Скорейшие действия в поддержку глобальной рамочной программы в области биоразнообразия», и послужит дополнением к ней; </w:t>
      </w:r>
      <w:r w:rsidRPr="00B91F3C">
        <w:rPr>
          <w:i/>
        </w:rPr>
        <w:t>Компонент 2)</w:t>
      </w:r>
      <w:r w:rsidRPr="00B91F3C">
        <w:t xml:space="preserve"> Представление национальной отчетности: Этот компонент включает оценку прогресса в осуществлении КБР на основе национальных докладов КБР; и </w:t>
      </w:r>
      <w:r w:rsidRPr="00B91F3C">
        <w:rPr>
          <w:i/>
        </w:rPr>
        <w:t>Компонент 3)</w:t>
      </w:r>
      <w:r w:rsidRPr="00B91F3C">
        <w:t xml:space="preserve"> Обмен знаниями на глобальном уровне и техническая поддержка: Этот компонент </w:t>
      </w:r>
      <w:r w:rsidR="003C0D84" w:rsidRPr="00B91F3C">
        <w:t>охватывает</w:t>
      </w:r>
      <w:r w:rsidRPr="00B91F3C">
        <w:t xml:space="preserve"> поддержку знаний и обмена ими между всеми сторонами в общемировых масштабах. Эта программа </w:t>
      </w:r>
      <w:r w:rsidR="003C0D84" w:rsidRPr="00B91F3C">
        <w:t>должна обеспечить</w:t>
      </w:r>
      <w:r w:rsidRPr="00B91F3C">
        <w:t xml:space="preserve"> два основных результата по каждой стране: </w:t>
      </w:r>
      <w:r w:rsidR="003C0D84" w:rsidRPr="00B91F3C">
        <w:t>н</w:t>
      </w:r>
      <w:r w:rsidRPr="00B91F3C">
        <w:t>ациональная стратегия и план действий по сохранению биоразнообразия (в пересмотренном виде) и национальный доклад КБР. В общей сложности эта Комплексная программа оказывает поддержку 139 странам.</w:t>
      </w:r>
    </w:p>
    <w:p w14:paraId="120B38B6" w14:textId="7F8C7A17" w:rsidR="00171F1A" w:rsidRPr="00B91F3C" w:rsidRDefault="00700CDE" w:rsidP="007655D1">
      <w:pPr>
        <w:pStyle w:val="Paragraphedeliste"/>
        <w:rPr>
          <w:bCs/>
        </w:rPr>
      </w:pPr>
      <w:r w:rsidRPr="00B91F3C">
        <w:lastRenderedPageBreak/>
        <w:t xml:space="preserve">Кроме того, «Комплексная программа в поддержку разработки национальных планов по финансированию биоразнообразия (проектное финансирование ГЭФ: 38 190 000 долл. США) оказывает поддержку 91 стране в разработке национальных планов финансирования деятельности в области биоразнообразия и призвана обеспечить странам возможность масштабной мобилизации ресурсов для осуществления КМГПБ путем содействия разработке национальных планов финансирования деятельности в области биоразнообразия, включая диагностику исходных параметров, потенциал </w:t>
      </w:r>
      <w:r w:rsidR="003C0D84" w:rsidRPr="00B91F3C">
        <w:t xml:space="preserve">и институциональные механизмы. </w:t>
      </w:r>
      <w:r w:rsidRPr="00B91F3C">
        <w:t>Эта деятельность соответствует задаче 3 стратегии в области биоразнообразия, которая касается содействия мобилизации внутренних ресурсов. Эта глобальная программа оказывает поддержку странам, которые еще не получали помощи от Инициативы по финансированию биоразнообразия (БИОФИН) ПРООН. Основным результатом проекта должен стать национальный план финансирования биоразнообразия, подготовленн</w:t>
      </w:r>
      <w:r w:rsidR="00606FFC" w:rsidRPr="00B91F3C">
        <w:t xml:space="preserve">ый каждой из стран-участников. </w:t>
      </w:r>
      <w:r w:rsidRPr="00B91F3C">
        <w:t xml:space="preserve">Помимо этого, в рамках программы будет создана платформа для обмена знаниями на общемировом уровне и оказания технической поддержки, которая будет способствовать обмену знаниями и опытом между участвующими странами при </w:t>
      </w:r>
      <w:r w:rsidR="003C0D84" w:rsidRPr="00B91F3C">
        <w:t>содействии</w:t>
      </w:r>
      <w:r w:rsidRPr="00B91F3C">
        <w:t xml:space="preserve"> партнерских организаций. Эта платформа будет предоставлять технические рекомендации экспертов в поддержку национальных процессов и рассматривать технические финансовые вопросы.</w:t>
      </w:r>
    </w:p>
    <w:p w14:paraId="3AF21761" w14:textId="61268825" w:rsidR="00C91105" w:rsidRPr="00B91F3C" w:rsidRDefault="00C91105" w:rsidP="004E0A93">
      <w:pPr>
        <w:pStyle w:val="Titre2"/>
      </w:pPr>
      <w:bookmarkStart w:id="60" w:name="_Toc165893311"/>
      <w:bookmarkStart w:id="61" w:name="_Toc165899246"/>
      <w:r w:rsidRPr="00B91F3C">
        <w:t>Вклад комплексных программ (КП) ГЭФ в выполнение задач Куньминско-Монреальской глобальной рамочной программы в области биоразнообразия</w:t>
      </w:r>
      <w:bookmarkStart w:id="62" w:name="_Toc136871750"/>
      <w:bookmarkEnd w:id="54"/>
      <w:r w:rsidRPr="00B91F3C">
        <w:t xml:space="preserve"> в течение отчетного периода</w:t>
      </w:r>
      <w:bookmarkEnd w:id="60"/>
      <w:bookmarkEnd w:id="61"/>
      <w:bookmarkEnd w:id="62"/>
    </w:p>
    <w:p w14:paraId="7477B801" w14:textId="4B34B4F9" w:rsidR="00C91105" w:rsidRPr="00B91F3C" w:rsidRDefault="00C91105" w:rsidP="007655D1">
      <w:pPr>
        <w:pStyle w:val="Paragraphedeliste"/>
        <w:rPr>
          <w:i/>
          <w:iCs/>
        </w:rPr>
      </w:pPr>
      <w:r w:rsidRPr="00B91F3C">
        <w:t>В программных направлениях ГЭФ-8 упоминаются одиннадцать КП и их потенциальный вклад в осуществление глобальной рамочной программы в области биоразнообразия на период после 2020 года, которая была принята как Куньминско-Монреальская глобальная рамочная программа в области биоразнообразия (КМГПБ). Важно отметить, что фактические индикаторы достижения результатов, измеренные с помощью основных индикаторов ГЭФ, могут измениться после того, как подчиненные проекты в рамках КП будут представлены на утверждение исполнительному директору.</w:t>
      </w:r>
    </w:p>
    <w:p w14:paraId="2FDB016A" w14:textId="03E721B1" w:rsidR="00C91105" w:rsidRPr="00B91F3C" w:rsidRDefault="003C0D84" w:rsidP="007655D1">
      <w:pPr>
        <w:pStyle w:val="Paragraphedeliste"/>
      </w:pPr>
      <w:r w:rsidRPr="00B91F3C">
        <w:t>Каждая</w:t>
      </w:r>
      <w:r w:rsidR="00C91105" w:rsidRPr="00B91F3C">
        <w:t xml:space="preserve"> из десяти КП, утвержденных Советом ГЭФ в течение отчетного периода, внесет вклад в выполнение задач 20 (создание потенциала) и 21 (управление </w:t>
      </w:r>
      <w:r w:rsidRPr="00B91F3C">
        <w:t xml:space="preserve">данными/информацией/знаниями). </w:t>
      </w:r>
      <w:r w:rsidR="00C91105" w:rsidRPr="00B91F3C">
        <w:t>Хотя основные индикаторы ГЭФ не обеспечивают непосредственного измерения их результатов, большинство подчиненных проектов и глобальные координационные проекты каждой КП включают содействие выполнению этих задач в соответствии с их значимостью для достижени</w:t>
      </w:r>
      <w:r w:rsidRPr="00B91F3C">
        <w:t xml:space="preserve">я целей и выполнения задач КП. </w:t>
      </w:r>
      <w:r w:rsidR="00C91105" w:rsidRPr="00B91F3C">
        <w:t xml:space="preserve">Аналогичным образом, задачи 22 и 23 касаются способов осуществления КМГПБ на национальном уровне, при этом задача 22 посвящена равноправному, инклюзивному участию с учетом гендерных аспектов, а задача 23 </w:t>
      </w:r>
      <w:r w:rsidRPr="00B91F3C">
        <w:rPr>
          <w:rFonts w:cstheme="minorHAnsi"/>
        </w:rPr>
        <w:t>—</w:t>
      </w:r>
      <w:r w:rsidRPr="00B91F3C">
        <w:t xml:space="preserve"> гендерному равенству. </w:t>
      </w:r>
      <w:r w:rsidR="00C91105" w:rsidRPr="00B91F3C">
        <w:t xml:space="preserve">Рамки политики ГЭФ в отношении КНМО и гендерных вопросов обеспечивают вклад всех инвестиций ГЭФ в рамках целевого фонда ГЭФ в выполнение этих задач. </w:t>
      </w:r>
    </w:p>
    <w:p w14:paraId="7FD20D81" w14:textId="39FB783E" w:rsidR="00C91105" w:rsidRPr="00B91F3C" w:rsidRDefault="00C91105" w:rsidP="007655D1">
      <w:pPr>
        <w:pStyle w:val="Paragraphedeliste"/>
      </w:pPr>
      <w:r w:rsidRPr="00B91F3C">
        <w:lastRenderedPageBreak/>
        <w:t>В совокупности многие КП, обеспечивающие вклад в природоохранные меры на порайонной основе/устойчивое использование/учет вопросов биоразнообразия и согласование мер политики в поддержку сохранения и устойчивого использования биоразнообразия, будут приносить масштабные результаты в области биоразнообразия, каждый из которых будет способствовать выполнению задачи 11 (восстановление, поддержание и укрепление обеспечиваемого природой вклада на благо человека)</w:t>
      </w:r>
      <w:r w:rsidR="007C6838" w:rsidRPr="00B91F3C">
        <w:rPr>
          <w:rStyle w:val="Appelnotedebasdep"/>
        </w:rPr>
        <w:footnoteReference w:id="16"/>
      </w:r>
      <w:r w:rsidRPr="00B91F3C">
        <w:t>.</w:t>
      </w:r>
    </w:p>
    <w:p w14:paraId="6572CE07" w14:textId="1B62D897" w:rsidR="00C91105" w:rsidRPr="00B91F3C" w:rsidRDefault="00C91105" w:rsidP="007655D1">
      <w:pPr>
        <w:pStyle w:val="Paragraphedeliste"/>
      </w:pPr>
      <w:r w:rsidRPr="00B91F3C">
        <w:t>В таблице 5 приводится сводная информация о вкладе каждой КП в выполнение всех 23 задач КМГПБ, отражающая прогресс в выполнении задачи в широком смысле с помощью комплексных программ ГЭФ-8. В следующем разделе также приводится более подробное описание связей каждой из комплексных программ с КМГПБ, а также описывается их ожидаемый вклад в достижение целевых показателей по основным индикаторам ГЭФ-8.</w:t>
      </w:r>
    </w:p>
    <w:p w14:paraId="0056C24E" w14:textId="77777777" w:rsidR="00C91105" w:rsidRPr="00B91F3C" w:rsidRDefault="00C91105" w:rsidP="00C91105">
      <w:pPr>
        <w:rPr>
          <w:b/>
          <w:bCs/>
        </w:rPr>
      </w:pPr>
      <w:r w:rsidRPr="00B91F3C">
        <w:rPr>
          <w:b/>
        </w:rPr>
        <w:tab/>
      </w:r>
    </w:p>
    <w:p w14:paraId="297398B3" w14:textId="77777777" w:rsidR="002649CB" w:rsidRPr="00B91F3C" w:rsidRDefault="002649CB" w:rsidP="00C91105">
      <w:pPr>
        <w:rPr>
          <w:szCs w:val="24"/>
        </w:rPr>
        <w:sectPr w:rsidR="002649CB" w:rsidRPr="00B91F3C" w:rsidSect="009964DD">
          <w:pgSz w:w="12240" w:h="15840"/>
          <w:pgMar w:top="1440" w:right="1440" w:bottom="1440" w:left="1440" w:header="720" w:footer="720" w:gutter="0"/>
          <w:cols w:space="720"/>
          <w:docGrid w:linePitch="360"/>
        </w:sectPr>
      </w:pPr>
    </w:p>
    <w:p w14:paraId="21DB7D2F" w14:textId="44837E74" w:rsidR="00C91105" w:rsidRPr="00B91F3C" w:rsidRDefault="00B320F8" w:rsidP="00351AAB">
      <w:pPr>
        <w:pStyle w:val="Lgende"/>
      </w:pPr>
      <w:bookmarkStart w:id="63" w:name="_Toc165894854"/>
      <w:r w:rsidRPr="00B91F3C">
        <w:lastRenderedPageBreak/>
        <w:t xml:space="preserve">Таблица </w:t>
      </w:r>
      <w:r w:rsidR="0012399A" w:rsidRPr="00B91F3C">
        <w:t>5</w:t>
      </w:r>
      <w:r w:rsidR="005301DE" w:rsidRPr="00B91F3C">
        <w:t xml:space="preserve">. </w:t>
      </w:r>
      <w:r w:rsidRPr="00B91F3C">
        <w:t>Взаимосвязи между задачами Куньминско-Монреальской глобальной рамочной программы в области биоразнообразия и комплексными программами</w:t>
      </w:r>
      <w:bookmarkEnd w:id="63"/>
    </w:p>
    <w:p w14:paraId="3531EF59" w14:textId="77777777" w:rsidR="008847A6" w:rsidRPr="00B91F3C" w:rsidRDefault="008847A6" w:rsidP="00C91105"/>
    <w:tbl>
      <w:tblPr>
        <w:tblStyle w:val="PlainTable21"/>
        <w:tblW w:w="12955" w:type="dxa"/>
        <w:tblLayout w:type="fixed"/>
        <w:tblLook w:val="04A0" w:firstRow="1" w:lastRow="0" w:firstColumn="1" w:lastColumn="0" w:noHBand="0" w:noVBand="1"/>
      </w:tblPr>
      <w:tblGrid>
        <w:gridCol w:w="2758"/>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95"/>
      </w:tblGrid>
      <w:tr w:rsidR="008847A6" w:rsidRPr="00B91F3C" w14:paraId="58FA647F" w14:textId="77777777" w:rsidTr="00DA5094">
        <w:trPr>
          <w:cnfStyle w:val="100000000000" w:firstRow="1" w:lastRow="0" w:firstColumn="0" w:lastColumn="0" w:oddVBand="0" w:evenVBand="0" w:oddHBand="0"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7C5E47EA" w14:textId="77777777" w:rsidR="008847A6" w:rsidRPr="00B91F3C" w:rsidRDefault="008847A6" w:rsidP="008847A6">
            <w:pPr>
              <w:rPr>
                <w:rFonts w:eastAsia="Calibri" w:cstheme="minorHAnsi"/>
              </w:rPr>
            </w:pPr>
          </w:p>
        </w:tc>
        <w:tc>
          <w:tcPr>
            <w:tcW w:w="10197" w:type="dxa"/>
            <w:gridSpan w:val="23"/>
            <w:tcBorders>
              <w:top w:val="single" w:sz="4" w:space="0" w:color="7F7F7F"/>
              <w:left w:val="single" w:sz="4" w:space="0" w:color="auto"/>
            </w:tcBorders>
            <w:vAlign w:val="center"/>
          </w:tcPr>
          <w:p w14:paraId="47F9E607" w14:textId="77777777" w:rsidR="008847A6" w:rsidRPr="00B91F3C" w:rsidRDefault="008847A6" w:rsidP="008847A6">
            <w:pPr>
              <w:jc w:val="center"/>
              <w:cnfStyle w:val="100000000000" w:firstRow="1" w:lastRow="0" w:firstColumn="0" w:lastColumn="0" w:oddVBand="0" w:evenVBand="0" w:oddHBand="0" w:evenHBand="0" w:firstRowFirstColumn="0" w:firstRowLastColumn="0" w:lastRowFirstColumn="0" w:lastRowLastColumn="0"/>
              <w:rPr>
                <w:rFonts w:eastAsia="Calibri" w:cstheme="minorHAnsi"/>
              </w:rPr>
            </w:pPr>
            <w:r w:rsidRPr="00B91F3C">
              <w:t>23 задачи в рамках Куньминско-Монреальской глобальной рамочной программы в области биоразнообразия</w:t>
            </w:r>
            <w:r w:rsidRPr="00B91F3C">
              <w:rPr>
                <w:rFonts w:eastAsia="Calibri" w:cstheme="minorHAnsi"/>
                <w:vertAlign w:val="superscript"/>
              </w:rPr>
              <w:footnoteReference w:id="17"/>
            </w:r>
          </w:p>
        </w:tc>
      </w:tr>
      <w:tr w:rsidR="008847A6" w:rsidRPr="00B91F3C" w14:paraId="0BD71B7A" w14:textId="77777777" w:rsidTr="00DA5094">
        <w:trPr>
          <w:cnfStyle w:val="000000100000" w:firstRow="0" w:lastRow="0" w:firstColumn="0" w:lastColumn="0" w:oddVBand="0" w:evenVBand="0" w:oddHBand="1"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18EE40B1" w14:textId="0BB98EF9" w:rsidR="008847A6" w:rsidRPr="00B91F3C" w:rsidRDefault="008847A6" w:rsidP="004A6C80">
            <w:pPr>
              <w:jc w:val="center"/>
              <w:rPr>
                <w:rFonts w:eastAsia="Calibri" w:cstheme="minorHAnsi"/>
              </w:rPr>
            </w:pPr>
            <w:r w:rsidRPr="00B91F3C">
              <w:t>Комплексные программы</w:t>
            </w:r>
          </w:p>
        </w:tc>
        <w:tc>
          <w:tcPr>
            <w:tcW w:w="441" w:type="dxa"/>
            <w:tcBorders>
              <w:left w:val="single" w:sz="4" w:space="0" w:color="auto"/>
            </w:tcBorders>
            <w:vAlign w:val="center"/>
          </w:tcPr>
          <w:p w14:paraId="07349701"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B91F3C">
              <w:rPr>
                <w:b/>
              </w:rPr>
              <w:t>1</w:t>
            </w:r>
          </w:p>
        </w:tc>
        <w:tc>
          <w:tcPr>
            <w:tcW w:w="441" w:type="dxa"/>
            <w:vAlign w:val="center"/>
          </w:tcPr>
          <w:p w14:paraId="0791A688"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B91F3C">
              <w:rPr>
                <w:b/>
              </w:rPr>
              <w:t>2</w:t>
            </w:r>
          </w:p>
        </w:tc>
        <w:tc>
          <w:tcPr>
            <w:tcW w:w="441" w:type="dxa"/>
            <w:vAlign w:val="center"/>
          </w:tcPr>
          <w:p w14:paraId="79AE667A"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B91F3C">
              <w:rPr>
                <w:b/>
              </w:rPr>
              <w:t>3</w:t>
            </w:r>
          </w:p>
        </w:tc>
        <w:tc>
          <w:tcPr>
            <w:tcW w:w="441" w:type="dxa"/>
            <w:vAlign w:val="center"/>
          </w:tcPr>
          <w:p w14:paraId="329E4391"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B91F3C">
              <w:rPr>
                <w:b/>
              </w:rPr>
              <w:t>4</w:t>
            </w:r>
          </w:p>
        </w:tc>
        <w:tc>
          <w:tcPr>
            <w:tcW w:w="441" w:type="dxa"/>
            <w:vAlign w:val="center"/>
          </w:tcPr>
          <w:p w14:paraId="7C92E538"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B91F3C">
              <w:rPr>
                <w:b/>
              </w:rPr>
              <w:t>5</w:t>
            </w:r>
          </w:p>
        </w:tc>
        <w:tc>
          <w:tcPr>
            <w:tcW w:w="441" w:type="dxa"/>
            <w:vAlign w:val="center"/>
          </w:tcPr>
          <w:p w14:paraId="2A70837D"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B91F3C">
              <w:rPr>
                <w:b/>
              </w:rPr>
              <w:t>6</w:t>
            </w:r>
          </w:p>
        </w:tc>
        <w:tc>
          <w:tcPr>
            <w:tcW w:w="441" w:type="dxa"/>
            <w:vAlign w:val="center"/>
          </w:tcPr>
          <w:p w14:paraId="39712CD9"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B91F3C">
              <w:rPr>
                <w:b/>
              </w:rPr>
              <w:t>7</w:t>
            </w:r>
          </w:p>
        </w:tc>
        <w:tc>
          <w:tcPr>
            <w:tcW w:w="441" w:type="dxa"/>
            <w:vAlign w:val="center"/>
          </w:tcPr>
          <w:p w14:paraId="45D263E3"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B91F3C">
              <w:rPr>
                <w:b/>
              </w:rPr>
              <w:t>8</w:t>
            </w:r>
          </w:p>
        </w:tc>
        <w:tc>
          <w:tcPr>
            <w:tcW w:w="441" w:type="dxa"/>
            <w:vAlign w:val="center"/>
          </w:tcPr>
          <w:p w14:paraId="334EDA40"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B91F3C">
              <w:rPr>
                <w:b/>
              </w:rPr>
              <w:t>9</w:t>
            </w:r>
          </w:p>
        </w:tc>
        <w:tc>
          <w:tcPr>
            <w:tcW w:w="441" w:type="dxa"/>
            <w:vAlign w:val="center"/>
          </w:tcPr>
          <w:p w14:paraId="73179A78"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B91F3C">
              <w:rPr>
                <w:b/>
              </w:rPr>
              <w:t>10</w:t>
            </w:r>
          </w:p>
        </w:tc>
        <w:tc>
          <w:tcPr>
            <w:tcW w:w="441" w:type="dxa"/>
            <w:vAlign w:val="center"/>
          </w:tcPr>
          <w:p w14:paraId="6B8DE9E6"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B91F3C">
              <w:rPr>
                <w:b/>
              </w:rPr>
              <w:t>11</w:t>
            </w:r>
          </w:p>
        </w:tc>
        <w:tc>
          <w:tcPr>
            <w:tcW w:w="441" w:type="dxa"/>
            <w:vAlign w:val="center"/>
          </w:tcPr>
          <w:p w14:paraId="3E530395"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B91F3C">
              <w:rPr>
                <w:b/>
              </w:rPr>
              <w:t>12</w:t>
            </w:r>
          </w:p>
        </w:tc>
        <w:tc>
          <w:tcPr>
            <w:tcW w:w="441" w:type="dxa"/>
            <w:vAlign w:val="center"/>
          </w:tcPr>
          <w:p w14:paraId="11BD3BAE"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B91F3C">
              <w:rPr>
                <w:b/>
              </w:rPr>
              <w:t>13</w:t>
            </w:r>
          </w:p>
        </w:tc>
        <w:tc>
          <w:tcPr>
            <w:tcW w:w="441" w:type="dxa"/>
            <w:vAlign w:val="center"/>
          </w:tcPr>
          <w:p w14:paraId="23A73FCE"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B91F3C">
              <w:rPr>
                <w:b/>
              </w:rPr>
              <w:t>14</w:t>
            </w:r>
          </w:p>
        </w:tc>
        <w:tc>
          <w:tcPr>
            <w:tcW w:w="441" w:type="dxa"/>
            <w:vAlign w:val="center"/>
          </w:tcPr>
          <w:p w14:paraId="62478126"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B91F3C">
              <w:rPr>
                <w:b/>
              </w:rPr>
              <w:t>15</w:t>
            </w:r>
          </w:p>
        </w:tc>
        <w:tc>
          <w:tcPr>
            <w:tcW w:w="441" w:type="dxa"/>
            <w:vAlign w:val="center"/>
          </w:tcPr>
          <w:p w14:paraId="6C327B4C"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B91F3C">
              <w:rPr>
                <w:b/>
              </w:rPr>
              <w:t>16</w:t>
            </w:r>
          </w:p>
        </w:tc>
        <w:tc>
          <w:tcPr>
            <w:tcW w:w="441" w:type="dxa"/>
            <w:vAlign w:val="center"/>
          </w:tcPr>
          <w:p w14:paraId="67B11369"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B91F3C">
              <w:rPr>
                <w:b/>
              </w:rPr>
              <w:t>17</w:t>
            </w:r>
          </w:p>
        </w:tc>
        <w:tc>
          <w:tcPr>
            <w:tcW w:w="441" w:type="dxa"/>
            <w:vAlign w:val="center"/>
          </w:tcPr>
          <w:p w14:paraId="0F428647"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B91F3C">
              <w:rPr>
                <w:b/>
              </w:rPr>
              <w:t>18</w:t>
            </w:r>
          </w:p>
        </w:tc>
        <w:tc>
          <w:tcPr>
            <w:tcW w:w="441" w:type="dxa"/>
            <w:vAlign w:val="center"/>
          </w:tcPr>
          <w:p w14:paraId="06261130"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B91F3C">
              <w:rPr>
                <w:b/>
              </w:rPr>
              <w:t>19</w:t>
            </w:r>
          </w:p>
        </w:tc>
        <w:tc>
          <w:tcPr>
            <w:tcW w:w="441" w:type="dxa"/>
            <w:vAlign w:val="center"/>
          </w:tcPr>
          <w:p w14:paraId="7D6E052C"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B91F3C">
              <w:rPr>
                <w:b/>
              </w:rPr>
              <w:t>20</w:t>
            </w:r>
          </w:p>
        </w:tc>
        <w:tc>
          <w:tcPr>
            <w:tcW w:w="441" w:type="dxa"/>
            <w:vAlign w:val="center"/>
          </w:tcPr>
          <w:p w14:paraId="00C965AB"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B91F3C">
              <w:rPr>
                <w:b/>
              </w:rPr>
              <w:t>21</w:t>
            </w:r>
          </w:p>
        </w:tc>
        <w:tc>
          <w:tcPr>
            <w:tcW w:w="441" w:type="dxa"/>
            <w:vAlign w:val="center"/>
          </w:tcPr>
          <w:p w14:paraId="494E0E30"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B91F3C">
              <w:rPr>
                <w:b/>
              </w:rPr>
              <w:t>22</w:t>
            </w:r>
          </w:p>
        </w:tc>
        <w:tc>
          <w:tcPr>
            <w:tcW w:w="495" w:type="dxa"/>
            <w:vAlign w:val="center"/>
          </w:tcPr>
          <w:p w14:paraId="528322B3"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B91F3C">
              <w:rPr>
                <w:b/>
              </w:rPr>
              <w:t>23</w:t>
            </w:r>
          </w:p>
        </w:tc>
      </w:tr>
      <w:tr w:rsidR="008847A6" w:rsidRPr="00B91F3C" w14:paraId="65DD372F" w14:textId="77777777" w:rsidTr="00DA5094">
        <w:trPr>
          <w:trHeight w:val="509"/>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5645C0C1" w14:textId="77777777" w:rsidR="008847A6" w:rsidRPr="00B91F3C" w:rsidRDefault="008847A6" w:rsidP="008847A6">
            <w:pPr>
              <w:rPr>
                <w:rFonts w:eastAsia="Calibri" w:cstheme="minorHAnsi"/>
              </w:rPr>
            </w:pPr>
            <w:r w:rsidRPr="00B91F3C">
              <w:t>Восстановление</w:t>
            </w:r>
          </w:p>
          <w:p w14:paraId="4D00971C" w14:textId="77777777" w:rsidR="008847A6" w:rsidRPr="00B91F3C" w:rsidRDefault="008847A6" w:rsidP="008847A6">
            <w:pPr>
              <w:rPr>
                <w:rFonts w:eastAsia="Calibri" w:cstheme="minorHAnsi"/>
              </w:rPr>
            </w:pPr>
            <w:r w:rsidRPr="00B91F3C">
              <w:t xml:space="preserve">экосистем </w:t>
            </w:r>
          </w:p>
        </w:tc>
        <w:tc>
          <w:tcPr>
            <w:tcW w:w="441" w:type="dxa"/>
            <w:tcBorders>
              <w:top w:val="single" w:sz="4" w:space="0" w:color="7F7F7F"/>
              <w:left w:val="single" w:sz="4" w:space="0" w:color="auto"/>
              <w:bottom w:val="single" w:sz="4" w:space="0" w:color="7F7F7F"/>
            </w:tcBorders>
            <w:vAlign w:val="center"/>
          </w:tcPr>
          <w:p w14:paraId="2AB1F5B3"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c>
          <w:tcPr>
            <w:tcW w:w="441" w:type="dxa"/>
            <w:tcBorders>
              <w:top w:val="single" w:sz="4" w:space="0" w:color="7F7F7F"/>
              <w:bottom w:val="single" w:sz="4" w:space="0" w:color="7F7F7F"/>
            </w:tcBorders>
            <w:vAlign w:val="center"/>
          </w:tcPr>
          <w:p w14:paraId="082B966B"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c>
          <w:tcPr>
            <w:tcW w:w="441" w:type="dxa"/>
            <w:vAlign w:val="center"/>
          </w:tcPr>
          <w:p w14:paraId="0B3637CE"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A077E67"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4C890178"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F0A4072"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075725D1"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5527295"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c>
          <w:tcPr>
            <w:tcW w:w="441" w:type="dxa"/>
            <w:vAlign w:val="center"/>
          </w:tcPr>
          <w:p w14:paraId="370285B0"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6CF7651"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c>
          <w:tcPr>
            <w:tcW w:w="441" w:type="dxa"/>
            <w:vAlign w:val="center"/>
          </w:tcPr>
          <w:p w14:paraId="0FFB0946"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c>
          <w:tcPr>
            <w:tcW w:w="441" w:type="dxa"/>
            <w:vAlign w:val="center"/>
          </w:tcPr>
          <w:p w14:paraId="2C9F820C"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E4CC200"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61BB6A51"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c>
          <w:tcPr>
            <w:tcW w:w="441" w:type="dxa"/>
            <w:vAlign w:val="center"/>
          </w:tcPr>
          <w:p w14:paraId="6DEA8A0D"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c>
          <w:tcPr>
            <w:tcW w:w="441" w:type="dxa"/>
            <w:vAlign w:val="center"/>
          </w:tcPr>
          <w:p w14:paraId="59BF12C0"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123F3DAC"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1F2DB4DF"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7808A22"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593FF9E4"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c>
          <w:tcPr>
            <w:tcW w:w="441" w:type="dxa"/>
            <w:vAlign w:val="center"/>
          </w:tcPr>
          <w:p w14:paraId="06627ADF"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c>
          <w:tcPr>
            <w:tcW w:w="441" w:type="dxa"/>
            <w:vAlign w:val="center"/>
          </w:tcPr>
          <w:p w14:paraId="0B1064BA"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c>
          <w:tcPr>
            <w:tcW w:w="495" w:type="dxa"/>
            <w:vAlign w:val="center"/>
          </w:tcPr>
          <w:p w14:paraId="0EF4F164"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r>
      <w:tr w:rsidR="008847A6" w:rsidRPr="00B91F3C" w14:paraId="39BA3B54" w14:textId="77777777" w:rsidTr="00DA5094">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729AE634" w14:textId="77777777" w:rsidR="008847A6" w:rsidRPr="00B91F3C" w:rsidRDefault="008847A6" w:rsidP="008847A6">
            <w:pPr>
              <w:rPr>
                <w:rFonts w:eastAsia="Calibri" w:cstheme="minorHAnsi"/>
              </w:rPr>
            </w:pPr>
            <w:r w:rsidRPr="00B91F3C">
              <w:t>Голубые и зеленые острова</w:t>
            </w:r>
          </w:p>
        </w:tc>
        <w:tc>
          <w:tcPr>
            <w:tcW w:w="441" w:type="dxa"/>
            <w:tcBorders>
              <w:left w:val="single" w:sz="4" w:space="0" w:color="auto"/>
            </w:tcBorders>
            <w:vAlign w:val="center"/>
          </w:tcPr>
          <w:p w14:paraId="3B7E5AD1"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796EDC90"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2D107BF2"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6C6FC1A9"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16656CEE"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4C1095BE"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334D651A"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3B2C706F"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32E231EF"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2AA26EF9"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3488156F"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63AB0808"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33600A67"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067BCFB0"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56DB443D"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34D5C5EE"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08171946"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793155C9"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74B50B88"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60886900"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6C3103EF"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2F70C6FC"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95" w:type="dxa"/>
            <w:vAlign w:val="center"/>
          </w:tcPr>
          <w:p w14:paraId="148E7F66"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r>
      <w:tr w:rsidR="008847A6" w:rsidRPr="00B91F3C" w14:paraId="77697D83" w14:textId="77777777" w:rsidTr="00DA5094">
        <w:trPr>
          <w:trHeight w:val="509"/>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3882E619" w14:textId="77777777" w:rsidR="008847A6" w:rsidRPr="00B91F3C" w:rsidRDefault="008847A6" w:rsidP="008847A6">
            <w:pPr>
              <w:rPr>
                <w:rFonts w:eastAsia="Calibri" w:cstheme="minorHAnsi"/>
              </w:rPr>
            </w:pPr>
            <w:r w:rsidRPr="00B91F3C">
              <w:t>Ускоритель нулевого уровня выбросов</w:t>
            </w:r>
          </w:p>
        </w:tc>
        <w:tc>
          <w:tcPr>
            <w:tcW w:w="441" w:type="dxa"/>
            <w:tcBorders>
              <w:top w:val="single" w:sz="4" w:space="0" w:color="7F7F7F"/>
              <w:left w:val="single" w:sz="4" w:space="0" w:color="auto"/>
              <w:bottom w:val="single" w:sz="4" w:space="0" w:color="7F7F7F"/>
            </w:tcBorders>
            <w:vAlign w:val="center"/>
          </w:tcPr>
          <w:p w14:paraId="10C22C18"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tcBorders>
              <w:top w:val="single" w:sz="4" w:space="0" w:color="7F7F7F"/>
              <w:bottom w:val="single" w:sz="4" w:space="0" w:color="7F7F7F"/>
            </w:tcBorders>
            <w:vAlign w:val="center"/>
          </w:tcPr>
          <w:p w14:paraId="0422547D"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c>
          <w:tcPr>
            <w:tcW w:w="441" w:type="dxa"/>
            <w:vAlign w:val="center"/>
          </w:tcPr>
          <w:p w14:paraId="340FE2A1"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c>
          <w:tcPr>
            <w:tcW w:w="441" w:type="dxa"/>
            <w:vAlign w:val="center"/>
          </w:tcPr>
          <w:p w14:paraId="6075FC33"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295915D5"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59A75608"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039C5FF4"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2119CE76"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c>
          <w:tcPr>
            <w:tcW w:w="441" w:type="dxa"/>
            <w:vAlign w:val="center"/>
          </w:tcPr>
          <w:p w14:paraId="76124EE5"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76992B7"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c>
          <w:tcPr>
            <w:tcW w:w="441" w:type="dxa"/>
            <w:vAlign w:val="center"/>
          </w:tcPr>
          <w:p w14:paraId="682E4321"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c>
          <w:tcPr>
            <w:tcW w:w="441" w:type="dxa"/>
            <w:vAlign w:val="center"/>
          </w:tcPr>
          <w:p w14:paraId="51D24239"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0A435A81"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54F3B984"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c>
          <w:tcPr>
            <w:tcW w:w="441" w:type="dxa"/>
            <w:vAlign w:val="center"/>
          </w:tcPr>
          <w:p w14:paraId="2520CEB4"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6A68962"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6DF16511"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60BF2FBD"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c>
          <w:tcPr>
            <w:tcW w:w="441" w:type="dxa"/>
            <w:vAlign w:val="center"/>
          </w:tcPr>
          <w:p w14:paraId="21975B86"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c>
          <w:tcPr>
            <w:tcW w:w="441" w:type="dxa"/>
            <w:vAlign w:val="center"/>
          </w:tcPr>
          <w:p w14:paraId="469EF2CE"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c>
          <w:tcPr>
            <w:tcW w:w="441" w:type="dxa"/>
            <w:vAlign w:val="center"/>
          </w:tcPr>
          <w:p w14:paraId="5AD59B7B"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c>
          <w:tcPr>
            <w:tcW w:w="441" w:type="dxa"/>
            <w:vAlign w:val="center"/>
          </w:tcPr>
          <w:p w14:paraId="4FBAA4EF"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c>
          <w:tcPr>
            <w:tcW w:w="495" w:type="dxa"/>
            <w:vAlign w:val="center"/>
          </w:tcPr>
          <w:p w14:paraId="46564A34"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r>
      <w:tr w:rsidR="008847A6" w:rsidRPr="00B91F3C" w14:paraId="6691FD72" w14:textId="77777777" w:rsidTr="00DA5094">
        <w:trPr>
          <w:cnfStyle w:val="000000100000" w:firstRow="0" w:lastRow="0" w:firstColumn="0" w:lastColumn="0" w:oddVBand="0" w:evenVBand="0" w:oddHBand="1" w:evenHBand="0" w:firstRowFirstColumn="0" w:firstRowLastColumn="0" w:lastRowFirstColumn="0" w:lastRowLastColumn="0"/>
          <w:trHeight w:val="509"/>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2500F584" w14:textId="77777777" w:rsidR="008847A6" w:rsidRPr="00B91F3C" w:rsidRDefault="008847A6" w:rsidP="008847A6">
            <w:pPr>
              <w:rPr>
                <w:rFonts w:eastAsia="Calibri" w:cstheme="minorHAnsi"/>
              </w:rPr>
            </w:pPr>
            <w:r w:rsidRPr="00B91F3C">
              <w:t>Циркулярные решения проблемы пластикового загрязнения</w:t>
            </w:r>
          </w:p>
        </w:tc>
        <w:tc>
          <w:tcPr>
            <w:tcW w:w="441" w:type="dxa"/>
            <w:tcBorders>
              <w:left w:val="single" w:sz="4" w:space="0" w:color="auto"/>
            </w:tcBorders>
            <w:vAlign w:val="center"/>
          </w:tcPr>
          <w:p w14:paraId="30D78439"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56F84C2F"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0E8F79E0"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31432ED6"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7968A4E0"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3E8A1D1C"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538B9F33"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2E67542D"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4D15045C"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3A55183C"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6D8F9554"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3860A80F"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6F1C1AB1"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2438F0F0"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377FEBBF"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4183DFF2"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7B330D6B"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7096BF26"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6230099E"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67EDD321"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29C985F0"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3323FFB6"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95" w:type="dxa"/>
            <w:vAlign w:val="center"/>
          </w:tcPr>
          <w:p w14:paraId="0715B373"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r>
      <w:tr w:rsidR="008847A6" w:rsidRPr="00B91F3C" w14:paraId="7472871C" w14:textId="77777777" w:rsidTr="00DA5094">
        <w:trPr>
          <w:trHeight w:val="509"/>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09B4E0E0" w14:textId="77777777" w:rsidR="008847A6" w:rsidRPr="00B91F3C" w:rsidRDefault="008847A6" w:rsidP="008847A6">
            <w:pPr>
              <w:rPr>
                <w:rFonts w:eastAsia="Calibri" w:cstheme="minorHAnsi"/>
              </w:rPr>
            </w:pPr>
            <w:r w:rsidRPr="00B91F3C">
              <w:t>Ликвидация опасных химических веществ в цепочке поставок</w:t>
            </w:r>
          </w:p>
        </w:tc>
        <w:tc>
          <w:tcPr>
            <w:tcW w:w="441" w:type="dxa"/>
            <w:tcBorders>
              <w:top w:val="single" w:sz="4" w:space="0" w:color="7F7F7F"/>
              <w:left w:val="single" w:sz="4" w:space="0" w:color="auto"/>
              <w:bottom w:val="single" w:sz="4" w:space="0" w:color="7F7F7F"/>
            </w:tcBorders>
            <w:vAlign w:val="center"/>
          </w:tcPr>
          <w:p w14:paraId="7B239869"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tcBorders>
              <w:top w:val="single" w:sz="4" w:space="0" w:color="7F7F7F"/>
              <w:bottom w:val="single" w:sz="4" w:space="0" w:color="7F7F7F"/>
            </w:tcBorders>
            <w:vAlign w:val="center"/>
          </w:tcPr>
          <w:p w14:paraId="1F9AE656"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14834431"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0ADBC234"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2BB5F36C"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E48485A"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60CA7E5"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c>
          <w:tcPr>
            <w:tcW w:w="441" w:type="dxa"/>
            <w:vAlign w:val="center"/>
          </w:tcPr>
          <w:p w14:paraId="1E91D821"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c>
          <w:tcPr>
            <w:tcW w:w="441" w:type="dxa"/>
            <w:vAlign w:val="center"/>
          </w:tcPr>
          <w:p w14:paraId="5C1D3EF5"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69051617"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c>
          <w:tcPr>
            <w:tcW w:w="441" w:type="dxa"/>
            <w:vAlign w:val="center"/>
          </w:tcPr>
          <w:p w14:paraId="032D6F70"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c>
          <w:tcPr>
            <w:tcW w:w="441" w:type="dxa"/>
            <w:vAlign w:val="center"/>
          </w:tcPr>
          <w:p w14:paraId="0118D191"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02C4BCB"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2E648A5A"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c>
          <w:tcPr>
            <w:tcW w:w="441" w:type="dxa"/>
            <w:vAlign w:val="center"/>
          </w:tcPr>
          <w:p w14:paraId="621C5CB2"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c>
          <w:tcPr>
            <w:tcW w:w="441" w:type="dxa"/>
            <w:vAlign w:val="center"/>
          </w:tcPr>
          <w:p w14:paraId="751D117C"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734AB18"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A94AB09"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47240B9"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c>
          <w:tcPr>
            <w:tcW w:w="441" w:type="dxa"/>
            <w:vAlign w:val="center"/>
          </w:tcPr>
          <w:p w14:paraId="5E29EBD9"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c>
          <w:tcPr>
            <w:tcW w:w="441" w:type="dxa"/>
            <w:vAlign w:val="center"/>
          </w:tcPr>
          <w:p w14:paraId="0949BA61"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c>
          <w:tcPr>
            <w:tcW w:w="441" w:type="dxa"/>
            <w:vAlign w:val="center"/>
          </w:tcPr>
          <w:p w14:paraId="6C7FC6D8"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c>
          <w:tcPr>
            <w:tcW w:w="495" w:type="dxa"/>
            <w:vAlign w:val="center"/>
          </w:tcPr>
          <w:p w14:paraId="7CFC41BA"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r>
      <w:tr w:rsidR="008847A6" w:rsidRPr="00B91F3C" w14:paraId="4D48C8C6" w14:textId="77777777" w:rsidTr="00DA5094">
        <w:trPr>
          <w:cnfStyle w:val="000000100000" w:firstRow="0" w:lastRow="0" w:firstColumn="0" w:lastColumn="0" w:oddVBand="0" w:evenVBand="0" w:oddHBand="1"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68B637D4" w14:textId="77777777" w:rsidR="008847A6" w:rsidRPr="00B91F3C" w:rsidRDefault="008847A6" w:rsidP="008847A6">
            <w:pPr>
              <w:rPr>
                <w:rFonts w:eastAsia="Calibri" w:cstheme="minorHAnsi"/>
              </w:rPr>
            </w:pPr>
            <w:r w:rsidRPr="00B91F3C">
              <w:t>Амазонка, Конго и критические лесные биомы</w:t>
            </w:r>
          </w:p>
        </w:tc>
        <w:tc>
          <w:tcPr>
            <w:tcW w:w="441" w:type="dxa"/>
            <w:tcBorders>
              <w:left w:val="single" w:sz="4" w:space="0" w:color="auto"/>
            </w:tcBorders>
            <w:vAlign w:val="center"/>
          </w:tcPr>
          <w:p w14:paraId="3188A731"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6282E135"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5206A95C"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649C18F8"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5376C72C"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0EC3BE1A"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06609A21"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43059DAF"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497F172B"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2BA8A93C"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007129C2"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105BAB7B"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27CE4369"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2EFCDB30"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35719FEF"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63116DB3"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2EAA5454"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5771EE5C"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48D22314"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40988012"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35760928"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0C4A1C7A"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95" w:type="dxa"/>
            <w:vAlign w:val="center"/>
          </w:tcPr>
          <w:p w14:paraId="123318BD"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r>
      <w:tr w:rsidR="008847A6" w:rsidRPr="00B91F3C" w14:paraId="6390BB74" w14:textId="77777777" w:rsidTr="00DA5094">
        <w:trPr>
          <w:trHeight w:val="497"/>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7C4B4405" w14:textId="77777777" w:rsidR="008847A6" w:rsidRPr="00B91F3C" w:rsidRDefault="008847A6" w:rsidP="008847A6">
            <w:pPr>
              <w:rPr>
                <w:rFonts w:eastAsia="Calibri" w:cstheme="minorHAnsi"/>
              </w:rPr>
            </w:pPr>
            <w:r w:rsidRPr="00B91F3C">
              <w:t>Сохранение дикой природы в интересах развития</w:t>
            </w:r>
          </w:p>
        </w:tc>
        <w:tc>
          <w:tcPr>
            <w:tcW w:w="441" w:type="dxa"/>
            <w:tcBorders>
              <w:left w:val="single" w:sz="4" w:space="0" w:color="auto"/>
            </w:tcBorders>
            <w:vAlign w:val="center"/>
          </w:tcPr>
          <w:p w14:paraId="6E7D69D3"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5C51C726"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c>
          <w:tcPr>
            <w:tcW w:w="441" w:type="dxa"/>
            <w:vAlign w:val="center"/>
          </w:tcPr>
          <w:p w14:paraId="4851F49D"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c>
          <w:tcPr>
            <w:tcW w:w="441" w:type="dxa"/>
            <w:vAlign w:val="center"/>
          </w:tcPr>
          <w:p w14:paraId="0B2215E3"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c>
          <w:tcPr>
            <w:tcW w:w="441" w:type="dxa"/>
            <w:vAlign w:val="center"/>
          </w:tcPr>
          <w:p w14:paraId="35AE59B1"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c>
          <w:tcPr>
            <w:tcW w:w="441" w:type="dxa"/>
            <w:vAlign w:val="center"/>
          </w:tcPr>
          <w:p w14:paraId="7CB3A5ED"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12F17202"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53AF6269"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c>
          <w:tcPr>
            <w:tcW w:w="441" w:type="dxa"/>
            <w:vAlign w:val="center"/>
          </w:tcPr>
          <w:p w14:paraId="0A5F2C04"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c>
          <w:tcPr>
            <w:tcW w:w="441" w:type="dxa"/>
            <w:vAlign w:val="center"/>
          </w:tcPr>
          <w:p w14:paraId="00284F14"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c>
          <w:tcPr>
            <w:tcW w:w="441" w:type="dxa"/>
            <w:vAlign w:val="center"/>
          </w:tcPr>
          <w:p w14:paraId="256E5988"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c>
          <w:tcPr>
            <w:tcW w:w="441" w:type="dxa"/>
            <w:vAlign w:val="center"/>
          </w:tcPr>
          <w:p w14:paraId="156D70C8"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228C5744"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CFC7E6D"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D8B1AAC"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5C8B3B15"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6466858B"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4C1E1B6F"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A0F476B"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733A265"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c>
          <w:tcPr>
            <w:tcW w:w="441" w:type="dxa"/>
            <w:vAlign w:val="center"/>
          </w:tcPr>
          <w:p w14:paraId="12E9E452"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c>
          <w:tcPr>
            <w:tcW w:w="441" w:type="dxa"/>
            <w:vAlign w:val="center"/>
          </w:tcPr>
          <w:p w14:paraId="31E8D95C"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c>
          <w:tcPr>
            <w:tcW w:w="495" w:type="dxa"/>
            <w:vAlign w:val="center"/>
          </w:tcPr>
          <w:p w14:paraId="4CE76168"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r>
      <w:tr w:rsidR="008847A6" w:rsidRPr="00B91F3C" w14:paraId="01A36D79" w14:textId="77777777" w:rsidTr="00DA5094">
        <w:trPr>
          <w:cnfStyle w:val="000000100000" w:firstRow="0" w:lastRow="0" w:firstColumn="0" w:lastColumn="0" w:oddVBand="0" w:evenVBand="0" w:oddHBand="1"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427447D4" w14:textId="77777777" w:rsidR="008847A6" w:rsidRPr="00B91F3C" w:rsidRDefault="008847A6" w:rsidP="008847A6">
            <w:pPr>
              <w:rPr>
                <w:rFonts w:eastAsia="Calibri" w:cstheme="minorHAnsi"/>
              </w:rPr>
            </w:pPr>
            <w:r w:rsidRPr="00B91F3C">
              <w:t>Продовольственные системы</w:t>
            </w:r>
          </w:p>
        </w:tc>
        <w:tc>
          <w:tcPr>
            <w:tcW w:w="441" w:type="dxa"/>
            <w:tcBorders>
              <w:left w:val="single" w:sz="4" w:space="0" w:color="auto"/>
            </w:tcBorders>
            <w:vAlign w:val="center"/>
          </w:tcPr>
          <w:p w14:paraId="01F45F12"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16EFDADB"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0AABC893"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7B3A5EAE"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094F2AA8"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3D2422CF"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2E582662"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06C54683"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592EB8F3"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707A264E"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191C6AFC"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724107B5"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43D19381"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5A14934E"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6263F033"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2F02BEB4"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175AC1A1"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0FC306D9"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47EA5FA4"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0563E1E3"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63DD63A1"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3F441119"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95" w:type="dxa"/>
            <w:vAlign w:val="center"/>
          </w:tcPr>
          <w:p w14:paraId="3150BE5B"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r>
      <w:tr w:rsidR="008847A6" w:rsidRPr="00B91F3C" w14:paraId="7A0CBC0E" w14:textId="77777777" w:rsidTr="00DA5094">
        <w:trPr>
          <w:trHeight w:val="497"/>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75AB6836" w14:textId="77777777" w:rsidR="008847A6" w:rsidRPr="00B91F3C" w:rsidRDefault="008847A6" w:rsidP="008847A6">
            <w:pPr>
              <w:rPr>
                <w:rFonts w:eastAsia="Calibri" w:cstheme="minorHAnsi"/>
              </w:rPr>
            </w:pPr>
            <w:r w:rsidRPr="00B91F3C">
              <w:lastRenderedPageBreak/>
              <w:t>Чистые и здоровые океаны</w:t>
            </w:r>
          </w:p>
        </w:tc>
        <w:tc>
          <w:tcPr>
            <w:tcW w:w="441" w:type="dxa"/>
            <w:tcBorders>
              <w:left w:val="single" w:sz="4" w:space="0" w:color="auto"/>
            </w:tcBorders>
            <w:vAlign w:val="center"/>
          </w:tcPr>
          <w:p w14:paraId="4BC9D4BB"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18F2EBB8"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c>
          <w:tcPr>
            <w:tcW w:w="441" w:type="dxa"/>
            <w:vAlign w:val="center"/>
          </w:tcPr>
          <w:p w14:paraId="3A49A6E5"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c>
          <w:tcPr>
            <w:tcW w:w="441" w:type="dxa"/>
            <w:vAlign w:val="center"/>
          </w:tcPr>
          <w:p w14:paraId="369469BF"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6A993F5"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629E1A75"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6669EF77"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c>
          <w:tcPr>
            <w:tcW w:w="441" w:type="dxa"/>
            <w:vAlign w:val="center"/>
          </w:tcPr>
          <w:p w14:paraId="091496D4"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c>
          <w:tcPr>
            <w:tcW w:w="441" w:type="dxa"/>
            <w:vAlign w:val="center"/>
          </w:tcPr>
          <w:p w14:paraId="75EAFA62"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52948AB8"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c>
          <w:tcPr>
            <w:tcW w:w="441" w:type="dxa"/>
            <w:vAlign w:val="center"/>
          </w:tcPr>
          <w:p w14:paraId="279A9E45"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c>
          <w:tcPr>
            <w:tcW w:w="441" w:type="dxa"/>
            <w:vAlign w:val="center"/>
          </w:tcPr>
          <w:p w14:paraId="71B68658"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c>
          <w:tcPr>
            <w:tcW w:w="441" w:type="dxa"/>
            <w:vAlign w:val="center"/>
          </w:tcPr>
          <w:p w14:paraId="024CD08A"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57E8E744"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1CFD1132"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3896E73"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A5F0FF6"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6BF43691"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12DE4F97"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5A01185"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c>
          <w:tcPr>
            <w:tcW w:w="441" w:type="dxa"/>
            <w:vAlign w:val="center"/>
          </w:tcPr>
          <w:p w14:paraId="18CD07F7"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c>
          <w:tcPr>
            <w:tcW w:w="441" w:type="dxa"/>
            <w:vAlign w:val="center"/>
          </w:tcPr>
          <w:p w14:paraId="0CB750E5"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c>
          <w:tcPr>
            <w:tcW w:w="495" w:type="dxa"/>
            <w:vAlign w:val="center"/>
          </w:tcPr>
          <w:p w14:paraId="6FA72393" w14:textId="77777777" w:rsidR="008847A6" w:rsidRPr="00B91F3C"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B91F3C">
              <w:t>X</w:t>
            </w:r>
          </w:p>
        </w:tc>
      </w:tr>
      <w:tr w:rsidR="008847A6" w:rsidRPr="00B91F3C" w14:paraId="5DBBA54A" w14:textId="77777777" w:rsidTr="00DA5094">
        <w:trPr>
          <w:cnfStyle w:val="000000100000" w:firstRow="0" w:lastRow="0" w:firstColumn="0" w:lastColumn="0" w:oddVBand="0" w:evenVBand="0" w:oddHBand="1"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55975674" w14:textId="77777777" w:rsidR="008847A6" w:rsidRPr="00B91F3C" w:rsidRDefault="008847A6" w:rsidP="008847A6">
            <w:pPr>
              <w:rPr>
                <w:rFonts w:eastAsia="Calibri" w:cstheme="minorHAnsi"/>
              </w:rPr>
            </w:pPr>
            <w:r w:rsidRPr="00B91F3C">
              <w:t xml:space="preserve">Зеленое развитие транспортной инфраструктуры </w:t>
            </w:r>
          </w:p>
        </w:tc>
        <w:tc>
          <w:tcPr>
            <w:tcW w:w="441" w:type="dxa"/>
            <w:tcBorders>
              <w:left w:val="single" w:sz="4" w:space="0" w:color="auto"/>
            </w:tcBorders>
            <w:vAlign w:val="center"/>
          </w:tcPr>
          <w:p w14:paraId="29DC733D"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093DAF80"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1E8267CA"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0BD48342"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72BC2A67"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37B3B0CC"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039253DC"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1FA7D8EB"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0539797B"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08F60973"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61D5493B"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4E674F13"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6C51624B"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0934C1A6"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47F5AE15"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37243EFC"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04911DD8"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4E32A835"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086BD0B3"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2B321588"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3B70C638"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41" w:type="dxa"/>
            <w:vAlign w:val="center"/>
          </w:tcPr>
          <w:p w14:paraId="70711494"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c>
          <w:tcPr>
            <w:tcW w:w="495" w:type="dxa"/>
            <w:vAlign w:val="center"/>
          </w:tcPr>
          <w:p w14:paraId="3D2F617C" w14:textId="77777777" w:rsidR="008847A6" w:rsidRPr="00B91F3C"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B91F3C">
              <w:t>X</w:t>
            </w:r>
          </w:p>
        </w:tc>
      </w:tr>
    </w:tbl>
    <w:p w14:paraId="02C10085" w14:textId="77777777" w:rsidR="00C91105" w:rsidRPr="00B91F3C" w:rsidRDefault="00C91105" w:rsidP="00C91105">
      <w:pPr>
        <w:rPr>
          <w:b/>
          <w:bCs/>
          <w:sz w:val="24"/>
          <w:szCs w:val="24"/>
        </w:rPr>
      </w:pPr>
      <w:r w:rsidRPr="00B91F3C">
        <w:br w:type="page"/>
      </w:r>
    </w:p>
    <w:p w14:paraId="413DB2BA" w14:textId="77777777" w:rsidR="00C91105" w:rsidRPr="00B91F3C" w:rsidRDefault="00C91105" w:rsidP="00C91105">
      <w:pPr>
        <w:rPr>
          <w:b/>
          <w:bCs/>
          <w:sz w:val="24"/>
          <w:szCs w:val="24"/>
        </w:rPr>
        <w:sectPr w:rsidR="00C91105" w:rsidRPr="00B91F3C" w:rsidSect="009964DD">
          <w:pgSz w:w="15840" w:h="12240" w:orient="landscape"/>
          <w:pgMar w:top="1440" w:right="1440" w:bottom="1440" w:left="1440" w:header="720" w:footer="720" w:gutter="0"/>
          <w:cols w:space="720"/>
          <w:docGrid w:linePitch="360"/>
        </w:sectPr>
      </w:pPr>
    </w:p>
    <w:p w14:paraId="76FE5D31" w14:textId="1F518918" w:rsidR="00C91105" w:rsidRPr="00B91F3C" w:rsidRDefault="00C91105" w:rsidP="004E0A93">
      <w:pPr>
        <w:pStyle w:val="Titre2"/>
        <w:rPr>
          <w:bCs/>
        </w:rPr>
      </w:pPr>
      <w:bookmarkStart w:id="64" w:name="_Toc136871751"/>
      <w:bookmarkStart w:id="65" w:name="_Toc165893312"/>
      <w:bookmarkStart w:id="66" w:name="_Toc165899247"/>
      <w:r w:rsidRPr="00B91F3C">
        <w:lastRenderedPageBreak/>
        <w:t>КП «Восстановление экосистем»</w:t>
      </w:r>
      <w:bookmarkEnd w:id="64"/>
      <w:r w:rsidRPr="00B91F3C">
        <w:t xml:space="preserve"> (Участвующие страны: Ангола, Бразилия, Вьетнам, Гаити, ДР Конго, Камбоджа, Кот-д'Ивуар, Мавритания, Мадагаскар, Мали, Мексика, Мозамбик, Непал, Перу, Руанда, Сан-Томе и Принсипи, Сьерра-Леоне, Узбекистан, Чад и Южная Африка)</w:t>
      </w:r>
      <w:bookmarkEnd w:id="65"/>
      <w:bookmarkEnd w:id="66"/>
    </w:p>
    <w:p w14:paraId="174A068E" w14:textId="2E269314" w:rsidR="00C91105" w:rsidRPr="00B91F3C" w:rsidRDefault="00C91105" w:rsidP="007655D1">
      <w:pPr>
        <w:pStyle w:val="Paragraphedeliste"/>
      </w:pPr>
      <w:r w:rsidRPr="00B91F3C">
        <w:t>Цель КП «Восстановление экосистем» заключается в создании многочисленных длительных экологических и социально-экономических выгод глобального масштаба путем применения инновационных комплексных подходов к восстановле</w:t>
      </w:r>
      <w:r w:rsidR="00CD40F2" w:rsidRPr="00B91F3C">
        <w:t xml:space="preserve">нию деградированных экосистем. </w:t>
      </w:r>
      <w:r w:rsidRPr="00B91F3C">
        <w:t>Эта КП призвана обеспечить следующие результаты, которые внесут вклад в КМГПБ:</w:t>
      </w:r>
    </w:p>
    <w:p w14:paraId="0DEA42D7" w14:textId="77777777" w:rsidR="00C91105" w:rsidRPr="00B91F3C" w:rsidRDefault="00C91105" w:rsidP="00AC28A4">
      <w:pPr>
        <w:numPr>
          <w:ilvl w:val="0"/>
          <w:numId w:val="8"/>
        </w:numPr>
        <w:spacing w:before="120" w:after="120" w:line="240" w:lineRule="auto"/>
        <w:ind w:left="1260" w:hanging="540"/>
        <w:rPr>
          <w:rFonts w:cstheme="minorHAnsi"/>
          <w:sz w:val="24"/>
          <w:szCs w:val="24"/>
        </w:rPr>
      </w:pPr>
      <w:bookmarkStart w:id="67" w:name="_Hlk135296892"/>
      <w:r w:rsidRPr="00B91F3C">
        <w:rPr>
          <w:sz w:val="24"/>
        </w:rPr>
        <w:t>обеспечение восстановления 2 228 334 га земель и экосистем: задача 2</w:t>
      </w:r>
    </w:p>
    <w:p w14:paraId="6F12EFFE" w14:textId="26A0590C" w:rsidR="00C91105" w:rsidRPr="00B91F3C" w:rsidRDefault="00C91105" w:rsidP="00AC28A4">
      <w:pPr>
        <w:numPr>
          <w:ilvl w:val="0"/>
          <w:numId w:val="8"/>
        </w:numPr>
        <w:spacing w:before="120" w:after="120" w:line="240" w:lineRule="auto"/>
        <w:ind w:left="1260" w:hanging="540"/>
        <w:rPr>
          <w:rFonts w:cstheme="minorHAnsi"/>
          <w:sz w:val="24"/>
          <w:szCs w:val="24"/>
        </w:rPr>
      </w:pPr>
      <w:r w:rsidRPr="00B91F3C">
        <w:rPr>
          <w:sz w:val="24"/>
        </w:rPr>
        <w:t xml:space="preserve">улучшение практики эксплуатации ландшафтов в интересах сохранения биоразнообразия на </w:t>
      </w:r>
      <w:r w:rsidR="00E875D1" w:rsidRPr="00B91F3C">
        <w:rPr>
          <w:sz w:val="24"/>
        </w:rPr>
        <w:t>территории</w:t>
      </w:r>
      <w:r w:rsidRPr="00B91F3C">
        <w:rPr>
          <w:sz w:val="24"/>
        </w:rPr>
        <w:t xml:space="preserve"> 7 698 005 га: задача 10</w:t>
      </w:r>
    </w:p>
    <w:p w14:paraId="448DE4D3" w14:textId="77777777" w:rsidR="00C91105" w:rsidRPr="00B91F3C" w:rsidRDefault="00C91105" w:rsidP="00AC28A4">
      <w:pPr>
        <w:numPr>
          <w:ilvl w:val="0"/>
          <w:numId w:val="8"/>
        </w:numPr>
        <w:spacing w:before="120" w:after="120" w:line="240" w:lineRule="auto"/>
        <w:ind w:left="1260" w:hanging="540"/>
        <w:rPr>
          <w:rFonts w:cstheme="minorHAnsi"/>
          <w:sz w:val="24"/>
          <w:szCs w:val="24"/>
        </w:rPr>
      </w:pPr>
      <w:r w:rsidRPr="00B91F3C">
        <w:rPr>
          <w:sz w:val="24"/>
        </w:rPr>
        <w:t xml:space="preserve">снижение объема выбросов парниковых газов (метрические тонны эквивалента двуокиси углерода) на 132 083 839 метрических тонн (прямых выбросов) и 924 631 метрическую тонну (косвенных выбросов): задача 8 и </w:t>
      </w:r>
      <w:bookmarkStart w:id="68" w:name="_Hlk135324832"/>
      <w:r w:rsidRPr="00B91F3C">
        <w:rPr>
          <w:sz w:val="24"/>
        </w:rPr>
        <w:t>задача</w:t>
      </w:r>
      <w:bookmarkEnd w:id="68"/>
      <w:r w:rsidRPr="00B91F3C">
        <w:rPr>
          <w:sz w:val="24"/>
        </w:rPr>
        <w:t xml:space="preserve"> 11</w:t>
      </w:r>
    </w:p>
    <w:p w14:paraId="12904EBE" w14:textId="5AEBC768" w:rsidR="00C91105" w:rsidRPr="00B91F3C" w:rsidRDefault="00C91105" w:rsidP="00AC28A4">
      <w:pPr>
        <w:numPr>
          <w:ilvl w:val="0"/>
          <w:numId w:val="8"/>
        </w:numPr>
        <w:spacing w:before="120" w:after="120" w:line="240" w:lineRule="auto"/>
        <w:ind w:left="1260" w:hanging="540"/>
        <w:rPr>
          <w:rFonts w:cstheme="minorHAnsi"/>
          <w:sz w:val="24"/>
          <w:szCs w:val="24"/>
        </w:rPr>
      </w:pPr>
      <w:r w:rsidRPr="00B91F3C">
        <w:rPr>
          <w:sz w:val="24"/>
        </w:rPr>
        <w:t>внедрение улучшенных методов управления в одной общей пресноводной экосистеме: задача 1 и задача 10</w:t>
      </w:r>
    </w:p>
    <w:p w14:paraId="45298B91" w14:textId="75587B96" w:rsidR="00C91105" w:rsidRPr="00B91F3C" w:rsidRDefault="00C91105" w:rsidP="00AC28A4">
      <w:pPr>
        <w:numPr>
          <w:ilvl w:val="0"/>
          <w:numId w:val="8"/>
        </w:numPr>
        <w:spacing w:before="120" w:after="120" w:line="240" w:lineRule="auto"/>
        <w:ind w:left="1260" w:hanging="540"/>
        <w:rPr>
          <w:rFonts w:cstheme="minorHAnsi"/>
          <w:sz w:val="24"/>
          <w:szCs w:val="24"/>
        </w:rPr>
      </w:pPr>
      <w:r w:rsidRPr="00B91F3C">
        <w:rPr>
          <w:sz w:val="24"/>
        </w:rPr>
        <w:t>обеспечение выгод от финансовых инвестиций ГЭФ для 1 824 397,00 человек (896</w:t>
      </w:r>
      <w:r w:rsidR="00606FFC" w:rsidRPr="00B91F3C">
        <w:rPr>
          <w:sz w:val="24"/>
        </w:rPr>
        <w:t xml:space="preserve"> 788 женщин и 927 609 мужчин): </w:t>
      </w:r>
      <w:r w:rsidRPr="00B91F3C">
        <w:rPr>
          <w:sz w:val="24"/>
        </w:rPr>
        <w:t>задача 22 и задача 23.</w:t>
      </w:r>
    </w:p>
    <w:bookmarkEnd w:id="67"/>
    <w:p w14:paraId="66A127DC" w14:textId="153EB7C3" w:rsidR="00085827" w:rsidRPr="00B91F3C" w:rsidRDefault="00C91105" w:rsidP="007655D1">
      <w:pPr>
        <w:pStyle w:val="Paragraphedeliste"/>
      </w:pPr>
      <w:r w:rsidRPr="00B91F3C">
        <w:t xml:space="preserve">Кроме того, эта КП внесет вклад в более четкое согласование политики в области восстановления экосистем на национальном уровне посредством </w:t>
      </w:r>
      <w:r w:rsidR="005E34FE" w:rsidRPr="00B91F3C">
        <w:t>преобразования мер политики</w:t>
      </w:r>
      <w:r w:rsidRPr="00B91F3C">
        <w:t xml:space="preserve"> в целях преодоления препятствий для восстановления и/или сдерживающих факторов, с тем чтобы обеспечить более активное участия част</w:t>
      </w:r>
      <w:r w:rsidR="005E34FE" w:rsidRPr="00B91F3C">
        <w:t xml:space="preserve">ного сектора (задачи 14 и 15). </w:t>
      </w:r>
      <w:r w:rsidR="00EE4584" w:rsidRPr="00B91F3C">
        <w:t xml:space="preserve">КП также окажет поддержку </w:t>
      </w:r>
      <w:r w:rsidRPr="00B91F3C">
        <w:t>комплексным, основанным на пространственном анализе планам в интересах восстановления целевых экосистем (задача 1).</w:t>
      </w:r>
      <w:bookmarkStart w:id="69" w:name="_Toc136871752"/>
    </w:p>
    <w:p w14:paraId="413243B5" w14:textId="16176EF3" w:rsidR="00085827" w:rsidRPr="00B91F3C" w:rsidRDefault="00C91105" w:rsidP="004E0A93">
      <w:pPr>
        <w:pStyle w:val="Titre2"/>
      </w:pPr>
      <w:bookmarkStart w:id="70" w:name="_Toc165893313"/>
      <w:bookmarkStart w:id="71" w:name="_Toc165899248"/>
      <w:r w:rsidRPr="00B91F3C">
        <w:t>КП «Голубые и зеленые острова»</w:t>
      </w:r>
      <w:bookmarkEnd w:id="69"/>
      <w:r w:rsidRPr="00B91F3C">
        <w:t xml:space="preserve"> (Участвующие страны: Белиз, Вануату, Кабо-Верде, Коморские Острова, Куба, Маврикий, Мальдивские Острова, Микронезия, Палау, Папуа-Новая Гвинея, Самоа, Сейшельские Острова, Сент-Люсия, Тимор-</w:t>
      </w:r>
      <w:proofErr w:type="spellStart"/>
      <w:r w:rsidRPr="00B91F3C">
        <w:t>Лешти</w:t>
      </w:r>
      <w:proofErr w:type="spellEnd"/>
      <w:r w:rsidRPr="00B91F3C">
        <w:t xml:space="preserve"> и Тринидад и Тобаго)</w:t>
      </w:r>
      <w:bookmarkEnd w:id="70"/>
      <w:bookmarkEnd w:id="71"/>
    </w:p>
    <w:p w14:paraId="3C82B0A3" w14:textId="56298B37" w:rsidR="00C91105" w:rsidRPr="00B91F3C" w:rsidRDefault="00C91105" w:rsidP="007655D1">
      <w:pPr>
        <w:pStyle w:val="Paragraphedeliste"/>
      </w:pPr>
      <w:r w:rsidRPr="00B91F3C">
        <w:t>Цель КП «Голубые и зеленые острова» заключается в содействии развитию, благоприятному для природы, и сокращению деградации экосистем в МОСРГ за счет признания ценности природы и использования основанных на природе решений, имеющих конкретное применение в продовольственной отрасли, туризме и городском секторе.</w:t>
      </w:r>
      <w:r w:rsidRPr="00B91F3C">
        <w:rPr>
          <w:i/>
        </w:rPr>
        <w:t> </w:t>
      </w:r>
      <w:r w:rsidRPr="00B91F3C">
        <w:t>КП призвана обеспечить следующие результаты, которые внесут вклад в КМГПБ:</w:t>
      </w:r>
    </w:p>
    <w:p w14:paraId="7CBF24D8" w14:textId="77777777" w:rsidR="00C91105" w:rsidRPr="00B91F3C" w:rsidRDefault="00C91105" w:rsidP="002649CB">
      <w:pPr>
        <w:numPr>
          <w:ilvl w:val="0"/>
          <w:numId w:val="7"/>
        </w:numPr>
        <w:tabs>
          <w:tab w:val="left" w:pos="1260"/>
        </w:tabs>
        <w:spacing w:before="120" w:after="120" w:line="240" w:lineRule="auto"/>
        <w:ind w:left="1260" w:hanging="540"/>
        <w:jc w:val="both"/>
        <w:rPr>
          <w:rFonts w:cstheme="minorHAnsi"/>
          <w:sz w:val="24"/>
          <w:szCs w:val="24"/>
        </w:rPr>
      </w:pPr>
      <w:r w:rsidRPr="00B91F3C">
        <w:rPr>
          <w:sz w:val="24"/>
        </w:rPr>
        <w:t>создание 20 057 га новых наземных охраняемых районов: задача 3</w:t>
      </w:r>
    </w:p>
    <w:p w14:paraId="4BF5652F" w14:textId="77777777" w:rsidR="00C91105" w:rsidRPr="00B91F3C" w:rsidRDefault="00C91105" w:rsidP="002649CB">
      <w:pPr>
        <w:numPr>
          <w:ilvl w:val="0"/>
          <w:numId w:val="7"/>
        </w:numPr>
        <w:tabs>
          <w:tab w:val="left" w:pos="1260"/>
        </w:tabs>
        <w:spacing w:before="120" w:after="120" w:line="240" w:lineRule="auto"/>
        <w:ind w:left="1260" w:hanging="540"/>
        <w:jc w:val="both"/>
        <w:rPr>
          <w:rFonts w:cstheme="minorHAnsi"/>
          <w:sz w:val="24"/>
          <w:szCs w:val="24"/>
        </w:rPr>
      </w:pPr>
      <w:r w:rsidRPr="00B91F3C">
        <w:rPr>
          <w:sz w:val="24"/>
        </w:rPr>
        <w:lastRenderedPageBreak/>
        <w:t>создание 1 453 483 га новых морских охраняемых районов: задача 3</w:t>
      </w:r>
    </w:p>
    <w:p w14:paraId="20379983" w14:textId="34DFD0A7" w:rsidR="00C91105" w:rsidRPr="00B91F3C" w:rsidRDefault="00C91105" w:rsidP="002649CB">
      <w:pPr>
        <w:numPr>
          <w:ilvl w:val="0"/>
          <w:numId w:val="7"/>
        </w:numPr>
        <w:tabs>
          <w:tab w:val="left" w:pos="1260"/>
        </w:tabs>
        <w:spacing w:before="120" w:after="120" w:line="240" w:lineRule="auto"/>
        <w:ind w:left="1260" w:hanging="540"/>
        <w:jc w:val="both"/>
        <w:rPr>
          <w:rFonts w:cstheme="minorHAnsi"/>
          <w:sz w:val="24"/>
          <w:szCs w:val="24"/>
        </w:rPr>
      </w:pPr>
      <w:r w:rsidRPr="00B91F3C">
        <w:rPr>
          <w:sz w:val="24"/>
        </w:rPr>
        <w:t xml:space="preserve">внедрение улучшенных методов управления наземными охраняемыми районами на </w:t>
      </w:r>
      <w:r w:rsidR="00E875D1" w:rsidRPr="00B91F3C">
        <w:rPr>
          <w:sz w:val="24"/>
        </w:rPr>
        <w:t>территории</w:t>
      </w:r>
      <w:r w:rsidRPr="00B91F3C">
        <w:rPr>
          <w:sz w:val="24"/>
        </w:rPr>
        <w:t xml:space="preserve"> 243 712 га: задача 3</w:t>
      </w:r>
    </w:p>
    <w:p w14:paraId="1008FD7A" w14:textId="07EB7736" w:rsidR="00C91105" w:rsidRPr="00B91F3C" w:rsidRDefault="00C91105" w:rsidP="002649CB">
      <w:pPr>
        <w:numPr>
          <w:ilvl w:val="0"/>
          <w:numId w:val="7"/>
        </w:numPr>
        <w:tabs>
          <w:tab w:val="left" w:pos="1260"/>
        </w:tabs>
        <w:spacing w:before="120" w:after="120" w:line="240" w:lineRule="auto"/>
        <w:ind w:left="1260" w:hanging="540"/>
        <w:jc w:val="both"/>
        <w:rPr>
          <w:rFonts w:cstheme="minorHAnsi"/>
          <w:sz w:val="24"/>
          <w:szCs w:val="24"/>
        </w:rPr>
      </w:pPr>
      <w:r w:rsidRPr="00B91F3C">
        <w:rPr>
          <w:sz w:val="24"/>
        </w:rPr>
        <w:t xml:space="preserve">внедрение улучшенных методов управления морскими охраняемыми районами на </w:t>
      </w:r>
      <w:r w:rsidR="00E875D1" w:rsidRPr="00B91F3C">
        <w:rPr>
          <w:sz w:val="24"/>
        </w:rPr>
        <w:t>территории</w:t>
      </w:r>
      <w:r w:rsidRPr="00B91F3C">
        <w:rPr>
          <w:sz w:val="24"/>
        </w:rPr>
        <w:t xml:space="preserve"> 2 284 348 га: задача 3</w:t>
      </w:r>
    </w:p>
    <w:p w14:paraId="43F0DE5A" w14:textId="77777777" w:rsidR="00C91105" w:rsidRPr="00B91F3C" w:rsidRDefault="00C91105" w:rsidP="002649CB">
      <w:pPr>
        <w:numPr>
          <w:ilvl w:val="0"/>
          <w:numId w:val="7"/>
        </w:numPr>
        <w:tabs>
          <w:tab w:val="left" w:pos="1260"/>
        </w:tabs>
        <w:spacing w:before="120" w:after="120" w:line="240" w:lineRule="auto"/>
        <w:ind w:left="1260" w:hanging="540"/>
        <w:jc w:val="both"/>
        <w:rPr>
          <w:rFonts w:cstheme="minorHAnsi"/>
          <w:sz w:val="24"/>
          <w:szCs w:val="24"/>
        </w:rPr>
      </w:pPr>
      <w:r w:rsidRPr="00B91F3C">
        <w:rPr>
          <w:sz w:val="24"/>
        </w:rPr>
        <w:t xml:space="preserve">восстановление 77 356 га земель и экосистем: задача 2 </w:t>
      </w:r>
    </w:p>
    <w:p w14:paraId="0A8F02E8" w14:textId="60FCC70F" w:rsidR="00C91105" w:rsidRPr="00B91F3C" w:rsidRDefault="00C91105" w:rsidP="00AC28A4">
      <w:pPr>
        <w:numPr>
          <w:ilvl w:val="0"/>
          <w:numId w:val="7"/>
        </w:numPr>
        <w:tabs>
          <w:tab w:val="left" w:pos="1260"/>
        </w:tabs>
        <w:spacing w:before="120" w:after="120" w:line="240" w:lineRule="auto"/>
        <w:ind w:left="1260" w:hanging="540"/>
        <w:rPr>
          <w:rFonts w:cstheme="minorHAnsi"/>
          <w:sz w:val="24"/>
          <w:szCs w:val="24"/>
        </w:rPr>
      </w:pPr>
      <w:r w:rsidRPr="00B91F3C">
        <w:rPr>
          <w:sz w:val="24"/>
        </w:rPr>
        <w:t xml:space="preserve">улучшение практики эксплуатации ландшафтов в интересах сохранения биоразнообразия на </w:t>
      </w:r>
      <w:r w:rsidR="00E875D1" w:rsidRPr="00B91F3C">
        <w:rPr>
          <w:sz w:val="24"/>
        </w:rPr>
        <w:t>территории</w:t>
      </w:r>
      <w:r w:rsidRPr="00B91F3C">
        <w:rPr>
          <w:sz w:val="24"/>
        </w:rPr>
        <w:t xml:space="preserve"> 178 540 га: задача 10</w:t>
      </w:r>
    </w:p>
    <w:p w14:paraId="2B6F3A73" w14:textId="6F17153D" w:rsidR="00C91105" w:rsidRPr="00B91F3C" w:rsidRDefault="00C91105" w:rsidP="00AC28A4">
      <w:pPr>
        <w:numPr>
          <w:ilvl w:val="0"/>
          <w:numId w:val="7"/>
        </w:numPr>
        <w:tabs>
          <w:tab w:val="left" w:pos="1260"/>
        </w:tabs>
        <w:spacing w:before="120" w:after="120" w:line="240" w:lineRule="auto"/>
        <w:ind w:left="1260" w:hanging="540"/>
        <w:rPr>
          <w:rFonts w:cstheme="minorHAnsi"/>
          <w:sz w:val="24"/>
          <w:szCs w:val="24"/>
        </w:rPr>
      </w:pPr>
      <w:r w:rsidRPr="00B91F3C">
        <w:rPr>
          <w:sz w:val="24"/>
        </w:rPr>
        <w:t xml:space="preserve">улучшение практики эксплуатации морской среды обитания на </w:t>
      </w:r>
      <w:r w:rsidR="00E875D1" w:rsidRPr="00B91F3C">
        <w:rPr>
          <w:sz w:val="24"/>
        </w:rPr>
        <w:t>территории</w:t>
      </w:r>
      <w:r w:rsidRPr="00B91F3C">
        <w:rPr>
          <w:sz w:val="24"/>
        </w:rPr>
        <w:t xml:space="preserve"> 398 005 га: задача 10</w:t>
      </w:r>
      <w:r w:rsidRPr="00B91F3C">
        <w:rPr>
          <w:b/>
          <w:sz w:val="24"/>
        </w:rPr>
        <w:t xml:space="preserve"> </w:t>
      </w:r>
    </w:p>
    <w:p w14:paraId="65222225" w14:textId="77777777" w:rsidR="00C91105" w:rsidRPr="00B91F3C" w:rsidRDefault="00C91105" w:rsidP="00AC28A4">
      <w:pPr>
        <w:numPr>
          <w:ilvl w:val="0"/>
          <w:numId w:val="7"/>
        </w:numPr>
        <w:tabs>
          <w:tab w:val="left" w:pos="1260"/>
        </w:tabs>
        <w:spacing w:before="120" w:after="120" w:line="240" w:lineRule="auto"/>
        <w:ind w:left="1260" w:hanging="540"/>
        <w:rPr>
          <w:rFonts w:cstheme="minorHAnsi"/>
          <w:bCs/>
          <w:sz w:val="24"/>
          <w:szCs w:val="24"/>
        </w:rPr>
      </w:pPr>
      <w:r w:rsidRPr="00B91F3C">
        <w:rPr>
          <w:sz w:val="24"/>
        </w:rPr>
        <w:t>учет вопросов биоразнообразия в работе 2 рыболовных предприятий, проходящих сертификацию, осуществляемую третьими сторонами: задача 10</w:t>
      </w:r>
    </w:p>
    <w:p w14:paraId="6984D382" w14:textId="77777777" w:rsidR="00C91105" w:rsidRPr="00B91F3C" w:rsidRDefault="00C91105" w:rsidP="00AC28A4">
      <w:pPr>
        <w:numPr>
          <w:ilvl w:val="0"/>
          <w:numId w:val="7"/>
        </w:numPr>
        <w:tabs>
          <w:tab w:val="left" w:pos="1260"/>
        </w:tabs>
        <w:spacing w:before="120" w:after="120" w:line="240" w:lineRule="auto"/>
        <w:ind w:left="1260" w:hanging="540"/>
        <w:rPr>
          <w:rFonts w:cstheme="minorHAnsi"/>
          <w:sz w:val="24"/>
          <w:szCs w:val="24"/>
        </w:rPr>
      </w:pPr>
      <w:r w:rsidRPr="00B91F3C">
        <w:rPr>
          <w:sz w:val="24"/>
        </w:rPr>
        <w:t>снижение объема выбросов парниковых газов (метрические тонны эквивалента двуокиси углерода) на 51 324 458 метрических тонн (прямых выбросов) и 892 793 метрические тонны (косвенных выбросов): задача 8 и задача 11</w:t>
      </w:r>
    </w:p>
    <w:p w14:paraId="27B31BE9" w14:textId="77777777" w:rsidR="00C91105" w:rsidRPr="00B91F3C" w:rsidRDefault="00C91105" w:rsidP="00AC28A4">
      <w:pPr>
        <w:numPr>
          <w:ilvl w:val="0"/>
          <w:numId w:val="7"/>
        </w:numPr>
        <w:tabs>
          <w:tab w:val="left" w:pos="1260"/>
        </w:tabs>
        <w:spacing w:before="120" w:after="120" w:line="240" w:lineRule="auto"/>
        <w:ind w:left="1260" w:hanging="540"/>
        <w:rPr>
          <w:rFonts w:cstheme="minorHAnsi"/>
          <w:sz w:val="24"/>
          <w:szCs w:val="24"/>
        </w:rPr>
      </w:pPr>
      <w:r w:rsidRPr="00B91F3C">
        <w:rPr>
          <w:sz w:val="24"/>
        </w:rPr>
        <w:t>внедрение улучшенных методов управления в двух (2) общих водных экосистемах: задача 10</w:t>
      </w:r>
    </w:p>
    <w:p w14:paraId="1D4292E3" w14:textId="77777777" w:rsidR="00C91105" w:rsidRPr="00B91F3C" w:rsidRDefault="00C91105" w:rsidP="00AC28A4">
      <w:pPr>
        <w:numPr>
          <w:ilvl w:val="0"/>
          <w:numId w:val="7"/>
        </w:numPr>
        <w:tabs>
          <w:tab w:val="left" w:pos="1260"/>
        </w:tabs>
        <w:spacing w:before="120" w:after="120" w:line="240" w:lineRule="auto"/>
        <w:ind w:left="1260" w:hanging="540"/>
        <w:rPr>
          <w:rFonts w:cstheme="minorHAnsi"/>
          <w:sz w:val="24"/>
          <w:szCs w:val="24"/>
        </w:rPr>
      </w:pPr>
      <w:r w:rsidRPr="00B91F3C">
        <w:rPr>
          <w:sz w:val="24"/>
        </w:rPr>
        <w:t>повышение уровня устойчивости рыбного промысла в глобальных зонах рыболовства с чрезмерной эксплуатацией общим объемом в 237 019 метрических тонн: задача 10</w:t>
      </w:r>
    </w:p>
    <w:p w14:paraId="1E09CEC1" w14:textId="2AD3C79D" w:rsidR="00C91105" w:rsidRPr="00B91F3C" w:rsidRDefault="00C91105" w:rsidP="00AC28A4">
      <w:pPr>
        <w:numPr>
          <w:ilvl w:val="0"/>
          <w:numId w:val="7"/>
        </w:numPr>
        <w:tabs>
          <w:tab w:val="left" w:pos="1260"/>
        </w:tabs>
        <w:spacing w:before="120" w:after="120" w:line="240" w:lineRule="auto"/>
        <w:ind w:left="1260" w:hanging="540"/>
        <w:rPr>
          <w:rFonts w:cstheme="minorHAnsi"/>
          <w:sz w:val="24"/>
          <w:szCs w:val="24"/>
        </w:rPr>
      </w:pPr>
      <w:r w:rsidRPr="00B91F3C">
        <w:rPr>
          <w:sz w:val="24"/>
        </w:rPr>
        <w:t>сокращение использования химических веществ глобального значения и их отходов в объеме 2 701 метрическ</w:t>
      </w:r>
      <w:r w:rsidR="00F90533" w:rsidRPr="00B91F3C">
        <w:rPr>
          <w:sz w:val="24"/>
        </w:rPr>
        <w:t>ой</w:t>
      </w:r>
      <w:r w:rsidRPr="00B91F3C">
        <w:rPr>
          <w:sz w:val="24"/>
        </w:rPr>
        <w:t xml:space="preserve"> тонн</w:t>
      </w:r>
      <w:r w:rsidR="00F90533" w:rsidRPr="00B91F3C">
        <w:rPr>
          <w:sz w:val="24"/>
        </w:rPr>
        <w:t>ы</w:t>
      </w:r>
      <w:r w:rsidRPr="00B91F3C">
        <w:rPr>
          <w:sz w:val="24"/>
        </w:rPr>
        <w:t>: задача 7</w:t>
      </w:r>
    </w:p>
    <w:p w14:paraId="794D961B" w14:textId="77777777" w:rsidR="00C91105" w:rsidRPr="00B91F3C" w:rsidRDefault="00C91105" w:rsidP="00AC28A4">
      <w:pPr>
        <w:numPr>
          <w:ilvl w:val="0"/>
          <w:numId w:val="7"/>
        </w:numPr>
        <w:tabs>
          <w:tab w:val="left" w:pos="1260"/>
        </w:tabs>
        <w:spacing w:before="120" w:after="120" w:line="240" w:lineRule="auto"/>
        <w:ind w:left="1260" w:hanging="540"/>
        <w:rPr>
          <w:rFonts w:cstheme="minorHAnsi"/>
          <w:sz w:val="24"/>
          <w:szCs w:val="24"/>
        </w:rPr>
      </w:pPr>
      <w:r w:rsidRPr="00B91F3C">
        <w:rPr>
          <w:sz w:val="24"/>
        </w:rPr>
        <w:t>обеспечение выгод от финансовых инвестиций ГЭФ для 734 422 человек (351 024 женщин и 383 398 мужчин): задача 22 и задача 23.</w:t>
      </w:r>
    </w:p>
    <w:p w14:paraId="30847B67" w14:textId="48DF8601" w:rsidR="00C91105" w:rsidRPr="00B91F3C" w:rsidRDefault="00C91105" w:rsidP="007655D1">
      <w:pPr>
        <w:pStyle w:val="Paragraphedeliste"/>
      </w:pPr>
      <w:r w:rsidRPr="00B91F3C">
        <w:t xml:space="preserve">Кроме того, эта КП направлена на обеспечение более четкого согласования политики за счет укрепления потенциала в отношении учета ценности природы в ключевых отраслях экономики на национальном уровне, в том числе в отраслевом планировании (задача 14); а также </w:t>
      </w:r>
      <w:r w:rsidR="00730AC8" w:rsidRPr="00B91F3C">
        <w:t>в</w:t>
      </w:r>
      <w:r w:rsidRPr="00B91F3C">
        <w:t xml:space="preserve"> планировани</w:t>
      </w:r>
      <w:r w:rsidR="00730AC8" w:rsidRPr="00B91F3C">
        <w:t xml:space="preserve">и национального </w:t>
      </w:r>
      <w:r w:rsidR="009F3DD8" w:rsidRPr="00B91F3C">
        <w:t>финансирования</w:t>
      </w:r>
      <w:r w:rsidRPr="00B91F3C">
        <w:t xml:space="preserve"> и мобилизаци</w:t>
      </w:r>
      <w:r w:rsidR="00730AC8" w:rsidRPr="00B91F3C">
        <w:t>и</w:t>
      </w:r>
      <w:r w:rsidRPr="00B91F3C">
        <w:t xml:space="preserve"> внутренних ресурсов (задача 19).</w:t>
      </w:r>
    </w:p>
    <w:p w14:paraId="657EDFFA" w14:textId="6C375342" w:rsidR="00C91105" w:rsidRPr="00B91F3C" w:rsidRDefault="00C91105" w:rsidP="004E0A93">
      <w:pPr>
        <w:pStyle w:val="Titre2"/>
      </w:pPr>
      <w:bookmarkStart w:id="72" w:name="_Toc136871753"/>
      <w:bookmarkStart w:id="73" w:name="_Toc165893314"/>
      <w:bookmarkStart w:id="74" w:name="_Toc165899249"/>
      <w:r w:rsidRPr="00B91F3C">
        <w:t>КП «Ускоритель нулевого уровня выбросов, благоприятный для природы»</w:t>
      </w:r>
      <w:bookmarkEnd w:id="72"/>
      <w:r w:rsidRPr="00B91F3C">
        <w:t xml:space="preserve"> (Участвующие страны: Вьетнам, Индонезия, Коста-Рика, Кот-д'Ивуар, Маврикий, Марокко, Мексика, Нигерия, Таиланд, Танзания, Тринидад и Тобаго и Чили)</w:t>
      </w:r>
      <w:bookmarkEnd w:id="73"/>
      <w:bookmarkEnd w:id="74"/>
    </w:p>
    <w:p w14:paraId="4F63778D" w14:textId="0F52AD28" w:rsidR="00C91105" w:rsidRPr="00B91F3C" w:rsidRDefault="00C91105" w:rsidP="007655D1">
      <w:pPr>
        <w:pStyle w:val="Paragraphedeliste"/>
      </w:pPr>
      <w:r w:rsidRPr="00B91F3C">
        <w:t xml:space="preserve">Цель КП «Ускоритель нулевого уровня выбросов, благоприятный для природы» заключается в укреплении институций и стимулирования инвестиций в благоприятные </w:t>
      </w:r>
      <w:r w:rsidRPr="00B91F3C">
        <w:lastRenderedPageBreak/>
        <w:t>для природы пути ускоренного развития с нулевым уровнем выбросов. КП призвана обеспечить следующие результаты, которые внесут вклад в КМГПБ:</w:t>
      </w:r>
    </w:p>
    <w:p w14:paraId="35EE2E1F" w14:textId="77777777" w:rsidR="00C91105" w:rsidRPr="00B91F3C" w:rsidRDefault="00C91105" w:rsidP="002649CB">
      <w:pPr>
        <w:numPr>
          <w:ilvl w:val="0"/>
          <w:numId w:val="8"/>
        </w:numPr>
        <w:tabs>
          <w:tab w:val="left" w:pos="1260"/>
        </w:tabs>
        <w:spacing w:before="120" w:after="120" w:line="240" w:lineRule="auto"/>
        <w:ind w:left="1260" w:hanging="540"/>
        <w:jc w:val="both"/>
        <w:rPr>
          <w:rFonts w:cstheme="minorHAnsi"/>
          <w:sz w:val="24"/>
          <w:szCs w:val="24"/>
        </w:rPr>
      </w:pPr>
      <w:r w:rsidRPr="00B91F3C">
        <w:rPr>
          <w:sz w:val="24"/>
        </w:rPr>
        <w:t>восстановление 346 956 га земель и экосистем: задача 2</w:t>
      </w:r>
    </w:p>
    <w:p w14:paraId="0D6C2332" w14:textId="26473EC3" w:rsidR="00C91105" w:rsidRPr="00B91F3C" w:rsidRDefault="00C91105" w:rsidP="002649CB">
      <w:pPr>
        <w:numPr>
          <w:ilvl w:val="0"/>
          <w:numId w:val="8"/>
        </w:numPr>
        <w:tabs>
          <w:tab w:val="left" w:pos="1260"/>
        </w:tabs>
        <w:spacing w:before="120" w:after="120" w:line="240" w:lineRule="auto"/>
        <w:ind w:left="1260" w:hanging="540"/>
        <w:jc w:val="both"/>
        <w:rPr>
          <w:rFonts w:cstheme="minorHAnsi"/>
          <w:sz w:val="24"/>
          <w:szCs w:val="24"/>
        </w:rPr>
      </w:pPr>
      <w:r w:rsidRPr="00B91F3C">
        <w:rPr>
          <w:sz w:val="24"/>
        </w:rPr>
        <w:t xml:space="preserve">внедрение улучшенной практики эксплуатации ландшафтов в интересах сохранения биоразнообразия на </w:t>
      </w:r>
      <w:r w:rsidR="00E875D1" w:rsidRPr="00B91F3C">
        <w:rPr>
          <w:sz w:val="24"/>
        </w:rPr>
        <w:t>территории</w:t>
      </w:r>
      <w:r w:rsidRPr="00B91F3C">
        <w:rPr>
          <w:sz w:val="24"/>
        </w:rPr>
        <w:t xml:space="preserve"> 645 600 га: задача 10</w:t>
      </w:r>
    </w:p>
    <w:p w14:paraId="088EF708" w14:textId="77777777" w:rsidR="00C91105" w:rsidRPr="00B91F3C" w:rsidRDefault="00C91105" w:rsidP="002649CB">
      <w:pPr>
        <w:numPr>
          <w:ilvl w:val="0"/>
          <w:numId w:val="8"/>
        </w:numPr>
        <w:tabs>
          <w:tab w:val="left" w:pos="1260"/>
        </w:tabs>
        <w:spacing w:before="120" w:after="120" w:line="240" w:lineRule="auto"/>
        <w:ind w:left="1260" w:hanging="540"/>
        <w:jc w:val="both"/>
        <w:rPr>
          <w:rFonts w:cstheme="minorHAnsi"/>
          <w:sz w:val="24"/>
          <w:szCs w:val="24"/>
        </w:rPr>
      </w:pPr>
      <w:r w:rsidRPr="00B91F3C">
        <w:rPr>
          <w:sz w:val="24"/>
        </w:rPr>
        <w:t>снижение объема выбросов парниковых газов (метрические тонны эквивалента двуокиси углерода) на 29 029 617 метрических тонн (прямых выбросов) и 45 704 117 метрических тонн (косвенных выбросов): задача 8 и задача 11</w:t>
      </w:r>
    </w:p>
    <w:p w14:paraId="6FA7946B" w14:textId="77777777" w:rsidR="00C91105" w:rsidRPr="00B91F3C" w:rsidRDefault="00C91105" w:rsidP="002649CB">
      <w:pPr>
        <w:numPr>
          <w:ilvl w:val="0"/>
          <w:numId w:val="8"/>
        </w:numPr>
        <w:tabs>
          <w:tab w:val="left" w:pos="1260"/>
        </w:tabs>
        <w:spacing w:before="120" w:after="120" w:line="240" w:lineRule="auto"/>
        <w:ind w:left="1260" w:hanging="540"/>
        <w:jc w:val="both"/>
        <w:rPr>
          <w:rFonts w:cstheme="minorHAnsi"/>
          <w:sz w:val="24"/>
          <w:szCs w:val="24"/>
        </w:rPr>
      </w:pPr>
      <w:r w:rsidRPr="00B91F3C">
        <w:rPr>
          <w:sz w:val="24"/>
        </w:rPr>
        <w:t>обеспечение выгод от финансовых инвестиций ГЭФ для 1 917 354 человек (952 154 женщин и 965 200 мужчин): задача 22 и задача 23.</w:t>
      </w:r>
    </w:p>
    <w:p w14:paraId="0AF5B4A6" w14:textId="164F9AA4" w:rsidR="00C91105" w:rsidRPr="00B91F3C" w:rsidRDefault="00C91105" w:rsidP="007655D1">
      <w:pPr>
        <w:pStyle w:val="Paragraphedeliste"/>
      </w:pPr>
      <w:r w:rsidRPr="00B91F3C">
        <w:t>Хотя эти численные целевые показатели могу показаться скромными, основной потенциал этой КП заключается во вкладе в осуществление КМГПБ благодаря приоритетному вниманию, которая она уделяет укреплению институциональных, нормативных, налоговых и финансовых условий для осуществления благоприятных для природы стратегий с нулевым уровнем выбросов при одновременном приведении национальных бюджетов в соответствие с целями в области развития</w:t>
      </w:r>
      <w:r w:rsidR="009F3DD8" w:rsidRPr="00B91F3C">
        <w:t xml:space="preserve"> и экологической устойчивости. </w:t>
      </w:r>
      <w:r w:rsidRPr="00B91F3C">
        <w:t xml:space="preserve">Это может оказать значительное опосредованное влияние на более результативное выполнение вышеперечисленных задач и внести более существенный долгосрочный вклад в их выполнение, а также потенциальный вклад в выполнение задач 3, 8, 14, 18 и 19.  </w:t>
      </w:r>
    </w:p>
    <w:p w14:paraId="0F200DD0" w14:textId="3E733ECB" w:rsidR="00C91105" w:rsidRPr="00B91F3C" w:rsidRDefault="00C91105" w:rsidP="004E0A93">
      <w:pPr>
        <w:pStyle w:val="Titre2"/>
      </w:pPr>
      <w:bookmarkStart w:id="75" w:name="_Toc136871754"/>
      <w:bookmarkStart w:id="76" w:name="_Toc165893315"/>
      <w:bookmarkStart w:id="77" w:name="_Toc165899250"/>
      <w:bookmarkStart w:id="78" w:name="_Hlk135298165"/>
      <w:r w:rsidRPr="00B91F3C">
        <w:t>КП «Циркулярные решения проблемы пластикового загрязнения»</w:t>
      </w:r>
      <w:bookmarkEnd w:id="75"/>
      <w:r w:rsidRPr="00B91F3C">
        <w:t xml:space="preserve"> (Участвующие страны: Бразилия, Буркина-Ф</w:t>
      </w:r>
      <w:r w:rsidR="009E59E3" w:rsidRPr="00B91F3C">
        <w:t xml:space="preserve">асо, Доминиканская Республика, </w:t>
      </w:r>
      <w:r w:rsidRPr="00B91F3C">
        <w:t>Индия, Иордания, Камбоджа, Коста-Рика, Лаосская НДР, Марокко, Нигерия, Острова Кука, Перу, Сенегал, Филиппины и Южная Африка)</w:t>
      </w:r>
      <w:bookmarkEnd w:id="76"/>
      <w:bookmarkEnd w:id="77"/>
    </w:p>
    <w:bookmarkEnd w:id="78"/>
    <w:p w14:paraId="5BBE9F4E" w14:textId="7265F1FA" w:rsidR="00C91105" w:rsidRPr="00B91F3C" w:rsidRDefault="00C91105" w:rsidP="007655D1">
      <w:pPr>
        <w:pStyle w:val="Paragraphedeliste"/>
      </w:pPr>
      <w:r w:rsidRPr="00B91F3C">
        <w:t xml:space="preserve">Цель КП «Циркулярные решения проблемы пластикового загрязнения» заключается в переходе к циркулярной экономике пластика в продовольственном секторе в целях предотвращения пластикового загрязнения. </w:t>
      </w:r>
      <w:r w:rsidR="00C40766" w:rsidRPr="00B91F3C">
        <w:t xml:space="preserve">Эта </w:t>
      </w:r>
      <w:r w:rsidRPr="00B91F3C">
        <w:t>КП призвана обеспечить следующие результаты, которые внесут вклад в КМГПБ</w:t>
      </w:r>
      <w:r w:rsidRPr="00B91F3C">
        <w:rPr>
          <w:vertAlign w:val="superscript"/>
        </w:rPr>
        <w:footnoteReference w:id="18"/>
      </w:r>
      <w:r w:rsidRPr="00B91F3C">
        <w:t>:</w:t>
      </w:r>
    </w:p>
    <w:p w14:paraId="3AF25CC3" w14:textId="77777777" w:rsidR="00C91105" w:rsidRPr="00B91F3C" w:rsidRDefault="00C91105" w:rsidP="002649CB">
      <w:pPr>
        <w:numPr>
          <w:ilvl w:val="0"/>
          <w:numId w:val="9"/>
        </w:numPr>
        <w:spacing w:before="120" w:after="120" w:line="240" w:lineRule="auto"/>
        <w:ind w:left="1080"/>
        <w:jc w:val="both"/>
        <w:rPr>
          <w:rFonts w:cstheme="minorHAnsi"/>
          <w:sz w:val="24"/>
          <w:szCs w:val="24"/>
        </w:rPr>
      </w:pPr>
      <w:r w:rsidRPr="00B91F3C">
        <w:rPr>
          <w:sz w:val="24"/>
        </w:rPr>
        <w:t>снижение объема выбросов парниковых газов (метрические тонны эквивалента двуокиси углерода) на 6 033 020 метрических тонн (косвенных выбросов): задача 8 и задача 11</w:t>
      </w:r>
    </w:p>
    <w:p w14:paraId="7EDD6E1E" w14:textId="77777777" w:rsidR="00C91105" w:rsidRPr="00B91F3C" w:rsidRDefault="00C91105" w:rsidP="002649CB">
      <w:pPr>
        <w:numPr>
          <w:ilvl w:val="0"/>
          <w:numId w:val="9"/>
        </w:numPr>
        <w:spacing w:before="120" w:after="120" w:line="240" w:lineRule="auto"/>
        <w:ind w:left="1080"/>
        <w:jc w:val="both"/>
        <w:rPr>
          <w:rFonts w:cstheme="minorHAnsi"/>
          <w:sz w:val="24"/>
          <w:szCs w:val="24"/>
        </w:rPr>
      </w:pPr>
      <w:r w:rsidRPr="00B91F3C">
        <w:rPr>
          <w:sz w:val="24"/>
        </w:rPr>
        <w:lastRenderedPageBreak/>
        <w:t>внедрение улучшенных методов управления в одной (1) общей водной системе: задача 10</w:t>
      </w:r>
    </w:p>
    <w:p w14:paraId="0FD66778" w14:textId="1C1B369B" w:rsidR="00C91105" w:rsidRPr="00B91F3C" w:rsidRDefault="00C91105" w:rsidP="002649CB">
      <w:pPr>
        <w:numPr>
          <w:ilvl w:val="0"/>
          <w:numId w:val="9"/>
        </w:numPr>
        <w:spacing w:before="120" w:after="120" w:line="240" w:lineRule="auto"/>
        <w:ind w:left="1080"/>
        <w:jc w:val="both"/>
        <w:rPr>
          <w:rFonts w:cstheme="minorHAnsi"/>
          <w:sz w:val="24"/>
          <w:szCs w:val="24"/>
        </w:rPr>
      </w:pPr>
      <w:r w:rsidRPr="00B91F3C">
        <w:rPr>
          <w:sz w:val="24"/>
        </w:rPr>
        <w:t>предотвращение остаточных пластиковых отходов в объе</w:t>
      </w:r>
      <w:r w:rsidR="0034394D" w:rsidRPr="00B91F3C">
        <w:rPr>
          <w:sz w:val="24"/>
        </w:rPr>
        <w:t xml:space="preserve">ме 1 538 486 метрических тонн: </w:t>
      </w:r>
      <w:r w:rsidRPr="00B91F3C">
        <w:rPr>
          <w:sz w:val="24"/>
        </w:rPr>
        <w:t>задача 7 и задача 16</w:t>
      </w:r>
    </w:p>
    <w:p w14:paraId="2F4C0FBB" w14:textId="77777777" w:rsidR="00C91105" w:rsidRPr="00B91F3C" w:rsidRDefault="00C91105" w:rsidP="002649CB">
      <w:pPr>
        <w:numPr>
          <w:ilvl w:val="0"/>
          <w:numId w:val="9"/>
        </w:numPr>
        <w:spacing w:before="120" w:after="120" w:line="240" w:lineRule="auto"/>
        <w:ind w:left="1080"/>
        <w:jc w:val="both"/>
        <w:rPr>
          <w:rFonts w:cstheme="minorHAnsi"/>
          <w:sz w:val="24"/>
          <w:szCs w:val="24"/>
        </w:rPr>
      </w:pPr>
      <w:bookmarkStart w:id="79" w:name="_Hlk135314632"/>
      <w:r w:rsidRPr="00B91F3C">
        <w:rPr>
          <w:sz w:val="24"/>
        </w:rPr>
        <w:t>обеспечение выгод от финансовых инвестиций ГЭФ для 41 960 человек (21 400 женщин и 20 560 мужчин): задача 22 и задача 23.</w:t>
      </w:r>
    </w:p>
    <w:bookmarkEnd w:id="79"/>
    <w:p w14:paraId="14044810" w14:textId="37F942B5" w:rsidR="00C91105" w:rsidRPr="00B91F3C" w:rsidRDefault="00C91105" w:rsidP="007655D1">
      <w:pPr>
        <w:pStyle w:val="Paragraphedeliste"/>
      </w:pPr>
      <w:r w:rsidRPr="00B91F3C">
        <w:t>Кроме того, эта КМ направлена на обеспечение более четкого согласования политики путем разработки национальных нормативно-правовых и стратегических рамок в отношении циркулярной э</w:t>
      </w:r>
      <w:r w:rsidR="00FB714A" w:rsidRPr="00B91F3C">
        <w:t xml:space="preserve">кономики пластика (задача 14). </w:t>
      </w:r>
      <w:r w:rsidRPr="00B91F3C">
        <w:t xml:space="preserve">Помимо этого, </w:t>
      </w:r>
      <w:r w:rsidR="00FB714A" w:rsidRPr="00B91F3C">
        <w:t xml:space="preserve">в сотрудничестве </w:t>
      </w:r>
      <w:r w:rsidRPr="00B91F3C">
        <w:t xml:space="preserve">с продовольственным сектором эта КП призвана </w:t>
      </w:r>
      <w:r w:rsidR="00FB714A" w:rsidRPr="00B91F3C">
        <w:t>оказывать помощь</w:t>
      </w:r>
      <w:r w:rsidRPr="00B91F3C">
        <w:t xml:space="preserve"> предприятиям в раскрытии информации об их воздействии на биоразнообразие и поощрении устойчивых мо</w:t>
      </w:r>
      <w:r w:rsidR="00FB714A" w:rsidRPr="00B91F3C">
        <w:t xml:space="preserve">делей потребления (задача 15). </w:t>
      </w:r>
      <w:r w:rsidRPr="00B91F3C">
        <w:t>Эта КП уделяет большое внимание поддержке подготовительных мероприятий в области потребления и сокращения отходов (задача 16). Наконец, эта КП будет способствовать формированию благоприятных политических условий для циркулярных решений путем создания нормативных документов и стимулов, поощряющих наиболее эффективные методы в области циркулярной экономики для пластиковой промышленности, при одновременном повышении согласованности между государственными учреждениями, с тем чтобы меры по сокращению пластикового загрязнения не сводились на нет из-за противоречий в мерах политики (задача 18).</w:t>
      </w:r>
    </w:p>
    <w:p w14:paraId="034D3A19" w14:textId="7F4C35AE" w:rsidR="00C91105" w:rsidRPr="00B91F3C" w:rsidRDefault="00C91105" w:rsidP="004E0A93">
      <w:pPr>
        <w:pStyle w:val="Titre2"/>
      </w:pPr>
      <w:bookmarkStart w:id="80" w:name="_Toc136871755"/>
      <w:bookmarkStart w:id="81" w:name="_Toc165893316"/>
      <w:bookmarkStart w:id="82" w:name="_Toc165899251"/>
      <w:r w:rsidRPr="00B91F3C">
        <w:t>КП «Ликвидация опасных химических веществ в цепочке поставок»</w:t>
      </w:r>
      <w:bookmarkEnd w:id="80"/>
      <w:r w:rsidRPr="00B91F3C">
        <w:t xml:space="preserve"> (Участвующие страны: Индия, Камбоджа, Коста-Рика, Монголия, Пакистан, Перу, Тринидад и Тобаго и Эквадор)</w:t>
      </w:r>
      <w:bookmarkEnd w:id="81"/>
      <w:bookmarkEnd w:id="82"/>
    </w:p>
    <w:p w14:paraId="44BA91F8" w14:textId="42FB8C25" w:rsidR="00C91105" w:rsidRPr="00B91F3C" w:rsidRDefault="00C91105" w:rsidP="007655D1">
      <w:pPr>
        <w:pStyle w:val="Paragraphedeliste"/>
      </w:pPr>
      <w:r w:rsidRPr="00B91F3C">
        <w:t>Цель КП «Ликвидация опасных химических веществ в цепочке поставок» заключается в переходе цепочек поставок в отраслях легкой промышленности и строительства на подходы, основанные на «экологичном дизайне», и создании благоприятных условий, необходимых для осуще</w:t>
      </w:r>
      <w:r w:rsidR="00E1048A" w:rsidRPr="00B91F3C">
        <w:t xml:space="preserve">ствления таких преобразований. </w:t>
      </w:r>
      <w:r w:rsidRPr="00B91F3C">
        <w:t xml:space="preserve">Эта КП призвана обеспечить следующие результаты, которые внесут вклад в КМГПБ: </w:t>
      </w:r>
    </w:p>
    <w:p w14:paraId="447EBC79" w14:textId="204A02F7" w:rsidR="00C91105" w:rsidRPr="00B91F3C" w:rsidRDefault="00C91105" w:rsidP="00AC28A4">
      <w:pPr>
        <w:numPr>
          <w:ilvl w:val="0"/>
          <w:numId w:val="10"/>
        </w:numPr>
        <w:spacing w:before="120" w:after="120" w:line="240" w:lineRule="auto"/>
        <w:ind w:left="1080"/>
        <w:rPr>
          <w:rFonts w:cstheme="minorHAnsi"/>
          <w:sz w:val="24"/>
          <w:szCs w:val="24"/>
        </w:rPr>
      </w:pPr>
      <w:r w:rsidRPr="00B91F3C">
        <w:rPr>
          <w:sz w:val="24"/>
        </w:rPr>
        <w:t xml:space="preserve">улучшение практики эксплуатации ландшафтов в интересах сохранения биоразнообразия на </w:t>
      </w:r>
      <w:r w:rsidR="00E875D1" w:rsidRPr="00B91F3C">
        <w:rPr>
          <w:sz w:val="24"/>
        </w:rPr>
        <w:t>территории</w:t>
      </w:r>
      <w:r w:rsidRPr="00B91F3C">
        <w:rPr>
          <w:sz w:val="24"/>
        </w:rPr>
        <w:t xml:space="preserve"> 62 520 га: задача 10</w:t>
      </w:r>
    </w:p>
    <w:p w14:paraId="4D115595" w14:textId="77777777" w:rsidR="00C91105" w:rsidRPr="00B91F3C" w:rsidRDefault="00C91105" w:rsidP="00AC28A4">
      <w:pPr>
        <w:numPr>
          <w:ilvl w:val="0"/>
          <w:numId w:val="10"/>
        </w:numPr>
        <w:spacing w:before="120" w:after="120" w:line="240" w:lineRule="auto"/>
        <w:ind w:left="1080"/>
        <w:rPr>
          <w:rFonts w:cstheme="minorHAnsi"/>
          <w:sz w:val="24"/>
          <w:szCs w:val="24"/>
        </w:rPr>
      </w:pPr>
      <w:r w:rsidRPr="00B91F3C">
        <w:rPr>
          <w:sz w:val="24"/>
        </w:rPr>
        <w:t>снижение объема выбросов парниковых газов (метрические тонны эквивалента двуокиси углерода) на 2 620 627 метрических тонн (прямых выбросов) и 5 291 189 метрических тонн (косвенных выбросов): задача 8 и задача 11</w:t>
      </w:r>
    </w:p>
    <w:p w14:paraId="2D0D16FD" w14:textId="77777777" w:rsidR="00C91105" w:rsidRPr="00B91F3C" w:rsidRDefault="00C91105" w:rsidP="00AC28A4">
      <w:pPr>
        <w:numPr>
          <w:ilvl w:val="0"/>
          <w:numId w:val="10"/>
        </w:numPr>
        <w:spacing w:before="120" w:after="120" w:line="240" w:lineRule="auto"/>
        <w:ind w:left="1080"/>
        <w:rPr>
          <w:rFonts w:cstheme="minorHAnsi"/>
          <w:sz w:val="24"/>
          <w:szCs w:val="24"/>
        </w:rPr>
      </w:pPr>
      <w:r w:rsidRPr="00B91F3C">
        <w:rPr>
          <w:sz w:val="24"/>
        </w:rPr>
        <w:t>сокращение использования химических веществ глобального значения и их отходов в объеме 34 589 метрических тонн: задача 7</w:t>
      </w:r>
    </w:p>
    <w:p w14:paraId="6A37A3ED" w14:textId="77777777" w:rsidR="00C91105" w:rsidRPr="00B91F3C" w:rsidRDefault="00C91105" w:rsidP="00AC28A4">
      <w:pPr>
        <w:numPr>
          <w:ilvl w:val="0"/>
          <w:numId w:val="10"/>
        </w:numPr>
        <w:spacing w:before="120" w:after="120" w:line="240" w:lineRule="auto"/>
        <w:ind w:left="1080"/>
        <w:rPr>
          <w:rFonts w:cstheme="minorHAnsi"/>
          <w:sz w:val="24"/>
          <w:szCs w:val="24"/>
        </w:rPr>
      </w:pPr>
      <w:r w:rsidRPr="00B91F3C">
        <w:rPr>
          <w:sz w:val="24"/>
        </w:rPr>
        <w:t>сокращение выбросов в атмосферу стойких органических загрязнителей в объеме 107,16 г в токсическом эквиваленте: задача 7</w:t>
      </w:r>
    </w:p>
    <w:p w14:paraId="7398A7E4" w14:textId="77777777" w:rsidR="00C91105" w:rsidRPr="00B91F3C" w:rsidRDefault="00C91105" w:rsidP="00AC28A4">
      <w:pPr>
        <w:numPr>
          <w:ilvl w:val="0"/>
          <w:numId w:val="10"/>
        </w:numPr>
        <w:spacing w:before="120" w:after="120" w:line="240" w:lineRule="auto"/>
        <w:ind w:left="1080"/>
        <w:rPr>
          <w:rFonts w:cstheme="minorHAnsi"/>
          <w:sz w:val="24"/>
          <w:szCs w:val="24"/>
        </w:rPr>
      </w:pPr>
      <w:r w:rsidRPr="00B91F3C">
        <w:rPr>
          <w:sz w:val="24"/>
        </w:rPr>
        <w:lastRenderedPageBreak/>
        <w:t>обеспечение выгод от финансовых инвестиций ГЭФ для 1 528 866 человек (859 380 женщин и 699 486 мужчин): задача 22 и задача 23.</w:t>
      </w:r>
    </w:p>
    <w:p w14:paraId="426DCC24" w14:textId="27421A7F" w:rsidR="00C91105" w:rsidRPr="00B91F3C" w:rsidRDefault="00C91105" w:rsidP="007655D1">
      <w:pPr>
        <w:pStyle w:val="Paragraphedeliste"/>
      </w:pPr>
      <w:r w:rsidRPr="00B91F3C">
        <w:t xml:space="preserve">Кроме того, в рамках каждого подчиненного проекта программа преследует цель обеспечить финансирование в поддержку устойчивых цепочек поставок или для воздействия на финансовые потоки, закупки, </w:t>
      </w:r>
      <w:r w:rsidR="00E1048A" w:rsidRPr="00B91F3C">
        <w:t>субсидии и стимулы (задача 19).</w:t>
      </w:r>
      <w:r w:rsidRPr="00B91F3C">
        <w:t xml:space="preserve"> Эта КП направлена на укрепление нормативно-правовой базы для формирования и расширения рынков новаторской продукции, а также соответствующих мер экономической и налоговой политики, реформирования стимулов</w:t>
      </w:r>
      <w:r w:rsidR="00E1048A" w:rsidRPr="00B91F3C">
        <w:t xml:space="preserve"> и правил импорта (задача 14). </w:t>
      </w:r>
      <w:r w:rsidRPr="00B91F3C">
        <w:t>Наконец, эта КП будет с помощью индикаторов программного уровня осуществлять мониторинг политических, правовых, административных или политических мер, поощряющих предпринимательскую деятельность и создающих для нее благоприятные условия, а также обеспечивать мониторинг, оценку и раскрытие крупными и транснациональными компаниями и финансовыми учреждениями информации о риске и зависимости от биоразнообразия; предоставлять информацию в целях содействия устойчивому потреблению и устойчивым моделям потребления (задача 15).</w:t>
      </w:r>
    </w:p>
    <w:p w14:paraId="093D53BA" w14:textId="53584EF7" w:rsidR="00C91105" w:rsidRPr="00B91F3C" w:rsidRDefault="00766A90" w:rsidP="002649CB">
      <w:pPr>
        <w:spacing w:before="240" w:after="240" w:line="240" w:lineRule="auto"/>
        <w:jc w:val="both"/>
        <w:rPr>
          <w:rFonts w:cstheme="minorHAnsi"/>
          <w:b/>
          <w:sz w:val="24"/>
          <w:szCs w:val="24"/>
        </w:rPr>
      </w:pPr>
      <w:bookmarkStart w:id="83" w:name="_Toc136871756"/>
      <w:bookmarkStart w:id="84" w:name="_Hlk162253299"/>
      <w:r w:rsidRPr="00B91F3C">
        <w:rPr>
          <w:b/>
          <w:sz w:val="24"/>
        </w:rPr>
        <w:t>КП «Амазонка, Конго и критические лесные биомы»</w:t>
      </w:r>
      <w:bookmarkEnd w:id="83"/>
    </w:p>
    <w:p w14:paraId="2FAFF927" w14:textId="54A2CAF6" w:rsidR="00DD5B4B" w:rsidRPr="00B91F3C" w:rsidRDefault="00DD5B4B" w:rsidP="004E0A93">
      <w:pPr>
        <w:pStyle w:val="Titre2"/>
      </w:pPr>
      <w:bookmarkStart w:id="85" w:name="_Toc136871760"/>
      <w:bookmarkStart w:id="86" w:name="_Toc165893317"/>
      <w:bookmarkStart w:id="87" w:name="_Toc165899252"/>
      <w:r w:rsidRPr="00B91F3C">
        <w:t>КП «Устойчивые ландшафты Амазонки»</w:t>
      </w:r>
      <w:bookmarkEnd w:id="85"/>
      <w:r w:rsidRPr="00B91F3C">
        <w:t xml:space="preserve"> (Участвующие страны: Боливия, Бразилия, Венесуэла, Гайана, Колумбия, Перу, Суринам, Эквадор)</w:t>
      </w:r>
      <w:bookmarkEnd w:id="86"/>
      <w:bookmarkEnd w:id="87"/>
    </w:p>
    <w:p w14:paraId="0CF62D01" w14:textId="35E6BF45" w:rsidR="00DD5B4B" w:rsidRPr="00B91F3C" w:rsidRDefault="00DD5B4B" w:rsidP="007655D1">
      <w:pPr>
        <w:pStyle w:val="Paragraphedeliste"/>
      </w:pPr>
      <w:r w:rsidRPr="00B91F3C">
        <w:t>Цель третьего этапа программы «Устойчивые ландшафты Амазонки» заключается в повышении эффективности регионального сотрудничества и национальных инвестиций в комплексное сохранение ландшафтов и устойчивое управление целевыми районами, в том числе девственны</w:t>
      </w:r>
      <w:r w:rsidR="00E1048A" w:rsidRPr="00B91F3C">
        <w:t xml:space="preserve">ми лесами, в регионе Амазонки. </w:t>
      </w:r>
      <w:r w:rsidRPr="00B91F3C">
        <w:t xml:space="preserve">Эта КП призвана обеспечить следующие результаты, которые внесут вклад в КМГПБ: </w:t>
      </w:r>
    </w:p>
    <w:p w14:paraId="5B293F0D" w14:textId="77777777" w:rsidR="00DD5B4B" w:rsidRPr="00B91F3C" w:rsidRDefault="00DD5B4B" w:rsidP="00AC28A4">
      <w:pPr>
        <w:numPr>
          <w:ilvl w:val="0"/>
          <w:numId w:val="7"/>
        </w:numPr>
        <w:spacing w:before="120" w:after="120" w:line="240" w:lineRule="auto"/>
        <w:rPr>
          <w:rFonts w:cstheme="minorHAnsi"/>
          <w:sz w:val="24"/>
          <w:szCs w:val="24"/>
        </w:rPr>
      </w:pPr>
      <w:r w:rsidRPr="00B91F3C">
        <w:rPr>
          <w:sz w:val="24"/>
        </w:rPr>
        <w:t>создание 78 000 га наземных охраняемых районов: задача 3</w:t>
      </w:r>
    </w:p>
    <w:p w14:paraId="5864BEB2" w14:textId="591A6D78" w:rsidR="00DD5B4B" w:rsidRPr="00B91F3C" w:rsidRDefault="00DD5B4B" w:rsidP="00AC28A4">
      <w:pPr>
        <w:numPr>
          <w:ilvl w:val="0"/>
          <w:numId w:val="7"/>
        </w:numPr>
        <w:spacing w:before="120" w:after="120" w:line="240" w:lineRule="auto"/>
        <w:rPr>
          <w:rFonts w:cstheme="minorHAnsi"/>
          <w:sz w:val="24"/>
          <w:szCs w:val="24"/>
        </w:rPr>
      </w:pPr>
      <w:r w:rsidRPr="00B91F3C">
        <w:rPr>
          <w:sz w:val="24"/>
        </w:rPr>
        <w:t xml:space="preserve">внедрение улучшенных методов управления наземными охраняемыми районами на </w:t>
      </w:r>
      <w:r w:rsidR="00E875D1" w:rsidRPr="00B91F3C">
        <w:rPr>
          <w:sz w:val="24"/>
        </w:rPr>
        <w:t>территории</w:t>
      </w:r>
      <w:r w:rsidRPr="00B91F3C">
        <w:rPr>
          <w:sz w:val="24"/>
        </w:rPr>
        <w:t xml:space="preserve"> 36 033 577 га: задача 3</w:t>
      </w:r>
    </w:p>
    <w:p w14:paraId="2BF49EDD" w14:textId="77777777" w:rsidR="00DD5B4B" w:rsidRPr="00B91F3C" w:rsidRDefault="00DD5B4B" w:rsidP="00AC28A4">
      <w:pPr>
        <w:numPr>
          <w:ilvl w:val="0"/>
          <w:numId w:val="7"/>
        </w:numPr>
        <w:spacing w:before="120" w:after="120" w:line="240" w:lineRule="auto"/>
        <w:rPr>
          <w:rFonts w:cstheme="minorHAnsi"/>
          <w:sz w:val="24"/>
          <w:szCs w:val="24"/>
        </w:rPr>
      </w:pPr>
      <w:r w:rsidRPr="00B91F3C">
        <w:rPr>
          <w:sz w:val="24"/>
        </w:rPr>
        <w:t xml:space="preserve">восстановление 104 500 га земель и экосистем: задача 2 </w:t>
      </w:r>
    </w:p>
    <w:p w14:paraId="627F42D9" w14:textId="53D9CD7D" w:rsidR="00DD5B4B" w:rsidRPr="00B91F3C" w:rsidRDefault="00DD5B4B" w:rsidP="00AC28A4">
      <w:pPr>
        <w:numPr>
          <w:ilvl w:val="0"/>
          <w:numId w:val="7"/>
        </w:numPr>
        <w:spacing w:before="120" w:after="120" w:line="240" w:lineRule="auto"/>
        <w:rPr>
          <w:rFonts w:cstheme="minorHAnsi"/>
          <w:sz w:val="24"/>
          <w:szCs w:val="24"/>
        </w:rPr>
      </w:pPr>
      <w:r w:rsidRPr="00B91F3C">
        <w:rPr>
          <w:sz w:val="24"/>
        </w:rPr>
        <w:t xml:space="preserve">внедрение улучшенной практики эксплуатации ландшафтов в интересах сохранения биоразнообразия на </w:t>
      </w:r>
      <w:r w:rsidR="00E875D1" w:rsidRPr="00B91F3C">
        <w:rPr>
          <w:sz w:val="24"/>
        </w:rPr>
        <w:t>территории</w:t>
      </w:r>
      <w:r w:rsidRPr="00B91F3C">
        <w:rPr>
          <w:sz w:val="24"/>
        </w:rPr>
        <w:t xml:space="preserve"> 11 463 923 га: задача 5, задача 9 и задача 10</w:t>
      </w:r>
    </w:p>
    <w:p w14:paraId="4734725F" w14:textId="77777777" w:rsidR="00DD5B4B" w:rsidRPr="00B91F3C" w:rsidRDefault="00DD5B4B" w:rsidP="00AC28A4">
      <w:pPr>
        <w:numPr>
          <w:ilvl w:val="0"/>
          <w:numId w:val="7"/>
        </w:numPr>
        <w:spacing w:before="120" w:after="120" w:line="240" w:lineRule="auto"/>
        <w:rPr>
          <w:rFonts w:cstheme="minorHAnsi"/>
          <w:sz w:val="24"/>
          <w:szCs w:val="24"/>
        </w:rPr>
      </w:pPr>
      <w:r w:rsidRPr="00B91F3C">
        <w:rPr>
          <w:sz w:val="24"/>
        </w:rPr>
        <w:t>снижение объема выбросов парниковых газов (метрические тонны эквивалента двуокиси углерода) на 76 779 193 метрических тонны (прямых выбросов): задача 8 и задача 11</w:t>
      </w:r>
    </w:p>
    <w:p w14:paraId="421483CC" w14:textId="2C2AD0EF" w:rsidR="00DD5B4B" w:rsidRPr="00B91F3C" w:rsidRDefault="00DD5B4B" w:rsidP="00AC28A4">
      <w:pPr>
        <w:numPr>
          <w:ilvl w:val="0"/>
          <w:numId w:val="7"/>
        </w:numPr>
        <w:spacing w:before="120" w:after="120" w:line="240" w:lineRule="auto"/>
        <w:rPr>
          <w:rFonts w:cstheme="minorHAnsi"/>
          <w:sz w:val="24"/>
          <w:szCs w:val="24"/>
        </w:rPr>
      </w:pPr>
      <w:r w:rsidRPr="00B91F3C">
        <w:rPr>
          <w:sz w:val="24"/>
        </w:rPr>
        <w:t>обеспечение выгод от финансовых инвестиций ГЭФ для 403 517 человек (201 963 женщин и 201 554 мужчин): задача 22 и задача 23.</w:t>
      </w:r>
    </w:p>
    <w:p w14:paraId="09CE6084" w14:textId="2848E001" w:rsidR="00DD5B4B" w:rsidRPr="00B91F3C" w:rsidRDefault="00DD5B4B" w:rsidP="004E0A93">
      <w:pPr>
        <w:pStyle w:val="Titre2"/>
      </w:pPr>
      <w:bookmarkStart w:id="88" w:name="_Toc136871759"/>
      <w:bookmarkStart w:id="89" w:name="_Toc165893318"/>
      <w:bookmarkStart w:id="90" w:name="_Toc165899253"/>
      <w:bookmarkStart w:id="91" w:name="_Hlk162354259"/>
      <w:r w:rsidRPr="00B91F3C">
        <w:lastRenderedPageBreak/>
        <w:t>КП «Критический лесной биом Конго»</w:t>
      </w:r>
      <w:bookmarkEnd w:id="88"/>
      <w:r w:rsidRPr="00B91F3C">
        <w:t xml:space="preserve"> (Участвующие страны: Ангола, ДР Конго, Камерун, Сан-Томе и Принсипи, Центральноафриканская Республика и Экваториальная Гвинея)</w:t>
      </w:r>
      <w:bookmarkEnd w:id="89"/>
      <w:bookmarkEnd w:id="90"/>
    </w:p>
    <w:bookmarkEnd w:id="91"/>
    <w:p w14:paraId="4D596A30" w14:textId="77777777" w:rsidR="00DD5B4B" w:rsidRPr="00B91F3C" w:rsidRDefault="00DD5B4B" w:rsidP="007655D1">
      <w:pPr>
        <w:pStyle w:val="Paragraphedeliste"/>
      </w:pPr>
      <w:r w:rsidRPr="00B91F3C">
        <w:t xml:space="preserve">Цель КП по Конго заключается в повышении эффективности сохранения критически важных ландшафтов лесного биома в бассейне реки Конго и управления ими. </w:t>
      </w:r>
      <w:bookmarkStart w:id="92" w:name="_Hlk135394983"/>
      <w:r w:rsidRPr="00B91F3C">
        <w:t xml:space="preserve">Эта КП призвана обеспечить следующие результаты, которые внесут вклад в КМГПБ: </w:t>
      </w:r>
    </w:p>
    <w:bookmarkEnd w:id="92"/>
    <w:p w14:paraId="7A4BA327" w14:textId="77777777" w:rsidR="00DD5B4B" w:rsidRPr="00B91F3C" w:rsidRDefault="00DD5B4B" w:rsidP="00AC28A4">
      <w:pPr>
        <w:numPr>
          <w:ilvl w:val="0"/>
          <w:numId w:val="7"/>
        </w:numPr>
        <w:spacing w:before="120" w:after="120" w:line="240" w:lineRule="auto"/>
        <w:ind w:left="1260" w:hanging="540"/>
        <w:rPr>
          <w:rFonts w:cstheme="minorHAnsi"/>
          <w:sz w:val="24"/>
          <w:szCs w:val="24"/>
        </w:rPr>
      </w:pPr>
      <w:r w:rsidRPr="00B91F3C">
        <w:rPr>
          <w:sz w:val="24"/>
        </w:rPr>
        <w:t>создание 12 384 га наземных охраняемых районов: задача 3</w:t>
      </w:r>
    </w:p>
    <w:p w14:paraId="42BF08B4" w14:textId="3A64A64B" w:rsidR="00DD5B4B" w:rsidRPr="00B91F3C" w:rsidRDefault="00DD5B4B" w:rsidP="00AC28A4">
      <w:pPr>
        <w:numPr>
          <w:ilvl w:val="0"/>
          <w:numId w:val="7"/>
        </w:numPr>
        <w:spacing w:before="120" w:after="120" w:line="240" w:lineRule="auto"/>
        <w:ind w:left="1260" w:hanging="540"/>
        <w:rPr>
          <w:rFonts w:cstheme="minorHAnsi"/>
          <w:sz w:val="24"/>
          <w:szCs w:val="24"/>
        </w:rPr>
      </w:pPr>
      <w:r w:rsidRPr="00B91F3C">
        <w:rPr>
          <w:sz w:val="24"/>
        </w:rPr>
        <w:t xml:space="preserve">внедрение улучшенных методов управления наземными охраняемыми районами на </w:t>
      </w:r>
      <w:r w:rsidR="00E875D1" w:rsidRPr="00B91F3C">
        <w:rPr>
          <w:sz w:val="24"/>
        </w:rPr>
        <w:t>территории</w:t>
      </w:r>
      <w:r w:rsidRPr="00B91F3C">
        <w:rPr>
          <w:sz w:val="24"/>
        </w:rPr>
        <w:t xml:space="preserve"> 1 044 410 га: задача 3</w:t>
      </w:r>
    </w:p>
    <w:p w14:paraId="35BDACD8" w14:textId="77777777" w:rsidR="00DD5B4B" w:rsidRPr="00B91F3C" w:rsidRDefault="00DD5B4B" w:rsidP="00AC28A4">
      <w:pPr>
        <w:numPr>
          <w:ilvl w:val="0"/>
          <w:numId w:val="7"/>
        </w:numPr>
        <w:spacing w:before="120" w:after="120" w:line="240" w:lineRule="auto"/>
        <w:ind w:left="1260" w:hanging="540"/>
        <w:rPr>
          <w:rFonts w:cstheme="minorHAnsi"/>
          <w:sz w:val="24"/>
          <w:szCs w:val="24"/>
        </w:rPr>
      </w:pPr>
      <w:r w:rsidRPr="00B91F3C">
        <w:rPr>
          <w:sz w:val="24"/>
        </w:rPr>
        <w:t>создание 917 га морских охраняемых районов: задача 3</w:t>
      </w:r>
    </w:p>
    <w:p w14:paraId="489CB0F0" w14:textId="77777777" w:rsidR="00DD5B4B" w:rsidRPr="00B91F3C" w:rsidRDefault="00DD5B4B" w:rsidP="00AC28A4">
      <w:pPr>
        <w:numPr>
          <w:ilvl w:val="0"/>
          <w:numId w:val="7"/>
        </w:numPr>
        <w:spacing w:before="120" w:after="120" w:line="240" w:lineRule="auto"/>
        <w:ind w:left="1260" w:hanging="540"/>
        <w:rPr>
          <w:rFonts w:cstheme="minorHAnsi"/>
          <w:sz w:val="24"/>
          <w:szCs w:val="24"/>
        </w:rPr>
      </w:pPr>
      <w:r w:rsidRPr="00B91F3C">
        <w:rPr>
          <w:sz w:val="24"/>
        </w:rPr>
        <w:t xml:space="preserve">восстановление 99 423 га земель и экосистем: задача 2 </w:t>
      </w:r>
    </w:p>
    <w:p w14:paraId="3E3CB231" w14:textId="2B889C99" w:rsidR="00DD5B4B" w:rsidRPr="00B91F3C" w:rsidRDefault="00E1048A" w:rsidP="00AC28A4">
      <w:pPr>
        <w:numPr>
          <w:ilvl w:val="0"/>
          <w:numId w:val="7"/>
        </w:numPr>
        <w:spacing w:before="120" w:after="120" w:line="240" w:lineRule="auto"/>
        <w:ind w:left="1260" w:hanging="540"/>
        <w:rPr>
          <w:rFonts w:cstheme="minorHAnsi"/>
          <w:sz w:val="24"/>
          <w:szCs w:val="24"/>
        </w:rPr>
      </w:pPr>
      <w:r w:rsidRPr="00B91F3C">
        <w:rPr>
          <w:sz w:val="24"/>
        </w:rPr>
        <w:t>у</w:t>
      </w:r>
      <w:r w:rsidR="00DD5B4B" w:rsidRPr="00B91F3C">
        <w:rPr>
          <w:sz w:val="24"/>
        </w:rPr>
        <w:t>лучшение практики эксплуатации ландшафтов в интересах сохранения биоразнообразия на территории 2 102 608 га: задача 5, задача 9 и задача 10</w:t>
      </w:r>
    </w:p>
    <w:p w14:paraId="398CD4D2" w14:textId="77777777" w:rsidR="00DD5B4B" w:rsidRPr="00B91F3C" w:rsidRDefault="00DD5B4B" w:rsidP="00AC28A4">
      <w:pPr>
        <w:numPr>
          <w:ilvl w:val="0"/>
          <w:numId w:val="7"/>
        </w:numPr>
        <w:spacing w:before="120" w:after="120" w:line="240" w:lineRule="auto"/>
        <w:ind w:left="1260" w:hanging="540"/>
        <w:rPr>
          <w:rFonts w:cstheme="minorHAnsi"/>
          <w:sz w:val="24"/>
          <w:szCs w:val="24"/>
        </w:rPr>
      </w:pPr>
      <w:r w:rsidRPr="00B91F3C">
        <w:rPr>
          <w:sz w:val="24"/>
        </w:rPr>
        <w:t>внедрение улучшенных методов управления в одной (1) общей водной системе: задача 10</w:t>
      </w:r>
    </w:p>
    <w:p w14:paraId="6ACD6004" w14:textId="77777777" w:rsidR="00DD5B4B" w:rsidRPr="00B91F3C" w:rsidRDefault="00DD5B4B" w:rsidP="00AC28A4">
      <w:pPr>
        <w:numPr>
          <w:ilvl w:val="0"/>
          <w:numId w:val="7"/>
        </w:numPr>
        <w:spacing w:before="120" w:after="120" w:line="240" w:lineRule="auto"/>
        <w:ind w:left="1260" w:hanging="540"/>
        <w:rPr>
          <w:rFonts w:cstheme="minorHAnsi"/>
          <w:sz w:val="24"/>
          <w:szCs w:val="24"/>
        </w:rPr>
      </w:pPr>
      <w:r w:rsidRPr="00B91F3C">
        <w:rPr>
          <w:sz w:val="24"/>
        </w:rPr>
        <w:t>снижение объема выбросов парниковых газов (метрические тонны эквивалента двуокиси углерода) на 111 719 431 метрическую тонну (прямых выбросов): задача 8 и задача 11</w:t>
      </w:r>
    </w:p>
    <w:p w14:paraId="63E97096" w14:textId="77777777" w:rsidR="00DD5B4B" w:rsidRPr="00B91F3C" w:rsidRDefault="00DD5B4B" w:rsidP="00AC28A4">
      <w:pPr>
        <w:numPr>
          <w:ilvl w:val="0"/>
          <w:numId w:val="7"/>
        </w:numPr>
        <w:spacing w:before="120" w:after="120" w:line="240" w:lineRule="auto"/>
        <w:ind w:left="1260" w:hanging="540"/>
        <w:rPr>
          <w:rFonts w:cstheme="minorHAnsi"/>
          <w:sz w:val="24"/>
          <w:szCs w:val="24"/>
        </w:rPr>
      </w:pPr>
      <w:r w:rsidRPr="00B91F3C">
        <w:rPr>
          <w:sz w:val="24"/>
        </w:rPr>
        <w:t>обеспечение выгод от финансовых инвестиций ГЭФ для 207 000 человек (106 000 женщин и 101 000 мужчин): задача 22 и задача 23.</w:t>
      </w:r>
    </w:p>
    <w:p w14:paraId="68E92AEC" w14:textId="335FBB8E" w:rsidR="00DD5B4B" w:rsidRPr="00B91F3C" w:rsidRDefault="00DD5B4B" w:rsidP="00AC28A4">
      <w:pPr>
        <w:spacing w:before="240" w:after="240" w:line="240" w:lineRule="auto"/>
        <w:rPr>
          <w:rFonts w:cstheme="minorHAnsi"/>
          <w:sz w:val="24"/>
          <w:szCs w:val="24"/>
        </w:rPr>
      </w:pPr>
      <w:r w:rsidRPr="00B91F3C">
        <w:rPr>
          <w:sz w:val="24"/>
        </w:rPr>
        <w:t>36.</w:t>
      </w:r>
      <w:r w:rsidRPr="00B91F3C">
        <w:rPr>
          <w:sz w:val="24"/>
        </w:rPr>
        <w:tab/>
        <w:t>Кроме того, эта КП позволит укрепить меры политики и нормативно-правовую базу для повышения эффективности природоохранных мер, связывания углерода лесными массивами и эффективного лесопользования в критически важных ландшафтах, в том числе путем противодействия вредным для биоразнообразия субсидиям для секторов, воздействующих на</w:t>
      </w:r>
      <w:r w:rsidR="00E1048A" w:rsidRPr="00B91F3C">
        <w:rPr>
          <w:sz w:val="24"/>
        </w:rPr>
        <w:t xml:space="preserve"> леса (задача 14 и задача 18). </w:t>
      </w:r>
      <w:r w:rsidRPr="00B91F3C">
        <w:rPr>
          <w:sz w:val="24"/>
        </w:rPr>
        <w:t>Наконец, эта КП позволит мобилизовать дополнительные ресурсы в поддержку усилий по охране природы и связыванию углерода лесными массивами в бассейне реки Конго, в том числе путем партнерского взаимодействия с частным сектором (задача 19).</w:t>
      </w:r>
    </w:p>
    <w:p w14:paraId="65BD8EEA" w14:textId="142BBDD6" w:rsidR="001C3BFF" w:rsidRPr="00B91F3C" w:rsidRDefault="001C3BFF" w:rsidP="004E0A93">
      <w:pPr>
        <w:pStyle w:val="Titre2"/>
      </w:pPr>
      <w:bookmarkStart w:id="93" w:name="_Hlk162354183"/>
      <w:bookmarkStart w:id="94" w:name="_Toc165893319"/>
      <w:bookmarkStart w:id="95" w:name="_Toc165899254"/>
      <w:r w:rsidRPr="00B91F3C">
        <w:t xml:space="preserve">КП «Критический лесной биом Гвинейский лес» </w:t>
      </w:r>
      <w:bookmarkEnd w:id="93"/>
      <w:r w:rsidRPr="00B91F3C">
        <w:t>(Участвующие страны: Гвинея, Гвинея-Бисау, Либерия, Сьерра-Леоне)</w:t>
      </w:r>
      <w:bookmarkEnd w:id="94"/>
      <w:bookmarkEnd w:id="95"/>
    </w:p>
    <w:bookmarkEnd w:id="84"/>
    <w:p w14:paraId="10C1C776" w14:textId="60E88EA7" w:rsidR="00C91105" w:rsidRPr="00B91F3C" w:rsidRDefault="00C91105" w:rsidP="007655D1">
      <w:pPr>
        <w:pStyle w:val="Paragraphedeliste"/>
      </w:pPr>
      <w:r w:rsidRPr="00B91F3C">
        <w:t xml:space="preserve">Цель КП «Гвинейские леса» заключается в защите гвинейских лесов и повышении эффективности управления ими, с тем чтобы максимально увеличить глобальные экологические выгоды, внести вклад в здоровье планеты и поток жизненно важных экосистемных услуг, от которых зависит благополучие человека. Эта КП призвана обеспечить следующие результаты, которые внесут вклад в КМГПБ: </w:t>
      </w:r>
    </w:p>
    <w:p w14:paraId="750DB8E1" w14:textId="77777777" w:rsidR="00C91105" w:rsidRPr="00B91F3C" w:rsidRDefault="00C91105" w:rsidP="002649CB">
      <w:pPr>
        <w:numPr>
          <w:ilvl w:val="0"/>
          <w:numId w:val="7"/>
        </w:numPr>
        <w:spacing w:before="120" w:after="120" w:line="240" w:lineRule="auto"/>
        <w:ind w:left="1440"/>
        <w:jc w:val="both"/>
        <w:rPr>
          <w:rFonts w:cstheme="minorHAnsi"/>
          <w:sz w:val="24"/>
          <w:szCs w:val="24"/>
        </w:rPr>
      </w:pPr>
      <w:r w:rsidRPr="00B91F3C">
        <w:rPr>
          <w:sz w:val="24"/>
        </w:rPr>
        <w:t>создание 347,875 га новых наземных охраняемых районов: задача 3</w:t>
      </w:r>
    </w:p>
    <w:p w14:paraId="2A7A86BA" w14:textId="0872A74C" w:rsidR="00C91105" w:rsidRPr="00B91F3C" w:rsidRDefault="00C91105" w:rsidP="002649CB">
      <w:pPr>
        <w:numPr>
          <w:ilvl w:val="0"/>
          <w:numId w:val="7"/>
        </w:numPr>
        <w:spacing w:before="120" w:after="120" w:line="240" w:lineRule="auto"/>
        <w:ind w:left="1440"/>
        <w:jc w:val="both"/>
        <w:rPr>
          <w:rFonts w:cstheme="minorHAnsi"/>
          <w:sz w:val="24"/>
          <w:szCs w:val="24"/>
        </w:rPr>
      </w:pPr>
      <w:r w:rsidRPr="00B91F3C">
        <w:rPr>
          <w:sz w:val="24"/>
        </w:rPr>
        <w:lastRenderedPageBreak/>
        <w:t xml:space="preserve">внедрение улучшенных методов управления наземными охраняемыми районами на </w:t>
      </w:r>
      <w:r w:rsidR="00E875D1" w:rsidRPr="00B91F3C">
        <w:rPr>
          <w:sz w:val="24"/>
        </w:rPr>
        <w:t>территории</w:t>
      </w:r>
      <w:r w:rsidRPr="00B91F3C">
        <w:rPr>
          <w:sz w:val="24"/>
        </w:rPr>
        <w:t xml:space="preserve"> 814 281 га: задача 3</w:t>
      </w:r>
    </w:p>
    <w:p w14:paraId="398F5221" w14:textId="77777777" w:rsidR="00C91105" w:rsidRPr="00B91F3C" w:rsidRDefault="00C91105" w:rsidP="002649CB">
      <w:pPr>
        <w:numPr>
          <w:ilvl w:val="0"/>
          <w:numId w:val="7"/>
        </w:numPr>
        <w:spacing w:before="120" w:after="120" w:line="240" w:lineRule="auto"/>
        <w:ind w:left="1440"/>
        <w:jc w:val="both"/>
        <w:rPr>
          <w:rFonts w:cstheme="minorHAnsi"/>
          <w:sz w:val="24"/>
          <w:szCs w:val="24"/>
        </w:rPr>
      </w:pPr>
      <w:r w:rsidRPr="00B91F3C">
        <w:rPr>
          <w:sz w:val="24"/>
        </w:rPr>
        <w:t xml:space="preserve">восстановление 77 356 га земель и экосистем: задача 2 </w:t>
      </w:r>
    </w:p>
    <w:p w14:paraId="4A4E9D8B" w14:textId="65C44096" w:rsidR="00C91105" w:rsidRPr="00B91F3C" w:rsidRDefault="00C91105" w:rsidP="002649CB">
      <w:pPr>
        <w:numPr>
          <w:ilvl w:val="0"/>
          <w:numId w:val="7"/>
        </w:numPr>
        <w:spacing w:before="120" w:after="120" w:line="240" w:lineRule="auto"/>
        <w:ind w:left="1440"/>
        <w:jc w:val="both"/>
        <w:rPr>
          <w:rFonts w:cstheme="minorHAnsi"/>
          <w:sz w:val="24"/>
          <w:szCs w:val="24"/>
        </w:rPr>
      </w:pPr>
      <w:r w:rsidRPr="00B91F3C">
        <w:rPr>
          <w:sz w:val="24"/>
        </w:rPr>
        <w:t xml:space="preserve">улучшение практики эксплуатации ландшафтов в интересах сохранения биоразнообразия на </w:t>
      </w:r>
      <w:r w:rsidR="00E875D1" w:rsidRPr="00B91F3C">
        <w:rPr>
          <w:sz w:val="24"/>
        </w:rPr>
        <w:t>территории</w:t>
      </w:r>
      <w:r w:rsidRPr="00B91F3C">
        <w:rPr>
          <w:sz w:val="24"/>
        </w:rPr>
        <w:t xml:space="preserve"> 378 075 га: задача 5, задача 9 и задача 10</w:t>
      </w:r>
    </w:p>
    <w:p w14:paraId="44FECA5E" w14:textId="77777777" w:rsidR="00C91105" w:rsidRPr="00B91F3C" w:rsidRDefault="00C91105" w:rsidP="002649CB">
      <w:pPr>
        <w:numPr>
          <w:ilvl w:val="0"/>
          <w:numId w:val="7"/>
        </w:numPr>
        <w:spacing w:before="120" w:after="120" w:line="240" w:lineRule="auto"/>
        <w:ind w:left="1440"/>
        <w:jc w:val="both"/>
        <w:rPr>
          <w:rFonts w:cstheme="minorHAnsi"/>
          <w:sz w:val="24"/>
          <w:szCs w:val="24"/>
        </w:rPr>
      </w:pPr>
      <w:r w:rsidRPr="00B91F3C">
        <w:rPr>
          <w:sz w:val="24"/>
        </w:rPr>
        <w:t>снижение объема выбросов парниковых газов (метрические тонны эквивалента двуокиси углерода) на 30 851 413 метрических тонны (прямых выбросов) и 3 500 000 метрических тонн (косвенных выбросов): задача 8 и задача 11</w:t>
      </w:r>
    </w:p>
    <w:p w14:paraId="150C91D7" w14:textId="744FC151" w:rsidR="00AD6B44" w:rsidRPr="00B91F3C" w:rsidRDefault="00C91105" w:rsidP="002649CB">
      <w:pPr>
        <w:numPr>
          <w:ilvl w:val="0"/>
          <w:numId w:val="7"/>
        </w:numPr>
        <w:spacing w:before="120" w:after="120" w:line="240" w:lineRule="auto"/>
        <w:ind w:left="1440"/>
        <w:jc w:val="both"/>
        <w:rPr>
          <w:rFonts w:cstheme="minorHAnsi"/>
          <w:sz w:val="24"/>
          <w:szCs w:val="24"/>
        </w:rPr>
      </w:pPr>
      <w:r w:rsidRPr="00B91F3C">
        <w:rPr>
          <w:sz w:val="24"/>
        </w:rPr>
        <w:t>обеспечение выгод от финансовых инвестиций ГЭФ для 185 667 человек (88 290 женщин и 97 377 мужчин): задача 22 и задача 23.</w:t>
      </w:r>
    </w:p>
    <w:p w14:paraId="70340DA0" w14:textId="37F4ACC9" w:rsidR="00C91105" w:rsidRPr="00B91F3C" w:rsidRDefault="00C91105" w:rsidP="007655D1">
      <w:pPr>
        <w:pStyle w:val="Paragraphedeliste"/>
      </w:pPr>
      <w:r w:rsidRPr="00B91F3C">
        <w:t>Эта КП будет в том числе оказывать поддержку в разработке комплексных, основанных на широком участии планов в области землепользования и пр</w:t>
      </w:r>
      <w:r w:rsidR="00E1048A" w:rsidRPr="00B91F3C">
        <w:t xml:space="preserve">остранственного планирования, а также </w:t>
      </w:r>
      <w:r w:rsidRPr="00B91F3C">
        <w:t>обновлять данные и информацию, необходимые для ее эффектив</w:t>
      </w:r>
      <w:r w:rsidR="009E59E3" w:rsidRPr="00B91F3C">
        <w:t xml:space="preserve">ного осуществления (задача 1). </w:t>
      </w:r>
      <w:r w:rsidRPr="00B91F3C">
        <w:t>Кроме того, КП направлена на совершенствование политической базы и создание благоприятных условий для сохранения лесов и управления ими, в том числе путем устранения вредных для биоразнообразия стимулов и суб</w:t>
      </w:r>
      <w:r w:rsidR="00E1048A" w:rsidRPr="00B91F3C">
        <w:t xml:space="preserve">сидий (задача 14 и задача 18). </w:t>
      </w:r>
      <w:r w:rsidRPr="00B91F3C">
        <w:t>Наконец, одним из важнейших результатов программы станет разработка устойчивых стратегий финансирования для управления охраняемыми районами и сохранения лесов (задача 19). </w:t>
      </w:r>
    </w:p>
    <w:p w14:paraId="17FB93DC" w14:textId="35A14976" w:rsidR="00C91105" w:rsidRPr="00B91F3C" w:rsidRDefault="00C91105" w:rsidP="004E0A93">
      <w:pPr>
        <w:pStyle w:val="Titre2"/>
      </w:pPr>
      <w:bookmarkStart w:id="96" w:name="_Hlk135375758"/>
      <w:bookmarkStart w:id="97" w:name="_Toc136871757"/>
      <w:bookmarkStart w:id="98" w:name="_Toc165893320"/>
      <w:bookmarkStart w:id="99" w:name="_Toc165899255"/>
      <w:r w:rsidRPr="00B91F3C">
        <w:t xml:space="preserve">КП «Индо-малайский </w:t>
      </w:r>
      <w:bookmarkEnd w:id="96"/>
      <w:r w:rsidRPr="00B91F3C">
        <w:t>критический лесной биом»</w:t>
      </w:r>
      <w:bookmarkEnd w:id="97"/>
      <w:r w:rsidRPr="00B91F3C">
        <w:t xml:space="preserve"> (Участвующие страны: Лаосская НДР, Папуа-Новая Гвинея, Таиланд)</w:t>
      </w:r>
      <w:bookmarkEnd w:id="98"/>
      <w:bookmarkEnd w:id="99"/>
    </w:p>
    <w:p w14:paraId="29642595" w14:textId="6185944B" w:rsidR="00C91105" w:rsidRPr="00B91F3C" w:rsidRDefault="00C91105" w:rsidP="007655D1">
      <w:pPr>
        <w:pStyle w:val="Paragraphedeliste"/>
      </w:pPr>
      <w:r w:rsidRPr="00B91F3C">
        <w:t>Цель КП «Индо-малайский критический лесной биом» заключается в сохранении целостности имеющих мировое значение девственных индо-малайских лесов, с тем чтобы максимально увеличить экологические выгоды глобального масштаба, имеющие отношение к углероду и биоразнообразию, а также благо</w:t>
      </w:r>
      <w:bookmarkStart w:id="100" w:name="_Hlk135380249"/>
      <w:r w:rsidR="00A60979" w:rsidRPr="00B91F3C">
        <w:t xml:space="preserve">получию людей. </w:t>
      </w:r>
      <w:r w:rsidRPr="00B91F3C">
        <w:t xml:space="preserve">Эта КП призвана обеспечить следующие результаты, которые внесут вклад в КМГПБ: </w:t>
      </w:r>
    </w:p>
    <w:bookmarkEnd w:id="100"/>
    <w:p w14:paraId="020283A0" w14:textId="77777777" w:rsidR="00C91105" w:rsidRPr="00B91F3C" w:rsidRDefault="00C91105" w:rsidP="0045036A">
      <w:pPr>
        <w:numPr>
          <w:ilvl w:val="0"/>
          <w:numId w:val="7"/>
        </w:numPr>
        <w:spacing w:before="120" w:after="120" w:line="240" w:lineRule="auto"/>
        <w:ind w:left="1260" w:hanging="450"/>
        <w:jc w:val="both"/>
        <w:rPr>
          <w:rFonts w:cstheme="minorHAnsi"/>
          <w:sz w:val="24"/>
          <w:szCs w:val="24"/>
        </w:rPr>
      </w:pPr>
      <w:r w:rsidRPr="00B91F3C">
        <w:rPr>
          <w:sz w:val="24"/>
        </w:rPr>
        <w:t>создание 865 335 га новых наземных охраняемых районов: задача 3</w:t>
      </w:r>
    </w:p>
    <w:p w14:paraId="358030F8" w14:textId="420A980A" w:rsidR="00C91105" w:rsidRPr="00B91F3C" w:rsidRDefault="00C91105" w:rsidP="0045036A">
      <w:pPr>
        <w:numPr>
          <w:ilvl w:val="0"/>
          <w:numId w:val="7"/>
        </w:numPr>
        <w:spacing w:before="120" w:after="120" w:line="240" w:lineRule="auto"/>
        <w:ind w:left="1260" w:hanging="450"/>
        <w:jc w:val="both"/>
        <w:rPr>
          <w:rFonts w:cstheme="minorHAnsi"/>
          <w:sz w:val="24"/>
          <w:szCs w:val="24"/>
        </w:rPr>
      </w:pPr>
      <w:r w:rsidRPr="00B91F3C">
        <w:rPr>
          <w:sz w:val="24"/>
        </w:rPr>
        <w:t xml:space="preserve">внедрение улучшенных методов управления наземными охраняемыми районами на </w:t>
      </w:r>
      <w:r w:rsidR="00E875D1" w:rsidRPr="00B91F3C">
        <w:rPr>
          <w:sz w:val="24"/>
        </w:rPr>
        <w:t>территории</w:t>
      </w:r>
      <w:r w:rsidRPr="00B91F3C">
        <w:rPr>
          <w:sz w:val="24"/>
        </w:rPr>
        <w:t xml:space="preserve"> 2 316 723 га: задача 3</w:t>
      </w:r>
    </w:p>
    <w:p w14:paraId="11E37B82" w14:textId="77777777" w:rsidR="00C91105" w:rsidRPr="00B91F3C" w:rsidRDefault="00C91105" w:rsidP="0045036A">
      <w:pPr>
        <w:numPr>
          <w:ilvl w:val="0"/>
          <w:numId w:val="7"/>
        </w:numPr>
        <w:spacing w:before="120" w:after="120" w:line="240" w:lineRule="auto"/>
        <w:ind w:left="1260" w:hanging="450"/>
        <w:jc w:val="both"/>
        <w:rPr>
          <w:rFonts w:cstheme="minorHAnsi"/>
          <w:sz w:val="24"/>
          <w:szCs w:val="24"/>
        </w:rPr>
      </w:pPr>
      <w:r w:rsidRPr="00B91F3C">
        <w:rPr>
          <w:sz w:val="24"/>
        </w:rPr>
        <w:t xml:space="preserve">восстановление 8 500 га земель и экосистем: задача 2 </w:t>
      </w:r>
    </w:p>
    <w:p w14:paraId="5F05D370" w14:textId="24E3C2D4" w:rsidR="00C91105" w:rsidRPr="00B91F3C" w:rsidRDefault="00C91105" w:rsidP="0045036A">
      <w:pPr>
        <w:numPr>
          <w:ilvl w:val="0"/>
          <w:numId w:val="7"/>
        </w:numPr>
        <w:spacing w:before="120" w:after="120" w:line="240" w:lineRule="auto"/>
        <w:ind w:left="1260" w:hanging="450"/>
        <w:jc w:val="both"/>
        <w:rPr>
          <w:rFonts w:cstheme="minorHAnsi"/>
          <w:sz w:val="24"/>
          <w:szCs w:val="24"/>
        </w:rPr>
      </w:pPr>
      <w:r w:rsidRPr="00B91F3C">
        <w:rPr>
          <w:sz w:val="24"/>
        </w:rPr>
        <w:t xml:space="preserve">внедрение улучшенной практики эксплуатации ландшафтов в интересах сохранения биоразнообразия на </w:t>
      </w:r>
      <w:r w:rsidR="00E875D1" w:rsidRPr="00B91F3C">
        <w:rPr>
          <w:sz w:val="24"/>
        </w:rPr>
        <w:t>территории</w:t>
      </w:r>
      <w:r w:rsidRPr="00B91F3C">
        <w:rPr>
          <w:sz w:val="24"/>
        </w:rPr>
        <w:t xml:space="preserve"> 7 120 000 га: задача 5, задача 9 и задача 10</w:t>
      </w:r>
    </w:p>
    <w:p w14:paraId="7D8D45C7" w14:textId="77777777" w:rsidR="00C91105" w:rsidRPr="00B91F3C" w:rsidRDefault="00C91105" w:rsidP="0045036A">
      <w:pPr>
        <w:numPr>
          <w:ilvl w:val="0"/>
          <w:numId w:val="7"/>
        </w:numPr>
        <w:spacing w:before="120" w:after="120" w:line="240" w:lineRule="auto"/>
        <w:ind w:left="1260" w:hanging="450"/>
        <w:jc w:val="both"/>
        <w:rPr>
          <w:rFonts w:cstheme="minorHAnsi"/>
          <w:sz w:val="24"/>
          <w:szCs w:val="24"/>
        </w:rPr>
      </w:pPr>
      <w:r w:rsidRPr="00B91F3C">
        <w:rPr>
          <w:sz w:val="24"/>
        </w:rPr>
        <w:lastRenderedPageBreak/>
        <w:t>снижение объема выбросов парниковых газов (метрические тонны эквивалента двуокиси углерода) на 217 224 041 метрическую тонну (прямых выбросов): задача 8 и задача 11</w:t>
      </w:r>
    </w:p>
    <w:p w14:paraId="6F625E99" w14:textId="5F749861" w:rsidR="00AD6B44" w:rsidRPr="00B91F3C" w:rsidRDefault="00C91105" w:rsidP="0045036A">
      <w:pPr>
        <w:numPr>
          <w:ilvl w:val="0"/>
          <w:numId w:val="7"/>
        </w:numPr>
        <w:spacing w:before="120" w:after="120" w:line="240" w:lineRule="auto"/>
        <w:ind w:left="1260" w:hanging="450"/>
        <w:jc w:val="both"/>
        <w:rPr>
          <w:rFonts w:cstheme="minorHAnsi"/>
          <w:sz w:val="24"/>
          <w:szCs w:val="24"/>
        </w:rPr>
      </w:pPr>
      <w:r w:rsidRPr="00B91F3C">
        <w:rPr>
          <w:sz w:val="24"/>
        </w:rPr>
        <w:t>обеспечение выгод от финансовых инвестиций ГЭФ для 13 400 человек (7 200 женщин и 6 200 мужчин): задача 22 и задача 23.</w:t>
      </w:r>
      <w:bookmarkStart w:id="101" w:name="_Hlk135389909"/>
    </w:p>
    <w:p w14:paraId="4673D2E4" w14:textId="2605E2A3" w:rsidR="00AD6B44" w:rsidRPr="00B91F3C" w:rsidRDefault="00C91105" w:rsidP="007655D1">
      <w:pPr>
        <w:pStyle w:val="Paragraphedeliste"/>
      </w:pPr>
      <w:r w:rsidRPr="00B91F3C">
        <w:t>Эта КП также будет оказывать поддержку в формировании и укреплении благоприятных условий для сохранения лесов на различных ур</w:t>
      </w:r>
      <w:r w:rsidR="00A60979" w:rsidRPr="00B91F3C">
        <w:t xml:space="preserve">овнях (задача 14 и задача 18). </w:t>
      </w:r>
      <w:r w:rsidRPr="00B91F3C">
        <w:t>Кроме того, будут разработаны стратегии устойчивого финансирования для управления охраняемыми районами и сохранения лесов (задача 19). </w:t>
      </w:r>
      <w:bookmarkStart w:id="102" w:name="_Toc136871758"/>
      <w:bookmarkEnd w:id="101"/>
    </w:p>
    <w:p w14:paraId="7AA60A92" w14:textId="6633D259" w:rsidR="00AD6B44" w:rsidRPr="00B91F3C" w:rsidRDefault="00C91105" w:rsidP="004E0A93">
      <w:pPr>
        <w:pStyle w:val="Titre2"/>
      </w:pPr>
      <w:bookmarkStart w:id="103" w:name="_Toc165893321"/>
      <w:bookmarkStart w:id="104" w:name="_Toc165899256"/>
      <w:r w:rsidRPr="00B91F3C">
        <w:t>КП «Центральноамериканский критический лесной биом»</w:t>
      </w:r>
      <w:bookmarkEnd w:id="102"/>
      <w:r w:rsidRPr="00B91F3C">
        <w:t xml:space="preserve"> (Участвующие страны: Гватемала, Гондурас, Мексика, Никарагуа, Панама и Сальвадор)</w:t>
      </w:r>
      <w:bookmarkEnd w:id="103"/>
      <w:bookmarkEnd w:id="104"/>
    </w:p>
    <w:p w14:paraId="4A389676" w14:textId="4B4C84EE" w:rsidR="00C91105" w:rsidRPr="00B91F3C" w:rsidRDefault="00C91105" w:rsidP="007655D1">
      <w:pPr>
        <w:pStyle w:val="Paragraphedeliste"/>
      </w:pPr>
      <w:r w:rsidRPr="00B91F3C">
        <w:t>Цель КП «Центральноамериканский критический лесной биом» заключается в сохранении девственных лесов Центральной Америки путем укрепления руководства, защиты, восстановления, регионального сотрудничества и мобилизации стабильного долгосрочного финансирования, что обеспечит устойчивый поток экосистем</w:t>
      </w:r>
      <w:r w:rsidR="00A60979" w:rsidRPr="00B91F3C">
        <w:t xml:space="preserve">ных услуг для людей и планеты. </w:t>
      </w:r>
      <w:r w:rsidRPr="00B91F3C">
        <w:t xml:space="preserve">Эта КП призвана обеспечить следующие результаты, которые внесут вклад в КМГПБ: </w:t>
      </w:r>
    </w:p>
    <w:p w14:paraId="77F119BC" w14:textId="73D34783" w:rsidR="00C91105" w:rsidRPr="00B91F3C" w:rsidRDefault="00C91105" w:rsidP="0045036A">
      <w:pPr>
        <w:numPr>
          <w:ilvl w:val="0"/>
          <w:numId w:val="7"/>
        </w:numPr>
        <w:spacing w:before="120" w:after="120" w:line="240" w:lineRule="auto"/>
        <w:ind w:left="1260" w:hanging="540"/>
        <w:jc w:val="both"/>
        <w:rPr>
          <w:rFonts w:cstheme="minorHAnsi"/>
          <w:sz w:val="24"/>
          <w:szCs w:val="24"/>
        </w:rPr>
      </w:pPr>
      <w:r w:rsidRPr="00B91F3C">
        <w:rPr>
          <w:sz w:val="24"/>
        </w:rPr>
        <w:t xml:space="preserve">внедрение улучшенных методов управления наземными охраняемыми районами на </w:t>
      </w:r>
      <w:r w:rsidR="00E875D1" w:rsidRPr="00B91F3C">
        <w:rPr>
          <w:sz w:val="24"/>
        </w:rPr>
        <w:t>территории</w:t>
      </w:r>
      <w:r w:rsidRPr="00B91F3C">
        <w:rPr>
          <w:sz w:val="24"/>
        </w:rPr>
        <w:t xml:space="preserve"> 5 329 143 га: задача 3</w:t>
      </w:r>
    </w:p>
    <w:p w14:paraId="77753E93" w14:textId="77777777" w:rsidR="00C91105" w:rsidRPr="00B91F3C" w:rsidRDefault="00C91105" w:rsidP="0045036A">
      <w:pPr>
        <w:numPr>
          <w:ilvl w:val="0"/>
          <w:numId w:val="7"/>
        </w:numPr>
        <w:spacing w:before="120" w:after="120" w:line="240" w:lineRule="auto"/>
        <w:ind w:left="1260" w:hanging="540"/>
        <w:jc w:val="both"/>
        <w:rPr>
          <w:rFonts w:cstheme="minorHAnsi"/>
          <w:sz w:val="24"/>
          <w:szCs w:val="24"/>
        </w:rPr>
      </w:pPr>
      <w:r w:rsidRPr="00B91F3C">
        <w:rPr>
          <w:sz w:val="24"/>
        </w:rPr>
        <w:t xml:space="preserve">восстановление 63 600 га земель и экосистем: задача 2 </w:t>
      </w:r>
    </w:p>
    <w:p w14:paraId="67EE8237" w14:textId="34560CC4" w:rsidR="00C91105" w:rsidRPr="00B91F3C" w:rsidRDefault="00C91105" w:rsidP="0045036A">
      <w:pPr>
        <w:numPr>
          <w:ilvl w:val="0"/>
          <w:numId w:val="7"/>
        </w:numPr>
        <w:spacing w:before="120" w:after="120" w:line="240" w:lineRule="auto"/>
        <w:ind w:left="1260" w:hanging="540"/>
        <w:jc w:val="both"/>
        <w:rPr>
          <w:rFonts w:cstheme="minorHAnsi"/>
          <w:sz w:val="24"/>
          <w:szCs w:val="24"/>
        </w:rPr>
      </w:pPr>
      <w:r w:rsidRPr="00B91F3C">
        <w:rPr>
          <w:sz w:val="24"/>
        </w:rPr>
        <w:t xml:space="preserve">внедрение улучшенной практики эксплуатации ландшафтов в интересах сохранения биоразнообразия на </w:t>
      </w:r>
      <w:r w:rsidR="00E875D1" w:rsidRPr="00B91F3C">
        <w:rPr>
          <w:sz w:val="24"/>
        </w:rPr>
        <w:t>территории</w:t>
      </w:r>
      <w:r w:rsidRPr="00B91F3C">
        <w:rPr>
          <w:sz w:val="24"/>
        </w:rPr>
        <w:t xml:space="preserve"> 178 382 га: задача 5, задача 9 и задача 10</w:t>
      </w:r>
    </w:p>
    <w:p w14:paraId="440658B7" w14:textId="77777777" w:rsidR="00C91105" w:rsidRPr="00B91F3C" w:rsidRDefault="00C91105" w:rsidP="0045036A">
      <w:pPr>
        <w:numPr>
          <w:ilvl w:val="0"/>
          <w:numId w:val="7"/>
        </w:numPr>
        <w:spacing w:before="120" w:after="120" w:line="240" w:lineRule="auto"/>
        <w:ind w:left="1260" w:hanging="540"/>
        <w:jc w:val="both"/>
        <w:rPr>
          <w:rFonts w:cstheme="minorHAnsi"/>
          <w:sz w:val="24"/>
          <w:szCs w:val="24"/>
        </w:rPr>
      </w:pPr>
      <w:r w:rsidRPr="00B91F3C">
        <w:rPr>
          <w:sz w:val="24"/>
        </w:rPr>
        <w:t>внедрение улучшенных методов управления в одной (1) общей водной системе: задача 10</w:t>
      </w:r>
    </w:p>
    <w:p w14:paraId="42862B10" w14:textId="51947095" w:rsidR="00C91105" w:rsidRPr="00B91F3C" w:rsidRDefault="00C91105" w:rsidP="0045036A">
      <w:pPr>
        <w:numPr>
          <w:ilvl w:val="0"/>
          <w:numId w:val="7"/>
        </w:numPr>
        <w:spacing w:before="120" w:after="120" w:line="240" w:lineRule="auto"/>
        <w:ind w:left="1260" w:hanging="540"/>
        <w:jc w:val="both"/>
        <w:rPr>
          <w:rFonts w:cstheme="minorHAnsi"/>
          <w:sz w:val="24"/>
          <w:szCs w:val="24"/>
        </w:rPr>
      </w:pPr>
      <w:r w:rsidRPr="00B91F3C">
        <w:rPr>
          <w:sz w:val="24"/>
        </w:rPr>
        <w:t>снижение объема выбросов парниковых газов (метрические тонны эквивалента двуокиси углерода) на 81 294 163 метрических тонн</w:t>
      </w:r>
      <w:r w:rsidR="00A60979" w:rsidRPr="00B91F3C">
        <w:rPr>
          <w:sz w:val="24"/>
        </w:rPr>
        <w:t>ы</w:t>
      </w:r>
      <w:r w:rsidRPr="00B91F3C">
        <w:rPr>
          <w:sz w:val="24"/>
        </w:rPr>
        <w:t xml:space="preserve"> (прямых выбросов) и 2 678 551 метрическую тонну (косвенных выбросов): задача 8 и задача 11</w:t>
      </w:r>
    </w:p>
    <w:p w14:paraId="302EE2B3" w14:textId="77777777" w:rsidR="00C91105" w:rsidRPr="00B91F3C" w:rsidRDefault="00C91105" w:rsidP="0045036A">
      <w:pPr>
        <w:numPr>
          <w:ilvl w:val="0"/>
          <w:numId w:val="7"/>
        </w:numPr>
        <w:spacing w:before="120" w:after="120" w:line="240" w:lineRule="auto"/>
        <w:ind w:left="1260" w:hanging="540"/>
        <w:jc w:val="both"/>
        <w:rPr>
          <w:rFonts w:cstheme="minorHAnsi"/>
          <w:sz w:val="24"/>
          <w:szCs w:val="24"/>
        </w:rPr>
      </w:pPr>
      <w:r w:rsidRPr="00B91F3C">
        <w:rPr>
          <w:sz w:val="24"/>
        </w:rPr>
        <w:t>обеспечение выгод от финансовых инвестиций ГЭФ для 182 350 человек (82 210 женщин и 100 230 мужчин): задача 22 и задача 23.</w:t>
      </w:r>
    </w:p>
    <w:p w14:paraId="63A49FF5" w14:textId="522A9FA6" w:rsidR="00AD6B44" w:rsidRPr="00B91F3C" w:rsidRDefault="00C91105" w:rsidP="007655D1">
      <w:pPr>
        <w:pStyle w:val="Paragraphedeliste"/>
      </w:pPr>
      <w:r w:rsidRPr="00B91F3C">
        <w:t xml:space="preserve">Эта КП будет предоставлять техническую помощь и поддерживать процессы с широким участием в целях обзора, обновления или разработки инструментов, способствующих защите и сохранению девственных лесов, с использованием межотраслевых процессов для поощрения согласованности политики. Эти инструменты будут включать в себя в том числе планы землепользования, нормативное регулирование вырубки лесов, меры политики и регулирования в отношении предоставления </w:t>
      </w:r>
      <w:r w:rsidRPr="00B91F3C">
        <w:lastRenderedPageBreak/>
        <w:t>разрешений на добычу полезных ископаемых, планы жизнеобеспечения коренных народов, процедуры проведения консультаций с коренными народами (задача 1, задача 14 и задача 18). Кроме того, эта КП направлена на мобилизацию инвестиций из разных источников в поддержку долгосрочного сохранения и устойчивого использования девственных лесов (задача 19).</w:t>
      </w:r>
    </w:p>
    <w:p w14:paraId="2FB2CAD9" w14:textId="24113135" w:rsidR="00AD6B44" w:rsidRPr="00B91F3C" w:rsidRDefault="00C91105" w:rsidP="004E0A93">
      <w:pPr>
        <w:pStyle w:val="Titre2"/>
      </w:pPr>
      <w:bookmarkStart w:id="105" w:name="_Toc155558260"/>
      <w:bookmarkStart w:id="106" w:name="_Hlk153981764"/>
      <w:bookmarkStart w:id="107" w:name="_Toc165893322"/>
      <w:bookmarkStart w:id="108" w:name="_Toc165899257"/>
      <w:bookmarkEnd w:id="55"/>
      <w:r w:rsidRPr="00B91F3C">
        <w:t>КП «Сохранение дикой природы в интересах развития»</w:t>
      </w:r>
      <w:bookmarkEnd w:id="105"/>
      <w:bookmarkEnd w:id="106"/>
      <w:r w:rsidRPr="00B91F3C">
        <w:t xml:space="preserve"> (Участвующие страны: Гвинея, Замбия, Индонезия, Кения, Колумбия, Малави, Мексика, Мозамбик, Непал, Парагвай, Таиланд, Уганда, Филиппины, Эсватини и Эфиопия)</w:t>
      </w:r>
      <w:bookmarkEnd w:id="107"/>
      <w:bookmarkEnd w:id="108"/>
    </w:p>
    <w:p w14:paraId="34F5DA68" w14:textId="0461E72B" w:rsidR="00C91105" w:rsidRPr="00B91F3C" w:rsidRDefault="00C91105" w:rsidP="007655D1">
      <w:pPr>
        <w:pStyle w:val="Paragraphedeliste"/>
      </w:pPr>
      <w:r w:rsidRPr="00B91F3C">
        <w:t>Цель КП «Сохранение дикой природы в интересах развития» заключается в сохранении дикой природы и ландшафтов для максимального увеличения глобальных экологических выгод, а также в обеспечении получения странами и общинами выгод от этих природных активов. Эта КП призвана обеспечить следующие результаты, которые внесут вклад в КМГПБ:</w:t>
      </w:r>
    </w:p>
    <w:p w14:paraId="56C88EAA" w14:textId="77777777" w:rsidR="00C91105" w:rsidRPr="00B91F3C" w:rsidRDefault="00C91105" w:rsidP="00834335">
      <w:pPr>
        <w:numPr>
          <w:ilvl w:val="0"/>
          <w:numId w:val="7"/>
        </w:numPr>
        <w:tabs>
          <w:tab w:val="num" w:pos="90"/>
        </w:tabs>
        <w:spacing w:before="120" w:after="120" w:line="240" w:lineRule="auto"/>
        <w:jc w:val="both"/>
        <w:rPr>
          <w:rFonts w:cstheme="minorHAnsi"/>
          <w:sz w:val="24"/>
          <w:szCs w:val="24"/>
        </w:rPr>
      </w:pPr>
      <w:r w:rsidRPr="00B91F3C">
        <w:rPr>
          <w:sz w:val="24"/>
        </w:rPr>
        <w:t>создание 206 300 га новых наземных охраняемых районов: задача 3</w:t>
      </w:r>
    </w:p>
    <w:p w14:paraId="6715E327" w14:textId="008DF1FD" w:rsidR="00C91105" w:rsidRPr="00B91F3C" w:rsidRDefault="00C91105" w:rsidP="00834335">
      <w:pPr>
        <w:numPr>
          <w:ilvl w:val="0"/>
          <w:numId w:val="7"/>
        </w:numPr>
        <w:tabs>
          <w:tab w:val="num" w:pos="90"/>
        </w:tabs>
        <w:spacing w:before="120" w:after="120" w:line="240" w:lineRule="auto"/>
        <w:jc w:val="both"/>
        <w:rPr>
          <w:rFonts w:cstheme="minorHAnsi"/>
          <w:sz w:val="24"/>
          <w:szCs w:val="24"/>
        </w:rPr>
      </w:pPr>
      <w:r w:rsidRPr="00B91F3C">
        <w:rPr>
          <w:sz w:val="24"/>
        </w:rPr>
        <w:t xml:space="preserve">внедрение улучшенных методов управления наземными охраняемыми районами на </w:t>
      </w:r>
      <w:r w:rsidR="00E875D1" w:rsidRPr="00B91F3C">
        <w:rPr>
          <w:sz w:val="24"/>
        </w:rPr>
        <w:t>территории</w:t>
      </w:r>
      <w:r w:rsidRPr="00B91F3C">
        <w:rPr>
          <w:sz w:val="24"/>
        </w:rPr>
        <w:t xml:space="preserve"> 19 336 738 га: задача 3</w:t>
      </w:r>
    </w:p>
    <w:p w14:paraId="4DB82F60" w14:textId="77777777" w:rsidR="00C91105" w:rsidRPr="00B91F3C" w:rsidRDefault="00C91105" w:rsidP="00834335">
      <w:pPr>
        <w:numPr>
          <w:ilvl w:val="0"/>
          <w:numId w:val="7"/>
        </w:numPr>
        <w:tabs>
          <w:tab w:val="num" w:pos="90"/>
        </w:tabs>
        <w:spacing w:before="120" w:after="120" w:line="240" w:lineRule="auto"/>
        <w:jc w:val="both"/>
        <w:rPr>
          <w:rFonts w:cstheme="minorHAnsi"/>
          <w:sz w:val="24"/>
          <w:szCs w:val="24"/>
        </w:rPr>
      </w:pPr>
      <w:r w:rsidRPr="00B91F3C">
        <w:rPr>
          <w:sz w:val="24"/>
        </w:rPr>
        <w:t xml:space="preserve">восстановление 307 400 га земель и экосистем: задача 2 </w:t>
      </w:r>
    </w:p>
    <w:p w14:paraId="2DFE5868" w14:textId="05F2EEC2" w:rsidR="00C91105" w:rsidRPr="00B91F3C" w:rsidRDefault="00C91105" w:rsidP="00834335">
      <w:pPr>
        <w:numPr>
          <w:ilvl w:val="0"/>
          <w:numId w:val="7"/>
        </w:numPr>
        <w:tabs>
          <w:tab w:val="num" w:pos="90"/>
        </w:tabs>
        <w:spacing w:before="120" w:after="120" w:line="240" w:lineRule="auto"/>
        <w:jc w:val="both"/>
        <w:rPr>
          <w:rFonts w:cstheme="minorHAnsi"/>
          <w:sz w:val="24"/>
          <w:szCs w:val="24"/>
        </w:rPr>
      </w:pPr>
      <w:r w:rsidRPr="00B91F3C">
        <w:rPr>
          <w:sz w:val="24"/>
        </w:rPr>
        <w:t xml:space="preserve">внедрение улучшенной практики эксплуатации ландшафтов в интересах сохранения биоразнообразия на </w:t>
      </w:r>
      <w:r w:rsidR="00E875D1" w:rsidRPr="00B91F3C">
        <w:rPr>
          <w:sz w:val="24"/>
        </w:rPr>
        <w:t>территории</w:t>
      </w:r>
      <w:r w:rsidRPr="00B91F3C">
        <w:rPr>
          <w:sz w:val="24"/>
        </w:rPr>
        <w:t xml:space="preserve"> 5 681 030 га: задача 5, задача 9 и задача 10</w:t>
      </w:r>
    </w:p>
    <w:p w14:paraId="11926227" w14:textId="77777777" w:rsidR="00C91105" w:rsidRPr="00B91F3C" w:rsidRDefault="00C91105" w:rsidP="00834335">
      <w:pPr>
        <w:numPr>
          <w:ilvl w:val="0"/>
          <w:numId w:val="7"/>
        </w:numPr>
        <w:tabs>
          <w:tab w:val="num" w:pos="90"/>
        </w:tabs>
        <w:spacing w:before="120" w:after="120" w:line="240" w:lineRule="auto"/>
        <w:jc w:val="both"/>
        <w:rPr>
          <w:rFonts w:cstheme="minorHAnsi"/>
          <w:sz w:val="24"/>
          <w:szCs w:val="24"/>
        </w:rPr>
      </w:pPr>
      <w:r w:rsidRPr="00B91F3C">
        <w:rPr>
          <w:sz w:val="24"/>
        </w:rPr>
        <w:t>снижение объема выбросов парниковых газов (метрические тонны эквивалента двуокиси углерода) на 61 694 190 метрических тонн (прямых выбросов) и метрических тонн (косвенных выбросов): задача 8 и задача 11</w:t>
      </w:r>
    </w:p>
    <w:p w14:paraId="37CC39E0" w14:textId="77777777" w:rsidR="00C91105" w:rsidRPr="00B91F3C" w:rsidRDefault="00C91105" w:rsidP="00834335">
      <w:pPr>
        <w:numPr>
          <w:ilvl w:val="0"/>
          <w:numId w:val="7"/>
        </w:numPr>
        <w:tabs>
          <w:tab w:val="num" w:pos="90"/>
        </w:tabs>
        <w:spacing w:before="120" w:after="120" w:line="240" w:lineRule="auto"/>
        <w:jc w:val="both"/>
        <w:rPr>
          <w:rFonts w:cstheme="minorHAnsi"/>
          <w:sz w:val="24"/>
          <w:szCs w:val="24"/>
        </w:rPr>
      </w:pPr>
      <w:r w:rsidRPr="00B91F3C">
        <w:rPr>
          <w:sz w:val="24"/>
        </w:rPr>
        <w:t>обеспечение выгод от финансовых инвестиций ГЭФ для 1 068 489 человек (544 942 женщин и 523 547 мужчин): задача 22 и задача 23.</w:t>
      </w:r>
    </w:p>
    <w:p w14:paraId="30D519B2" w14:textId="52889D4E" w:rsidR="00C91105" w:rsidRPr="00B91F3C" w:rsidRDefault="00EC3A17" w:rsidP="007655D1">
      <w:pPr>
        <w:pStyle w:val="Paragraphedeliste"/>
      </w:pPr>
      <w:r w:rsidRPr="00B91F3C">
        <w:t xml:space="preserve">КП «Сохранение дикой природы в интересах развития» организована таким образом, чтобы непосредственно вносить вклад в осуществление ГПБ с уделением особого внимания задачам 3, 4 и 5. Поддержка репрезентативных и грамотно управляемых сетей охраняемых районов (задача 3) будет обеспечиваться в основном такими направлениями, как охранные меры на порайонной основе, сокращение угроз и обеспечение участия общин. Дополнительный вклад будет обеспечиваться за счет расширенного финансирования природоохранной деятельности, повышения эффективности руководства и укрепления источников жизнеобеспечения общин. Исчезновение видов, находящихся под угрозой вымирания (задача 4), будет предотвращаться с помощью целого ряда мер по управлению, включая охранные меры на порайонной основе и совместное использование выгод. В качестве отдельного результата КП предусмотрено сокращение числа конфликтов между человеком и дикой природой (задача 4). Устойчивой, безопасной и законной торговле дикими видами </w:t>
      </w:r>
      <w:r w:rsidRPr="00B91F3C">
        <w:lastRenderedPageBreak/>
        <w:t xml:space="preserve">(задача 5) </w:t>
      </w:r>
      <w:proofErr w:type="gramStart"/>
      <w:r w:rsidRPr="00B91F3C">
        <w:t>будут в частности</w:t>
      </w:r>
      <w:proofErr w:type="gramEnd"/>
      <w:r w:rsidRPr="00B91F3C">
        <w:t xml:space="preserve"> способствовать усилия, сосредоточенные на цепочках поставок в торговле дикими видами, а также меры борьбы с браконьерством в ключевых ландшафтах и производственно-сбытовых цепочках, основанных на устойчивом использовании. В этой КП предусмотрены целевые мероприятия и соответствующие результаты по снижению риска распространения зоонозных болезней в связи с торговлей некоторыми дикими видами и их использованием (задача 5). </w:t>
      </w:r>
    </w:p>
    <w:p w14:paraId="7A479AE7" w14:textId="36DA2B73" w:rsidR="00C91105" w:rsidRPr="00B91F3C" w:rsidRDefault="00C91105" w:rsidP="004E0A93">
      <w:pPr>
        <w:pStyle w:val="Titre2"/>
      </w:pPr>
      <w:bookmarkStart w:id="109" w:name="_Toc155558261"/>
      <w:bookmarkStart w:id="110" w:name="_Toc165893323"/>
      <w:bookmarkStart w:id="111" w:name="_Toc165899258"/>
      <w:r w:rsidRPr="00B91F3C">
        <w:t>КП «Продовольственные системы»</w:t>
      </w:r>
      <w:bookmarkEnd w:id="109"/>
      <w:r w:rsidRPr="00B91F3C">
        <w:t xml:space="preserve"> (Участвующие страны: Ангола, Аргентина, Бенин, Буркина-Фасо, Бутан, Гана, Гренада, Индия, Индонезия, Казахстан, Кения, Китай, Коста-Рика, Малайзия, Мексика, Намибия, Науру, Нигерия, Пакистан, Перу, Соломоновы Острова, Танзания, Турция, Уганда, Филиппины, Чад, Чили, Шри-Ланка, Эквадор, Эсватини, Эфиопия и Южная Африка)</w:t>
      </w:r>
      <w:bookmarkEnd w:id="110"/>
      <w:bookmarkEnd w:id="111"/>
    </w:p>
    <w:p w14:paraId="280E7692" w14:textId="3F0756D0" w:rsidR="00C91105" w:rsidRPr="00B91F3C" w:rsidRDefault="00AD6B44" w:rsidP="007655D1">
      <w:pPr>
        <w:pStyle w:val="Paragraphedeliste"/>
      </w:pPr>
      <w:r w:rsidRPr="00B91F3C">
        <w:t>40.</w:t>
      </w:r>
      <w:r w:rsidRPr="00B91F3C">
        <w:tab/>
        <w:t xml:space="preserve">Цель КП «Продовольственные системы» заключается в активизации перехода к устойчивым продовольственным системам, основанным на принципах восстановления, благоприятным для природы, обладающим </w:t>
      </w:r>
      <w:proofErr w:type="spellStart"/>
      <w:r w:rsidRPr="00B91F3C">
        <w:t>климатоустойчивостью</w:t>
      </w:r>
      <w:proofErr w:type="spellEnd"/>
      <w:r w:rsidRPr="00B91F3C">
        <w:t xml:space="preserve"> и не загрязняющим окружающую среду. Эта КП призвана обеспечить следующие результаты, которые внесут вклад в КМГПБ:</w:t>
      </w:r>
    </w:p>
    <w:p w14:paraId="4DE7932F" w14:textId="77777777" w:rsidR="00C91105" w:rsidRPr="00B91F3C" w:rsidRDefault="00C91105" w:rsidP="002649CB">
      <w:pPr>
        <w:numPr>
          <w:ilvl w:val="0"/>
          <w:numId w:val="7"/>
        </w:numPr>
        <w:tabs>
          <w:tab w:val="num" w:pos="90"/>
        </w:tabs>
        <w:spacing w:before="240" w:after="240" w:line="240" w:lineRule="auto"/>
        <w:jc w:val="both"/>
        <w:rPr>
          <w:rFonts w:cstheme="minorHAnsi"/>
          <w:sz w:val="24"/>
          <w:szCs w:val="24"/>
        </w:rPr>
      </w:pPr>
      <w:r w:rsidRPr="00B91F3C">
        <w:rPr>
          <w:sz w:val="24"/>
        </w:rPr>
        <w:t xml:space="preserve">восстановление 16 500 га лесов, редколесья и естественных пастбищ: задача 2 </w:t>
      </w:r>
    </w:p>
    <w:p w14:paraId="48064B3D" w14:textId="44BB498E" w:rsidR="00C91105" w:rsidRPr="00B91F3C" w:rsidRDefault="00C91105" w:rsidP="002649CB">
      <w:pPr>
        <w:numPr>
          <w:ilvl w:val="0"/>
          <w:numId w:val="7"/>
        </w:numPr>
        <w:tabs>
          <w:tab w:val="num" w:pos="90"/>
        </w:tabs>
        <w:spacing w:before="240" w:after="240" w:line="240" w:lineRule="auto"/>
        <w:jc w:val="both"/>
        <w:rPr>
          <w:rFonts w:cstheme="minorHAnsi"/>
          <w:sz w:val="24"/>
          <w:szCs w:val="24"/>
        </w:rPr>
      </w:pPr>
      <w:r w:rsidRPr="00B91F3C">
        <w:rPr>
          <w:sz w:val="24"/>
        </w:rPr>
        <w:t xml:space="preserve">внедрение улучшенной практики эксплуатации ландшафтов в интересах сохранения биоразнообразия на </w:t>
      </w:r>
      <w:r w:rsidR="00E875D1" w:rsidRPr="00B91F3C">
        <w:rPr>
          <w:sz w:val="24"/>
        </w:rPr>
        <w:t>территории</w:t>
      </w:r>
      <w:r w:rsidRPr="00B91F3C">
        <w:rPr>
          <w:sz w:val="24"/>
        </w:rPr>
        <w:t xml:space="preserve"> 8 142 528 га: задача 5, задача 9 и задача 10</w:t>
      </w:r>
    </w:p>
    <w:p w14:paraId="348142D8" w14:textId="37B9D388" w:rsidR="00C91105" w:rsidRPr="00B91F3C" w:rsidRDefault="00C91105" w:rsidP="002649CB">
      <w:pPr>
        <w:numPr>
          <w:ilvl w:val="0"/>
          <w:numId w:val="7"/>
        </w:numPr>
        <w:spacing w:before="240" w:after="240" w:line="240" w:lineRule="auto"/>
        <w:jc w:val="both"/>
        <w:rPr>
          <w:rFonts w:cstheme="minorHAnsi"/>
          <w:sz w:val="24"/>
          <w:szCs w:val="24"/>
        </w:rPr>
      </w:pPr>
      <w:r w:rsidRPr="00B91F3C">
        <w:rPr>
          <w:sz w:val="24"/>
        </w:rPr>
        <w:t xml:space="preserve">внедрение улучшенной практики эксплуатации морской среды обитания на </w:t>
      </w:r>
      <w:r w:rsidR="00E875D1" w:rsidRPr="00B91F3C">
        <w:rPr>
          <w:sz w:val="24"/>
        </w:rPr>
        <w:t>территории</w:t>
      </w:r>
      <w:r w:rsidRPr="00B91F3C">
        <w:rPr>
          <w:sz w:val="24"/>
        </w:rPr>
        <w:t xml:space="preserve"> 4 220 га: задача 10 </w:t>
      </w:r>
    </w:p>
    <w:p w14:paraId="5DEE3095" w14:textId="77777777" w:rsidR="00C91105" w:rsidRPr="00B91F3C" w:rsidRDefault="00C91105" w:rsidP="002649CB">
      <w:pPr>
        <w:numPr>
          <w:ilvl w:val="0"/>
          <w:numId w:val="7"/>
        </w:numPr>
        <w:tabs>
          <w:tab w:val="num" w:pos="90"/>
        </w:tabs>
        <w:spacing w:before="240" w:after="240" w:line="240" w:lineRule="auto"/>
        <w:jc w:val="both"/>
        <w:rPr>
          <w:rFonts w:cstheme="minorHAnsi"/>
          <w:sz w:val="24"/>
          <w:szCs w:val="24"/>
        </w:rPr>
      </w:pPr>
      <w:r w:rsidRPr="00B91F3C">
        <w:rPr>
          <w:sz w:val="24"/>
        </w:rPr>
        <w:t>снижение объема выбросов парниковых газов (метрические тонны эквивалента двуокиси углерода) на 174 017 500 метрических тонн (прямых выбросов) и метрических тонн (косвенных выбросов): задача 8 и задача 11</w:t>
      </w:r>
    </w:p>
    <w:p w14:paraId="355DF309" w14:textId="0CED0FB0" w:rsidR="00AD6B44" w:rsidRPr="00B91F3C" w:rsidRDefault="00C91105" w:rsidP="002649CB">
      <w:pPr>
        <w:numPr>
          <w:ilvl w:val="0"/>
          <w:numId w:val="7"/>
        </w:numPr>
        <w:tabs>
          <w:tab w:val="num" w:pos="90"/>
        </w:tabs>
        <w:spacing w:before="240" w:after="240" w:line="240" w:lineRule="auto"/>
        <w:jc w:val="both"/>
        <w:rPr>
          <w:rFonts w:cstheme="minorHAnsi"/>
          <w:sz w:val="24"/>
          <w:szCs w:val="24"/>
        </w:rPr>
      </w:pPr>
      <w:r w:rsidRPr="00B91F3C">
        <w:rPr>
          <w:sz w:val="24"/>
        </w:rPr>
        <w:t>обеспечение выгод от финансовых инвестиций ГЭФ для 3 356 681 человека (1 649 341 женщины и 1 707 340 мужчин): задача 22 и задача 23.</w:t>
      </w:r>
    </w:p>
    <w:p w14:paraId="1C9BDC6B" w14:textId="13F37876" w:rsidR="00C91105" w:rsidRPr="00B91F3C" w:rsidRDefault="00C91105" w:rsidP="007655D1">
      <w:pPr>
        <w:pStyle w:val="Paragraphedeliste"/>
      </w:pPr>
      <w:r w:rsidRPr="00B91F3C">
        <w:t xml:space="preserve">Эта КП также будет оказывать поддержку комплексному пространственному планированию (задача 1); способствовать улучшению методов управления во всей производственно-сбытовой цепочке в целях снижения риска загрязнения и негативного воздействия загрязнения (задача 7); создавать возможности для предприятий по раскрытию информации о своих рисках, зависимости от биоразнообразия и воздействии на него, а также по предоставлению информации, которая необходима потребителям для поощрения устойчивых моделей потребления (задача 15); решать вопросы, связанные с потреблением продовольствия и пищевыми отходами (задача 18); взаимодействовать с широким спектром инвесторов, с тем чтобы методы проверки источников финансирования в большей степени учитывали соображения экологической </w:t>
      </w:r>
      <w:r w:rsidRPr="00B91F3C">
        <w:lastRenderedPageBreak/>
        <w:t>устойчивости, и привлекать дополнительное широкомасштабное финансирование, в том числе посредством механизмов смешанного финансирования (задача 19).</w:t>
      </w:r>
    </w:p>
    <w:p w14:paraId="2263BA7B" w14:textId="0787345D" w:rsidR="00C91105" w:rsidRPr="00B91F3C" w:rsidRDefault="00C91105" w:rsidP="004E0A93">
      <w:pPr>
        <w:pStyle w:val="Titre2"/>
      </w:pPr>
      <w:bookmarkStart w:id="112" w:name="_Toc136518482"/>
      <w:bookmarkStart w:id="113" w:name="_Toc155558262"/>
      <w:bookmarkStart w:id="114" w:name="_Toc165893324"/>
      <w:bookmarkStart w:id="115" w:name="_Toc165899259"/>
      <w:r w:rsidRPr="00B91F3C">
        <w:t>КП «Чистые и здоровые океаны»</w:t>
      </w:r>
      <w:bookmarkEnd w:id="112"/>
      <w:bookmarkEnd w:id="113"/>
      <w:r w:rsidRPr="00B91F3C">
        <w:t xml:space="preserve"> (Участвующие страны: Венесуэла, Вьетнам, Гренада, Иордания, Мадагаскар, Мальдивские Острова, Мексика, Молдова, Панама, Перу, Сент-Китс и Невис, Таиланд, Тринидад и Тобаго и Шри-Ланка)</w:t>
      </w:r>
      <w:bookmarkEnd w:id="114"/>
      <w:bookmarkEnd w:id="115"/>
    </w:p>
    <w:p w14:paraId="66F5D0B4" w14:textId="31C2A9A9" w:rsidR="00C91105" w:rsidRPr="00B91F3C" w:rsidRDefault="00C91105" w:rsidP="007655D1">
      <w:pPr>
        <w:pStyle w:val="Paragraphedeliste"/>
      </w:pPr>
      <w:r w:rsidRPr="00B91F3C">
        <w:t>Цель КП «Чистые и здоровые океаны» заключается в сдерживании загрязнения прибрежных районов из сельскохозяйственных, промышленных и муниципальных источников с помощью политических мер и мер регулирования, а также с помощью инвестиций в инфраструктуру в сочетании с решениями, основанными на природе.</w:t>
      </w:r>
      <w:r w:rsidRPr="00B91F3C">
        <w:rPr>
          <w:i/>
        </w:rPr>
        <w:t> </w:t>
      </w:r>
      <w:r w:rsidRPr="00B91F3C">
        <w:t>Эта КП призвана обеспечить следующие результаты, которые внесут вклад в КМГПБ:</w:t>
      </w:r>
    </w:p>
    <w:p w14:paraId="7F54894A" w14:textId="77777777" w:rsidR="00C91105" w:rsidRPr="00B91F3C" w:rsidRDefault="00C91105" w:rsidP="0045036A">
      <w:pPr>
        <w:numPr>
          <w:ilvl w:val="0"/>
          <w:numId w:val="7"/>
        </w:numPr>
        <w:tabs>
          <w:tab w:val="num" w:pos="90"/>
        </w:tabs>
        <w:spacing w:before="120" w:after="120" w:line="240" w:lineRule="auto"/>
        <w:ind w:left="1260" w:hanging="540"/>
        <w:jc w:val="both"/>
        <w:rPr>
          <w:rFonts w:cstheme="minorHAnsi"/>
          <w:sz w:val="24"/>
          <w:szCs w:val="24"/>
        </w:rPr>
      </w:pPr>
      <w:r w:rsidRPr="00B91F3C">
        <w:rPr>
          <w:sz w:val="24"/>
        </w:rPr>
        <w:t>создание 3 320 га новых наземных охраняемых районов: задача 3</w:t>
      </w:r>
    </w:p>
    <w:p w14:paraId="6923DE68" w14:textId="77777777" w:rsidR="00C91105" w:rsidRPr="00B91F3C" w:rsidRDefault="00C91105" w:rsidP="0045036A">
      <w:pPr>
        <w:numPr>
          <w:ilvl w:val="0"/>
          <w:numId w:val="7"/>
        </w:numPr>
        <w:tabs>
          <w:tab w:val="num" w:pos="90"/>
        </w:tabs>
        <w:spacing w:before="120" w:after="120" w:line="240" w:lineRule="auto"/>
        <w:ind w:left="1260" w:hanging="540"/>
        <w:jc w:val="both"/>
        <w:rPr>
          <w:rFonts w:cstheme="minorHAnsi"/>
          <w:sz w:val="24"/>
          <w:szCs w:val="24"/>
        </w:rPr>
      </w:pPr>
      <w:r w:rsidRPr="00B91F3C">
        <w:rPr>
          <w:sz w:val="24"/>
        </w:rPr>
        <w:t>создание 58 000 га новых морских охраняемых районов: задача 3</w:t>
      </w:r>
    </w:p>
    <w:p w14:paraId="201825CF" w14:textId="44505448" w:rsidR="00C91105" w:rsidRPr="00B91F3C" w:rsidRDefault="00C91105" w:rsidP="0045036A">
      <w:pPr>
        <w:numPr>
          <w:ilvl w:val="0"/>
          <w:numId w:val="7"/>
        </w:numPr>
        <w:tabs>
          <w:tab w:val="num" w:pos="90"/>
        </w:tabs>
        <w:spacing w:before="120" w:after="120" w:line="240" w:lineRule="auto"/>
        <w:ind w:left="1260" w:hanging="540"/>
        <w:jc w:val="both"/>
        <w:rPr>
          <w:rFonts w:cstheme="minorHAnsi"/>
          <w:sz w:val="24"/>
          <w:szCs w:val="24"/>
        </w:rPr>
      </w:pPr>
      <w:r w:rsidRPr="00B91F3C">
        <w:rPr>
          <w:sz w:val="24"/>
        </w:rPr>
        <w:t xml:space="preserve">внедрение улучшенных методов управления наземными охраняемыми районами на </w:t>
      </w:r>
      <w:r w:rsidR="00E875D1" w:rsidRPr="00B91F3C">
        <w:rPr>
          <w:sz w:val="24"/>
        </w:rPr>
        <w:t>территории</w:t>
      </w:r>
      <w:r w:rsidRPr="00B91F3C">
        <w:rPr>
          <w:sz w:val="24"/>
        </w:rPr>
        <w:t xml:space="preserve"> 516 873 га: задача 3</w:t>
      </w:r>
    </w:p>
    <w:p w14:paraId="596F2A7F" w14:textId="12BDAB8D" w:rsidR="00C91105" w:rsidRPr="00B91F3C" w:rsidRDefault="00C91105" w:rsidP="0045036A">
      <w:pPr>
        <w:numPr>
          <w:ilvl w:val="0"/>
          <w:numId w:val="7"/>
        </w:numPr>
        <w:tabs>
          <w:tab w:val="num" w:pos="90"/>
        </w:tabs>
        <w:spacing w:before="120" w:after="120" w:line="240" w:lineRule="auto"/>
        <w:ind w:left="1260" w:hanging="540"/>
        <w:jc w:val="both"/>
        <w:rPr>
          <w:rFonts w:cstheme="minorHAnsi"/>
          <w:sz w:val="24"/>
          <w:szCs w:val="24"/>
        </w:rPr>
      </w:pPr>
      <w:r w:rsidRPr="00B91F3C">
        <w:rPr>
          <w:sz w:val="24"/>
        </w:rPr>
        <w:t xml:space="preserve">внедрение улучшенных методов управления морскими охраняемыми районами на </w:t>
      </w:r>
      <w:r w:rsidR="00E875D1" w:rsidRPr="00B91F3C">
        <w:rPr>
          <w:sz w:val="24"/>
        </w:rPr>
        <w:t>территории</w:t>
      </w:r>
      <w:r w:rsidRPr="00B91F3C">
        <w:rPr>
          <w:sz w:val="24"/>
        </w:rPr>
        <w:t xml:space="preserve"> 423 250 га: задача 3</w:t>
      </w:r>
    </w:p>
    <w:p w14:paraId="18BE421A" w14:textId="77777777" w:rsidR="00C91105" w:rsidRPr="00B91F3C" w:rsidRDefault="00C91105" w:rsidP="0045036A">
      <w:pPr>
        <w:numPr>
          <w:ilvl w:val="0"/>
          <w:numId w:val="7"/>
        </w:numPr>
        <w:tabs>
          <w:tab w:val="num" w:pos="90"/>
        </w:tabs>
        <w:spacing w:before="120" w:after="120" w:line="240" w:lineRule="auto"/>
        <w:ind w:left="1260" w:hanging="540"/>
        <w:jc w:val="both"/>
        <w:rPr>
          <w:rFonts w:cstheme="minorHAnsi"/>
          <w:sz w:val="24"/>
          <w:szCs w:val="24"/>
        </w:rPr>
      </w:pPr>
      <w:r w:rsidRPr="00B91F3C">
        <w:rPr>
          <w:sz w:val="24"/>
        </w:rPr>
        <w:t xml:space="preserve">восстановление 96 011 га лесов, редколесья, лугопастбищных и болотных угодий: задача 2 </w:t>
      </w:r>
    </w:p>
    <w:p w14:paraId="55FA8B81" w14:textId="523307BF" w:rsidR="00C91105" w:rsidRPr="00B91F3C" w:rsidRDefault="00C91105" w:rsidP="0045036A">
      <w:pPr>
        <w:numPr>
          <w:ilvl w:val="0"/>
          <w:numId w:val="7"/>
        </w:numPr>
        <w:tabs>
          <w:tab w:val="num" w:pos="90"/>
        </w:tabs>
        <w:spacing w:before="120" w:after="120" w:line="240" w:lineRule="auto"/>
        <w:ind w:left="1260" w:hanging="540"/>
        <w:jc w:val="both"/>
        <w:rPr>
          <w:rFonts w:cstheme="minorHAnsi"/>
          <w:sz w:val="24"/>
          <w:szCs w:val="24"/>
        </w:rPr>
      </w:pPr>
      <w:r w:rsidRPr="00B91F3C">
        <w:rPr>
          <w:sz w:val="24"/>
          <w:szCs w:val="24"/>
        </w:rPr>
        <w:t xml:space="preserve">внедрение улучшенной практики эксплуатации ландшафтов в интересах сохранения биоразнообразия на </w:t>
      </w:r>
      <w:r w:rsidR="00E875D1" w:rsidRPr="00B91F3C">
        <w:rPr>
          <w:sz w:val="24"/>
          <w:szCs w:val="24"/>
        </w:rPr>
        <w:t>территории</w:t>
      </w:r>
      <w:r w:rsidRPr="00B91F3C">
        <w:rPr>
          <w:sz w:val="24"/>
          <w:szCs w:val="24"/>
        </w:rPr>
        <w:t xml:space="preserve"> 274 397 </w:t>
      </w:r>
      <w:bookmarkStart w:id="116" w:name="_Hlk135297025"/>
      <w:r w:rsidRPr="00B91F3C">
        <w:rPr>
          <w:sz w:val="24"/>
          <w:szCs w:val="24"/>
        </w:rPr>
        <w:t>га: задача 10</w:t>
      </w:r>
      <w:bookmarkEnd w:id="116"/>
    </w:p>
    <w:p w14:paraId="07C6A637" w14:textId="110FEE78" w:rsidR="00C91105" w:rsidRPr="00B91F3C" w:rsidRDefault="00C91105" w:rsidP="0045036A">
      <w:pPr>
        <w:numPr>
          <w:ilvl w:val="0"/>
          <w:numId w:val="7"/>
        </w:numPr>
        <w:tabs>
          <w:tab w:val="num" w:pos="90"/>
        </w:tabs>
        <w:spacing w:before="120" w:after="120" w:line="240" w:lineRule="auto"/>
        <w:ind w:left="1260" w:hanging="540"/>
        <w:jc w:val="both"/>
        <w:rPr>
          <w:rFonts w:cstheme="minorHAnsi"/>
          <w:sz w:val="24"/>
          <w:szCs w:val="24"/>
        </w:rPr>
      </w:pPr>
      <w:r w:rsidRPr="00B91F3C">
        <w:rPr>
          <w:sz w:val="24"/>
        </w:rPr>
        <w:t xml:space="preserve">внедрение улучшенной практики эксплуатации морской среды обитания на </w:t>
      </w:r>
      <w:r w:rsidR="00E875D1" w:rsidRPr="00B91F3C">
        <w:rPr>
          <w:sz w:val="24"/>
        </w:rPr>
        <w:t>территории</w:t>
      </w:r>
      <w:r w:rsidRPr="00B91F3C">
        <w:rPr>
          <w:sz w:val="24"/>
        </w:rPr>
        <w:t xml:space="preserve"> 6 629 347 га: задача 10</w:t>
      </w:r>
      <w:r w:rsidRPr="00B91F3C">
        <w:rPr>
          <w:b/>
          <w:sz w:val="24"/>
        </w:rPr>
        <w:t xml:space="preserve"> </w:t>
      </w:r>
    </w:p>
    <w:p w14:paraId="6AE330FE" w14:textId="77777777" w:rsidR="00C91105" w:rsidRPr="00B91F3C" w:rsidRDefault="00C91105" w:rsidP="0045036A">
      <w:pPr>
        <w:numPr>
          <w:ilvl w:val="0"/>
          <w:numId w:val="7"/>
        </w:numPr>
        <w:tabs>
          <w:tab w:val="num" w:pos="90"/>
        </w:tabs>
        <w:spacing w:before="120" w:after="120" w:line="240" w:lineRule="auto"/>
        <w:ind w:left="1260" w:hanging="540"/>
        <w:jc w:val="both"/>
        <w:rPr>
          <w:rFonts w:cstheme="minorHAnsi"/>
          <w:sz w:val="24"/>
          <w:szCs w:val="24"/>
        </w:rPr>
      </w:pPr>
      <w:r w:rsidRPr="00B91F3C">
        <w:rPr>
          <w:sz w:val="24"/>
        </w:rPr>
        <w:t>снижение объема выбросов парниковых газов (метрические тонны эквивалента двуокиси углерода) на 9 170 093 метрические тонны (прямых выбросов) и 18 000 метрических тонн (косвенных выбросов): задача 8 и задача 11</w:t>
      </w:r>
    </w:p>
    <w:p w14:paraId="28DB7623" w14:textId="77777777" w:rsidR="00C91105" w:rsidRPr="00B91F3C" w:rsidRDefault="00C91105" w:rsidP="0045036A">
      <w:pPr>
        <w:numPr>
          <w:ilvl w:val="0"/>
          <w:numId w:val="7"/>
        </w:numPr>
        <w:tabs>
          <w:tab w:val="num" w:pos="90"/>
        </w:tabs>
        <w:spacing w:before="120" w:after="120" w:line="240" w:lineRule="auto"/>
        <w:ind w:left="1260" w:hanging="540"/>
        <w:jc w:val="both"/>
        <w:rPr>
          <w:rFonts w:cstheme="minorHAnsi"/>
          <w:sz w:val="24"/>
          <w:szCs w:val="24"/>
        </w:rPr>
      </w:pPr>
      <w:r w:rsidRPr="00B91F3C">
        <w:rPr>
          <w:sz w:val="24"/>
        </w:rPr>
        <w:t>внедрение улучшенных методов управления в трех (3) общих водных экосистемах: задача 10</w:t>
      </w:r>
    </w:p>
    <w:p w14:paraId="064FEBEB" w14:textId="77777777" w:rsidR="00C91105" w:rsidRPr="00B91F3C" w:rsidRDefault="00C91105" w:rsidP="0045036A">
      <w:pPr>
        <w:numPr>
          <w:ilvl w:val="0"/>
          <w:numId w:val="7"/>
        </w:numPr>
        <w:tabs>
          <w:tab w:val="num" w:pos="90"/>
        </w:tabs>
        <w:spacing w:before="120" w:after="120" w:line="240" w:lineRule="auto"/>
        <w:ind w:left="1260" w:hanging="540"/>
        <w:jc w:val="both"/>
        <w:rPr>
          <w:rFonts w:cstheme="minorHAnsi"/>
          <w:sz w:val="24"/>
          <w:szCs w:val="24"/>
        </w:rPr>
      </w:pPr>
      <w:r w:rsidRPr="00B91F3C">
        <w:rPr>
          <w:sz w:val="24"/>
        </w:rPr>
        <w:t>сокращение использования химических веществ глобального значения и их отходов в объеме 120 метрических тонн: задача 7</w:t>
      </w:r>
    </w:p>
    <w:p w14:paraId="5F7C03D4" w14:textId="3E51B72A" w:rsidR="00AD6B44" w:rsidRPr="00B91F3C" w:rsidRDefault="00C91105" w:rsidP="0045036A">
      <w:pPr>
        <w:numPr>
          <w:ilvl w:val="0"/>
          <w:numId w:val="7"/>
        </w:numPr>
        <w:tabs>
          <w:tab w:val="num" w:pos="90"/>
        </w:tabs>
        <w:spacing w:before="120" w:after="120" w:line="240" w:lineRule="auto"/>
        <w:ind w:left="1260" w:hanging="540"/>
        <w:jc w:val="both"/>
        <w:rPr>
          <w:rFonts w:cstheme="minorHAnsi"/>
          <w:sz w:val="24"/>
          <w:szCs w:val="24"/>
        </w:rPr>
      </w:pPr>
      <w:r w:rsidRPr="00B91F3C">
        <w:rPr>
          <w:sz w:val="24"/>
        </w:rPr>
        <w:t>обеспечение выгод от финансовых инвестиций ГЭФ для 616 752 человек (318 880 женщин и 297 872 мужчин): задача 22 и задача 23.</w:t>
      </w:r>
    </w:p>
    <w:p w14:paraId="62873BE4" w14:textId="1FFF76B7" w:rsidR="00C91105" w:rsidRPr="00B91F3C" w:rsidRDefault="00C91105" w:rsidP="007655D1">
      <w:pPr>
        <w:pStyle w:val="Paragraphedeliste"/>
      </w:pPr>
      <w:r w:rsidRPr="00B91F3C">
        <w:t>Кроме того, эта КП будет оказывать поддержку мероприятиям, вносящим вклад в выполнение задачи 12 (устойчивые города и густонаселенные районы).</w:t>
      </w:r>
    </w:p>
    <w:p w14:paraId="79117F94" w14:textId="07E98F08" w:rsidR="00C91105" w:rsidRPr="00B91F3C" w:rsidRDefault="00A743CF" w:rsidP="004E0A93">
      <w:pPr>
        <w:pStyle w:val="Titre2"/>
      </w:pPr>
      <w:bookmarkStart w:id="117" w:name="_Toc165893325"/>
      <w:bookmarkStart w:id="118" w:name="_Toc165899260"/>
      <w:r w:rsidRPr="00B91F3C">
        <w:lastRenderedPageBreak/>
        <w:t>КП «Зеленое развитие транспортной инфраструктуры» (Участвующие страны: Малайзия, Непал, Суринам, Украина и Филиппины)</w:t>
      </w:r>
      <w:bookmarkEnd w:id="117"/>
      <w:bookmarkEnd w:id="118"/>
    </w:p>
    <w:p w14:paraId="2F58443B" w14:textId="267A029B" w:rsidR="00C91105" w:rsidRPr="00B91F3C" w:rsidRDefault="00C91105" w:rsidP="007655D1">
      <w:pPr>
        <w:pStyle w:val="Paragraphedeliste"/>
      </w:pPr>
      <w:r w:rsidRPr="00B91F3C">
        <w:t>Цель КП «Зеленое развитие транспортной инфраструктуры» заключается в ускорении перехода к зеленой транспортной инфраструктуре, обеспечивающей сохранность и улучшение состояния основных прибрежных, морских и наземных экосистем. Эта КПа призван обеспечить следующие результаты, которые внесут вклад в КМГПБ:</w:t>
      </w:r>
    </w:p>
    <w:p w14:paraId="683E61D3" w14:textId="3E0DADB6" w:rsidR="00C91105" w:rsidRPr="00B91F3C" w:rsidRDefault="00C91105" w:rsidP="0045036A">
      <w:pPr>
        <w:numPr>
          <w:ilvl w:val="0"/>
          <w:numId w:val="7"/>
        </w:numPr>
        <w:tabs>
          <w:tab w:val="num" w:pos="90"/>
        </w:tabs>
        <w:spacing w:before="120" w:after="120" w:line="240" w:lineRule="auto"/>
        <w:ind w:left="1260" w:hanging="540"/>
        <w:jc w:val="both"/>
        <w:rPr>
          <w:rFonts w:cstheme="minorHAnsi"/>
          <w:sz w:val="24"/>
          <w:szCs w:val="24"/>
        </w:rPr>
      </w:pPr>
      <w:r w:rsidRPr="00B91F3C">
        <w:rPr>
          <w:sz w:val="24"/>
        </w:rPr>
        <w:t xml:space="preserve">внедрение улучшенных методов управления наземными охраняемыми районами на </w:t>
      </w:r>
      <w:r w:rsidR="00E875D1" w:rsidRPr="00B91F3C">
        <w:rPr>
          <w:sz w:val="24"/>
        </w:rPr>
        <w:t>территории</w:t>
      </w:r>
      <w:r w:rsidRPr="00B91F3C">
        <w:rPr>
          <w:sz w:val="24"/>
        </w:rPr>
        <w:t xml:space="preserve"> 259 469 га: задача 3</w:t>
      </w:r>
    </w:p>
    <w:p w14:paraId="3C3BC60D" w14:textId="77777777" w:rsidR="00C91105" w:rsidRPr="00B91F3C" w:rsidRDefault="00C91105" w:rsidP="0045036A">
      <w:pPr>
        <w:numPr>
          <w:ilvl w:val="0"/>
          <w:numId w:val="7"/>
        </w:numPr>
        <w:tabs>
          <w:tab w:val="num" w:pos="90"/>
        </w:tabs>
        <w:spacing w:before="120" w:after="120" w:line="240" w:lineRule="auto"/>
        <w:ind w:left="1260" w:hanging="540"/>
        <w:jc w:val="both"/>
        <w:rPr>
          <w:rFonts w:cstheme="minorHAnsi"/>
          <w:sz w:val="24"/>
          <w:szCs w:val="24"/>
        </w:rPr>
      </w:pPr>
      <w:r w:rsidRPr="00B91F3C">
        <w:rPr>
          <w:sz w:val="24"/>
        </w:rPr>
        <w:t xml:space="preserve">восстановление 30 740 га земель и экосистем: задача 2 </w:t>
      </w:r>
    </w:p>
    <w:p w14:paraId="5C29B7DD" w14:textId="507030B6" w:rsidR="00C91105" w:rsidRPr="00B91F3C" w:rsidRDefault="00C91105" w:rsidP="0045036A">
      <w:pPr>
        <w:numPr>
          <w:ilvl w:val="0"/>
          <w:numId w:val="7"/>
        </w:numPr>
        <w:tabs>
          <w:tab w:val="num" w:pos="90"/>
        </w:tabs>
        <w:spacing w:before="120" w:after="120" w:line="240" w:lineRule="auto"/>
        <w:ind w:left="1260" w:hanging="540"/>
        <w:jc w:val="both"/>
        <w:rPr>
          <w:rFonts w:cstheme="minorHAnsi"/>
          <w:sz w:val="24"/>
          <w:szCs w:val="24"/>
        </w:rPr>
      </w:pPr>
      <w:r w:rsidRPr="00B91F3C">
        <w:rPr>
          <w:sz w:val="24"/>
        </w:rPr>
        <w:t xml:space="preserve">внедрение улучшенной практики эксплуатации ландшафтов в интересах сохранения биоразнообразия на </w:t>
      </w:r>
      <w:r w:rsidR="00E875D1" w:rsidRPr="00B91F3C">
        <w:rPr>
          <w:sz w:val="24"/>
        </w:rPr>
        <w:t>территории</w:t>
      </w:r>
      <w:r w:rsidRPr="00B91F3C">
        <w:rPr>
          <w:sz w:val="24"/>
        </w:rPr>
        <w:t xml:space="preserve"> 582 200 га: задача 5, задача 9 и задача 10</w:t>
      </w:r>
    </w:p>
    <w:p w14:paraId="477F7CA4" w14:textId="3AAAA73E" w:rsidR="00C91105" w:rsidRPr="00B91F3C" w:rsidRDefault="00C91105" w:rsidP="0045036A">
      <w:pPr>
        <w:numPr>
          <w:ilvl w:val="0"/>
          <w:numId w:val="7"/>
        </w:numPr>
        <w:tabs>
          <w:tab w:val="num" w:pos="90"/>
        </w:tabs>
        <w:spacing w:before="120" w:after="120" w:line="240" w:lineRule="auto"/>
        <w:ind w:left="1260" w:hanging="540"/>
        <w:jc w:val="both"/>
        <w:rPr>
          <w:rFonts w:cstheme="minorHAnsi"/>
          <w:sz w:val="24"/>
          <w:szCs w:val="24"/>
        </w:rPr>
      </w:pPr>
      <w:r w:rsidRPr="00B91F3C">
        <w:rPr>
          <w:sz w:val="24"/>
        </w:rPr>
        <w:t xml:space="preserve">внедрение улучшенной практики эксплуатации морской среды обитания в интересах сохранения биоразнообразия на </w:t>
      </w:r>
      <w:r w:rsidR="00E875D1" w:rsidRPr="00B91F3C">
        <w:rPr>
          <w:sz w:val="24"/>
        </w:rPr>
        <w:t>территории</w:t>
      </w:r>
      <w:r w:rsidRPr="00B91F3C">
        <w:rPr>
          <w:sz w:val="24"/>
        </w:rPr>
        <w:t xml:space="preserve"> 71 976 га: задача 10 </w:t>
      </w:r>
    </w:p>
    <w:p w14:paraId="00DD73E0" w14:textId="77777777" w:rsidR="00C91105" w:rsidRPr="00B91F3C" w:rsidRDefault="00C91105" w:rsidP="0045036A">
      <w:pPr>
        <w:numPr>
          <w:ilvl w:val="0"/>
          <w:numId w:val="7"/>
        </w:numPr>
        <w:tabs>
          <w:tab w:val="num" w:pos="90"/>
        </w:tabs>
        <w:spacing w:before="120" w:after="120" w:line="240" w:lineRule="auto"/>
        <w:ind w:left="1260" w:hanging="540"/>
        <w:jc w:val="both"/>
        <w:rPr>
          <w:rFonts w:cstheme="minorHAnsi"/>
          <w:sz w:val="24"/>
          <w:szCs w:val="24"/>
        </w:rPr>
      </w:pPr>
      <w:r w:rsidRPr="00B91F3C">
        <w:rPr>
          <w:sz w:val="24"/>
        </w:rPr>
        <w:t>снижение объема выбросов парниковых газов (метрические тонны эквивалента двуокиси углерода) на 8 115 017 метрических тонн (прямых выбросов): задача 8 и задача 11</w:t>
      </w:r>
    </w:p>
    <w:p w14:paraId="4AB3191D" w14:textId="77777777" w:rsidR="00C91105" w:rsidRPr="00B91F3C" w:rsidRDefault="00C91105" w:rsidP="0045036A">
      <w:pPr>
        <w:numPr>
          <w:ilvl w:val="0"/>
          <w:numId w:val="7"/>
        </w:numPr>
        <w:tabs>
          <w:tab w:val="num" w:pos="90"/>
        </w:tabs>
        <w:spacing w:before="120" w:after="120" w:line="240" w:lineRule="auto"/>
        <w:ind w:left="1260" w:hanging="540"/>
        <w:jc w:val="both"/>
        <w:rPr>
          <w:rFonts w:cstheme="minorHAnsi"/>
          <w:sz w:val="24"/>
          <w:szCs w:val="24"/>
        </w:rPr>
      </w:pPr>
      <w:r w:rsidRPr="00B91F3C">
        <w:rPr>
          <w:sz w:val="24"/>
        </w:rPr>
        <w:t>обеспечение выгод от финансовых инвестиций ГЭФ для 267 858 человек (143 101 женщины и 124 757 мужчин): задача 22 и задача 23.</w:t>
      </w:r>
    </w:p>
    <w:p w14:paraId="53D744FA" w14:textId="606B951B" w:rsidR="00C91105" w:rsidRPr="00B91F3C" w:rsidRDefault="00C91105" w:rsidP="007655D1">
      <w:pPr>
        <w:pStyle w:val="Paragraphedeliste"/>
      </w:pPr>
      <w:r w:rsidRPr="00B91F3C">
        <w:t xml:space="preserve">Эта КП будет способствовать укреплению политической, нормативной и правовой базы, с тем чтобы обеспечить учет критериев социальной и экологической устойчивости, выработанных на более ранних этапах жизненного цикла проекта по инфраструктурам (задача 14), оказывать поддержку методам комплексного и инклюзивного планирования и проектирования в целях учета вопросов биоразнообразия, экосистемных услуг и </w:t>
      </w:r>
      <w:proofErr w:type="spellStart"/>
      <w:r w:rsidRPr="00B91F3C">
        <w:t>климатоустойчивости</w:t>
      </w:r>
      <w:proofErr w:type="spellEnd"/>
      <w:r w:rsidRPr="00B91F3C">
        <w:t xml:space="preserve"> в проектах, касающихся инфраструктуры и транспорта, включая разработку методов пространственного планирования, картирования экосистемных услуг и другие мероприятия, имеющие отношение к этапам планирования и прое</w:t>
      </w:r>
      <w:r w:rsidR="006B26DE" w:rsidRPr="00B91F3C">
        <w:t xml:space="preserve">ктирования (задачи 1, 11, 14), </w:t>
      </w:r>
      <w:r w:rsidRPr="00B91F3C">
        <w:t>а также способствовать привлечению зеленого и инклюзивного финансирования и механизмов снижения риска (задача 19).</w:t>
      </w:r>
    </w:p>
    <w:p w14:paraId="745D5743" w14:textId="12E762EB" w:rsidR="00B728E0" w:rsidRPr="00B91F3C" w:rsidRDefault="00B728E0" w:rsidP="004E0A93">
      <w:pPr>
        <w:pStyle w:val="Titre2"/>
      </w:pPr>
      <w:bookmarkStart w:id="119" w:name="_Toc102227406"/>
      <w:bookmarkStart w:id="120" w:name="_Toc165893326"/>
      <w:bookmarkStart w:id="121" w:name="_Toc165899261"/>
      <w:r w:rsidRPr="00B91F3C">
        <w:t xml:space="preserve">Другие </w:t>
      </w:r>
      <w:r w:rsidR="006B26DE" w:rsidRPr="00B91F3C">
        <w:t>способы участия</w:t>
      </w:r>
      <w:r w:rsidRPr="00B91F3C">
        <w:t xml:space="preserve"> ГЭФ в осуществлени</w:t>
      </w:r>
      <w:r w:rsidR="006B26DE" w:rsidRPr="00B91F3C">
        <w:t>и</w:t>
      </w:r>
      <w:r w:rsidRPr="00B91F3C">
        <w:t xml:space="preserve"> </w:t>
      </w:r>
      <w:bookmarkEnd w:id="119"/>
      <w:r w:rsidRPr="00B91F3C">
        <w:t>Куньминско-Монреальской глобальной рамочной программы в области биоразнообразия</w:t>
      </w:r>
      <w:bookmarkEnd w:id="120"/>
      <w:bookmarkEnd w:id="121"/>
    </w:p>
    <w:p w14:paraId="312187B6" w14:textId="05D1D16E" w:rsidR="00D30DB1" w:rsidRPr="00B91F3C" w:rsidRDefault="00D30DB1" w:rsidP="00E533C4">
      <w:pPr>
        <w:pStyle w:val="Titre3"/>
      </w:pPr>
      <w:bookmarkStart w:id="122" w:name="_Toc102227407"/>
      <w:bookmarkStart w:id="123" w:name="_Toc165893327"/>
      <w:bookmarkStart w:id="124" w:name="_Toc165899262"/>
      <w:r w:rsidRPr="00B91F3C">
        <w:t>Адаптация к изменению климата</w:t>
      </w:r>
      <w:bookmarkEnd w:id="122"/>
      <w:bookmarkEnd w:id="123"/>
      <w:bookmarkEnd w:id="124"/>
      <w:r w:rsidRPr="00B91F3C">
        <w:t xml:space="preserve"> </w:t>
      </w:r>
    </w:p>
    <w:p w14:paraId="0DEE134A" w14:textId="63F8B75F" w:rsidR="00F302EC" w:rsidRPr="00B91F3C" w:rsidRDefault="00D30DB1" w:rsidP="007655D1">
      <w:pPr>
        <w:pStyle w:val="Paragraphedeliste"/>
      </w:pPr>
      <w:r w:rsidRPr="00B91F3C">
        <w:t xml:space="preserve">Под управлением ГЭФ находятся два отдельных целевых фонда, специализирующихся на адаптации к изменению климата, а именно Специальный фонд для борьбы с изменением климата (СФБИК) и Фонд для наименее развитых стран (ФНРС). Эти фонды были созданы для удовлетворения особых потребностей развивающихся стран </w:t>
      </w:r>
      <w:r w:rsidRPr="00B91F3C">
        <w:lastRenderedPageBreak/>
        <w:t xml:space="preserve">в рамках Рамочной конвенции Организации Объединенных Наций об изменении климата (РКИК ООН). Некоторые из утвержденных в отчетный период проектов способствуют осуществлению Куньминско-Монреальской глобальной рамочной программы в области биоразнообразия. Приведенная ниже таблица 6 отражает вклад ресурсов ФРНС/СФБИК-A в КМГПБ в течение отчетного периода.  </w:t>
      </w:r>
    </w:p>
    <w:p w14:paraId="784BE278" w14:textId="691EDF5A" w:rsidR="00D30DB1" w:rsidRPr="00B91F3C" w:rsidRDefault="00B320F8" w:rsidP="00351AAB">
      <w:pPr>
        <w:pStyle w:val="Lgende"/>
      </w:pPr>
      <w:bookmarkStart w:id="125" w:name="_Toc102227150"/>
      <w:bookmarkStart w:id="126" w:name="_Toc103967148"/>
      <w:bookmarkStart w:id="127" w:name="_Toc165894855"/>
      <w:r w:rsidRPr="00B91F3C">
        <w:t xml:space="preserve">Таблица </w:t>
      </w:r>
      <w:r w:rsidR="0012399A" w:rsidRPr="00B91F3C">
        <w:t>6</w:t>
      </w:r>
      <w:r w:rsidR="00D72BDA" w:rsidRPr="00B91F3C">
        <w:t xml:space="preserve">. </w:t>
      </w:r>
      <w:r w:rsidRPr="00B91F3C">
        <w:t>Распределение со</w:t>
      </w:r>
      <w:r w:rsidR="00C5181A" w:rsidRPr="00B91F3C">
        <w:t xml:space="preserve">вокупных средств ГЭФ </w:t>
      </w:r>
      <w:r w:rsidRPr="00B91F3C">
        <w:t>по ФНРС/СФБИК-А и вкладу в выполнение задач КМГПБ (1 июля 2022 года - 31 декабря 2023 года)</w:t>
      </w:r>
      <w:r w:rsidR="00D30DB1" w:rsidRPr="00B91F3C">
        <w:rPr>
          <w:vertAlign w:val="superscript"/>
        </w:rPr>
        <w:footnoteReference w:id="19"/>
      </w:r>
      <w:bookmarkEnd w:id="125"/>
      <w:bookmarkEnd w:id="126"/>
      <w:bookmarkEnd w:id="127"/>
    </w:p>
    <w:tbl>
      <w:tblPr>
        <w:tblW w:w="4942" w:type="pct"/>
        <w:tblBorders>
          <w:top w:val="single" w:sz="12" w:space="0" w:color="008000"/>
          <w:bottom w:val="single" w:sz="12" w:space="0" w:color="008000"/>
        </w:tblBorders>
        <w:tblLook w:val="04A0" w:firstRow="1" w:lastRow="0" w:firstColumn="1" w:lastColumn="0" w:noHBand="0" w:noVBand="1"/>
      </w:tblPr>
      <w:tblGrid>
        <w:gridCol w:w="2310"/>
        <w:gridCol w:w="2313"/>
        <w:gridCol w:w="2315"/>
        <w:gridCol w:w="2313"/>
      </w:tblGrid>
      <w:tr w:rsidR="00D30DB1" w:rsidRPr="00B91F3C" w14:paraId="52BC18EC" w14:textId="77777777" w:rsidTr="00D54B30">
        <w:trPr>
          <w:trHeight w:val="432"/>
        </w:trPr>
        <w:tc>
          <w:tcPr>
            <w:tcW w:w="1249" w:type="pct"/>
            <w:tcBorders>
              <w:top w:val="single" w:sz="12" w:space="0" w:color="008000"/>
              <w:bottom w:val="single" w:sz="4" w:space="0" w:color="auto"/>
            </w:tcBorders>
            <w:shd w:val="clear" w:color="auto" w:fill="auto"/>
            <w:vAlign w:val="center"/>
            <w:hideMark/>
          </w:tcPr>
          <w:p w14:paraId="123C0C82" w14:textId="68D27EDE" w:rsidR="00D30DB1" w:rsidRPr="00B91F3C" w:rsidRDefault="008C790A" w:rsidP="00C21AB7">
            <w:pPr>
              <w:spacing w:line="240" w:lineRule="auto"/>
              <w:jc w:val="center"/>
              <w:rPr>
                <w:rFonts w:eastAsia="Times New Roman" w:cstheme="minorHAnsi"/>
                <w:b/>
                <w:bCs/>
                <w:color w:val="000000"/>
              </w:rPr>
            </w:pPr>
            <w:r w:rsidRPr="00B91F3C">
              <w:rPr>
                <w:b/>
                <w:color w:val="000000"/>
              </w:rPr>
              <w:t>Задачи КМГПБ</w:t>
            </w:r>
          </w:p>
        </w:tc>
        <w:tc>
          <w:tcPr>
            <w:tcW w:w="1250" w:type="pct"/>
            <w:tcBorders>
              <w:top w:val="single" w:sz="12" w:space="0" w:color="008000"/>
              <w:bottom w:val="single" w:sz="4" w:space="0" w:color="auto"/>
            </w:tcBorders>
            <w:shd w:val="clear" w:color="auto" w:fill="auto"/>
            <w:vAlign w:val="center"/>
          </w:tcPr>
          <w:p w14:paraId="24B894E5" w14:textId="0FD81D26" w:rsidR="00D30DB1" w:rsidRPr="00B91F3C" w:rsidRDefault="00D30DB1" w:rsidP="00C21AB7">
            <w:pPr>
              <w:spacing w:line="240" w:lineRule="auto"/>
              <w:jc w:val="center"/>
              <w:rPr>
                <w:rFonts w:eastAsia="Times New Roman" w:cstheme="minorHAnsi"/>
                <w:b/>
                <w:bCs/>
                <w:color w:val="000000"/>
              </w:rPr>
            </w:pPr>
            <w:r w:rsidRPr="00B91F3C">
              <w:rPr>
                <w:b/>
                <w:color w:val="000000"/>
              </w:rPr>
              <w:t>Финансирование проектов ФРНС/СФБИК (в млн долл.)</w:t>
            </w:r>
          </w:p>
        </w:tc>
        <w:tc>
          <w:tcPr>
            <w:tcW w:w="1251" w:type="pct"/>
            <w:tcBorders>
              <w:top w:val="single" w:sz="12" w:space="0" w:color="008000"/>
              <w:bottom w:val="single" w:sz="4" w:space="0" w:color="auto"/>
            </w:tcBorders>
            <w:shd w:val="clear" w:color="auto" w:fill="auto"/>
            <w:vAlign w:val="center"/>
            <w:hideMark/>
          </w:tcPr>
          <w:p w14:paraId="5834DB79" w14:textId="7BD654EE" w:rsidR="00D30DB1" w:rsidRPr="00B91F3C" w:rsidRDefault="002D582B" w:rsidP="00C21AB7">
            <w:pPr>
              <w:spacing w:line="240" w:lineRule="auto"/>
              <w:jc w:val="center"/>
              <w:rPr>
                <w:rFonts w:eastAsia="Times New Roman" w:cstheme="minorHAnsi"/>
                <w:b/>
                <w:bCs/>
                <w:color w:val="000000"/>
              </w:rPr>
            </w:pPr>
            <w:r w:rsidRPr="00B91F3C">
              <w:rPr>
                <w:b/>
                <w:color w:val="000000"/>
              </w:rPr>
              <w:t>Софинансирование</w:t>
            </w:r>
          </w:p>
          <w:p w14:paraId="7ED49954" w14:textId="77777777" w:rsidR="00D30DB1" w:rsidRPr="00B91F3C" w:rsidRDefault="00D30DB1" w:rsidP="00C21AB7">
            <w:pPr>
              <w:spacing w:line="240" w:lineRule="auto"/>
              <w:jc w:val="center"/>
              <w:rPr>
                <w:rFonts w:eastAsia="Times New Roman" w:cstheme="minorHAnsi"/>
                <w:b/>
                <w:bCs/>
                <w:color w:val="000000"/>
              </w:rPr>
            </w:pPr>
            <w:r w:rsidRPr="00B91F3C">
              <w:rPr>
                <w:b/>
                <w:color w:val="000000"/>
              </w:rPr>
              <w:t>(млн долл. США)</w:t>
            </w:r>
          </w:p>
        </w:tc>
        <w:tc>
          <w:tcPr>
            <w:tcW w:w="1250" w:type="pct"/>
            <w:tcBorders>
              <w:top w:val="single" w:sz="12" w:space="0" w:color="008000"/>
              <w:bottom w:val="single" w:sz="4" w:space="0" w:color="auto"/>
            </w:tcBorders>
            <w:shd w:val="clear" w:color="auto" w:fill="auto"/>
            <w:vAlign w:val="center"/>
          </w:tcPr>
          <w:p w14:paraId="3D0B2CB1" w14:textId="77777777" w:rsidR="00D30DB1" w:rsidRPr="00B91F3C" w:rsidRDefault="00D30DB1" w:rsidP="00C21AB7">
            <w:pPr>
              <w:spacing w:line="240" w:lineRule="auto"/>
              <w:jc w:val="center"/>
              <w:rPr>
                <w:rFonts w:eastAsia="Times New Roman" w:cstheme="minorHAnsi"/>
                <w:b/>
                <w:bCs/>
                <w:color w:val="000000"/>
              </w:rPr>
            </w:pPr>
            <w:r w:rsidRPr="00B91F3C">
              <w:rPr>
                <w:b/>
                <w:color w:val="000000"/>
              </w:rPr>
              <w:t>Всего средств</w:t>
            </w:r>
          </w:p>
          <w:p w14:paraId="70BE61D5" w14:textId="77777777" w:rsidR="00D30DB1" w:rsidRPr="00B91F3C" w:rsidRDefault="00D30DB1" w:rsidP="00C21AB7">
            <w:pPr>
              <w:spacing w:line="240" w:lineRule="auto"/>
              <w:jc w:val="center"/>
              <w:rPr>
                <w:rFonts w:eastAsia="Times New Roman" w:cstheme="minorHAnsi"/>
                <w:b/>
                <w:bCs/>
                <w:color w:val="000000"/>
              </w:rPr>
            </w:pPr>
            <w:r w:rsidRPr="00B91F3C">
              <w:rPr>
                <w:b/>
                <w:color w:val="000000"/>
              </w:rPr>
              <w:t>(млн долл. США)</w:t>
            </w:r>
          </w:p>
        </w:tc>
      </w:tr>
      <w:tr w:rsidR="00D54B30" w:rsidRPr="00B91F3C" w14:paraId="6E124D72" w14:textId="77777777" w:rsidTr="00D54B30">
        <w:trPr>
          <w:trHeight w:val="422"/>
        </w:trPr>
        <w:tc>
          <w:tcPr>
            <w:tcW w:w="1249" w:type="pct"/>
            <w:tcBorders>
              <w:top w:val="single" w:sz="4" w:space="0" w:color="auto"/>
            </w:tcBorders>
            <w:shd w:val="clear" w:color="auto" w:fill="auto"/>
            <w:vAlign w:val="center"/>
          </w:tcPr>
          <w:p w14:paraId="5E3AB774" w14:textId="084AE732" w:rsidR="00D54B30" w:rsidRPr="00B91F3C" w:rsidRDefault="00403EED">
            <w:pPr>
              <w:spacing w:line="240" w:lineRule="auto"/>
              <w:rPr>
                <w:rFonts w:eastAsia="Times New Roman" w:cstheme="minorHAnsi"/>
                <w:color w:val="000000"/>
              </w:rPr>
            </w:pPr>
            <w:r w:rsidRPr="00B91F3C">
              <w:rPr>
                <w:color w:val="000000"/>
              </w:rPr>
              <w:t>2, 10, и 11</w:t>
            </w:r>
          </w:p>
        </w:tc>
        <w:tc>
          <w:tcPr>
            <w:tcW w:w="1250" w:type="pct"/>
            <w:tcBorders>
              <w:top w:val="single" w:sz="4" w:space="0" w:color="auto"/>
            </w:tcBorders>
            <w:shd w:val="clear" w:color="auto" w:fill="auto"/>
            <w:vAlign w:val="center"/>
          </w:tcPr>
          <w:p w14:paraId="52AE2FA1" w14:textId="3C083F58" w:rsidR="0082767B" w:rsidRPr="00B91F3C" w:rsidRDefault="001D08D6" w:rsidP="00C21AB7">
            <w:pPr>
              <w:spacing w:line="240" w:lineRule="auto"/>
              <w:jc w:val="center"/>
              <w:rPr>
                <w:rFonts w:eastAsia="MS Mincho" w:cstheme="minorHAnsi"/>
                <w:color w:val="000000"/>
              </w:rPr>
            </w:pPr>
            <w:r w:rsidRPr="00B91F3C">
              <w:rPr>
                <w:color w:val="000000"/>
              </w:rPr>
              <w:t>10,80</w:t>
            </w:r>
          </w:p>
        </w:tc>
        <w:tc>
          <w:tcPr>
            <w:tcW w:w="1251" w:type="pct"/>
            <w:tcBorders>
              <w:top w:val="single" w:sz="4" w:space="0" w:color="auto"/>
            </w:tcBorders>
            <w:shd w:val="clear" w:color="auto" w:fill="auto"/>
            <w:vAlign w:val="center"/>
          </w:tcPr>
          <w:p w14:paraId="0770B455" w14:textId="2372EE29" w:rsidR="009467CC" w:rsidRPr="00B91F3C" w:rsidRDefault="009467CC" w:rsidP="00C21AB7">
            <w:pPr>
              <w:spacing w:line="240" w:lineRule="auto"/>
              <w:jc w:val="center"/>
              <w:rPr>
                <w:rFonts w:eastAsia="MS Mincho" w:cstheme="minorHAnsi"/>
                <w:color w:val="000000"/>
              </w:rPr>
            </w:pPr>
            <w:r w:rsidRPr="00B91F3C">
              <w:rPr>
                <w:color w:val="000000"/>
              </w:rPr>
              <w:t>78,80</w:t>
            </w:r>
          </w:p>
        </w:tc>
        <w:tc>
          <w:tcPr>
            <w:tcW w:w="1250" w:type="pct"/>
            <w:tcBorders>
              <w:top w:val="single" w:sz="4" w:space="0" w:color="auto"/>
            </w:tcBorders>
            <w:shd w:val="clear" w:color="auto" w:fill="auto"/>
            <w:vAlign w:val="center"/>
          </w:tcPr>
          <w:p w14:paraId="11B87FFA" w14:textId="0B27508C" w:rsidR="00AE25A4" w:rsidRPr="00B91F3C" w:rsidRDefault="00AE25A4" w:rsidP="00C21AB7">
            <w:pPr>
              <w:spacing w:line="240" w:lineRule="auto"/>
              <w:jc w:val="center"/>
              <w:rPr>
                <w:rFonts w:eastAsia="Times New Roman" w:cstheme="minorHAnsi"/>
                <w:color w:val="000000"/>
              </w:rPr>
            </w:pPr>
            <w:r w:rsidRPr="00B91F3C">
              <w:rPr>
                <w:color w:val="000000"/>
              </w:rPr>
              <w:t>89,60</w:t>
            </w:r>
          </w:p>
        </w:tc>
      </w:tr>
    </w:tbl>
    <w:p w14:paraId="66345200" w14:textId="5CADD873" w:rsidR="00D30DB1" w:rsidRPr="00B91F3C" w:rsidRDefault="00D30DB1" w:rsidP="00E533C4">
      <w:pPr>
        <w:pStyle w:val="Titre3"/>
      </w:pPr>
      <w:bookmarkStart w:id="128" w:name="_Toc102227408"/>
      <w:bookmarkStart w:id="129" w:name="_Toc165893328"/>
      <w:bookmarkStart w:id="130" w:name="_Toc165899263"/>
      <w:r w:rsidRPr="00B91F3C">
        <w:t>Целевая область «Международные воды»</w:t>
      </w:r>
      <w:bookmarkEnd w:id="128"/>
      <w:bookmarkEnd w:id="129"/>
      <w:bookmarkEnd w:id="130"/>
    </w:p>
    <w:p w14:paraId="42CD4F87" w14:textId="579F940C" w:rsidR="00190DD4" w:rsidRPr="00B91F3C" w:rsidRDefault="00190DD4" w:rsidP="007655D1">
      <w:pPr>
        <w:pStyle w:val="Paragraphedeliste"/>
      </w:pPr>
      <w:r w:rsidRPr="00B91F3C">
        <w:t>Целостность экосистем в трансграничных водах может быть обеспечена только путем сотрудничества поверх политических границ и между секторами. В рамках своей целевой области «Международные воды» ГЭФ оказывает поддержку сотрудничеству в общих морских и пресноводных экосистемах для обеспечения долгосрочных положительных результатов. Эта работа будет осуществляться в рамках следующих трех основных задач стратегии ГЭФ-8 в отношении международных вод: 1) ускорение совместных действий в поддержку развития «голубой экономики»; 2) совершенствование методов управления в районах за пределами действия национальной юрисдикции и 3) повышение водной безопасности в пресноводных экосистемах.</w:t>
      </w:r>
    </w:p>
    <w:p w14:paraId="5970BA18" w14:textId="50E31BEF" w:rsidR="00190DD4" w:rsidRPr="00B91F3C" w:rsidRDefault="00190DD4" w:rsidP="007655D1">
      <w:pPr>
        <w:pStyle w:val="Paragraphedeliste"/>
      </w:pPr>
      <w:r w:rsidRPr="00B91F3C">
        <w:t>В таблице 7 ниже отражен вклад ресурсов МВ в выполнение задач КМГПБ в соответствии с приоритетами стран в течение отчетного периода.</w:t>
      </w:r>
    </w:p>
    <w:p w14:paraId="35FE1DD5" w14:textId="77777777" w:rsidR="00E7473B" w:rsidRPr="00B91F3C" w:rsidRDefault="00E7473B" w:rsidP="00351AAB">
      <w:pPr>
        <w:pStyle w:val="Lgende"/>
      </w:pPr>
      <w:bookmarkStart w:id="131" w:name="_Toc102227151"/>
      <w:bookmarkStart w:id="132" w:name="_Toc103967149"/>
      <w:r w:rsidRPr="00B91F3C">
        <w:br w:type="page"/>
      </w:r>
    </w:p>
    <w:p w14:paraId="54A01292" w14:textId="11B86A0C" w:rsidR="00190DD4" w:rsidRPr="00B91F3C" w:rsidRDefault="008271DA" w:rsidP="00351AAB">
      <w:pPr>
        <w:pStyle w:val="Lgende"/>
      </w:pPr>
      <w:bookmarkStart w:id="133" w:name="_Toc165894856"/>
      <w:r w:rsidRPr="00B91F3C">
        <w:lastRenderedPageBreak/>
        <w:t xml:space="preserve">Таблица </w:t>
      </w:r>
      <w:r w:rsidR="0012399A" w:rsidRPr="00B91F3C">
        <w:t>7</w:t>
      </w:r>
      <w:r w:rsidRPr="00B91F3C">
        <w:t>. Распределение со</w:t>
      </w:r>
      <w:r w:rsidR="00C5181A" w:rsidRPr="00B91F3C">
        <w:t xml:space="preserve">вокупных средств ГЭФ </w:t>
      </w:r>
      <w:r w:rsidRPr="00B91F3C">
        <w:t>по задачам целевой области «Международные воды» и вкладу в выполнение задач КМГПБ (1 июля 2022 года -29 февраля 2014 года)</w:t>
      </w:r>
      <w:r w:rsidR="00190DD4" w:rsidRPr="00B91F3C">
        <w:rPr>
          <w:vertAlign w:val="superscript"/>
        </w:rPr>
        <w:footnoteReference w:id="20"/>
      </w:r>
      <w:bookmarkEnd w:id="131"/>
      <w:bookmarkEnd w:id="132"/>
      <w:bookmarkEnd w:id="133"/>
    </w:p>
    <w:tbl>
      <w:tblPr>
        <w:tblW w:w="4997" w:type="pct"/>
        <w:tblBorders>
          <w:top w:val="single" w:sz="12" w:space="0" w:color="008000"/>
          <w:bottom w:val="single" w:sz="4" w:space="0" w:color="auto"/>
          <w:insideH w:val="single" w:sz="4" w:space="0" w:color="auto"/>
        </w:tblBorders>
        <w:tblLook w:val="04A0" w:firstRow="1" w:lastRow="0" w:firstColumn="1" w:lastColumn="0" w:noHBand="0" w:noVBand="1"/>
      </w:tblPr>
      <w:tblGrid>
        <w:gridCol w:w="2241"/>
        <w:gridCol w:w="1599"/>
        <w:gridCol w:w="1858"/>
        <w:gridCol w:w="2092"/>
        <w:gridCol w:w="1564"/>
      </w:tblGrid>
      <w:tr w:rsidR="00190DD4" w:rsidRPr="00B91F3C" w14:paraId="2F6BFEC2" w14:textId="77777777" w:rsidTr="008271DA">
        <w:trPr>
          <w:trHeight w:val="570"/>
          <w:tblHeader/>
        </w:trPr>
        <w:tc>
          <w:tcPr>
            <w:tcW w:w="1279" w:type="pct"/>
            <w:tcBorders>
              <w:top w:val="single" w:sz="12" w:space="0" w:color="008000"/>
            </w:tcBorders>
            <w:shd w:val="clear" w:color="auto" w:fill="auto"/>
            <w:vAlign w:val="center"/>
            <w:hideMark/>
          </w:tcPr>
          <w:p w14:paraId="1BF53B71" w14:textId="5D542CA9" w:rsidR="00190DD4" w:rsidRPr="00B91F3C" w:rsidRDefault="00190DD4" w:rsidP="00190DD4">
            <w:pPr>
              <w:spacing w:line="240" w:lineRule="auto"/>
              <w:rPr>
                <w:b/>
                <w:bCs/>
                <w:snapToGrid w:val="0"/>
              </w:rPr>
            </w:pPr>
            <w:r w:rsidRPr="00B91F3C">
              <w:rPr>
                <w:b/>
                <w:snapToGrid w:val="0"/>
              </w:rPr>
              <w:t xml:space="preserve">Задача целевой области «Международные воды» </w:t>
            </w:r>
          </w:p>
        </w:tc>
        <w:tc>
          <w:tcPr>
            <w:tcW w:w="936" w:type="pct"/>
            <w:tcBorders>
              <w:top w:val="single" w:sz="12" w:space="0" w:color="008000"/>
            </w:tcBorders>
            <w:shd w:val="clear" w:color="auto" w:fill="auto"/>
            <w:vAlign w:val="center"/>
          </w:tcPr>
          <w:p w14:paraId="29F60DB5" w14:textId="77777777" w:rsidR="00190DD4" w:rsidRPr="00B91F3C" w:rsidRDefault="00190DD4" w:rsidP="00190DD4">
            <w:pPr>
              <w:spacing w:line="240" w:lineRule="auto"/>
              <w:rPr>
                <w:b/>
                <w:bCs/>
                <w:snapToGrid w:val="0"/>
              </w:rPr>
            </w:pPr>
            <w:r w:rsidRPr="00B91F3C">
              <w:rPr>
                <w:b/>
                <w:snapToGrid w:val="0"/>
              </w:rPr>
              <w:t>Задачи КМГПБ</w:t>
            </w:r>
          </w:p>
        </w:tc>
        <w:tc>
          <w:tcPr>
            <w:tcW w:w="949" w:type="pct"/>
            <w:tcBorders>
              <w:top w:val="single" w:sz="12" w:space="0" w:color="008000"/>
            </w:tcBorders>
            <w:shd w:val="clear" w:color="auto" w:fill="auto"/>
            <w:vAlign w:val="center"/>
          </w:tcPr>
          <w:p w14:paraId="5F78A04F" w14:textId="42EF011B" w:rsidR="00190DD4" w:rsidRPr="00B91F3C" w:rsidRDefault="00190DD4" w:rsidP="00190DD4">
            <w:pPr>
              <w:spacing w:line="240" w:lineRule="auto"/>
              <w:rPr>
                <w:b/>
                <w:bCs/>
                <w:snapToGrid w:val="0"/>
              </w:rPr>
            </w:pPr>
            <w:r w:rsidRPr="00B91F3C">
              <w:rPr>
                <w:b/>
                <w:snapToGrid w:val="0"/>
              </w:rPr>
              <w:t>Проектное финансирование ГЭФ (млн долл.</w:t>
            </w:r>
            <w:r w:rsidR="00D72BDA" w:rsidRPr="00B91F3C">
              <w:rPr>
                <w:b/>
                <w:snapToGrid w:val="0"/>
              </w:rPr>
              <w:t xml:space="preserve"> США</w:t>
            </w:r>
            <w:r w:rsidRPr="00B91F3C">
              <w:rPr>
                <w:b/>
                <w:snapToGrid w:val="0"/>
              </w:rPr>
              <w:t>)</w:t>
            </w:r>
          </w:p>
        </w:tc>
        <w:tc>
          <w:tcPr>
            <w:tcW w:w="919" w:type="pct"/>
            <w:tcBorders>
              <w:top w:val="single" w:sz="12" w:space="0" w:color="008000"/>
            </w:tcBorders>
            <w:shd w:val="clear" w:color="auto" w:fill="auto"/>
            <w:vAlign w:val="center"/>
            <w:hideMark/>
          </w:tcPr>
          <w:p w14:paraId="31AAE273" w14:textId="77777777" w:rsidR="00190DD4" w:rsidRPr="00B91F3C" w:rsidRDefault="00190DD4" w:rsidP="00190DD4">
            <w:pPr>
              <w:spacing w:line="240" w:lineRule="auto"/>
              <w:rPr>
                <w:b/>
                <w:bCs/>
                <w:snapToGrid w:val="0"/>
              </w:rPr>
            </w:pPr>
            <w:r w:rsidRPr="00B91F3C">
              <w:rPr>
                <w:b/>
                <w:snapToGrid w:val="0"/>
              </w:rPr>
              <w:t>Софинансирование</w:t>
            </w:r>
          </w:p>
          <w:p w14:paraId="03BE10E6" w14:textId="77777777" w:rsidR="00190DD4" w:rsidRPr="00B91F3C" w:rsidRDefault="00190DD4" w:rsidP="00190DD4">
            <w:pPr>
              <w:spacing w:line="240" w:lineRule="auto"/>
              <w:rPr>
                <w:b/>
                <w:bCs/>
                <w:snapToGrid w:val="0"/>
              </w:rPr>
            </w:pPr>
            <w:r w:rsidRPr="00B91F3C">
              <w:rPr>
                <w:b/>
                <w:snapToGrid w:val="0"/>
              </w:rPr>
              <w:t>(млн долл. США)</w:t>
            </w:r>
          </w:p>
        </w:tc>
        <w:tc>
          <w:tcPr>
            <w:tcW w:w="918" w:type="pct"/>
            <w:tcBorders>
              <w:top w:val="single" w:sz="12" w:space="0" w:color="008000"/>
            </w:tcBorders>
            <w:shd w:val="clear" w:color="auto" w:fill="auto"/>
            <w:vAlign w:val="center"/>
          </w:tcPr>
          <w:p w14:paraId="2D9B0718" w14:textId="77777777" w:rsidR="00190DD4" w:rsidRPr="00B91F3C" w:rsidRDefault="00190DD4" w:rsidP="00190DD4">
            <w:pPr>
              <w:spacing w:line="240" w:lineRule="auto"/>
              <w:rPr>
                <w:b/>
                <w:bCs/>
                <w:snapToGrid w:val="0"/>
              </w:rPr>
            </w:pPr>
            <w:r w:rsidRPr="00B91F3C">
              <w:rPr>
                <w:b/>
                <w:snapToGrid w:val="0"/>
              </w:rPr>
              <w:t>Всего средств (млн долл. США)</w:t>
            </w:r>
          </w:p>
        </w:tc>
      </w:tr>
      <w:tr w:rsidR="00190DD4" w:rsidRPr="00B91F3C" w14:paraId="1987D32F" w14:textId="77777777" w:rsidTr="00DA5094">
        <w:trPr>
          <w:trHeight w:val="1304"/>
        </w:trPr>
        <w:tc>
          <w:tcPr>
            <w:tcW w:w="1279" w:type="pct"/>
            <w:shd w:val="clear" w:color="auto" w:fill="auto"/>
            <w:vAlign w:val="center"/>
          </w:tcPr>
          <w:p w14:paraId="5D19268D" w14:textId="77777777" w:rsidR="00190DD4" w:rsidRPr="00B91F3C" w:rsidRDefault="00190DD4" w:rsidP="00190DD4">
            <w:pPr>
              <w:spacing w:line="240" w:lineRule="auto"/>
              <w:rPr>
                <w:b/>
                <w:bCs/>
                <w:snapToGrid w:val="0"/>
              </w:rPr>
            </w:pPr>
            <w:r w:rsidRPr="00B91F3C">
              <w:rPr>
                <w:b/>
                <w:snapToGrid w:val="0"/>
              </w:rPr>
              <w:t>Задача 1:</w:t>
            </w:r>
          </w:p>
          <w:p w14:paraId="28E8D367" w14:textId="77777777" w:rsidR="00190DD4" w:rsidRPr="00B91F3C" w:rsidRDefault="00190DD4" w:rsidP="00190DD4">
            <w:pPr>
              <w:spacing w:line="240" w:lineRule="auto"/>
              <w:rPr>
                <w:b/>
                <w:bCs/>
                <w:snapToGrid w:val="0"/>
              </w:rPr>
            </w:pPr>
            <w:r w:rsidRPr="00B91F3C">
              <w:rPr>
                <w:b/>
                <w:snapToGrid w:val="0"/>
              </w:rPr>
              <w:t>«Голубая экономика»</w:t>
            </w:r>
          </w:p>
        </w:tc>
        <w:tc>
          <w:tcPr>
            <w:tcW w:w="936" w:type="pct"/>
            <w:shd w:val="clear" w:color="auto" w:fill="auto"/>
            <w:vAlign w:val="center"/>
          </w:tcPr>
          <w:p w14:paraId="0702EAA4" w14:textId="77777777" w:rsidR="00190DD4" w:rsidRPr="00B91F3C" w:rsidRDefault="00190DD4" w:rsidP="00190DD4">
            <w:pPr>
              <w:spacing w:line="240" w:lineRule="auto"/>
              <w:rPr>
                <w:snapToGrid w:val="0"/>
              </w:rPr>
            </w:pPr>
            <w:r w:rsidRPr="00B91F3C">
              <w:rPr>
                <w:snapToGrid w:val="0"/>
              </w:rPr>
              <w:t>1,2,3,10,14</w:t>
            </w:r>
          </w:p>
          <w:p w14:paraId="15F04F5A" w14:textId="77777777" w:rsidR="00190DD4" w:rsidRPr="00B91F3C" w:rsidRDefault="00190DD4" w:rsidP="00190DD4">
            <w:pPr>
              <w:spacing w:line="240" w:lineRule="auto"/>
              <w:rPr>
                <w:snapToGrid w:val="0"/>
              </w:rPr>
            </w:pPr>
            <w:r w:rsidRPr="00B91F3C">
              <w:rPr>
                <w:snapToGrid w:val="0"/>
              </w:rPr>
              <w:t>18,19,20,21,</w:t>
            </w:r>
          </w:p>
          <w:p w14:paraId="3F20E4E5" w14:textId="77777777" w:rsidR="00190DD4" w:rsidRPr="00B91F3C" w:rsidRDefault="00190DD4" w:rsidP="00190DD4">
            <w:pPr>
              <w:spacing w:line="240" w:lineRule="auto"/>
              <w:rPr>
                <w:snapToGrid w:val="0"/>
              </w:rPr>
            </w:pPr>
            <w:r w:rsidRPr="00B91F3C">
              <w:rPr>
                <w:snapToGrid w:val="0"/>
              </w:rPr>
              <w:t>22,23</w:t>
            </w:r>
          </w:p>
        </w:tc>
        <w:tc>
          <w:tcPr>
            <w:tcW w:w="949" w:type="pct"/>
            <w:shd w:val="clear" w:color="auto" w:fill="auto"/>
            <w:vAlign w:val="center"/>
          </w:tcPr>
          <w:p w14:paraId="6BF9FDAE" w14:textId="1E3B2AB7" w:rsidR="00190DD4" w:rsidRPr="00B91F3C" w:rsidRDefault="00190DD4" w:rsidP="00114FB8">
            <w:pPr>
              <w:spacing w:line="240" w:lineRule="auto"/>
              <w:jc w:val="right"/>
              <w:rPr>
                <w:snapToGrid w:val="0"/>
              </w:rPr>
            </w:pPr>
            <w:r w:rsidRPr="00B91F3C">
              <w:rPr>
                <w:snapToGrid w:val="0"/>
              </w:rPr>
              <w:t>46,80</w:t>
            </w:r>
          </w:p>
        </w:tc>
        <w:tc>
          <w:tcPr>
            <w:tcW w:w="919" w:type="pct"/>
            <w:shd w:val="clear" w:color="auto" w:fill="auto"/>
            <w:vAlign w:val="center"/>
          </w:tcPr>
          <w:p w14:paraId="7085E9E7" w14:textId="5EE25E0F" w:rsidR="00190DD4" w:rsidRPr="00B91F3C" w:rsidRDefault="00190DD4" w:rsidP="00114FB8">
            <w:pPr>
              <w:spacing w:line="240" w:lineRule="auto"/>
              <w:jc w:val="right"/>
              <w:rPr>
                <w:snapToGrid w:val="0"/>
              </w:rPr>
            </w:pPr>
            <w:r w:rsidRPr="00B91F3C">
              <w:rPr>
                <w:snapToGrid w:val="0"/>
              </w:rPr>
              <w:t>214,50</w:t>
            </w:r>
          </w:p>
        </w:tc>
        <w:tc>
          <w:tcPr>
            <w:tcW w:w="918" w:type="pct"/>
            <w:shd w:val="clear" w:color="auto" w:fill="auto"/>
            <w:vAlign w:val="center"/>
          </w:tcPr>
          <w:p w14:paraId="5C6B401F" w14:textId="2D3F4C67" w:rsidR="00190DD4" w:rsidRPr="00B91F3C" w:rsidRDefault="00190DD4" w:rsidP="00114FB8">
            <w:pPr>
              <w:spacing w:line="240" w:lineRule="auto"/>
              <w:jc w:val="right"/>
              <w:rPr>
                <w:snapToGrid w:val="0"/>
              </w:rPr>
            </w:pPr>
            <w:r w:rsidRPr="00B91F3C">
              <w:rPr>
                <w:snapToGrid w:val="0"/>
              </w:rPr>
              <w:t>261,30</w:t>
            </w:r>
          </w:p>
        </w:tc>
      </w:tr>
      <w:tr w:rsidR="00190DD4" w:rsidRPr="00B91F3C" w14:paraId="2174E802" w14:textId="77777777" w:rsidTr="00DA5094">
        <w:trPr>
          <w:trHeight w:val="539"/>
        </w:trPr>
        <w:tc>
          <w:tcPr>
            <w:tcW w:w="1279" w:type="pct"/>
            <w:shd w:val="clear" w:color="auto" w:fill="auto"/>
            <w:vAlign w:val="center"/>
          </w:tcPr>
          <w:p w14:paraId="0ABD7776" w14:textId="77777777" w:rsidR="00190DD4" w:rsidRPr="00B91F3C" w:rsidRDefault="00190DD4" w:rsidP="00190DD4">
            <w:pPr>
              <w:spacing w:line="240" w:lineRule="auto"/>
              <w:rPr>
                <w:b/>
                <w:bCs/>
                <w:snapToGrid w:val="0"/>
              </w:rPr>
            </w:pPr>
            <w:r w:rsidRPr="00B91F3C">
              <w:rPr>
                <w:b/>
                <w:snapToGrid w:val="0"/>
              </w:rPr>
              <w:t>Задача 2</w:t>
            </w:r>
            <w:r w:rsidRPr="00B91F3C">
              <w:rPr>
                <w:b/>
                <w:bCs/>
                <w:snapToGrid w:val="0"/>
                <w:vertAlign w:val="superscript"/>
              </w:rPr>
              <w:footnoteReference w:id="21"/>
            </w:r>
            <w:r w:rsidRPr="00B91F3C">
              <w:rPr>
                <w:b/>
                <w:snapToGrid w:val="0"/>
              </w:rPr>
              <w:t>:</w:t>
            </w:r>
          </w:p>
          <w:p w14:paraId="219CA4FD" w14:textId="77777777" w:rsidR="00190DD4" w:rsidRPr="00B91F3C" w:rsidRDefault="00190DD4" w:rsidP="00190DD4">
            <w:pPr>
              <w:spacing w:line="240" w:lineRule="auto"/>
              <w:rPr>
                <w:b/>
                <w:bCs/>
                <w:snapToGrid w:val="0"/>
              </w:rPr>
            </w:pPr>
            <w:r w:rsidRPr="00B91F3C">
              <w:rPr>
                <w:b/>
                <w:snapToGrid w:val="0"/>
              </w:rPr>
              <w:t>Районы за пределами нац. юрисдикции</w:t>
            </w:r>
          </w:p>
        </w:tc>
        <w:tc>
          <w:tcPr>
            <w:tcW w:w="936" w:type="pct"/>
            <w:shd w:val="clear" w:color="auto" w:fill="auto"/>
            <w:vAlign w:val="center"/>
          </w:tcPr>
          <w:p w14:paraId="11723D74" w14:textId="78EABBE5" w:rsidR="00190DD4" w:rsidRPr="00B91F3C" w:rsidRDefault="00BB4021" w:rsidP="00CB1930">
            <w:r w:rsidRPr="00B91F3C">
              <w:t>3, 13, 14, 20, 21</w:t>
            </w:r>
            <w:r w:rsidRPr="00B91F3C">
              <w:rPr>
                <w:rStyle w:val="Appelnotedebasdep"/>
              </w:rPr>
              <w:footnoteReference w:id="22"/>
            </w:r>
            <w:r w:rsidRPr="00B91F3C">
              <w:t xml:space="preserve"> </w:t>
            </w:r>
          </w:p>
        </w:tc>
        <w:tc>
          <w:tcPr>
            <w:tcW w:w="949" w:type="pct"/>
            <w:shd w:val="clear" w:color="auto" w:fill="auto"/>
            <w:vAlign w:val="center"/>
          </w:tcPr>
          <w:p w14:paraId="66AC3FD0" w14:textId="77777777" w:rsidR="00190DD4" w:rsidRPr="00B91F3C" w:rsidRDefault="00190DD4" w:rsidP="00114FB8">
            <w:pPr>
              <w:spacing w:line="240" w:lineRule="auto"/>
              <w:jc w:val="right"/>
              <w:rPr>
                <w:snapToGrid w:val="0"/>
              </w:rPr>
            </w:pPr>
            <w:r w:rsidRPr="00B91F3C">
              <w:rPr>
                <w:snapToGrid w:val="0"/>
              </w:rPr>
              <w:t>0</w:t>
            </w:r>
          </w:p>
        </w:tc>
        <w:tc>
          <w:tcPr>
            <w:tcW w:w="919" w:type="pct"/>
            <w:shd w:val="clear" w:color="auto" w:fill="auto"/>
            <w:vAlign w:val="center"/>
          </w:tcPr>
          <w:p w14:paraId="791902FF" w14:textId="77777777" w:rsidR="00190DD4" w:rsidRPr="00B91F3C" w:rsidRDefault="00190DD4" w:rsidP="00114FB8">
            <w:pPr>
              <w:spacing w:line="240" w:lineRule="auto"/>
              <w:jc w:val="right"/>
              <w:rPr>
                <w:snapToGrid w:val="0"/>
              </w:rPr>
            </w:pPr>
            <w:r w:rsidRPr="00B91F3C">
              <w:rPr>
                <w:snapToGrid w:val="0"/>
              </w:rPr>
              <w:t>0</w:t>
            </w:r>
          </w:p>
        </w:tc>
        <w:tc>
          <w:tcPr>
            <w:tcW w:w="918" w:type="pct"/>
            <w:shd w:val="clear" w:color="auto" w:fill="auto"/>
            <w:vAlign w:val="center"/>
          </w:tcPr>
          <w:p w14:paraId="4F94FB2E" w14:textId="77777777" w:rsidR="00190DD4" w:rsidRPr="00B91F3C" w:rsidRDefault="00190DD4" w:rsidP="00114FB8">
            <w:pPr>
              <w:spacing w:line="240" w:lineRule="auto"/>
              <w:jc w:val="right"/>
              <w:rPr>
                <w:snapToGrid w:val="0"/>
              </w:rPr>
            </w:pPr>
            <w:r w:rsidRPr="00B91F3C">
              <w:rPr>
                <w:snapToGrid w:val="0"/>
              </w:rPr>
              <w:t>0</w:t>
            </w:r>
          </w:p>
        </w:tc>
      </w:tr>
      <w:tr w:rsidR="00190DD4" w:rsidRPr="00B91F3C" w14:paraId="3627CE41" w14:textId="77777777" w:rsidTr="00DA5094">
        <w:trPr>
          <w:trHeight w:val="900"/>
        </w:trPr>
        <w:tc>
          <w:tcPr>
            <w:tcW w:w="1279" w:type="pct"/>
            <w:tcBorders>
              <w:bottom w:val="single" w:sz="4" w:space="0" w:color="auto"/>
            </w:tcBorders>
            <w:shd w:val="clear" w:color="auto" w:fill="auto"/>
            <w:vAlign w:val="center"/>
          </w:tcPr>
          <w:p w14:paraId="1CF55578" w14:textId="77777777" w:rsidR="00190DD4" w:rsidRPr="00B91F3C" w:rsidRDefault="00190DD4" w:rsidP="00190DD4">
            <w:pPr>
              <w:spacing w:line="240" w:lineRule="auto"/>
              <w:rPr>
                <w:b/>
                <w:bCs/>
                <w:snapToGrid w:val="0"/>
              </w:rPr>
            </w:pPr>
            <w:r w:rsidRPr="00B91F3C">
              <w:rPr>
                <w:b/>
                <w:snapToGrid w:val="0"/>
              </w:rPr>
              <w:t>Задача 3:</w:t>
            </w:r>
          </w:p>
          <w:p w14:paraId="0ADC8DAD" w14:textId="77777777" w:rsidR="00190DD4" w:rsidRPr="00B91F3C" w:rsidRDefault="00190DD4" w:rsidP="00190DD4">
            <w:pPr>
              <w:spacing w:line="240" w:lineRule="auto"/>
              <w:rPr>
                <w:b/>
                <w:bCs/>
                <w:snapToGrid w:val="0"/>
              </w:rPr>
            </w:pPr>
            <w:r w:rsidRPr="00B91F3C">
              <w:rPr>
                <w:b/>
                <w:snapToGrid w:val="0"/>
              </w:rPr>
              <w:t>Пресноводные</w:t>
            </w:r>
          </w:p>
          <w:p w14:paraId="4A33D859" w14:textId="77777777" w:rsidR="00190DD4" w:rsidRPr="00B91F3C" w:rsidRDefault="00190DD4" w:rsidP="00190DD4">
            <w:pPr>
              <w:spacing w:line="240" w:lineRule="auto"/>
              <w:rPr>
                <w:b/>
                <w:bCs/>
                <w:snapToGrid w:val="0"/>
              </w:rPr>
            </w:pPr>
            <w:r w:rsidRPr="00B91F3C">
              <w:rPr>
                <w:b/>
                <w:snapToGrid w:val="0"/>
              </w:rPr>
              <w:t>экосистемы</w:t>
            </w:r>
          </w:p>
        </w:tc>
        <w:tc>
          <w:tcPr>
            <w:tcW w:w="936" w:type="pct"/>
            <w:tcBorders>
              <w:bottom w:val="single" w:sz="4" w:space="0" w:color="auto"/>
            </w:tcBorders>
            <w:shd w:val="clear" w:color="auto" w:fill="auto"/>
            <w:vAlign w:val="center"/>
          </w:tcPr>
          <w:p w14:paraId="0A561577" w14:textId="77777777" w:rsidR="00190DD4" w:rsidRPr="00B91F3C" w:rsidRDefault="00190DD4" w:rsidP="00190DD4">
            <w:pPr>
              <w:spacing w:line="240" w:lineRule="auto"/>
              <w:rPr>
                <w:snapToGrid w:val="0"/>
              </w:rPr>
            </w:pPr>
            <w:r w:rsidRPr="00B91F3C">
              <w:rPr>
                <w:snapToGrid w:val="0"/>
              </w:rPr>
              <w:t>2,8,10,14,</w:t>
            </w:r>
          </w:p>
          <w:p w14:paraId="23823F96" w14:textId="77777777" w:rsidR="00190DD4" w:rsidRPr="00B91F3C" w:rsidRDefault="00190DD4" w:rsidP="00190DD4">
            <w:pPr>
              <w:spacing w:line="240" w:lineRule="auto"/>
              <w:rPr>
                <w:snapToGrid w:val="0"/>
              </w:rPr>
            </w:pPr>
            <w:r w:rsidRPr="00B91F3C">
              <w:rPr>
                <w:snapToGrid w:val="0"/>
              </w:rPr>
              <w:t>18,19,20,21</w:t>
            </w:r>
          </w:p>
          <w:p w14:paraId="56CE30A9" w14:textId="77777777" w:rsidR="00190DD4" w:rsidRPr="00B91F3C" w:rsidRDefault="00190DD4" w:rsidP="00190DD4">
            <w:pPr>
              <w:spacing w:line="240" w:lineRule="auto"/>
              <w:rPr>
                <w:snapToGrid w:val="0"/>
              </w:rPr>
            </w:pPr>
            <w:r w:rsidRPr="00B91F3C">
              <w:rPr>
                <w:snapToGrid w:val="0"/>
              </w:rPr>
              <w:t>22,23</w:t>
            </w:r>
          </w:p>
        </w:tc>
        <w:tc>
          <w:tcPr>
            <w:tcW w:w="949" w:type="pct"/>
            <w:tcBorders>
              <w:bottom w:val="single" w:sz="4" w:space="0" w:color="auto"/>
            </w:tcBorders>
            <w:shd w:val="clear" w:color="auto" w:fill="auto"/>
            <w:vAlign w:val="center"/>
          </w:tcPr>
          <w:p w14:paraId="3F2DB510" w14:textId="05041B89" w:rsidR="00190DD4" w:rsidRPr="00B91F3C" w:rsidRDefault="00190DD4" w:rsidP="00114FB8">
            <w:pPr>
              <w:spacing w:line="240" w:lineRule="auto"/>
              <w:jc w:val="right"/>
              <w:rPr>
                <w:snapToGrid w:val="0"/>
              </w:rPr>
            </w:pPr>
            <w:r w:rsidRPr="00B91F3C">
              <w:rPr>
                <w:snapToGrid w:val="0"/>
              </w:rPr>
              <w:t>68,00</w:t>
            </w:r>
          </w:p>
        </w:tc>
        <w:tc>
          <w:tcPr>
            <w:tcW w:w="919" w:type="pct"/>
            <w:tcBorders>
              <w:bottom w:val="single" w:sz="4" w:space="0" w:color="auto"/>
            </w:tcBorders>
            <w:shd w:val="clear" w:color="auto" w:fill="auto"/>
            <w:vAlign w:val="center"/>
          </w:tcPr>
          <w:p w14:paraId="5787EF58" w14:textId="1A8F42D8" w:rsidR="00190DD4" w:rsidRPr="00B91F3C" w:rsidRDefault="00190DD4" w:rsidP="00114FB8">
            <w:pPr>
              <w:spacing w:line="240" w:lineRule="auto"/>
              <w:jc w:val="right"/>
              <w:rPr>
                <w:snapToGrid w:val="0"/>
              </w:rPr>
            </w:pPr>
            <w:r w:rsidRPr="00B91F3C">
              <w:rPr>
                <w:snapToGrid w:val="0"/>
              </w:rPr>
              <w:t>714,20</w:t>
            </w:r>
          </w:p>
        </w:tc>
        <w:tc>
          <w:tcPr>
            <w:tcW w:w="918" w:type="pct"/>
            <w:tcBorders>
              <w:bottom w:val="single" w:sz="4" w:space="0" w:color="auto"/>
            </w:tcBorders>
            <w:shd w:val="clear" w:color="auto" w:fill="auto"/>
            <w:vAlign w:val="center"/>
          </w:tcPr>
          <w:p w14:paraId="14F5D638" w14:textId="7062D4EC" w:rsidR="00190DD4" w:rsidRPr="00B91F3C" w:rsidRDefault="00190DD4" w:rsidP="00114FB8">
            <w:pPr>
              <w:spacing w:line="240" w:lineRule="auto"/>
              <w:jc w:val="right"/>
              <w:rPr>
                <w:snapToGrid w:val="0"/>
              </w:rPr>
            </w:pPr>
            <w:r w:rsidRPr="00B91F3C">
              <w:rPr>
                <w:snapToGrid w:val="0"/>
              </w:rPr>
              <w:t>782,20</w:t>
            </w:r>
          </w:p>
        </w:tc>
      </w:tr>
      <w:tr w:rsidR="00190DD4" w:rsidRPr="00B91F3C" w14:paraId="325BBA28" w14:textId="77777777" w:rsidTr="00CB1930">
        <w:trPr>
          <w:trHeight w:val="431"/>
        </w:trPr>
        <w:tc>
          <w:tcPr>
            <w:tcW w:w="1279" w:type="pct"/>
            <w:tcBorders>
              <w:top w:val="single" w:sz="4" w:space="0" w:color="auto"/>
              <w:bottom w:val="single" w:sz="12" w:space="0" w:color="008000"/>
            </w:tcBorders>
            <w:shd w:val="clear" w:color="auto" w:fill="auto"/>
            <w:vAlign w:val="center"/>
          </w:tcPr>
          <w:p w14:paraId="30205806" w14:textId="77777777" w:rsidR="00190DD4" w:rsidRPr="00B91F3C" w:rsidRDefault="00190DD4" w:rsidP="00190DD4">
            <w:pPr>
              <w:spacing w:line="240" w:lineRule="auto"/>
              <w:rPr>
                <w:b/>
                <w:snapToGrid w:val="0"/>
              </w:rPr>
            </w:pPr>
            <w:r w:rsidRPr="00B91F3C">
              <w:rPr>
                <w:b/>
                <w:snapToGrid w:val="0"/>
              </w:rPr>
              <w:t>Всего</w:t>
            </w:r>
          </w:p>
        </w:tc>
        <w:tc>
          <w:tcPr>
            <w:tcW w:w="936" w:type="pct"/>
            <w:tcBorders>
              <w:top w:val="single" w:sz="4" w:space="0" w:color="auto"/>
              <w:bottom w:val="single" w:sz="12" w:space="0" w:color="008000"/>
            </w:tcBorders>
            <w:shd w:val="clear" w:color="auto" w:fill="auto"/>
            <w:vAlign w:val="center"/>
          </w:tcPr>
          <w:p w14:paraId="63DDB1CC" w14:textId="77777777" w:rsidR="00190DD4" w:rsidRPr="00B91F3C" w:rsidRDefault="00190DD4" w:rsidP="00190DD4">
            <w:pPr>
              <w:spacing w:line="240" w:lineRule="auto"/>
              <w:rPr>
                <w:snapToGrid w:val="0"/>
              </w:rPr>
            </w:pPr>
          </w:p>
        </w:tc>
        <w:tc>
          <w:tcPr>
            <w:tcW w:w="949" w:type="pct"/>
            <w:tcBorders>
              <w:top w:val="single" w:sz="4" w:space="0" w:color="auto"/>
              <w:bottom w:val="single" w:sz="12" w:space="0" w:color="008000"/>
            </w:tcBorders>
            <w:shd w:val="clear" w:color="auto" w:fill="auto"/>
            <w:vAlign w:val="center"/>
          </w:tcPr>
          <w:p w14:paraId="4AFAD439" w14:textId="09A0F9B1" w:rsidR="00190DD4" w:rsidRPr="00B91F3C" w:rsidRDefault="00190DD4" w:rsidP="00114FB8">
            <w:pPr>
              <w:spacing w:line="240" w:lineRule="auto"/>
              <w:jc w:val="right"/>
              <w:rPr>
                <w:b/>
                <w:bCs/>
                <w:snapToGrid w:val="0"/>
              </w:rPr>
            </w:pPr>
            <w:r w:rsidRPr="00B91F3C">
              <w:rPr>
                <w:b/>
                <w:snapToGrid w:val="0"/>
              </w:rPr>
              <w:t>114,80</w:t>
            </w:r>
          </w:p>
        </w:tc>
        <w:tc>
          <w:tcPr>
            <w:tcW w:w="919" w:type="pct"/>
            <w:tcBorders>
              <w:top w:val="single" w:sz="4" w:space="0" w:color="auto"/>
              <w:bottom w:val="single" w:sz="12" w:space="0" w:color="008000"/>
            </w:tcBorders>
            <w:shd w:val="clear" w:color="auto" w:fill="auto"/>
            <w:vAlign w:val="center"/>
          </w:tcPr>
          <w:p w14:paraId="13AC64E1" w14:textId="7F97A123" w:rsidR="00190DD4" w:rsidRPr="00B91F3C" w:rsidRDefault="00190DD4" w:rsidP="00114FB8">
            <w:pPr>
              <w:spacing w:line="240" w:lineRule="auto"/>
              <w:jc w:val="right"/>
              <w:rPr>
                <w:b/>
                <w:bCs/>
                <w:snapToGrid w:val="0"/>
              </w:rPr>
            </w:pPr>
            <w:r w:rsidRPr="00B91F3C">
              <w:rPr>
                <w:b/>
                <w:snapToGrid w:val="0"/>
              </w:rPr>
              <w:t>928,70</w:t>
            </w:r>
          </w:p>
        </w:tc>
        <w:tc>
          <w:tcPr>
            <w:tcW w:w="918" w:type="pct"/>
            <w:tcBorders>
              <w:top w:val="single" w:sz="4" w:space="0" w:color="auto"/>
              <w:bottom w:val="single" w:sz="12" w:space="0" w:color="008000"/>
            </w:tcBorders>
            <w:shd w:val="clear" w:color="auto" w:fill="auto"/>
            <w:vAlign w:val="center"/>
          </w:tcPr>
          <w:p w14:paraId="57A6BADE" w14:textId="0F943B2B" w:rsidR="00190DD4" w:rsidRPr="00B91F3C" w:rsidRDefault="00856D52" w:rsidP="00114FB8">
            <w:pPr>
              <w:spacing w:line="240" w:lineRule="auto"/>
              <w:jc w:val="right"/>
              <w:rPr>
                <w:b/>
                <w:bCs/>
                <w:snapToGrid w:val="0"/>
              </w:rPr>
            </w:pPr>
            <w:r w:rsidRPr="00B91F3C">
              <w:rPr>
                <w:b/>
                <w:snapToGrid w:val="0"/>
              </w:rPr>
              <w:t>1 043,50</w:t>
            </w:r>
          </w:p>
        </w:tc>
      </w:tr>
    </w:tbl>
    <w:p w14:paraId="7E5E3658" w14:textId="77777777" w:rsidR="00190DD4" w:rsidRPr="00B91F3C" w:rsidRDefault="00190DD4" w:rsidP="00190DD4">
      <w:pPr>
        <w:spacing w:line="240" w:lineRule="auto"/>
        <w:rPr>
          <w:b/>
          <w:bCs/>
          <w:snapToGrid w:val="0"/>
        </w:rPr>
      </w:pPr>
    </w:p>
    <w:p w14:paraId="59A58724" w14:textId="69AAF172" w:rsidR="00ED15D1" w:rsidRPr="00B91F3C" w:rsidRDefault="00C17BBD" w:rsidP="00190DD4">
      <w:pPr>
        <w:spacing w:line="240" w:lineRule="auto"/>
        <w:rPr>
          <w:snapToGrid w:val="0"/>
        </w:rPr>
      </w:pPr>
      <w:r w:rsidRPr="00B91F3C">
        <w:rPr>
          <w:snapToGrid w:val="0"/>
        </w:rPr>
        <w:t xml:space="preserve">Значимые проекты в целевой области «Международные воды», которые способствуют реализации КМПГБ, перечислены ниже: </w:t>
      </w:r>
    </w:p>
    <w:p w14:paraId="7E34A417" w14:textId="2C10A256" w:rsidR="00A036AC" w:rsidRPr="00B91F3C" w:rsidRDefault="00A036AC" w:rsidP="008271DA">
      <w:pPr>
        <w:numPr>
          <w:ilvl w:val="0"/>
          <w:numId w:val="11"/>
        </w:numPr>
        <w:spacing w:before="240" w:after="240" w:line="240" w:lineRule="auto"/>
        <w:ind w:left="720"/>
        <w:jc w:val="both"/>
        <w:rPr>
          <w:snapToGrid w:val="0"/>
          <w:sz w:val="24"/>
          <w:szCs w:val="24"/>
        </w:rPr>
      </w:pPr>
      <w:r w:rsidRPr="00B91F3C">
        <w:rPr>
          <w:b/>
          <w:snapToGrid w:val="0"/>
          <w:sz w:val="24"/>
        </w:rPr>
        <w:t>За пределами 30x30: обеспечение жизнестойкости в восточной части тропической зоны Тихого океана путем активизации трансграничного сотрудничества</w:t>
      </w:r>
      <w:r w:rsidRPr="00B91F3C">
        <w:rPr>
          <w:snapToGrid w:val="0"/>
          <w:sz w:val="24"/>
        </w:rPr>
        <w:t xml:space="preserve"> (Колумбия, </w:t>
      </w:r>
      <w:r w:rsidR="00FA07CF" w:rsidRPr="00B91F3C">
        <w:rPr>
          <w:snapToGrid w:val="0"/>
          <w:sz w:val="24"/>
        </w:rPr>
        <w:t>Коста-Рика, Панама и Эквадор) (Ф</w:t>
      </w:r>
      <w:r w:rsidRPr="00B91F3C">
        <w:rPr>
          <w:snapToGrid w:val="0"/>
          <w:sz w:val="24"/>
        </w:rPr>
        <w:t>инансирование ГЭФ: 15 673 000 долл. США; софинанси</w:t>
      </w:r>
      <w:r w:rsidR="00FA07CF" w:rsidRPr="00B91F3C">
        <w:rPr>
          <w:snapToGrid w:val="0"/>
          <w:sz w:val="24"/>
        </w:rPr>
        <w:t>рование: 53 383 037 долл. США).</w:t>
      </w:r>
      <w:r w:rsidRPr="00B91F3C">
        <w:rPr>
          <w:snapToGrid w:val="0"/>
          <w:sz w:val="24"/>
        </w:rPr>
        <w:t xml:space="preserve"> Ожидается, что этот проект будет способствовать повышению связности, </w:t>
      </w:r>
      <w:r w:rsidR="00FA07CF" w:rsidRPr="00B91F3C">
        <w:rPr>
          <w:snapToGrid w:val="0"/>
          <w:sz w:val="24"/>
        </w:rPr>
        <w:t xml:space="preserve">качества </w:t>
      </w:r>
      <w:r w:rsidRPr="00B91F3C">
        <w:rPr>
          <w:snapToGrid w:val="0"/>
          <w:sz w:val="24"/>
        </w:rPr>
        <w:t xml:space="preserve">защиты и управления в отношении не менее чем 31 250 000 га в восточной части тропической зоны Тихого океана, совершенствованию совместного управления в одной общей водной экосистеме и управления рыбным промыслом в глобальных зонах рыболовства с чрезмерной эксплуатацией (будет уточняться на этапе ГПП), а также обеспечит выгоды от </w:t>
      </w:r>
      <w:r w:rsidRPr="00B91F3C">
        <w:rPr>
          <w:snapToGrid w:val="0"/>
          <w:sz w:val="24"/>
        </w:rPr>
        <w:lastRenderedPageBreak/>
        <w:t>инвестиций, финансируемых ГЭФ, не менее чем для 150 000 человек (из них не менее 30% женщин).</w:t>
      </w:r>
    </w:p>
    <w:p w14:paraId="4487F9F8" w14:textId="7BBBEA03" w:rsidR="00A036AC" w:rsidRPr="00B91F3C" w:rsidRDefault="00A036AC" w:rsidP="008271DA">
      <w:pPr>
        <w:numPr>
          <w:ilvl w:val="0"/>
          <w:numId w:val="11"/>
        </w:numPr>
        <w:spacing w:before="240" w:after="240" w:line="240" w:lineRule="auto"/>
        <w:ind w:left="720"/>
        <w:jc w:val="both"/>
        <w:rPr>
          <w:snapToGrid w:val="0"/>
          <w:sz w:val="24"/>
          <w:szCs w:val="24"/>
        </w:rPr>
      </w:pPr>
      <w:r w:rsidRPr="00B91F3C">
        <w:rPr>
          <w:b/>
          <w:snapToGrid w:val="0"/>
          <w:sz w:val="24"/>
        </w:rPr>
        <w:t xml:space="preserve">Внедрение </w:t>
      </w:r>
      <w:proofErr w:type="spellStart"/>
      <w:r w:rsidRPr="00B91F3C">
        <w:rPr>
          <w:b/>
          <w:snapToGrid w:val="0"/>
          <w:sz w:val="24"/>
        </w:rPr>
        <w:t>климатоустойчивой</w:t>
      </w:r>
      <w:proofErr w:type="spellEnd"/>
      <w:r w:rsidRPr="00B91F3C">
        <w:rPr>
          <w:b/>
          <w:snapToGrid w:val="0"/>
          <w:sz w:val="24"/>
        </w:rPr>
        <w:t xml:space="preserve"> «голубой экономики» в регионе крупной морской экосистема «</w:t>
      </w:r>
      <w:proofErr w:type="spellStart"/>
      <w:r w:rsidRPr="00B91F3C">
        <w:rPr>
          <w:b/>
          <w:snapToGrid w:val="0"/>
          <w:sz w:val="24"/>
        </w:rPr>
        <w:t>Бенгельское</w:t>
      </w:r>
      <w:proofErr w:type="spellEnd"/>
      <w:r w:rsidRPr="00B91F3C">
        <w:rPr>
          <w:b/>
          <w:snapToGrid w:val="0"/>
          <w:sz w:val="24"/>
        </w:rPr>
        <w:t xml:space="preserve"> течение</w:t>
      </w:r>
      <w:r w:rsidRPr="00B91F3C">
        <w:rPr>
          <w:snapToGrid w:val="0"/>
          <w:sz w:val="24"/>
        </w:rPr>
        <w:t>» (Проект «Крупная морская экосистема «</w:t>
      </w:r>
      <w:proofErr w:type="spellStart"/>
      <w:r w:rsidRPr="00B91F3C">
        <w:rPr>
          <w:snapToGrid w:val="0"/>
          <w:sz w:val="24"/>
        </w:rPr>
        <w:t>Бенгельское</w:t>
      </w:r>
      <w:proofErr w:type="spellEnd"/>
      <w:r w:rsidRPr="00B91F3C">
        <w:rPr>
          <w:snapToGrid w:val="0"/>
          <w:sz w:val="24"/>
        </w:rPr>
        <w:t xml:space="preserve"> течение»» IV) (Ангола, Намибия, Южная Африка) (</w:t>
      </w:r>
      <w:r w:rsidR="00FA07CF" w:rsidRPr="00B91F3C">
        <w:rPr>
          <w:snapToGrid w:val="0"/>
          <w:sz w:val="24"/>
        </w:rPr>
        <w:t>Ф</w:t>
      </w:r>
      <w:r w:rsidRPr="00B91F3C">
        <w:rPr>
          <w:snapToGrid w:val="0"/>
          <w:sz w:val="24"/>
        </w:rPr>
        <w:t>инансирование ГЭФ: 11 428 376 долл. США; софинансир</w:t>
      </w:r>
      <w:r w:rsidR="0039419B" w:rsidRPr="00B91F3C">
        <w:rPr>
          <w:snapToGrid w:val="0"/>
          <w:sz w:val="24"/>
        </w:rPr>
        <w:t xml:space="preserve">ование: 25 000 000 долл. США). </w:t>
      </w:r>
      <w:r w:rsidRPr="00B91F3C">
        <w:rPr>
          <w:snapToGrid w:val="0"/>
          <w:sz w:val="24"/>
        </w:rPr>
        <w:t>Проект направлен на охват более эффективными методами управления не менее 2 млн га охраняемых морских районов; будет оказана поддержка эффективным природоохранным мерам на порайонной основе на территории более 2 млн га, будет внедрена улучшенная практика совместного управления в одной общей водной экосистеме (Крупная морская экосистема «</w:t>
      </w:r>
      <w:proofErr w:type="spellStart"/>
      <w:r w:rsidRPr="00B91F3C">
        <w:rPr>
          <w:snapToGrid w:val="0"/>
          <w:sz w:val="24"/>
        </w:rPr>
        <w:t>Бенгельское</w:t>
      </w:r>
      <w:proofErr w:type="spellEnd"/>
      <w:r w:rsidRPr="00B91F3C">
        <w:rPr>
          <w:snapToGrid w:val="0"/>
          <w:sz w:val="24"/>
        </w:rPr>
        <w:t xml:space="preserve"> течение»), 50 000 метрических тонн рыбного промысла в глобальных зонах рыболовства с чрезмерной эксплуатацией будет переведено на более устойчивые уровни, а также будут обеспечены выгоды для более чем 1 500 человек (из них 50% женщин). </w:t>
      </w:r>
    </w:p>
    <w:p w14:paraId="2F8D836D" w14:textId="658A994D" w:rsidR="00A036AC" w:rsidRPr="00B91F3C" w:rsidRDefault="00A036AC" w:rsidP="008271DA">
      <w:pPr>
        <w:numPr>
          <w:ilvl w:val="0"/>
          <w:numId w:val="11"/>
        </w:numPr>
        <w:spacing w:before="240" w:after="240" w:line="240" w:lineRule="auto"/>
        <w:ind w:left="720"/>
        <w:jc w:val="both"/>
        <w:rPr>
          <w:b/>
          <w:bCs/>
          <w:i/>
          <w:iCs/>
          <w:snapToGrid w:val="0"/>
          <w:sz w:val="24"/>
          <w:szCs w:val="24"/>
        </w:rPr>
      </w:pPr>
      <w:r w:rsidRPr="00B91F3C">
        <w:rPr>
          <w:b/>
          <w:snapToGrid w:val="0"/>
          <w:sz w:val="24"/>
        </w:rPr>
        <w:t xml:space="preserve">Повышение эффективности управления трансграничными рыболовными предприятиями в бассейне Нижнего Меконга </w:t>
      </w:r>
      <w:r w:rsidRPr="00B91F3C">
        <w:rPr>
          <w:snapToGrid w:val="0"/>
          <w:sz w:val="24"/>
        </w:rPr>
        <w:t>(Вьетнам, Камбоджа, Лаосская НДР) (</w:t>
      </w:r>
      <w:r w:rsidR="00FA07CF" w:rsidRPr="00B91F3C">
        <w:rPr>
          <w:snapToGrid w:val="0"/>
          <w:sz w:val="24"/>
        </w:rPr>
        <w:t>Ф</w:t>
      </w:r>
      <w:r w:rsidRPr="00B91F3C">
        <w:rPr>
          <w:snapToGrid w:val="0"/>
          <w:sz w:val="24"/>
        </w:rPr>
        <w:t>инансирование ГЭФ: 11 673 000 долл. США; софинансир</w:t>
      </w:r>
      <w:r w:rsidR="0039419B" w:rsidRPr="00B91F3C">
        <w:rPr>
          <w:snapToGrid w:val="0"/>
          <w:sz w:val="24"/>
        </w:rPr>
        <w:t xml:space="preserve">ование: 77 600 000 долл. США). </w:t>
      </w:r>
      <w:r w:rsidRPr="00B91F3C">
        <w:rPr>
          <w:snapToGrid w:val="0"/>
          <w:sz w:val="24"/>
        </w:rPr>
        <w:t>Проект призван стабилизировать рыбные запасы на уровне 2020 года, внедрить улучшенные методы управления на 10 000 га охраняемых водно-болотных/Рамсарских угодий и на приблизительно 350 000 га ландшафтов, обеспечить улучшенные методы управления в одной общей пресноводной экосистеме и прямые выгоды для 20 000 человек.</w:t>
      </w:r>
    </w:p>
    <w:p w14:paraId="62F7A863" w14:textId="580F2D9D" w:rsidR="00A036AC" w:rsidRPr="00B91F3C" w:rsidRDefault="00A036AC" w:rsidP="003E4A2B">
      <w:pPr>
        <w:numPr>
          <w:ilvl w:val="0"/>
          <w:numId w:val="11"/>
        </w:numPr>
        <w:spacing w:before="240" w:after="240" w:line="240" w:lineRule="auto"/>
        <w:ind w:left="720"/>
        <w:jc w:val="both"/>
        <w:rPr>
          <w:i/>
          <w:iCs/>
          <w:snapToGrid w:val="0"/>
          <w:sz w:val="24"/>
          <w:szCs w:val="24"/>
        </w:rPr>
      </w:pPr>
      <w:r w:rsidRPr="00B91F3C">
        <w:rPr>
          <w:b/>
          <w:snapToGrid w:val="0"/>
          <w:sz w:val="24"/>
        </w:rPr>
        <w:t>Укрепление комплексн</w:t>
      </w:r>
      <w:r w:rsidR="00082669" w:rsidRPr="00B91F3C">
        <w:rPr>
          <w:b/>
          <w:snapToGrid w:val="0"/>
          <w:sz w:val="24"/>
        </w:rPr>
        <w:t>ого трансграничного управления от источника до моря</w:t>
      </w:r>
      <w:r w:rsidRPr="00B91F3C">
        <w:rPr>
          <w:b/>
          <w:snapToGrid w:val="0"/>
          <w:sz w:val="24"/>
        </w:rPr>
        <w:t xml:space="preserve"> бассейном реки </w:t>
      </w:r>
      <w:proofErr w:type="spellStart"/>
      <w:r w:rsidRPr="00B91F3C">
        <w:rPr>
          <w:b/>
          <w:snapToGrid w:val="0"/>
          <w:sz w:val="24"/>
        </w:rPr>
        <w:t>Рувумы</w:t>
      </w:r>
      <w:proofErr w:type="spellEnd"/>
      <w:r w:rsidRPr="00B91F3C">
        <w:rPr>
          <w:b/>
          <w:snapToGrid w:val="0"/>
          <w:sz w:val="24"/>
        </w:rPr>
        <w:t xml:space="preserve"> и его прибрежными районами для обеспечения здоровья экосистем и гарантии сохранения средств к существованию </w:t>
      </w:r>
      <w:r w:rsidRPr="00B91F3C">
        <w:rPr>
          <w:snapToGrid w:val="0"/>
          <w:sz w:val="24"/>
        </w:rPr>
        <w:t>(Малави, Мозамбик, Танзания</w:t>
      </w:r>
      <w:r w:rsidR="00082669" w:rsidRPr="00B91F3C">
        <w:rPr>
          <w:snapToGrid w:val="0"/>
          <w:sz w:val="24"/>
        </w:rPr>
        <w:t>)</w:t>
      </w:r>
      <w:r w:rsidRPr="00B91F3C">
        <w:rPr>
          <w:snapToGrid w:val="0"/>
          <w:sz w:val="24"/>
        </w:rPr>
        <w:t xml:space="preserve"> (</w:t>
      </w:r>
      <w:r w:rsidR="00082669" w:rsidRPr="00B91F3C">
        <w:rPr>
          <w:snapToGrid w:val="0"/>
          <w:sz w:val="24"/>
        </w:rPr>
        <w:t>Ф</w:t>
      </w:r>
      <w:r w:rsidRPr="00B91F3C">
        <w:rPr>
          <w:snapToGrid w:val="0"/>
          <w:sz w:val="24"/>
        </w:rPr>
        <w:t>инансирование ГЭФ: 7 763 000 долл. США; софинансирование: 48 365 000 долл. США</w:t>
      </w:r>
      <w:r w:rsidRPr="00B91F3C">
        <w:rPr>
          <w:i/>
          <w:snapToGrid w:val="0"/>
          <w:sz w:val="24"/>
        </w:rPr>
        <w:t xml:space="preserve">). </w:t>
      </w:r>
      <w:r w:rsidRPr="00B91F3C">
        <w:rPr>
          <w:snapToGrid w:val="0"/>
          <w:sz w:val="24"/>
        </w:rPr>
        <w:t xml:space="preserve">Этот проект призван обеспечить охват улучшенными методами управления 200 000 га наземных и 700 00 га морских охраняемых </w:t>
      </w:r>
      <w:r w:rsidRPr="00B91F3C">
        <w:rPr>
          <w:sz w:val="24"/>
        </w:rPr>
        <w:t>районов</w:t>
      </w:r>
      <w:r w:rsidRPr="00B91F3C">
        <w:rPr>
          <w:snapToGrid w:val="0"/>
          <w:sz w:val="24"/>
        </w:rPr>
        <w:t xml:space="preserve">, повысить качество управления на 2 000 га наземных районов в целях защиты биоразнообразия, обеспечить улучшенные методы совместного управления в одной общей экосистеме и прямые выгоды для 20 000 человек. </w:t>
      </w:r>
    </w:p>
    <w:p w14:paraId="5203DC38" w14:textId="50C1D17D" w:rsidR="00A036AC" w:rsidRPr="00B91F3C" w:rsidRDefault="00A036AC" w:rsidP="008271DA">
      <w:pPr>
        <w:numPr>
          <w:ilvl w:val="0"/>
          <w:numId w:val="11"/>
        </w:numPr>
        <w:spacing w:before="240" w:after="240" w:line="240" w:lineRule="auto"/>
        <w:ind w:left="720"/>
        <w:jc w:val="both"/>
        <w:rPr>
          <w:b/>
          <w:bCs/>
          <w:snapToGrid w:val="0"/>
          <w:sz w:val="24"/>
          <w:szCs w:val="24"/>
        </w:rPr>
      </w:pPr>
      <w:r w:rsidRPr="00B91F3C">
        <w:rPr>
          <w:b/>
          <w:snapToGrid w:val="0"/>
          <w:sz w:val="24"/>
        </w:rPr>
        <w:t xml:space="preserve">Программа по расширению возможностей для устойчивого морского рыболовства в Сообществе развития Юга Африки – Мозамбикский пролив </w:t>
      </w:r>
      <w:r w:rsidRPr="00B91F3C">
        <w:rPr>
          <w:snapToGrid w:val="0"/>
          <w:sz w:val="24"/>
        </w:rPr>
        <w:t>(Коморские О</w:t>
      </w:r>
      <w:r w:rsidR="00082669" w:rsidRPr="00B91F3C">
        <w:rPr>
          <w:snapToGrid w:val="0"/>
          <w:sz w:val="24"/>
        </w:rPr>
        <w:t>строва, Мадагаскар, Мозамбик) (Ф</w:t>
      </w:r>
      <w:r w:rsidRPr="00B91F3C">
        <w:rPr>
          <w:snapToGrid w:val="0"/>
          <w:sz w:val="24"/>
        </w:rPr>
        <w:t>инансирование ГЭФ: 5 748 750 долл. США; софинансирование: 14 200 000 долл. США). Ожидается, что проект будет сп</w:t>
      </w:r>
      <w:r w:rsidR="00847B4C" w:rsidRPr="00B91F3C">
        <w:rPr>
          <w:snapToGrid w:val="0"/>
          <w:sz w:val="24"/>
        </w:rPr>
        <w:t xml:space="preserve">особствовать улучшению методов </w:t>
      </w:r>
      <w:r w:rsidRPr="00B91F3C">
        <w:rPr>
          <w:snapToGrid w:val="0"/>
          <w:sz w:val="24"/>
        </w:rPr>
        <w:t>управления на 8 000 га новых или уже имеющих</w:t>
      </w:r>
      <w:r w:rsidR="00082669" w:rsidRPr="00B91F3C">
        <w:rPr>
          <w:snapToGrid w:val="0"/>
          <w:sz w:val="24"/>
        </w:rPr>
        <w:t xml:space="preserve">ся охраняемых морских районов, </w:t>
      </w:r>
      <w:r w:rsidRPr="00B91F3C">
        <w:rPr>
          <w:snapToGrid w:val="0"/>
          <w:sz w:val="24"/>
        </w:rPr>
        <w:t xml:space="preserve">улучшению практики эксплуатации морской среды обитания на территории 4 000 га, внедрению улучшенных методов управления в одной общей морской экосистеме; будет обеспечена более устойчивая добыча 1,2 млн метрических тонн рыбы в глобальных зонах рыболовства </w:t>
      </w:r>
      <w:r w:rsidRPr="00B91F3C">
        <w:rPr>
          <w:snapToGrid w:val="0"/>
          <w:sz w:val="24"/>
        </w:rPr>
        <w:lastRenderedPageBreak/>
        <w:t xml:space="preserve">с чрезмерной эксплуатацией и </w:t>
      </w:r>
      <w:r w:rsidR="00A826A8" w:rsidRPr="00B91F3C">
        <w:rPr>
          <w:snapToGrid w:val="0"/>
          <w:sz w:val="24"/>
        </w:rPr>
        <w:t>предоставлены</w:t>
      </w:r>
      <w:r w:rsidRPr="00B91F3C">
        <w:rPr>
          <w:snapToGrid w:val="0"/>
          <w:sz w:val="24"/>
        </w:rPr>
        <w:t xml:space="preserve"> выгоды для более чем 13 000 непосредственных бенефициаров.</w:t>
      </w:r>
    </w:p>
    <w:p w14:paraId="52034F01" w14:textId="12F999AA" w:rsidR="00CF70B6" w:rsidRPr="00B91F3C" w:rsidRDefault="00D30DB1" w:rsidP="00E533C4">
      <w:pPr>
        <w:pStyle w:val="Titre3"/>
      </w:pPr>
      <w:bookmarkStart w:id="134" w:name="_Toc102227409"/>
      <w:bookmarkStart w:id="135" w:name="_Hlk159932173"/>
      <w:bookmarkStart w:id="136" w:name="_Toc165893329"/>
      <w:bookmarkStart w:id="137" w:name="_Toc165899264"/>
      <w:r w:rsidRPr="00B91F3C">
        <w:t>Не связанные с грантами инструменты</w:t>
      </w:r>
      <w:bookmarkEnd w:id="134"/>
      <w:bookmarkEnd w:id="135"/>
      <w:bookmarkEnd w:id="136"/>
      <w:bookmarkEnd w:id="137"/>
    </w:p>
    <w:p w14:paraId="63FAC017" w14:textId="6F190912" w:rsidR="00CF70B6" w:rsidRPr="00B91F3C" w:rsidRDefault="00CF70B6" w:rsidP="007655D1">
      <w:pPr>
        <w:pStyle w:val="Paragraphedeliste"/>
      </w:pPr>
      <w:r w:rsidRPr="00B91F3C">
        <w:rPr>
          <w:snapToGrid/>
        </w:rPr>
        <w:t>В программных направлениях на период восьмого пополнения ГЭФ была признана важная роль смешанного финансирования и</w:t>
      </w:r>
      <w:r w:rsidRPr="00B91F3C">
        <w:t xml:space="preserve"> содержалось обязательство интенсифицировать применение новаторских решений в области смешанного финансирования. Исходя из четырехлетнего объема финансирования в размере 196 млн долл. США, ГЭФ определил приоритеты для смешанного финансирования, которые отвечают требованиям конвенции и направлены на получение многоцелевых выгод, включая решения, основанные на природе. В настоящее время ГЭФ активизирует использование не связанных с грантами инструментов для смешанного финансирования, с тем чтобы обеспечить глобальные экологические выгоды в соответствии с задачами целевых областей, уделяя особое внимание проектам, которые могут приобрести значительный масштаб и привлечь финансирование через рынки капитала на глобальном и национальном уровнях.</w:t>
      </w:r>
    </w:p>
    <w:p w14:paraId="25A80D52" w14:textId="55FC9925" w:rsidR="00CF70B6" w:rsidRPr="00B91F3C" w:rsidRDefault="00CF70B6" w:rsidP="007655D1">
      <w:pPr>
        <w:pStyle w:val="Paragraphedeliste"/>
      </w:pPr>
      <w:r w:rsidRPr="00B91F3C">
        <w:t>Новая программа смешанного финансирования ГЭФ и политика по не связанным с грантами инструментам, утвержденные в декабре 2022 года, содержат новые финансовые инструменты и правила, которые поощряют учреждения-исполнители ГЭФ представлять</w:t>
      </w:r>
      <w:r w:rsidR="007B033F" w:rsidRPr="00B91F3C">
        <w:t xml:space="preserve"> на конкурс высококачественные</w:t>
      </w:r>
      <w:r w:rsidRPr="00B91F3C">
        <w:t xml:space="preserve"> новаторские проекты на полугодичной основе. С 2023 года на конкурсы поступил целый ряд новаторских предложений, направленных на решение многочисленных экологических проблем, при этом половина из восьми проектов, прошедших отбор, предполагает положительное воздействие на биоразнообразие. </w:t>
      </w:r>
    </w:p>
    <w:p w14:paraId="01353E7F" w14:textId="1667E8A8" w:rsidR="00CF70B6" w:rsidRDefault="00CF70B6" w:rsidP="007655D1">
      <w:pPr>
        <w:pStyle w:val="Paragraphedeliste"/>
      </w:pPr>
      <w:r w:rsidRPr="00B91F3C">
        <w:t xml:space="preserve">В таблице </w:t>
      </w:r>
      <w:r w:rsidR="007B033F" w:rsidRPr="00B91F3C">
        <w:t xml:space="preserve">8 </w:t>
      </w:r>
      <w:r w:rsidRPr="00B91F3C">
        <w:t>представлены четыре проекта на основе смешанн</w:t>
      </w:r>
      <w:r w:rsidR="007B033F" w:rsidRPr="00B91F3C">
        <w:t>ого финансирования, утвержденные</w:t>
      </w:r>
      <w:r w:rsidRPr="00B91F3C">
        <w:t xml:space="preserve"> в течение отчетного периода, которые вносят непосредственный вклад в ре</w:t>
      </w:r>
      <w:r w:rsidR="007B033F" w:rsidRPr="00B91F3C">
        <w:t xml:space="preserve">ализацию КМГПБ. </w:t>
      </w:r>
      <w:r w:rsidRPr="00B91F3C">
        <w:t>Полученное от ГЭФ финансирование этих четырех проектов размере 66 млн долл. США позволило на настоящий момент привлечь еще 1 378 млрд долл. США.</w:t>
      </w:r>
    </w:p>
    <w:p w14:paraId="39293F69" w14:textId="7E72844B" w:rsidR="009D4F87" w:rsidRDefault="009D4F87">
      <w:pPr>
        <w:spacing w:after="160"/>
        <w:rPr>
          <w:snapToGrid w:val="0"/>
          <w:sz w:val="24"/>
          <w:szCs w:val="24"/>
        </w:rPr>
      </w:pPr>
      <w:r>
        <w:br w:type="page"/>
      </w:r>
    </w:p>
    <w:p w14:paraId="2E1B000E" w14:textId="3E46AA2C" w:rsidR="00CF70B6" w:rsidRPr="00B91F3C" w:rsidRDefault="00B320F8" w:rsidP="00351AAB">
      <w:pPr>
        <w:pStyle w:val="Lgende"/>
      </w:pPr>
      <w:bookmarkStart w:id="138" w:name="_Toc102227152"/>
      <w:bookmarkStart w:id="139" w:name="_Toc103967150"/>
      <w:bookmarkStart w:id="140" w:name="_Toc165894857"/>
      <w:r w:rsidRPr="00B91F3C">
        <w:lastRenderedPageBreak/>
        <w:t xml:space="preserve">Таблица </w:t>
      </w:r>
      <w:r w:rsidR="0012399A" w:rsidRPr="00B91F3C">
        <w:t>8</w:t>
      </w:r>
      <w:r w:rsidR="00A826A8" w:rsidRPr="00B91F3C">
        <w:t xml:space="preserve">. </w:t>
      </w:r>
      <w:r w:rsidRPr="00B91F3C">
        <w:t>Распределение совокупных средств ГЭФ по НГИ и вкладу в выполнение задач КМГПБ (1 июля 2022 года - 24 февраля 2024 года)</w:t>
      </w:r>
      <w:r w:rsidR="00CF70B6" w:rsidRPr="00B91F3C">
        <w:rPr>
          <w:vertAlign w:val="superscript"/>
        </w:rPr>
        <w:footnoteReference w:id="23"/>
      </w:r>
      <w:bookmarkEnd w:id="138"/>
      <w:bookmarkEnd w:id="139"/>
      <w:bookmarkEnd w:id="140"/>
    </w:p>
    <w:p w14:paraId="5CDDEE6E" w14:textId="77777777" w:rsidR="00CF70B6" w:rsidRPr="00B91F3C" w:rsidRDefault="00CF70B6" w:rsidP="00CF70B6"/>
    <w:tbl>
      <w:tblPr>
        <w:tblW w:w="9573" w:type="dxa"/>
        <w:tblBorders>
          <w:top w:val="single" w:sz="12" w:space="0" w:color="008000"/>
          <w:insideH w:val="single" w:sz="4" w:space="0" w:color="auto"/>
        </w:tblBorders>
        <w:tblLook w:val="04A0" w:firstRow="1" w:lastRow="0" w:firstColumn="1" w:lastColumn="0" w:noHBand="0" w:noVBand="1"/>
      </w:tblPr>
      <w:tblGrid>
        <w:gridCol w:w="4122"/>
        <w:gridCol w:w="1050"/>
        <w:gridCol w:w="1317"/>
        <w:gridCol w:w="2092"/>
        <w:gridCol w:w="992"/>
      </w:tblGrid>
      <w:tr w:rsidR="00CF70B6" w:rsidRPr="00B91F3C" w14:paraId="4E25BDE0" w14:textId="77777777" w:rsidTr="008271DA">
        <w:trPr>
          <w:trHeight w:val="570"/>
          <w:tblHeader/>
        </w:trPr>
        <w:tc>
          <w:tcPr>
            <w:tcW w:w="4140" w:type="dxa"/>
            <w:shd w:val="clear" w:color="auto" w:fill="auto"/>
            <w:vAlign w:val="center"/>
            <w:hideMark/>
          </w:tcPr>
          <w:p w14:paraId="4910C787" w14:textId="77777777" w:rsidR="00CF70B6" w:rsidRPr="00B91F3C" w:rsidRDefault="00CF70B6" w:rsidP="00CF70B6">
            <w:pPr>
              <w:rPr>
                <w:b/>
                <w:bCs/>
              </w:rPr>
            </w:pPr>
            <w:r w:rsidRPr="00B91F3C">
              <w:rPr>
                <w:b/>
              </w:rPr>
              <w:t>Проекты НГИ</w:t>
            </w:r>
          </w:p>
        </w:tc>
        <w:tc>
          <w:tcPr>
            <w:tcW w:w="0" w:type="auto"/>
            <w:shd w:val="clear" w:color="auto" w:fill="auto"/>
            <w:vAlign w:val="center"/>
            <w:hideMark/>
          </w:tcPr>
          <w:p w14:paraId="23C37085" w14:textId="77777777" w:rsidR="00CF70B6" w:rsidRPr="00B91F3C" w:rsidRDefault="00CF70B6" w:rsidP="00CF70B6">
            <w:pPr>
              <w:rPr>
                <w:b/>
                <w:bCs/>
              </w:rPr>
            </w:pPr>
            <w:r w:rsidRPr="00B91F3C">
              <w:rPr>
                <w:b/>
              </w:rPr>
              <w:t>Задачи КМГПБ</w:t>
            </w:r>
          </w:p>
        </w:tc>
        <w:tc>
          <w:tcPr>
            <w:tcW w:w="0" w:type="auto"/>
            <w:shd w:val="clear" w:color="auto" w:fill="auto"/>
            <w:vAlign w:val="center"/>
          </w:tcPr>
          <w:p w14:paraId="1BC05611" w14:textId="77777777" w:rsidR="00CF70B6" w:rsidRPr="00B91F3C" w:rsidRDefault="00CF70B6" w:rsidP="00CF70B6">
            <w:pPr>
              <w:rPr>
                <w:b/>
                <w:bCs/>
              </w:rPr>
            </w:pPr>
            <w:r w:rsidRPr="00B91F3C">
              <w:rPr>
                <w:b/>
              </w:rPr>
              <w:t>Проектная поддержка ГЭФ</w:t>
            </w:r>
          </w:p>
          <w:p w14:paraId="3CB2830C" w14:textId="77777777" w:rsidR="00CF70B6" w:rsidRPr="00B91F3C" w:rsidRDefault="00CF70B6" w:rsidP="00CF70B6">
            <w:pPr>
              <w:rPr>
                <w:b/>
                <w:bCs/>
              </w:rPr>
            </w:pPr>
            <w:r w:rsidRPr="00B91F3C">
              <w:rPr>
                <w:b/>
              </w:rPr>
              <w:t>(млн долл. США)</w:t>
            </w:r>
          </w:p>
        </w:tc>
        <w:tc>
          <w:tcPr>
            <w:tcW w:w="1222" w:type="dxa"/>
            <w:shd w:val="clear" w:color="auto" w:fill="auto"/>
            <w:vAlign w:val="center"/>
            <w:hideMark/>
          </w:tcPr>
          <w:p w14:paraId="275A3808" w14:textId="77777777" w:rsidR="00CF70B6" w:rsidRPr="00B91F3C" w:rsidRDefault="00CF70B6" w:rsidP="00CF70B6">
            <w:pPr>
              <w:rPr>
                <w:b/>
                <w:bCs/>
              </w:rPr>
            </w:pPr>
            <w:r w:rsidRPr="00B91F3C">
              <w:rPr>
                <w:b/>
              </w:rPr>
              <w:t>Софинансирование</w:t>
            </w:r>
          </w:p>
          <w:p w14:paraId="4B24481F" w14:textId="77777777" w:rsidR="00CF70B6" w:rsidRPr="00B91F3C" w:rsidRDefault="00CF70B6" w:rsidP="00CF70B6">
            <w:pPr>
              <w:rPr>
                <w:b/>
                <w:bCs/>
              </w:rPr>
            </w:pPr>
            <w:r w:rsidRPr="00B91F3C">
              <w:rPr>
                <w:b/>
              </w:rPr>
              <w:t>(млн долл. США)</w:t>
            </w:r>
          </w:p>
        </w:tc>
        <w:tc>
          <w:tcPr>
            <w:tcW w:w="0" w:type="auto"/>
            <w:shd w:val="clear" w:color="auto" w:fill="auto"/>
            <w:vAlign w:val="center"/>
          </w:tcPr>
          <w:p w14:paraId="49EFB676" w14:textId="77777777" w:rsidR="00CF70B6" w:rsidRPr="00B91F3C" w:rsidRDefault="00CF70B6" w:rsidP="00CF70B6">
            <w:pPr>
              <w:rPr>
                <w:b/>
                <w:bCs/>
              </w:rPr>
            </w:pPr>
            <w:r w:rsidRPr="00B91F3C">
              <w:rPr>
                <w:b/>
              </w:rPr>
              <w:t xml:space="preserve">Всего средств </w:t>
            </w:r>
          </w:p>
          <w:p w14:paraId="0C37A79C" w14:textId="77777777" w:rsidR="00CF70B6" w:rsidRPr="00B91F3C" w:rsidRDefault="00CF70B6" w:rsidP="00CF70B6">
            <w:pPr>
              <w:rPr>
                <w:b/>
                <w:bCs/>
              </w:rPr>
            </w:pPr>
            <w:r w:rsidRPr="00B91F3C">
              <w:rPr>
                <w:b/>
              </w:rPr>
              <w:t>(млн долл. США)</w:t>
            </w:r>
          </w:p>
        </w:tc>
      </w:tr>
      <w:tr w:rsidR="00CF70B6" w:rsidRPr="00B91F3C" w14:paraId="63349012" w14:textId="77777777" w:rsidTr="00DA5094">
        <w:trPr>
          <w:trHeight w:val="746"/>
        </w:trPr>
        <w:tc>
          <w:tcPr>
            <w:tcW w:w="4140" w:type="dxa"/>
            <w:shd w:val="clear" w:color="auto" w:fill="auto"/>
            <w:vAlign w:val="center"/>
          </w:tcPr>
          <w:p w14:paraId="18F208AE" w14:textId="77777777" w:rsidR="00CF70B6" w:rsidRPr="00B91F3C" w:rsidRDefault="00CF70B6" w:rsidP="00CF70B6">
            <w:r w:rsidRPr="00B91F3C">
              <w:t>Фонд природного капитала (ФПК): Инвестиции в агропродовольственные предприятия, благоприятные для природы, в Азии и Тихоокеанском регионе</w:t>
            </w:r>
          </w:p>
        </w:tc>
        <w:tc>
          <w:tcPr>
            <w:tcW w:w="0" w:type="auto"/>
            <w:shd w:val="clear" w:color="auto" w:fill="auto"/>
            <w:vAlign w:val="center"/>
          </w:tcPr>
          <w:p w14:paraId="1843A792" w14:textId="77777777" w:rsidR="00CF70B6" w:rsidRPr="00B91F3C" w:rsidRDefault="00CF70B6" w:rsidP="00CF70B6">
            <w:r w:rsidRPr="00B91F3C">
              <w:t>2,7,10,19</w:t>
            </w:r>
          </w:p>
        </w:tc>
        <w:tc>
          <w:tcPr>
            <w:tcW w:w="0" w:type="auto"/>
            <w:shd w:val="clear" w:color="auto" w:fill="auto"/>
            <w:vAlign w:val="center"/>
          </w:tcPr>
          <w:p w14:paraId="768053E4" w14:textId="57CB6830" w:rsidR="00CF70B6" w:rsidRPr="00B91F3C" w:rsidRDefault="00CF70B6" w:rsidP="00114FB8">
            <w:pPr>
              <w:jc w:val="right"/>
            </w:pPr>
            <w:r w:rsidRPr="00B91F3C">
              <w:t>13,80</w:t>
            </w:r>
          </w:p>
        </w:tc>
        <w:tc>
          <w:tcPr>
            <w:tcW w:w="1222" w:type="dxa"/>
            <w:shd w:val="clear" w:color="auto" w:fill="auto"/>
            <w:vAlign w:val="center"/>
          </w:tcPr>
          <w:p w14:paraId="341F5973" w14:textId="3168DC6B" w:rsidR="00CF70B6" w:rsidRPr="00B91F3C" w:rsidRDefault="00CF70B6" w:rsidP="00114FB8">
            <w:pPr>
              <w:jc w:val="right"/>
            </w:pPr>
            <w:r w:rsidRPr="00B91F3C">
              <w:t>646,40</w:t>
            </w:r>
          </w:p>
        </w:tc>
        <w:tc>
          <w:tcPr>
            <w:tcW w:w="0" w:type="auto"/>
            <w:shd w:val="clear" w:color="auto" w:fill="auto"/>
            <w:vAlign w:val="center"/>
          </w:tcPr>
          <w:p w14:paraId="31B761ED" w14:textId="1EDCCCB0" w:rsidR="00CF70B6" w:rsidRPr="00B91F3C" w:rsidRDefault="00CF70B6" w:rsidP="00114FB8">
            <w:pPr>
              <w:jc w:val="right"/>
            </w:pPr>
            <w:r w:rsidRPr="00B91F3C">
              <w:t>666,10</w:t>
            </w:r>
          </w:p>
        </w:tc>
      </w:tr>
      <w:tr w:rsidR="00CF70B6" w:rsidRPr="00B91F3C" w14:paraId="21CE1308" w14:textId="77777777" w:rsidTr="00DA5094">
        <w:trPr>
          <w:trHeight w:val="530"/>
        </w:trPr>
        <w:tc>
          <w:tcPr>
            <w:tcW w:w="4140" w:type="dxa"/>
            <w:shd w:val="clear" w:color="auto" w:fill="auto"/>
            <w:vAlign w:val="center"/>
          </w:tcPr>
          <w:p w14:paraId="7287ED9C" w14:textId="77777777" w:rsidR="00CF70B6" w:rsidRPr="00B91F3C" w:rsidRDefault="00CF70B6" w:rsidP="00CF70B6">
            <w:r w:rsidRPr="00B91F3C">
              <w:t xml:space="preserve">Фонд возможностей </w:t>
            </w:r>
            <w:proofErr w:type="spellStart"/>
            <w:r w:rsidRPr="00B91F3C">
              <w:t>Yield</w:t>
            </w:r>
            <w:proofErr w:type="spellEnd"/>
            <w:r w:rsidRPr="00B91F3C">
              <w:t xml:space="preserve"> Lab I: Ускорение технологических и местных инноваций в целях формирования устойчивых и </w:t>
            </w:r>
            <w:proofErr w:type="spellStart"/>
            <w:r w:rsidRPr="00B91F3C">
              <w:t>декарбонизированных</w:t>
            </w:r>
            <w:proofErr w:type="spellEnd"/>
            <w:r w:rsidRPr="00B91F3C">
              <w:t xml:space="preserve"> продовольственных систем в Латинской Америке и Карибском бассейне</w:t>
            </w:r>
          </w:p>
        </w:tc>
        <w:tc>
          <w:tcPr>
            <w:tcW w:w="0" w:type="auto"/>
            <w:shd w:val="clear" w:color="auto" w:fill="auto"/>
            <w:vAlign w:val="center"/>
          </w:tcPr>
          <w:p w14:paraId="63B3692A" w14:textId="77777777" w:rsidR="00CF70B6" w:rsidRPr="00B91F3C" w:rsidRDefault="00CF70B6" w:rsidP="00CF70B6">
            <w:r w:rsidRPr="00B91F3C">
              <w:t>7,10,19</w:t>
            </w:r>
          </w:p>
        </w:tc>
        <w:tc>
          <w:tcPr>
            <w:tcW w:w="0" w:type="auto"/>
            <w:shd w:val="clear" w:color="auto" w:fill="auto"/>
            <w:vAlign w:val="center"/>
          </w:tcPr>
          <w:p w14:paraId="74D654E2" w14:textId="59B379BF" w:rsidR="00CF70B6" w:rsidRPr="00B91F3C" w:rsidRDefault="00CF70B6" w:rsidP="00114FB8">
            <w:pPr>
              <w:jc w:val="right"/>
            </w:pPr>
            <w:r w:rsidRPr="00B91F3C">
              <w:t>6,00</w:t>
            </w:r>
          </w:p>
        </w:tc>
        <w:tc>
          <w:tcPr>
            <w:tcW w:w="1222" w:type="dxa"/>
            <w:shd w:val="clear" w:color="auto" w:fill="auto"/>
            <w:vAlign w:val="center"/>
          </w:tcPr>
          <w:p w14:paraId="5D836021" w14:textId="555277D1" w:rsidR="00CF70B6" w:rsidRPr="00B91F3C" w:rsidRDefault="00CF70B6" w:rsidP="00114FB8">
            <w:pPr>
              <w:jc w:val="right"/>
            </w:pPr>
            <w:r w:rsidRPr="00B91F3C">
              <w:t>44,00</w:t>
            </w:r>
          </w:p>
        </w:tc>
        <w:tc>
          <w:tcPr>
            <w:tcW w:w="0" w:type="auto"/>
            <w:shd w:val="clear" w:color="auto" w:fill="auto"/>
            <w:vAlign w:val="center"/>
          </w:tcPr>
          <w:p w14:paraId="140BBFE9" w14:textId="17A55149" w:rsidR="00CF70B6" w:rsidRPr="00B91F3C" w:rsidRDefault="00CF70B6" w:rsidP="00114FB8">
            <w:pPr>
              <w:jc w:val="right"/>
            </w:pPr>
            <w:r w:rsidRPr="00B91F3C">
              <w:t>50,00</w:t>
            </w:r>
          </w:p>
        </w:tc>
      </w:tr>
      <w:tr w:rsidR="00CF70B6" w:rsidRPr="00B91F3C" w14:paraId="0B54B931" w14:textId="77777777" w:rsidTr="00DA5094">
        <w:trPr>
          <w:trHeight w:val="800"/>
        </w:trPr>
        <w:tc>
          <w:tcPr>
            <w:tcW w:w="4140" w:type="dxa"/>
            <w:shd w:val="clear" w:color="auto" w:fill="auto"/>
            <w:vAlign w:val="center"/>
          </w:tcPr>
          <w:p w14:paraId="79BCD505" w14:textId="77777777" w:rsidR="00CF70B6" w:rsidRPr="00B91F3C" w:rsidRDefault="00CF70B6" w:rsidP="00CF70B6">
            <w:r w:rsidRPr="00B91F3C">
              <w:t>Новаторское использование финансовых инструментов в целях сохранения и восстановления биоразнообразия в странах Латинской Америки и Карибского бассейна</w:t>
            </w:r>
          </w:p>
        </w:tc>
        <w:tc>
          <w:tcPr>
            <w:tcW w:w="0" w:type="auto"/>
            <w:shd w:val="clear" w:color="auto" w:fill="auto"/>
            <w:vAlign w:val="center"/>
          </w:tcPr>
          <w:p w14:paraId="5C452D15" w14:textId="77777777" w:rsidR="00CF70B6" w:rsidRPr="00B91F3C" w:rsidRDefault="00CF70B6" w:rsidP="00CF70B6">
            <w:r w:rsidRPr="00B91F3C">
              <w:t>2,3,19</w:t>
            </w:r>
          </w:p>
        </w:tc>
        <w:tc>
          <w:tcPr>
            <w:tcW w:w="0" w:type="auto"/>
            <w:shd w:val="clear" w:color="auto" w:fill="auto"/>
            <w:vAlign w:val="center"/>
          </w:tcPr>
          <w:p w14:paraId="64DF59AA" w14:textId="388D9452" w:rsidR="00CF70B6" w:rsidRPr="00B91F3C" w:rsidRDefault="00CF70B6" w:rsidP="00114FB8">
            <w:pPr>
              <w:jc w:val="right"/>
            </w:pPr>
            <w:r w:rsidRPr="00B91F3C">
              <w:t>40,20</w:t>
            </w:r>
          </w:p>
        </w:tc>
        <w:tc>
          <w:tcPr>
            <w:tcW w:w="1222" w:type="dxa"/>
            <w:shd w:val="clear" w:color="auto" w:fill="auto"/>
            <w:vAlign w:val="center"/>
          </w:tcPr>
          <w:p w14:paraId="677FC332" w14:textId="00F0FFAF" w:rsidR="00CF70B6" w:rsidRPr="00B91F3C" w:rsidRDefault="00CF70B6" w:rsidP="00114FB8">
            <w:pPr>
              <w:jc w:val="right"/>
            </w:pPr>
            <w:r w:rsidRPr="00B91F3C">
              <w:t>641,10</w:t>
            </w:r>
          </w:p>
        </w:tc>
        <w:tc>
          <w:tcPr>
            <w:tcW w:w="0" w:type="auto"/>
            <w:shd w:val="clear" w:color="auto" w:fill="auto"/>
            <w:vAlign w:val="center"/>
          </w:tcPr>
          <w:p w14:paraId="2B703958" w14:textId="3C2C0CBA" w:rsidR="00CF70B6" w:rsidRPr="00B91F3C" w:rsidRDefault="00CF70B6" w:rsidP="00114FB8">
            <w:pPr>
              <w:jc w:val="right"/>
            </w:pPr>
            <w:r w:rsidRPr="00B91F3C">
              <w:t>681,20</w:t>
            </w:r>
          </w:p>
        </w:tc>
      </w:tr>
      <w:tr w:rsidR="00CF70B6" w:rsidRPr="00B91F3C" w14:paraId="28988EE1" w14:textId="77777777" w:rsidTr="00DA5094">
        <w:trPr>
          <w:trHeight w:val="701"/>
        </w:trPr>
        <w:tc>
          <w:tcPr>
            <w:tcW w:w="4140" w:type="dxa"/>
            <w:shd w:val="clear" w:color="auto" w:fill="auto"/>
            <w:vAlign w:val="center"/>
          </w:tcPr>
          <w:p w14:paraId="4C514692" w14:textId="77777777" w:rsidR="00CF70B6" w:rsidRPr="00B91F3C" w:rsidRDefault="00CF70B6" w:rsidP="00CF70B6">
            <w:r w:rsidRPr="00B91F3C">
              <w:t>Бразильский механизм «Живая Амазонка»</w:t>
            </w:r>
          </w:p>
        </w:tc>
        <w:tc>
          <w:tcPr>
            <w:tcW w:w="0" w:type="auto"/>
            <w:shd w:val="clear" w:color="auto" w:fill="auto"/>
            <w:vAlign w:val="center"/>
          </w:tcPr>
          <w:p w14:paraId="650D2A99" w14:textId="77777777" w:rsidR="00CF70B6" w:rsidRPr="00B91F3C" w:rsidRDefault="00CF70B6" w:rsidP="00CF70B6">
            <w:r w:rsidRPr="00B91F3C">
              <w:t>3,10,19</w:t>
            </w:r>
          </w:p>
        </w:tc>
        <w:tc>
          <w:tcPr>
            <w:tcW w:w="0" w:type="auto"/>
            <w:shd w:val="clear" w:color="auto" w:fill="auto"/>
            <w:vAlign w:val="center"/>
          </w:tcPr>
          <w:p w14:paraId="45282E70" w14:textId="2A7FED07" w:rsidR="00CF70B6" w:rsidRPr="00B91F3C" w:rsidRDefault="00CF70B6" w:rsidP="00114FB8">
            <w:pPr>
              <w:jc w:val="right"/>
            </w:pPr>
            <w:r w:rsidRPr="00B91F3C">
              <w:t>6,20</w:t>
            </w:r>
          </w:p>
        </w:tc>
        <w:tc>
          <w:tcPr>
            <w:tcW w:w="1222" w:type="dxa"/>
            <w:shd w:val="clear" w:color="auto" w:fill="auto"/>
            <w:vAlign w:val="center"/>
          </w:tcPr>
          <w:p w14:paraId="318A4605" w14:textId="08B4DF51" w:rsidR="00CF70B6" w:rsidRPr="00B91F3C" w:rsidRDefault="00CF70B6" w:rsidP="00114FB8">
            <w:pPr>
              <w:jc w:val="right"/>
            </w:pPr>
            <w:r w:rsidRPr="00B91F3C">
              <w:t>46,60</w:t>
            </w:r>
          </w:p>
        </w:tc>
        <w:tc>
          <w:tcPr>
            <w:tcW w:w="0" w:type="auto"/>
            <w:shd w:val="clear" w:color="auto" w:fill="auto"/>
            <w:vAlign w:val="center"/>
          </w:tcPr>
          <w:p w14:paraId="20AD04A9" w14:textId="1DE7DBA1" w:rsidR="00CF70B6" w:rsidRPr="00B91F3C" w:rsidRDefault="00CF70B6" w:rsidP="00114FB8">
            <w:pPr>
              <w:jc w:val="right"/>
            </w:pPr>
            <w:r w:rsidRPr="00B91F3C">
              <w:t>52,80</w:t>
            </w:r>
          </w:p>
        </w:tc>
      </w:tr>
      <w:tr w:rsidR="00CF70B6" w:rsidRPr="00B91F3C" w14:paraId="6F116100" w14:textId="77777777" w:rsidTr="00DA5094">
        <w:trPr>
          <w:trHeight w:val="323"/>
        </w:trPr>
        <w:tc>
          <w:tcPr>
            <w:tcW w:w="4140" w:type="dxa"/>
            <w:tcBorders>
              <w:top w:val="single" w:sz="4" w:space="0" w:color="auto"/>
              <w:bottom w:val="single" w:sz="12" w:space="0" w:color="008000"/>
            </w:tcBorders>
            <w:shd w:val="clear" w:color="auto" w:fill="auto"/>
            <w:vAlign w:val="center"/>
          </w:tcPr>
          <w:p w14:paraId="7FAE0C26" w14:textId="77777777" w:rsidR="00CF70B6" w:rsidRPr="00B91F3C" w:rsidRDefault="00CF70B6" w:rsidP="00CF70B6">
            <w:pPr>
              <w:rPr>
                <w:b/>
                <w:bCs/>
              </w:rPr>
            </w:pPr>
            <w:r w:rsidRPr="00B91F3C">
              <w:rPr>
                <w:b/>
              </w:rPr>
              <w:t>Всего</w:t>
            </w:r>
          </w:p>
        </w:tc>
        <w:tc>
          <w:tcPr>
            <w:tcW w:w="0" w:type="auto"/>
            <w:tcBorders>
              <w:top w:val="single" w:sz="4" w:space="0" w:color="auto"/>
              <w:bottom w:val="single" w:sz="12" w:space="0" w:color="008000"/>
            </w:tcBorders>
            <w:shd w:val="clear" w:color="auto" w:fill="auto"/>
            <w:vAlign w:val="center"/>
          </w:tcPr>
          <w:p w14:paraId="531519C5" w14:textId="77777777" w:rsidR="00CF70B6" w:rsidRPr="00B91F3C" w:rsidRDefault="00CF70B6" w:rsidP="00CF70B6"/>
        </w:tc>
        <w:tc>
          <w:tcPr>
            <w:tcW w:w="0" w:type="auto"/>
            <w:tcBorders>
              <w:top w:val="single" w:sz="4" w:space="0" w:color="auto"/>
              <w:left w:val="nil"/>
              <w:bottom w:val="single" w:sz="12" w:space="0" w:color="008000"/>
              <w:right w:val="nil"/>
            </w:tcBorders>
            <w:shd w:val="clear" w:color="auto" w:fill="auto"/>
            <w:vAlign w:val="center"/>
          </w:tcPr>
          <w:p w14:paraId="6B8A8018" w14:textId="473129C6" w:rsidR="00CF70B6" w:rsidRPr="00B91F3C" w:rsidRDefault="00CF70B6" w:rsidP="00114FB8">
            <w:pPr>
              <w:jc w:val="right"/>
              <w:rPr>
                <w:b/>
                <w:bCs/>
              </w:rPr>
            </w:pPr>
            <w:r w:rsidRPr="00B91F3C">
              <w:rPr>
                <w:b/>
              </w:rPr>
              <w:t>66,10</w:t>
            </w:r>
          </w:p>
        </w:tc>
        <w:tc>
          <w:tcPr>
            <w:tcW w:w="1222" w:type="dxa"/>
            <w:tcBorders>
              <w:top w:val="single" w:sz="4" w:space="0" w:color="auto"/>
              <w:left w:val="nil"/>
              <w:bottom w:val="single" w:sz="12" w:space="0" w:color="008000"/>
              <w:right w:val="nil"/>
            </w:tcBorders>
            <w:shd w:val="clear" w:color="auto" w:fill="auto"/>
            <w:vAlign w:val="center"/>
          </w:tcPr>
          <w:p w14:paraId="3B60F747" w14:textId="7B6AB1BA" w:rsidR="00CF70B6" w:rsidRPr="00B91F3C" w:rsidRDefault="00CF70B6" w:rsidP="00114FB8">
            <w:pPr>
              <w:jc w:val="right"/>
              <w:rPr>
                <w:b/>
                <w:bCs/>
              </w:rPr>
            </w:pPr>
            <w:r w:rsidRPr="00B91F3C">
              <w:rPr>
                <w:b/>
              </w:rPr>
              <w:t>1378,20</w:t>
            </w:r>
          </w:p>
        </w:tc>
        <w:tc>
          <w:tcPr>
            <w:tcW w:w="0" w:type="auto"/>
            <w:tcBorders>
              <w:top w:val="single" w:sz="4" w:space="0" w:color="auto"/>
              <w:left w:val="nil"/>
              <w:bottom w:val="single" w:sz="12" w:space="0" w:color="008000"/>
              <w:right w:val="nil"/>
            </w:tcBorders>
            <w:shd w:val="clear" w:color="auto" w:fill="auto"/>
            <w:vAlign w:val="center"/>
          </w:tcPr>
          <w:p w14:paraId="11FB41A0" w14:textId="62E1619D" w:rsidR="00CF70B6" w:rsidRPr="00B91F3C" w:rsidRDefault="00CF70B6" w:rsidP="00114FB8">
            <w:pPr>
              <w:jc w:val="right"/>
              <w:rPr>
                <w:b/>
                <w:bCs/>
              </w:rPr>
            </w:pPr>
            <w:r w:rsidRPr="00B91F3C">
              <w:rPr>
                <w:b/>
              </w:rPr>
              <w:t>1 444,40</w:t>
            </w:r>
          </w:p>
        </w:tc>
      </w:tr>
    </w:tbl>
    <w:p w14:paraId="143B3695" w14:textId="77777777" w:rsidR="006E1E3E" w:rsidRPr="00B91F3C" w:rsidRDefault="006E1E3E" w:rsidP="007D4E56"/>
    <w:p w14:paraId="633311FD" w14:textId="1236CB79" w:rsidR="00547CB7" w:rsidRPr="00B91F3C" w:rsidRDefault="007D4E56" w:rsidP="007655D1">
      <w:pPr>
        <w:pStyle w:val="Paragraphedeliste"/>
      </w:pPr>
      <w:r w:rsidRPr="00B91F3C">
        <w:t>Краткая информация об этих проектах, три из которых осуществляются банками развития, приводится ниже наряду с их ожидаемыми результатами.</w:t>
      </w:r>
    </w:p>
    <w:p w14:paraId="62FC45D9" w14:textId="7E799723" w:rsidR="00547CB7" w:rsidRPr="00B91F3C" w:rsidRDefault="002E4CA8" w:rsidP="007655D1">
      <w:pPr>
        <w:pStyle w:val="Paragraphedeliste"/>
      </w:pPr>
      <w:r w:rsidRPr="00B91F3C">
        <w:rPr>
          <w:b/>
        </w:rPr>
        <w:t>Регион</w:t>
      </w:r>
      <w:r w:rsidR="00E36BBE" w:rsidRPr="00B91F3C">
        <w:rPr>
          <w:b/>
        </w:rPr>
        <w:t xml:space="preserve"> Азия и Тихоокеанский регион: Ф</w:t>
      </w:r>
      <w:r w:rsidR="00CB37B7" w:rsidRPr="00B91F3C">
        <w:rPr>
          <w:b/>
        </w:rPr>
        <w:t xml:space="preserve">онд природного капитала (ФПК): </w:t>
      </w:r>
      <w:r w:rsidR="00E36BBE" w:rsidRPr="00B91F3C">
        <w:rPr>
          <w:b/>
          <w:bCs/>
        </w:rPr>
        <w:t>Инвестиции в агропродовольственные предприятия, благоприятные для природы</w:t>
      </w:r>
      <w:r w:rsidR="00E36BBE" w:rsidRPr="00B91F3C">
        <w:t>, в Азии и Тихоокеанском ре</w:t>
      </w:r>
      <w:r w:rsidRPr="00B91F3C">
        <w:t xml:space="preserve">гионе. Учреждение-исполнитель: Азиатский банк развития. </w:t>
      </w:r>
      <w:r w:rsidR="00E36BBE" w:rsidRPr="00B91F3C">
        <w:t xml:space="preserve">В рамках этого проекта ГЭФ отводится роль якорного инвестора для комплексного фонда, адресованного </w:t>
      </w:r>
      <w:r w:rsidRPr="00B91F3C">
        <w:t xml:space="preserve">учитывающим климатические факторы </w:t>
      </w:r>
      <w:r w:rsidR="00E36BBE" w:rsidRPr="00B91F3C">
        <w:t xml:space="preserve">предприятиям сельского хозяйства, </w:t>
      </w:r>
      <w:r w:rsidRPr="00B91F3C">
        <w:t>пищевой промышленности</w:t>
      </w:r>
      <w:r w:rsidR="00E36BBE" w:rsidRPr="00B91F3C">
        <w:t xml:space="preserve"> и мелким производителям. Фонд природного капитала (ФПК) представляет собой каталитический фонд природного капитала со смешанным финансированием в размере &gt;650 млн долл. США, предназначенный для оказания поддержки преобразованию агропродовольственных систем (повышение </w:t>
      </w:r>
      <w:r w:rsidR="00E36BBE" w:rsidRPr="00B91F3C">
        <w:lastRenderedPageBreak/>
        <w:t>производительности, укрепление жизнестойкости и сокращение выбросов парниковых газов). Этот проект позволит восстановить 1,6 млн га земель и внедрить улучшенную практику управления на 1 млн га, а также предотвратить появление 1 000 метрических тонн химических веществ и сельскохозяйственного пластика. Этот проект обеспечит выгоды для 300 000 человек (из которых 51% составляют женщины).  </w:t>
      </w:r>
    </w:p>
    <w:p w14:paraId="6760FD74" w14:textId="2E5D831E" w:rsidR="007D4E56" w:rsidRPr="00B91F3C" w:rsidRDefault="00E36BBE" w:rsidP="007655D1">
      <w:pPr>
        <w:pStyle w:val="Paragraphedeliste"/>
      </w:pPr>
      <w:r w:rsidRPr="00B91F3C">
        <w:t xml:space="preserve">Регион: Латинская Америка и Карибский бассейн: Фонд возможностей </w:t>
      </w:r>
      <w:proofErr w:type="spellStart"/>
      <w:r w:rsidRPr="00B91F3C">
        <w:t>Yield</w:t>
      </w:r>
      <w:proofErr w:type="spellEnd"/>
      <w:r w:rsidRPr="00B91F3C">
        <w:t xml:space="preserve"> Lab I: Ускорение технологических и местных инноваций в целях создания устойчивых и </w:t>
      </w:r>
      <w:proofErr w:type="spellStart"/>
      <w:r w:rsidRPr="00B91F3C">
        <w:t>декарбонизированных</w:t>
      </w:r>
      <w:proofErr w:type="spellEnd"/>
      <w:r w:rsidRPr="00B91F3C">
        <w:t xml:space="preserve"> продовольственных систем в Латинской Америке и Карибском бассейне</w:t>
      </w:r>
      <w:r w:rsidR="002B4D77" w:rsidRPr="00B91F3C">
        <w:t>.</w:t>
      </w:r>
      <w:r w:rsidRPr="00B91F3C">
        <w:t xml:space="preserve"> Учреждение</w:t>
      </w:r>
      <w:r w:rsidR="002B4D77" w:rsidRPr="00B91F3C">
        <w:t>-исполнитель</w:t>
      </w:r>
      <w:r w:rsidRPr="00B91F3C">
        <w:t xml:space="preserve">: Межамериканский банк развития. Этот проект будет финансировать и осуществлять менторскую поддержку портфеля агротехнологических компаний, находящихся на раннем этапе развития (в количестве до 30), которые получат долевые инвестиции и специализированную поддержку. Учреждение-исполнитель </w:t>
      </w:r>
      <w:proofErr w:type="spellStart"/>
      <w:r w:rsidRPr="00B91F3C">
        <w:t>Yield</w:t>
      </w:r>
      <w:proofErr w:type="spellEnd"/>
      <w:r w:rsidRPr="00B91F3C">
        <w:t xml:space="preserve"> Lab </w:t>
      </w:r>
      <w:proofErr w:type="spellStart"/>
      <w:r w:rsidRPr="00B91F3C">
        <w:t>Latam</w:t>
      </w:r>
      <w:proofErr w:type="spellEnd"/>
      <w:r w:rsidRPr="00B91F3C">
        <w:t xml:space="preserve"> представляет собой инвестиционный фонд, оказывающий поддержку стартапам, находящимся на раннем этапе развития и работающим с интенсивными культурами в Центральной Америке, Мексике и странах Карибского бассейна, а также со скотоводческими, сельскохозяйственными и аквакультурными предприятиями в Южной Америке и Андском регионе. Средства ГЭФ будут инвестироваться на </w:t>
      </w:r>
      <w:r w:rsidR="002B4D77" w:rsidRPr="00B91F3C">
        <w:t xml:space="preserve">условиях долевого партнерства. </w:t>
      </w:r>
      <w:r w:rsidRPr="00B91F3C">
        <w:t>Этот проект направлен на улучшение практики управления 13,6 млн га земель, снижение объема выбросов парниковых газов на 12,6 млн метрических тонн эквивалента двуокиси углерода за 20 лет и сокращение более чем на 5 000 метрических тонн химических веществ, имеющих глобальное значение. Этот проект будет иметь положите</w:t>
      </w:r>
      <w:r w:rsidR="002B4D77" w:rsidRPr="00B91F3C">
        <w:t xml:space="preserve">льное значение для </w:t>
      </w:r>
      <w:r w:rsidRPr="00B91F3C">
        <w:t xml:space="preserve">270 000 человек (30 % которых составляют женщины). </w:t>
      </w:r>
    </w:p>
    <w:p w14:paraId="040BB630" w14:textId="77CE4FF7" w:rsidR="007D4E56" w:rsidRPr="00B91F3C" w:rsidRDefault="00E36BBE" w:rsidP="007655D1">
      <w:pPr>
        <w:pStyle w:val="Paragraphedeliste"/>
      </w:pPr>
      <w:r w:rsidRPr="00B91F3C">
        <w:t>Регион: Латинская Америка и Карибский бассейн</w:t>
      </w:r>
      <w:r w:rsidR="002B4D77" w:rsidRPr="00B91F3C">
        <w:t>.</w:t>
      </w:r>
      <w:r w:rsidRPr="00B91F3C">
        <w:t xml:space="preserve"> Новаторское использование финансовых инструментов в целях сохранения и восстановления биоразнообразия в странах Латинской Америки и Карибского бассейна. Учреждение-исполнитель ГЭФ: </w:t>
      </w:r>
      <w:r w:rsidR="002B4D77" w:rsidRPr="00B91F3C">
        <w:t xml:space="preserve">Межамериканский банк развития. </w:t>
      </w:r>
      <w:r w:rsidRPr="00B91F3C">
        <w:t>Цель этого проекта заключается в создании регионального учреждения в поддержку сохранения и восстановления биоразнообразия в соответствии с КМГПБ как минимум в 3 странах Латинской Америки и Карибского бассейна. Эта структура, основанная на смешанном финансировании, представляет собой новаторское решение для острых природоохранных проблем, так как сочетает обеспечиваемое МБР повышение кредитного качества и гарантии ГЭФ с мощными стимулами для усилий в области охраны природы. При достижении ряда показ</w:t>
      </w:r>
      <w:r w:rsidR="002B4D77" w:rsidRPr="00B91F3C">
        <w:t>ателей в области охраны природы</w:t>
      </w:r>
      <w:r w:rsidRPr="00B91F3C">
        <w:t xml:space="preserve"> гарантия ГЭФ может быть преобразована в грант, направленный на поддержку усилий в области охраны природы. Возврат средств от не являющихся грантами инвестиций ГЭФ осуществляется из премии по гарантии на ежегодной основе, а также из невостребованных гарантий, не имеющих случаев неконвертируемости. Ожидается, что этот проект позволит повысить эффективность управления на 2,1 млн га охраняемых наземных территорий и на 40,6 млн га охраняемых морских территорий, </w:t>
      </w:r>
      <w:r w:rsidR="002B4D77" w:rsidRPr="00B91F3C">
        <w:t>а</w:t>
      </w:r>
      <w:r w:rsidRPr="00B91F3C">
        <w:t xml:space="preserve"> также обеспечит восстановление 200 000 га земель и выгоды для 310 000 человек (из них 50% женщин).</w:t>
      </w:r>
    </w:p>
    <w:p w14:paraId="392DC7DD" w14:textId="144CF2AF" w:rsidR="00E36BBE" w:rsidRPr="00B91F3C" w:rsidRDefault="00E36BBE" w:rsidP="007655D1">
      <w:pPr>
        <w:pStyle w:val="Paragraphedeliste"/>
      </w:pPr>
      <w:r w:rsidRPr="00B91F3C">
        <w:lastRenderedPageBreak/>
        <w:t>Бразильский механизм «Живая Амазонка». Учреждение</w:t>
      </w:r>
      <w:r w:rsidR="002B4D77" w:rsidRPr="00B91F3C">
        <w:t>-исполнитель</w:t>
      </w:r>
      <w:r w:rsidRPr="00B91F3C">
        <w:t>: Бразильский фонд биоразнообразия; проектное финансирование ГЭФ: 6 200 000 долл. США; софинансирование: 46 600 000 долл. США. Учреждение-исполнитель ГЭФ: FUNBIO. Цель проекта заключается в защите тропических дождевых лесов Амазонки путем укрепления социально-экологических организаций, предприятий и цепочек поставок в Бразильской системе охраняемых районов. Механизм «Живая Амазонка» представляет собой новую модель предпринимательской деятельности, которая использует продукт рынк</w:t>
      </w:r>
      <w:r w:rsidR="0014613F" w:rsidRPr="00B91F3C">
        <w:t>ов капитала под названием CRA (д</w:t>
      </w:r>
      <w:r w:rsidRPr="00B91F3C">
        <w:t>ебиторский сертификат для агропредприятий) в целях финансирования природоохранных мероприятий</w:t>
      </w:r>
      <w:r w:rsidR="0014613F" w:rsidRPr="00B91F3C">
        <w:t>, осуществляемых</w:t>
      </w:r>
      <w:r w:rsidRPr="00B91F3C">
        <w:t xml:space="preserve"> хранител</w:t>
      </w:r>
      <w:r w:rsidR="0014613F" w:rsidRPr="00B91F3C">
        <w:t>ями</w:t>
      </w:r>
      <w:r w:rsidRPr="00B91F3C">
        <w:t xml:space="preserve"> Амазонки (КНМО) и МСП в производственно-сбытовой цепочке компании Natura, косметической компании, которая является крупнейшим участником биоэкономической отрасли. Ожидается, что этот проект позволит повысить эффективность управления на 1,8 млн га охраняемых районов в бассейне реки Амазонки и обеспечит выгоду для 20 000 человек, 50% из которых женщины. </w:t>
      </w:r>
    </w:p>
    <w:p w14:paraId="363BA305" w14:textId="02F5FE9E" w:rsidR="00F2691C" w:rsidRPr="00B91F3C" w:rsidRDefault="00F2691C" w:rsidP="004E0A93">
      <w:pPr>
        <w:pStyle w:val="Titre2"/>
      </w:pPr>
      <w:bookmarkStart w:id="141" w:name="_Toc165893330"/>
      <w:bookmarkStart w:id="142" w:name="_Toc165899265"/>
      <w:bookmarkStart w:id="143" w:name="_Toc102227411"/>
      <w:bookmarkStart w:id="144" w:name="_Hlk159935954"/>
      <w:r w:rsidRPr="00B91F3C">
        <w:t>Оказание поддержки коренным народам и местным общинам в осуще</w:t>
      </w:r>
      <w:r w:rsidR="007D0BCB" w:rsidRPr="00B91F3C">
        <w:t>ствлении Куньминско-Монреальско</w:t>
      </w:r>
      <w:r w:rsidRPr="00B91F3C">
        <w:t>й глобальной рамочной программы в области биоразнообразия</w:t>
      </w:r>
      <w:bookmarkEnd w:id="141"/>
      <w:bookmarkEnd w:id="142"/>
    </w:p>
    <w:p w14:paraId="28E9CF75" w14:textId="266C06D2" w:rsidR="00F2691C" w:rsidRPr="00B91F3C" w:rsidRDefault="00F2691C" w:rsidP="007655D1">
      <w:pPr>
        <w:pStyle w:val="Paragraphedeliste"/>
      </w:pPr>
      <w:r w:rsidRPr="00B91F3C">
        <w:rPr>
          <w:snapToGrid/>
        </w:rPr>
        <w:t>За отчетный период Совет ГЭФ утвердил целый ряд проектов и программ</w:t>
      </w:r>
      <w:r w:rsidRPr="00B91F3C">
        <w:t xml:space="preserve"> </w:t>
      </w:r>
      <w:r w:rsidR="007D0BCB" w:rsidRPr="00B91F3C">
        <w:t>в</w:t>
      </w:r>
      <w:r w:rsidRPr="00B91F3C">
        <w:t xml:space="preserve"> поддержк</w:t>
      </w:r>
      <w:r w:rsidR="007D0BCB" w:rsidRPr="00B91F3C">
        <w:t>у</w:t>
      </w:r>
      <w:r w:rsidRPr="00B91F3C">
        <w:t xml:space="preserve"> мероприятий, проводимых коренными народами и местными общинами (КНМО) в целях защиты биоразнообразия, а также для достижения целей других конвенций. Например, проект ГЭФ-8 в Колумбии «</w:t>
      </w:r>
      <w:proofErr w:type="spellStart"/>
      <w:r w:rsidRPr="00B91F3C">
        <w:t>БиоЮг</w:t>
      </w:r>
      <w:proofErr w:type="spellEnd"/>
      <w:r w:rsidRPr="00B91F3C">
        <w:t xml:space="preserve">: Тихоокеанско-Андо-Амазонский экологический и культурный коридор связности» (ID: 11432) окажет поддержку пересмотру планов управления охраняемыми районами в целях учета взглядов и потребностей КНМО, женщин и молодежи, а также будет способствовать </w:t>
      </w:r>
      <w:r w:rsidR="007D0BCB" w:rsidRPr="00B91F3C">
        <w:t>документированию</w:t>
      </w:r>
      <w:r w:rsidRPr="00B91F3C">
        <w:t xml:space="preserve"> других эффективных природоохранных мер на порайонной основе, осуществляемых КНМО, и разработке планов управления, основанных на широком участии, и механизмов их финансирования. В Тиморе-</w:t>
      </w:r>
      <w:proofErr w:type="spellStart"/>
      <w:r w:rsidRPr="00B91F3C">
        <w:t>Лешти</w:t>
      </w:r>
      <w:proofErr w:type="spellEnd"/>
      <w:r w:rsidRPr="00B91F3C">
        <w:t xml:space="preserve"> проект «Повышение качества управления водно-болотными угодьями в целях сохранения биоразнообразия и укрепление сосуществования человека и дикой природы» (ID: 11435) будет оказывать поддержку общинам коренных народов в устойчивом управлении водно-болотными угодьями, преодолении конфликтов между человеком и дикой природой и повышении доходов. Все шесть проектов комплексной программы ГЭФ-8 «Критические лесные биомы» в бассейне реки Конго (ID: 11241) содержат компонент расширения прав и возможностей КНМО, женщин и молодежи и опираются на опыт уделения приоритетного внимания поддержке КНМО в программе ГЭФ-7. </w:t>
      </w:r>
    </w:p>
    <w:p w14:paraId="2CC890C6" w14:textId="1EB1E8C1" w:rsidR="00F2691C" w:rsidRPr="00B91F3C" w:rsidRDefault="00F2691C" w:rsidP="007655D1">
      <w:pPr>
        <w:pStyle w:val="Paragraphedeliste"/>
      </w:pPr>
      <w:r w:rsidRPr="00B91F3C">
        <w:rPr>
          <w:snapToGrid/>
        </w:rPr>
        <w:t>Кроме того, в течение отчетного периода продолжила свою работу инициатива в области инклюзивного сохранения ГЭФ-7</w:t>
      </w:r>
      <w:r w:rsidRPr="00B91F3C">
        <w:t xml:space="preserve">. Первое совещание руководящего комитета проекта, который целиком состоит из лидеров коренных народов, избранных их общинами, было проведено членами Первых наций </w:t>
      </w:r>
      <w:proofErr w:type="spellStart"/>
      <w:r w:rsidRPr="00B91F3C">
        <w:t>тла</w:t>
      </w:r>
      <w:proofErr w:type="spellEnd"/>
      <w:r w:rsidRPr="00B91F3C">
        <w:t>-о-</w:t>
      </w:r>
      <w:proofErr w:type="spellStart"/>
      <w:r w:rsidRPr="00B91F3C">
        <w:t>куиахтв</w:t>
      </w:r>
      <w:proofErr w:type="spellEnd"/>
      <w:r w:rsidRPr="00B91F3C">
        <w:t xml:space="preserve"> в ботаническом саду </w:t>
      </w:r>
      <w:proofErr w:type="spellStart"/>
      <w:r w:rsidRPr="00B91F3C">
        <w:t>Науэйум</w:t>
      </w:r>
      <w:proofErr w:type="spellEnd"/>
      <w:r w:rsidRPr="00B91F3C">
        <w:t xml:space="preserve"> в Канаде перед сессией Ассамблеи ГЭФ. Хотя этот проект в целом осуществляется силами двух учреждений-исполнителей ГЭФ (</w:t>
      </w:r>
      <w:proofErr w:type="spellStart"/>
      <w:r w:rsidRPr="00B91F3C">
        <w:t>Консервейшн</w:t>
      </w:r>
      <w:proofErr w:type="spellEnd"/>
      <w:r w:rsidRPr="00B91F3C">
        <w:t xml:space="preserve"> Интернэшнл и МСОП), </w:t>
      </w:r>
      <w:r w:rsidRPr="00B91F3C">
        <w:lastRenderedPageBreak/>
        <w:t>отобранных на конкурсной основе, руководящие указания и руководство со стороны КНМО являются важнейшей особенностью инициативы в об</w:t>
      </w:r>
      <w:r w:rsidR="005F5D22" w:rsidRPr="00B91F3C">
        <w:t xml:space="preserve">ласти инклюзивного сохранения. </w:t>
      </w:r>
      <w:r w:rsidRPr="00B91F3C">
        <w:t xml:space="preserve">Инициатива в области инклюзивного сохранения включает в себя как </w:t>
      </w:r>
      <w:proofErr w:type="spellStart"/>
      <w:r w:rsidRPr="00B91F3C">
        <w:t>субпроекты</w:t>
      </w:r>
      <w:proofErr w:type="spellEnd"/>
      <w:r w:rsidRPr="00B91F3C">
        <w:t xml:space="preserve">, руководство которыми осуществляют организаторы из числа коренных народов, так и глобальные мероприятия. </w:t>
      </w:r>
      <w:r w:rsidR="005F5D22" w:rsidRPr="00B91F3C">
        <w:t>Было получено</w:t>
      </w:r>
      <w:r w:rsidRPr="00B91F3C">
        <w:t xml:space="preserve"> более 400 заявок на организацию </w:t>
      </w:r>
      <w:proofErr w:type="spellStart"/>
      <w:r w:rsidRPr="00B91F3C">
        <w:t>субпроектов</w:t>
      </w:r>
      <w:proofErr w:type="spellEnd"/>
      <w:r w:rsidRPr="00B91F3C">
        <w:t>, и следующие из них в настоящее время находятся в стадии осуществления:</w:t>
      </w:r>
    </w:p>
    <w:p w14:paraId="2566CA88" w14:textId="77777777" w:rsidR="00F2691C" w:rsidRPr="00B91F3C" w:rsidRDefault="00F2691C" w:rsidP="00D42ACF">
      <w:pPr>
        <w:spacing w:before="360" w:after="120" w:line="240" w:lineRule="auto"/>
        <w:jc w:val="both"/>
        <w:rPr>
          <w:rFonts w:cstheme="minorHAnsi"/>
          <w:i/>
          <w:iCs/>
          <w:sz w:val="24"/>
          <w:szCs w:val="24"/>
        </w:rPr>
      </w:pPr>
      <w:r w:rsidRPr="00B91F3C">
        <w:rPr>
          <w:i/>
          <w:sz w:val="24"/>
        </w:rPr>
        <w:t xml:space="preserve">Азия и Тихоокеанский регион </w:t>
      </w:r>
    </w:p>
    <w:p w14:paraId="73748BA2" w14:textId="77777777" w:rsidR="00F2691C" w:rsidRPr="00B91F3C" w:rsidRDefault="00F2691C" w:rsidP="008271DA">
      <w:pPr>
        <w:spacing w:before="120" w:after="120" w:line="240" w:lineRule="auto"/>
        <w:ind w:left="540"/>
        <w:jc w:val="both"/>
        <w:rPr>
          <w:rFonts w:cstheme="minorHAnsi"/>
          <w:sz w:val="24"/>
          <w:szCs w:val="24"/>
        </w:rPr>
      </w:pPr>
      <w:r w:rsidRPr="00B91F3C">
        <w:rPr>
          <w:sz w:val="24"/>
        </w:rPr>
        <w:t xml:space="preserve">• Палата Арики – Острова Кука </w:t>
      </w:r>
    </w:p>
    <w:p w14:paraId="591DC9F3" w14:textId="77777777" w:rsidR="00F2691C" w:rsidRPr="00B91F3C" w:rsidRDefault="00F2691C" w:rsidP="008271DA">
      <w:pPr>
        <w:spacing w:before="120" w:after="120" w:line="240" w:lineRule="auto"/>
        <w:ind w:left="540"/>
        <w:jc w:val="both"/>
        <w:rPr>
          <w:rFonts w:cstheme="minorHAnsi"/>
          <w:sz w:val="24"/>
          <w:szCs w:val="24"/>
        </w:rPr>
      </w:pPr>
      <w:r w:rsidRPr="00B91F3C">
        <w:rPr>
          <w:sz w:val="24"/>
        </w:rPr>
        <w:t xml:space="preserve">• Босе </w:t>
      </w:r>
      <w:proofErr w:type="spellStart"/>
      <w:r w:rsidRPr="00B91F3C">
        <w:rPr>
          <w:sz w:val="24"/>
        </w:rPr>
        <w:t>Вануа</w:t>
      </w:r>
      <w:proofErr w:type="spellEnd"/>
      <w:r w:rsidRPr="00B91F3C">
        <w:rPr>
          <w:sz w:val="24"/>
        </w:rPr>
        <w:t xml:space="preserve"> о Лау – Фиджи </w:t>
      </w:r>
    </w:p>
    <w:p w14:paraId="66D9521B" w14:textId="353A2AD5" w:rsidR="00F2691C" w:rsidRPr="00B91F3C" w:rsidRDefault="00F2691C" w:rsidP="008271DA">
      <w:pPr>
        <w:spacing w:before="120" w:after="120" w:line="240" w:lineRule="auto"/>
        <w:ind w:left="540"/>
        <w:jc w:val="both"/>
        <w:rPr>
          <w:rFonts w:cstheme="minorHAnsi"/>
          <w:sz w:val="24"/>
          <w:szCs w:val="24"/>
        </w:rPr>
      </w:pPr>
      <w:r w:rsidRPr="00B91F3C">
        <w:rPr>
          <w:sz w:val="24"/>
        </w:rPr>
        <w:t xml:space="preserve">• Фонд коренных народов в области </w:t>
      </w:r>
      <w:r w:rsidR="005F5D22" w:rsidRPr="00B91F3C">
        <w:rPr>
          <w:sz w:val="24"/>
        </w:rPr>
        <w:t xml:space="preserve">образования и окружающей среды </w:t>
      </w:r>
      <w:r w:rsidRPr="00B91F3C">
        <w:rPr>
          <w:sz w:val="24"/>
        </w:rPr>
        <w:t xml:space="preserve">(IPF) – Таиланд </w:t>
      </w:r>
    </w:p>
    <w:p w14:paraId="3A2FC60D" w14:textId="77777777" w:rsidR="00F2691C" w:rsidRPr="00B91F3C" w:rsidRDefault="00F2691C" w:rsidP="008271DA">
      <w:pPr>
        <w:spacing w:before="120" w:after="120" w:line="240" w:lineRule="auto"/>
        <w:ind w:left="540"/>
        <w:jc w:val="both"/>
        <w:rPr>
          <w:rFonts w:cstheme="minorHAnsi"/>
          <w:sz w:val="24"/>
          <w:szCs w:val="24"/>
        </w:rPr>
      </w:pPr>
      <w:r w:rsidRPr="00B91F3C">
        <w:rPr>
          <w:sz w:val="24"/>
        </w:rPr>
        <w:t xml:space="preserve">• Непальская федерация коренных народностей (NEFIN) – Непал </w:t>
      </w:r>
    </w:p>
    <w:p w14:paraId="510AB184" w14:textId="77777777" w:rsidR="00F2691C" w:rsidRPr="00B91F3C" w:rsidRDefault="00F2691C" w:rsidP="00D42ACF">
      <w:pPr>
        <w:spacing w:before="360" w:after="120" w:line="240" w:lineRule="auto"/>
        <w:jc w:val="both"/>
        <w:rPr>
          <w:rFonts w:cstheme="minorHAnsi"/>
          <w:i/>
          <w:iCs/>
          <w:sz w:val="24"/>
          <w:szCs w:val="24"/>
        </w:rPr>
      </w:pPr>
      <w:r w:rsidRPr="00B91F3C">
        <w:rPr>
          <w:i/>
          <w:sz w:val="24"/>
        </w:rPr>
        <w:t xml:space="preserve">Американский регион </w:t>
      </w:r>
    </w:p>
    <w:p w14:paraId="22490679" w14:textId="77777777" w:rsidR="00F2691C" w:rsidRPr="00B91F3C" w:rsidRDefault="00F2691C" w:rsidP="008271DA">
      <w:pPr>
        <w:spacing w:before="120" w:after="120" w:line="240" w:lineRule="auto"/>
        <w:ind w:left="360"/>
        <w:jc w:val="both"/>
        <w:rPr>
          <w:rFonts w:cstheme="minorHAnsi"/>
          <w:sz w:val="24"/>
          <w:szCs w:val="24"/>
        </w:rPr>
      </w:pPr>
      <w:r w:rsidRPr="00B91F3C">
        <w:rPr>
          <w:sz w:val="24"/>
        </w:rPr>
        <w:t xml:space="preserve">• </w:t>
      </w:r>
      <w:proofErr w:type="spellStart"/>
      <w:r w:rsidRPr="00B91F3C">
        <w:rPr>
          <w:sz w:val="24"/>
        </w:rPr>
        <w:t>Сотц’иль</w:t>
      </w:r>
      <w:proofErr w:type="spellEnd"/>
      <w:r w:rsidRPr="00B91F3C">
        <w:rPr>
          <w:sz w:val="24"/>
        </w:rPr>
        <w:t xml:space="preserve"> – Гватемала </w:t>
      </w:r>
    </w:p>
    <w:p w14:paraId="668A0A8D" w14:textId="77777777" w:rsidR="00F2691C" w:rsidRPr="00B91F3C" w:rsidRDefault="00F2691C" w:rsidP="008271DA">
      <w:pPr>
        <w:spacing w:before="120" w:after="120" w:line="240" w:lineRule="auto"/>
        <w:ind w:left="360"/>
        <w:jc w:val="both"/>
        <w:rPr>
          <w:rFonts w:cstheme="minorHAnsi"/>
          <w:sz w:val="24"/>
          <w:szCs w:val="24"/>
        </w:rPr>
      </w:pPr>
      <w:r w:rsidRPr="00B91F3C">
        <w:rPr>
          <w:sz w:val="24"/>
        </w:rPr>
        <w:t>• Федерация коренных народов региона Мадре-де-</w:t>
      </w:r>
      <w:proofErr w:type="spellStart"/>
      <w:r w:rsidRPr="00B91F3C">
        <w:rPr>
          <w:sz w:val="24"/>
        </w:rPr>
        <w:t>Дьос</w:t>
      </w:r>
      <w:proofErr w:type="spellEnd"/>
      <w:r w:rsidRPr="00B91F3C">
        <w:rPr>
          <w:sz w:val="24"/>
        </w:rPr>
        <w:t xml:space="preserve"> (FENAMAD) – Перу </w:t>
      </w:r>
    </w:p>
    <w:p w14:paraId="58C39EB5" w14:textId="77777777" w:rsidR="00F2691C" w:rsidRPr="00B91F3C" w:rsidRDefault="00F2691C" w:rsidP="008271DA">
      <w:pPr>
        <w:spacing w:before="120" w:after="120" w:line="240" w:lineRule="auto"/>
        <w:ind w:left="360"/>
        <w:jc w:val="both"/>
        <w:rPr>
          <w:rFonts w:cstheme="minorHAnsi"/>
          <w:sz w:val="24"/>
          <w:szCs w:val="24"/>
        </w:rPr>
      </w:pPr>
      <w:r w:rsidRPr="00B91F3C">
        <w:rPr>
          <w:sz w:val="24"/>
        </w:rPr>
        <w:t xml:space="preserve">• Фонд «Окружающая среда и природные ресурсы» (FARN) – Аргентина </w:t>
      </w:r>
    </w:p>
    <w:p w14:paraId="63AC7DA3" w14:textId="77777777" w:rsidR="00F2691C" w:rsidRPr="00B91F3C" w:rsidRDefault="00F2691C" w:rsidP="008271DA">
      <w:pPr>
        <w:spacing w:before="120" w:after="120" w:line="240" w:lineRule="auto"/>
        <w:ind w:left="360"/>
        <w:jc w:val="both"/>
        <w:rPr>
          <w:rFonts w:cstheme="minorHAnsi"/>
          <w:sz w:val="24"/>
          <w:szCs w:val="24"/>
        </w:rPr>
      </w:pPr>
      <w:r w:rsidRPr="00B91F3C">
        <w:rPr>
          <w:sz w:val="24"/>
        </w:rPr>
        <w:t>• Гражданская обсерватория – Чили</w:t>
      </w:r>
    </w:p>
    <w:p w14:paraId="6172B15F" w14:textId="77777777" w:rsidR="00F2691C" w:rsidRPr="00B91F3C" w:rsidRDefault="00F2691C" w:rsidP="00D42ACF">
      <w:pPr>
        <w:spacing w:before="360" w:after="120" w:line="240" w:lineRule="auto"/>
        <w:jc w:val="both"/>
        <w:rPr>
          <w:rFonts w:cstheme="minorHAnsi"/>
          <w:i/>
          <w:iCs/>
          <w:sz w:val="24"/>
          <w:szCs w:val="24"/>
        </w:rPr>
      </w:pPr>
      <w:r w:rsidRPr="00B91F3C">
        <w:rPr>
          <w:i/>
          <w:sz w:val="24"/>
        </w:rPr>
        <w:t xml:space="preserve">Африка </w:t>
      </w:r>
    </w:p>
    <w:p w14:paraId="080B7B08" w14:textId="138A0293" w:rsidR="00F2691C" w:rsidRPr="00B91F3C" w:rsidRDefault="00F2691C" w:rsidP="008271DA">
      <w:pPr>
        <w:spacing w:before="120" w:after="120" w:line="240" w:lineRule="auto"/>
        <w:ind w:left="360"/>
        <w:jc w:val="both"/>
        <w:rPr>
          <w:rFonts w:cstheme="minorHAnsi"/>
          <w:sz w:val="24"/>
          <w:szCs w:val="24"/>
        </w:rPr>
      </w:pPr>
      <w:r w:rsidRPr="00B91F3C">
        <w:rPr>
          <w:sz w:val="24"/>
        </w:rPr>
        <w:t xml:space="preserve">• Национальная ассоциация </w:t>
      </w:r>
      <w:r w:rsidR="005F5D22" w:rsidRPr="00B91F3C">
        <w:rPr>
          <w:sz w:val="24"/>
        </w:rPr>
        <w:t xml:space="preserve">в интересах </w:t>
      </w:r>
      <w:r w:rsidRPr="00B91F3C">
        <w:rPr>
          <w:sz w:val="24"/>
        </w:rPr>
        <w:t xml:space="preserve">поддержки и популяризации районов автохтонного и общинного наследия в Демократической Республике Конго (ANAPAC) – ДР Конго </w:t>
      </w:r>
    </w:p>
    <w:p w14:paraId="3B7B9C80" w14:textId="77777777" w:rsidR="00F2691C" w:rsidRPr="00B91F3C" w:rsidRDefault="00F2691C" w:rsidP="008271DA">
      <w:pPr>
        <w:spacing w:before="120" w:after="120" w:line="240" w:lineRule="auto"/>
        <w:ind w:left="360"/>
        <w:jc w:val="both"/>
        <w:rPr>
          <w:rFonts w:cstheme="minorHAnsi"/>
          <w:sz w:val="24"/>
          <w:szCs w:val="24"/>
        </w:rPr>
      </w:pPr>
      <w:r w:rsidRPr="00B91F3C">
        <w:rPr>
          <w:sz w:val="24"/>
        </w:rPr>
        <w:t xml:space="preserve">• Движение коренных народов за укрепление мира и преодоление конфликтов (IMPACT) – Кения </w:t>
      </w:r>
    </w:p>
    <w:p w14:paraId="102FB5FE" w14:textId="77777777" w:rsidR="00F2691C" w:rsidRPr="00B91F3C" w:rsidRDefault="00F2691C" w:rsidP="008271DA">
      <w:pPr>
        <w:spacing w:before="120" w:after="120" w:line="240" w:lineRule="auto"/>
        <w:ind w:left="360"/>
        <w:jc w:val="both"/>
        <w:rPr>
          <w:rFonts w:cstheme="minorHAnsi"/>
          <w:sz w:val="24"/>
          <w:szCs w:val="24"/>
        </w:rPr>
      </w:pPr>
      <w:r w:rsidRPr="00B91F3C">
        <w:rPr>
          <w:sz w:val="24"/>
        </w:rPr>
        <w:t xml:space="preserve">• Группа общинных ресурсов </w:t>
      </w:r>
      <w:proofErr w:type="spellStart"/>
      <w:r w:rsidRPr="00B91F3C">
        <w:rPr>
          <w:sz w:val="24"/>
        </w:rPr>
        <w:t>Уджамаа</w:t>
      </w:r>
      <w:proofErr w:type="spellEnd"/>
      <w:r w:rsidRPr="00B91F3C">
        <w:rPr>
          <w:sz w:val="24"/>
        </w:rPr>
        <w:t xml:space="preserve"> (UCRT) – Танзания</w:t>
      </w:r>
    </w:p>
    <w:p w14:paraId="11657C6F" w14:textId="2A71D4D9" w:rsidR="00F2691C" w:rsidRPr="00B91F3C" w:rsidRDefault="00F2691C" w:rsidP="007655D1">
      <w:pPr>
        <w:pStyle w:val="Paragraphedeliste"/>
      </w:pPr>
      <w:r w:rsidRPr="00B91F3C">
        <w:rPr>
          <w:snapToGrid/>
        </w:rPr>
        <w:t xml:space="preserve">Области, управление которыми осуществляется </w:t>
      </w:r>
      <w:r w:rsidR="00574A5D" w:rsidRPr="00B91F3C">
        <w:rPr>
          <w:snapToGrid/>
        </w:rPr>
        <w:t>этими</w:t>
      </w:r>
      <w:r w:rsidRPr="00B91F3C">
        <w:rPr>
          <w:snapToGrid/>
        </w:rPr>
        <w:t xml:space="preserve"> группами, входят в состав семи важных объектов биоразнообразия на глобальном уровне и одной территории дикой природы</w:t>
      </w:r>
      <w:r w:rsidRPr="00B91F3C">
        <w:t xml:space="preserve"> с высоким биоразнообразием; 35 важных районов распространения птиц; 29 ключевых районов для сохранения биоразнообразия, четырех объектов всемирного наследия и пяти биосферных заповедников. В совокупности эти </w:t>
      </w:r>
      <w:proofErr w:type="spellStart"/>
      <w:r w:rsidRPr="00B91F3C">
        <w:t>субпроекты</w:t>
      </w:r>
      <w:proofErr w:type="spellEnd"/>
      <w:r w:rsidRPr="00B91F3C">
        <w:t xml:space="preserve"> под руководством КНМО позволят повысить их руководящую роль не менее чем на 7,5 млн га наземных, морских ландшафтов и/или территорий с высоким уровнем биоразнообразия и незаменимыми экосистемами. Кроме того, этот проект будет функционировать на общемировом уровне для достижения следующих целей: оказание поддержки КНМО в укреплении и расширении воздействия для более эффективного управления землями, </w:t>
      </w:r>
      <w:r w:rsidRPr="00B91F3C">
        <w:lastRenderedPageBreak/>
        <w:t>территориями, водными и природными ресурсами и расширении доступа к государственным долгосрочным механизмам устойчивого финансирования; обеспечение перехода от действий на местном уровне к воздействию на глобальном уровне с помощью целевого участия КНМО в международной политике в области окружающей среды и работе соответствующих международных платформ; а также расширение поддержки и дальнейшее развитие природоохранной деятельности КНМО путем извлечения и распространения уроков и результатов инициативы в области инклюзивного сохранения.</w:t>
      </w:r>
    </w:p>
    <w:p w14:paraId="7D6379C6" w14:textId="6BFF6045" w:rsidR="00F2691C" w:rsidRPr="00B91F3C" w:rsidRDefault="00F2691C" w:rsidP="007655D1">
      <w:pPr>
        <w:pStyle w:val="Paragraphedeliste"/>
      </w:pPr>
      <w:r w:rsidRPr="00B91F3C">
        <w:t>В ходе реализации проекта не менее 80% ресурсов будет направлено</w:t>
      </w:r>
      <w:r w:rsidR="00574A5D" w:rsidRPr="00B91F3C">
        <w:t xml:space="preserve"> в адрес</w:t>
      </w:r>
      <w:r w:rsidRPr="00B91F3C">
        <w:t xml:space="preserve"> КНМО либо по каналам перечисленных выше </w:t>
      </w:r>
      <w:proofErr w:type="spellStart"/>
      <w:r w:rsidRPr="00B91F3C">
        <w:t>субпроектов</w:t>
      </w:r>
      <w:proofErr w:type="spellEnd"/>
      <w:r w:rsidRPr="00B91F3C">
        <w:t xml:space="preserve">, либо по каналам глобальных мероприятий, таких как стипендии и обмен знаниями. В период ГЭФ-8 получит финансирование новый проект инициативы в области инклюзивного сохранения, и в настоящее время объявлен конкурс предложений от учреждений-исполнителей. </w:t>
      </w:r>
    </w:p>
    <w:p w14:paraId="1FC33C81" w14:textId="3D2C0F5F" w:rsidR="00D30DB1" w:rsidRPr="00B91F3C" w:rsidRDefault="00D30DB1" w:rsidP="004E0A93">
      <w:pPr>
        <w:pStyle w:val="Titre2"/>
      </w:pPr>
      <w:bookmarkStart w:id="145" w:name="_Toc165893331"/>
      <w:bookmarkStart w:id="146" w:name="_Toc165899266"/>
      <w:r w:rsidRPr="00B91F3C">
        <w:t>Программа малых грантов</w:t>
      </w:r>
      <w:bookmarkEnd w:id="143"/>
      <w:bookmarkEnd w:id="145"/>
      <w:bookmarkEnd w:id="146"/>
    </w:p>
    <w:p w14:paraId="43E44313" w14:textId="585FEADA" w:rsidR="00B75ABD" w:rsidRPr="00B91F3C" w:rsidRDefault="00B75ABD" w:rsidP="00E533C4">
      <w:pPr>
        <w:pStyle w:val="Titre3"/>
      </w:pPr>
      <w:bookmarkStart w:id="147" w:name="_Toc165893332"/>
      <w:bookmarkStart w:id="148" w:name="_Toc165899267"/>
      <w:bookmarkStart w:id="149" w:name="_Toc102227412"/>
      <w:bookmarkEnd w:id="144"/>
      <w:r w:rsidRPr="00B91F3C">
        <w:t>Текущее состояние портфеля ПМГ</w:t>
      </w:r>
      <w:bookmarkEnd w:id="147"/>
      <w:bookmarkEnd w:id="148"/>
    </w:p>
    <w:p w14:paraId="6030D496" w14:textId="0558BEAB" w:rsidR="00B21171" w:rsidRPr="00B91F3C" w:rsidRDefault="00B21171" w:rsidP="007655D1">
      <w:pPr>
        <w:pStyle w:val="Paragraphedeliste"/>
      </w:pPr>
      <w:r w:rsidRPr="00B91F3C">
        <w:t>По данным последнего годового доклада о мониторинге ПМГ</w:t>
      </w:r>
      <w:r w:rsidR="000E60C2" w:rsidRPr="00B91F3C">
        <w:rPr>
          <w:vertAlign w:val="superscript"/>
        </w:rPr>
        <w:footnoteReference w:id="24"/>
      </w:r>
      <w:r w:rsidRPr="00B91F3C">
        <w:t xml:space="preserve">, опубликованного ПРООН и охватывающего период с 1 июля 2022 года по 30 июня 2023 года (2023 финансовый год), за отчетный период ГЭФ оказал финансовую поддержку 1 179 новым проектам в общем объеме 38,22 млн долл. США.  Число грантовых проектов, находившихся </w:t>
      </w:r>
      <w:r w:rsidR="00A0630C" w:rsidRPr="00B91F3C">
        <w:t>на</w:t>
      </w:r>
      <w:r w:rsidRPr="00B91F3C">
        <w:t xml:space="preserve"> стадии осуществления в течение 2023 финансового года, составляет 2 443, тогда как объем грантов достиг 83,68 млн долл. США, а общий объем софинансирования </w:t>
      </w:r>
      <w:r w:rsidR="00A0630C" w:rsidRPr="00B91F3C">
        <w:rPr>
          <w:rFonts w:cstheme="minorHAnsi"/>
        </w:rPr>
        <w:t>—</w:t>
      </w:r>
      <w:r w:rsidRPr="00B91F3C">
        <w:t xml:space="preserve"> 88,90 млн долл. США. </w:t>
      </w:r>
    </w:p>
    <w:p w14:paraId="15ECE4B5" w14:textId="77777777" w:rsidR="00B75ABD" w:rsidRPr="00B91F3C" w:rsidRDefault="00B75ABD" w:rsidP="007655D1">
      <w:pPr>
        <w:pStyle w:val="Paragraphedeliste"/>
      </w:pPr>
      <w:r w:rsidRPr="00B91F3C">
        <w:rPr>
          <w:snapToGrid/>
        </w:rPr>
        <w:t>С момента создания программы общее число проектов, получивших поддержку ПМГ, на данный момент достигло</w:t>
      </w:r>
      <w:r w:rsidRPr="00B91F3C">
        <w:t xml:space="preserve"> 28 675, а их совокупное финансирование средствами ГЭФ и других доноров составило 795,29 млн долл. США. Кроме того, в качестве софинансирования этих общинных проектов ПМГ было мобилизовано 955,91 млн долл. США. Из них софинансирование наличными средствами составило в общей сложности 416,50 млн долл. США, которые были получены от многосторонних и двусторонних доноров, фондов, НПО и других партнеров на национальном уровне.</w:t>
      </w:r>
    </w:p>
    <w:p w14:paraId="3C0EA1C3" w14:textId="1F9F7374" w:rsidR="00B75ABD" w:rsidRPr="00B91F3C" w:rsidRDefault="00B75ABD" w:rsidP="007655D1">
      <w:pPr>
        <w:pStyle w:val="Paragraphedeliste"/>
      </w:pPr>
      <w:r w:rsidRPr="00B91F3C">
        <w:t xml:space="preserve">Если говорить об охвате стран, в настоящее время ПМГ действует в 127 странах, 112 из которых получают поддержку в рамках глобальной программы ПМГ и 15 </w:t>
      </w:r>
      <w:r w:rsidR="00A0630C" w:rsidRPr="00B91F3C">
        <w:rPr>
          <w:rFonts w:cstheme="minorHAnsi"/>
        </w:rPr>
        <w:t>—</w:t>
      </w:r>
      <w:r w:rsidRPr="00B91F3C">
        <w:t xml:space="preserve"> в рамках страновых программ более высокого уровня (UCP). В период ГЭФ-7 </w:t>
      </w:r>
      <w:r w:rsidR="00A0630C" w:rsidRPr="00B91F3C">
        <w:t xml:space="preserve">программа </w:t>
      </w:r>
      <w:r w:rsidRPr="00B91F3C">
        <w:t>Малайзи</w:t>
      </w:r>
      <w:r w:rsidR="00A0630C" w:rsidRPr="00B91F3C">
        <w:t>и</w:t>
      </w:r>
      <w:r w:rsidRPr="00B91F3C">
        <w:t xml:space="preserve"> </w:t>
      </w:r>
      <w:r w:rsidR="00A0630C" w:rsidRPr="00B91F3C">
        <w:t>перешла в категорию</w:t>
      </w:r>
      <w:r w:rsidRPr="00B91F3C">
        <w:t xml:space="preserve"> UCP, тогда как Эсватини, Бангладеш и Габон стали участниками глобальных программ ПМГ в качестве новых страновых программ. В настоящее время</w:t>
      </w:r>
      <w:r w:rsidR="00A0630C" w:rsidRPr="00B91F3C">
        <w:t xml:space="preserve"> на</w:t>
      </w:r>
      <w:r w:rsidRPr="00B91F3C">
        <w:t xml:space="preserve"> наименее развитые страны (НРС) и малые островные развивающиеся </w:t>
      </w:r>
      <w:r w:rsidRPr="00B91F3C">
        <w:lastRenderedPageBreak/>
        <w:t xml:space="preserve">государства (МОСРГ) </w:t>
      </w:r>
      <w:r w:rsidR="00A0630C" w:rsidRPr="00B91F3C">
        <w:t>приходится</w:t>
      </w:r>
      <w:r w:rsidRPr="00B91F3C">
        <w:t xml:space="preserve"> 63% глобальных страновых программ ПМГ, которые предоставляют поддержку организациям гражданского общества в 40 НРС и 37 МОСРГ. </w:t>
      </w:r>
    </w:p>
    <w:p w14:paraId="18607D8D" w14:textId="4D07A642" w:rsidR="00B75ABD" w:rsidRPr="00B91F3C" w:rsidRDefault="00B75ABD" w:rsidP="007655D1">
      <w:pPr>
        <w:pStyle w:val="Paragraphedeliste"/>
      </w:pPr>
      <w:r w:rsidRPr="00B91F3C">
        <w:t xml:space="preserve">С точки зрения распределения по целевым областям, во всех проектах ПМГ, находящихся </w:t>
      </w:r>
      <w:r w:rsidR="00A0630C" w:rsidRPr="00B91F3C">
        <w:t>на</w:t>
      </w:r>
      <w:r w:rsidRPr="00B91F3C">
        <w:t xml:space="preserve"> стадии осуществления, ведущую роль по-прежнему играет целевая область «Биоразнообразие», на которую приходится наибольшая доля в проектном портфеле ПМГ (40%). За этой областью следуют целевые области «Смягчение последствий изменения климата» (21%) и «Деградация земель» (20%).</w:t>
      </w:r>
    </w:p>
    <w:p w14:paraId="3D3541D1" w14:textId="02DA2C93" w:rsidR="00A21DBA" w:rsidRPr="00B91F3C" w:rsidRDefault="00C0239F" w:rsidP="007655D1">
      <w:pPr>
        <w:pStyle w:val="Paragraphedeliste"/>
      </w:pPr>
      <w:bookmarkStart w:id="150" w:name="_Hlk161321390"/>
      <w:r w:rsidRPr="00B91F3C">
        <w:t>За период с 1 июля 2022 года по 30 июня 2023 года в рамках ПМГ были осуществлены и признаны завершенными 338 проектов в области биоразноо</w:t>
      </w:r>
      <w:r w:rsidR="00847B4C" w:rsidRPr="00B91F3C">
        <w:t xml:space="preserve">бразия.  Эти проекты позволили </w:t>
      </w:r>
      <w:r w:rsidRPr="00B91F3C">
        <w:t xml:space="preserve">как непосредственно, так и косвенно повысить качество управления 154 охраняемыми районами и 260 районами, сохраняемыми коренными народами и местными общинами, общая площадь которых составила 9,1 млн га. Общинная практика сохранения и устойчивого использования биоразнообразия была улучшена в ста восьмидесяти девяти (189) целевых наземных/морских ландшафтах. Кроме того, ПМГ позволила сохранить или улучшить статус сохранности не менее чем 873 видов. Что касается устойчивого использования биоразнообразия, то проекты ПМГ способствовали получению 892 видов продукции на основе биоразнообразия, </w:t>
      </w:r>
      <w:r w:rsidR="00A0630C" w:rsidRPr="00B91F3C">
        <w:t>и это</w:t>
      </w:r>
      <w:r w:rsidRPr="00B91F3C">
        <w:t xml:space="preserve"> оказало положительное воздействие на устойчивое использование биоразнообразия.</w:t>
      </w:r>
      <w:bookmarkEnd w:id="150"/>
    </w:p>
    <w:p w14:paraId="1DFAB8F4" w14:textId="31723732" w:rsidR="00B75ABD" w:rsidRPr="00B91F3C" w:rsidRDefault="00B75ABD" w:rsidP="007655D1">
      <w:pPr>
        <w:pStyle w:val="Paragraphedeliste"/>
      </w:pPr>
      <w:r w:rsidRPr="00B91F3C">
        <w:t xml:space="preserve">Основным направлением помощи проектов ПМГ в целевой области «Биоразнообразие» было повышение эффективности управления в охраняемых районах и учет вопросов сохранения и устойчивого использования биоразнообразия в продуктивных наземных и морских ландшафтах и секторах. </w:t>
      </w:r>
      <w:bookmarkEnd w:id="1"/>
      <w:bookmarkEnd w:id="2"/>
      <w:bookmarkEnd w:id="149"/>
    </w:p>
    <w:p w14:paraId="027E7857" w14:textId="77777777" w:rsidR="00FF3A47" w:rsidRPr="00B91F3C" w:rsidRDefault="00FF3A47" w:rsidP="00FF3A47">
      <w:pPr>
        <w:keepNext/>
        <w:keepLines/>
        <w:spacing w:before="240" w:after="240" w:line="240" w:lineRule="auto"/>
        <w:outlineLvl w:val="1"/>
        <w:rPr>
          <w:rFonts w:eastAsiaTheme="majorEastAsia" w:cstheme="minorHAnsi"/>
          <w:b/>
          <w:bCs/>
          <w:snapToGrid w:val="0"/>
          <w:sz w:val="24"/>
          <w:szCs w:val="24"/>
        </w:rPr>
      </w:pPr>
      <w:bookmarkStart w:id="151" w:name="_Toc162534610"/>
      <w:bookmarkStart w:id="152" w:name="_Toc165899268"/>
      <w:r w:rsidRPr="00B91F3C">
        <w:rPr>
          <w:rFonts w:eastAsiaTheme="majorEastAsia" w:cstheme="minorHAnsi"/>
          <w:b/>
          <w:bCs/>
          <w:snapToGrid w:val="0"/>
          <w:sz w:val="24"/>
          <w:szCs w:val="24"/>
        </w:rPr>
        <w:t>Ход осуществления ПМГ 2.0 в период ГЭФ-8</w:t>
      </w:r>
      <w:bookmarkEnd w:id="151"/>
      <w:bookmarkEnd w:id="152"/>
    </w:p>
    <w:p w14:paraId="48DB6364"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 xml:space="preserve">В отчетный период также достигнуты </w:t>
      </w:r>
      <w:proofErr w:type="gramStart"/>
      <w:r w:rsidRPr="00B91F3C">
        <w:rPr>
          <w:snapToGrid w:val="0"/>
          <w:sz w:val="24"/>
          <w:szCs w:val="24"/>
        </w:rPr>
        <w:t>значительные результаты</w:t>
      </w:r>
      <w:proofErr w:type="gramEnd"/>
      <w:r w:rsidRPr="00B91F3C">
        <w:rPr>
          <w:snapToGrid w:val="0"/>
          <w:sz w:val="24"/>
          <w:szCs w:val="24"/>
        </w:rPr>
        <w:t xml:space="preserve"> в рамках амбициозного процесса реформирования и модернизации ПМГ, известного как ПМГ 2.0, который было постановлено провести в ходе восьмого цикла пополнения ГЭФ. В этом контексте секретариат ГЭФ взял на себя ведущую роль в практическом применении Процедур осуществления в период ГЭФ-8, которые были одобрены на 63-м совещании Совета ГЭФ. Эти процедуры охватывают широкий спектр изменений в масштабе, задачах, структурах управления и осуществлении ПМГ. </w:t>
      </w:r>
    </w:p>
    <w:p w14:paraId="2380DF9B" w14:textId="77777777" w:rsidR="00FF3A47" w:rsidRPr="00B91F3C" w:rsidRDefault="00FF3A47" w:rsidP="00FF3A47">
      <w:pPr>
        <w:spacing w:before="240" w:after="240" w:line="240" w:lineRule="auto"/>
        <w:jc w:val="both"/>
        <w:rPr>
          <w:rFonts w:cstheme="minorHAnsi"/>
          <w:sz w:val="24"/>
          <w:szCs w:val="24"/>
        </w:rPr>
      </w:pPr>
      <w:r w:rsidRPr="00B91F3C">
        <w:rPr>
          <w:sz w:val="24"/>
        </w:rPr>
        <w:t>В настоящее время достигнуты следующие результаты:</w:t>
      </w:r>
    </w:p>
    <w:p w14:paraId="220EF37C"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В соответствии с Процедурами осуществления ПМГ 2.0 было выделено 135 млн долл. США основных ресурсов на ПМГ. Эти ресурсы должны быть в равной степени доступны 144 странам, имеющим право на получение помощи ГЭФ. Ожидается, что эти ресурсы будут дополнены ресурсами СПРР по запросу стран. Доступ к основным ресурсам ПМГ разделен на два транша по 67,5 млн долл. США каждый.</w:t>
      </w:r>
    </w:p>
    <w:p w14:paraId="329F9C09"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lastRenderedPageBreak/>
        <w:t>Форма идентификации проекта (ФИП), включающая 99 стран, была представлена ПРООН для первого транша и утверждена в рамках программы работы 64-го совещания Совета. В январе 2023 года ПРООН представила соответствующий документ по полномасштабным проектам для одобрения Исполнительным директором, который в настоящее время находится на рассмотрении.</w:t>
      </w:r>
    </w:p>
    <w:p w14:paraId="3031E3C1"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 xml:space="preserve">Процесс выбора двух дополнительных учреждений-исполнителей ПМГ завершился в декабре 2023 года. ФАО и КИ избраны в качестве двух дополнительных учреждений-исполнителей ПМГ. Эти организации совместно с ПРООН и при поддержке секретариата ГЭФ начали тесно сотрудничать и объединять свой обширный опыт и технические знания в интересах ПМГ. Их цель – содействовать дальнейшему расширению и развитию ПМГ в качестве флагманской программы ГЭФ в стремлении обеспечить положительные, инклюзивные, инновационные и эффективные глобальные экологические выгоды, а также социально-экономические результаты. </w:t>
      </w:r>
    </w:p>
    <w:p w14:paraId="04FB3ED4"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 xml:space="preserve">Этот выбор положил начало процессу разработки ФИП каждой организации и Рамочного документа по проекту для одобрения Исполнительным директором в рамках второго транша (67,5 млн долл. США). Процесс начался в конце отчетного периода.  </w:t>
      </w:r>
    </w:p>
    <w:p w14:paraId="35A60B15"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Во втором полугодии 2024 года секретариат ГЭФ приступил к осуществлению двух новых инициатив в интересах ОГО, исходя из необходимости продолжать поддерживать субъектов гражданского общества и природоохранные решения на местном уровне для обеспечения глобальных экологических выгод. Эти инициативы, на каждую из которых в рамках ГЭФ-8 выделено по 10 млн. долл., включают: (i) программу вызовов ОГО и (</w:t>
      </w:r>
      <w:proofErr w:type="spellStart"/>
      <w:r w:rsidRPr="00B91F3C">
        <w:rPr>
          <w:snapToGrid w:val="0"/>
          <w:sz w:val="24"/>
          <w:szCs w:val="24"/>
        </w:rPr>
        <w:t>ii</w:t>
      </w:r>
      <w:proofErr w:type="spellEnd"/>
      <w:r w:rsidRPr="00B91F3C">
        <w:rPr>
          <w:snapToGrid w:val="0"/>
          <w:sz w:val="24"/>
          <w:szCs w:val="24"/>
        </w:rPr>
        <w:t xml:space="preserve">) инициативу по микрофинансированию. </w:t>
      </w:r>
    </w:p>
    <w:p w14:paraId="3E03E3B8" w14:textId="77777777" w:rsidR="00FF3A47" w:rsidRPr="00B91F3C" w:rsidRDefault="00FF3A47" w:rsidP="00FF3A47">
      <w:pPr>
        <w:keepNext/>
        <w:keepLines/>
        <w:spacing w:before="240" w:after="240" w:line="240" w:lineRule="auto"/>
        <w:outlineLvl w:val="1"/>
        <w:rPr>
          <w:rFonts w:eastAsiaTheme="majorEastAsia" w:cstheme="minorHAnsi"/>
          <w:b/>
          <w:bCs/>
          <w:snapToGrid w:val="0"/>
          <w:sz w:val="24"/>
          <w:szCs w:val="24"/>
        </w:rPr>
      </w:pPr>
      <w:bookmarkStart w:id="153" w:name="_Toc162534611"/>
      <w:bookmarkStart w:id="154" w:name="_Toc165899269"/>
      <w:r w:rsidRPr="00B91F3C">
        <w:rPr>
          <w:rFonts w:eastAsiaTheme="majorEastAsia" w:cstheme="minorHAnsi"/>
          <w:b/>
          <w:bCs/>
          <w:snapToGrid w:val="0"/>
          <w:sz w:val="24"/>
          <w:szCs w:val="24"/>
        </w:rPr>
        <w:t>Краткая информация о вкладе программ ГЭФ-8 в осуществление КМГПБ</w:t>
      </w:r>
      <w:bookmarkEnd w:id="153"/>
      <w:bookmarkEnd w:id="154"/>
    </w:p>
    <w:p w14:paraId="3643E170" w14:textId="77777777" w:rsidR="00FF3A47" w:rsidRPr="00B91F3C" w:rsidRDefault="00FF3A47" w:rsidP="00FF3A47">
      <w:pPr>
        <w:numPr>
          <w:ilvl w:val="0"/>
          <w:numId w:val="12"/>
        </w:numPr>
        <w:tabs>
          <w:tab w:val="left" w:pos="0"/>
        </w:tabs>
        <w:spacing w:before="240" w:after="240" w:line="240" w:lineRule="auto"/>
        <w:ind w:left="0" w:firstLine="0"/>
        <w:rPr>
          <w:i/>
          <w:iCs/>
          <w:snapToGrid w:val="0"/>
          <w:sz w:val="24"/>
          <w:szCs w:val="24"/>
        </w:rPr>
      </w:pPr>
      <w:r w:rsidRPr="00B91F3C">
        <w:rPr>
          <w:snapToGrid w:val="0"/>
          <w:sz w:val="24"/>
          <w:szCs w:val="24"/>
        </w:rPr>
        <w:t>Данные, приведенные в таблице 9 ниже, показывают общий совокупный прямой вклад программ, финансируемых за счет всех ресурсов ГЭФ, в осуществление КМГПБ по всем программным направлениям в период ГЭФ-8 (стратегия целевой области «Биоразнообразие», комплексные программы ГЭФ-8, целевая область «Международные воды», Фонд наименее развитых стран для адаптации к изменению климата (ФНРС), финансовые инструменты, не являющиеся грантами, и программа малых грантов). Общий объем инвестиций ГЭФ по всем этим проектам, способствующим осуществлению КМГПБ, составил 2 млрд долл. США, что позволило привлечь софинансирование в размере 13,9 млрд долл. США, в результате чего общий объем инвестиций составил более 15,9 млрд долл. США. Таким образом, коэффициент софинансирования на каждый доллар ГЭФ составляет 6,9 доллара.</w:t>
      </w:r>
    </w:p>
    <w:p w14:paraId="45201B80" w14:textId="77777777" w:rsidR="00FF3A47" w:rsidRPr="00B91F3C" w:rsidRDefault="00FF3A47" w:rsidP="00FF3A47">
      <w:pPr>
        <w:spacing w:after="160"/>
      </w:pPr>
      <w:r w:rsidRPr="00B91F3C">
        <w:br w:type="page"/>
      </w:r>
    </w:p>
    <w:p w14:paraId="7BCBD84F" w14:textId="77777777" w:rsidR="00FF3A47" w:rsidRPr="00B91F3C" w:rsidRDefault="00FF3A47" w:rsidP="00996DE7">
      <w:pPr>
        <w:pStyle w:val="Lgende"/>
      </w:pPr>
      <w:bookmarkStart w:id="155" w:name="_Toc161334838"/>
      <w:r w:rsidRPr="00B91F3C">
        <w:lastRenderedPageBreak/>
        <w:t>Таблица 9. Совокупный вклад программ ГЭФ-8 целевой области «Биоразнообразие» и других ресурсов и программных направлений ГЭФ в КМГПБ (с 1 июля 2022 г. по 29 февраля 2024 г.)</w:t>
      </w:r>
      <w:r w:rsidRPr="00B91F3C">
        <w:rPr>
          <w:vertAlign w:val="superscript"/>
        </w:rPr>
        <w:footnoteReference w:id="25"/>
      </w:r>
      <w:bookmarkEnd w:id="155"/>
    </w:p>
    <w:tbl>
      <w:tblPr>
        <w:tblW w:w="9680" w:type="dxa"/>
        <w:tblLook w:val="04A0" w:firstRow="1" w:lastRow="0" w:firstColumn="1" w:lastColumn="0" w:noHBand="0" w:noVBand="1"/>
      </w:tblPr>
      <w:tblGrid>
        <w:gridCol w:w="3380"/>
        <w:gridCol w:w="2100"/>
        <w:gridCol w:w="2100"/>
        <w:gridCol w:w="2100"/>
      </w:tblGrid>
      <w:tr w:rsidR="00FF3A47" w:rsidRPr="00B91F3C" w14:paraId="4FDBAA46" w14:textId="77777777" w:rsidTr="00DA7535">
        <w:trPr>
          <w:trHeight w:val="293"/>
        </w:trPr>
        <w:tc>
          <w:tcPr>
            <w:tcW w:w="3380" w:type="dxa"/>
            <w:tcBorders>
              <w:top w:val="single" w:sz="12" w:space="0" w:color="008000"/>
              <w:left w:val="nil"/>
              <w:bottom w:val="nil"/>
              <w:right w:val="nil"/>
            </w:tcBorders>
            <w:shd w:val="clear" w:color="auto" w:fill="auto"/>
            <w:vAlign w:val="center"/>
            <w:hideMark/>
          </w:tcPr>
          <w:p w14:paraId="56365498" w14:textId="77777777" w:rsidR="00FF3A47" w:rsidRPr="00B91F3C" w:rsidRDefault="00FF3A47" w:rsidP="00FF3A47">
            <w:pPr>
              <w:rPr>
                <w:rFonts w:cstheme="minorHAnsi"/>
                <w:b/>
                <w:bCs/>
              </w:rPr>
            </w:pPr>
            <w:r w:rsidRPr="00B91F3C">
              <w:rPr>
                <w:b/>
              </w:rPr>
              <w:t> </w:t>
            </w:r>
          </w:p>
        </w:tc>
        <w:tc>
          <w:tcPr>
            <w:tcW w:w="2100" w:type="dxa"/>
            <w:tcBorders>
              <w:top w:val="single" w:sz="12" w:space="0" w:color="008000"/>
              <w:left w:val="nil"/>
              <w:bottom w:val="nil"/>
              <w:right w:val="nil"/>
            </w:tcBorders>
            <w:shd w:val="clear" w:color="auto" w:fill="auto"/>
            <w:vAlign w:val="center"/>
            <w:hideMark/>
          </w:tcPr>
          <w:p w14:paraId="7D583BD5" w14:textId="77777777" w:rsidR="00FF3A47" w:rsidRPr="00B91F3C" w:rsidRDefault="00FF3A47" w:rsidP="00FF3A47">
            <w:pPr>
              <w:rPr>
                <w:rFonts w:cstheme="minorHAnsi"/>
                <w:b/>
                <w:bCs/>
              </w:rPr>
            </w:pPr>
            <w:r w:rsidRPr="00B91F3C">
              <w:rPr>
                <w:b/>
              </w:rPr>
              <w:t>Программы ГЭФ-8</w:t>
            </w:r>
          </w:p>
        </w:tc>
        <w:tc>
          <w:tcPr>
            <w:tcW w:w="2100" w:type="dxa"/>
            <w:tcBorders>
              <w:top w:val="single" w:sz="12" w:space="0" w:color="008000"/>
              <w:left w:val="nil"/>
              <w:bottom w:val="nil"/>
              <w:right w:val="nil"/>
            </w:tcBorders>
            <w:shd w:val="clear" w:color="auto" w:fill="auto"/>
            <w:vAlign w:val="center"/>
            <w:hideMark/>
          </w:tcPr>
          <w:p w14:paraId="3CFC5ACE" w14:textId="77777777" w:rsidR="00FF3A47" w:rsidRPr="00B91F3C" w:rsidRDefault="00FF3A47" w:rsidP="00FF3A47">
            <w:pPr>
              <w:jc w:val="center"/>
              <w:rPr>
                <w:rFonts w:cstheme="minorHAnsi"/>
                <w:b/>
                <w:bCs/>
              </w:rPr>
            </w:pPr>
            <w:r w:rsidRPr="00B91F3C">
              <w:rPr>
                <w:b/>
              </w:rPr>
              <w:t>Софинансирование</w:t>
            </w:r>
          </w:p>
        </w:tc>
        <w:tc>
          <w:tcPr>
            <w:tcW w:w="2100" w:type="dxa"/>
            <w:tcBorders>
              <w:top w:val="single" w:sz="12" w:space="0" w:color="008000"/>
              <w:left w:val="nil"/>
              <w:bottom w:val="nil"/>
              <w:right w:val="nil"/>
            </w:tcBorders>
            <w:shd w:val="clear" w:color="auto" w:fill="auto"/>
            <w:vAlign w:val="center"/>
            <w:hideMark/>
          </w:tcPr>
          <w:p w14:paraId="38347790" w14:textId="77777777" w:rsidR="00FF3A47" w:rsidRPr="00B91F3C" w:rsidRDefault="00FF3A47" w:rsidP="00FF3A47">
            <w:pPr>
              <w:jc w:val="center"/>
              <w:rPr>
                <w:rFonts w:cstheme="minorHAnsi"/>
                <w:b/>
                <w:bCs/>
              </w:rPr>
            </w:pPr>
            <w:r w:rsidRPr="00B91F3C">
              <w:rPr>
                <w:b/>
              </w:rPr>
              <w:t xml:space="preserve">Итого </w:t>
            </w:r>
            <w:r w:rsidRPr="00B91F3C">
              <w:rPr>
                <w:b/>
                <w:color w:val="000000"/>
              </w:rPr>
              <w:t>(%)</w:t>
            </w:r>
          </w:p>
        </w:tc>
      </w:tr>
      <w:tr w:rsidR="00FF3A47" w:rsidRPr="00B91F3C" w14:paraId="39701DDB" w14:textId="77777777" w:rsidTr="00DA7535">
        <w:trPr>
          <w:trHeight w:val="285"/>
        </w:trPr>
        <w:tc>
          <w:tcPr>
            <w:tcW w:w="3380" w:type="dxa"/>
            <w:tcBorders>
              <w:top w:val="nil"/>
              <w:left w:val="nil"/>
              <w:bottom w:val="nil"/>
              <w:right w:val="nil"/>
            </w:tcBorders>
            <w:shd w:val="clear" w:color="auto" w:fill="auto"/>
            <w:vAlign w:val="center"/>
            <w:hideMark/>
          </w:tcPr>
          <w:p w14:paraId="39202CE7" w14:textId="77777777" w:rsidR="00FF3A47" w:rsidRPr="00B91F3C" w:rsidRDefault="00FF3A47" w:rsidP="00FF3A47">
            <w:pPr>
              <w:rPr>
                <w:rFonts w:cstheme="minorHAnsi"/>
                <w:b/>
                <w:bCs/>
              </w:rPr>
            </w:pPr>
          </w:p>
        </w:tc>
        <w:tc>
          <w:tcPr>
            <w:tcW w:w="2100" w:type="dxa"/>
            <w:tcBorders>
              <w:top w:val="nil"/>
              <w:left w:val="nil"/>
              <w:bottom w:val="nil"/>
              <w:right w:val="nil"/>
            </w:tcBorders>
            <w:shd w:val="clear" w:color="auto" w:fill="auto"/>
            <w:vAlign w:val="center"/>
            <w:hideMark/>
          </w:tcPr>
          <w:p w14:paraId="22675BDB" w14:textId="77777777" w:rsidR="00FF3A47" w:rsidRPr="00B91F3C" w:rsidRDefault="00FF3A47" w:rsidP="00FF3A47">
            <w:pPr>
              <w:jc w:val="center"/>
              <w:rPr>
                <w:rFonts w:cstheme="minorHAnsi"/>
                <w:b/>
                <w:bCs/>
              </w:rPr>
            </w:pPr>
            <w:r w:rsidRPr="00B91F3C">
              <w:rPr>
                <w:b/>
              </w:rPr>
              <w:t>(млн долл. США)</w:t>
            </w:r>
          </w:p>
        </w:tc>
        <w:tc>
          <w:tcPr>
            <w:tcW w:w="2100" w:type="dxa"/>
            <w:tcBorders>
              <w:top w:val="nil"/>
              <w:left w:val="nil"/>
              <w:bottom w:val="nil"/>
              <w:right w:val="nil"/>
            </w:tcBorders>
            <w:shd w:val="clear" w:color="auto" w:fill="auto"/>
            <w:vAlign w:val="center"/>
            <w:hideMark/>
          </w:tcPr>
          <w:p w14:paraId="723BB467" w14:textId="77777777" w:rsidR="00FF3A47" w:rsidRPr="00B91F3C" w:rsidRDefault="00FF3A47" w:rsidP="00FF3A47">
            <w:pPr>
              <w:jc w:val="center"/>
              <w:rPr>
                <w:rFonts w:cstheme="minorHAnsi"/>
                <w:b/>
                <w:bCs/>
              </w:rPr>
            </w:pPr>
            <w:r w:rsidRPr="00B91F3C">
              <w:rPr>
                <w:b/>
              </w:rPr>
              <w:t>(млн долл. США)</w:t>
            </w:r>
          </w:p>
        </w:tc>
        <w:tc>
          <w:tcPr>
            <w:tcW w:w="2100" w:type="dxa"/>
            <w:tcBorders>
              <w:top w:val="nil"/>
              <w:left w:val="nil"/>
              <w:bottom w:val="nil"/>
              <w:right w:val="nil"/>
            </w:tcBorders>
            <w:shd w:val="clear" w:color="auto" w:fill="auto"/>
            <w:vAlign w:val="center"/>
            <w:hideMark/>
          </w:tcPr>
          <w:p w14:paraId="7784B712" w14:textId="77777777" w:rsidR="00FF3A47" w:rsidRPr="00B91F3C" w:rsidRDefault="00FF3A47" w:rsidP="00FF3A47">
            <w:pPr>
              <w:jc w:val="center"/>
              <w:rPr>
                <w:rFonts w:cstheme="minorHAnsi"/>
                <w:b/>
                <w:bCs/>
              </w:rPr>
            </w:pPr>
          </w:p>
        </w:tc>
      </w:tr>
      <w:tr w:rsidR="00FF3A47" w:rsidRPr="00B91F3C" w14:paraId="52E3451B" w14:textId="77777777" w:rsidTr="00DA7535">
        <w:trPr>
          <w:trHeight w:val="285"/>
        </w:trPr>
        <w:tc>
          <w:tcPr>
            <w:tcW w:w="3380" w:type="dxa"/>
            <w:tcBorders>
              <w:top w:val="nil"/>
              <w:left w:val="nil"/>
              <w:bottom w:val="nil"/>
              <w:right w:val="nil"/>
            </w:tcBorders>
            <w:shd w:val="clear" w:color="auto" w:fill="auto"/>
            <w:vAlign w:val="center"/>
            <w:hideMark/>
          </w:tcPr>
          <w:p w14:paraId="1D363F31" w14:textId="77777777" w:rsidR="00FF3A47" w:rsidRPr="00B91F3C" w:rsidRDefault="00FF3A47" w:rsidP="00FF3A47">
            <w:pPr>
              <w:rPr>
                <w:rFonts w:cstheme="minorHAnsi"/>
                <w:b/>
                <w:bCs/>
                <w:i/>
                <w:iCs/>
              </w:rPr>
            </w:pPr>
            <w:r w:rsidRPr="00B91F3C">
              <w:rPr>
                <w:b/>
                <w:i/>
              </w:rPr>
              <w:t>Страновые ассигнования по СПРР в области биоразнообразия</w:t>
            </w:r>
            <w:r w:rsidRPr="00B91F3C">
              <w:rPr>
                <w:rFonts w:cstheme="minorHAnsi"/>
                <w:b/>
                <w:bCs/>
                <w:i/>
                <w:iCs/>
                <w:vertAlign w:val="superscript"/>
              </w:rPr>
              <w:footnoteReference w:id="26"/>
            </w:r>
            <w:r w:rsidRPr="00B91F3C">
              <w:rPr>
                <w:b/>
                <w:i/>
              </w:rPr>
              <w:t xml:space="preserve"> </w:t>
            </w:r>
          </w:p>
        </w:tc>
        <w:tc>
          <w:tcPr>
            <w:tcW w:w="2100" w:type="dxa"/>
            <w:tcBorders>
              <w:top w:val="nil"/>
              <w:left w:val="nil"/>
              <w:bottom w:val="nil"/>
              <w:right w:val="nil"/>
            </w:tcBorders>
            <w:shd w:val="clear" w:color="auto" w:fill="auto"/>
            <w:vAlign w:val="center"/>
          </w:tcPr>
          <w:p w14:paraId="4522EC1B" w14:textId="77777777" w:rsidR="00FF3A47" w:rsidRPr="00B91F3C" w:rsidRDefault="00FF3A47" w:rsidP="00FF3A47">
            <w:pPr>
              <w:jc w:val="right"/>
              <w:rPr>
                <w:rFonts w:cstheme="minorHAnsi"/>
                <w:b/>
                <w:bCs/>
                <w:i/>
                <w:iCs/>
              </w:rPr>
            </w:pPr>
            <w:r w:rsidRPr="00B91F3C">
              <w:rPr>
                <w:b/>
                <w:i/>
              </w:rPr>
              <w:t>201,03</w:t>
            </w:r>
          </w:p>
        </w:tc>
        <w:tc>
          <w:tcPr>
            <w:tcW w:w="2100" w:type="dxa"/>
            <w:tcBorders>
              <w:top w:val="nil"/>
              <w:left w:val="nil"/>
              <w:bottom w:val="nil"/>
              <w:right w:val="nil"/>
            </w:tcBorders>
            <w:shd w:val="clear" w:color="auto" w:fill="auto"/>
            <w:vAlign w:val="center"/>
          </w:tcPr>
          <w:p w14:paraId="67C88F37" w14:textId="77777777" w:rsidR="00FF3A47" w:rsidRPr="00B91F3C" w:rsidRDefault="00FF3A47" w:rsidP="00FF3A47">
            <w:pPr>
              <w:jc w:val="right"/>
              <w:rPr>
                <w:rFonts w:cstheme="minorHAnsi"/>
                <w:b/>
                <w:bCs/>
                <w:i/>
                <w:iCs/>
              </w:rPr>
            </w:pPr>
            <w:r w:rsidRPr="00B91F3C">
              <w:rPr>
                <w:b/>
                <w:i/>
              </w:rPr>
              <w:t>1 466,82</w:t>
            </w:r>
          </w:p>
        </w:tc>
        <w:tc>
          <w:tcPr>
            <w:tcW w:w="2100" w:type="dxa"/>
            <w:tcBorders>
              <w:top w:val="nil"/>
              <w:left w:val="nil"/>
              <w:bottom w:val="nil"/>
              <w:right w:val="nil"/>
            </w:tcBorders>
            <w:shd w:val="clear" w:color="auto" w:fill="auto"/>
            <w:vAlign w:val="center"/>
          </w:tcPr>
          <w:p w14:paraId="142B0ECB" w14:textId="77777777" w:rsidR="00FF3A47" w:rsidRPr="00B91F3C" w:rsidRDefault="00FF3A47" w:rsidP="00FF3A47">
            <w:pPr>
              <w:jc w:val="center"/>
              <w:rPr>
                <w:rFonts w:cstheme="minorHAnsi"/>
                <w:b/>
                <w:bCs/>
                <w:i/>
                <w:iCs/>
              </w:rPr>
            </w:pPr>
            <w:r w:rsidRPr="00B91F3C">
              <w:rPr>
                <w:b/>
                <w:i/>
              </w:rPr>
              <w:t>1 667,85 (10%)</w:t>
            </w:r>
          </w:p>
        </w:tc>
      </w:tr>
      <w:tr w:rsidR="00FF3A47" w:rsidRPr="00B91F3C" w14:paraId="7D7DE8D4" w14:textId="77777777" w:rsidTr="00DA7535">
        <w:trPr>
          <w:trHeight w:val="285"/>
        </w:trPr>
        <w:tc>
          <w:tcPr>
            <w:tcW w:w="3380" w:type="dxa"/>
            <w:tcBorders>
              <w:top w:val="nil"/>
              <w:left w:val="nil"/>
              <w:bottom w:val="nil"/>
              <w:right w:val="nil"/>
            </w:tcBorders>
            <w:shd w:val="clear" w:color="auto" w:fill="auto"/>
            <w:vAlign w:val="center"/>
            <w:hideMark/>
          </w:tcPr>
          <w:p w14:paraId="73DF01F5" w14:textId="77777777" w:rsidR="00FF3A47" w:rsidRPr="00B91F3C" w:rsidRDefault="00FF3A47" w:rsidP="00FF3A47">
            <w:pPr>
              <w:rPr>
                <w:rFonts w:cstheme="minorHAnsi"/>
                <w:b/>
                <w:bCs/>
                <w:i/>
                <w:iCs/>
              </w:rPr>
            </w:pPr>
            <w:r w:rsidRPr="00B91F3C">
              <w:rPr>
                <w:b/>
                <w:i/>
                <w:color w:val="000000"/>
              </w:rPr>
              <w:t>Зарезервировано по СПРР</w:t>
            </w:r>
          </w:p>
        </w:tc>
        <w:tc>
          <w:tcPr>
            <w:tcW w:w="2100" w:type="dxa"/>
            <w:tcBorders>
              <w:top w:val="nil"/>
              <w:left w:val="nil"/>
              <w:bottom w:val="nil"/>
              <w:right w:val="nil"/>
            </w:tcBorders>
            <w:shd w:val="clear" w:color="auto" w:fill="auto"/>
            <w:vAlign w:val="center"/>
          </w:tcPr>
          <w:p w14:paraId="4D5B1C73" w14:textId="77777777" w:rsidR="00FF3A47" w:rsidRPr="00B91F3C" w:rsidRDefault="00FF3A47" w:rsidP="00FF3A47">
            <w:pPr>
              <w:jc w:val="right"/>
              <w:rPr>
                <w:rFonts w:cstheme="minorHAnsi"/>
                <w:b/>
                <w:bCs/>
                <w:i/>
                <w:iCs/>
              </w:rPr>
            </w:pPr>
            <w:r w:rsidRPr="00B91F3C">
              <w:rPr>
                <w:b/>
                <w:i/>
              </w:rPr>
              <w:t>120,15</w:t>
            </w:r>
          </w:p>
        </w:tc>
        <w:tc>
          <w:tcPr>
            <w:tcW w:w="2100" w:type="dxa"/>
            <w:tcBorders>
              <w:top w:val="nil"/>
              <w:left w:val="nil"/>
              <w:bottom w:val="nil"/>
              <w:right w:val="nil"/>
            </w:tcBorders>
            <w:shd w:val="clear" w:color="auto" w:fill="auto"/>
            <w:vAlign w:val="center"/>
          </w:tcPr>
          <w:p w14:paraId="3B5F38C7" w14:textId="77777777" w:rsidR="00FF3A47" w:rsidRPr="00B91F3C" w:rsidRDefault="00FF3A47" w:rsidP="00FF3A47">
            <w:pPr>
              <w:jc w:val="right"/>
              <w:rPr>
                <w:rFonts w:cstheme="minorHAnsi"/>
                <w:b/>
                <w:bCs/>
                <w:i/>
                <w:iCs/>
              </w:rPr>
            </w:pPr>
            <w:r w:rsidRPr="00B91F3C">
              <w:rPr>
                <w:b/>
                <w:i/>
              </w:rPr>
              <w:t>-</w:t>
            </w:r>
          </w:p>
        </w:tc>
        <w:tc>
          <w:tcPr>
            <w:tcW w:w="2100" w:type="dxa"/>
            <w:tcBorders>
              <w:top w:val="nil"/>
              <w:left w:val="nil"/>
              <w:bottom w:val="nil"/>
              <w:right w:val="nil"/>
            </w:tcBorders>
            <w:shd w:val="clear" w:color="auto" w:fill="auto"/>
            <w:vAlign w:val="center"/>
          </w:tcPr>
          <w:p w14:paraId="4F11EB55" w14:textId="77777777" w:rsidR="00FF3A47" w:rsidRPr="00B91F3C" w:rsidRDefault="00FF3A47" w:rsidP="00FF3A47">
            <w:pPr>
              <w:jc w:val="center"/>
              <w:rPr>
                <w:rFonts w:cstheme="minorHAnsi"/>
                <w:b/>
                <w:bCs/>
                <w:i/>
                <w:iCs/>
              </w:rPr>
            </w:pPr>
            <w:r w:rsidRPr="00B91F3C">
              <w:rPr>
                <w:b/>
                <w:i/>
              </w:rPr>
              <w:t>120,15 (1%)</w:t>
            </w:r>
          </w:p>
        </w:tc>
      </w:tr>
      <w:tr w:rsidR="00FF3A47" w:rsidRPr="00B91F3C" w14:paraId="285F3CD9" w14:textId="77777777" w:rsidTr="00DA7535">
        <w:trPr>
          <w:trHeight w:val="285"/>
        </w:trPr>
        <w:tc>
          <w:tcPr>
            <w:tcW w:w="3380" w:type="dxa"/>
            <w:tcBorders>
              <w:top w:val="nil"/>
              <w:left w:val="nil"/>
              <w:bottom w:val="nil"/>
              <w:right w:val="nil"/>
            </w:tcBorders>
            <w:shd w:val="clear" w:color="auto" w:fill="auto"/>
            <w:vAlign w:val="center"/>
            <w:hideMark/>
          </w:tcPr>
          <w:p w14:paraId="6259FBC2" w14:textId="77777777" w:rsidR="00FF3A47" w:rsidRPr="00B91F3C" w:rsidRDefault="00FF3A47" w:rsidP="00FF3A47">
            <w:pPr>
              <w:rPr>
                <w:rFonts w:cstheme="minorHAnsi"/>
              </w:rPr>
            </w:pPr>
            <w:r w:rsidRPr="00B91F3C">
              <w:rPr>
                <w:color w:val="000000"/>
              </w:rPr>
              <w:t>Стимулирующие мероприятия</w:t>
            </w:r>
          </w:p>
        </w:tc>
        <w:tc>
          <w:tcPr>
            <w:tcW w:w="2100" w:type="dxa"/>
            <w:tcBorders>
              <w:top w:val="nil"/>
              <w:left w:val="nil"/>
              <w:bottom w:val="nil"/>
              <w:right w:val="nil"/>
            </w:tcBorders>
            <w:shd w:val="clear" w:color="auto" w:fill="auto"/>
            <w:vAlign w:val="center"/>
          </w:tcPr>
          <w:p w14:paraId="311C2D4D" w14:textId="77777777" w:rsidR="00FF3A47" w:rsidRPr="00B91F3C" w:rsidRDefault="00FF3A47" w:rsidP="00FF3A47">
            <w:pPr>
              <w:jc w:val="right"/>
              <w:rPr>
                <w:rFonts w:cstheme="minorHAnsi"/>
              </w:rPr>
            </w:pPr>
            <w:r w:rsidRPr="00B91F3C">
              <w:t>120,15</w:t>
            </w:r>
          </w:p>
        </w:tc>
        <w:tc>
          <w:tcPr>
            <w:tcW w:w="2100" w:type="dxa"/>
            <w:tcBorders>
              <w:top w:val="nil"/>
              <w:left w:val="nil"/>
              <w:bottom w:val="nil"/>
              <w:right w:val="nil"/>
            </w:tcBorders>
            <w:shd w:val="clear" w:color="auto" w:fill="auto"/>
            <w:vAlign w:val="center"/>
          </w:tcPr>
          <w:p w14:paraId="2102A510" w14:textId="77777777" w:rsidR="00FF3A47" w:rsidRPr="00B91F3C" w:rsidRDefault="00FF3A47" w:rsidP="00FF3A47">
            <w:pPr>
              <w:jc w:val="right"/>
              <w:rPr>
                <w:rFonts w:cstheme="minorHAnsi"/>
              </w:rPr>
            </w:pPr>
            <w:r w:rsidRPr="00B91F3C">
              <w:t>-</w:t>
            </w:r>
          </w:p>
        </w:tc>
        <w:tc>
          <w:tcPr>
            <w:tcW w:w="2100" w:type="dxa"/>
            <w:tcBorders>
              <w:top w:val="nil"/>
              <w:left w:val="nil"/>
              <w:bottom w:val="nil"/>
              <w:right w:val="nil"/>
            </w:tcBorders>
            <w:shd w:val="clear" w:color="auto" w:fill="auto"/>
            <w:vAlign w:val="center"/>
          </w:tcPr>
          <w:p w14:paraId="7D83123A" w14:textId="77777777" w:rsidR="00FF3A47" w:rsidRPr="00B91F3C" w:rsidRDefault="00FF3A47" w:rsidP="00FF3A47">
            <w:pPr>
              <w:jc w:val="center"/>
              <w:rPr>
                <w:rFonts w:cstheme="minorHAnsi"/>
              </w:rPr>
            </w:pPr>
            <w:r w:rsidRPr="00B91F3C">
              <w:t>120,15 (1%)</w:t>
            </w:r>
          </w:p>
        </w:tc>
      </w:tr>
      <w:tr w:rsidR="00FF3A47" w:rsidRPr="00B91F3C" w14:paraId="2D0799CB" w14:textId="77777777" w:rsidTr="00DA7535">
        <w:trPr>
          <w:trHeight w:val="285"/>
        </w:trPr>
        <w:tc>
          <w:tcPr>
            <w:tcW w:w="3380" w:type="dxa"/>
            <w:tcBorders>
              <w:top w:val="nil"/>
              <w:left w:val="nil"/>
              <w:bottom w:val="nil"/>
              <w:right w:val="nil"/>
            </w:tcBorders>
            <w:shd w:val="clear" w:color="auto" w:fill="auto"/>
            <w:vAlign w:val="center"/>
            <w:hideMark/>
          </w:tcPr>
          <w:p w14:paraId="68AE1B62" w14:textId="77777777" w:rsidR="00FF3A47" w:rsidRPr="00B91F3C" w:rsidRDefault="00FF3A47" w:rsidP="00FF3A47">
            <w:pPr>
              <w:rPr>
                <w:rFonts w:cstheme="minorHAnsi"/>
                <w:b/>
                <w:bCs/>
                <w:i/>
                <w:iCs/>
              </w:rPr>
            </w:pPr>
            <w:r w:rsidRPr="00B91F3C">
              <w:rPr>
                <w:b/>
                <w:i/>
              </w:rPr>
              <w:t>Комплексные программы</w:t>
            </w:r>
            <w:r w:rsidRPr="00B91F3C">
              <w:rPr>
                <w:rFonts w:cstheme="minorHAnsi"/>
                <w:b/>
                <w:bCs/>
                <w:i/>
                <w:iCs/>
                <w:vertAlign w:val="superscript"/>
              </w:rPr>
              <w:footnoteReference w:id="27"/>
            </w:r>
          </w:p>
        </w:tc>
        <w:tc>
          <w:tcPr>
            <w:tcW w:w="2100" w:type="dxa"/>
            <w:tcBorders>
              <w:top w:val="nil"/>
              <w:left w:val="nil"/>
              <w:bottom w:val="nil"/>
              <w:right w:val="nil"/>
            </w:tcBorders>
            <w:shd w:val="clear" w:color="auto" w:fill="auto"/>
            <w:vAlign w:val="center"/>
          </w:tcPr>
          <w:p w14:paraId="7A5D7489" w14:textId="77777777" w:rsidR="00FF3A47" w:rsidRPr="00B91F3C" w:rsidRDefault="00FF3A47" w:rsidP="00FF3A47">
            <w:pPr>
              <w:jc w:val="right"/>
              <w:rPr>
                <w:rFonts w:cstheme="minorHAnsi"/>
                <w:b/>
                <w:bCs/>
                <w:i/>
                <w:iCs/>
              </w:rPr>
            </w:pPr>
            <w:r w:rsidRPr="00B91F3C">
              <w:rPr>
                <w:b/>
                <w:i/>
              </w:rPr>
              <w:t>1 487,49</w:t>
            </w:r>
          </w:p>
        </w:tc>
        <w:tc>
          <w:tcPr>
            <w:tcW w:w="2100" w:type="dxa"/>
            <w:tcBorders>
              <w:top w:val="nil"/>
              <w:left w:val="nil"/>
              <w:bottom w:val="nil"/>
              <w:right w:val="nil"/>
            </w:tcBorders>
            <w:shd w:val="clear" w:color="auto" w:fill="auto"/>
            <w:vAlign w:val="center"/>
            <w:hideMark/>
          </w:tcPr>
          <w:p w14:paraId="6E4CA839" w14:textId="77777777" w:rsidR="00FF3A47" w:rsidRPr="00B91F3C" w:rsidRDefault="00FF3A47" w:rsidP="00FF3A47">
            <w:pPr>
              <w:jc w:val="right"/>
              <w:rPr>
                <w:rFonts w:cstheme="minorHAnsi"/>
                <w:b/>
                <w:bCs/>
                <w:i/>
                <w:iCs/>
              </w:rPr>
            </w:pPr>
            <w:r w:rsidRPr="00B91F3C">
              <w:rPr>
                <w:b/>
                <w:i/>
              </w:rPr>
              <w:t>9 934,42</w:t>
            </w:r>
          </w:p>
        </w:tc>
        <w:tc>
          <w:tcPr>
            <w:tcW w:w="2100" w:type="dxa"/>
            <w:tcBorders>
              <w:top w:val="nil"/>
              <w:left w:val="nil"/>
              <w:bottom w:val="nil"/>
              <w:right w:val="nil"/>
            </w:tcBorders>
            <w:shd w:val="clear" w:color="auto" w:fill="auto"/>
            <w:vAlign w:val="center"/>
          </w:tcPr>
          <w:p w14:paraId="0DDE87AC" w14:textId="77777777" w:rsidR="00FF3A47" w:rsidRPr="00B91F3C" w:rsidRDefault="00FF3A47" w:rsidP="00FF3A47">
            <w:pPr>
              <w:jc w:val="center"/>
              <w:rPr>
                <w:rFonts w:cstheme="minorHAnsi"/>
                <w:b/>
                <w:bCs/>
                <w:i/>
                <w:iCs/>
              </w:rPr>
            </w:pPr>
            <w:r w:rsidRPr="00B91F3C">
              <w:rPr>
                <w:b/>
                <w:i/>
              </w:rPr>
              <w:t>11 421,9 (71%)</w:t>
            </w:r>
          </w:p>
        </w:tc>
      </w:tr>
      <w:tr w:rsidR="00FF3A47" w:rsidRPr="00B91F3C" w14:paraId="073D1C7C" w14:textId="77777777" w:rsidTr="00DA7535">
        <w:trPr>
          <w:trHeight w:val="285"/>
        </w:trPr>
        <w:tc>
          <w:tcPr>
            <w:tcW w:w="3380" w:type="dxa"/>
            <w:tcBorders>
              <w:top w:val="nil"/>
              <w:left w:val="nil"/>
              <w:bottom w:val="nil"/>
              <w:right w:val="nil"/>
            </w:tcBorders>
            <w:shd w:val="clear" w:color="auto" w:fill="auto"/>
            <w:vAlign w:val="center"/>
            <w:hideMark/>
          </w:tcPr>
          <w:p w14:paraId="17A3BF17" w14:textId="77777777" w:rsidR="00FF3A47" w:rsidRPr="00B91F3C" w:rsidRDefault="00FF3A47" w:rsidP="00FF3A47">
            <w:pPr>
              <w:rPr>
                <w:rFonts w:cstheme="minorHAnsi"/>
              </w:rPr>
            </w:pPr>
            <w:r w:rsidRPr="00B91F3C">
              <w:rPr>
                <w:color w:val="000000"/>
              </w:rPr>
              <w:t xml:space="preserve">Продовольственные системы </w:t>
            </w:r>
          </w:p>
        </w:tc>
        <w:tc>
          <w:tcPr>
            <w:tcW w:w="2100" w:type="dxa"/>
            <w:tcBorders>
              <w:top w:val="nil"/>
              <w:left w:val="nil"/>
              <w:bottom w:val="nil"/>
              <w:right w:val="nil"/>
            </w:tcBorders>
            <w:shd w:val="clear" w:color="auto" w:fill="auto"/>
            <w:vAlign w:val="center"/>
            <w:hideMark/>
          </w:tcPr>
          <w:p w14:paraId="7FE68D9F" w14:textId="77777777" w:rsidR="00FF3A47" w:rsidRPr="00B91F3C" w:rsidRDefault="00FF3A47" w:rsidP="00FF3A47">
            <w:pPr>
              <w:jc w:val="right"/>
              <w:rPr>
                <w:rFonts w:cstheme="minorHAnsi"/>
              </w:rPr>
            </w:pPr>
            <w:r w:rsidRPr="00B91F3C">
              <w:rPr>
                <w:color w:val="000000"/>
              </w:rPr>
              <w:t>281,51</w:t>
            </w:r>
          </w:p>
        </w:tc>
        <w:tc>
          <w:tcPr>
            <w:tcW w:w="2100" w:type="dxa"/>
            <w:tcBorders>
              <w:top w:val="nil"/>
              <w:left w:val="nil"/>
              <w:bottom w:val="nil"/>
              <w:right w:val="nil"/>
            </w:tcBorders>
            <w:shd w:val="clear" w:color="auto" w:fill="auto"/>
            <w:vAlign w:val="center"/>
          </w:tcPr>
          <w:p w14:paraId="4AD41CC6" w14:textId="77777777" w:rsidR="00FF3A47" w:rsidRPr="00B91F3C" w:rsidRDefault="00FF3A47" w:rsidP="00FF3A47">
            <w:pPr>
              <w:jc w:val="right"/>
              <w:rPr>
                <w:rFonts w:cstheme="minorHAnsi"/>
              </w:rPr>
            </w:pPr>
            <w:r w:rsidRPr="00B91F3C">
              <w:rPr>
                <w:color w:val="000000"/>
              </w:rPr>
              <w:t>2 201,65</w:t>
            </w:r>
          </w:p>
        </w:tc>
        <w:tc>
          <w:tcPr>
            <w:tcW w:w="2100" w:type="dxa"/>
            <w:tcBorders>
              <w:top w:val="nil"/>
              <w:left w:val="nil"/>
              <w:bottom w:val="nil"/>
              <w:right w:val="nil"/>
            </w:tcBorders>
            <w:shd w:val="clear" w:color="auto" w:fill="auto"/>
            <w:vAlign w:val="center"/>
            <w:hideMark/>
          </w:tcPr>
          <w:p w14:paraId="4660B644" w14:textId="77777777" w:rsidR="00FF3A47" w:rsidRPr="00B91F3C" w:rsidRDefault="00FF3A47" w:rsidP="00FF3A47">
            <w:pPr>
              <w:jc w:val="center"/>
              <w:rPr>
                <w:rFonts w:cstheme="minorHAnsi"/>
              </w:rPr>
            </w:pPr>
            <w:r w:rsidRPr="00B91F3C">
              <w:rPr>
                <w:i/>
                <w:color w:val="000000"/>
              </w:rPr>
              <w:t>2 483,15 (16%)</w:t>
            </w:r>
          </w:p>
        </w:tc>
      </w:tr>
      <w:tr w:rsidR="00FF3A47" w:rsidRPr="00B91F3C" w14:paraId="4BEA7DC0" w14:textId="77777777" w:rsidTr="00DA7535">
        <w:trPr>
          <w:trHeight w:val="570"/>
        </w:trPr>
        <w:tc>
          <w:tcPr>
            <w:tcW w:w="3380" w:type="dxa"/>
            <w:tcBorders>
              <w:top w:val="nil"/>
              <w:left w:val="nil"/>
              <w:bottom w:val="nil"/>
              <w:right w:val="nil"/>
            </w:tcBorders>
            <w:shd w:val="clear" w:color="auto" w:fill="auto"/>
            <w:vAlign w:val="center"/>
            <w:hideMark/>
          </w:tcPr>
          <w:p w14:paraId="4E7A62FD" w14:textId="77777777" w:rsidR="00FF3A47" w:rsidRPr="00B91F3C" w:rsidRDefault="00FF3A47" w:rsidP="00FF3A47">
            <w:pPr>
              <w:rPr>
                <w:rFonts w:cstheme="minorHAnsi"/>
              </w:rPr>
            </w:pPr>
            <w:r w:rsidRPr="00B91F3C">
              <w:rPr>
                <w:color w:val="000000"/>
              </w:rPr>
              <w:t>Восстановление экосистем</w:t>
            </w:r>
          </w:p>
        </w:tc>
        <w:tc>
          <w:tcPr>
            <w:tcW w:w="2100" w:type="dxa"/>
            <w:tcBorders>
              <w:top w:val="nil"/>
              <w:left w:val="nil"/>
              <w:bottom w:val="nil"/>
              <w:right w:val="nil"/>
            </w:tcBorders>
            <w:shd w:val="clear" w:color="auto" w:fill="auto"/>
            <w:vAlign w:val="center"/>
            <w:hideMark/>
          </w:tcPr>
          <w:p w14:paraId="4834689D" w14:textId="77777777" w:rsidR="00FF3A47" w:rsidRPr="00B91F3C" w:rsidRDefault="00FF3A47" w:rsidP="00FF3A47">
            <w:pPr>
              <w:jc w:val="right"/>
              <w:rPr>
                <w:rFonts w:cstheme="minorHAnsi"/>
              </w:rPr>
            </w:pPr>
            <w:r w:rsidRPr="00B91F3C">
              <w:rPr>
                <w:color w:val="000000"/>
              </w:rPr>
              <w:t>205,04</w:t>
            </w:r>
          </w:p>
        </w:tc>
        <w:tc>
          <w:tcPr>
            <w:tcW w:w="2100" w:type="dxa"/>
            <w:tcBorders>
              <w:top w:val="nil"/>
              <w:left w:val="nil"/>
              <w:bottom w:val="nil"/>
              <w:right w:val="nil"/>
            </w:tcBorders>
            <w:shd w:val="clear" w:color="auto" w:fill="auto"/>
            <w:vAlign w:val="center"/>
          </w:tcPr>
          <w:p w14:paraId="1D9E2DAC" w14:textId="77777777" w:rsidR="00FF3A47" w:rsidRPr="00B91F3C" w:rsidRDefault="00FF3A47" w:rsidP="00FF3A47">
            <w:pPr>
              <w:jc w:val="right"/>
              <w:rPr>
                <w:rFonts w:cstheme="minorHAnsi"/>
              </w:rPr>
            </w:pPr>
            <w:r w:rsidRPr="00B91F3C">
              <w:rPr>
                <w:color w:val="000000"/>
              </w:rPr>
              <w:t>1 627,50</w:t>
            </w:r>
          </w:p>
        </w:tc>
        <w:tc>
          <w:tcPr>
            <w:tcW w:w="2100" w:type="dxa"/>
            <w:tcBorders>
              <w:top w:val="nil"/>
              <w:left w:val="nil"/>
              <w:bottom w:val="nil"/>
              <w:right w:val="nil"/>
            </w:tcBorders>
            <w:shd w:val="clear" w:color="auto" w:fill="auto"/>
            <w:vAlign w:val="center"/>
            <w:hideMark/>
          </w:tcPr>
          <w:p w14:paraId="584AE2C5" w14:textId="77777777" w:rsidR="00FF3A47" w:rsidRPr="00B91F3C" w:rsidRDefault="00FF3A47" w:rsidP="00FF3A47">
            <w:pPr>
              <w:jc w:val="center"/>
              <w:rPr>
                <w:rFonts w:cstheme="minorHAnsi"/>
              </w:rPr>
            </w:pPr>
            <w:r w:rsidRPr="00B91F3C">
              <w:rPr>
                <w:i/>
                <w:color w:val="000000"/>
              </w:rPr>
              <w:t>1 832,54 (11%)</w:t>
            </w:r>
          </w:p>
        </w:tc>
      </w:tr>
      <w:tr w:rsidR="00FF3A47" w:rsidRPr="00B91F3C" w14:paraId="71653C8F" w14:textId="77777777" w:rsidTr="00DA7535">
        <w:trPr>
          <w:trHeight w:val="570"/>
        </w:trPr>
        <w:tc>
          <w:tcPr>
            <w:tcW w:w="3380" w:type="dxa"/>
            <w:tcBorders>
              <w:top w:val="nil"/>
              <w:left w:val="nil"/>
              <w:bottom w:val="nil"/>
              <w:right w:val="nil"/>
            </w:tcBorders>
            <w:shd w:val="clear" w:color="auto" w:fill="auto"/>
            <w:vAlign w:val="center"/>
            <w:hideMark/>
          </w:tcPr>
          <w:p w14:paraId="7DE714F3" w14:textId="77777777" w:rsidR="00FF3A47" w:rsidRPr="00B91F3C" w:rsidRDefault="00FF3A47" w:rsidP="00FF3A47">
            <w:r w:rsidRPr="00B91F3C">
              <w:t xml:space="preserve">Амазонка, Конго и критические лесные биомы </w:t>
            </w:r>
          </w:p>
          <w:p w14:paraId="251BA531" w14:textId="77777777" w:rsidR="00FF3A47" w:rsidRPr="00B91F3C" w:rsidRDefault="00FF3A47" w:rsidP="00FF3A47">
            <w:pPr>
              <w:rPr>
                <w:rFonts w:cstheme="minorHAnsi"/>
              </w:rPr>
            </w:pPr>
          </w:p>
        </w:tc>
        <w:tc>
          <w:tcPr>
            <w:tcW w:w="2100" w:type="dxa"/>
            <w:tcBorders>
              <w:top w:val="nil"/>
              <w:left w:val="nil"/>
              <w:bottom w:val="nil"/>
              <w:right w:val="nil"/>
            </w:tcBorders>
            <w:shd w:val="clear" w:color="auto" w:fill="auto"/>
            <w:vAlign w:val="center"/>
            <w:hideMark/>
          </w:tcPr>
          <w:p w14:paraId="309D0678" w14:textId="77777777" w:rsidR="00FF3A47" w:rsidRPr="00B91F3C" w:rsidRDefault="00FF3A47" w:rsidP="00FF3A47">
            <w:pPr>
              <w:jc w:val="right"/>
              <w:rPr>
                <w:rFonts w:cstheme="minorHAnsi"/>
              </w:rPr>
            </w:pPr>
            <w:r w:rsidRPr="00B91F3C">
              <w:rPr>
                <w:color w:val="000000"/>
              </w:rPr>
              <w:t>306,57</w:t>
            </w:r>
          </w:p>
        </w:tc>
        <w:tc>
          <w:tcPr>
            <w:tcW w:w="2100" w:type="dxa"/>
            <w:tcBorders>
              <w:top w:val="nil"/>
              <w:left w:val="nil"/>
              <w:bottom w:val="nil"/>
              <w:right w:val="nil"/>
            </w:tcBorders>
            <w:shd w:val="clear" w:color="auto" w:fill="auto"/>
            <w:vAlign w:val="center"/>
          </w:tcPr>
          <w:p w14:paraId="130DEFE1" w14:textId="77777777" w:rsidR="00FF3A47" w:rsidRPr="00B91F3C" w:rsidRDefault="00FF3A47" w:rsidP="00FF3A47">
            <w:pPr>
              <w:jc w:val="right"/>
              <w:rPr>
                <w:rFonts w:cstheme="minorHAnsi"/>
              </w:rPr>
            </w:pPr>
            <w:r w:rsidRPr="00B91F3C">
              <w:rPr>
                <w:color w:val="000000"/>
              </w:rPr>
              <w:t>1 736,20</w:t>
            </w:r>
          </w:p>
        </w:tc>
        <w:tc>
          <w:tcPr>
            <w:tcW w:w="2100" w:type="dxa"/>
            <w:tcBorders>
              <w:top w:val="nil"/>
              <w:left w:val="nil"/>
              <w:bottom w:val="nil"/>
              <w:right w:val="nil"/>
            </w:tcBorders>
            <w:shd w:val="clear" w:color="auto" w:fill="auto"/>
            <w:vAlign w:val="center"/>
            <w:hideMark/>
          </w:tcPr>
          <w:p w14:paraId="18B84CC1" w14:textId="77777777" w:rsidR="00FF3A47" w:rsidRPr="00B91F3C" w:rsidRDefault="00FF3A47" w:rsidP="00FF3A47">
            <w:pPr>
              <w:jc w:val="center"/>
              <w:rPr>
                <w:rFonts w:cstheme="minorHAnsi"/>
              </w:rPr>
            </w:pPr>
            <w:r w:rsidRPr="00B91F3C">
              <w:rPr>
                <w:i/>
                <w:color w:val="000000"/>
              </w:rPr>
              <w:t>2 042,77 (13%)</w:t>
            </w:r>
          </w:p>
        </w:tc>
      </w:tr>
      <w:tr w:rsidR="00FF3A47" w:rsidRPr="00B91F3C" w14:paraId="37F6B9C9" w14:textId="77777777" w:rsidTr="00DA7535">
        <w:trPr>
          <w:trHeight w:val="570"/>
        </w:trPr>
        <w:tc>
          <w:tcPr>
            <w:tcW w:w="3380" w:type="dxa"/>
            <w:tcBorders>
              <w:top w:val="nil"/>
              <w:left w:val="nil"/>
              <w:bottom w:val="nil"/>
              <w:right w:val="nil"/>
            </w:tcBorders>
            <w:shd w:val="clear" w:color="auto" w:fill="auto"/>
            <w:vAlign w:val="center"/>
            <w:hideMark/>
          </w:tcPr>
          <w:p w14:paraId="53D13FD8" w14:textId="77777777" w:rsidR="00FF3A47" w:rsidRPr="00B91F3C" w:rsidRDefault="00FF3A47" w:rsidP="00FF3A47">
            <w:pPr>
              <w:rPr>
                <w:rFonts w:cstheme="minorHAnsi"/>
              </w:rPr>
            </w:pPr>
            <w:r w:rsidRPr="00B91F3C">
              <w:rPr>
                <w:color w:val="000000"/>
              </w:rPr>
              <w:t xml:space="preserve">Циркулярные решения проблемы пластикового загрязнения  </w:t>
            </w:r>
          </w:p>
        </w:tc>
        <w:tc>
          <w:tcPr>
            <w:tcW w:w="2100" w:type="dxa"/>
            <w:tcBorders>
              <w:top w:val="nil"/>
              <w:left w:val="nil"/>
              <w:bottom w:val="nil"/>
              <w:right w:val="nil"/>
            </w:tcBorders>
            <w:shd w:val="clear" w:color="auto" w:fill="auto"/>
            <w:vAlign w:val="center"/>
            <w:hideMark/>
          </w:tcPr>
          <w:p w14:paraId="1D8B3217" w14:textId="77777777" w:rsidR="00FF3A47" w:rsidRPr="00B91F3C" w:rsidRDefault="00FF3A47" w:rsidP="00FF3A47">
            <w:pPr>
              <w:jc w:val="right"/>
              <w:rPr>
                <w:rFonts w:cstheme="minorHAnsi"/>
              </w:rPr>
            </w:pPr>
            <w:r w:rsidRPr="00B91F3C">
              <w:rPr>
                <w:color w:val="000000"/>
              </w:rPr>
              <w:t>107,94</w:t>
            </w:r>
          </w:p>
        </w:tc>
        <w:tc>
          <w:tcPr>
            <w:tcW w:w="2100" w:type="dxa"/>
            <w:tcBorders>
              <w:top w:val="nil"/>
              <w:left w:val="nil"/>
              <w:bottom w:val="nil"/>
              <w:right w:val="nil"/>
            </w:tcBorders>
            <w:shd w:val="clear" w:color="auto" w:fill="auto"/>
            <w:vAlign w:val="center"/>
          </w:tcPr>
          <w:p w14:paraId="000D500F" w14:textId="77777777" w:rsidR="00FF3A47" w:rsidRPr="00B91F3C" w:rsidRDefault="00FF3A47" w:rsidP="00FF3A47">
            <w:pPr>
              <w:jc w:val="right"/>
              <w:rPr>
                <w:rFonts w:cstheme="minorHAnsi"/>
              </w:rPr>
            </w:pPr>
            <w:r w:rsidRPr="00B91F3C">
              <w:rPr>
                <w:color w:val="000000"/>
              </w:rPr>
              <w:t>595,78</w:t>
            </w:r>
          </w:p>
        </w:tc>
        <w:tc>
          <w:tcPr>
            <w:tcW w:w="2100" w:type="dxa"/>
            <w:tcBorders>
              <w:top w:val="nil"/>
              <w:left w:val="nil"/>
              <w:bottom w:val="nil"/>
              <w:right w:val="nil"/>
            </w:tcBorders>
            <w:shd w:val="clear" w:color="auto" w:fill="auto"/>
            <w:vAlign w:val="center"/>
            <w:hideMark/>
          </w:tcPr>
          <w:p w14:paraId="19C50FAA" w14:textId="77777777" w:rsidR="00FF3A47" w:rsidRPr="00B91F3C" w:rsidRDefault="00FF3A47" w:rsidP="00FF3A47">
            <w:pPr>
              <w:jc w:val="center"/>
              <w:rPr>
                <w:rFonts w:cstheme="minorHAnsi"/>
              </w:rPr>
            </w:pPr>
            <w:r w:rsidRPr="00B91F3C">
              <w:rPr>
                <w:i/>
                <w:color w:val="000000"/>
              </w:rPr>
              <w:t>703,72 (4%)</w:t>
            </w:r>
          </w:p>
        </w:tc>
      </w:tr>
      <w:tr w:rsidR="00FF3A47" w:rsidRPr="00B91F3C" w14:paraId="368D7A57" w14:textId="77777777" w:rsidTr="00DA7535">
        <w:trPr>
          <w:trHeight w:val="570"/>
        </w:trPr>
        <w:tc>
          <w:tcPr>
            <w:tcW w:w="3380" w:type="dxa"/>
            <w:tcBorders>
              <w:top w:val="nil"/>
              <w:left w:val="nil"/>
              <w:bottom w:val="nil"/>
              <w:right w:val="nil"/>
            </w:tcBorders>
            <w:shd w:val="clear" w:color="auto" w:fill="auto"/>
            <w:vAlign w:val="center"/>
            <w:hideMark/>
          </w:tcPr>
          <w:p w14:paraId="0F423107" w14:textId="77777777" w:rsidR="00FF3A47" w:rsidRPr="00B91F3C" w:rsidRDefault="00FF3A47" w:rsidP="00FF3A47">
            <w:pPr>
              <w:rPr>
                <w:rFonts w:cstheme="minorHAnsi"/>
              </w:rPr>
            </w:pPr>
            <w:r w:rsidRPr="00B91F3C">
              <w:rPr>
                <w:color w:val="000000"/>
              </w:rPr>
              <w:t xml:space="preserve">Голубые и зеленые острова </w:t>
            </w:r>
          </w:p>
        </w:tc>
        <w:tc>
          <w:tcPr>
            <w:tcW w:w="2100" w:type="dxa"/>
            <w:tcBorders>
              <w:top w:val="nil"/>
              <w:left w:val="nil"/>
              <w:bottom w:val="nil"/>
              <w:right w:val="nil"/>
            </w:tcBorders>
            <w:shd w:val="clear" w:color="auto" w:fill="auto"/>
            <w:vAlign w:val="center"/>
            <w:hideMark/>
          </w:tcPr>
          <w:p w14:paraId="795F951C" w14:textId="77777777" w:rsidR="00FF3A47" w:rsidRPr="00B91F3C" w:rsidRDefault="00FF3A47" w:rsidP="00FF3A47">
            <w:pPr>
              <w:jc w:val="right"/>
              <w:rPr>
                <w:rFonts w:cstheme="minorHAnsi"/>
              </w:rPr>
            </w:pPr>
            <w:r w:rsidRPr="00B91F3C">
              <w:rPr>
                <w:color w:val="000000"/>
              </w:rPr>
              <w:t>135,63</w:t>
            </w:r>
          </w:p>
        </w:tc>
        <w:tc>
          <w:tcPr>
            <w:tcW w:w="2100" w:type="dxa"/>
            <w:tcBorders>
              <w:top w:val="nil"/>
              <w:left w:val="nil"/>
              <w:bottom w:val="nil"/>
              <w:right w:val="nil"/>
            </w:tcBorders>
            <w:shd w:val="clear" w:color="auto" w:fill="auto"/>
            <w:vAlign w:val="center"/>
          </w:tcPr>
          <w:p w14:paraId="62E83C85" w14:textId="77777777" w:rsidR="00FF3A47" w:rsidRPr="00B91F3C" w:rsidRDefault="00FF3A47" w:rsidP="00FF3A47">
            <w:pPr>
              <w:jc w:val="right"/>
              <w:rPr>
                <w:rFonts w:cstheme="minorHAnsi"/>
              </w:rPr>
            </w:pPr>
            <w:r w:rsidRPr="00B91F3C">
              <w:rPr>
                <w:color w:val="000000"/>
              </w:rPr>
              <w:t>733,79</w:t>
            </w:r>
          </w:p>
        </w:tc>
        <w:tc>
          <w:tcPr>
            <w:tcW w:w="2100" w:type="dxa"/>
            <w:tcBorders>
              <w:top w:val="nil"/>
              <w:left w:val="nil"/>
              <w:bottom w:val="nil"/>
              <w:right w:val="nil"/>
            </w:tcBorders>
            <w:shd w:val="clear" w:color="auto" w:fill="auto"/>
            <w:vAlign w:val="center"/>
            <w:hideMark/>
          </w:tcPr>
          <w:p w14:paraId="0266A325" w14:textId="77777777" w:rsidR="00FF3A47" w:rsidRPr="00B91F3C" w:rsidRDefault="00FF3A47" w:rsidP="00FF3A47">
            <w:pPr>
              <w:jc w:val="center"/>
              <w:rPr>
                <w:rFonts w:cstheme="minorHAnsi"/>
              </w:rPr>
            </w:pPr>
            <w:r w:rsidRPr="00B91F3C">
              <w:rPr>
                <w:i/>
                <w:color w:val="000000"/>
              </w:rPr>
              <w:t>869,42 (5%)</w:t>
            </w:r>
          </w:p>
        </w:tc>
      </w:tr>
      <w:tr w:rsidR="00FF3A47" w:rsidRPr="00B91F3C" w14:paraId="2400B72F" w14:textId="77777777" w:rsidTr="00DA7535">
        <w:trPr>
          <w:trHeight w:val="570"/>
        </w:trPr>
        <w:tc>
          <w:tcPr>
            <w:tcW w:w="3380" w:type="dxa"/>
            <w:tcBorders>
              <w:top w:val="nil"/>
              <w:left w:val="nil"/>
              <w:bottom w:val="nil"/>
              <w:right w:val="nil"/>
            </w:tcBorders>
            <w:shd w:val="clear" w:color="auto" w:fill="auto"/>
            <w:vAlign w:val="center"/>
            <w:hideMark/>
          </w:tcPr>
          <w:p w14:paraId="6C9B226A" w14:textId="77777777" w:rsidR="00FF3A47" w:rsidRPr="00B91F3C" w:rsidRDefault="00FF3A47" w:rsidP="00FF3A47">
            <w:pPr>
              <w:rPr>
                <w:rFonts w:cstheme="minorHAnsi"/>
              </w:rPr>
            </w:pPr>
            <w:r w:rsidRPr="00B91F3C">
              <w:rPr>
                <w:color w:val="000000"/>
              </w:rPr>
              <w:t>Чистые и здоровые океаны</w:t>
            </w:r>
          </w:p>
        </w:tc>
        <w:tc>
          <w:tcPr>
            <w:tcW w:w="2100" w:type="dxa"/>
            <w:tcBorders>
              <w:top w:val="nil"/>
              <w:left w:val="nil"/>
              <w:bottom w:val="nil"/>
              <w:right w:val="nil"/>
            </w:tcBorders>
            <w:shd w:val="clear" w:color="auto" w:fill="auto"/>
            <w:vAlign w:val="center"/>
            <w:hideMark/>
          </w:tcPr>
          <w:p w14:paraId="16841FF1" w14:textId="77777777" w:rsidR="00FF3A47" w:rsidRPr="00B91F3C" w:rsidRDefault="00FF3A47" w:rsidP="00FF3A47">
            <w:pPr>
              <w:jc w:val="right"/>
              <w:rPr>
                <w:rFonts w:cstheme="minorHAnsi"/>
              </w:rPr>
            </w:pPr>
            <w:r w:rsidRPr="00B91F3C">
              <w:rPr>
                <w:color w:val="000000"/>
              </w:rPr>
              <w:t>112,37</w:t>
            </w:r>
          </w:p>
        </w:tc>
        <w:tc>
          <w:tcPr>
            <w:tcW w:w="2100" w:type="dxa"/>
            <w:tcBorders>
              <w:top w:val="nil"/>
              <w:left w:val="nil"/>
              <w:bottom w:val="nil"/>
              <w:right w:val="nil"/>
            </w:tcBorders>
            <w:shd w:val="clear" w:color="auto" w:fill="auto"/>
            <w:vAlign w:val="center"/>
          </w:tcPr>
          <w:p w14:paraId="65CA1586" w14:textId="77777777" w:rsidR="00FF3A47" w:rsidRPr="00B91F3C" w:rsidRDefault="00FF3A47" w:rsidP="00FF3A47">
            <w:pPr>
              <w:jc w:val="right"/>
              <w:rPr>
                <w:rFonts w:cstheme="minorHAnsi"/>
              </w:rPr>
            </w:pPr>
            <w:r w:rsidRPr="00B91F3C">
              <w:rPr>
                <w:color w:val="000000"/>
              </w:rPr>
              <w:t>748,06</w:t>
            </w:r>
          </w:p>
        </w:tc>
        <w:tc>
          <w:tcPr>
            <w:tcW w:w="2100" w:type="dxa"/>
            <w:tcBorders>
              <w:top w:val="nil"/>
              <w:left w:val="nil"/>
              <w:bottom w:val="nil"/>
              <w:right w:val="nil"/>
            </w:tcBorders>
            <w:shd w:val="clear" w:color="auto" w:fill="auto"/>
            <w:vAlign w:val="center"/>
            <w:hideMark/>
          </w:tcPr>
          <w:p w14:paraId="14A89FA2" w14:textId="77777777" w:rsidR="00FF3A47" w:rsidRPr="00B91F3C" w:rsidRDefault="00FF3A47" w:rsidP="00FF3A47">
            <w:pPr>
              <w:jc w:val="center"/>
              <w:rPr>
                <w:rFonts w:cstheme="minorHAnsi"/>
              </w:rPr>
            </w:pPr>
            <w:r w:rsidRPr="00B91F3C">
              <w:rPr>
                <w:i/>
                <w:color w:val="000000"/>
              </w:rPr>
              <w:t>860,43 (5%)</w:t>
            </w:r>
          </w:p>
        </w:tc>
      </w:tr>
      <w:tr w:rsidR="00FF3A47" w:rsidRPr="00B91F3C" w14:paraId="29B838C9" w14:textId="77777777" w:rsidTr="00DA7535">
        <w:trPr>
          <w:trHeight w:val="570"/>
        </w:trPr>
        <w:tc>
          <w:tcPr>
            <w:tcW w:w="3380" w:type="dxa"/>
            <w:tcBorders>
              <w:top w:val="nil"/>
              <w:left w:val="nil"/>
              <w:bottom w:val="nil"/>
              <w:right w:val="nil"/>
            </w:tcBorders>
            <w:shd w:val="clear" w:color="auto" w:fill="auto"/>
            <w:vAlign w:val="center"/>
            <w:hideMark/>
          </w:tcPr>
          <w:p w14:paraId="4A805BCB" w14:textId="77777777" w:rsidR="00FF3A47" w:rsidRPr="00B91F3C" w:rsidRDefault="00FF3A47" w:rsidP="00FF3A47">
            <w:pPr>
              <w:spacing w:line="240" w:lineRule="auto"/>
              <w:rPr>
                <w:color w:val="000000"/>
              </w:rPr>
            </w:pPr>
            <w:r w:rsidRPr="00B91F3C">
              <w:rPr>
                <w:color w:val="000000"/>
              </w:rPr>
              <w:t xml:space="preserve">Ускоритель нулевого уровня выбросов </w:t>
            </w:r>
          </w:p>
          <w:p w14:paraId="394E4CCB" w14:textId="77777777" w:rsidR="00FF3A47" w:rsidRPr="00B91F3C" w:rsidRDefault="00FF3A47" w:rsidP="00FF3A47">
            <w:pPr>
              <w:spacing w:line="240" w:lineRule="auto"/>
              <w:rPr>
                <w:rFonts w:cstheme="minorHAnsi"/>
              </w:rPr>
            </w:pPr>
          </w:p>
        </w:tc>
        <w:tc>
          <w:tcPr>
            <w:tcW w:w="2100" w:type="dxa"/>
            <w:tcBorders>
              <w:top w:val="nil"/>
              <w:left w:val="nil"/>
              <w:bottom w:val="nil"/>
              <w:right w:val="nil"/>
            </w:tcBorders>
            <w:shd w:val="clear" w:color="auto" w:fill="auto"/>
            <w:vAlign w:val="center"/>
            <w:hideMark/>
          </w:tcPr>
          <w:p w14:paraId="0BE4DD9E" w14:textId="77777777" w:rsidR="00FF3A47" w:rsidRPr="00B91F3C" w:rsidRDefault="00FF3A47" w:rsidP="00FF3A47">
            <w:pPr>
              <w:jc w:val="right"/>
              <w:rPr>
                <w:rFonts w:cstheme="minorHAnsi"/>
              </w:rPr>
            </w:pPr>
            <w:r w:rsidRPr="00B91F3C">
              <w:rPr>
                <w:color w:val="000000"/>
              </w:rPr>
              <w:t>109,97</w:t>
            </w:r>
          </w:p>
        </w:tc>
        <w:tc>
          <w:tcPr>
            <w:tcW w:w="2100" w:type="dxa"/>
            <w:tcBorders>
              <w:top w:val="nil"/>
              <w:left w:val="nil"/>
              <w:bottom w:val="nil"/>
              <w:right w:val="nil"/>
            </w:tcBorders>
            <w:shd w:val="clear" w:color="auto" w:fill="auto"/>
            <w:vAlign w:val="center"/>
          </w:tcPr>
          <w:p w14:paraId="6616B004" w14:textId="77777777" w:rsidR="00FF3A47" w:rsidRPr="00B91F3C" w:rsidRDefault="00FF3A47" w:rsidP="00FF3A47">
            <w:pPr>
              <w:jc w:val="right"/>
              <w:rPr>
                <w:rFonts w:cstheme="minorHAnsi"/>
              </w:rPr>
            </w:pPr>
            <w:r w:rsidRPr="00B91F3C">
              <w:rPr>
                <w:color w:val="000000"/>
              </w:rPr>
              <w:t>695,18</w:t>
            </w:r>
          </w:p>
        </w:tc>
        <w:tc>
          <w:tcPr>
            <w:tcW w:w="2100" w:type="dxa"/>
            <w:tcBorders>
              <w:top w:val="nil"/>
              <w:left w:val="nil"/>
              <w:bottom w:val="nil"/>
              <w:right w:val="nil"/>
            </w:tcBorders>
            <w:shd w:val="clear" w:color="auto" w:fill="auto"/>
            <w:vAlign w:val="center"/>
            <w:hideMark/>
          </w:tcPr>
          <w:p w14:paraId="0F6B7D72" w14:textId="77777777" w:rsidR="00FF3A47" w:rsidRPr="00B91F3C" w:rsidRDefault="00FF3A47" w:rsidP="00FF3A47">
            <w:pPr>
              <w:jc w:val="center"/>
              <w:rPr>
                <w:rFonts w:cstheme="minorHAnsi"/>
              </w:rPr>
            </w:pPr>
            <w:r w:rsidRPr="00B91F3C">
              <w:rPr>
                <w:i/>
                <w:color w:val="000000"/>
              </w:rPr>
              <w:t>805,15 (5%)</w:t>
            </w:r>
          </w:p>
        </w:tc>
      </w:tr>
      <w:tr w:rsidR="00FF3A47" w:rsidRPr="00B91F3C" w14:paraId="133DA07A" w14:textId="77777777" w:rsidTr="00DA7535">
        <w:trPr>
          <w:trHeight w:val="570"/>
        </w:trPr>
        <w:tc>
          <w:tcPr>
            <w:tcW w:w="3380" w:type="dxa"/>
            <w:tcBorders>
              <w:top w:val="nil"/>
              <w:left w:val="nil"/>
              <w:bottom w:val="nil"/>
              <w:right w:val="nil"/>
            </w:tcBorders>
            <w:shd w:val="clear" w:color="auto" w:fill="auto"/>
            <w:vAlign w:val="center"/>
            <w:hideMark/>
          </w:tcPr>
          <w:p w14:paraId="1B673D9B" w14:textId="77777777" w:rsidR="00FF3A47" w:rsidRPr="00B91F3C" w:rsidRDefault="00FF3A47" w:rsidP="00FF3A47">
            <w:pPr>
              <w:rPr>
                <w:rFonts w:cstheme="minorHAnsi"/>
              </w:rPr>
            </w:pPr>
            <w:r w:rsidRPr="00B91F3C">
              <w:rPr>
                <w:color w:val="000000"/>
              </w:rPr>
              <w:t xml:space="preserve">Сохранение дикой природы в интересах развития </w:t>
            </w:r>
          </w:p>
        </w:tc>
        <w:tc>
          <w:tcPr>
            <w:tcW w:w="2100" w:type="dxa"/>
            <w:tcBorders>
              <w:top w:val="nil"/>
              <w:left w:val="nil"/>
              <w:bottom w:val="nil"/>
              <w:right w:val="nil"/>
            </w:tcBorders>
            <w:shd w:val="clear" w:color="auto" w:fill="auto"/>
            <w:vAlign w:val="center"/>
            <w:hideMark/>
          </w:tcPr>
          <w:p w14:paraId="62B31AD4" w14:textId="77777777" w:rsidR="00FF3A47" w:rsidRPr="00B91F3C" w:rsidRDefault="00FF3A47" w:rsidP="00FF3A47">
            <w:pPr>
              <w:jc w:val="right"/>
              <w:rPr>
                <w:rFonts w:cstheme="minorHAnsi"/>
              </w:rPr>
            </w:pPr>
            <w:r w:rsidRPr="00B91F3C">
              <w:rPr>
                <w:color w:val="000000"/>
              </w:rPr>
              <w:t>150,31</w:t>
            </w:r>
          </w:p>
        </w:tc>
        <w:tc>
          <w:tcPr>
            <w:tcW w:w="2100" w:type="dxa"/>
            <w:tcBorders>
              <w:top w:val="nil"/>
              <w:left w:val="nil"/>
              <w:bottom w:val="nil"/>
              <w:right w:val="nil"/>
            </w:tcBorders>
            <w:shd w:val="clear" w:color="auto" w:fill="auto"/>
            <w:vAlign w:val="center"/>
          </w:tcPr>
          <w:p w14:paraId="0C1927B6" w14:textId="77777777" w:rsidR="00FF3A47" w:rsidRPr="00B91F3C" w:rsidRDefault="00FF3A47" w:rsidP="00FF3A47">
            <w:pPr>
              <w:jc w:val="right"/>
              <w:rPr>
                <w:rFonts w:cstheme="minorHAnsi"/>
              </w:rPr>
            </w:pPr>
            <w:r w:rsidRPr="00B91F3C">
              <w:rPr>
                <w:color w:val="000000"/>
              </w:rPr>
              <w:t>892,10</w:t>
            </w:r>
          </w:p>
        </w:tc>
        <w:tc>
          <w:tcPr>
            <w:tcW w:w="2100" w:type="dxa"/>
            <w:tcBorders>
              <w:top w:val="nil"/>
              <w:left w:val="nil"/>
              <w:bottom w:val="nil"/>
              <w:right w:val="nil"/>
            </w:tcBorders>
            <w:shd w:val="clear" w:color="auto" w:fill="auto"/>
            <w:vAlign w:val="center"/>
            <w:hideMark/>
          </w:tcPr>
          <w:p w14:paraId="3C152BC9" w14:textId="77777777" w:rsidR="00FF3A47" w:rsidRPr="00B91F3C" w:rsidRDefault="00FF3A47" w:rsidP="00FF3A47">
            <w:pPr>
              <w:jc w:val="center"/>
              <w:rPr>
                <w:rFonts w:cstheme="minorHAnsi"/>
              </w:rPr>
            </w:pPr>
            <w:r w:rsidRPr="00B91F3C">
              <w:rPr>
                <w:i/>
                <w:color w:val="000000"/>
              </w:rPr>
              <w:t>1 042,41 (7%)</w:t>
            </w:r>
          </w:p>
        </w:tc>
      </w:tr>
      <w:tr w:rsidR="00FF3A47" w:rsidRPr="00B91F3C" w14:paraId="025F29EC" w14:textId="77777777" w:rsidTr="00DA7535">
        <w:trPr>
          <w:trHeight w:val="855"/>
        </w:trPr>
        <w:tc>
          <w:tcPr>
            <w:tcW w:w="3380" w:type="dxa"/>
            <w:tcBorders>
              <w:top w:val="nil"/>
              <w:left w:val="nil"/>
              <w:bottom w:val="nil"/>
              <w:right w:val="nil"/>
            </w:tcBorders>
            <w:shd w:val="clear" w:color="auto" w:fill="auto"/>
            <w:vAlign w:val="center"/>
            <w:hideMark/>
          </w:tcPr>
          <w:p w14:paraId="3E4235B9" w14:textId="77777777" w:rsidR="00FF3A47" w:rsidRPr="00B91F3C" w:rsidRDefault="00FF3A47" w:rsidP="00FF3A47">
            <w:pPr>
              <w:rPr>
                <w:rFonts w:cstheme="minorHAnsi"/>
              </w:rPr>
            </w:pPr>
            <w:r w:rsidRPr="00B91F3C">
              <w:rPr>
                <w:color w:val="000000"/>
              </w:rPr>
              <w:t>Зеленое развитие транспортной инфраструктуры</w:t>
            </w:r>
          </w:p>
        </w:tc>
        <w:tc>
          <w:tcPr>
            <w:tcW w:w="2100" w:type="dxa"/>
            <w:tcBorders>
              <w:top w:val="nil"/>
              <w:left w:val="nil"/>
              <w:bottom w:val="nil"/>
              <w:right w:val="nil"/>
            </w:tcBorders>
            <w:shd w:val="clear" w:color="auto" w:fill="auto"/>
            <w:vAlign w:val="center"/>
            <w:hideMark/>
          </w:tcPr>
          <w:p w14:paraId="0D13C60A" w14:textId="77777777" w:rsidR="00FF3A47" w:rsidRPr="00B91F3C" w:rsidRDefault="00FF3A47" w:rsidP="00FF3A47">
            <w:pPr>
              <w:jc w:val="right"/>
              <w:rPr>
                <w:rFonts w:cstheme="minorHAnsi"/>
              </w:rPr>
            </w:pPr>
            <w:r w:rsidRPr="00B91F3C">
              <w:rPr>
                <w:color w:val="000000"/>
              </w:rPr>
              <w:t>26,84</w:t>
            </w:r>
          </w:p>
        </w:tc>
        <w:tc>
          <w:tcPr>
            <w:tcW w:w="2100" w:type="dxa"/>
            <w:tcBorders>
              <w:top w:val="nil"/>
              <w:left w:val="nil"/>
              <w:bottom w:val="nil"/>
              <w:right w:val="nil"/>
            </w:tcBorders>
            <w:shd w:val="clear" w:color="auto" w:fill="auto"/>
            <w:vAlign w:val="center"/>
          </w:tcPr>
          <w:p w14:paraId="4AA11A37" w14:textId="77777777" w:rsidR="00FF3A47" w:rsidRPr="00B91F3C" w:rsidRDefault="00FF3A47" w:rsidP="00FF3A47">
            <w:pPr>
              <w:jc w:val="right"/>
              <w:rPr>
                <w:rFonts w:cstheme="minorHAnsi"/>
              </w:rPr>
            </w:pPr>
            <w:r w:rsidRPr="00B91F3C">
              <w:rPr>
                <w:color w:val="000000"/>
              </w:rPr>
              <w:t>408,92</w:t>
            </w:r>
          </w:p>
        </w:tc>
        <w:tc>
          <w:tcPr>
            <w:tcW w:w="2100" w:type="dxa"/>
            <w:tcBorders>
              <w:top w:val="nil"/>
              <w:left w:val="nil"/>
              <w:bottom w:val="nil"/>
              <w:right w:val="nil"/>
            </w:tcBorders>
            <w:shd w:val="clear" w:color="auto" w:fill="auto"/>
            <w:vAlign w:val="center"/>
            <w:hideMark/>
          </w:tcPr>
          <w:p w14:paraId="21778CBE" w14:textId="77777777" w:rsidR="00FF3A47" w:rsidRPr="00B91F3C" w:rsidRDefault="00FF3A47" w:rsidP="00FF3A47">
            <w:pPr>
              <w:jc w:val="center"/>
              <w:rPr>
                <w:rFonts w:cstheme="minorHAnsi"/>
              </w:rPr>
            </w:pPr>
            <w:r w:rsidRPr="00B91F3C">
              <w:rPr>
                <w:i/>
                <w:color w:val="000000"/>
              </w:rPr>
              <w:t>435,75 (3%)</w:t>
            </w:r>
          </w:p>
        </w:tc>
      </w:tr>
      <w:tr w:rsidR="00FF3A47" w:rsidRPr="00B91F3C" w14:paraId="012E6037" w14:textId="77777777" w:rsidTr="00DA7535">
        <w:trPr>
          <w:trHeight w:val="578"/>
        </w:trPr>
        <w:tc>
          <w:tcPr>
            <w:tcW w:w="3380" w:type="dxa"/>
            <w:tcBorders>
              <w:top w:val="nil"/>
              <w:left w:val="nil"/>
              <w:bottom w:val="nil"/>
              <w:right w:val="nil"/>
            </w:tcBorders>
            <w:shd w:val="clear" w:color="auto" w:fill="auto"/>
            <w:vAlign w:val="center"/>
            <w:hideMark/>
          </w:tcPr>
          <w:p w14:paraId="17D7EE7F" w14:textId="77777777" w:rsidR="00FF3A47" w:rsidRPr="00B91F3C" w:rsidRDefault="00FF3A47" w:rsidP="00FF3A47">
            <w:pPr>
              <w:rPr>
                <w:rFonts w:cstheme="minorHAnsi"/>
              </w:rPr>
            </w:pPr>
            <w:r w:rsidRPr="00B91F3C">
              <w:rPr>
                <w:color w:val="000000"/>
              </w:rPr>
              <w:t>Ликвидация опасных химических веществ в цепочке поставок</w:t>
            </w:r>
          </w:p>
        </w:tc>
        <w:tc>
          <w:tcPr>
            <w:tcW w:w="2100" w:type="dxa"/>
            <w:tcBorders>
              <w:top w:val="nil"/>
              <w:left w:val="nil"/>
              <w:bottom w:val="nil"/>
              <w:right w:val="nil"/>
            </w:tcBorders>
            <w:shd w:val="clear" w:color="auto" w:fill="auto"/>
            <w:vAlign w:val="center"/>
            <w:hideMark/>
          </w:tcPr>
          <w:p w14:paraId="51E5349C" w14:textId="77777777" w:rsidR="00FF3A47" w:rsidRPr="00B91F3C" w:rsidRDefault="00FF3A47" w:rsidP="00FF3A47">
            <w:pPr>
              <w:jc w:val="right"/>
              <w:rPr>
                <w:rFonts w:cstheme="minorHAnsi"/>
              </w:rPr>
            </w:pPr>
            <w:r w:rsidRPr="00B91F3C">
              <w:rPr>
                <w:color w:val="000000"/>
              </w:rPr>
              <w:t>51,31</w:t>
            </w:r>
          </w:p>
        </w:tc>
        <w:tc>
          <w:tcPr>
            <w:tcW w:w="2100" w:type="dxa"/>
            <w:tcBorders>
              <w:top w:val="nil"/>
              <w:left w:val="nil"/>
              <w:bottom w:val="nil"/>
              <w:right w:val="nil"/>
            </w:tcBorders>
            <w:shd w:val="clear" w:color="auto" w:fill="auto"/>
            <w:vAlign w:val="center"/>
            <w:hideMark/>
          </w:tcPr>
          <w:p w14:paraId="61203789" w14:textId="77777777" w:rsidR="00FF3A47" w:rsidRPr="00B91F3C" w:rsidRDefault="00FF3A47" w:rsidP="00FF3A47">
            <w:pPr>
              <w:jc w:val="right"/>
              <w:rPr>
                <w:rFonts w:cstheme="minorHAnsi"/>
              </w:rPr>
            </w:pPr>
            <w:r w:rsidRPr="00B91F3C">
              <w:rPr>
                <w:color w:val="000000"/>
              </w:rPr>
              <w:t>295,25</w:t>
            </w:r>
          </w:p>
        </w:tc>
        <w:tc>
          <w:tcPr>
            <w:tcW w:w="2100" w:type="dxa"/>
            <w:tcBorders>
              <w:top w:val="nil"/>
              <w:left w:val="nil"/>
              <w:bottom w:val="nil"/>
              <w:right w:val="nil"/>
            </w:tcBorders>
            <w:shd w:val="clear" w:color="auto" w:fill="auto"/>
            <w:vAlign w:val="center"/>
            <w:hideMark/>
          </w:tcPr>
          <w:p w14:paraId="2BFF6E12" w14:textId="77777777" w:rsidR="00FF3A47" w:rsidRPr="00B91F3C" w:rsidRDefault="00FF3A47" w:rsidP="00FF3A47">
            <w:pPr>
              <w:jc w:val="center"/>
              <w:rPr>
                <w:rFonts w:cstheme="minorHAnsi"/>
              </w:rPr>
            </w:pPr>
            <w:r w:rsidRPr="00B91F3C">
              <w:rPr>
                <w:i/>
                <w:color w:val="000000"/>
              </w:rPr>
              <w:t>346,55 (2%)</w:t>
            </w:r>
          </w:p>
        </w:tc>
      </w:tr>
      <w:tr w:rsidR="00FF3A47" w:rsidRPr="00B91F3C" w14:paraId="55F32F9F" w14:textId="77777777" w:rsidTr="00DA7535">
        <w:trPr>
          <w:trHeight w:val="639"/>
        </w:trPr>
        <w:tc>
          <w:tcPr>
            <w:tcW w:w="3380" w:type="dxa"/>
            <w:tcBorders>
              <w:top w:val="nil"/>
              <w:left w:val="nil"/>
              <w:bottom w:val="nil"/>
              <w:right w:val="nil"/>
            </w:tcBorders>
            <w:shd w:val="clear" w:color="auto" w:fill="auto"/>
            <w:vAlign w:val="center"/>
          </w:tcPr>
          <w:p w14:paraId="6B2DCFE1" w14:textId="77777777" w:rsidR="00FF3A47" w:rsidRPr="00B91F3C" w:rsidRDefault="00FF3A47" w:rsidP="00FF3A47">
            <w:pPr>
              <w:rPr>
                <w:rFonts w:cstheme="minorHAnsi"/>
                <w:b/>
                <w:i/>
              </w:rPr>
            </w:pPr>
            <w:r w:rsidRPr="00B91F3C">
              <w:rPr>
                <w:b/>
                <w:i/>
              </w:rPr>
              <w:t>ФНРС/СФБИК-A</w:t>
            </w:r>
          </w:p>
        </w:tc>
        <w:tc>
          <w:tcPr>
            <w:tcW w:w="2100" w:type="dxa"/>
            <w:tcBorders>
              <w:top w:val="nil"/>
              <w:left w:val="nil"/>
              <w:bottom w:val="nil"/>
              <w:right w:val="nil"/>
            </w:tcBorders>
            <w:shd w:val="clear" w:color="auto" w:fill="auto"/>
            <w:vAlign w:val="center"/>
          </w:tcPr>
          <w:p w14:paraId="578CE9E4" w14:textId="77777777" w:rsidR="00FF3A47" w:rsidRPr="00B91F3C" w:rsidRDefault="00FF3A47" w:rsidP="00FF3A47">
            <w:pPr>
              <w:jc w:val="right"/>
              <w:rPr>
                <w:rFonts w:cstheme="minorHAnsi"/>
                <w:b/>
                <w:i/>
              </w:rPr>
            </w:pPr>
          </w:p>
          <w:p w14:paraId="53F5BEA5" w14:textId="77777777" w:rsidR="00FF3A47" w:rsidRPr="00B91F3C" w:rsidRDefault="00FF3A47" w:rsidP="00FF3A47">
            <w:pPr>
              <w:jc w:val="right"/>
              <w:rPr>
                <w:rFonts w:cstheme="minorHAnsi"/>
                <w:b/>
                <w:i/>
              </w:rPr>
            </w:pPr>
            <w:r w:rsidRPr="00B91F3C">
              <w:rPr>
                <w:b/>
                <w:i/>
              </w:rPr>
              <w:t>10,80</w:t>
            </w:r>
          </w:p>
          <w:p w14:paraId="159FB296" w14:textId="77777777" w:rsidR="00FF3A47" w:rsidRPr="00B91F3C" w:rsidRDefault="00FF3A47" w:rsidP="00FF3A47">
            <w:pPr>
              <w:jc w:val="right"/>
              <w:rPr>
                <w:rFonts w:cstheme="minorHAnsi"/>
                <w:b/>
                <w:i/>
              </w:rPr>
            </w:pPr>
          </w:p>
        </w:tc>
        <w:tc>
          <w:tcPr>
            <w:tcW w:w="2100" w:type="dxa"/>
            <w:tcBorders>
              <w:top w:val="nil"/>
              <w:left w:val="nil"/>
              <w:bottom w:val="nil"/>
              <w:right w:val="nil"/>
            </w:tcBorders>
            <w:shd w:val="clear" w:color="auto" w:fill="auto"/>
            <w:vAlign w:val="center"/>
          </w:tcPr>
          <w:p w14:paraId="2A92D486" w14:textId="77777777" w:rsidR="00FF3A47" w:rsidRPr="00B91F3C" w:rsidRDefault="00FF3A47" w:rsidP="00FF3A47">
            <w:pPr>
              <w:jc w:val="right"/>
              <w:rPr>
                <w:rFonts w:cstheme="minorHAnsi"/>
                <w:b/>
                <w:i/>
              </w:rPr>
            </w:pPr>
            <w:r w:rsidRPr="00B91F3C">
              <w:rPr>
                <w:b/>
                <w:i/>
              </w:rPr>
              <w:t>78,80</w:t>
            </w:r>
          </w:p>
        </w:tc>
        <w:tc>
          <w:tcPr>
            <w:tcW w:w="2100" w:type="dxa"/>
            <w:tcBorders>
              <w:top w:val="nil"/>
              <w:left w:val="nil"/>
              <w:bottom w:val="nil"/>
              <w:right w:val="nil"/>
            </w:tcBorders>
            <w:shd w:val="clear" w:color="auto" w:fill="auto"/>
            <w:vAlign w:val="center"/>
          </w:tcPr>
          <w:p w14:paraId="5DEFDCB7" w14:textId="77777777" w:rsidR="00FF3A47" w:rsidRPr="00B91F3C" w:rsidRDefault="00FF3A47" w:rsidP="00FF3A47">
            <w:pPr>
              <w:jc w:val="center"/>
              <w:rPr>
                <w:rFonts w:cstheme="minorHAnsi"/>
                <w:b/>
                <w:i/>
              </w:rPr>
            </w:pPr>
            <w:r w:rsidRPr="00B91F3C">
              <w:rPr>
                <w:b/>
                <w:i/>
              </w:rPr>
              <w:t>89,60 (1%)</w:t>
            </w:r>
          </w:p>
        </w:tc>
      </w:tr>
      <w:tr w:rsidR="00FF3A47" w:rsidRPr="00B91F3C" w14:paraId="5C28A91C" w14:textId="77777777" w:rsidTr="00DA7535">
        <w:trPr>
          <w:trHeight w:val="386"/>
        </w:trPr>
        <w:tc>
          <w:tcPr>
            <w:tcW w:w="3380" w:type="dxa"/>
            <w:tcBorders>
              <w:top w:val="nil"/>
              <w:left w:val="nil"/>
              <w:bottom w:val="nil"/>
              <w:right w:val="nil"/>
            </w:tcBorders>
            <w:shd w:val="clear" w:color="auto" w:fill="auto"/>
            <w:vAlign w:val="center"/>
          </w:tcPr>
          <w:p w14:paraId="6D76CA1D" w14:textId="77777777" w:rsidR="00FF3A47" w:rsidRPr="00B91F3C" w:rsidRDefault="00FF3A47" w:rsidP="00FF3A47">
            <w:pPr>
              <w:rPr>
                <w:b/>
                <w:i/>
              </w:rPr>
            </w:pPr>
            <w:r w:rsidRPr="00B91F3C">
              <w:rPr>
                <w:b/>
                <w:i/>
              </w:rPr>
              <w:t>Целевая область «Международные воды»</w:t>
            </w:r>
          </w:p>
          <w:p w14:paraId="0134B532" w14:textId="77777777" w:rsidR="00FF3A47" w:rsidRPr="00B91F3C" w:rsidRDefault="00FF3A47" w:rsidP="00FF3A47">
            <w:pPr>
              <w:rPr>
                <w:rFonts w:cstheme="minorHAnsi"/>
                <w:b/>
                <w:i/>
              </w:rPr>
            </w:pPr>
          </w:p>
        </w:tc>
        <w:tc>
          <w:tcPr>
            <w:tcW w:w="2100" w:type="dxa"/>
            <w:tcBorders>
              <w:top w:val="single" w:sz="4" w:space="0" w:color="auto"/>
              <w:bottom w:val="single" w:sz="12" w:space="0" w:color="008000"/>
            </w:tcBorders>
            <w:shd w:val="clear" w:color="auto" w:fill="auto"/>
            <w:vAlign w:val="center"/>
          </w:tcPr>
          <w:p w14:paraId="5E17FFFA" w14:textId="77777777" w:rsidR="00FF3A47" w:rsidRPr="00B91F3C" w:rsidRDefault="00FF3A47" w:rsidP="00FF3A47">
            <w:pPr>
              <w:jc w:val="right"/>
              <w:rPr>
                <w:rFonts w:cstheme="minorHAnsi"/>
                <w:b/>
                <w:i/>
              </w:rPr>
            </w:pPr>
            <w:r w:rsidRPr="00B91F3C">
              <w:rPr>
                <w:b/>
                <w:i/>
                <w:snapToGrid w:val="0"/>
              </w:rPr>
              <w:lastRenderedPageBreak/>
              <w:t>114,80</w:t>
            </w:r>
          </w:p>
        </w:tc>
        <w:tc>
          <w:tcPr>
            <w:tcW w:w="2100" w:type="dxa"/>
            <w:tcBorders>
              <w:top w:val="single" w:sz="4" w:space="0" w:color="auto"/>
              <w:bottom w:val="single" w:sz="12" w:space="0" w:color="008000"/>
            </w:tcBorders>
            <w:shd w:val="clear" w:color="auto" w:fill="auto"/>
            <w:vAlign w:val="center"/>
          </w:tcPr>
          <w:p w14:paraId="59C3F83B" w14:textId="77777777" w:rsidR="00FF3A47" w:rsidRPr="00B91F3C" w:rsidRDefault="00FF3A47" w:rsidP="00FF3A47">
            <w:pPr>
              <w:jc w:val="right"/>
              <w:rPr>
                <w:rFonts w:cstheme="minorHAnsi"/>
                <w:b/>
                <w:i/>
              </w:rPr>
            </w:pPr>
            <w:r w:rsidRPr="00B91F3C">
              <w:rPr>
                <w:b/>
                <w:i/>
                <w:snapToGrid w:val="0"/>
              </w:rPr>
              <w:t>928,70</w:t>
            </w:r>
          </w:p>
        </w:tc>
        <w:tc>
          <w:tcPr>
            <w:tcW w:w="2100" w:type="dxa"/>
            <w:tcBorders>
              <w:top w:val="single" w:sz="4" w:space="0" w:color="auto"/>
              <w:bottom w:val="single" w:sz="12" w:space="0" w:color="008000"/>
            </w:tcBorders>
            <w:shd w:val="clear" w:color="auto" w:fill="auto"/>
            <w:vAlign w:val="center"/>
          </w:tcPr>
          <w:p w14:paraId="4E16CFA4" w14:textId="77777777" w:rsidR="00FF3A47" w:rsidRPr="00B91F3C" w:rsidRDefault="00FF3A47" w:rsidP="00FF3A47">
            <w:pPr>
              <w:jc w:val="center"/>
              <w:rPr>
                <w:rFonts w:cstheme="minorHAnsi"/>
                <w:b/>
                <w:i/>
              </w:rPr>
            </w:pPr>
            <w:r w:rsidRPr="00B91F3C">
              <w:rPr>
                <w:b/>
                <w:i/>
                <w:snapToGrid w:val="0"/>
              </w:rPr>
              <w:t>1043,5 (7%)</w:t>
            </w:r>
          </w:p>
        </w:tc>
      </w:tr>
      <w:tr w:rsidR="00FF3A47" w:rsidRPr="00B91F3C" w14:paraId="06D75D37" w14:textId="77777777" w:rsidTr="00DA7535">
        <w:trPr>
          <w:trHeight w:val="578"/>
        </w:trPr>
        <w:tc>
          <w:tcPr>
            <w:tcW w:w="3380" w:type="dxa"/>
            <w:tcBorders>
              <w:top w:val="nil"/>
              <w:left w:val="nil"/>
              <w:bottom w:val="nil"/>
              <w:right w:val="nil"/>
            </w:tcBorders>
            <w:shd w:val="clear" w:color="auto" w:fill="auto"/>
            <w:vAlign w:val="center"/>
          </w:tcPr>
          <w:p w14:paraId="1EEC6B8B" w14:textId="77777777" w:rsidR="00FF3A47" w:rsidRPr="00B91F3C" w:rsidRDefault="00FF3A47" w:rsidP="00FF3A47">
            <w:pPr>
              <w:rPr>
                <w:rFonts w:cstheme="minorHAnsi"/>
                <w:b/>
                <w:i/>
              </w:rPr>
            </w:pPr>
            <w:r w:rsidRPr="00B91F3C">
              <w:rPr>
                <w:b/>
                <w:i/>
              </w:rPr>
              <w:t>Программа малых грантов (основные ресурсы)</w:t>
            </w:r>
          </w:p>
        </w:tc>
        <w:tc>
          <w:tcPr>
            <w:tcW w:w="2100" w:type="dxa"/>
            <w:tcBorders>
              <w:top w:val="nil"/>
              <w:left w:val="nil"/>
              <w:bottom w:val="nil"/>
              <w:right w:val="nil"/>
            </w:tcBorders>
            <w:shd w:val="clear" w:color="auto" w:fill="auto"/>
            <w:vAlign w:val="center"/>
          </w:tcPr>
          <w:p w14:paraId="6EE67B33" w14:textId="77777777" w:rsidR="00FF3A47" w:rsidRPr="00B91F3C" w:rsidRDefault="00FF3A47" w:rsidP="00FF3A47">
            <w:pPr>
              <w:jc w:val="right"/>
              <w:rPr>
                <w:rFonts w:cstheme="minorHAnsi"/>
                <w:b/>
                <w:i/>
              </w:rPr>
            </w:pPr>
            <w:r w:rsidRPr="00B91F3C">
              <w:rPr>
                <w:b/>
                <w:i/>
              </w:rPr>
              <w:t>67,50</w:t>
            </w:r>
          </w:p>
        </w:tc>
        <w:tc>
          <w:tcPr>
            <w:tcW w:w="2100" w:type="dxa"/>
            <w:tcBorders>
              <w:top w:val="nil"/>
              <w:left w:val="nil"/>
              <w:bottom w:val="nil"/>
              <w:right w:val="nil"/>
            </w:tcBorders>
            <w:shd w:val="clear" w:color="auto" w:fill="auto"/>
            <w:vAlign w:val="center"/>
          </w:tcPr>
          <w:p w14:paraId="1B114D37" w14:textId="77777777" w:rsidR="00FF3A47" w:rsidRPr="00B91F3C" w:rsidRDefault="00FF3A47" w:rsidP="00FF3A47">
            <w:pPr>
              <w:jc w:val="right"/>
              <w:rPr>
                <w:rFonts w:cstheme="minorHAnsi"/>
                <w:b/>
                <w:i/>
              </w:rPr>
            </w:pPr>
            <w:r w:rsidRPr="00B91F3C">
              <w:rPr>
                <w:b/>
                <w:i/>
              </w:rPr>
              <w:t>126,19</w:t>
            </w:r>
          </w:p>
        </w:tc>
        <w:tc>
          <w:tcPr>
            <w:tcW w:w="2100" w:type="dxa"/>
            <w:tcBorders>
              <w:top w:val="nil"/>
              <w:left w:val="nil"/>
              <w:bottom w:val="nil"/>
              <w:right w:val="nil"/>
            </w:tcBorders>
            <w:shd w:val="clear" w:color="auto" w:fill="auto"/>
            <w:vAlign w:val="center"/>
          </w:tcPr>
          <w:p w14:paraId="01CBE9DC" w14:textId="77777777" w:rsidR="00FF3A47" w:rsidRPr="00B91F3C" w:rsidRDefault="00FF3A47" w:rsidP="00FF3A47">
            <w:pPr>
              <w:jc w:val="center"/>
              <w:rPr>
                <w:rFonts w:cstheme="minorHAnsi"/>
                <w:b/>
                <w:i/>
              </w:rPr>
            </w:pPr>
            <w:r w:rsidRPr="00B91F3C">
              <w:rPr>
                <w:b/>
                <w:i/>
              </w:rPr>
              <w:t>193,69 (1%)</w:t>
            </w:r>
          </w:p>
        </w:tc>
      </w:tr>
      <w:tr w:rsidR="00FF3A47" w:rsidRPr="00B91F3C" w14:paraId="25A206F4" w14:textId="77777777" w:rsidTr="00DA7535">
        <w:trPr>
          <w:trHeight w:val="578"/>
        </w:trPr>
        <w:tc>
          <w:tcPr>
            <w:tcW w:w="3380" w:type="dxa"/>
            <w:tcBorders>
              <w:top w:val="nil"/>
              <w:left w:val="nil"/>
              <w:bottom w:val="nil"/>
              <w:right w:val="nil"/>
            </w:tcBorders>
            <w:shd w:val="clear" w:color="auto" w:fill="auto"/>
            <w:vAlign w:val="center"/>
          </w:tcPr>
          <w:p w14:paraId="0F1FB49E" w14:textId="77777777" w:rsidR="00FF3A47" w:rsidRPr="00B91F3C" w:rsidRDefault="00FF3A47" w:rsidP="00FF3A47">
            <w:pPr>
              <w:rPr>
                <w:rFonts w:cstheme="minorHAnsi"/>
                <w:b/>
                <w:i/>
              </w:rPr>
            </w:pPr>
            <w:r w:rsidRPr="00B91F3C">
              <w:rPr>
                <w:b/>
                <w:i/>
              </w:rPr>
              <w:t>НГИ</w:t>
            </w:r>
          </w:p>
          <w:p w14:paraId="4E60CD42" w14:textId="77777777" w:rsidR="00FF3A47" w:rsidRPr="00B91F3C" w:rsidRDefault="00FF3A47" w:rsidP="00FF3A47">
            <w:pPr>
              <w:rPr>
                <w:rFonts w:cstheme="minorHAnsi"/>
                <w:b/>
                <w:i/>
              </w:rPr>
            </w:pPr>
          </w:p>
        </w:tc>
        <w:tc>
          <w:tcPr>
            <w:tcW w:w="2100" w:type="dxa"/>
            <w:tcBorders>
              <w:top w:val="single" w:sz="4" w:space="0" w:color="auto"/>
              <w:left w:val="nil"/>
              <w:bottom w:val="single" w:sz="12" w:space="0" w:color="008000"/>
              <w:right w:val="nil"/>
            </w:tcBorders>
            <w:shd w:val="clear" w:color="auto" w:fill="auto"/>
            <w:vAlign w:val="center"/>
          </w:tcPr>
          <w:p w14:paraId="72AF2C96" w14:textId="77777777" w:rsidR="00FF3A47" w:rsidRPr="00B91F3C" w:rsidRDefault="00FF3A47" w:rsidP="00FF3A47">
            <w:pPr>
              <w:jc w:val="right"/>
              <w:rPr>
                <w:rFonts w:cstheme="minorHAnsi"/>
                <w:b/>
                <w:i/>
              </w:rPr>
            </w:pPr>
            <w:r w:rsidRPr="00B91F3C">
              <w:rPr>
                <w:b/>
                <w:i/>
              </w:rPr>
              <w:t>66,10</w:t>
            </w:r>
          </w:p>
        </w:tc>
        <w:tc>
          <w:tcPr>
            <w:tcW w:w="2100" w:type="dxa"/>
            <w:tcBorders>
              <w:top w:val="single" w:sz="4" w:space="0" w:color="auto"/>
              <w:left w:val="nil"/>
              <w:bottom w:val="single" w:sz="12" w:space="0" w:color="008000"/>
              <w:right w:val="nil"/>
            </w:tcBorders>
            <w:shd w:val="clear" w:color="auto" w:fill="auto"/>
            <w:vAlign w:val="center"/>
          </w:tcPr>
          <w:p w14:paraId="454E634A" w14:textId="77777777" w:rsidR="00FF3A47" w:rsidRPr="00B91F3C" w:rsidRDefault="00FF3A47" w:rsidP="00FF3A47">
            <w:pPr>
              <w:jc w:val="right"/>
              <w:rPr>
                <w:rFonts w:cstheme="minorHAnsi"/>
                <w:b/>
                <w:i/>
              </w:rPr>
            </w:pPr>
            <w:r w:rsidRPr="00B91F3C">
              <w:rPr>
                <w:b/>
                <w:i/>
              </w:rPr>
              <w:t>1378,20</w:t>
            </w:r>
          </w:p>
        </w:tc>
        <w:tc>
          <w:tcPr>
            <w:tcW w:w="2100" w:type="dxa"/>
            <w:tcBorders>
              <w:top w:val="single" w:sz="4" w:space="0" w:color="auto"/>
              <w:left w:val="nil"/>
              <w:bottom w:val="single" w:sz="12" w:space="0" w:color="008000"/>
              <w:right w:val="nil"/>
            </w:tcBorders>
            <w:shd w:val="clear" w:color="auto" w:fill="auto"/>
            <w:vAlign w:val="center"/>
          </w:tcPr>
          <w:p w14:paraId="6B43DDD4" w14:textId="77777777" w:rsidR="00FF3A47" w:rsidRPr="00B91F3C" w:rsidRDefault="00FF3A47" w:rsidP="00FF3A47">
            <w:pPr>
              <w:jc w:val="center"/>
              <w:rPr>
                <w:rFonts w:cstheme="minorHAnsi"/>
                <w:b/>
                <w:i/>
              </w:rPr>
            </w:pPr>
            <w:r w:rsidRPr="00B91F3C">
              <w:rPr>
                <w:b/>
                <w:i/>
              </w:rPr>
              <w:t>1 444,40 (9%)</w:t>
            </w:r>
          </w:p>
        </w:tc>
      </w:tr>
      <w:tr w:rsidR="00FF3A47" w:rsidRPr="00B91F3C" w14:paraId="37697388" w14:textId="77777777" w:rsidTr="00DA7535">
        <w:trPr>
          <w:trHeight w:val="293"/>
        </w:trPr>
        <w:tc>
          <w:tcPr>
            <w:tcW w:w="3380" w:type="dxa"/>
            <w:tcBorders>
              <w:top w:val="single" w:sz="8" w:space="0" w:color="008000"/>
              <w:left w:val="nil"/>
              <w:bottom w:val="single" w:sz="12" w:space="0" w:color="008000"/>
              <w:right w:val="nil"/>
            </w:tcBorders>
            <w:shd w:val="clear" w:color="auto" w:fill="auto"/>
            <w:vAlign w:val="center"/>
            <w:hideMark/>
          </w:tcPr>
          <w:p w14:paraId="53F178B6" w14:textId="77777777" w:rsidR="00FF3A47" w:rsidRPr="00B91F3C" w:rsidRDefault="00FF3A47" w:rsidP="00FF3A47">
            <w:pPr>
              <w:rPr>
                <w:rFonts w:cstheme="minorHAnsi"/>
                <w:b/>
                <w:bCs/>
              </w:rPr>
            </w:pPr>
            <w:r w:rsidRPr="00B91F3C">
              <w:rPr>
                <w:b/>
                <w:color w:val="000000"/>
              </w:rPr>
              <w:t>Всего средств</w:t>
            </w:r>
          </w:p>
        </w:tc>
        <w:tc>
          <w:tcPr>
            <w:tcW w:w="2100" w:type="dxa"/>
            <w:tcBorders>
              <w:top w:val="single" w:sz="8" w:space="0" w:color="008000"/>
              <w:left w:val="nil"/>
              <w:bottom w:val="single" w:sz="12" w:space="0" w:color="008000"/>
              <w:right w:val="nil"/>
            </w:tcBorders>
            <w:shd w:val="clear" w:color="auto" w:fill="auto"/>
            <w:vAlign w:val="center"/>
          </w:tcPr>
          <w:p w14:paraId="71B0AF30" w14:textId="77777777" w:rsidR="00FF3A47" w:rsidRPr="00B91F3C" w:rsidRDefault="00FF3A47" w:rsidP="00FF3A47">
            <w:pPr>
              <w:jc w:val="right"/>
              <w:rPr>
                <w:rFonts w:cstheme="minorHAnsi"/>
                <w:b/>
                <w:bCs/>
              </w:rPr>
            </w:pPr>
            <w:r w:rsidRPr="00B91F3C">
              <w:rPr>
                <w:b/>
              </w:rPr>
              <w:t>2 067,87</w:t>
            </w:r>
          </w:p>
        </w:tc>
        <w:tc>
          <w:tcPr>
            <w:tcW w:w="2100" w:type="dxa"/>
            <w:tcBorders>
              <w:top w:val="single" w:sz="8" w:space="0" w:color="008000"/>
              <w:left w:val="nil"/>
              <w:bottom w:val="single" w:sz="12" w:space="0" w:color="008000"/>
              <w:right w:val="nil"/>
            </w:tcBorders>
            <w:shd w:val="clear" w:color="auto" w:fill="auto"/>
            <w:vAlign w:val="center"/>
          </w:tcPr>
          <w:p w14:paraId="223DB2CF" w14:textId="77777777" w:rsidR="00FF3A47" w:rsidRPr="00B91F3C" w:rsidRDefault="00FF3A47" w:rsidP="00FF3A47">
            <w:pPr>
              <w:jc w:val="right"/>
              <w:rPr>
                <w:rFonts w:cstheme="minorHAnsi"/>
                <w:b/>
                <w:bCs/>
              </w:rPr>
            </w:pPr>
            <w:r w:rsidRPr="00B91F3C">
              <w:rPr>
                <w:b/>
              </w:rPr>
              <w:t>13 913,13</w:t>
            </w:r>
          </w:p>
        </w:tc>
        <w:tc>
          <w:tcPr>
            <w:tcW w:w="2100" w:type="dxa"/>
            <w:tcBorders>
              <w:top w:val="single" w:sz="8" w:space="0" w:color="008000"/>
              <w:left w:val="nil"/>
              <w:bottom w:val="single" w:sz="12" w:space="0" w:color="008000"/>
              <w:right w:val="nil"/>
            </w:tcBorders>
            <w:shd w:val="clear" w:color="auto" w:fill="auto"/>
            <w:vAlign w:val="center"/>
            <w:hideMark/>
          </w:tcPr>
          <w:p w14:paraId="3401781B" w14:textId="77777777" w:rsidR="00FF3A47" w:rsidRPr="00B91F3C" w:rsidRDefault="00FF3A47" w:rsidP="00FF3A47">
            <w:pPr>
              <w:jc w:val="center"/>
              <w:rPr>
                <w:rFonts w:cstheme="minorHAnsi"/>
                <w:b/>
                <w:bCs/>
              </w:rPr>
            </w:pPr>
            <w:r w:rsidRPr="00B91F3C">
              <w:rPr>
                <w:b/>
              </w:rPr>
              <w:t>15 981,09 (100%)</w:t>
            </w:r>
          </w:p>
        </w:tc>
      </w:tr>
    </w:tbl>
    <w:p w14:paraId="63820C6F" w14:textId="77777777" w:rsidR="00FF3A47" w:rsidRPr="00B91F3C" w:rsidRDefault="00FF3A47" w:rsidP="00FF3A47">
      <w:pPr>
        <w:sectPr w:rsidR="00FF3A47" w:rsidRPr="00B91F3C" w:rsidSect="00FF3A47">
          <w:headerReference w:type="default" r:id="rId32"/>
          <w:pgSz w:w="12240" w:h="15840"/>
          <w:pgMar w:top="1440" w:right="1440" w:bottom="1440" w:left="1440" w:header="720" w:footer="720" w:gutter="0"/>
          <w:cols w:space="720"/>
          <w:docGrid w:linePitch="360"/>
        </w:sectPr>
      </w:pPr>
    </w:p>
    <w:p w14:paraId="0F23EAF9" w14:textId="77777777" w:rsidR="00FF3A47" w:rsidRPr="00B91F3C" w:rsidRDefault="00FF3A47" w:rsidP="00FF3A47">
      <w:pPr>
        <w:keepNext/>
        <w:keepLines/>
        <w:numPr>
          <w:ilvl w:val="0"/>
          <w:numId w:val="13"/>
        </w:numPr>
        <w:adjustRightInd w:val="0"/>
        <w:snapToGrid w:val="0"/>
        <w:spacing w:before="240" w:after="240" w:line="240" w:lineRule="auto"/>
        <w:jc w:val="both"/>
        <w:outlineLvl w:val="0"/>
        <w:rPr>
          <w:rFonts w:eastAsiaTheme="majorEastAsia" w:cstheme="minorHAnsi"/>
          <w:b/>
          <w:smallCaps/>
          <w:snapToGrid w:val="0"/>
          <w:kern w:val="22"/>
          <w:sz w:val="24"/>
        </w:rPr>
      </w:pPr>
      <w:bookmarkStart w:id="156" w:name="_Toc162534612"/>
      <w:bookmarkStart w:id="157" w:name="_Toc165899270"/>
      <w:r w:rsidRPr="00B91F3C">
        <w:rPr>
          <w:rFonts w:eastAsiaTheme="majorEastAsia" w:cstheme="minorHAnsi"/>
          <w:b/>
          <w:smallCaps/>
          <w:snapToGrid w:val="0"/>
          <w:kern w:val="22"/>
          <w:sz w:val="24"/>
        </w:rPr>
        <w:lastRenderedPageBreak/>
        <w:t>Принятые ГЭФ меры в ответ на руководящие указания КС-15 КБР</w:t>
      </w:r>
      <w:bookmarkEnd w:id="156"/>
      <w:bookmarkEnd w:id="157"/>
    </w:p>
    <w:p w14:paraId="6FFA1477"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На 15-м совещании Конференции Сторон были сформулированы руководящие указания по оперативной деятельности ГЭФ и конкретным тематическим направлениям в области биоразнообразия. В нижеприведенной таблице 10 представлены принятые ГЭФ меры.</w:t>
      </w:r>
    </w:p>
    <w:p w14:paraId="67F01A68" w14:textId="77777777" w:rsidR="00FF3A47" w:rsidRPr="00B91F3C" w:rsidRDefault="00FF3A47" w:rsidP="00060119">
      <w:pPr>
        <w:pStyle w:val="Lgende"/>
      </w:pPr>
      <w:bookmarkStart w:id="158" w:name="_Toc102227153"/>
      <w:bookmarkStart w:id="159" w:name="_Toc103967151"/>
      <w:bookmarkStart w:id="160" w:name="_Toc161334839"/>
      <w:r w:rsidRPr="00B91F3C">
        <w:t>Таблица 10. Решение, принятое КС-15 КБР (решение 15/15), и ответные меры ГЭФ</w:t>
      </w:r>
      <w:bookmarkStart w:id="161" w:name="_Toc102227413"/>
      <w:bookmarkStart w:id="162" w:name="_Hlk26275865"/>
      <w:bookmarkEnd w:id="158"/>
      <w:bookmarkEnd w:id="159"/>
      <w:r w:rsidRPr="00B91F3C">
        <w:rPr>
          <w:vertAlign w:val="superscript"/>
        </w:rPr>
        <w:footnoteReference w:id="28"/>
      </w:r>
      <w:bookmarkEnd w:id="160"/>
    </w:p>
    <w:tbl>
      <w:tblPr>
        <w:tblStyle w:val="Grilledutableau"/>
        <w:tblW w:w="9355" w:type="dxa"/>
        <w:tblLook w:val="04A0" w:firstRow="1" w:lastRow="0" w:firstColumn="1" w:lastColumn="0" w:noHBand="0" w:noVBand="1"/>
      </w:tblPr>
      <w:tblGrid>
        <w:gridCol w:w="5305"/>
        <w:gridCol w:w="4050"/>
      </w:tblGrid>
      <w:tr w:rsidR="00FF3A47" w:rsidRPr="00B91F3C" w14:paraId="47198568" w14:textId="77777777" w:rsidTr="00DA7535">
        <w:trPr>
          <w:tblHeader/>
        </w:trPr>
        <w:tc>
          <w:tcPr>
            <w:tcW w:w="5305" w:type="dxa"/>
            <w:shd w:val="clear" w:color="auto" w:fill="D9D9D9" w:themeFill="background1" w:themeFillShade="D9"/>
          </w:tcPr>
          <w:p w14:paraId="0131E752" w14:textId="77777777" w:rsidR="00FF3A47" w:rsidRPr="00B91F3C" w:rsidRDefault="00FF3A47" w:rsidP="00FF3A47">
            <w:pPr>
              <w:jc w:val="center"/>
              <w:rPr>
                <w:rFonts w:cstheme="minorHAnsi"/>
                <w:b/>
                <w:bCs/>
              </w:rPr>
            </w:pPr>
            <w:r w:rsidRPr="00B91F3C">
              <w:rPr>
                <w:b/>
              </w:rPr>
              <w:t>Руководящие указания КС-15</w:t>
            </w:r>
          </w:p>
        </w:tc>
        <w:tc>
          <w:tcPr>
            <w:tcW w:w="4050" w:type="dxa"/>
            <w:shd w:val="clear" w:color="auto" w:fill="D9D9D9" w:themeFill="background1" w:themeFillShade="D9"/>
          </w:tcPr>
          <w:p w14:paraId="7283D89A" w14:textId="77777777" w:rsidR="00FF3A47" w:rsidRPr="00B91F3C" w:rsidRDefault="00FF3A47" w:rsidP="00FF3A47">
            <w:pPr>
              <w:jc w:val="center"/>
              <w:rPr>
                <w:rFonts w:cstheme="minorHAnsi"/>
                <w:b/>
                <w:bCs/>
              </w:rPr>
            </w:pPr>
            <w:r w:rsidRPr="00B91F3C">
              <w:rPr>
                <w:b/>
              </w:rPr>
              <w:t>Ответные меры ГЭФ</w:t>
            </w:r>
          </w:p>
        </w:tc>
      </w:tr>
      <w:tr w:rsidR="00FF3A47" w:rsidRPr="00B91F3C" w14:paraId="06A29975" w14:textId="77777777" w:rsidTr="00DA7535">
        <w:tc>
          <w:tcPr>
            <w:tcW w:w="5305" w:type="dxa"/>
          </w:tcPr>
          <w:p w14:paraId="391FB6BB" w14:textId="77777777" w:rsidR="00FF3A47" w:rsidRPr="00B91F3C" w:rsidRDefault="00FF3A47" w:rsidP="00FF3A47">
            <w:pPr>
              <w:rPr>
                <w:rFonts w:cstheme="minorHAnsi"/>
                <w:i/>
                <w:iCs/>
              </w:rPr>
            </w:pPr>
            <w:r w:rsidRPr="00B91F3C">
              <w:rPr>
                <w:rFonts w:cstheme="minorHAnsi"/>
                <w:i/>
              </w:rPr>
              <w:t>Преамбула</w:t>
            </w:r>
          </w:p>
          <w:p w14:paraId="10B1F682" w14:textId="77777777" w:rsidR="00FF3A47" w:rsidRPr="00B91F3C" w:rsidRDefault="00FF3A47" w:rsidP="00FF3A47">
            <w:pPr>
              <w:rPr>
                <w:rFonts w:cstheme="minorHAnsi"/>
              </w:rPr>
            </w:pPr>
          </w:p>
          <w:p w14:paraId="164A9326" w14:textId="77777777" w:rsidR="00FF3A47" w:rsidRPr="00B91F3C" w:rsidRDefault="00FF3A47" w:rsidP="00FF3A47">
            <w:pPr>
              <w:rPr>
                <w:rFonts w:cstheme="minorHAnsi"/>
              </w:rPr>
            </w:pPr>
            <w:r w:rsidRPr="00B91F3C">
              <w:rPr>
                <w:rFonts w:cstheme="minorHAnsi"/>
                <w:i/>
                <w:iCs/>
              </w:rPr>
              <w:t>Конференция Сторон,</w:t>
            </w:r>
          </w:p>
          <w:p w14:paraId="45FBDBF1" w14:textId="77777777" w:rsidR="00FF3A47" w:rsidRPr="00B91F3C" w:rsidRDefault="00FF3A47" w:rsidP="00FF3A47">
            <w:pPr>
              <w:suppressLineNumbers/>
              <w:suppressAutoHyphens/>
              <w:adjustRightInd w:val="0"/>
              <w:snapToGrid w:val="0"/>
              <w:jc w:val="both"/>
              <w:rPr>
                <w:rFonts w:eastAsia="Times New Roman" w:cstheme="minorHAnsi"/>
                <w:szCs w:val="24"/>
              </w:rPr>
            </w:pPr>
            <w:r w:rsidRPr="00B91F3C">
              <w:rPr>
                <w:rFonts w:eastAsia="Times New Roman" w:cstheme="minorHAnsi"/>
                <w:i/>
                <w:iCs/>
                <w:szCs w:val="24"/>
              </w:rPr>
              <w:t xml:space="preserve">подтверждая </w:t>
            </w:r>
            <w:r w:rsidRPr="00B91F3C">
              <w:rPr>
                <w:rFonts w:eastAsia="Times New Roman" w:cstheme="minorHAnsi"/>
                <w:szCs w:val="24"/>
              </w:rPr>
              <w:t xml:space="preserve">важное значение соблюдения </w:t>
            </w:r>
            <w:r w:rsidRPr="00B91F3C">
              <w:rPr>
                <w:rFonts w:eastAsia="Times New Roman" w:cstheme="minorHAnsi"/>
                <w:snapToGrid w:val="0"/>
                <w:kern w:val="22"/>
                <w:lang w:eastAsia="zh-CN"/>
              </w:rPr>
              <w:t>положений</w:t>
            </w:r>
            <w:r w:rsidRPr="00B91F3C">
              <w:rPr>
                <w:rFonts w:eastAsia="Times New Roman" w:cstheme="minorHAnsi"/>
                <w:szCs w:val="24"/>
              </w:rPr>
              <w:t xml:space="preserve"> статьи 21 в полном объеме и доступа к механизму финансирования для всех Сторон, имеющих право на получение помощи, в интересах полноценного осуществления Конвенции и приветствуя ценную роль Глобального экологического фонда как институциональной структуры, управляющей механизмом финансирования Конвенции на временной и постоянной основе,</w:t>
            </w:r>
          </w:p>
          <w:p w14:paraId="6A317CCC" w14:textId="77777777" w:rsidR="00FF3A47" w:rsidRPr="00B91F3C" w:rsidRDefault="00FF3A47" w:rsidP="00FF3A47">
            <w:pPr>
              <w:suppressLineNumbers/>
              <w:suppressAutoHyphens/>
              <w:adjustRightInd w:val="0"/>
              <w:snapToGrid w:val="0"/>
              <w:jc w:val="both"/>
              <w:rPr>
                <w:rFonts w:eastAsia="Times New Roman" w:cstheme="minorHAnsi"/>
                <w:iCs/>
                <w:szCs w:val="24"/>
              </w:rPr>
            </w:pPr>
            <w:r w:rsidRPr="00B91F3C">
              <w:rPr>
                <w:rFonts w:eastAsia="Times New Roman" w:cstheme="minorHAnsi"/>
                <w:i/>
                <w:iCs/>
                <w:szCs w:val="24"/>
              </w:rPr>
              <w:t xml:space="preserve">подчеркивая важность </w:t>
            </w:r>
            <w:r w:rsidRPr="00B91F3C">
              <w:rPr>
                <w:rFonts w:eastAsia="Times New Roman" w:cstheme="minorHAnsi"/>
                <w:iCs/>
                <w:szCs w:val="24"/>
              </w:rPr>
              <w:t>обеспечения Глобальным экологическим фондом эффективного и прозрачного соблюдения своей политики и процедур, связанных с рассмотрением и анализом заявок на финансирование в соответствующих случаях,</w:t>
            </w:r>
          </w:p>
          <w:p w14:paraId="078D8C8F" w14:textId="77777777" w:rsidR="00FF3A47" w:rsidRPr="00B91F3C" w:rsidRDefault="00FF3A47" w:rsidP="00FF3A47">
            <w:pPr>
              <w:suppressLineNumbers/>
              <w:suppressAutoHyphens/>
              <w:adjustRightInd w:val="0"/>
              <w:snapToGrid w:val="0"/>
              <w:jc w:val="both"/>
              <w:rPr>
                <w:rFonts w:eastAsia="Times New Roman" w:cstheme="minorHAnsi"/>
                <w:bCs/>
                <w:szCs w:val="24"/>
              </w:rPr>
            </w:pPr>
            <w:r w:rsidRPr="00B91F3C">
              <w:rPr>
                <w:rFonts w:eastAsia="Times New Roman" w:cstheme="minorHAnsi"/>
                <w:i/>
                <w:iCs/>
                <w:szCs w:val="24"/>
              </w:rPr>
              <w:t>ссылаясь</w:t>
            </w:r>
            <w:r w:rsidRPr="00B91F3C">
              <w:rPr>
                <w:rFonts w:eastAsia="Times New Roman" w:cstheme="minorHAnsi"/>
                <w:szCs w:val="24"/>
              </w:rPr>
              <w:t xml:space="preserve"> на пункт 3 статьи </w:t>
            </w:r>
            <w:r w:rsidRPr="00B91F3C">
              <w:rPr>
                <w:rFonts w:eastAsia="Times New Roman" w:cstheme="minorHAnsi"/>
                <w:snapToGrid w:val="0"/>
                <w:kern w:val="22"/>
                <w:lang w:eastAsia="zh-CN"/>
              </w:rPr>
              <w:t>21</w:t>
            </w:r>
            <w:r w:rsidRPr="00B91F3C">
              <w:rPr>
                <w:rFonts w:eastAsia="Times New Roman" w:cstheme="minorHAnsi"/>
                <w:szCs w:val="24"/>
              </w:rPr>
              <w:t xml:space="preserve"> Конвенции, в соответствии с которым Конференция Сторон должна проводить обзор эффективности механизма финансирования,</w:t>
            </w:r>
          </w:p>
          <w:p w14:paraId="5C55F362" w14:textId="77777777" w:rsidR="00FF3A47" w:rsidRPr="00B91F3C" w:rsidRDefault="00FF3A47" w:rsidP="00FF3A47">
            <w:pPr>
              <w:suppressLineNumbers/>
              <w:suppressAutoHyphens/>
              <w:adjustRightInd w:val="0"/>
              <w:snapToGrid w:val="0"/>
              <w:jc w:val="both"/>
              <w:rPr>
                <w:rFonts w:eastAsia="Times New Roman" w:cstheme="minorHAnsi"/>
                <w:bCs/>
                <w:i/>
                <w:szCs w:val="24"/>
              </w:rPr>
            </w:pPr>
            <w:r w:rsidRPr="00B91F3C">
              <w:rPr>
                <w:rFonts w:eastAsia="Times New Roman" w:cstheme="minorHAnsi"/>
                <w:i/>
                <w:szCs w:val="24"/>
              </w:rPr>
              <w:t xml:space="preserve">вновь подтверждая </w:t>
            </w:r>
            <w:r w:rsidRPr="00B91F3C">
              <w:rPr>
                <w:rFonts w:eastAsia="Times New Roman" w:cstheme="minorHAnsi"/>
                <w:snapToGrid w:val="0"/>
                <w:kern w:val="22"/>
                <w:lang w:eastAsia="zh-CN"/>
              </w:rPr>
              <w:t>обязательства</w:t>
            </w:r>
            <w:r w:rsidRPr="00B91F3C">
              <w:rPr>
                <w:rFonts w:eastAsia="Times New Roman" w:cstheme="minorHAnsi"/>
                <w:szCs w:val="24"/>
              </w:rPr>
              <w:t xml:space="preserve"> Конференции Сторон по периодическому обзору эффективности механизма финансирования для осуществления Конвенции, сформулированные в Меморандуме о договоренности с Советом Глобального экологического фонда, содержащемся в решении III/8,</w:t>
            </w:r>
          </w:p>
          <w:p w14:paraId="6866E199" w14:textId="77777777" w:rsidR="00FF3A47" w:rsidRPr="00B91F3C" w:rsidRDefault="00FF3A47" w:rsidP="00FF3A47">
            <w:pPr>
              <w:suppressLineNumbers/>
              <w:suppressAutoHyphens/>
              <w:adjustRightInd w:val="0"/>
              <w:snapToGrid w:val="0"/>
              <w:jc w:val="both"/>
              <w:rPr>
                <w:rFonts w:eastAsia="Times New Roman" w:cstheme="minorHAnsi"/>
                <w:szCs w:val="24"/>
              </w:rPr>
            </w:pPr>
            <w:r w:rsidRPr="00B91F3C">
              <w:rPr>
                <w:rFonts w:eastAsia="Times New Roman" w:cstheme="minorHAnsi"/>
                <w:i/>
                <w:iCs/>
                <w:szCs w:val="24"/>
              </w:rPr>
              <w:t>также вновь подтверждая</w:t>
            </w:r>
            <w:r w:rsidRPr="00B91F3C">
              <w:rPr>
                <w:rFonts w:eastAsia="Times New Roman" w:cstheme="minorHAnsi"/>
                <w:szCs w:val="24"/>
              </w:rPr>
              <w:t xml:space="preserve"> </w:t>
            </w:r>
            <w:r w:rsidRPr="00B91F3C">
              <w:rPr>
                <w:rFonts w:eastAsia="Times New Roman" w:cstheme="minorHAnsi"/>
                <w:snapToGrid w:val="0"/>
                <w:kern w:val="22"/>
                <w:lang w:eastAsia="zh-CN"/>
              </w:rPr>
              <w:t>пункт</w:t>
            </w:r>
            <w:r w:rsidRPr="00B91F3C">
              <w:rPr>
                <w:rFonts w:eastAsia="Times New Roman" w:cstheme="minorHAnsi"/>
                <w:szCs w:val="24"/>
              </w:rPr>
              <w:t xml:space="preserve"> 7 решения XI/5 о проведении обзора эффективности механизма финансирования каждые четыре года,</w:t>
            </w:r>
          </w:p>
          <w:p w14:paraId="4DE9931B" w14:textId="77777777" w:rsidR="00FF3A47" w:rsidRPr="00B91F3C" w:rsidRDefault="00FF3A47" w:rsidP="00FF3A47">
            <w:pPr>
              <w:suppressLineNumbers/>
              <w:suppressAutoHyphens/>
              <w:adjustRightInd w:val="0"/>
              <w:snapToGrid w:val="0"/>
              <w:jc w:val="both"/>
              <w:rPr>
                <w:rFonts w:eastAsia="Times New Roman" w:cstheme="minorHAnsi"/>
                <w:szCs w:val="24"/>
              </w:rPr>
            </w:pPr>
            <w:r w:rsidRPr="00B91F3C">
              <w:rPr>
                <w:rFonts w:eastAsia="Times New Roman" w:cstheme="minorHAnsi"/>
                <w:i/>
                <w:iCs/>
                <w:szCs w:val="24"/>
              </w:rPr>
              <w:t>ссылаясь</w:t>
            </w:r>
            <w:r w:rsidRPr="00B91F3C">
              <w:rPr>
                <w:rFonts w:eastAsia="Times New Roman" w:cstheme="minorHAnsi"/>
                <w:szCs w:val="24"/>
              </w:rPr>
              <w:t xml:space="preserve"> на пункт 13 решения 14/23, касающийся круга полномочий для проведения шестого обзора </w:t>
            </w:r>
            <w:r w:rsidRPr="00B91F3C">
              <w:rPr>
                <w:rFonts w:eastAsia="Times New Roman" w:cstheme="minorHAnsi"/>
                <w:snapToGrid w:val="0"/>
                <w:kern w:val="22"/>
                <w:lang w:eastAsia="zh-CN"/>
              </w:rPr>
              <w:lastRenderedPageBreak/>
              <w:t>эффективности</w:t>
            </w:r>
            <w:r w:rsidRPr="00B91F3C">
              <w:rPr>
                <w:rFonts w:eastAsia="Times New Roman" w:cstheme="minorHAnsi"/>
                <w:szCs w:val="24"/>
              </w:rPr>
              <w:t xml:space="preserve"> механизма финансирования, для рассмотрения Конференцией Сторон на ее 15-м совещании,</w:t>
            </w:r>
          </w:p>
          <w:p w14:paraId="14BD5B90" w14:textId="77777777" w:rsidR="00FF3A47" w:rsidRPr="00B91F3C" w:rsidRDefault="00FF3A47" w:rsidP="00FF3A47">
            <w:pPr>
              <w:rPr>
                <w:rFonts w:cstheme="minorHAnsi"/>
              </w:rPr>
            </w:pPr>
            <w:r w:rsidRPr="00B91F3C">
              <w:rPr>
                <w:rFonts w:eastAsia="Times New Roman" w:cstheme="minorHAnsi"/>
                <w:i/>
                <w:szCs w:val="24"/>
              </w:rPr>
              <w:t>вновь</w:t>
            </w:r>
            <w:r w:rsidRPr="00B91F3C">
              <w:rPr>
                <w:rFonts w:eastAsia="Times New Roman" w:cstheme="minorHAnsi"/>
                <w:szCs w:val="24"/>
              </w:rPr>
              <w:t xml:space="preserve"> </w:t>
            </w:r>
            <w:r w:rsidRPr="00B91F3C">
              <w:rPr>
                <w:rFonts w:eastAsia="Times New Roman" w:cstheme="minorHAnsi"/>
                <w:i/>
                <w:iCs/>
                <w:szCs w:val="24"/>
              </w:rPr>
              <w:t>подтверждая</w:t>
            </w:r>
            <w:r w:rsidRPr="00B91F3C">
              <w:rPr>
                <w:rFonts w:eastAsia="Times New Roman" w:cstheme="minorHAnsi"/>
                <w:szCs w:val="24"/>
              </w:rPr>
              <w:t xml:space="preserve"> </w:t>
            </w:r>
            <w:r w:rsidRPr="00B91F3C">
              <w:rPr>
                <w:rFonts w:eastAsia="Times New Roman" w:cstheme="minorHAnsi"/>
                <w:snapToGrid w:val="0"/>
                <w:kern w:val="22"/>
                <w:lang w:eastAsia="zh-CN"/>
              </w:rPr>
              <w:t>важность</w:t>
            </w:r>
            <w:r w:rsidRPr="00B91F3C">
              <w:rPr>
                <w:rFonts w:eastAsia="Times New Roman" w:cstheme="minorHAnsi"/>
                <w:szCs w:val="24"/>
              </w:rPr>
              <w:t xml:space="preserve"> обзора эффективности механизма финансирования для осуществления Конвенции и протоколов к ней, ее стратегий и программ,</w:t>
            </w:r>
          </w:p>
        </w:tc>
        <w:tc>
          <w:tcPr>
            <w:tcW w:w="4050" w:type="dxa"/>
          </w:tcPr>
          <w:p w14:paraId="3F6E543E" w14:textId="77777777" w:rsidR="00FF3A47" w:rsidRPr="00B91F3C" w:rsidRDefault="00FF3A47" w:rsidP="00FF3A47">
            <w:pPr>
              <w:rPr>
                <w:rFonts w:cstheme="minorHAnsi"/>
              </w:rPr>
            </w:pPr>
            <w:r w:rsidRPr="00B91F3C">
              <w:lastRenderedPageBreak/>
              <w:t>Принято к сведению.</w:t>
            </w:r>
          </w:p>
        </w:tc>
      </w:tr>
      <w:tr w:rsidR="00FF3A47" w:rsidRPr="00B91F3C" w14:paraId="1B37D512" w14:textId="77777777" w:rsidTr="00DA7535">
        <w:tc>
          <w:tcPr>
            <w:tcW w:w="5305" w:type="dxa"/>
          </w:tcPr>
          <w:p w14:paraId="26E5C332" w14:textId="77777777" w:rsidR="00FF3A47" w:rsidRPr="00B91F3C" w:rsidRDefault="00FF3A47" w:rsidP="00FF3A47">
            <w:pPr>
              <w:rPr>
                <w:rFonts w:cstheme="minorHAnsi"/>
              </w:rPr>
            </w:pPr>
            <w:r w:rsidRPr="00B91F3C">
              <w:rPr>
                <w:i/>
              </w:rPr>
              <w:t xml:space="preserve">1. </w:t>
            </w:r>
            <w:r w:rsidRPr="00B91F3C">
              <w:rPr>
                <w:i/>
                <w:iCs/>
              </w:rPr>
              <w:t>приветствует</w:t>
            </w:r>
            <w:r w:rsidRPr="00B91F3C">
              <w:t xml:space="preserve"> доклад Совета Глобального экологического фонда, представленный Конференции Сторон на ее 15-м совещании;</w:t>
            </w:r>
          </w:p>
        </w:tc>
        <w:tc>
          <w:tcPr>
            <w:tcW w:w="4050" w:type="dxa"/>
          </w:tcPr>
          <w:p w14:paraId="577E16A6" w14:textId="77777777" w:rsidR="00FF3A47" w:rsidRPr="00B91F3C" w:rsidRDefault="00FF3A47" w:rsidP="00FF3A47">
            <w:pPr>
              <w:rPr>
                <w:rFonts w:cstheme="minorHAnsi"/>
              </w:rPr>
            </w:pPr>
            <w:r w:rsidRPr="00B91F3C">
              <w:t>С удовлетворением отмечается приветствие доклада.</w:t>
            </w:r>
          </w:p>
        </w:tc>
      </w:tr>
      <w:tr w:rsidR="00FF3A47" w:rsidRPr="00B91F3C" w14:paraId="61B0AA97" w14:textId="77777777" w:rsidTr="00DA7535">
        <w:tc>
          <w:tcPr>
            <w:tcW w:w="5305" w:type="dxa"/>
          </w:tcPr>
          <w:p w14:paraId="47F5C331" w14:textId="77777777" w:rsidR="00FF3A47" w:rsidRPr="00B91F3C" w:rsidRDefault="00FF3A47" w:rsidP="00FF3A47">
            <w:pPr>
              <w:rPr>
                <w:rFonts w:cstheme="minorHAnsi"/>
                <w:b/>
              </w:rPr>
            </w:pPr>
            <w:r w:rsidRPr="00B91F3C">
              <w:rPr>
                <w:i/>
              </w:rPr>
              <w:t xml:space="preserve">2. </w:t>
            </w:r>
            <w:r w:rsidRPr="00B91F3C">
              <w:rPr>
                <w:i/>
                <w:iCs/>
              </w:rPr>
              <w:t>принимает к сведению</w:t>
            </w:r>
            <w:r w:rsidRPr="00B91F3C">
              <w:t xml:space="preserve"> важное значение реалистичной оценки необходимого и имеющегося объема финансирования для осуществления Конвенции и протоколов к ней в период восьмого пополнения Глобального экологического фонда, согласованной с проектом глобальной рамочной программы в области биоразнообразия на период после 2020 года на момент завершения восьмого пополнения</w:t>
            </w:r>
            <w:r w:rsidRPr="00B91F3C">
              <w:rPr>
                <w:rFonts w:cstheme="minorHAnsi"/>
                <w:vertAlign w:val="superscript"/>
              </w:rPr>
              <w:footnoteReference w:id="29"/>
            </w:r>
            <w:r w:rsidRPr="00B91F3C">
              <w:t>;</w:t>
            </w:r>
          </w:p>
        </w:tc>
        <w:tc>
          <w:tcPr>
            <w:tcW w:w="4050" w:type="dxa"/>
          </w:tcPr>
          <w:p w14:paraId="3A4E1CB9" w14:textId="77777777" w:rsidR="00FF3A47" w:rsidRPr="00B91F3C" w:rsidRDefault="00FF3A47" w:rsidP="00FF3A47">
            <w:pPr>
              <w:rPr>
                <w:rFonts w:cstheme="minorHAnsi"/>
              </w:rPr>
            </w:pPr>
            <w:r w:rsidRPr="00B91F3C">
              <w:t>Принято к сведению.</w:t>
            </w:r>
          </w:p>
        </w:tc>
      </w:tr>
      <w:tr w:rsidR="00FF3A47" w:rsidRPr="00B91F3C" w14:paraId="74786FC2" w14:textId="77777777" w:rsidTr="00DA7535">
        <w:tc>
          <w:tcPr>
            <w:tcW w:w="5305" w:type="dxa"/>
          </w:tcPr>
          <w:p w14:paraId="518D4456" w14:textId="77777777" w:rsidR="00FF3A47" w:rsidRPr="00B91F3C" w:rsidRDefault="00FF3A47" w:rsidP="00FF3A47">
            <w:pPr>
              <w:rPr>
                <w:rFonts w:cstheme="minorHAnsi"/>
                <w:bCs/>
              </w:rPr>
            </w:pPr>
            <w:r w:rsidRPr="00B91F3C">
              <w:rPr>
                <w:i/>
                <w:iCs/>
              </w:rPr>
              <w:t>3.</w:t>
            </w:r>
            <w:r w:rsidRPr="00B91F3C">
              <w:t xml:space="preserve"> </w:t>
            </w:r>
            <w:r w:rsidRPr="00B91F3C">
              <w:rPr>
                <w:bCs/>
                <w:i/>
                <w:iCs/>
              </w:rPr>
              <w:t>поручает</w:t>
            </w:r>
            <w:r w:rsidRPr="00B91F3C">
              <w:rPr>
                <w:bCs/>
              </w:rPr>
              <w:t xml:space="preserve"> Глобальному экологическому фонду включить в свой доклад для Конференции Сторон и Конференции Сторон, выступающей в качестве совещаний Сторон протоколов, разъяснение того, каким образом период восьмого пополнения Глобального экологического фонда</w:t>
            </w:r>
            <w:r w:rsidRPr="00B91F3C">
              <w:rPr>
                <w:rFonts w:cstheme="minorHAnsi"/>
                <w:bCs/>
                <w:vertAlign w:val="superscript"/>
              </w:rPr>
              <w:footnoteReference w:id="30"/>
            </w:r>
            <w:r w:rsidRPr="00B91F3C">
              <w:t xml:space="preserve"> </w:t>
            </w:r>
            <w:r w:rsidRPr="00B91F3C">
              <w:rPr>
                <w:bCs/>
              </w:rPr>
              <w:t xml:space="preserve">с помощью элементов своих программных направлений деятельности вносит вклад в осуществление Конвенции и протоколов к ней и реализацию целей и задач </w:t>
            </w:r>
            <w:r w:rsidRPr="00B91F3C">
              <w:t xml:space="preserve">Куньминско-Монреальской </w:t>
            </w:r>
            <w:r w:rsidRPr="00B91F3C">
              <w:rPr>
                <w:bCs/>
              </w:rPr>
              <w:t>глобальной рамочной программы в области биоразнообразия</w:t>
            </w:r>
            <w:r w:rsidRPr="00B91F3C">
              <w:rPr>
                <w:rFonts w:cstheme="minorHAnsi"/>
                <w:bCs/>
                <w:vertAlign w:val="superscript"/>
              </w:rPr>
              <w:footnoteReference w:id="31"/>
            </w:r>
            <w:r w:rsidRPr="00B91F3C">
              <w:t xml:space="preserve"> и ее механизма мониторинга</w:t>
            </w:r>
            <w:r w:rsidRPr="00B91F3C">
              <w:rPr>
                <w:rFonts w:cstheme="minorHAnsi"/>
                <w:bCs/>
                <w:vertAlign w:val="superscript"/>
              </w:rPr>
              <w:footnoteReference w:id="32"/>
            </w:r>
            <w:r w:rsidRPr="00B91F3C">
              <w:t>;</w:t>
            </w:r>
          </w:p>
          <w:p w14:paraId="33837D25" w14:textId="77777777" w:rsidR="00FF3A47" w:rsidRPr="00B91F3C" w:rsidRDefault="00FF3A47" w:rsidP="00FF3A47">
            <w:pPr>
              <w:rPr>
                <w:rFonts w:cstheme="minorHAnsi"/>
              </w:rPr>
            </w:pPr>
          </w:p>
        </w:tc>
        <w:tc>
          <w:tcPr>
            <w:tcW w:w="4050" w:type="dxa"/>
          </w:tcPr>
          <w:p w14:paraId="5664CF7A" w14:textId="77777777" w:rsidR="00FF3A47" w:rsidRPr="00B91F3C" w:rsidRDefault="00FF3A47" w:rsidP="00FF3A47">
            <w:pPr>
              <w:rPr>
                <w:rFonts w:cstheme="minorHAnsi"/>
              </w:rPr>
            </w:pPr>
            <w:r w:rsidRPr="00B91F3C">
              <w:t>В данном проекте доклада для КС рассматривается вклад программных направлений ГЭФ-8 в осуществление Конвенции и протоколов к ней и реализацию целей и задач КМГПБ. В итоговом докладе, который будет представлен Конференции Сторон, будут даны разъяснения, каким образом программные направления ГЭФ-8 вносят вклад в осуществление Конвенции и протоколов к ней и реализацию целей и задач КМГПБ.</w:t>
            </w:r>
          </w:p>
        </w:tc>
      </w:tr>
      <w:tr w:rsidR="00FF3A47" w:rsidRPr="00B91F3C" w14:paraId="4EB00541" w14:textId="77777777" w:rsidTr="00DA7535">
        <w:tc>
          <w:tcPr>
            <w:tcW w:w="5305" w:type="dxa"/>
          </w:tcPr>
          <w:p w14:paraId="4B6449A8" w14:textId="77777777" w:rsidR="00FF3A47" w:rsidRPr="00B91F3C" w:rsidRDefault="00FF3A47" w:rsidP="00FF3A47">
            <w:pPr>
              <w:rPr>
                <w:rFonts w:cstheme="minorHAnsi"/>
              </w:rPr>
            </w:pPr>
            <w:r w:rsidRPr="00B91F3C">
              <w:rPr>
                <w:i/>
              </w:rPr>
              <w:t xml:space="preserve">4. </w:t>
            </w:r>
            <w:r w:rsidRPr="00B91F3C">
              <w:rPr>
                <w:bCs/>
                <w:i/>
                <w:iCs/>
              </w:rPr>
              <w:t xml:space="preserve">настоятельно призывает </w:t>
            </w:r>
            <w:r w:rsidRPr="00B91F3C">
              <w:rPr>
                <w:bCs/>
              </w:rPr>
              <w:t xml:space="preserve">Глобальный экологический фонд оказать Сторонам поддержку в их работе по повышению согласованности политики в рамках учета проблематики биоразнообразия для содействия эффективному и действенному осуществлению </w:t>
            </w:r>
            <w:r w:rsidRPr="00B91F3C">
              <w:t xml:space="preserve">Куньминско-Монреальской </w:t>
            </w:r>
            <w:r w:rsidRPr="00B91F3C">
              <w:rPr>
                <w:bCs/>
              </w:rPr>
              <w:t>глобальной рамочной программы в области биоразнообразия</w:t>
            </w:r>
            <w:r w:rsidRPr="00B91F3C">
              <w:t>;</w:t>
            </w:r>
          </w:p>
        </w:tc>
        <w:tc>
          <w:tcPr>
            <w:tcW w:w="4050" w:type="dxa"/>
          </w:tcPr>
          <w:p w14:paraId="616A8653" w14:textId="77777777" w:rsidR="00FF3A47" w:rsidRPr="00B91F3C" w:rsidRDefault="00FF3A47" w:rsidP="00FF3A47">
            <w:pPr>
              <w:rPr>
                <w:rFonts w:cstheme="minorHAnsi"/>
                <w:highlight w:val="yellow"/>
              </w:rPr>
            </w:pPr>
            <w:r w:rsidRPr="00B91F3C">
              <w:t>Элементы программных направлений деятельности ГЭФ-8 способствуют согласованности политики, и в настоящем докладе после таблицы ответных мер приводится обновленная информация о достигнутых результатах.</w:t>
            </w:r>
          </w:p>
        </w:tc>
      </w:tr>
      <w:tr w:rsidR="00FF3A47" w:rsidRPr="00B91F3C" w14:paraId="6F78F773" w14:textId="77777777" w:rsidTr="00DA7535">
        <w:tc>
          <w:tcPr>
            <w:tcW w:w="5305" w:type="dxa"/>
          </w:tcPr>
          <w:p w14:paraId="51C6660E" w14:textId="77777777" w:rsidR="00FF3A47" w:rsidRPr="00B91F3C" w:rsidRDefault="00FF3A47" w:rsidP="00FF3A47">
            <w:pPr>
              <w:rPr>
                <w:rFonts w:cstheme="minorHAnsi"/>
                <w:bCs/>
              </w:rPr>
            </w:pPr>
            <w:r w:rsidRPr="00B91F3C">
              <w:rPr>
                <w:i/>
              </w:rPr>
              <w:lastRenderedPageBreak/>
              <w:t xml:space="preserve">5. </w:t>
            </w:r>
            <w:r w:rsidRPr="00B91F3C">
              <w:rPr>
                <w:i/>
                <w:iCs/>
              </w:rPr>
              <w:t>принимает</w:t>
            </w:r>
            <w:r w:rsidRPr="00B91F3C">
              <w:t xml:space="preserve"> ориентированную на конкретные результаты структуру определения программных приоритетов Конвенции о биологическом разнообразии на четырехлетний период, охватывающую период восьмого пополнения Глобального экологического фонда (с июля 2022 года по июнь 2026 года), согласованную с Куньминско-Монреальской </w:t>
            </w:r>
            <w:r w:rsidRPr="00B91F3C">
              <w:rPr>
                <w:bCs/>
              </w:rPr>
              <w:t xml:space="preserve">глобальной рамочной программой в области биоразнообразия </w:t>
            </w:r>
            <w:r w:rsidRPr="00B91F3C">
              <w:t>и представленную в приложении I к настоящему решению;</w:t>
            </w:r>
          </w:p>
        </w:tc>
        <w:tc>
          <w:tcPr>
            <w:tcW w:w="4050" w:type="dxa"/>
          </w:tcPr>
          <w:p w14:paraId="4345FFF3" w14:textId="77777777" w:rsidR="00FF3A47" w:rsidRPr="00B91F3C" w:rsidRDefault="00FF3A47" w:rsidP="00FF3A47">
            <w:pPr>
              <w:rPr>
                <w:rFonts w:cstheme="minorHAnsi"/>
              </w:rPr>
            </w:pPr>
            <w:r w:rsidRPr="00B91F3C">
              <w:t>Принято к сведению.</w:t>
            </w:r>
          </w:p>
        </w:tc>
      </w:tr>
      <w:tr w:rsidR="00FF3A47" w:rsidRPr="00B91F3C" w14:paraId="2CCF7B64" w14:textId="77777777" w:rsidTr="00DA7535">
        <w:tc>
          <w:tcPr>
            <w:tcW w:w="5305" w:type="dxa"/>
          </w:tcPr>
          <w:p w14:paraId="0EB9DF61" w14:textId="77777777" w:rsidR="00FF3A47" w:rsidRPr="00B91F3C" w:rsidRDefault="00FF3A47" w:rsidP="00FF3A47">
            <w:pPr>
              <w:rPr>
                <w:rFonts w:cstheme="minorHAnsi"/>
                <w:bCs/>
              </w:rPr>
            </w:pPr>
            <w:r w:rsidRPr="00B91F3C">
              <w:rPr>
                <w:i/>
              </w:rPr>
              <w:t xml:space="preserve">6. </w:t>
            </w:r>
            <w:r w:rsidRPr="00B91F3C">
              <w:rPr>
                <w:i/>
                <w:iCs/>
              </w:rPr>
              <w:t>приветствует</w:t>
            </w:r>
            <w:r w:rsidRPr="00B91F3C">
              <w:t xml:space="preserve"> восьмое пополнение Глобального экологического фонда и отмечает, что связанные с ним программные направления и стратегии, в том числе касающиеся целевой области сохранения биоразнообразия, принимают во внимание проект глобальной рамочной программы в области биоразнообразия на период после 2020 года на момент завершения восьмого пополнения;</w:t>
            </w:r>
          </w:p>
        </w:tc>
        <w:tc>
          <w:tcPr>
            <w:tcW w:w="4050" w:type="dxa"/>
          </w:tcPr>
          <w:p w14:paraId="0BBB5599" w14:textId="77777777" w:rsidR="00FF3A47" w:rsidRPr="00B91F3C" w:rsidRDefault="00FF3A47" w:rsidP="00FF3A47">
            <w:pPr>
              <w:rPr>
                <w:rFonts w:cstheme="minorHAnsi"/>
              </w:rPr>
            </w:pPr>
            <w:r w:rsidRPr="00B91F3C">
              <w:t>С удовлетворением отмечается приветствие пополнения ГЭФ-8 и стратегической согласованности с ГПБ на период после 2020 года.</w:t>
            </w:r>
          </w:p>
        </w:tc>
      </w:tr>
      <w:tr w:rsidR="00FF3A47" w:rsidRPr="00B91F3C" w14:paraId="14AB9BDA" w14:textId="77777777" w:rsidTr="00DA7535">
        <w:tc>
          <w:tcPr>
            <w:tcW w:w="5305" w:type="dxa"/>
          </w:tcPr>
          <w:p w14:paraId="2EBD76A2" w14:textId="77777777" w:rsidR="00FF3A47" w:rsidRPr="00B91F3C" w:rsidRDefault="00FF3A47" w:rsidP="00FF3A47">
            <w:pPr>
              <w:rPr>
                <w:rFonts w:cstheme="minorHAnsi"/>
                <w:bCs/>
              </w:rPr>
            </w:pPr>
            <w:r w:rsidRPr="00B91F3C">
              <w:rPr>
                <w:i/>
              </w:rPr>
              <w:t xml:space="preserve">7. </w:t>
            </w:r>
            <w:r w:rsidRPr="00B91F3C">
              <w:rPr>
                <w:i/>
                <w:iCs/>
              </w:rPr>
              <w:t xml:space="preserve">настоятельно призывает </w:t>
            </w:r>
            <w:r w:rsidRPr="00B91F3C">
              <w:t>соответствующие Стороны незамедлительно и в полной мере использовать программные направления и выделенные ресурсы для восьмого пополнения Глобального экологического фонда;</w:t>
            </w:r>
          </w:p>
        </w:tc>
        <w:tc>
          <w:tcPr>
            <w:tcW w:w="4050" w:type="dxa"/>
          </w:tcPr>
          <w:p w14:paraId="357CED62" w14:textId="77777777" w:rsidR="00FF3A47" w:rsidRPr="00B91F3C" w:rsidRDefault="00FF3A47" w:rsidP="00FF3A47">
            <w:pPr>
              <w:rPr>
                <w:rFonts w:cstheme="minorHAnsi"/>
              </w:rPr>
            </w:pPr>
            <w:r w:rsidRPr="00B91F3C">
              <w:t>Руководящее указание касается Сторон.</w:t>
            </w:r>
          </w:p>
        </w:tc>
      </w:tr>
      <w:tr w:rsidR="00FF3A47" w:rsidRPr="00B91F3C" w14:paraId="423353DA" w14:textId="77777777" w:rsidTr="00DA7535">
        <w:tc>
          <w:tcPr>
            <w:tcW w:w="5305" w:type="dxa"/>
          </w:tcPr>
          <w:p w14:paraId="1686A61B" w14:textId="77777777" w:rsidR="00FF3A47" w:rsidRPr="00B91F3C" w:rsidRDefault="00FF3A47" w:rsidP="00FF3A47">
            <w:pPr>
              <w:rPr>
                <w:rFonts w:cstheme="minorHAnsi"/>
                <w:bCs/>
              </w:rPr>
            </w:pPr>
            <w:r w:rsidRPr="00B91F3C">
              <w:rPr>
                <w:i/>
              </w:rPr>
              <w:t xml:space="preserve">8. </w:t>
            </w:r>
            <w:r w:rsidRPr="00B91F3C">
              <w:rPr>
                <w:i/>
                <w:iCs/>
              </w:rPr>
              <w:t>поручает</w:t>
            </w:r>
            <w:r w:rsidRPr="00B91F3C">
              <w:t xml:space="preserve"> Исполнительному секретарю сотрудничать с Глобальным экологическим фондом и соответствующими учреждениями в установленном порядке по вопросам: </w:t>
            </w:r>
          </w:p>
          <w:p w14:paraId="469F1E38" w14:textId="77777777" w:rsidR="00FF3A47" w:rsidRPr="00B91F3C" w:rsidRDefault="00FF3A47" w:rsidP="00FF3A47">
            <w:pPr>
              <w:spacing w:after="120"/>
            </w:pPr>
            <w:r w:rsidRPr="00B91F3C">
              <w:rPr>
                <w:bCs/>
                <w:kern w:val="22"/>
              </w:rPr>
              <w:t xml:space="preserve">активизации осуществления </w:t>
            </w:r>
            <w:r w:rsidRPr="00B91F3C">
              <w:t xml:space="preserve">Куньминско-Монреальской </w:t>
            </w:r>
            <w:r w:rsidRPr="00B91F3C">
              <w:rPr>
                <w:bCs/>
                <w:kern w:val="22"/>
              </w:rPr>
              <w:t>глобальной рамочной программы в области биоразнообразия, в частности на промежуточном этапе (</w:t>
            </w:r>
            <w:proofErr w:type="gramStart"/>
            <w:r w:rsidRPr="00B91F3C">
              <w:rPr>
                <w:bCs/>
                <w:kern w:val="22"/>
              </w:rPr>
              <w:t>2023-2024</w:t>
            </w:r>
            <w:proofErr w:type="gramEnd"/>
            <w:r w:rsidRPr="00B91F3C">
              <w:rPr>
                <w:bCs/>
                <w:kern w:val="22"/>
              </w:rPr>
              <w:t> гг.) стратегии мобилизации ресурсов и предоставления отчетности о ходе мобилизации новых и дополнительных ресурсов Конференции Сторон на ее 16-м совещании</w:t>
            </w:r>
            <w:r w:rsidRPr="00B91F3C">
              <w:t xml:space="preserve">; и </w:t>
            </w:r>
          </w:p>
          <w:p w14:paraId="61571DF6" w14:textId="77777777" w:rsidR="00FF3A47" w:rsidRPr="00B91F3C" w:rsidRDefault="00FF3A47" w:rsidP="00FF3A47">
            <w:pPr>
              <w:rPr>
                <w:i/>
              </w:rPr>
            </w:pPr>
            <w:r w:rsidRPr="00B91F3C">
              <w:rPr>
                <w:bCs/>
                <w:snapToGrid w:val="0"/>
                <w:kern w:val="22"/>
              </w:rPr>
              <w:t>разработки</w:t>
            </w:r>
            <w:r w:rsidRPr="00B91F3C">
              <w:rPr>
                <w:iCs/>
              </w:rPr>
              <w:t xml:space="preserve"> и реализации соответствующих комплексных программ и стратегии взаимодействия со странами для периода восьмого пополнения, поощряя вовлечение связанных с биоразнообразием конвенций и инструментов на национальном уровне,</w:t>
            </w:r>
            <w:r w:rsidRPr="00B91F3C">
              <w:t xml:space="preserve"> и содействия взаимодействию и взаимодополняемости с другими соответствующими механизмами финансирования, такими как Зеленый климатический фонд</w:t>
            </w:r>
            <w:r w:rsidRPr="00B91F3C">
              <w:rPr>
                <w:iCs/>
              </w:rPr>
              <w:t xml:space="preserve">, в целях эффективного осуществления </w:t>
            </w:r>
            <w:r w:rsidRPr="00B91F3C">
              <w:t xml:space="preserve">Куньминско-Монреальской </w:t>
            </w:r>
            <w:r w:rsidRPr="00B91F3C">
              <w:rPr>
                <w:bCs/>
                <w:kern w:val="22"/>
              </w:rPr>
              <w:lastRenderedPageBreak/>
              <w:t>глобальной рамочной программы в области биоразнообразия</w:t>
            </w:r>
            <w:r w:rsidRPr="00B91F3C">
              <w:t xml:space="preserve">; </w:t>
            </w:r>
          </w:p>
        </w:tc>
        <w:tc>
          <w:tcPr>
            <w:tcW w:w="4050" w:type="dxa"/>
          </w:tcPr>
          <w:p w14:paraId="66255B7A" w14:textId="77777777" w:rsidR="00FF3A47" w:rsidRPr="00B91F3C" w:rsidRDefault="00FF3A47" w:rsidP="00FF3A47">
            <w:pPr>
              <w:rPr>
                <w:rFonts w:cstheme="minorHAnsi"/>
              </w:rPr>
            </w:pPr>
            <w:r w:rsidRPr="00B91F3C">
              <w:lastRenderedPageBreak/>
              <w:t>ГЭФ сотрудничает с Исполнительным секретарем по этим вопросам и является активным членом Консультативного комитета по мобилизации ресурсов. Мы предоставляем Комитету информацию и материалы, а также активно участвуем в его виртуальных и очных совещаниях.</w:t>
            </w:r>
          </w:p>
        </w:tc>
      </w:tr>
      <w:tr w:rsidR="00FF3A47" w:rsidRPr="00B91F3C" w14:paraId="07654749" w14:textId="77777777" w:rsidTr="00DA7535">
        <w:tc>
          <w:tcPr>
            <w:tcW w:w="5305" w:type="dxa"/>
          </w:tcPr>
          <w:p w14:paraId="4624A7B0" w14:textId="77777777" w:rsidR="00FF3A47" w:rsidRPr="00B91F3C" w:rsidRDefault="00FF3A47" w:rsidP="00FF3A47">
            <w:pPr>
              <w:rPr>
                <w:rFonts w:cstheme="minorHAnsi"/>
                <w:b/>
              </w:rPr>
            </w:pPr>
            <w:r w:rsidRPr="00B91F3C">
              <w:rPr>
                <w:i/>
              </w:rPr>
              <w:t xml:space="preserve">9. </w:t>
            </w:r>
            <w:r w:rsidRPr="00B91F3C">
              <w:rPr>
                <w:i/>
                <w:iCs/>
              </w:rPr>
              <w:t>принимает</w:t>
            </w:r>
            <w:r w:rsidRPr="00B91F3C">
              <w:t xml:space="preserve"> сводные предыдущие руководящие указания Глобальному экологическому фонду, содержащиеся в приложении II A к настоящему решению, и постановляет отнести к категории устаревших прошлые решения и элементы решений, относящиеся к механизму финансирования и ограниченные только теми положениями, которые относятся к механизму финансирования,</w:t>
            </w:r>
            <w:r w:rsidRPr="00B91F3C">
              <w:rPr>
                <w:bCs/>
                <w:iCs/>
              </w:rPr>
              <w:t xml:space="preserve"> </w:t>
            </w:r>
            <w:r w:rsidRPr="00B91F3C">
              <w:t>также принимает дополнительные руководящие указания Глобальному экологическому фонду, представленные в приложении II B к настоящему решению;</w:t>
            </w:r>
          </w:p>
        </w:tc>
        <w:tc>
          <w:tcPr>
            <w:tcW w:w="4050" w:type="dxa"/>
          </w:tcPr>
          <w:p w14:paraId="0741EE72" w14:textId="77777777" w:rsidR="00FF3A47" w:rsidRPr="00B91F3C" w:rsidRDefault="00FF3A47" w:rsidP="00FF3A47">
            <w:pPr>
              <w:rPr>
                <w:rFonts w:cstheme="minorHAnsi"/>
              </w:rPr>
            </w:pPr>
            <w:r w:rsidRPr="00B91F3C">
              <w:t>Принято к сведению.</w:t>
            </w:r>
          </w:p>
        </w:tc>
      </w:tr>
      <w:tr w:rsidR="00FF3A47" w:rsidRPr="00B91F3C" w14:paraId="0B98ACC4" w14:textId="77777777" w:rsidTr="00DA7535">
        <w:tc>
          <w:tcPr>
            <w:tcW w:w="5305" w:type="dxa"/>
          </w:tcPr>
          <w:p w14:paraId="536C7404" w14:textId="77777777" w:rsidR="00FF3A47" w:rsidRPr="00B91F3C" w:rsidRDefault="00FF3A47" w:rsidP="00FF3A47">
            <w:pPr>
              <w:rPr>
                <w:rFonts w:cstheme="minorHAnsi"/>
                <w:iCs/>
              </w:rPr>
            </w:pPr>
            <w:r w:rsidRPr="00B91F3C">
              <w:rPr>
                <w:i/>
              </w:rPr>
              <w:t xml:space="preserve">10. </w:t>
            </w:r>
            <w:r w:rsidRPr="00B91F3C">
              <w:rPr>
                <w:i/>
                <w:iCs/>
              </w:rPr>
              <w:t>постановляет</w:t>
            </w:r>
            <w:r w:rsidRPr="00B91F3C">
              <w:t xml:space="preserve"> принять на своем 16-м совещании ориентированную на конкретные результаты структуру определения программных приоритетов на четырехлетний период для осуществления Конвенции и протоколов к ней, согласованную с Куньминско-Монреальской </w:t>
            </w:r>
            <w:r w:rsidRPr="00B91F3C">
              <w:rPr>
                <w:bCs/>
              </w:rPr>
              <w:t>глобальной рамочной программой в области биоразнообразия</w:t>
            </w:r>
            <w:r w:rsidRPr="00B91F3C">
              <w:t>, в целях информационного обеспечения девятого пополнения Целевого фонда Глобального экологического фонда (</w:t>
            </w:r>
            <w:proofErr w:type="gramStart"/>
            <w:r w:rsidRPr="00B91F3C">
              <w:t>2026-2030</w:t>
            </w:r>
            <w:proofErr w:type="gramEnd"/>
            <w:r w:rsidRPr="00B91F3C">
              <w:t> гг.);</w:t>
            </w:r>
          </w:p>
        </w:tc>
        <w:tc>
          <w:tcPr>
            <w:tcW w:w="4050" w:type="dxa"/>
          </w:tcPr>
          <w:p w14:paraId="02AB95A6" w14:textId="77777777" w:rsidR="00FF3A47" w:rsidRPr="00B91F3C" w:rsidRDefault="00FF3A47" w:rsidP="00FF3A47">
            <w:pPr>
              <w:rPr>
                <w:rFonts w:cstheme="minorHAnsi"/>
              </w:rPr>
            </w:pPr>
            <w:r w:rsidRPr="00B91F3C">
              <w:t>Принято к сведению.</w:t>
            </w:r>
          </w:p>
        </w:tc>
      </w:tr>
      <w:tr w:rsidR="00FF3A47" w:rsidRPr="00B91F3C" w14:paraId="60C99A2B" w14:textId="77777777" w:rsidTr="00DA7535">
        <w:tc>
          <w:tcPr>
            <w:tcW w:w="5305" w:type="dxa"/>
          </w:tcPr>
          <w:p w14:paraId="7B289C2A" w14:textId="77777777" w:rsidR="00FF3A47" w:rsidRPr="00B91F3C" w:rsidRDefault="00FF3A47" w:rsidP="00FF3A47">
            <w:pPr>
              <w:rPr>
                <w:rFonts w:cstheme="minorHAnsi"/>
                <w:iCs/>
              </w:rPr>
            </w:pPr>
            <w:r w:rsidRPr="00B91F3C">
              <w:rPr>
                <w:i/>
              </w:rPr>
              <w:t xml:space="preserve">11. </w:t>
            </w:r>
            <w:r w:rsidRPr="00B91F3C">
              <w:rPr>
                <w:i/>
                <w:iCs/>
                <w:spacing w:val="-1"/>
              </w:rPr>
              <w:t>поручает</w:t>
            </w:r>
            <w:r w:rsidRPr="00B91F3C">
              <w:rPr>
                <w:spacing w:val="-1"/>
              </w:rPr>
              <w:t xml:space="preserve"> Исполнительному секретарю подготовить элементы проекта ориентированной на конкретные результаты структуры определения программных приоритетов на четырехлетний период для осуществления Конвенции и протоколов к ней, согласованной с </w:t>
            </w:r>
            <w:r w:rsidRPr="00B91F3C">
              <w:t xml:space="preserve">Куньминско-Монреальской </w:t>
            </w:r>
            <w:r w:rsidRPr="00B91F3C">
              <w:rPr>
                <w:bCs/>
              </w:rPr>
              <w:t>глобальной рамочной программой в области биоразнообразия</w:t>
            </w:r>
            <w:r w:rsidRPr="00B91F3C">
              <w:rPr>
                <w:spacing w:val="-1"/>
              </w:rPr>
              <w:t>, в преддверии девятого пополнения Целевого фонда Глобального экологического фонда (2026-2030 гг.) для рассмотрения Вспомогательным органом по осуществлению на совещании, предшествующем 16-му совещанию Конференции Сторон</w:t>
            </w:r>
            <w:r w:rsidRPr="00B91F3C">
              <w:t>;</w:t>
            </w:r>
          </w:p>
        </w:tc>
        <w:tc>
          <w:tcPr>
            <w:tcW w:w="4050" w:type="dxa"/>
          </w:tcPr>
          <w:p w14:paraId="5FFBFA99" w14:textId="77777777" w:rsidR="00FF3A47" w:rsidRPr="00B91F3C" w:rsidRDefault="00FF3A47" w:rsidP="00FF3A47">
            <w:pPr>
              <w:rPr>
                <w:rFonts w:cstheme="minorHAnsi"/>
              </w:rPr>
            </w:pPr>
            <w:r w:rsidRPr="00B91F3C">
              <w:t>Руководящее указание касается Исполнительного секретаря.</w:t>
            </w:r>
          </w:p>
        </w:tc>
      </w:tr>
      <w:tr w:rsidR="00FF3A47" w:rsidRPr="00B91F3C" w14:paraId="5EF8BCBC" w14:textId="77777777" w:rsidTr="00DA7535">
        <w:tc>
          <w:tcPr>
            <w:tcW w:w="5305" w:type="dxa"/>
          </w:tcPr>
          <w:p w14:paraId="312C549D" w14:textId="77777777" w:rsidR="00FF3A47" w:rsidRPr="00B91F3C" w:rsidRDefault="00FF3A47" w:rsidP="00FF3A47">
            <w:pPr>
              <w:rPr>
                <w:rFonts w:cstheme="minorHAnsi"/>
                <w:iCs/>
              </w:rPr>
            </w:pPr>
            <w:r w:rsidRPr="00B91F3C">
              <w:rPr>
                <w:i/>
              </w:rPr>
              <w:t xml:space="preserve">12. </w:t>
            </w:r>
            <w:r w:rsidRPr="00B91F3C">
              <w:rPr>
                <w:i/>
                <w:iCs/>
              </w:rPr>
              <w:t>поручает</w:t>
            </w:r>
            <w:r w:rsidRPr="00B91F3C">
              <w:t xml:space="preserve"> Вспомогательному органу по осуществлению подготовить предложения по проекту ориентированной на конкретные результаты структуры определения программных приоритетов на четырехлетний период для осуществления Конвенции и протоколов к ней, согласованной с Куньминско-Монреальской глобальной рамочной программой в области биоразнообразия, в преддверии девятого пополнения Целевого фонда </w:t>
            </w:r>
            <w:r w:rsidRPr="00B91F3C">
              <w:lastRenderedPageBreak/>
              <w:t>Глобального экологического фонда (2026-2030 гг.) для рассмотрения Конференцией Сторон на ее 16-м совещании;</w:t>
            </w:r>
          </w:p>
        </w:tc>
        <w:tc>
          <w:tcPr>
            <w:tcW w:w="4050" w:type="dxa"/>
          </w:tcPr>
          <w:p w14:paraId="0CB6E195" w14:textId="77777777" w:rsidR="00FF3A47" w:rsidRPr="00B91F3C" w:rsidRDefault="00FF3A47" w:rsidP="00FF3A47">
            <w:pPr>
              <w:rPr>
                <w:rFonts w:cstheme="minorHAnsi"/>
              </w:rPr>
            </w:pPr>
            <w:r w:rsidRPr="00B91F3C">
              <w:lastRenderedPageBreak/>
              <w:t>Указание для ВОО.</w:t>
            </w:r>
          </w:p>
        </w:tc>
      </w:tr>
      <w:tr w:rsidR="00FF3A47" w:rsidRPr="00B91F3C" w14:paraId="00164557" w14:textId="77777777" w:rsidTr="00DA7535">
        <w:tc>
          <w:tcPr>
            <w:tcW w:w="5305" w:type="dxa"/>
          </w:tcPr>
          <w:p w14:paraId="076D6D90" w14:textId="77777777" w:rsidR="00FF3A47" w:rsidRPr="00B91F3C" w:rsidRDefault="00FF3A47" w:rsidP="00FF3A47">
            <w:pPr>
              <w:rPr>
                <w:rFonts w:cstheme="minorHAnsi"/>
                <w:iCs/>
              </w:rPr>
            </w:pPr>
            <w:r w:rsidRPr="00B91F3C">
              <w:rPr>
                <w:i/>
              </w:rPr>
              <w:t xml:space="preserve">13. </w:t>
            </w:r>
            <w:r w:rsidRPr="00B91F3C">
              <w:rPr>
                <w:i/>
                <w:iCs/>
              </w:rPr>
              <w:t>принимает</w:t>
            </w:r>
            <w:r w:rsidRPr="00B91F3C">
              <w:t xml:space="preserve"> круг полномочий для проведения полной оценки объема средств, необходимых для оказания помощи развивающимся странам и странам с переходной экономикой в соответствии с руководящими указаниями, предоставленными Конференцией Сторон, по выполнению их обязательств в рамках Конвенции и протоколам к ней в период девятого пополнения Глобального экологического фонда, приведенный в приложении III к настоящему решению;</w:t>
            </w:r>
          </w:p>
        </w:tc>
        <w:tc>
          <w:tcPr>
            <w:tcW w:w="4050" w:type="dxa"/>
          </w:tcPr>
          <w:p w14:paraId="0C10EB0F" w14:textId="77777777" w:rsidR="00FF3A47" w:rsidRPr="00B91F3C" w:rsidRDefault="00FF3A47" w:rsidP="00FF3A47">
            <w:pPr>
              <w:rPr>
                <w:rFonts w:cstheme="minorHAnsi"/>
              </w:rPr>
            </w:pPr>
            <w:r w:rsidRPr="00B91F3C">
              <w:t>ГЭФ готов принять участие в требуемой оценке.</w:t>
            </w:r>
          </w:p>
        </w:tc>
      </w:tr>
      <w:tr w:rsidR="00FF3A47" w:rsidRPr="00B91F3C" w14:paraId="3EE068E0" w14:textId="77777777" w:rsidTr="00DA7535">
        <w:tc>
          <w:tcPr>
            <w:tcW w:w="5305" w:type="dxa"/>
          </w:tcPr>
          <w:p w14:paraId="716ED87E" w14:textId="77777777" w:rsidR="00FF3A47" w:rsidRPr="00B91F3C" w:rsidRDefault="00FF3A47" w:rsidP="00FF3A47">
            <w:pPr>
              <w:rPr>
                <w:rFonts w:cstheme="minorHAnsi"/>
                <w:iCs/>
              </w:rPr>
            </w:pPr>
            <w:r w:rsidRPr="00B91F3C">
              <w:rPr>
                <w:i/>
              </w:rPr>
              <w:t xml:space="preserve">14. </w:t>
            </w:r>
            <w:r w:rsidRPr="00B91F3C">
              <w:rPr>
                <w:i/>
                <w:iCs/>
              </w:rPr>
              <w:t>поручает</w:t>
            </w:r>
            <w:r w:rsidRPr="00B91F3C">
              <w:t xml:space="preserve"> Исполнительному секретарю обеспечить завершение оценки в соответствии с кругом полномочий, приведенным в приложении III к настоящему решению, в сроки, которые позволят рассмотреть ее результаты Вспомогательным органом по осуществлению и затем Конференцией Сторон на ее 16-м совещании;</w:t>
            </w:r>
          </w:p>
        </w:tc>
        <w:tc>
          <w:tcPr>
            <w:tcW w:w="4050" w:type="dxa"/>
          </w:tcPr>
          <w:p w14:paraId="44745B53" w14:textId="77777777" w:rsidR="00FF3A47" w:rsidRPr="00B91F3C" w:rsidRDefault="00FF3A47" w:rsidP="00FF3A47">
            <w:pPr>
              <w:rPr>
                <w:rFonts w:cstheme="minorHAnsi"/>
              </w:rPr>
            </w:pPr>
            <w:r w:rsidRPr="00B91F3C">
              <w:t>Указание для Исполнительного секретаря.</w:t>
            </w:r>
          </w:p>
        </w:tc>
      </w:tr>
      <w:tr w:rsidR="00FF3A47" w:rsidRPr="00B91F3C" w14:paraId="52A1D38C" w14:textId="77777777" w:rsidTr="00DA7535">
        <w:tc>
          <w:tcPr>
            <w:tcW w:w="5305" w:type="dxa"/>
          </w:tcPr>
          <w:p w14:paraId="42243E87" w14:textId="77777777" w:rsidR="00FF3A47" w:rsidRPr="00B91F3C" w:rsidRDefault="00FF3A47" w:rsidP="00FF3A47">
            <w:pPr>
              <w:rPr>
                <w:rFonts w:cstheme="minorHAnsi"/>
                <w:iCs/>
              </w:rPr>
            </w:pPr>
            <w:r w:rsidRPr="00B91F3C">
              <w:rPr>
                <w:i/>
              </w:rPr>
              <w:t xml:space="preserve">15. </w:t>
            </w:r>
            <w:r w:rsidRPr="00B91F3C">
              <w:rPr>
                <w:i/>
                <w:iCs/>
              </w:rPr>
              <w:t>предлагает</w:t>
            </w:r>
            <w:r w:rsidRPr="00B91F3C">
              <w:t xml:space="preserve"> Сторонам из числа развивающихся стран и Сторонам с переходной экономикой определить соответствующие национальные приоритеты финансирования, включая потребности в финансовых ресурсах, приоритетные на национальном уровне, которые могут рассматриваться как отвечающие критериям финансирования в рамках механизма финансирования в конкретный период с июля 2026 года по июнь 2030 года, и представить результаты этой работы Исполнительному секретарю для включения в оценку потребностей в финансировании;</w:t>
            </w:r>
          </w:p>
        </w:tc>
        <w:tc>
          <w:tcPr>
            <w:tcW w:w="4050" w:type="dxa"/>
          </w:tcPr>
          <w:p w14:paraId="037FA321" w14:textId="77777777" w:rsidR="00FF3A47" w:rsidRPr="00B91F3C" w:rsidRDefault="00FF3A47" w:rsidP="00FF3A47">
            <w:pPr>
              <w:rPr>
                <w:rFonts w:cstheme="minorHAnsi"/>
              </w:rPr>
            </w:pPr>
            <w:r w:rsidRPr="00B91F3C">
              <w:t>Указание для Сторон-получателей.</w:t>
            </w:r>
          </w:p>
        </w:tc>
      </w:tr>
      <w:tr w:rsidR="00FF3A47" w:rsidRPr="00B91F3C" w14:paraId="292F39CC" w14:textId="77777777" w:rsidTr="00DA7535">
        <w:tc>
          <w:tcPr>
            <w:tcW w:w="5305" w:type="dxa"/>
          </w:tcPr>
          <w:p w14:paraId="253D824B" w14:textId="77777777" w:rsidR="00FF3A47" w:rsidRPr="00B91F3C" w:rsidRDefault="00FF3A47" w:rsidP="00FF3A47">
            <w:pPr>
              <w:rPr>
                <w:rFonts w:cstheme="minorHAnsi"/>
                <w:iCs/>
              </w:rPr>
            </w:pPr>
            <w:r w:rsidRPr="00B91F3C">
              <w:rPr>
                <w:i/>
              </w:rPr>
              <w:t xml:space="preserve">16. </w:t>
            </w:r>
            <w:r w:rsidRPr="00B91F3C">
              <w:rPr>
                <w:i/>
                <w:iCs/>
              </w:rPr>
              <w:t>предлагает</w:t>
            </w:r>
            <w:r w:rsidRPr="00B91F3C">
              <w:t xml:space="preserve"> руководящим органам различных конвенций, связанных с биоразнообразием, в соответствии с пунктами 2, 3 и 4 решения XII/30 и пунктом 10 решения XIII/21 повторить изложенное в них мероприятие в целях разработки стратегических рекомендаций для девятого пополнения Глобального экологического фонда в сроки, которые позволят Конференции Сторон рассмотреть их на ее 16-м совещании;</w:t>
            </w:r>
          </w:p>
        </w:tc>
        <w:tc>
          <w:tcPr>
            <w:tcW w:w="4050" w:type="dxa"/>
          </w:tcPr>
          <w:p w14:paraId="43BC4852" w14:textId="77777777" w:rsidR="00FF3A47" w:rsidRPr="00B91F3C" w:rsidRDefault="00FF3A47" w:rsidP="00FF3A47">
            <w:pPr>
              <w:rPr>
                <w:rFonts w:cstheme="minorHAnsi"/>
              </w:rPr>
            </w:pPr>
            <w:r w:rsidRPr="00B91F3C">
              <w:t>Указание предлагает руководящим органам различных конвенций, связанных с биоразнообразием, принять меры для рассмотрения на КС-16 КБР.</w:t>
            </w:r>
          </w:p>
        </w:tc>
      </w:tr>
      <w:tr w:rsidR="00FF3A47" w:rsidRPr="00B91F3C" w14:paraId="67EFED7C" w14:textId="77777777" w:rsidTr="00DA7535">
        <w:tc>
          <w:tcPr>
            <w:tcW w:w="5305" w:type="dxa"/>
          </w:tcPr>
          <w:p w14:paraId="13C90FF1" w14:textId="77777777" w:rsidR="00FF3A47" w:rsidRPr="00B91F3C" w:rsidRDefault="00FF3A47" w:rsidP="00FF3A47">
            <w:pPr>
              <w:rPr>
                <w:rFonts w:cstheme="minorHAnsi"/>
                <w:iCs/>
              </w:rPr>
            </w:pPr>
            <w:r w:rsidRPr="00B91F3C">
              <w:rPr>
                <w:i/>
                <w:iCs/>
              </w:rPr>
              <w:t>17. принимает</w:t>
            </w:r>
            <w:r w:rsidRPr="00B91F3C">
              <w:t xml:space="preserve"> круг полномочий для проведения шестого обзора эффективности механизма финансирования за четырехлетний период, представленный в приложении IV к настоящему </w:t>
            </w:r>
            <w:r w:rsidRPr="00B91F3C">
              <w:lastRenderedPageBreak/>
              <w:t>решению, и поручает Исполнительному секретарю обеспечить представление доклада о шестом обзоре эффективности механизма финансирования за четырехлетний период за три месяца до 16-м совещания Конференции Сторон;</w:t>
            </w:r>
          </w:p>
        </w:tc>
        <w:tc>
          <w:tcPr>
            <w:tcW w:w="4050" w:type="dxa"/>
          </w:tcPr>
          <w:p w14:paraId="2375594F" w14:textId="77777777" w:rsidR="00FF3A47" w:rsidRPr="00B91F3C" w:rsidRDefault="00FF3A47" w:rsidP="00FF3A47">
            <w:pPr>
              <w:rPr>
                <w:rFonts w:cstheme="minorHAnsi"/>
              </w:rPr>
            </w:pPr>
            <w:r w:rsidRPr="00B91F3C">
              <w:lastRenderedPageBreak/>
              <w:t>ГЭФ готов принять участие в требуемом обзоре эффективности.</w:t>
            </w:r>
          </w:p>
        </w:tc>
      </w:tr>
      <w:tr w:rsidR="00FF3A47" w:rsidRPr="00B91F3C" w14:paraId="196D9474" w14:textId="77777777" w:rsidTr="00DA7535">
        <w:tc>
          <w:tcPr>
            <w:tcW w:w="5305" w:type="dxa"/>
            <w:shd w:val="clear" w:color="auto" w:fill="auto"/>
          </w:tcPr>
          <w:p w14:paraId="7A769A51" w14:textId="77777777" w:rsidR="00FF3A47" w:rsidRPr="00B91F3C" w:rsidRDefault="00FF3A47" w:rsidP="00FF3A47">
            <w:pPr>
              <w:rPr>
                <w:rFonts w:cstheme="minorHAnsi"/>
                <w:iCs/>
              </w:rPr>
            </w:pPr>
            <w:r w:rsidRPr="00B91F3C">
              <w:rPr>
                <w:i/>
                <w:iCs/>
              </w:rPr>
              <w:t>18. призывает</w:t>
            </w:r>
            <w:r w:rsidRPr="00B91F3C">
              <w:t xml:space="preserve"> Глобальный экологический фонд продолжать реформировать свою деятельность для обеспечения адекватности, предсказуемости и своевременного поступления средств путем создания простых и эффективных механизмов доступа, в том числе путем расширения систем ускоренного финансирования, а также благодаря привлечению новых доноров;</w:t>
            </w:r>
          </w:p>
        </w:tc>
        <w:tc>
          <w:tcPr>
            <w:tcW w:w="4050" w:type="dxa"/>
            <w:shd w:val="clear" w:color="auto" w:fill="auto"/>
          </w:tcPr>
          <w:p w14:paraId="330B0153" w14:textId="77777777" w:rsidR="00FF3A47" w:rsidRPr="00B91F3C" w:rsidRDefault="00FF3A47" w:rsidP="00FF3A47">
            <w:r w:rsidRPr="00B91F3C">
              <w:t>Это соответствует рекомендации по вопросам политики в период ГЭФ-8 в отношении оптимизации, и в настоящее время идет работа над этим вопросом. Совет ГЭФ на своей 66-й сессии, рассмотрев документ GEF/C.66/08/Rev.03 «Оптимизация проектного цикла ГЭФ</w:t>
            </w:r>
            <w:r w:rsidRPr="00B91F3C">
              <w:rPr>
                <w:i/>
                <w:iCs/>
                <w:vertAlign w:val="superscript"/>
              </w:rPr>
              <w:footnoteReference w:id="33"/>
            </w:r>
            <w:r w:rsidRPr="00B91F3C">
              <w:t>», утвердил, в частности, следующее:</w:t>
            </w:r>
          </w:p>
          <w:p w14:paraId="483E9635" w14:textId="77777777" w:rsidR="00FF3A47" w:rsidRPr="00B91F3C" w:rsidRDefault="00FF3A47" w:rsidP="00FF3A47"/>
          <w:p w14:paraId="24154CEB" w14:textId="77777777" w:rsidR="00FF3A47" w:rsidRPr="00B91F3C" w:rsidRDefault="00FF3A47" w:rsidP="00FF3A47">
            <w:r w:rsidRPr="00B91F3C">
              <w:t>* увеличение лимита для среднемасштабных проектов с 2 млн долл. США до 5 млн долл. США; и</w:t>
            </w:r>
          </w:p>
          <w:p w14:paraId="603488CB" w14:textId="77777777" w:rsidR="00FF3A47" w:rsidRPr="00B91F3C" w:rsidRDefault="00FF3A47" w:rsidP="00FF3A47"/>
          <w:p w14:paraId="5A70C124" w14:textId="77777777" w:rsidR="00FF3A47" w:rsidRPr="00B91F3C" w:rsidRDefault="00FF3A47" w:rsidP="00FF3A47">
            <w:r w:rsidRPr="00B91F3C">
              <w:t>* поручил секретариату и специальной рабочей группе в составе заинтересованных членов Совета и их заместителей, представляющих доноров и страны-получатели в равном соотношении, разработать дополнительные меры по оптимизации проектного цикла ГЭФ с учетом проводимой работы по повышению эффективности координации и согласованию усилий климатических и экологических фондов в консультации с учреждениями ГЭФ, координационными центрами ГЭФ и другими заинтересованными сторонами сообразно обстоятельствам для рассмотрения Советом на его 67-м и 68-м совещаниях.</w:t>
            </w:r>
          </w:p>
          <w:p w14:paraId="32AE6369" w14:textId="77777777" w:rsidR="00FF3A47" w:rsidRPr="00B91F3C" w:rsidRDefault="00FF3A47" w:rsidP="00FF3A47"/>
          <w:p w14:paraId="67288B1C" w14:textId="77777777" w:rsidR="00FF3A47" w:rsidRPr="00B91F3C" w:rsidRDefault="00FF3A47" w:rsidP="00FF3A47">
            <w:pPr>
              <w:rPr>
                <w:rFonts w:cstheme="minorHAnsi"/>
              </w:rPr>
            </w:pPr>
            <w:r w:rsidRPr="00B91F3C">
              <w:t xml:space="preserve">В настоящее время также проводятся два дополнительных процесса: согласование процедур и методов работы с Зеленым климатическим фондом (ЗКФ) и внедрение упрощенного проектного и программного цикла для Фонда </w:t>
            </w:r>
            <w:r w:rsidRPr="00B91F3C">
              <w:lastRenderedPageBreak/>
              <w:t>глобальной рамочной программы в области биоразнообразия (ФГПБ). Эти процессы будут служить основой для принятия дополнительных мер и возможных дальнейших действий по оптимизации.</w:t>
            </w:r>
          </w:p>
        </w:tc>
      </w:tr>
      <w:tr w:rsidR="00FF3A47" w:rsidRPr="00B91F3C" w14:paraId="45694ACF" w14:textId="77777777" w:rsidTr="00DA7535">
        <w:tc>
          <w:tcPr>
            <w:tcW w:w="5305" w:type="dxa"/>
          </w:tcPr>
          <w:p w14:paraId="1BE4F378" w14:textId="77777777" w:rsidR="00FF3A47" w:rsidRPr="00B91F3C" w:rsidRDefault="00FF3A47" w:rsidP="00FF3A47">
            <w:pPr>
              <w:rPr>
                <w:rFonts w:cstheme="minorHAnsi"/>
              </w:rPr>
            </w:pPr>
            <w:r w:rsidRPr="00B91F3C">
              <w:rPr>
                <w:rFonts w:cstheme="minorHAnsi"/>
              </w:rPr>
              <w:lastRenderedPageBreak/>
              <w:t>Фонд глобальной рамочной программы в области биоразнообразия (ФГПБ)</w:t>
            </w:r>
          </w:p>
          <w:p w14:paraId="395D0774" w14:textId="77777777" w:rsidR="00FF3A47" w:rsidRPr="00B91F3C" w:rsidRDefault="00FF3A47" w:rsidP="00FF3A47">
            <w:pPr>
              <w:suppressLineNumbers/>
              <w:shd w:val="clear" w:color="auto" w:fill="FFFFFF"/>
              <w:tabs>
                <w:tab w:val="left" w:pos="306"/>
                <w:tab w:val="left" w:pos="447"/>
              </w:tabs>
              <w:suppressAutoHyphens/>
              <w:adjustRightInd w:val="0"/>
              <w:snapToGrid w:val="0"/>
              <w:jc w:val="both"/>
              <w:rPr>
                <w:rFonts w:eastAsia="Times New Roman" w:cstheme="minorHAnsi"/>
                <w:iCs/>
                <w:snapToGrid w:val="0"/>
                <w:color w:val="000000"/>
                <w:kern w:val="22"/>
              </w:rPr>
            </w:pPr>
            <w:r w:rsidRPr="00B91F3C">
              <w:rPr>
                <w:rFonts w:eastAsia="Times New Roman" w:cstheme="minorHAnsi"/>
                <w:i/>
                <w:snapToGrid w:val="0"/>
                <w:color w:val="000000"/>
                <w:kern w:val="22"/>
              </w:rPr>
              <w:t>19. признает</w:t>
            </w:r>
            <w:r w:rsidRPr="00B91F3C">
              <w:rPr>
                <w:rFonts w:eastAsia="Times New Roman" w:cstheme="minorHAnsi"/>
                <w:snapToGrid w:val="0"/>
                <w:color w:val="000000"/>
                <w:kern w:val="22"/>
              </w:rPr>
              <w:t xml:space="preserve"> настоятельную необходимость увеличения международного финансирования деятельности в области биоразнообразия и создания в 2023 году специального общедоступного Фонда для Куньминско-Монреальской глобальной рамочной программы в области биоразнообразия, позволяющего оперативно мобилизовывать и распределять новые и дополнительные ресурсы из всех источников сообразно целям Рамочной программы;</w:t>
            </w:r>
          </w:p>
          <w:p w14:paraId="40F3C435" w14:textId="77777777" w:rsidR="00FF3A47" w:rsidRPr="00B91F3C" w:rsidRDefault="00FF3A47" w:rsidP="00FF3A47">
            <w:pPr>
              <w:suppressLineNumbers/>
              <w:shd w:val="clear" w:color="auto" w:fill="FFFFFF"/>
              <w:suppressAutoHyphens/>
              <w:adjustRightInd w:val="0"/>
              <w:snapToGrid w:val="0"/>
              <w:jc w:val="both"/>
              <w:rPr>
                <w:rFonts w:eastAsia="Times New Roman" w:cstheme="minorHAnsi"/>
                <w:iCs/>
                <w:snapToGrid w:val="0"/>
                <w:color w:val="000000"/>
                <w:kern w:val="22"/>
              </w:rPr>
            </w:pPr>
            <w:r w:rsidRPr="00B91F3C">
              <w:rPr>
                <w:rFonts w:eastAsia="Times New Roman" w:cstheme="minorHAnsi"/>
                <w:i/>
                <w:snapToGrid w:val="0"/>
                <w:color w:val="000000"/>
                <w:kern w:val="22"/>
              </w:rPr>
              <w:t>20. поручает</w:t>
            </w:r>
            <w:r w:rsidRPr="00B91F3C">
              <w:rPr>
                <w:rFonts w:eastAsia="Times New Roman" w:cstheme="minorHAnsi"/>
                <w:snapToGrid w:val="0"/>
                <w:color w:val="000000"/>
                <w:kern w:val="22"/>
              </w:rPr>
              <w:t xml:space="preserve"> Глобальному экологическому фонду создать в 2023 году на срок до 2030 года, если Конференция Сторон не примет иного решения, специальный целевой фонд в поддержку осуществления Куньминско-Монреальской глобальной рамочной программы в области биоразнообразия, с тем чтобы дополнить уже оказываемую поддержку и увеличить финансирование в целях обеспечения ее своевременного осуществления с учетом необходимости обеспечения адекватности и предсказуемости средств, а также их своевременного поступления;</w:t>
            </w:r>
          </w:p>
          <w:p w14:paraId="62BB01A4" w14:textId="77777777" w:rsidR="00FF3A47" w:rsidRPr="00B91F3C" w:rsidRDefault="00FF3A47" w:rsidP="00FF3A47">
            <w:pPr>
              <w:suppressLineNumbers/>
              <w:shd w:val="clear" w:color="auto" w:fill="FFFFFF"/>
              <w:suppressAutoHyphens/>
              <w:adjustRightInd w:val="0"/>
              <w:snapToGrid w:val="0"/>
              <w:jc w:val="both"/>
              <w:rPr>
                <w:rFonts w:eastAsia="Times New Roman" w:cstheme="minorHAnsi"/>
                <w:iCs/>
                <w:snapToGrid w:val="0"/>
                <w:color w:val="000000"/>
                <w:kern w:val="22"/>
              </w:rPr>
            </w:pPr>
            <w:r w:rsidRPr="00B91F3C">
              <w:rPr>
                <w:rFonts w:eastAsia="Times New Roman" w:cstheme="minorHAnsi"/>
                <w:i/>
                <w:snapToGrid w:val="0"/>
                <w:color w:val="000000"/>
                <w:kern w:val="22"/>
              </w:rPr>
              <w:t>21. также</w:t>
            </w:r>
            <w:r w:rsidRPr="00B91F3C">
              <w:rPr>
                <w:rFonts w:eastAsia="Times New Roman" w:cstheme="minorHAnsi"/>
                <w:snapToGrid w:val="0"/>
                <w:color w:val="000000"/>
                <w:kern w:val="22"/>
              </w:rPr>
              <w:t xml:space="preserve"> </w:t>
            </w:r>
            <w:r w:rsidRPr="00B91F3C">
              <w:rPr>
                <w:rFonts w:eastAsia="Times New Roman" w:cstheme="minorHAnsi"/>
                <w:i/>
                <w:snapToGrid w:val="0"/>
                <w:color w:val="000000"/>
                <w:kern w:val="22"/>
              </w:rPr>
              <w:t>поручает</w:t>
            </w:r>
            <w:r w:rsidRPr="00B91F3C">
              <w:rPr>
                <w:rFonts w:eastAsia="Times New Roman" w:cstheme="minorHAnsi"/>
                <w:snapToGrid w:val="0"/>
                <w:color w:val="000000"/>
                <w:kern w:val="22"/>
              </w:rPr>
              <w:t xml:space="preserve"> Глобальному экологическому фонду подготовить для рассмотрения Советом решение об утверждении создания Фонда глобальной рамочной программы в области биоразнообразия со своим собственным беспристрастным руководящим органом, который будет предназначен исключительно для содействия реализации целей и задач Куньминско-Монреальской глобальной рамочной программы в области биоразнообразия;</w:t>
            </w:r>
          </w:p>
          <w:p w14:paraId="3B3AC8FE" w14:textId="77777777" w:rsidR="00FF3A47" w:rsidRPr="00B91F3C" w:rsidRDefault="00FF3A47" w:rsidP="00FF3A47">
            <w:pPr>
              <w:suppressLineNumbers/>
              <w:shd w:val="clear" w:color="auto" w:fill="FFFFFF"/>
              <w:suppressAutoHyphens/>
              <w:adjustRightInd w:val="0"/>
              <w:snapToGrid w:val="0"/>
              <w:jc w:val="both"/>
              <w:rPr>
                <w:rFonts w:eastAsia="Times New Roman" w:cstheme="minorHAnsi"/>
                <w:iCs/>
                <w:snapToGrid w:val="0"/>
                <w:color w:val="000000"/>
                <w:kern w:val="22"/>
              </w:rPr>
            </w:pPr>
            <w:r w:rsidRPr="00B91F3C">
              <w:rPr>
                <w:rFonts w:eastAsia="Times New Roman" w:cstheme="minorHAnsi"/>
                <w:i/>
                <w:snapToGrid w:val="0"/>
                <w:color w:val="000000"/>
                <w:kern w:val="22"/>
              </w:rPr>
              <w:lastRenderedPageBreak/>
              <w:t>22. далее</w:t>
            </w:r>
            <w:r w:rsidRPr="00B91F3C">
              <w:rPr>
                <w:rFonts w:eastAsia="Times New Roman" w:cstheme="minorHAnsi"/>
                <w:snapToGrid w:val="0"/>
                <w:color w:val="000000"/>
                <w:kern w:val="22"/>
              </w:rPr>
              <w:t xml:space="preserve"> </w:t>
            </w:r>
            <w:r w:rsidRPr="00B91F3C">
              <w:rPr>
                <w:rFonts w:eastAsia="Times New Roman" w:cstheme="minorHAnsi"/>
                <w:i/>
                <w:snapToGrid w:val="0"/>
                <w:color w:val="000000"/>
                <w:kern w:val="22"/>
              </w:rPr>
              <w:t>поручает</w:t>
            </w:r>
            <w:r w:rsidRPr="00B91F3C">
              <w:rPr>
                <w:rFonts w:eastAsia="Times New Roman" w:cstheme="minorHAnsi"/>
                <w:snapToGrid w:val="0"/>
                <w:color w:val="000000"/>
                <w:kern w:val="22"/>
              </w:rPr>
              <w:t xml:space="preserve"> Глобальному экологическому фонду разработать необходимые институциональные и управленческие механизмы, с тем чтобы в Фонд глобальной рамочной программы в области биоразнообразия могли поступать финансовые средства из всех источников в дополнение к официальной помощи в целях развития;  </w:t>
            </w:r>
          </w:p>
          <w:p w14:paraId="593D9F00" w14:textId="77777777" w:rsidR="00FF3A47" w:rsidRPr="00B91F3C" w:rsidRDefault="00FF3A47" w:rsidP="00FF3A47">
            <w:pPr>
              <w:suppressLineNumbers/>
              <w:shd w:val="clear" w:color="auto" w:fill="FFFFFF"/>
              <w:suppressAutoHyphens/>
              <w:adjustRightInd w:val="0"/>
              <w:snapToGrid w:val="0"/>
              <w:jc w:val="both"/>
              <w:rPr>
                <w:rFonts w:eastAsia="Times New Roman" w:cstheme="minorHAnsi"/>
                <w:iCs/>
                <w:snapToGrid w:val="0"/>
                <w:color w:val="000000"/>
                <w:kern w:val="22"/>
              </w:rPr>
            </w:pPr>
            <w:r w:rsidRPr="00B91F3C">
              <w:rPr>
                <w:rFonts w:eastAsia="Times New Roman" w:cstheme="minorHAnsi"/>
                <w:i/>
                <w:snapToGrid w:val="0"/>
                <w:color w:val="000000"/>
                <w:kern w:val="22"/>
              </w:rPr>
              <w:t>23. поручает</w:t>
            </w:r>
            <w:r w:rsidRPr="00B91F3C">
              <w:rPr>
                <w:rFonts w:eastAsia="Times New Roman" w:cstheme="minorHAnsi"/>
                <w:snapToGrid w:val="0"/>
                <w:color w:val="000000"/>
                <w:kern w:val="22"/>
              </w:rPr>
              <w:t xml:space="preserve"> Глобальному экологическому фонду разработать и внедрить проектный цикл с простым и действенным процессом подачи и утверждения заявок, обеспечивающий легкий и эффективный доступ к ресурсам Фонда глобальной рамочной программы в области биоразнообразия;</w:t>
            </w:r>
          </w:p>
          <w:p w14:paraId="2C099DF7" w14:textId="77777777" w:rsidR="00FF3A47" w:rsidRPr="00B91F3C" w:rsidRDefault="00FF3A47" w:rsidP="00FF3A47">
            <w:pPr>
              <w:suppressLineNumbers/>
              <w:shd w:val="clear" w:color="auto" w:fill="FFFFFF"/>
              <w:suppressAutoHyphens/>
              <w:adjustRightInd w:val="0"/>
              <w:snapToGrid w:val="0"/>
              <w:jc w:val="both"/>
              <w:rPr>
                <w:rFonts w:eastAsia="Times New Roman" w:cstheme="minorHAnsi"/>
                <w:iCs/>
                <w:snapToGrid w:val="0"/>
                <w:color w:val="000000"/>
                <w:kern w:val="22"/>
              </w:rPr>
            </w:pPr>
            <w:r w:rsidRPr="00B91F3C">
              <w:rPr>
                <w:rFonts w:eastAsia="Times New Roman" w:cstheme="minorHAnsi"/>
                <w:i/>
                <w:snapToGrid w:val="0"/>
                <w:color w:val="000000"/>
                <w:kern w:val="22"/>
              </w:rPr>
              <w:t>24. призывает</w:t>
            </w:r>
            <w:r w:rsidRPr="00B91F3C">
              <w:rPr>
                <w:rFonts w:eastAsia="Times New Roman" w:cstheme="minorHAnsi"/>
                <w:snapToGrid w:val="0"/>
                <w:color w:val="000000"/>
                <w:kern w:val="22"/>
              </w:rPr>
              <w:t xml:space="preserve"> Глобальный экологический фонд утвердить эти решения по возможности на ближайшей сессии Совета, а ратификацию – по возможности на ближайшей сессии Ассамблеи в 2023 году;</w:t>
            </w:r>
          </w:p>
          <w:p w14:paraId="07FDD3D7" w14:textId="77777777" w:rsidR="00FF3A47" w:rsidRPr="00B91F3C" w:rsidRDefault="00FF3A47" w:rsidP="00FF3A47">
            <w:pPr>
              <w:suppressLineNumbers/>
              <w:shd w:val="clear" w:color="auto" w:fill="FFFFFF"/>
              <w:suppressAutoHyphens/>
              <w:adjustRightInd w:val="0"/>
              <w:snapToGrid w:val="0"/>
              <w:jc w:val="both"/>
              <w:rPr>
                <w:rFonts w:eastAsia="Times New Roman" w:cstheme="minorHAnsi"/>
                <w:iCs/>
                <w:snapToGrid w:val="0"/>
                <w:color w:val="000000"/>
                <w:kern w:val="22"/>
              </w:rPr>
            </w:pPr>
            <w:r w:rsidRPr="00B91F3C">
              <w:rPr>
                <w:rFonts w:eastAsia="Times New Roman" w:cstheme="minorHAnsi"/>
                <w:i/>
                <w:snapToGrid w:val="0"/>
                <w:color w:val="000000"/>
                <w:kern w:val="22"/>
              </w:rPr>
              <w:t>25. призывает</w:t>
            </w:r>
            <w:r w:rsidRPr="00B91F3C">
              <w:rPr>
                <w:rFonts w:eastAsia="Times New Roman" w:cstheme="minorHAnsi"/>
                <w:snapToGrid w:val="0"/>
                <w:color w:val="000000"/>
                <w:kern w:val="22"/>
              </w:rPr>
              <w:t xml:space="preserve"> к незамедлительному внесению существенных взносов из всех источников в соответствии с задачей 19 Куньминско-Монреальской глобальной рамочной программы в области биоразнообразия;</w:t>
            </w:r>
          </w:p>
          <w:p w14:paraId="2FB4A10B" w14:textId="77777777" w:rsidR="00FF3A47" w:rsidRPr="00B91F3C" w:rsidRDefault="00FF3A47" w:rsidP="00FF3A47">
            <w:pPr>
              <w:suppressLineNumbers/>
              <w:shd w:val="clear" w:color="auto" w:fill="FFFFFF"/>
              <w:suppressAutoHyphens/>
              <w:adjustRightInd w:val="0"/>
              <w:snapToGrid w:val="0"/>
              <w:jc w:val="both"/>
              <w:rPr>
                <w:rFonts w:eastAsia="Times New Roman" w:cstheme="minorHAnsi"/>
                <w:iCs/>
                <w:snapToGrid w:val="0"/>
                <w:color w:val="000000"/>
                <w:kern w:val="22"/>
              </w:rPr>
            </w:pPr>
            <w:r w:rsidRPr="00B91F3C">
              <w:rPr>
                <w:rFonts w:eastAsia="Times New Roman" w:cstheme="minorHAnsi"/>
                <w:i/>
                <w:snapToGrid w:val="0"/>
                <w:color w:val="000000"/>
                <w:kern w:val="22"/>
              </w:rPr>
              <w:t>26. поручает</w:t>
            </w:r>
            <w:r w:rsidRPr="00B91F3C">
              <w:rPr>
                <w:rFonts w:eastAsia="Times New Roman" w:cstheme="minorHAnsi"/>
                <w:snapToGrid w:val="0"/>
                <w:color w:val="000000"/>
                <w:kern w:val="22"/>
              </w:rPr>
              <w:t xml:space="preserve"> Глобальному экологическому фонду привлечь все многосторонние банки развития и международные финансовые учреждения к созданию и обеспечению функционирования Фонда глобальной рамочной программы в области биоразнообразия в целях мобилизации дополнительных ресурсов из Фонда и для него и распределения их через новые и существующие проекты в области биоразнообразия, которые должны быть согласованы с целями и задачами Куньминско-Монреальской глобальной рамочной программы в области биоразнообразия;</w:t>
            </w:r>
          </w:p>
          <w:p w14:paraId="3F92F6D7" w14:textId="77777777" w:rsidR="00FF3A47" w:rsidRPr="00B91F3C" w:rsidRDefault="00FF3A47" w:rsidP="00FF3A47">
            <w:pPr>
              <w:suppressLineNumbers/>
              <w:shd w:val="clear" w:color="auto" w:fill="FFFFFF"/>
              <w:suppressAutoHyphens/>
              <w:adjustRightInd w:val="0"/>
              <w:snapToGrid w:val="0"/>
              <w:jc w:val="both"/>
              <w:rPr>
                <w:rFonts w:eastAsia="Times New Roman" w:cstheme="minorHAnsi"/>
                <w:iCs/>
                <w:snapToGrid w:val="0"/>
                <w:color w:val="000000"/>
                <w:kern w:val="22"/>
              </w:rPr>
            </w:pPr>
            <w:r w:rsidRPr="00B91F3C">
              <w:rPr>
                <w:rFonts w:eastAsia="Times New Roman" w:cstheme="minorHAnsi"/>
                <w:i/>
                <w:snapToGrid w:val="0"/>
                <w:color w:val="000000"/>
                <w:kern w:val="22"/>
              </w:rPr>
              <w:t>27. также</w:t>
            </w:r>
            <w:r w:rsidRPr="00B91F3C">
              <w:rPr>
                <w:rFonts w:eastAsia="Times New Roman" w:cstheme="minorHAnsi"/>
                <w:snapToGrid w:val="0"/>
                <w:color w:val="000000"/>
                <w:kern w:val="22"/>
              </w:rPr>
              <w:t xml:space="preserve"> </w:t>
            </w:r>
            <w:r w:rsidRPr="00B91F3C">
              <w:rPr>
                <w:rFonts w:eastAsia="Times New Roman" w:cstheme="minorHAnsi"/>
                <w:i/>
                <w:snapToGrid w:val="0"/>
                <w:color w:val="000000"/>
                <w:kern w:val="22"/>
              </w:rPr>
              <w:t>поручает</w:t>
            </w:r>
            <w:r w:rsidRPr="00B91F3C">
              <w:rPr>
                <w:rFonts w:eastAsia="Times New Roman" w:cstheme="minorHAnsi"/>
                <w:snapToGrid w:val="0"/>
                <w:color w:val="000000"/>
                <w:kern w:val="22"/>
              </w:rPr>
              <w:t xml:space="preserve"> Глобальному экологическому фонду сообщать Конференции Сторон на ее будущих совещаниях о ходе создания Фонда глобальной рамочной программы в области биоразнообразия, а также о его деятельности и результатах работы;</w:t>
            </w:r>
          </w:p>
          <w:p w14:paraId="041479C4" w14:textId="77777777" w:rsidR="00FF3A47" w:rsidRPr="00B91F3C" w:rsidRDefault="00FF3A47" w:rsidP="00FF3A47">
            <w:pPr>
              <w:suppressLineNumbers/>
              <w:shd w:val="clear" w:color="auto" w:fill="FFFFFF"/>
              <w:suppressAutoHyphens/>
              <w:adjustRightInd w:val="0"/>
              <w:snapToGrid w:val="0"/>
              <w:jc w:val="both"/>
              <w:rPr>
                <w:rFonts w:eastAsia="Times New Roman" w:cstheme="minorHAnsi"/>
                <w:iCs/>
                <w:snapToGrid w:val="0"/>
                <w:color w:val="000000"/>
                <w:kern w:val="22"/>
              </w:rPr>
            </w:pPr>
            <w:r w:rsidRPr="00B91F3C">
              <w:rPr>
                <w:rFonts w:eastAsia="Times New Roman" w:cstheme="minorHAnsi"/>
                <w:i/>
                <w:snapToGrid w:val="0"/>
                <w:color w:val="000000"/>
                <w:kern w:val="22"/>
              </w:rPr>
              <w:t>28. постановляет</w:t>
            </w:r>
            <w:r w:rsidRPr="00B91F3C">
              <w:rPr>
                <w:rFonts w:eastAsia="Times New Roman" w:cstheme="minorHAnsi"/>
                <w:snapToGrid w:val="0"/>
                <w:color w:val="000000"/>
                <w:kern w:val="22"/>
              </w:rPr>
              <w:t xml:space="preserve"> провести оценку хода создания Фонда глобальной рамочной программы в области биоразнообразия, его деятельности и результатов работы, а также рассмотреть и принять на своих </w:t>
            </w:r>
            <w:r w:rsidRPr="00B91F3C">
              <w:rPr>
                <w:rFonts w:eastAsia="Times New Roman" w:cstheme="minorHAnsi"/>
                <w:snapToGrid w:val="0"/>
                <w:color w:val="000000"/>
                <w:kern w:val="22"/>
              </w:rPr>
              <w:lastRenderedPageBreak/>
              <w:t>будущих совещаниях дальнейшие руководящие указания для Глобального экологического фонда и руководящего органа, указанного в пункте 31 выше, относительно условий и порядка функционирования Фонда;</w:t>
            </w:r>
          </w:p>
          <w:p w14:paraId="208FF7A5" w14:textId="77777777" w:rsidR="00FF3A47" w:rsidRPr="00B91F3C" w:rsidRDefault="00FF3A47" w:rsidP="00FF3A47">
            <w:pPr>
              <w:rPr>
                <w:rFonts w:cstheme="minorHAnsi"/>
              </w:rPr>
            </w:pPr>
            <w:r w:rsidRPr="00B91F3C">
              <w:rPr>
                <w:rFonts w:eastAsia="Times New Roman" w:cstheme="minorHAnsi"/>
                <w:i/>
                <w:szCs w:val="24"/>
              </w:rPr>
              <w:t>29. также</w:t>
            </w:r>
            <w:r w:rsidRPr="00B91F3C">
              <w:rPr>
                <w:rFonts w:eastAsia="Times New Roman" w:cstheme="minorHAnsi"/>
                <w:szCs w:val="24"/>
              </w:rPr>
              <w:t xml:space="preserve"> </w:t>
            </w:r>
            <w:r w:rsidRPr="00B91F3C">
              <w:rPr>
                <w:rFonts w:eastAsia="Times New Roman" w:cstheme="minorHAnsi"/>
                <w:i/>
                <w:szCs w:val="24"/>
              </w:rPr>
              <w:t>постановляет</w:t>
            </w:r>
            <w:r w:rsidRPr="00B91F3C">
              <w:rPr>
                <w:rFonts w:eastAsia="Times New Roman" w:cstheme="minorHAnsi"/>
                <w:szCs w:val="24"/>
              </w:rPr>
              <w:t xml:space="preserve"> провести на своем 18-м совещании аналитический обзор деятельности и результатов работы Фонда глобальной рамочной программы в области биоразнообразия с точки зрения его охвата, оперативности, доступности и будущих механизмов и принять соответствующие меры.</w:t>
            </w:r>
          </w:p>
        </w:tc>
        <w:tc>
          <w:tcPr>
            <w:tcW w:w="4050" w:type="dxa"/>
          </w:tcPr>
          <w:p w14:paraId="4E1C4B8F" w14:textId="77777777" w:rsidR="00FF3A47" w:rsidRPr="00B91F3C" w:rsidRDefault="00FF3A47" w:rsidP="00FF3A47">
            <w:pPr>
              <w:rPr>
                <w:rFonts w:cstheme="minorHAnsi"/>
              </w:rPr>
            </w:pPr>
            <w:r w:rsidRPr="00B91F3C">
              <w:lastRenderedPageBreak/>
              <w:t xml:space="preserve">Руководящие указания в пунктах </w:t>
            </w:r>
            <w:proofErr w:type="gramStart"/>
            <w:r w:rsidRPr="00B91F3C">
              <w:t>20-28</w:t>
            </w:r>
            <w:proofErr w:type="gramEnd"/>
            <w:r w:rsidRPr="00B91F3C">
              <w:t xml:space="preserve"> учтены в рамках процесса консультаций и следующих решений Совета. После настоящей таблицы ответных мер в связи с руководящими указаниями КС приводится дополнительная информация о распределении ресурсов ФГПБ после принятия этих решений.</w:t>
            </w:r>
          </w:p>
          <w:p w14:paraId="2E8B85E4" w14:textId="77777777" w:rsidR="00FF3A47" w:rsidRPr="00B91F3C" w:rsidRDefault="00FF3A47" w:rsidP="00FF3A47">
            <w:pPr>
              <w:rPr>
                <w:rFonts w:cstheme="minorHAnsi"/>
              </w:rPr>
            </w:pPr>
          </w:p>
          <w:p w14:paraId="399C469B" w14:textId="77777777" w:rsidR="00FF3A47" w:rsidRPr="00B91F3C" w:rsidRDefault="00FF3A47" w:rsidP="00FF3A47">
            <w:pPr>
              <w:rPr>
                <w:rFonts w:cstheme="minorHAnsi"/>
                <w:vertAlign w:val="superscript"/>
              </w:rPr>
            </w:pPr>
            <w:r w:rsidRPr="00B91F3C">
              <w:t>В соответствии с указаниями КС секретариат ГЭФ в первой половине 2023 года провел обширные консультации по вопросам создания ФГПБ. Процесс включал многочисленные консультации с Советом ГЭФ, многосторонними банками развития и международными финансовыми учреждениями, частным сектором и секретариатом КБР, а также брифинги для представителей гражданского общества, Консультативной группы ГЭФ по вопросам коренных народов и учреждений ГЭФ. Координационные центры КБР были активно вовлечены в консультации посредством регулярных уведомлений, направляемых совместно с секретариатом КБР</w:t>
            </w:r>
            <w:r w:rsidRPr="00B91F3C">
              <w:rPr>
                <w:rFonts w:cstheme="minorHAnsi"/>
                <w:vertAlign w:val="superscript"/>
              </w:rPr>
              <w:footnoteReference w:id="34"/>
            </w:r>
            <w:r w:rsidRPr="00B91F3C">
              <w:rPr>
                <w:vertAlign w:val="superscript"/>
              </w:rPr>
              <w:t>,</w:t>
            </w:r>
            <w:r w:rsidRPr="00B91F3C">
              <w:rPr>
                <w:rFonts w:cstheme="minorHAnsi"/>
                <w:vertAlign w:val="superscript"/>
              </w:rPr>
              <w:footnoteReference w:id="35"/>
            </w:r>
            <w:r w:rsidRPr="00B91F3C">
              <w:rPr>
                <w:vertAlign w:val="superscript"/>
              </w:rPr>
              <w:t>,</w:t>
            </w:r>
            <w:r w:rsidRPr="00B91F3C">
              <w:rPr>
                <w:rFonts w:cstheme="minorHAnsi"/>
                <w:vertAlign w:val="superscript"/>
              </w:rPr>
              <w:footnoteReference w:id="36"/>
            </w:r>
            <w:r w:rsidRPr="00B91F3C">
              <w:t>.</w:t>
            </w:r>
          </w:p>
          <w:p w14:paraId="3B4D8CCA" w14:textId="77777777" w:rsidR="00FF3A47" w:rsidRPr="00B91F3C" w:rsidRDefault="00FF3A47" w:rsidP="00FF3A47">
            <w:pPr>
              <w:rPr>
                <w:rFonts w:cstheme="minorHAnsi"/>
              </w:rPr>
            </w:pPr>
          </w:p>
          <w:p w14:paraId="291EEB1D" w14:textId="77777777" w:rsidR="00FF3A47" w:rsidRPr="00B91F3C" w:rsidRDefault="00FF3A47" w:rsidP="00FF3A47">
            <w:pPr>
              <w:rPr>
                <w:rFonts w:cstheme="minorHAnsi"/>
              </w:rPr>
            </w:pPr>
            <w:r w:rsidRPr="00B91F3C">
              <w:t xml:space="preserve">На 64-м совещании Совета ГЭФ, состоявшемся в Бразилии </w:t>
            </w:r>
            <w:proofErr w:type="gramStart"/>
            <w:r w:rsidRPr="00B91F3C">
              <w:t>26-29</w:t>
            </w:r>
            <w:proofErr w:type="gramEnd"/>
            <w:r w:rsidRPr="00B91F3C">
              <w:t xml:space="preserve"> июня 2023 года, Совет ГЭФ одобрил предложенные меры по созданию Фонда глобальной рамочной программы в области биоразнообразия </w:t>
            </w:r>
            <w:r w:rsidRPr="00B91F3C">
              <w:lastRenderedPageBreak/>
              <w:t>(GEF/C.64/05/Rev.01) в поддержку осуществления Куньминско-Монреальской глобальной рамочной программы в области биоразнообразия</w:t>
            </w:r>
            <w:r w:rsidRPr="00B91F3C">
              <w:rPr>
                <w:rFonts w:cstheme="minorHAnsi"/>
                <w:vertAlign w:val="superscript"/>
              </w:rPr>
              <w:footnoteReference w:id="37"/>
            </w:r>
            <w:r w:rsidRPr="00B91F3C">
              <w:t xml:space="preserve">. В соответствии с указаниями КС был создан ФГПБ со своим собственным беспристрастным руководящим органом – Советом ФГПБ с наблюдателями от основных заинтересованных сторон и вспомогательным органом. Кроме того, Совет может рассмотреть возможность создания одной или нескольких консультативных групп. ФГПБ позволяет привлекать финансирование из всех источников, включая взносы </w:t>
            </w:r>
            <w:proofErr w:type="spellStart"/>
            <w:r w:rsidRPr="00B91F3C">
              <w:t>несуверенных</w:t>
            </w:r>
            <w:proofErr w:type="spellEnd"/>
            <w:r w:rsidRPr="00B91F3C">
              <w:t xml:space="preserve"> субъектов. </w:t>
            </w:r>
          </w:p>
          <w:p w14:paraId="222E8730" w14:textId="77777777" w:rsidR="00FF3A47" w:rsidRPr="00B91F3C" w:rsidRDefault="00FF3A47" w:rsidP="00FF3A47">
            <w:pPr>
              <w:rPr>
                <w:rFonts w:cstheme="minorHAnsi"/>
              </w:rPr>
            </w:pPr>
          </w:p>
          <w:p w14:paraId="6E04F322" w14:textId="77777777" w:rsidR="00FF3A47" w:rsidRPr="00B91F3C" w:rsidRDefault="00FF3A47" w:rsidP="00FF3A47">
            <w:pPr>
              <w:rPr>
                <w:rFonts w:cstheme="minorHAnsi"/>
              </w:rPr>
            </w:pPr>
            <w:r w:rsidRPr="00B91F3C">
              <w:t>Кроме того, на том же совещании Совет ГЭФ утвердил программные направления деятельности Фонда глобальной рамочной программы в области биоразнообразия (GEF/C.64/06/</w:t>
            </w:r>
            <w:proofErr w:type="spellStart"/>
            <w:r w:rsidRPr="00B91F3C">
              <w:t>Rev</w:t>
            </w:r>
            <w:proofErr w:type="spellEnd"/>
            <w:r w:rsidRPr="00B91F3C">
              <w:t>/02) в поддержку осуществления Куньминско-Монреальской глобальной рамочной программы в области биоразнообразия, включая принципы выделения ресурсов</w:t>
            </w:r>
            <w:r w:rsidRPr="00B91F3C">
              <w:rPr>
                <w:rFonts w:cstheme="minorHAnsi"/>
                <w:vertAlign w:val="superscript"/>
              </w:rPr>
              <w:footnoteReference w:id="38"/>
            </w:r>
            <w:r w:rsidRPr="00B91F3C">
              <w:t>. Эти направления деятельности включают высокоприоритетные области деятельности, призванные дополнить уже оказываемую помощь и обеспечить увеличение объема финансирования в поддержку осуществления КМГПБ.</w:t>
            </w:r>
          </w:p>
          <w:p w14:paraId="4EF0501E" w14:textId="77777777" w:rsidR="00FF3A47" w:rsidRPr="00B91F3C" w:rsidRDefault="00FF3A47" w:rsidP="00FF3A47">
            <w:pPr>
              <w:rPr>
                <w:rFonts w:cstheme="minorHAnsi"/>
              </w:rPr>
            </w:pPr>
          </w:p>
          <w:p w14:paraId="743E76F9" w14:textId="77777777" w:rsidR="00FF3A47" w:rsidRPr="00B91F3C" w:rsidRDefault="00FF3A47" w:rsidP="00FF3A47">
            <w:pPr>
              <w:rPr>
                <w:rFonts w:cstheme="minorHAnsi"/>
              </w:rPr>
            </w:pPr>
            <w:r w:rsidRPr="00B91F3C">
              <w:t xml:space="preserve">На своей седьмой сессии, проходившей в Ванкувере (Канада) </w:t>
            </w:r>
            <w:proofErr w:type="gramStart"/>
            <w:r w:rsidRPr="00B91F3C">
              <w:t>22-26</w:t>
            </w:r>
            <w:proofErr w:type="gramEnd"/>
            <w:r w:rsidRPr="00B91F3C">
              <w:t xml:space="preserve"> августа 2023 года, Ассамблея ГЭФ ратифицировала создание Фонда глобальной рамочной программы в области биоразнообразия.  </w:t>
            </w:r>
          </w:p>
          <w:p w14:paraId="1B6713C3" w14:textId="77777777" w:rsidR="00FF3A47" w:rsidRPr="00B91F3C" w:rsidRDefault="00FF3A47" w:rsidP="00FF3A47">
            <w:pPr>
              <w:rPr>
                <w:rFonts w:cstheme="minorHAnsi"/>
              </w:rPr>
            </w:pPr>
          </w:p>
          <w:p w14:paraId="5C6DE97E" w14:textId="77777777" w:rsidR="00FF3A47" w:rsidRPr="00B91F3C" w:rsidRDefault="00FF3A47" w:rsidP="00FF3A47">
            <w:pPr>
              <w:rPr>
                <w:rFonts w:cstheme="minorHAnsi"/>
              </w:rPr>
            </w:pPr>
            <w:r w:rsidRPr="00B91F3C">
              <w:lastRenderedPageBreak/>
              <w:t xml:space="preserve">Первое совещание Совета Фонда глобальной рамочной программы в области биоразнообразия (ФГПБ) состоялось в Вашингтоне </w:t>
            </w:r>
            <w:proofErr w:type="gramStart"/>
            <w:r w:rsidRPr="00B91F3C">
              <w:t>8-9</w:t>
            </w:r>
            <w:proofErr w:type="gramEnd"/>
            <w:r w:rsidRPr="00B91F3C">
              <w:t xml:space="preserve"> февраля 2024 года. Совет ФГПБ утвердил Политику распределения ресурсов ФГПБ (GEF/GBFF.01/03/Rev.03)</w:t>
            </w:r>
            <w:r w:rsidRPr="00B91F3C">
              <w:rPr>
                <w:rFonts w:cstheme="minorHAnsi"/>
                <w:vertAlign w:val="superscript"/>
              </w:rPr>
              <w:footnoteReference w:id="39"/>
            </w:r>
            <w:r w:rsidRPr="00B91F3C">
              <w:t xml:space="preserve">. </w:t>
            </w:r>
          </w:p>
          <w:p w14:paraId="7FA375D0" w14:textId="77777777" w:rsidR="00FF3A47" w:rsidRPr="00B91F3C" w:rsidRDefault="00FF3A47" w:rsidP="00FF3A47">
            <w:pPr>
              <w:rPr>
                <w:rFonts w:cstheme="minorHAnsi"/>
              </w:rPr>
            </w:pPr>
          </w:p>
          <w:p w14:paraId="3CEBB41C" w14:textId="77777777" w:rsidR="00FF3A47" w:rsidRPr="00B91F3C" w:rsidRDefault="00FF3A47" w:rsidP="00FF3A47">
            <w:pPr>
              <w:autoSpaceDE w:val="0"/>
              <w:autoSpaceDN w:val="0"/>
              <w:adjustRightInd w:val="0"/>
              <w:rPr>
                <w:rFonts w:cstheme="minorHAnsi"/>
                <w:color w:val="000000"/>
              </w:rPr>
            </w:pPr>
            <w:r w:rsidRPr="00B91F3C">
              <w:rPr>
                <w:rFonts w:cs="Calibri"/>
                <w:color w:val="000000"/>
                <w:szCs w:val="24"/>
              </w:rPr>
              <w:t xml:space="preserve">Кроме того, на том же совещании Совет утвердил Политику проектного цикла ФГПБ (GEF/GBFF.01/04/Rev.02), которая будет применяться ко всем проектам ФГПБ с даты ее утверждения. Совет делегировал Исполнительному директору ГЭФ полномочия по утверждению проектов на сумму до 5 млн долл. США. Политика проектного цикла ФГПБ, которая представляет собой упрощенную версию Политики проектного и программного цикла ГЭФ, направлена на повышение эффективности благодаря упрощенному механизму единого проекта без ущерба для принципов ГЭФ в области подотчетности, транспарентности и соблюдения требований.  </w:t>
            </w:r>
          </w:p>
          <w:p w14:paraId="39696047" w14:textId="77777777" w:rsidR="00FF3A47" w:rsidRPr="00B91F3C" w:rsidRDefault="00FF3A47" w:rsidP="00FF3A47">
            <w:pPr>
              <w:rPr>
                <w:rFonts w:cstheme="minorHAnsi"/>
              </w:rPr>
            </w:pPr>
          </w:p>
          <w:p w14:paraId="1A9F4FEC" w14:textId="77777777" w:rsidR="00FF3A47" w:rsidRPr="00B91F3C" w:rsidRDefault="00FF3A47" w:rsidP="00FF3A47">
            <w:r w:rsidRPr="00B91F3C">
              <w:t xml:space="preserve">На том же совещании Совет рассмотрел Круг полномочий консультативной группы (групп) и вспомогательного органа Фонда глобальной рамочной программы в области биоразнообразия в документе GEF/GBFF.01/06. Поскольку члены Совета разошлись во мнениях, этот пункт повестки дня будет дополнительно обсуждаться в ходе второго совещания Совета ФГПБ, которое состоится в Вашингтоне </w:t>
            </w:r>
            <w:proofErr w:type="gramStart"/>
            <w:r w:rsidRPr="00B91F3C">
              <w:t>17-21</w:t>
            </w:r>
            <w:proofErr w:type="gramEnd"/>
            <w:r w:rsidRPr="00B91F3C">
              <w:t xml:space="preserve"> июня 2024 года.</w:t>
            </w:r>
          </w:p>
          <w:p w14:paraId="6CC9D930" w14:textId="77777777" w:rsidR="00FF3A47" w:rsidRPr="00B91F3C" w:rsidRDefault="00FF3A47" w:rsidP="00FF3A47"/>
          <w:p w14:paraId="169DF915" w14:textId="77777777" w:rsidR="00FF3A47" w:rsidRPr="00B91F3C" w:rsidRDefault="00FF3A47" w:rsidP="00FF3A47">
            <w:pPr>
              <w:rPr>
                <w:rFonts w:cstheme="minorHAnsi"/>
              </w:rPr>
            </w:pPr>
          </w:p>
        </w:tc>
      </w:tr>
      <w:tr w:rsidR="00FF3A47" w:rsidRPr="00B91F3C" w14:paraId="41BB0704" w14:textId="77777777" w:rsidTr="00DA7535">
        <w:tc>
          <w:tcPr>
            <w:tcW w:w="5305" w:type="dxa"/>
          </w:tcPr>
          <w:p w14:paraId="7367B92B" w14:textId="77777777" w:rsidR="00FF3A47" w:rsidRPr="00B91F3C" w:rsidRDefault="00FF3A47" w:rsidP="00FF3A47">
            <w:pPr>
              <w:rPr>
                <w:rFonts w:cstheme="minorHAnsi"/>
              </w:rPr>
            </w:pPr>
            <w:r w:rsidRPr="00B91F3C">
              <w:lastRenderedPageBreak/>
              <w:t>Приложение I</w:t>
            </w:r>
          </w:p>
          <w:p w14:paraId="6D379BE2" w14:textId="77777777" w:rsidR="00FF3A47" w:rsidRPr="00FB3400" w:rsidRDefault="00FF3A47" w:rsidP="00FF3A47">
            <w:pPr>
              <w:rPr>
                <w:rFonts w:cstheme="minorHAnsi"/>
              </w:rPr>
            </w:pPr>
            <w:bookmarkStart w:id="164" w:name="_Toc118827352"/>
            <w:bookmarkStart w:id="165" w:name="_Toc105443126"/>
            <w:bookmarkStart w:id="166" w:name="_Toc105416296"/>
            <w:r w:rsidRPr="00FB3400">
              <w:rPr>
                <w:iCs/>
              </w:rPr>
              <w:t xml:space="preserve">ОРИЕНТИРОВАННАЯ НА КОНКРЕТНЫЕ РЕЗУЛЬТАТЫ СТРУКТУРА ОПРЕДЕЛЕНИЯ ПРОГРАММНЫХ </w:t>
            </w:r>
            <w:r w:rsidRPr="00FB3400">
              <w:rPr>
                <w:iCs/>
              </w:rPr>
              <w:lastRenderedPageBreak/>
              <w:t xml:space="preserve">ПРИОРИТЕТОВ </w:t>
            </w:r>
            <w:r w:rsidRPr="00FB3400">
              <w:t>КОНВЕНЦИИ О БИОЛОГИЧЕСКОМ РАЗНООБРАЗИИ</w:t>
            </w:r>
            <w:r w:rsidRPr="00FB3400">
              <w:rPr>
                <w:iCs/>
              </w:rPr>
              <w:t xml:space="preserve"> НА ЧЕТЫРЕХЛЕТНИЙ ПЕРИОД, ОХВАТЫВАЮЩАЯ ПЕРИОД ВОСЬМОГО ПОПОЛНЕНИЯ (</w:t>
            </w:r>
            <w:proofErr w:type="gramStart"/>
            <w:r w:rsidRPr="00FB3400">
              <w:rPr>
                <w:iCs/>
              </w:rPr>
              <w:t>2022-2026</w:t>
            </w:r>
            <w:proofErr w:type="gramEnd"/>
            <w:r w:rsidRPr="00FB3400">
              <w:rPr>
                <w:iCs/>
              </w:rPr>
              <w:t xml:space="preserve"> ГГ.) ЦЕЛЕВОГО ФОНДА ГЛОБАЛЬНОГО ЭКОЛОГИЧЕСКОГО ФОНДА</w:t>
            </w:r>
            <w:bookmarkEnd w:id="164"/>
            <w:bookmarkEnd w:id="165"/>
            <w:bookmarkEnd w:id="166"/>
          </w:p>
          <w:p w14:paraId="09641149" w14:textId="77777777" w:rsidR="00FF3A47" w:rsidRPr="00B91F3C" w:rsidRDefault="00FF3A47" w:rsidP="00FF3A47">
            <w:pPr>
              <w:jc w:val="center"/>
              <w:rPr>
                <w:rFonts w:cstheme="minorHAnsi"/>
                <w:b/>
                <w:bCs/>
              </w:rPr>
            </w:pPr>
            <w:r w:rsidRPr="00B91F3C">
              <w:rPr>
                <w:b/>
              </w:rPr>
              <w:t>Цель</w:t>
            </w:r>
          </w:p>
          <w:p w14:paraId="5EF7CB73" w14:textId="5308B225" w:rsidR="00FF3A47" w:rsidRPr="00B91F3C" w:rsidRDefault="00FF3A47" w:rsidP="00FF3A47">
            <w:pPr>
              <w:tabs>
                <w:tab w:val="left" w:pos="720"/>
              </w:tabs>
              <w:snapToGrid w:val="0"/>
              <w:spacing w:before="120" w:after="120"/>
              <w:jc w:val="both"/>
              <w:rPr>
                <w:rFonts w:eastAsia="Times New Roman" w:cstheme="minorHAnsi"/>
                <w:iCs/>
              </w:rPr>
            </w:pPr>
            <w:r w:rsidRPr="00B91F3C">
              <w:rPr>
                <w:rFonts w:eastAsia="Times New Roman" w:cstheme="minorHAnsi"/>
              </w:rPr>
              <w:t>1.</w:t>
            </w:r>
            <w:r w:rsidRPr="00B91F3C">
              <w:rPr>
                <w:rFonts w:eastAsia="Times New Roman" w:cstheme="minorHAnsi"/>
                <w:iCs/>
              </w:rPr>
              <w:tab/>
            </w:r>
            <w:r w:rsidRPr="00B91F3C">
              <w:rPr>
                <w:rFonts w:eastAsia="Times New Roman" w:cstheme="minorHAnsi"/>
              </w:rPr>
              <w:t xml:space="preserve">Данная ориентированная на конкретные результаты структура определения программных приоритетов на четырехлетний период служит руководством для Глобального экологического фонда (ГЭФ) в период восьмого пополнения (ГЭФ-8) </w:t>
            </w:r>
            <w:proofErr w:type="gramStart"/>
            <w:r w:rsidRPr="00B91F3C">
              <w:rPr>
                <w:rFonts w:eastAsia="Times New Roman" w:cstheme="minorHAnsi"/>
              </w:rPr>
              <w:t>2022-2026</w:t>
            </w:r>
            <w:proofErr w:type="gramEnd"/>
            <w:r w:rsidRPr="00B91F3C">
              <w:rPr>
                <w:rFonts w:eastAsia="Times New Roman" w:cstheme="minorHAnsi"/>
              </w:rPr>
              <w:t xml:space="preserve"> годов и соответствует мандату ГЭФ по предоставлению ресурсов для реализации глобальных экологических выгод, а также мандату, предоставленному ГЭФ Конференцией Сторон. Установление приоритетов для механизма финансирования осуществляется на основе Конвенции и протоколов к ней и Куньминско-Монреальской </w:t>
            </w:r>
            <w:r w:rsidRPr="00B91F3C">
              <w:rPr>
                <w:rFonts w:eastAsia="Times New Roman" w:cstheme="minorHAnsi"/>
                <w:szCs w:val="24"/>
              </w:rPr>
              <w:t>глобальной рамочной программы в области биоразнообразия</w:t>
            </w:r>
            <w:r w:rsidRPr="00B91F3C">
              <w:rPr>
                <w:rFonts w:eastAsia="Times New Roman" w:cstheme="minorHAnsi"/>
              </w:rPr>
              <w:t xml:space="preserve">. В частности, цели и задачи Рамочной программы определяют направления деятельности для достижения результатов в рамках этой четырехлетней структуры с учетом того, что ГЭФ-8 и ГЭФ-9 в совокупности охватывают ожидаемый восьмилетний период до 2030 года, являющийся крайним сроком выполнения этих задач, при том понимании, что при разработке и осуществлении стратегии и программных направлений деятельности в области биоразнообразия ГЭФ должен учитывать три цели Конвенции. </w:t>
            </w:r>
          </w:p>
          <w:p w14:paraId="6344E1E0" w14:textId="77777777" w:rsidR="00FF3A47" w:rsidRPr="00B91F3C" w:rsidRDefault="00FF3A47" w:rsidP="00FF3A47">
            <w:pPr>
              <w:tabs>
                <w:tab w:val="left" w:pos="720"/>
              </w:tabs>
              <w:snapToGrid w:val="0"/>
              <w:spacing w:before="120" w:after="120"/>
              <w:jc w:val="both"/>
              <w:rPr>
                <w:rFonts w:eastAsia="Calibri" w:cstheme="minorHAnsi"/>
                <w:b/>
                <w:bCs/>
                <w:iCs/>
              </w:rPr>
            </w:pPr>
            <w:r w:rsidRPr="00B91F3C">
              <w:rPr>
                <w:rFonts w:eastAsia="Times New Roman" w:cstheme="minorHAnsi"/>
                <w:iCs/>
              </w:rPr>
              <w:t>2.</w:t>
            </w:r>
            <w:r w:rsidRPr="00B91F3C">
              <w:rPr>
                <w:rFonts w:eastAsia="Times New Roman" w:cstheme="minorHAnsi"/>
                <w:iCs/>
              </w:rPr>
              <w:tab/>
            </w:r>
            <w:r w:rsidRPr="00B91F3C">
              <w:rPr>
                <w:rFonts w:eastAsia="Times New Roman" w:cstheme="minorHAnsi"/>
              </w:rPr>
              <w:t xml:space="preserve">В этой связи предусматривается, что после принятия Куньминско-Монреальской </w:t>
            </w:r>
            <w:r w:rsidRPr="00B91F3C">
              <w:rPr>
                <w:rFonts w:eastAsia="Times New Roman" w:cstheme="minorHAnsi"/>
                <w:szCs w:val="24"/>
              </w:rPr>
              <w:t>глобальной рамочной программы в области биоразнообразия</w:t>
            </w:r>
            <w:r w:rsidRPr="00B91F3C">
              <w:rPr>
                <w:rFonts w:eastAsia="Times New Roman" w:cstheme="minorHAnsi"/>
              </w:rPr>
              <w:t xml:space="preserve"> и завершения периода пополнения ГЭФ-8 в рамках соответствующих процессов ГЭФ включит в свой доклад Конференции Сторон разъяснение относительно того, каким образом ГЭФ-8 с помощью элементов своих программных направлений деятельности вносит вклад в осуществление Конвенции и протоколов к ней и реализацию каждой цели и задачи Рамочной программы и ее механизма мониторинга</w:t>
            </w:r>
            <w:r w:rsidRPr="00B91F3C">
              <w:rPr>
                <w:rFonts w:eastAsia="Times New Roman" w:cstheme="minorHAnsi"/>
                <w:bCs/>
                <w:snapToGrid w:val="0"/>
                <w:kern w:val="22"/>
              </w:rPr>
              <w:t>.</w:t>
            </w:r>
          </w:p>
          <w:p w14:paraId="649A4C2D" w14:textId="77777777" w:rsidR="00FF3A47" w:rsidRPr="00B91F3C" w:rsidRDefault="00FF3A47" w:rsidP="00FF3A47">
            <w:pPr>
              <w:tabs>
                <w:tab w:val="left" w:pos="720"/>
              </w:tabs>
              <w:snapToGrid w:val="0"/>
              <w:spacing w:before="120" w:after="120"/>
              <w:rPr>
                <w:rFonts w:eastAsia="Calibri" w:cstheme="minorHAnsi"/>
                <w:iCs/>
              </w:rPr>
            </w:pPr>
            <w:r w:rsidRPr="00B91F3C">
              <w:rPr>
                <w:rFonts w:eastAsia="Calibri" w:cstheme="minorHAnsi"/>
                <w:iCs/>
              </w:rPr>
              <w:t>3.</w:t>
            </w:r>
            <w:r w:rsidRPr="00B91F3C">
              <w:rPr>
                <w:rFonts w:eastAsia="Calibri" w:cstheme="minorHAnsi"/>
                <w:iCs/>
              </w:rPr>
              <w:tab/>
            </w:r>
            <w:r w:rsidRPr="00B91F3C">
              <w:rPr>
                <w:rFonts w:eastAsia="Times New Roman" w:cstheme="minorHAnsi"/>
              </w:rPr>
              <w:t xml:space="preserve">В данной ориентированной на конкретные результаты структуре определения программных приоритетов на четырехлетний период признается, </w:t>
            </w:r>
            <w:r w:rsidRPr="00B91F3C">
              <w:rPr>
                <w:rFonts w:eastAsia="Times New Roman" w:cstheme="minorHAnsi"/>
              </w:rPr>
              <w:lastRenderedPageBreak/>
              <w:t xml:space="preserve">что Куньминско-Монреальская </w:t>
            </w:r>
            <w:r w:rsidRPr="00B91F3C">
              <w:rPr>
                <w:rFonts w:eastAsia="Times New Roman" w:cstheme="minorHAnsi"/>
                <w:szCs w:val="24"/>
              </w:rPr>
              <w:t>глобальная рамочная программа в области биоразнообразия</w:t>
            </w:r>
            <w:r w:rsidRPr="00B91F3C">
              <w:rPr>
                <w:rFonts w:eastAsia="Times New Roman" w:cstheme="minorHAnsi"/>
              </w:rPr>
              <w:t xml:space="preserve"> является всеобъемлющей основой и крайне актуальной для всех конвенций и соглашений, связанных с биоразнообразием, и что она направлена на содействие осуществлению взаимодополняющих мер, которые могут усилить синергетический эффект и повысить результативность в рамках Конвенции, протоколов к ней и других конвенций и соглашений, связанных с биоразнообразием и имеющих отношение к Куньминско-Монреальской </w:t>
            </w:r>
            <w:r w:rsidRPr="00B91F3C">
              <w:rPr>
                <w:rFonts w:eastAsia="Times New Roman" w:cstheme="minorHAnsi"/>
                <w:szCs w:val="24"/>
              </w:rPr>
              <w:t>глобальной рамочной программе в области биоразнообразия</w:t>
            </w:r>
            <w:r w:rsidRPr="00B91F3C">
              <w:rPr>
                <w:rFonts w:eastAsia="Times New Roman" w:cstheme="minorHAnsi"/>
              </w:rPr>
              <w:t xml:space="preserve"> и мандату Глобального экологического фонда</w:t>
            </w:r>
            <w:r w:rsidRPr="00B91F3C">
              <w:rPr>
                <w:rFonts w:eastAsia="Calibri" w:cstheme="minorHAnsi"/>
                <w:iCs/>
              </w:rPr>
              <w:t>.</w:t>
            </w:r>
          </w:p>
          <w:p w14:paraId="0E695994" w14:textId="77777777" w:rsidR="00FF3A47" w:rsidRPr="00B91F3C" w:rsidRDefault="00FF3A47" w:rsidP="00FF3A47">
            <w:pPr>
              <w:tabs>
                <w:tab w:val="left" w:pos="720"/>
              </w:tabs>
              <w:snapToGrid w:val="0"/>
              <w:spacing w:before="120" w:after="120"/>
            </w:pPr>
          </w:p>
        </w:tc>
        <w:tc>
          <w:tcPr>
            <w:tcW w:w="4050" w:type="dxa"/>
          </w:tcPr>
          <w:p w14:paraId="7A9E4693" w14:textId="77777777" w:rsidR="00FF3A47" w:rsidRPr="00B91F3C" w:rsidRDefault="00FF3A47" w:rsidP="00FF3A47">
            <w:pPr>
              <w:rPr>
                <w:rFonts w:cstheme="minorHAnsi"/>
              </w:rPr>
            </w:pPr>
          </w:p>
          <w:p w14:paraId="25065E01" w14:textId="77777777" w:rsidR="00FF3A47" w:rsidRPr="00B91F3C" w:rsidRDefault="00FF3A47" w:rsidP="00FF3A47">
            <w:pPr>
              <w:rPr>
                <w:rFonts w:cstheme="minorHAnsi"/>
              </w:rPr>
            </w:pPr>
          </w:p>
          <w:p w14:paraId="005115B9" w14:textId="77777777" w:rsidR="00FF3A47" w:rsidRPr="00B91F3C" w:rsidRDefault="00FF3A47" w:rsidP="00FF3A47">
            <w:pPr>
              <w:rPr>
                <w:rFonts w:cstheme="minorHAnsi"/>
              </w:rPr>
            </w:pPr>
            <w:r w:rsidRPr="00B91F3C">
              <w:lastRenderedPageBreak/>
              <w:t>В данном докладе рассматривается вклад программных направлений деятельности ГЭФ-8 в осуществление КМГПБ.</w:t>
            </w:r>
          </w:p>
        </w:tc>
      </w:tr>
      <w:tr w:rsidR="00FF3A47" w:rsidRPr="00B91F3C" w14:paraId="1F350847" w14:textId="77777777" w:rsidTr="00DA7535">
        <w:tc>
          <w:tcPr>
            <w:tcW w:w="5305" w:type="dxa"/>
          </w:tcPr>
          <w:p w14:paraId="3F08EFC2" w14:textId="77777777" w:rsidR="00FF3A47" w:rsidRPr="00B91F3C" w:rsidRDefault="00FF3A47" w:rsidP="00FF3A47">
            <w:pPr>
              <w:keepNext/>
              <w:tabs>
                <w:tab w:val="left" w:pos="567"/>
              </w:tabs>
              <w:spacing w:before="120" w:after="120"/>
              <w:jc w:val="center"/>
              <w:outlineLvl w:val="1"/>
              <w:rPr>
                <w:b/>
                <w:bCs/>
              </w:rPr>
            </w:pPr>
            <w:bookmarkStart w:id="167" w:name="_Toc165899271"/>
            <w:r w:rsidRPr="00B91F3C">
              <w:rPr>
                <w:b/>
              </w:rPr>
              <w:lastRenderedPageBreak/>
              <w:t>B.</w:t>
            </w:r>
            <w:r w:rsidRPr="00B91F3C">
              <w:rPr>
                <w:b/>
              </w:rPr>
              <w:tab/>
              <w:t>Элементы</w:t>
            </w:r>
            <w:bookmarkEnd w:id="167"/>
          </w:p>
          <w:p w14:paraId="54E2BC64" w14:textId="77777777" w:rsidR="00FF3A47" w:rsidRPr="00B91F3C" w:rsidRDefault="00FF3A47" w:rsidP="00FF3A47">
            <w:pPr>
              <w:tabs>
                <w:tab w:val="left" w:pos="720"/>
              </w:tabs>
              <w:snapToGrid w:val="0"/>
              <w:spacing w:before="120" w:after="120"/>
              <w:rPr>
                <w:iCs/>
              </w:rPr>
            </w:pPr>
            <w:r w:rsidRPr="00B91F3C">
              <w:t>4.</w:t>
            </w:r>
            <w:r w:rsidRPr="00B91F3C">
              <w:tab/>
              <w:t xml:space="preserve">Ориентированная на конкретные результаты структура определения программных приоритетов на четырехлетний период </w:t>
            </w:r>
            <w:proofErr w:type="gramStart"/>
            <w:r w:rsidRPr="00B91F3C">
              <w:t>2022-2026</w:t>
            </w:r>
            <w:proofErr w:type="gramEnd"/>
            <w:r w:rsidRPr="00B91F3C">
              <w:t xml:space="preserve"> годов состоит из следующих элементов, осуществлению которых должна быть оказана эффективная поддержка:</w:t>
            </w:r>
          </w:p>
          <w:p w14:paraId="19623D25" w14:textId="77777777" w:rsidR="00FF3A47" w:rsidRPr="00B91F3C" w:rsidRDefault="00FF3A47" w:rsidP="00FF3A47">
            <w:pPr>
              <w:rPr>
                <w:rFonts w:cstheme="minorHAnsi"/>
              </w:rPr>
            </w:pPr>
          </w:p>
        </w:tc>
        <w:tc>
          <w:tcPr>
            <w:tcW w:w="4050" w:type="dxa"/>
          </w:tcPr>
          <w:p w14:paraId="68D06EBC" w14:textId="77777777" w:rsidR="00FF3A47" w:rsidRPr="00B91F3C" w:rsidRDefault="00FF3A47" w:rsidP="00FF3A47">
            <w:pPr>
              <w:rPr>
                <w:rFonts w:cstheme="minorHAnsi"/>
              </w:rPr>
            </w:pPr>
          </w:p>
        </w:tc>
      </w:tr>
      <w:tr w:rsidR="00FF3A47" w:rsidRPr="00B91F3C" w14:paraId="7BB0860C" w14:textId="77777777" w:rsidTr="00DA7535">
        <w:tc>
          <w:tcPr>
            <w:tcW w:w="5305" w:type="dxa"/>
          </w:tcPr>
          <w:p w14:paraId="508B476F" w14:textId="77777777" w:rsidR="00FF3A47" w:rsidRPr="00B91F3C" w:rsidRDefault="00FF3A47" w:rsidP="00FF3A47">
            <w:pPr>
              <w:keepNext/>
              <w:tabs>
                <w:tab w:val="left" w:pos="567"/>
              </w:tabs>
              <w:spacing w:before="120" w:after="120"/>
              <w:outlineLvl w:val="1"/>
              <w:rPr>
                <w:iCs/>
              </w:rPr>
            </w:pPr>
            <w:bookmarkStart w:id="168" w:name="_Toc165899272"/>
            <w:r w:rsidRPr="00B91F3C">
              <w:t>Куньминско-Монреальская глобальная рамочная программа в области биоразнообразия, включая ее цели и задачи, определяющие ожидаемые результаты;</w:t>
            </w:r>
            <w:bookmarkEnd w:id="168"/>
          </w:p>
          <w:p w14:paraId="0A405DA5" w14:textId="77777777" w:rsidR="00FF3A47" w:rsidRPr="00B91F3C" w:rsidRDefault="00FF3A47" w:rsidP="00FF3A47">
            <w:pPr>
              <w:keepNext/>
              <w:tabs>
                <w:tab w:val="left" w:pos="567"/>
              </w:tabs>
              <w:spacing w:before="120" w:after="120"/>
              <w:jc w:val="center"/>
              <w:outlineLvl w:val="1"/>
              <w:rPr>
                <w:b/>
                <w:bCs/>
              </w:rPr>
            </w:pPr>
          </w:p>
        </w:tc>
        <w:tc>
          <w:tcPr>
            <w:tcW w:w="4050" w:type="dxa"/>
          </w:tcPr>
          <w:p w14:paraId="62554121" w14:textId="77777777" w:rsidR="00FF3A47" w:rsidRPr="00B91F3C" w:rsidRDefault="00FF3A47" w:rsidP="00FF3A47">
            <w:pPr>
              <w:rPr>
                <w:rFonts w:cstheme="minorHAnsi"/>
              </w:rPr>
            </w:pPr>
            <w:r w:rsidRPr="00B91F3C">
              <w:t>Программные направления ГЭФ-8 ориентированы на содействие осуществлению КМГПБ.</w:t>
            </w:r>
            <w:r w:rsidRPr="00B91F3C">
              <w:rPr>
                <w:rFonts w:ascii="Segoe UI" w:hAnsi="Segoe UI"/>
                <w:sz w:val="18"/>
              </w:rPr>
              <w:t xml:space="preserve"> </w:t>
            </w:r>
            <w:r w:rsidRPr="00B91F3C">
              <w:t xml:space="preserve">ФГПБ также способствует осуществлению КМГПБ. КМГПБ получает целенаправленную поддержку от Целевого фонда ГЭФ и ФГПБ с учетом их взаимной </w:t>
            </w:r>
            <w:proofErr w:type="spellStart"/>
            <w:r w:rsidRPr="00B91F3C">
              <w:t>дополняемости</w:t>
            </w:r>
            <w:proofErr w:type="spellEnd"/>
            <w:r w:rsidRPr="00B91F3C">
              <w:t xml:space="preserve"> в соответствии с программными направлениями ФГПБ. </w:t>
            </w:r>
          </w:p>
        </w:tc>
      </w:tr>
      <w:tr w:rsidR="00FF3A47" w:rsidRPr="00B91F3C" w14:paraId="130F49B0" w14:textId="77777777" w:rsidTr="00DA7535">
        <w:tc>
          <w:tcPr>
            <w:tcW w:w="5305" w:type="dxa"/>
          </w:tcPr>
          <w:p w14:paraId="3E136C40" w14:textId="77777777" w:rsidR="00FF3A47" w:rsidRPr="00B91F3C" w:rsidRDefault="00FF3A47" w:rsidP="00FF3A47">
            <w:pPr>
              <w:tabs>
                <w:tab w:val="left" w:pos="720"/>
              </w:tabs>
              <w:snapToGrid w:val="0"/>
              <w:spacing w:before="120" w:after="120"/>
              <w:rPr>
                <w:iCs/>
              </w:rPr>
            </w:pPr>
            <w:r w:rsidRPr="00B91F3C">
              <w:t>(b)</w:t>
            </w:r>
            <w:r w:rsidRPr="00B91F3C">
              <w:tab/>
              <w:t xml:space="preserve">национальные стратегии и планы действий по сохранению биоразнообразия (НСПДСБ); </w:t>
            </w:r>
          </w:p>
          <w:p w14:paraId="0A2CB0B0" w14:textId="77777777" w:rsidR="00FF3A47" w:rsidRPr="00B91F3C" w:rsidRDefault="00FF3A47" w:rsidP="00FF3A47">
            <w:pPr>
              <w:rPr>
                <w:rFonts w:cstheme="minorHAnsi"/>
              </w:rPr>
            </w:pPr>
          </w:p>
        </w:tc>
        <w:tc>
          <w:tcPr>
            <w:tcW w:w="4050" w:type="dxa"/>
          </w:tcPr>
          <w:p w14:paraId="6F8316D1" w14:textId="77777777" w:rsidR="00FF3A47" w:rsidRPr="00B91F3C" w:rsidRDefault="00FF3A47" w:rsidP="00FF3A47">
            <w:pPr>
              <w:rPr>
                <w:rFonts w:cstheme="minorHAnsi"/>
                <w:highlight w:val="yellow"/>
              </w:rPr>
            </w:pPr>
            <w:r w:rsidRPr="00B91F3C">
              <w:t>ГЭФ утвердил финансовую поддержку для процесса пересмотра НСПДСБ в 139 странах в рамках ГЭФ-8 в объеме 72,04 млн долл. США (за исключением оплаты услуг учреждений). Эта поддержка последовала за грантами ранних действий ГЭФ-7, благодаря которым 138 стран получили поддержку на общую сумму 38,2 млн долл. США для проведения первоначальных мероприятий, в том числе по пересмотру своих НСПДСБ.</w:t>
            </w:r>
          </w:p>
        </w:tc>
      </w:tr>
      <w:tr w:rsidR="00FF3A47" w:rsidRPr="00B91F3C" w14:paraId="15EA0CB3" w14:textId="77777777" w:rsidTr="00DA7535">
        <w:tc>
          <w:tcPr>
            <w:tcW w:w="5305" w:type="dxa"/>
          </w:tcPr>
          <w:p w14:paraId="4C8A9EDB" w14:textId="77777777" w:rsidR="00FF3A47" w:rsidRPr="00B91F3C" w:rsidRDefault="00FF3A47" w:rsidP="00FF3A47">
            <w:pPr>
              <w:rPr>
                <w:rFonts w:cstheme="minorHAnsi"/>
              </w:rPr>
            </w:pPr>
            <w:r w:rsidRPr="00B91F3C">
              <w:t>(с)</w:t>
            </w:r>
            <w:r w:rsidRPr="00B91F3C">
              <w:tab/>
              <w:t>национальные стратегии и планы действий по сохранению биоразнообразия (НСПДСБ);</w:t>
            </w:r>
          </w:p>
        </w:tc>
        <w:tc>
          <w:tcPr>
            <w:tcW w:w="4050" w:type="dxa"/>
          </w:tcPr>
          <w:p w14:paraId="7CFD210E" w14:textId="77777777" w:rsidR="00FF3A47" w:rsidRPr="00B91F3C" w:rsidRDefault="00FF3A47" w:rsidP="00FF3A47">
            <w:pPr>
              <w:rPr>
                <w:rFonts w:cstheme="minorHAnsi"/>
                <w:highlight w:val="yellow"/>
              </w:rPr>
            </w:pPr>
            <w:r w:rsidRPr="00B91F3C">
              <w:t xml:space="preserve">На 63-й сессии Совета ГЭФ в ноябре 2022 года была утверждена глобальная </w:t>
            </w:r>
            <w:r w:rsidRPr="00B91F3C">
              <w:lastRenderedPageBreak/>
              <w:t>программа поддержки национальных планов финансирования биоразнообразия, а в первом квартале 2023 года она охватила все оставшиеся страны, имеющие право на получение помощи ГЭФ. В общей сложности 91 страна получает поддержку в виде финансирования проектов на общую сумму 38,2 млн долл. США (за исключением оплаты услуг учреждений).</w:t>
            </w:r>
          </w:p>
        </w:tc>
      </w:tr>
      <w:tr w:rsidR="00FF3A47" w:rsidRPr="00B91F3C" w14:paraId="4445CAFB" w14:textId="77777777" w:rsidTr="00DA7535">
        <w:tc>
          <w:tcPr>
            <w:tcW w:w="5305" w:type="dxa"/>
          </w:tcPr>
          <w:p w14:paraId="4EF5F72F" w14:textId="77777777" w:rsidR="00FF3A47" w:rsidRPr="00B91F3C" w:rsidRDefault="00FF3A47" w:rsidP="00FF3A47">
            <w:pPr>
              <w:rPr>
                <w:rFonts w:cstheme="minorHAnsi"/>
              </w:rPr>
            </w:pPr>
            <w:r w:rsidRPr="00B91F3C">
              <w:lastRenderedPageBreak/>
              <w:t>(d)</w:t>
            </w:r>
            <w:r w:rsidRPr="00B91F3C">
              <w:tab/>
              <w:t>осуществление трех целей Конвенции;</w:t>
            </w:r>
          </w:p>
        </w:tc>
        <w:tc>
          <w:tcPr>
            <w:tcW w:w="4050" w:type="dxa"/>
          </w:tcPr>
          <w:p w14:paraId="4D189CD7" w14:textId="77777777" w:rsidR="00FF3A47" w:rsidRPr="00B91F3C" w:rsidRDefault="00FF3A47" w:rsidP="00FF3A47">
            <w:pPr>
              <w:rPr>
                <w:rFonts w:cstheme="minorHAnsi"/>
              </w:rPr>
            </w:pPr>
            <w:r w:rsidRPr="00B91F3C">
              <w:t>Стратегия целевой области ГЭФ «Биоразнообразие» в сочетании с 11 комплексными программами обеспечивает всеобъемлющую поддержку в достижении трех целей КБР. Это продемонстрировано в настоящем докладе.</w:t>
            </w:r>
          </w:p>
        </w:tc>
      </w:tr>
      <w:tr w:rsidR="00FF3A47" w:rsidRPr="00B91F3C" w14:paraId="35F05C24" w14:textId="77777777" w:rsidTr="00DA7535">
        <w:trPr>
          <w:trHeight w:val="2231"/>
        </w:trPr>
        <w:tc>
          <w:tcPr>
            <w:tcW w:w="5305" w:type="dxa"/>
            <w:shd w:val="clear" w:color="auto" w:fill="auto"/>
          </w:tcPr>
          <w:p w14:paraId="4488E815" w14:textId="77777777" w:rsidR="00FF3A47" w:rsidRPr="00B91F3C" w:rsidRDefault="00FF3A47" w:rsidP="00FF3A47">
            <w:pPr>
              <w:rPr>
                <w:rFonts w:cstheme="minorHAnsi"/>
                <w:bCs/>
                <w:iCs/>
              </w:rPr>
            </w:pPr>
            <w:r w:rsidRPr="00B91F3C">
              <w:t>(e)</w:t>
            </w:r>
            <w:r w:rsidRPr="00B91F3C">
              <w:tab/>
              <w:t>принятые в рамках Конвенции механизмы поддержки осуществления в связи с Куньминско-Монреальской глобальной рамочной программой в области биоразнообразия, касающиеся: мобилизации из всех источников достаточного объема ресурсов, необходимых для осуществления Рамочной программы и реализации ее целей и задач; учета проблематики биоразнообразия; создания и развития потенциала; генерирования, управления и совместного использования знаний в интересах эффективного планирования, разработки и согласования политики, принятия решений и осуществления программ в области биоразнообразия; научно-технического сотрудничества, передачи технологий и инноваций. Эти элементы включают, в частности:</w:t>
            </w:r>
          </w:p>
          <w:p w14:paraId="533C52DB" w14:textId="77777777" w:rsidR="00FF3A47" w:rsidRPr="00B91F3C" w:rsidRDefault="00FF3A47" w:rsidP="00FF3A47">
            <w:pPr>
              <w:rPr>
                <w:rFonts w:cstheme="minorHAnsi"/>
                <w:bCs/>
                <w:iCs/>
              </w:rPr>
            </w:pPr>
            <w:r w:rsidRPr="00B91F3C">
              <w:t>(i)</w:t>
            </w:r>
            <w:r w:rsidRPr="00B91F3C">
              <w:tab/>
              <w:t>стратегию мобилизации ресурсов, включая создание Фонда глобальной рамочной программы в области биоразнообразия, учрежденного ГЭФ</w:t>
            </w:r>
            <w:r w:rsidRPr="00B91F3C">
              <w:rPr>
                <w:rFonts w:cstheme="minorHAnsi"/>
                <w:bCs/>
                <w:iCs/>
                <w:vertAlign w:val="superscript"/>
              </w:rPr>
              <w:footnoteReference w:id="40"/>
            </w:r>
            <w:r w:rsidRPr="00B91F3C">
              <w:t>;</w:t>
            </w:r>
          </w:p>
          <w:p w14:paraId="4C43849C" w14:textId="77777777" w:rsidR="00FF3A47" w:rsidRPr="00B91F3C" w:rsidRDefault="00FF3A47" w:rsidP="00FF3A47">
            <w:pPr>
              <w:rPr>
                <w:rFonts w:cstheme="minorHAnsi"/>
                <w:bCs/>
                <w:iCs/>
              </w:rPr>
            </w:pPr>
            <w:r w:rsidRPr="00B91F3C">
              <w:t>(</w:t>
            </w:r>
            <w:proofErr w:type="spellStart"/>
            <w:r w:rsidRPr="00B91F3C">
              <w:t>ii</w:t>
            </w:r>
            <w:proofErr w:type="spellEnd"/>
            <w:r w:rsidRPr="00B91F3C">
              <w:t>)</w:t>
            </w:r>
            <w:r w:rsidRPr="00B91F3C">
              <w:tab/>
              <w:t>долгосрочную стратегическую структуру по созданию и развитию потенциала</w:t>
            </w:r>
            <w:r w:rsidRPr="00B91F3C">
              <w:rPr>
                <w:rFonts w:cstheme="minorHAnsi"/>
                <w:bCs/>
                <w:iCs/>
                <w:vertAlign w:val="superscript"/>
              </w:rPr>
              <w:footnoteReference w:id="41"/>
            </w:r>
            <w:r w:rsidRPr="00B91F3C">
              <w:t>;</w:t>
            </w:r>
          </w:p>
          <w:p w14:paraId="55432179" w14:textId="77777777" w:rsidR="00FF3A47" w:rsidRPr="00B91F3C" w:rsidRDefault="00FF3A47" w:rsidP="00FF3A47">
            <w:pPr>
              <w:rPr>
                <w:rFonts w:cstheme="minorHAnsi"/>
                <w:bCs/>
                <w:iCs/>
              </w:rPr>
            </w:pPr>
            <w:r w:rsidRPr="00B91F3C">
              <w:t>(</w:t>
            </w:r>
            <w:proofErr w:type="spellStart"/>
            <w:r w:rsidRPr="00B91F3C">
              <w:t>iii</w:t>
            </w:r>
            <w:proofErr w:type="spellEnd"/>
            <w:r w:rsidRPr="00B91F3C">
              <w:t>)</w:t>
            </w:r>
            <w:r w:rsidRPr="00B91F3C">
              <w:tab/>
              <w:t>План действий субнациональных правительств, городских и других местных органов власти в области биоразнообразия (</w:t>
            </w:r>
            <w:proofErr w:type="gramStart"/>
            <w:r w:rsidRPr="00B91F3C">
              <w:t>2023-2030</w:t>
            </w:r>
            <w:proofErr w:type="gramEnd"/>
            <w:r w:rsidRPr="00B91F3C">
              <w:t xml:space="preserve"> гг.)</w:t>
            </w:r>
            <w:r w:rsidRPr="00B91F3C">
              <w:rPr>
                <w:rFonts w:cstheme="minorHAnsi"/>
                <w:bCs/>
                <w:iCs/>
                <w:vertAlign w:val="superscript"/>
              </w:rPr>
              <w:footnoteReference w:id="42"/>
            </w:r>
            <w:r w:rsidRPr="00B91F3C">
              <w:t>;</w:t>
            </w:r>
          </w:p>
          <w:p w14:paraId="0B67FFC5" w14:textId="77777777" w:rsidR="00FF3A47" w:rsidRPr="00B91F3C" w:rsidRDefault="00FF3A47" w:rsidP="00FF3A47">
            <w:pPr>
              <w:rPr>
                <w:rFonts w:cstheme="minorHAnsi"/>
                <w:bCs/>
                <w:iCs/>
              </w:rPr>
            </w:pPr>
            <w:r w:rsidRPr="00B91F3C">
              <w:lastRenderedPageBreak/>
              <w:t>(</w:t>
            </w:r>
            <w:proofErr w:type="spellStart"/>
            <w:r w:rsidRPr="00B91F3C">
              <w:t>iv</w:t>
            </w:r>
            <w:proofErr w:type="spellEnd"/>
            <w:r w:rsidRPr="00B91F3C">
              <w:t>)</w:t>
            </w:r>
            <w:r w:rsidRPr="00B91F3C">
              <w:tab/>
              <w:t>План действий по обеспечению гендерного равенства (</w:t>
            </w:r>
            <w:proofErr w:type="gramStart"/>
            <w:r w:rsidRPr="00B91F3C">
              <w:t>2023-2030</w:t>
            </w:r>
            <w:proofErr w:type="gramEnd"/>
            <w:r w:rsidRPr="00B91F3C">
              <w:t xml:space="preserve"> гг.)</w:t>
            </w:r>
            <w:r w:rsidRPr="00B91F3C">
              <w:rPr>
                <w:rFonts w:cstheme="minorHAnsi"/>
                <w:bCs/>
                <w:iCs/>
                <w:vertAlign w:val="superscript"/>
              </w:rPr>
              <w:footnoteReference w:id="43"/>
            </w:r>
            <w:r w:rsidRPr="00B91F3C">
              <w:t>.</w:t>
            </w:r>
          </w:p>
          <w:p w14:paraId="2FCBCFC1" w14:textId="77777777" w:rsidR="00FF3A47" w:rsidRPr="00B91F3C" w:rsidRDefault="00FF3A47" w:rsidP="00FF3A47">
            <w:pPr>
              <w:rPr>
                <w:rFonts w:cstheme="minorHAnsi"/>
              </w:rPr>
            </w:pPr>
          </w:p>
        </w:tc>
        <w:tc>
          <w:tcPr>
            <w:tcW w:w="4050" w:type="dxa"/>
          </w:tcPr>
          <w:p w14:paraId="38EDF8E1" w14:textId="77777777" w:rsidR="00FF3A47" w:rsidRPr="00B91F3C" w:rsidRDefault="00FF3A47" w:rsidP="00FF3A47">
            <w:pPr>
              <w:spacing w:after="120"/>
            </w:pPr>
            <w:r w:rsidRPr="00B91F3C">
              <w:lastRenderedPageBreak/>
              <w:t>Как отмечалось выше, 91 стране выделено финансирование на разработку планов финансирования биоразнообразия. Задача 3 стратегии целевой области ГЭФ «Биоразнообразие» посвящена мобилизации внутренних ресурсов, а программа смешанного финансирования ГЭФ-8 способствует развитию инновационных финансовых механизмов в области сохранения биоразнообразия, таких как региональный механизм преобразования суверенного долга на природоохранные цели, о чем подробно говорится в соответствующем разделе. ФГПБ уже создан, и в феврале 2024 года было объявлено о начале первых двух циклов отбора.</w:t>
            </w:r>
          </w:p>
          <w:p w14:paraId="1C719A72" w14:textId="77777777" w:rsidR="00FF3A47" w:rsidRPr="00B91F3C" w:rsidRDefault="00FF3A47" w:rsidP="00FF3A47">
            <w:pPr>
              <w:spacing w:after="120"/>
            </w:pPr>
            <w:r w:rsidRPr="00B91F3C">
              <w:t>Все инвестиции ГЭФ оказывают значительную поддержку в создании потенциала и вносят вклад в долгосрочную стратегическую структуру по созданию и развитию потенциала.</w:t>
            </w:r>
          </w:p>
          <w:p w14:paraId="4D3EBE90" w14:textId="77777777" w:rsidR="00FF3A47" w:rsidRPr="00B91F3C" w:rsidRDefault="00FF3A47" w:rsidP="00FF3A47">
            <w:pPr>
              <w:spacing w:after="120"/>
            </w:pPr>
            <w:r w:rsidRPr="00B91F3C">
              <w:lastRenderedPageBreak/>
              <w:t>Учет проблематики биоразнообразия остается важным приоритетом стратегии целевой области «Биоразнообразие». Кроме того, 10 из 11 КП, утвержденных Советом ГЭФ, внесут значительный вклад в сохранение и устойчивое использование биоразнообразия, в том числе благодаря учету проблематики биоразнообразия.</w:t>
            </w:r>
          </w:p>
          <w:p w14:paraId="7B216829" w14:textId="77777777" w:rsidR="00FF3A47" w:rsidRPr="00B91F3C" w:rsidRDefault="00FF3A47" w:rsidP="00FF3A47">
            <w:pPr>
              <w:spacing w:after="120"/>
            </w:pPr>
            <w:r w:rsidRPr="00B91F3C">
              <w:t>Ожидается, что ПШВ «Устойчивые города», которая еще не включена в программу работы для утверждения Советом, внесет вклад в осуществление Плана действий субнациональных правительств, городских и других местных органов власти в области биоразнообразия.</w:t>
            </w:r>
          </w:p>
          <w:p w14:paraId="4BA5E288" w14:textId="77777777" w:rsidR="00FF3A47" w:rsidRPr="00B91F3C" w:rsidRDefault="00FF3A47" w:rsidP="00FF3A47">
            <w:r w:rsidRPr="00B91F3C">
              <w:t>В соответствии с Политикой ГЭФ по обеспечению гендерного равенства</w:t>
            </w:r>
            <w:r w:rsidRPr="00B91F3C">
              <w:rPr>
                <w:vertAlign w:val="superscript"/>
              </w:rPr>
              <w:footnoteReference w:id="44"/>
            </w:r>
            <w:r w:rsidRPr="00B91F3C">
              <w:t xml:space="preserve"> и Политикой об экологических и социальных гарантиях</w:t>
            </w:r>
            <w:r w:rsidRPr="00B91F3C">
              <w:rPr>
                <w:vertAlign w:val="superscript"/>
              </w:rPr>
              <w:footnoteReference w:id="45"/>
            </w:r>
            <w:r w:rsidRPr="00B91F3C">
              <w:t xml:space="preserve"> при разработке всех проектов ГЭФ необходимо учитывать гендерные аспекты. Это включает проведение гендерного анализа или эквивалентной социально-экономической оценки, а также разработку плана действий по обеспечению гендерного равенства или его эквивалента. Таким образом, весь портфель проектов ГЭФ вносит вклад в реализацию Плана действий по обеспечению гендерного равенства.</w:t>
            </w:r>
          </w:p>
        </w:tc>
      </w:tr>
      <w:tr w:rsidR="00FF3A47" w:rsidRPr="00B91F3C" w14:paraId="6D03A614" w14:textId="77777777" w:rsidTr="00DA7535">
        <w:tc>
          <w:tcPr>
            <w:tcW w:w="5305" w:type="dxa"/>
            <w:shd w:val="clear" w:color="auto" w:fill="auto"/>
          </w:tcPr>
          <w:p w14:paraId="610B97A9" w14:textId="77777777" w:rsidR="00FF3A47" w:rsidRPr="00B91F3C" w:rsidRDefault="00FF3A47" w:rsidP="00FF3A47">
            <w:pPr>
              <w:rPr>
                <w:rFonts w:cstheme="minorHAnsi"/>
                <w:bCs/>
                <w:iCs/>
              </w:rPr>
            </w:pPr>
            <w:r w:rsidRPr="00B91F3C">
              <w:lastRenderedPageBreak/>
              <w:t>(f)</w:t>
            </w:r>
            <w:r w:rsidRPr="00B91F3C">
              <w:tab/>
              <w:t>механизмы планирования, мониторинга, отчетности и обзора</w:t>
            </w:r>
            <w:r w:rsidRPr="00B91F3C">
              <w:rPr>
                <w:rFonts w:cstheme="minorHAnsi"/>
                <w:bCs/>
                <w:iCs/>
                <w:vertAlign w:val="superscript"/>
              </w:rPr>
              <w:footnoteReference w:id="46"/>
            </w:r>
            <w:r w:rsidRPr="00B91F3C">
              <w:t>;</w:t>
            </w:r>
          </w:p>
          <w:p w14:paraId="14C60C48" w14:textId="77777777" w:rsidR="00FF3A47" w:rsidRPr="00B91F3C" w:rsidRDefault="00FF3A47" w:rsidP="00FF3A47">
            <w:pPr>
              <w:rPr>
                <w:rFonts w:cstheme="minorHAnsi"/>
              </w:rPr>
            </w:pPr>
          </w:p>
        </w:tc>
        <w:tc>
          <w:tcPr>
            <w:tcW w:w="4050" w:type="dxa"/>
          </w:tcPr>
          <w:p w14:paraId="0CD1F07D" w14:textId="77777777" w:rsidR="00FF3A47" w:rsidRPr="00B91F3C" w:rsidRDefault="00FF3A47" w:rsidP="00FF3A47">
            <w:pPr>
              <w:rPr>
                <w:rFonts w:cstheme="minorHAnsi"/>
              </w:rPr>
            </w:pPr>
            <w:r w:rsidRPr="00B91F3C">
              <w:t xml:space="preserve">В рамках стратегии целевой области «Биоразнообразие» помимо СПРР были выделены ресурсы для поддержки пересмотра НСПДСБ и подготовки национальных докладов для КБР, </w:t>
            </w:r>
            <w:proofErr w:type="spellStart"/>
            <w:r w:rsidRPr="00B91F3C">
              <w:t>Картахенского</w:t>
            </w:r>
            <w:proofErr w:type="spellEnd"/>
            <w:r w:rsidRPr="00B91F3C">
              <w:t xml:space="preserve"> и Нагойского протоколов. В рамках ГЭФ-8 утверждена финансовая поддержка в размере 72 млн долл. США (за исключением оплаты </w:t>
            </w:r>
            <w:r w:rsidRPr="00B91F3C">
              <w:lastRenderedPageBreak/>
              <w:t>услуг учреждений) для пересмотра НСПДСБ и подготовки седьмых национальных докладов для КБР в 139 странах. Эта поддержка последовала за грантами ранних действий ГЭФ-7, благодаря которым 138 стран получили поддержку на общую сумму 38,2 млн долл. США для проведения первоначальных мероприятий, в том числе по пересмотру своих НСПДСБ и/или приведению их национального механизма мониторинга в соответствие с КМГПБ.</w:t>
            </w:r>
          </w:p>
        </w:tc>
      </w:tr>
      <w:tr w:rsidR="00FF3A47" w:rsidRPr="00B91F3C" w14:paraId="03F3F261" w14:textId="77777777" w:rsidTr="00DA7535">
        <w:tc>
          <w:tcPr>
            <w:tcW w:w="5305" w:type="dxa"/>
          </w:tcPr>
          <w:p w14:paraId="40072FB9" w14:textId="77777777" w:rsidR="00FF3A47" w:rsidRPr="00B91F3C" w:rsidRDefault="00FF3A47" w:rsidP="00FF3A47">
            <w:pPr>
              <w:rPr>
                <w:rFonts w:cstheme="minorHAnsi"/>
                <w:bCs/>
                <w:iCs/>
              </w:rPr>
            </w:pPr>
            <w:r w:rsidRPr="00B91F3C">
              <w:lastRenderedPageBreak/>
              <w:t>(g)</w:t>
            </w:r>
            <w:r w:rsidRPr="00B91F3C">
              <w:tab/>
              <w:t>благоприятные условия, обозначенные в Куньминско-Монреальской глобальной рамочной программой в области биоразнообразия, необходимые для ее осуществления;</w:t>
            </w:r>
          </w:p>
          <w:p w14:paraId="6EBE99C1" w14:textId="77777777" w:rsidR="00FF3A47" w:rsidRPr="00B91F3C" w:rsidRDefault="00FF3A47" w:rsidP="00FF3A47">
            <w:pPr>
              <w:rPr>
                <w:rFonts w:cstheme="minorHAnsi"/>
                <w:iCs/>
              </w:rPr>
            </w:pPr>
          </w:p>
        </w:tc>
        <w:tc>
          <w:tcPr>
            <w:tcW w:w="4050" w:type="dxa"/>
          </w:tcPr>
          <w:p w14:paraId="211D813E" w14:textId="77777777" w:rsidR="00FF3A47" w:rsidRPr="00B91F3C" w:rsidRDefault="00FF3A47" w:rsidP="00FF3A47">
            <w:pPr>
              <w:rPr>
                <w:rFonts w:cstheme="minorHAnsi"/>
              </w:rPr>
            </w:pPr>
            <w:r w:rsidRPr="00B91F3C">
              <w:t>В разделе, посвященном благоприятным условиям, необходимым для осуществления, основное внимание уделяется «механизмам поддержки осуществления и стратегиям в рамках Конвенции о биологическом разнообразии и протоколов к ней» и «предоставлению достаточных, предсказуемых и легкодоступных финансовых ресурсов из всех источников в зависимости от потребностей». Кроме того, необходимо наладить взаимодействие и сотрудничество в области «создания соответствующего потенциала и передачи технологий для обеспечения возможности полноценного осуществления Рамочной программы Сторонами, в особенности Сторонами из числа развивающихся стран». При разработке проектов и программ ГЭФ учитывается необходимость укрепления этих благоприятных условий, особенно в части сотрудничества и взаимодействия в интересах развития потенциала.</w:t>
            </w:r>
          </w:p>
        </w:tc>
      </w:tr>
      <w:tr w:rsidR="00FF3A47" w:rsidRPr="00B91F3C" w14:paraId="6B8D94D2" w14:textId="77777777" w:rsidTr="00DA7535">
        <w:tc>
          <w:tcPr>
            <w:tcW w:w="5305" w:type="dxa"/>
          </w:tcPr>
          <w:p w14:paraId="40A63853" w14:textId="77777777" w:rsidR="00FF3A47" w:rsidRPr="00B91F3C" w:rsidRDefault="00FF3A47" w:rsidP="00FF3A47">
            <w:pPr>
              <w:rPr>
                <w:rFonts w:cstheme="minorHAnsi"/>
                <w:iCs/>
              </w:rPr>
            </w:pPr>
            <w:r w:rsidRPr="00B91F3C">
              <w:t>(h)</w:t>
            </w:r>
            <w:r w:rsidRPr="00B91F3C">
              <w:tab/>
              <w:t xml:space="preserve">План осуществления </w:t>
            </w:r>
            <w:proofErr w:type="spellStart"/>
            <w:r w:rsidRPr="00B91F3C">
              <w:t>Картахенского</w:t>
            </w:r>
            <w:proofErr w:type="spellEnd"/>
            <w:r w:rsidRPr="00B91F3C">
              <w:t xml:space="preserve"> протокола по биобезопасности</w:t>
            </w:r>
            <w:r w:rsidRPr="00B91F3C">
              <w:rPr>
                <w:rFonts w:cstheme="minorHAnsi"/>
                <w:iCs/>
                <w:vertAlign w:val="superscript"/>
              </w:rPr>
              <w:footnoteReference w:id="47"/>
            </w:r>
            <w:r w:rsidRPr="00B91F3C">
              <w:t xml:space="preserve"> и План действий по созданию потенциала для </w:t>
            </w:r>
            <w:proofErr w:type="spellStart"/>
            <w:r w:rsidRPr="00B91F3C">
              <w:t>Картахенского</w:t>
            </w:r>
            <w:proofErr w:type="spellEnd"/>
            <w:r w:rsidRPr="00B91F3C">
              <w:t xml:space="preserve"> протокола по биобезопасности</w:t>
            </w:r>
            <w:r w:rsidRPr="00B91F3C">
              <w:rPr>
                <w:rFonts w:cstheme="minorHAnsi"/>
                <w:iCs/>
                <w:vertAlign w:val="superscript"/>
              </w:rPr>
              <w:footnoteReference w:id="48"/>
            </w:r>
            <w:r w:rsidRPr="00B91F3C">
              <w:t>;</w:t>
            </w:r>
          </w:p>
          <w:p w14:paraId="43CB8DC3" w14:textId="77777777" w:rsidR="00FF3A47" w:rsidRPr="00B91F3C" w:rsidRDefault="00FF3A47" w:rsidP="00FF3A47">
            <w:pPr>
              <w:rPr>
                <w:rFonts w:cstheme="minorHAnsi"/>
                <w:iCs/>
              </w:rPr>
            </w:pPr>
          </w:p>
        </w:tc>
        <w:tc>
          <w:tcPr>
            <w:tcW w:w="4050" w:type="dxa"/>
          </w:tcPr>
          <w:p w14:paraId="730A41DC" w14:textId="77777777" w:rsidR="00FF3A47" w:rsidRPr="00B91F3C" w:rsidRDefault="00FF3A47" w:rsidP="00FF3A47">
            <w:pPr>
              <w:rPr>
                <w:rFonts w:cstheme="minorHAnsi"/>
              </w:rPr>
            </w:pPr>
            <w:r w:rsidRPr="00B91F3C">
              <w:lastRenderedPageBreak/>
              <w:t xml:space="preserve">Задача 2 стратегии целевой области ГЭФ «Биоразнообразие» направлена на содействие развитию потенциала для осуществления </w:t>
            </w:r>
            <w:proofErr w:type="spellStart"/>
            <w:r w:rsidRPr="00B91F3C">
              <w:t>Картахенского</w:t>
            </w:r>
            <w:proofErr w:type="spellEnd"/>
            <w:r w:rsidRPr="00B91F3C">
              <w:t xml:space="preserve"> </w:t>
            </w:r>
            <w:r w:rsidRPr="00B91F3C">
              <w:lastRenderedPageBreak/>
              <w:t>протокола. За отчетный период ни одна страна не обратилась за поддержкой в рамках этой задачи стратегии ГЭФ.</w:t>
            </w:r>
          </w:p>
        </w:tc>
      </w:tr>
      <w:tr w:rsidR="00FF3A47" w:rsidRPr="00B91F3C" w14:paraId="70FA4A96" w14:textId="77777777" w:rsidTr="00DA7535">
        <w:tc>
          <w:tcPr>
            <w:tcW w:w="5305" w:type="dxa"/>
          </w:tcPr>
          <w:p w14:paraId="31933EE4" w14:textId="77777777" w:rsidR="00FF3A47" w:rsidRPr="00B91F3C" w:rsidRDefault="00FF3A47" w:rsidP="00FF3A47">
            <w:pPr>
              <w:rPr>
                <w:rFonts w:cstheme="minorHAnsi"/>
                <w:iCs/>
              </w:rPr>
            </w:pPr>
            <w:r w:rsidRPr="00B91F3C">
              <w:lastRenderedPageBreak/>
              <w:t>(i)</w:t>
            </w:r>
            <w:r w:rsidRPr="00B91F3C">
              <w:tab/>
              <w:t>руководящие указания для Глобального экологического фонда в отношении программных приоритетов в поддержку осуществления Нагойского протокола регулирования доступа к генетическим ресурсам и совместного использования выгод, принятые Конференцией Сторон, выступающей в качестве совещания Сторон протокола, на ее четвертом совещании и представленные в добавлении I.</w:t>
            </w:r>
          </w:p>
          <w:p w14:paraId="78E07B61" w14:textId="77777777" w:rsidR="00FF3A47" w:rsidRPr="00B91F3C" w:rsidRDefault="00FF3A47" w:rsidP="00FF3A47">
            <w:pPr>
              <w:rPr>
                <w:rFonts w:cstheme="minorHAnsi"/>
                <w:iCs/>
              </w:rPr>
            </w:pPr>
          </w:p>
        </w:tc>
        <w:tc>
          <w:tcPr>
            <w:tcW w:w="4050" w:type="dxa"/>
          </w:tcPr>
          <w:p w14:paraId="56EA2E2D" w14:textId="77777777" w:rsidR="00FF3A47" w:rsidRPr="00B91F3C" w:rsidRDefault="00FF3A47" w:rsidP="00FF3A47">
            <w:pPr>
              <w:rPr>
                <w:rFonts w:cstheme="minorHAnsi"/>
              </w:rPr>
            </w:pPr>
            <w:r w:rsidRPr="00B91F3C">
              <w:t xml:space="preserve">Задача 2 стратегии целевой области ГЭФ «Биоразнообразие» направлена на содействие развитию потенциала и поддержку приоритетов для осуществления Нагойского протокола. За отчетный период в рамках этой задачи стратегии ГЭФ был утвержден один проект в Бразилии, описание которого приводится в настоящем докладе. Кроме того, Буркина-Фасо представила заявку на финансирование проекта по содействию осуществлению на национальном уровне и соответствующему развитию потенциала, которая в настоящее время находится на рассмотрении.  </w:t>
            </w:r>
          </w:p>
        </w:tc>
      </w:tr>
      <w:tr w:rsidR="00FF3A47" w:rsidRPr="00B91F3C" w14:paraId="0E936C15" w14:textId="77777777" w:rsidTr="00DA7535">
        <w:tc>
          <w:tcPr>
            <w:tcW w:w="5305" w:type="dxa"/>
          </w:tcPr>
          <w:p w14:paraId="4D0C5F51" w14:textId="77777777" w:rsidR="00FF3A47" w:rsidRPr="00B91F3C" w:rsidRDefault="00FF3A47" w:rsidP="00FF3A47">
            <w:pPr>
              <w:rPr>
                <w:rFonts w:cstheme="minorHAnsi"/>
                <w:i/>
              </w:rPr>
            </w:pPr>
            <w:r w:rsidRPr="00B91F3C">
              <w:rPr>
                <w:i/>
              </w:rPr>
              <w:t>Дополнительные соображения стратегического характера</w:t>
            </w:r>
          </w:p>
          <w:p w14:paraId="6EB185F5" w14:textId="77777777" w:rsidR="00FF3A47" w:rsidRPr="00B91F3C" w:rsidRDefault="00FF3A47" w:rsidP="00FF3A47">
            <w:pPr>
              <w:rPr>
                <w:rFonts w:cstheme="minorHAnsi"/>
                <w:iCs/>
              </w:rPr>
            </w:pPr>
          </w:p>
          <w:p w14:paraId="2B6CF88C" w14:textId="77777777" w:rsidR="00FF3A47" w:rsidRPr="00B91F3C" w:rsidRDefault="00FF3A47" w:rsidP="00FF3A47">
            <w:pPr>
              <w:rPr>
                <w:rFonts w:cstheme="minorHAnsi"/>
                <w:iCs/>
              </w:rPr>
            </w:pPr>
            <w:r w:rsidRPr="00B91F3C">
              <w:t xml:space="preserve">5. Стратегия и программные направления деятельности в области биоразнообразия ГЭФ-8 должны содействовать быстрому и эффективному осуществлению Куньминско-Монреальской глобальной рамочной программы в области биоразнообразия посредством вклада в мобилизацию ресурсов из всех источников, в том числе путем увеличения объема адекватного, предсказуемого, устойчивого, своевременного и доступного финансирования ГЭФ и за счет ассигнований, выделяемых на целевую область сохранения и устойчивого использования биоразнообразия, и сопутствующих выгод для биоразнообразия, вытекающих из других целевых областей и глобальных программ, включая комплексные программы, наряду с признанием необходимости в оптимизации процесса составления программ и их утверждения для своевременного выделения ресурсов.   </w:t>
            </w:r>
          </w:p>
        </w:tc>
        <w:tc>
          <w:tcPr>
            <w:tcW w:w="4050" w:type="dxa"/>
          </w:tcPr>
          <w:p w14:paraId="0E87E61C" w14:textId="77777777" w:rsidR="00FF3A47" w:rsidRPr="00B91F3C" w:rsidRDefault="00FF3A47" w:rsidP="00FF3A47">
            <w:pPr>
              <w:rPr>
                <w:rFonts w:cstheme="minorHAnsi"/>
              </w:rPr>
            </w:pPr>
            <w:r w:rsidRPr="00B91F3C">
              <w:t>Для разработки национальных планов финансирования биоразнообразия мобилизация ресурсов будет осуществляться при поддержке ГЭФ через ФГПБ, а также за счет софинансирования, привлеченного в рамках 11 КП и соответствующих проектов и программ целевой области. Кроме того, программа смешанного финансирования ГЭФ разработана специально для привлечения инвестиций частного сектора и исторически достигла очень высоких коэффициентов софинансирования при активном участии частного сектора. Анализ привлеченного до настоящего времени софинансирования представлен в настоящем докладе.</w:t>
            </w:r>
          </w:p>
        </w:tc>
      </w:tr>
      <w:tr w:rsidR="00FF3A47" w:rsidRPr="00B91F3C" w14:paraId="1E1E895E" w14:textId="77777777" w:rsidTr="00DA7535">
        <w:tc>
          <w:tcPr>
            <w:tcW w:w="5305" w:type="dxa"/>
          </w:tcPr>
          <w:p w14:paraId="48A6260A" w14:textId="77777777" w:rsidR="00FF3A47" w:rsidRPr="00B91F3C" w:rsidRDefault="00FF3A47" w:rsidP="00FF3A47">
            <w:pPr>
              <w:rPr>
                <w:rFonts w:cstheme="minorHAnsi"/>
                <w:iCs/>
              </w:rPr>
            </w:pPr>
            <w:r w:rsidRPr="00B91F3C">
              <w:t xml:space="preserve">6. В стратегии и программных направлениях деятельности в области биоразнообразия ГЭФ-8 должен признаваться вклад </w:t>
            </w:r>
            <w:proofErr w:type="spellStart"/>
            <w:r w:rsidRPr="00B91F3C">
              <w:t>многострановых</w:t>
            </w:r>
            <w:proofErr w:type="spellEnd"/>
            <w:r w:rsidRPr="00B91F3C">
              <w:t xml:space="preserve">, региональных, трансграничных и глобальных проектов в реализацию целей Конвенции, протоколов к ней и Куньминско-Монреальской </w:t>
            </w:r>
            <w:r w:rsidRPr="00B91F3C">
              <w:lastRenderedPageBreak/>
              <w:t xml:space="preserve">глобальной рамочной программы в области биоразнообразия, в том числе в осуществление глобальных инициатив, принятых в рамках Конвенции и протоколов к ней, и </w:t>
            </w:r>
            <w:proofErr w:type="spellStart"/>
            <w:r w:rsidRPr="00B91F3C">
              <w:t>многострановых</w:t>
            </w:r>
            <w:proofErr w:type="spellEnd"/>
            <w:r w:rsidRPr="00B91F3C">
              <w:t>, региональных, трансграничных и глобальных инициатив, которые используют вклад конвенций и соглашений, связанных с биоразнообразием.</w:t>
            </w:r>
          </w:p>
        </w:tc>
        <w:tc>
          <w:tcPr>
            <w:tcW w:w="4050" w:type="dxa"/>
          </w:tcPr>
          <w:p w14:paraId="290E2141" w14:textId="77777777" w:rsidR="00FF3A47" w:rsidRPr="00B91F3C" w:rsidRDefault="00FF3A47" w:rsidP="00FF3A47">
            <w:pPr>
              <w:rPr>
                <w:rFonts w:cstheme="minorHAnsi"/>
              </w:rPr>
            </w:pPr>
            <w:r w:rsidRPr="00B91F3C">
              <w:lastRenderedPageBreak/>
              <w:t>Региональные, трансграничные и глобальные проекты в поддержку осуществления КМГПБ имеют право на получение помощи по линии Целевого фонда ГЭФ в рамках ГЭФ-8.</w:t>
            </w:r>
          </w:p>
        </w:tc>
      </w:tr>
      <w:tr w:rsidR="00FF3A47" w:rsidRPr="00B91F3C" w14:paraId="343E63DB" w14:textId="77777777" w:rsidTr="00DA7535">
        <w:tc>
          <w:tcPr>
            <w:tcW w:w="5305" w:type="dxa"/>
          </w:tcPr>
          <w:p w14:paraId="14888AF5" w14:textId="77777777" w:rsidR="00FF3A47" w:rsidRPr="00B91F3C" w:rsidRDefault="00FF3A47" w:rsidP="00FF3A47">
            <w:pPr>
              <w:rPr>
                <w:rFonts w:cstheme="minorHAnsi"/>
                <w:iCs/>
              </w:rPr>
            </w:pPr>
            <w:r w:rsidRPr="00B91F3C">
              <w:t>7. В стратегии и программных направлениях деятельности в области биоразнообразия ГЭФ-8 должно признаваться, что осуществление связанных с биоразнообразием конвенций и соглашений в контексте национальных приоритетов и стратегий в области биоразнообразия будет способствовать достижению трех целей Конвенции и ее протоколов, а также целей и задач Куньминско-Монреальской глобальной рамочной программы в области биоразнообразия.</w:t>
            </w:r>
          </w:p>
        </w:tc>
        <w:tc>
          <w:tcPr>
            <w:tcW w:w="4050" w:type="dxa"/>
          </w:tcPr>
          <w:p w14:paraId="55478822" w14:textId="77777777" w:rsidR="00FF3A47" w:rsidRPr="00B91F3C" w:rsidRDefault="00FF3A47" w:rsidP="00FF3A47">
            <w:pPr>
              <w:rPr>
                <w:rFonts w:cstheme="minorHAnsi"/>
              </w:rPr>
            </w:pPr>
            <w:r w:rsidRPr="00B91F3C">
              <w:t>Стратегия и программные направления деятельности в области биоразнообразия ГЭФ-8 разработаны с учетом рекомендаций ГЭФ, предложенных конвенциями и соглашениями, связанными с биоразнообразием, через КС КБР. Конвенции, связанные с биоразнообразием, также представили замечания и комментарии по программным направлениям и стратегии целевой области «Биоразнообразие» в процессе их разработки в период пополнения ГЭФ-8.</w:t>
            </w:r>
          </w:p>
        </w:tc>
      </w:tr>
      <w:tr w:rsidR="00FF3A47" w:rsidRPr="00B91F3C" w14:paraId="5DB2B0B6" w14:textId="77777777" w:rsidTr="00DA7535">
        <w:tc>
          <w:tcPr>
            <w:tcW w:w="5305" w:type="dxa"/>
          </w:tcPr>
          <w:p w14:paraId="5889AACA" w14:textId="77777777" w:rsidR="00FF3A47" w:rsidRPr="00B91F3C" w:rsidRDefault="00FF3A47" w:rsidP="00FF3A47">
            <w:pPr>
              <w:rPr>
                <w:rFonts w:cstheme="minorHAnsi"/>
                <w:iCs/>
              </w:rPr>
            </w:pPr>
            <w:r w:rsidRPr="00B91F3C">
              <w:t>8. В стратегии и программных направлениях деятельности в области биоразнообразия ГЭФ-8 необходимо учитывать согласованность и синергетический эффект программ и приоритетов, разработанных по инициативе стран и изложенных в национальных стратегиях и планах действий по сохранению биоразнообразия, с целью содействия осуществлению Куньминско-Монреальской глобальной рамочной программы в области биоразнообразия.</w:t>
            </w:r>
          </w:p>
        </w:tc>
        <w:tc>
          <w:tcPr>
            <w:tcW w:w="4050" w:type="dxa"/>
          </w:tcPr>
          <w:p w14:paraId="3469E63E" w14:textId="77777777" w:rsidR="00FF3A47" w:rsidRPr="00B91F3C" w:rsidRDefault="00FF3A47" w:rsidP="00FF3A47">
            <w:pPr>
              <w:rPr>
                <w:rFonts w:cstheme="minorHAnsi"/>
              </w:rPr>
            </w:pPr>
            <w:r w:rsidRPr="00B91F3C">
              <w:t>Проекты и программы в области биоразнообразия, осуществляемые при поддержке ГЭФ-8, должны продемонстрировать свой вклад в приоритетные направления НСПДСБ.</w:t>
            </w:r>
          </w:p>
        </w:tc>
      </w:tr>
      <w:tr w:rsidR="00FF3A47" w:rsidRPr="00B91F3C" w14:paraId="5C1B7AF4" w14:textId="77777777" w:rsidTr="00DA7535">
        <w:tc>
          <w:tcPr>
            <w:tcW w:w="5305" w:type="dxa"/>
          </w:tcPr>
          <w:p w14:paraId="2B322E4E" w14:textId="77777777" w:rsidR="00FF3A47" w:rsidRPr="00B91F3C" w:rsidRDefault="00FF3A47" w:rsidP="00FF3A47">
            <w:pPr>
              <w:rPr>
                <w:rFonts w:cstheme="minorHAnsi"/>
                <w:iCs/>
              </w:rPr>
            </w:pPr>
            <w:r w:rsidRPr="00B91F3C">
              <w:t>9. Стратегия и программные направления деятельности в области биоразнообразия ГЭФ-8 должны разрабатываться на основе полной транспарентности и при широком участии с целью обеспечения того, чтобы проекты, которые будут финансироваться ГЭФ в период восьмого пополнения, были разработаны с учетом специфики контекста и на основе страновых инициатив, удовлетворяя приоритетные потребности стран-получателей.</w:t>
            </w:r>
          </w:p>
        </w:tc>
        <w:tc>
          <w:tcPr>
            <w:tcW w:w="4050" w:type="dxa"/>
          </w:tcPr>
          <w:p w14:paraId="3F27274D" w14:textId="77777777" w:rsidR="00FF3A47" w:rsidRPr="00B91F3C" w:rsidRDefault="00FF3A47" w:rsidP="00FF3A47">
            <w:pPr>
              <w:rPr>
                <w:rFonts w:cstheme="minorHAnsi"/>
              </w:rPr>
            </w:pPr>
            <w:r w:rsidRPr="00B91F3C">
              <w:t>Разработка стратегии и программных направлений деятельности в области биоразнообразия ГЭФ-8 проходила с активным участием всех заинтересованных сторон.</w:t>
            </w:r>
          </w:p>
        </w:tc>
      </w:tr>
      <w:tr w:rsidR="00FF3A47" w:rsidRPr="00B91F3C" w14:paraId="35BA7FEE" w14:textId="77777777" w:rsidTr="00DA7535">
        <w:tc>
          <w:tcPr>
            <w:tcW w:w="5305" w:type="dxa"/>
          </w:tcPr>
          <w:p w14:paraId="2548D582" w14:textId="77777777" w:rsidR="00FF3A47" w:rsidRPr="00B91F3C" w:rsidRDefault="00FF3A47" w:rsidP="00FF3A47">
            <w:pPr>
              <w:rPr>
                <w:rFonts w:cstheme="minorHAnsi"/>
                <w:iCs/>
              </w:rPr>
            </w:pPr>
            <w:r w:rsidRPr="00B91F3C">
              <w:t xml:space="preserve">10. Стратегия и программные направления деятельности в области биоразнообразия ГЭФ-8 должны способствовать достижению согласованных глобальных экологических выгод и путей развития, которые приносят пользу биоразнообразию, а также </w:t>
            </w:r>
            <w:r w:rsidRPr="00B91F3C">
              <w:lastRenderedPageBreak/>
              <w:t>являются углеродно-нейтральными и не ведущими к загрязнению, в том числе посредством обеспечения согласованности и взаимодействия между комплексными программами и целевыми областями ГЭФ: сохранение и устойчивое использование биоразнообразия, деградация земель, международные воды, изменение климата (как смягчение последствий, так и адаптация), химические вещества и отходы, а также в контексте определяемых странами программ и приоритетов.</w:t>
            </w:r>
          </w:p>
        </w:tc>
        <w:tc>
          <w:tcPr>
            <w:tcW w:w="4050" w:type="dxa"/>
          </w:tcPr>
          <w:p w14:paraId="7633A128" w14:textId="77777777" w:rsidR="00FF3A47" w:rsidRPr="00B91F3C" w:rsidRDefault="00FF3A47" w:rsidP="00FF3A47">
            <w:pPr>
              <w:rPr>
                <w:rFonts w:cstheme="minorHAnsi"/>
              </w:rPr>
            </w:pPr>
            <w:proofErr w:type="gramStart"/>
            <w:r w:rsidRPr="00B91F3C">
              <w:lastRenderedPageBreak/>
              <w:t>В программных направлениях деятельности ГЭФ-8,</w:t>
            </w:r>
            <w:proofErr w:type="gramEnd"/>
            <w:r w:rsidRPr="00B91F3C">
              <w:t xml:space="preserve"> 11 КП, стратегии целевой области «Биоразнообразие» и других соответствующих стратегиях особое внимание уделяется </w:t>
            </w:r>
            <w:r w:rsidRPr="00B91F3C">
              <w:lastRenderedPageBreak/>
              <w:t>взаимодействию между всеми целевыми областями и, в частности, обеспечению выгод для биоразнообразия. Для ГЭФ-8 установлен целевой показатель выделения 60% от общего объема ресурсов ГЭФ на достижение целей КБР, измеряемый по методологии Рио-де-</w:t>
            </w:r>
            <w:proofErr w:type="spellStart"/>
            <w:r w:rsidRPr="00B91F3C">
              <w:t>Жанейрских</w:t>
            </w:r>
            <w:proofErr w:type="spellEnd"/>
            <w:r w:rsidRPr="00B91F3C">
              <w:t xml:space="preserve"> маркеров. Как отмечено в настоящем докладе, до февраля 2024 года 83% ресурсов, утвержденных в рамках ГЭФ-8, были направлены на цели сохранения биоразнообразия.</w:t>
            </w:r>
          </w:p>
        </w:tc>
      </w:tr>
      <w:tr w:rsidR="00FF3A47" w:rsidRPr="00B91F3C" w14:paraId="06687B85" w14:textId="77777777" w:rsidTr="00DA7535">
        <w:tc>
          <w:tcPr>
            <w:tcW w:w="5305" w:type="dxa"/>
          </w:tcPr>
          <w:p w14:paraId="4ECAA5CD" w14:textId="77777777" w:rsidR="00FF3A47" w:rsidRPr="00B91F3C" w:rsidRDefault="00FF3A47" w:rsidP="00FF3A47">
            <w:pPr>
              <w:rPr>
                <w:rFonts w:cstheme="minorHAnsi"/>
                <w:iCs/>
              </w:rPr>
            </w:pPr>
            <w:r w:rsidRPr="00B91F3C">
              <w:lastRenderedPageBreak/>
              <w:t>11. Стратегия и программные направления деятельности в области биоразнообразия ГЭФ-8 должны поощрять и использовать, по мере необходимости, экосистемный подход и/или основанные на природных факторах решения, определенные Ассамблеей Организации Объединенных Наций по окружающей среде на ее пятой сессии.</w:t>
            </w:r>
          </w:p>
        </w:tc>
        <w:tc>
          <w:tcPr>
            <w:tcW w:w="4050" w:type="dxa"/>
            <w:shd w:val="clear" w:color="auto" w:fill="auto"/>
          </w:tcPr>
          <w:p w14:paraId="4F47893B" w14:textId="77777777" w:rsidR="00FF3A47" w:rsidRPr="00B91F3C" w:rsidRDefault="00FF3A47" w:rsidP="00FF3A47">
            <w:pPr>
              <w:rPr>
                <w:rFonts w:cstheme="minorHAnsi"/>
              </w:rPr>
            </w:pPr>
            <w:r w:rsidRPr="00B91F3C">
              <w:t xml:space="preserve">Экосистемный подход занимает центральное место в стратегии целевой области «Биоразнообразие», а основанным на природных факторах решениям оказывается приоритетная поддержка в рамках многочисленных комплексных программ программных направлений ГЭФ-8, включая «Голубые и зеленые острова», «Восстановление экосистем», «Здоровые океаны», «Ускоритель нулевого уровня выбросов», «Сохранение дикой природы в интересах развития», а также в стратегиях целевых областей «Биоразнообразие» и «Международные воды». </w:t>
            </w:r>
          </w:p>
        </w:tc>
      </w:tr>
      <w:tr w:rsidR="00FF3A47" w:rsidRPr="00B91F3C" w14:paraId="3D2E293D" w14:textId="77777777" w:rsidTr="00DA7535">
        <w:tc>
          <w:tcPr>
            <w:tcW w:w="5305" w:type="dxa"/>
          </w:tcPr>
          <w:p w14:paraId="7157640C" w14:textId="77777777" w:rsidR="00FF3A47" w:rsidRPr="00B91F3C" w:rsidRDefault="00FF3A47" w:rsidP="00FF3A47">
            <w:pPr>
              <w:rPr>
                <w:rFonts w:cstheme="minorHAnsi"/>
                <w:iCs/>
              </w:rPr>
            </w:pPr>
            <w:r w:rsidRPr="00B91F3C">
              <w:t>12. Стратегия и программные направления деятельности в области биоразнообразия ГЭФ-8 должны поощрять, способствовать взаимодействию, сотрудничеству и взаимодополняемости при реализации трех целей Конвенции и целей других конвенций и соглашений, обслуживаемых ГЭФ, а также с другими конвенциями, связанными с биоразнообразием, признавая важный вклад, который эти инструменты могут внести в достижение целей Конвенции о биологическом разнообразии, ее протоколов и Куньминско-Монреальской глобальной рамочной программы в области биоразнообразия, и наоборот.</w:t>
            </w:r>
          </w:p>
        </w:tc>
        <w:tc>
          <w:tcPr>
            <w:tcW w:w="4050" w:type="dxa"/>
          </w:tcPr>
          <w:p w14:paraId="40A60C2E" w14:textId="77777777" w:rsidR="00FF3A47" w:rsidRPr="00B91F3C" w:rsidRDefault="00FF3A47" w:rsidP="00FF3A47">
            <w:pPr>
              <w:rPr>
                <w:rFonts w:cstheme="minorHAnsi"/>
              </w:rPr>
            </w:pPr>
            <w:r w:rsidRPr="00B91F3C">
              <w:t xml:space="preserve">Стратегия и программные направления деятельности в области биоразнообразия ГЭФ-8 разработаны с учетом рекомендаций ГЭФ, предложенных конвенциями и соглашениями, связанными с биоразнообразием, через КС КБР. Конвенции, связанные с биоразнообразием, также представили замечания и комментарии по программным направлениям и стратегии целевой области «Биоразнообразие» в процессе их разработки в период пополнения ГЭФ-8. Комплексный характер программ ГЭФ в рамках стратегии целевой области «Биоразнообразие» ГЭФ-8 будет также </w:t>
            </w:r>
            <w:r w:rsidRPr="00B91F3C">
              <w:lastRenderedPageBreak/>
              <w:t>отвечать интересам других конвенций, обслуживаемых ГЭФ.</w:t>
            </w:r>
          </w:p>
        </w:tc>
      </w:tr>
      <w:tr w:rsidR="00FF3A47" w:rsidRPr="00B91F3C" w14:paraId="23AB4F34" w14:textId="77777777" w:rsidTr="00DA7535">
        <w:tc>
          <w:tcPr>
            <w:tcW w:w="5305" w:type="dxa"/>
          </w:tcPr>
          <w:p w14:paraId="2EF0CB8C" w14:textId="77777777" w:rsidR="00FF3A47" w:rsidRPr="00B91F3C" w:rsidRDefault="00FF3A47" w:rsidP="00FF3A47">
            <w:pPr>
              <w:rPr>
                <w:rFonts w:cstheme="minorHAnsi"/>
                <w:iCs/>
              </w:rPr>
            </w:pPr>
            <w:r w:rsidRPr="00B91F3C">
              <w:lastRenderedPageBreak/>
              <w:t>13. В период своего восьмого пополнения ГЭФ должен продолжить взаимодействие и сотрудничество с многосторонними банками развития и другими государственными и частными финансовыми учреждениями для интеграции целей Конвенции о биологическом разнообразии, ее протоколов и Куньминско-Монреальской глобальной рамочной программы в области биоразнообразия, а также вкладов других связанных с биоразнообразием конвенций в их мероприятия и представление отчетности о вкладе финансирования в их осуществление.</w:t>
            </w:r>
          </w:p>
        </w:tc>
        <w:tc>
          <w:tcPr>
            <w:tcW w:w="4050" w:type="dxa"/>
            <w:shd w:val="clear" w:color="auto" w:fill="auto"/>
          </w:tcPr>
          <w:p w14:paraId="66BD9126" w14:textId="77777777" w:rsidR="00FF3A47" w:rsidRPr="00B91F3C" w:rsidRDefault="00FF3A47" w:rsidP="00FF3A47">
            <w:pPr>
              <w:rPr>
                <w:rFonts w:cstheme="minorHAnsi"/>
              </w:rPr>
            </w:pPr>
            <w:r w:rsidRPr="00B91F3C">
              <w:t xml:space="preserve">ГЭФ активно сотрудничает с многосторонними банками развития, которые являются учреждениями ГЭФ, чтобы обеспечить их участие в разработке программ ГЭФ-8 с учетом их сравнительных преимуществ. Например, в процессе создания ФГПБ ГЭФ провел многочисленные консультации с многосторонними банками развития, привлекая их к участию в создании ФГПБ.  </w:t>
            </w:r>
          </w:p>
          <w:p w14:paraId="11765019" w14:textId="77777777" w:rsidR="00FF3A47" w:rsidRPr="00B91F3C" w:rsidRDefault="00FF3A47" w:rsidP="00FF3A47">
            <w:pPr>
              <w:rPr>
                <w:rFonts w:cstheme="minorHAnsi"/>
              </w:rPr>
            </w:pPr>
          </w:p>
          <w:p w14:paraId="02EB9B23" w14:textId="77777777" w:rsidR="00FF3A47" w:rsidRPr="00B91F3C" w:rsidRDefault="00FF3A47" w:rsidP="00FF3A47">
            <w:pPr>
              <w:rPr>
                <w:rFonts w:cstheme="minorHAnsi"/>
              </w:rPr>
            </w:pPr>
            <w:r w:rsidRPr="00B91F3C">
              <w:t xml:space="preserve">В отчетный период многосторонние банки развития подтвердили свои обязательства по интеграции целей КБР в свои программы, о чем свидетельствует </w:t>
            </w:r>
            <w:hyperlink r:id="rId33" w:history="1">
              <w:r w:rsidRPr="00B91F3C">
                <w:rPr>
                  <w:color w:val="0563C1" w:themeColor="hyperlink"/>
                  <w:u w:val="single"/>
                </w:rPr>
                <w:t>Совместное заявление МБР по вопросам природы, людей и планеты в ходе КС-26 РКИКООН</w:t>
              </w:r>
            </w:hyperlink>
            <w:r w:rsidRPr="00B91F3C">
              <w:rPr>
                <w:color w:val="0563C1" w:themeColor="hyperlink"/>
                <w:u w:val="single"/>
                <w:vertAlign w:val="superscript"/>
              </w:rPr>
              <w:footnoteReference w:id="49"/>
            </w:r>
            <w:r w:rsidRPr="00B91F3C">
              <w:rPr>
                <w:color w:val="0563C1" w:themeColor="hyperlink"/>
                <w:u w:val="single"/>
              </w:rPr>
              <w:t xml:space="preserve">, а также принятие КС-28 РКИКООН </w:t>
            </w:r>
            <w:hyperlink r:id="rId34" w:history="1">
              <w:r w:rsidRPr="00B91F3C">
                <w:rPr>
                  <w:color w:val="0563C1" w:themeColor="hyperlink"/>
                  <w:u w:val="single"/>
                </w:rPr>
                <w:t>Общих принципов МБР по отслеживанию финансирования природоохранной деятельности</w:t>
              </w:r>
            </w:hyperlink>
            <w:r w:rsidRPr="00B91F3C">
              <w:rPr>
                <w:color w:val="0563C1" w:themeColor="hyperlink"/>
                <w:u w:val="single"/>
                <w:vertAlign w:val="superscript"/>
              </w:rPr>
              <w:footnoteReference w:id="50"/>
            </w:r>
            <w:r w:rsidRPr="00B91F3C">
              <w:rPr>
                <w:color w:val="0563C1" w:themeColor="hyperlink"/>
                <w:u w:val="single"/>
              </w:rPr>
              <w:t>.</w:t>
            </w:r>
          </w:p>
        </w:tc>
      </w:tr>
      <w:tr w:rsidR="00FF3A47" w:rsidRPr="00B91F3C" w14:paraId="4707D7D9" w14:textId="77777777" w:rsidTr="00DA7535">
        <w:tc>
          <w:tcPr>
            <w:tcW w:w="5305" w:type="dxa"/>
          </w:tcPr>
          <w:p w14:paraId="7E0A4E4A" w14:textId="77777777" w:rsidR="00FF3A47" w:rsidRPr="00B91F3C" w:rsidRDefault="00FF3A47" w:rsidP="00FF3A47">
            <w:pPr>
              <w:rPr>
                <w:rFonts w:cstheme="minorHAnsi"/>
                <w:iCs/>
              </w:rPr>
            </w:pPr>
            <w:r w:rsidRPr="00B91F3C">
              <w:t>14. Индикаторы итогов и воздействия ГЭФ-8 и соответствующие процессы мониторинга должны эффективно использоваться для оценки вклада ГЭФ-8 в осуществление трех целей Конвенции, протоколов к ней и Куньминско-Монреальской глобальной рамочной программы в области биоразнообразия, в том числе посредством измерения сопутствующих выгод для биоразнообразия, вытекающих из всей соответствующей деятельности ГЭФ.</w:t>
            </w:r>
          </w:p>
        </w:tc>
        <w:tc>
          <w:tcPr>
            <w:tcW w:w="4050" w:type="dxa"/>
          </w:tcPr>
          <w:p w14:paraId="6C6A59E7" w14:textId="77777777" w:rsidR="00FF3A47" w:rsidRPr="00B91F3C" w:rsidRDefault="00FF3A47" w:rsidP="00FF3A47">
            <w:pPr>
              <w:rPr>
                <w:rFonts w:cstheme="minorHAnsi"/>
              </w:rPr>
            </w:pPr>
            <w:r w:rsidRPr="00B91F3C">
              <w:t>В проекте доклада для КС содержится информация о результативности работы ГЭФ с точки зрения основных индикаторов и указывается их связь с соответствующими задачами КМГПБ. Кроме того, в докладе представлены сопутствующие выгоды для биоразнообразия, включая отчетность ГЭФ по Рио-де-</w:t>
            </w:r>
            <w:proofErr w:type="spellStart"/>
            <w:r w:rsidRPr="00B91F3C">
              <w:t>Жанейрским</w:t>
            </w:r>
            <w:proofErr w:type="spellEnd"/>
            <w:r w:rsidRPr="00B91F3C">
              <w:t xml:space="preserve"> маркерам.</w:t>
            </w:r>
          </w:p>
        </w:tc>
      </w:tr>
      <w:tr w:rsidR="00FF3A47" w:rsidRPr="00B91F3C" w14:paraId="298E8221" w14:textId="77777777" w:rsidTr="00DA7535">
        <w:tc>
          <w:tcPr>
            <w:tcW w:w="5305" w:type="dxa"/>
            <w:shd w:val="clear" w:color="auto" w:fill="auto"/>
          </w:tcPr>
          <w:p w14:paraId="12F06D16" w14:textId="77777777" w:rsidR="00FF3A47" w:rsidRPr="00B91F3C" w:rsidRDefault="00FF3A47" w:rsidP="00FF3A47">
            <w:pPr>
              <w:rPr>
                <w:rFonts w:cstheme="minorHAnsi"/>
                <w:iCs/>
              </w:rPr>
            </w:pPr>
            <w:r w:rsidRPr="00B91F3C">
              <w:t>15. ГЭФ в период своего восьмого пополнения должен рассмотреть пути значительного улучшения доступа к финансированию для всех стран-получателей.</w:t>
            </w:r>
          </w:p>
        </w:tc>
        <w:tc>
          <w:tcPr>
            <w:tcW w:w="4050" w:type="dxa"/>
            <w:shd w:val="clear" w:color="auto" w:fill="auto"/>
          </w:tcPr>
          <w:p w14:paraId="2C95A2E2" w14:textId="77777777" w:rsidR="00FF3A47" w:rsidRPr="00B91F3C" w:rsidRDefault="00FF3A47" w:rsidP="00FF3A47">
            <w:r w:rsidRPr="00B91F3C">
              <w:t>Это соответствует рекомендации по вопросам политики в период ГЭФ-8 в отношении оптимизации, и в настоящее время идет работа над этим вопросом. Совет ГЭФ на своей 66-й сессии, рассмотрев документ GEF/C.66/08/Rev.03 «Оптимизация проектного цикла ГЭФ»</w:t>
            </w:r>
            <w:r w:rsidRPr="00B91F3C">
              <w:rPr>
                <w:vertAlign w:val="superscript"/>
              </w:rPr>
              <w:footnoteReference w:id="51"/>
            </w:r>
            <w:r w:rsidRPr="00B91F3C">
              <w:t xml:space="preserve">, в частности: (a) утвердил, увеличение лимита для </w:t>
            </w:r>
            <w:r w:rsidRPr="00B91F3C">
              <w:lastRenderedPageBreak/>
              <w:t>среднемасштабных проектов с 2 млн долл. США до 5 млн долл. США; и (b) поручил секретариату и специальной рабочей группе в составе заинтересованных членов Совета и их заместителей, представляющих доноров и страны-получатели в равном соотношении, разработать дополнительные меры по оптимизации проектного цикла ГЭФ с учетом проводимой работы по повышению эффективности координации и согласованию усилий климатических и экологических фондов в консультации с учреждениями ГЭФ, координационными центрами ГЭФ и другими заинтересованными сторонами сообразно обстоятельствам для рассмотрения Советом на его 67-м и 68-м совещаниях.</w:t>
            </w:r>
          </w:p>
          <w:p w14:paraId="0396934B" w14:textId="77777777" w:rsidR="00FF3A47" w:rsidRPr="00B91F3C" w:rsidRDefault="00FF3A47" w:rsidP="00FF3A47">
            <w:pPr>
              <w:rPr>
                <w:sz w:val="24"/>
                <w:szCs w:val="24"/>
              </w:rPr>
            </w:pPr>
            <w:r w:rsidRPr="00B91F3C">
              <w:t>В настоящее время также проводятся два дополнительных процесса: согласование процедур и методов работы с Зеленым климатическим фондом (ЗКФ) и внедрение упрощенного проектного и программного цикла для Фонда глобальной рамочной программы в области биоразнообразия (ФГПБ). Эти процессы будут служить основой для принятия дополнительных мер и возможных дальнейших действий по оптимизации.</w:t>
            </w:r>
          </w:p>
          <w:p w14:paraId="429D59E5" w14:textId="77777777" w:rsidR="00FF3A47" w:rsidRPr="00B91F3C" w:rsidRDefault="00FF3A47" w:rsidP="00FF3A47">
            <w:pPr>
              <w:rPr>
                <w:rFonts w:cstheme="minorHAnsi"/>
              </w:rPr>
            </w:pPr>
          </w:p>
        </w:tc>
      </w:tr>
      <w:tr w:rsidR="00FF3A47" w:rsidRPr="00B91F3C" w14:paraId="74EDADCA" w14:textId="77777777" w:rsidTr="00DA7535">
        <w:tc>
          <w:tcPr>
            <w:tcW w:w="5305" w:type="dxa"/>
          </w:tcPr>
          <w:p w14:paraId="5B2300F5" w14:textId="77777777" w:rsidR="00FF3A47" w:rsidRPr="00B91F3C" w:rsidRDefault="00FF3A47" w:rsidP="00FF3A47">
            <w:pPr>
              <w:rPr>
                <w:rFonts w:cstheme="minorHAnsi"/>
                <w:iCs/>
              </w:rPr>
            </w:pPr>
            <w:r w:rsidRPr="00B91F3C">
              <w:lastRenderedPageBreak/>
              <w:t>16. ГЭФ в период своего восьмого пополнения должен рассмотреть пути улучшения доступа к финансированию для коренных народов и местных общин.</w:t>
            </w:r>
          </w:p>
        </w:tc>
        <w:tc>
          <w:tcPr>
            <w:tcW w:w="4050" w:type="dxa"/>
          </w:tcPr>
          <w:p w14:paraId="68E89017" w14:textId="77777777" w:rsidR="00FF3A47" w:rsidRPr="00B91F3C" w:rsidRDefault="00FF3A47" w:rsidP="00FF3A47">
            <w:pPr>
              <w:rPr>
                <w:rFonts w:cstheme="minorHAnsi"/>
              </w:rPr>
            </w:pPr>
            <w:r w:rsidRPr="00B91F3C">
              <w:t>Стратегия целевой области «Биоразнообразие» ГЭФ-8 предполагает дополнительное финансирование в объеме 25 млн долл. США для инициативы в области инклюзивного сохранения, которая обеспечивает КНМО доступ к финансированию ГЭФ (25 млн долл. США было выделено на эту инициативу в рамках ГЭФ-7).</w:t>
            </w:r>
          </w:p>
          <w:p w14:paraId="3CECC16F" w14:textId="77777777" w:rsidR="00FF3A47" w:rsidRPr="00B91F3C" w:rsidRDefault="00FF3A47" w:rsidP="00FF3A47">
            <w:pPr>
              <w:rPr>
                <w:rFonts w:cstheme="minorHAnsi"/>
              </w:rPr>
            </w:pPr>
          </w:p>
          <w:p w14:paraId="61C59B8F" w14:textId="77777777" w:rsidR="00FF3A47" w:rsidRPr="00B91F3C" w:rsidRDefault="00FF3A47" w:rsidP="00FF3A47">
            <w:pPr>
              <w:rPr>
                <w:rFonts w:cstheme="minorHAnsi"/>
              </w:rPr>
            </w:pPr>
            <w:r w:rsidRPr="00B91F3C">
              <w:t xml:space="preserve">Область деятельности 2 программных направлений ФГПБ «Поддержка </w:t>
            </w:r>
            <w:r w:rsidRPr="00B91F3C">
              <w:lastRenderedPageBreak/>
              <w:t>управления и руководства КНМО землями, территориями и водами» направлено на оказание поддержки управлению и руководству КНМО в соответствии с национальным законодательством. Кроме того, ГЭФ стремится к тому, чтобы к 2030 году доля программ поддержки управления КНМО составила 20% от общего объема ресурсов в портфеле проектов, финансируемых ФГПБ.</w:t>
            </w:r>
          </w:p>
        </w:tc>
      </w:tr>
      <w:tr w:rsidR="00FF3A47" w:rsidRPr="00B91F3C" w14:paraId="71A40BAA" w14:textId="77777777" w:rsidTr="00DA7535">
        <w:tc>
          <w:tcPr>
            <w:tcW w:w="5305" w:type="dxa"/>
          </w:tcPr>
          <w:p w14:paraId="5D310D5A" w14:textId="77777777" w:rsidR="00FF3A47" w:rsidRPr="00B91F3C" w:rsidRDefault="00FF3A47" w:rsidP="00FF3A47">
            <w:pPr>
              <w:rPr>
                <w:rFonts w:cstheme="minorHAnsi"/>
                <w:iCs/>
              </w:rPr>
            </w:pPr>
            <w:r w:rsidRPr="00B91F3C">
              <w:lastRenderedPageBreak/>
              <w:t>17. Стратегия и программные направления деятельности в области биоразнообразия ГЭФ-8 должны способствовать взаимодействию со странами-получателями для оказания поддержки мобилизации ресурсов на национальном уровне и разработке и осуществлению национальных планов финансирования биоразнообразия.</w:t>
            </w:r>
          </w:p>
        </w:tc>
        <w:tc>
          <w:tcPr>
            <w:tcW w:w="4050" w:type="dxa"/>
          </w:tcPr>
          <w:p w14:paraId="3DDA0FFC" w14:textId="77777777" w:rsidR="00FF3A47" w:rsidRPr="00B91F3C" w:rsidRDefault="00FF3A47" w:rsidP="00FF3A47">
            <w:pPr>
              <w:rPr>
                <w:rFonts w:cstheme="minorHAnsi"/>
              </w:rPr>
            </w:pPr>
            <w:r w:rsidRPr="00B91F3C">
              <w:t>Совет ГЭФ в ноябре 2022 года утвердил глобальную программу поддержки национальных планов финансирования биоразнообразия, а в первом квартале 2023 года она охватила все оставшиеся страны, имеющие право на получение помощи ГЭФ.</w:t>
            </w:r>
          </w:p>
        </w:tc>
      </w:tr>
      <w:tr w:rsidR="00FF3A47" w:rsidRPr="00B91F3C" w14:paraId="110308A2" w14:textId="77777777" w:rsidTr="00DA7535">
        <w:tc>
          <w:tcPr>
            <w:tcW w:w="5305" w:type="dxa"/>
          </w:tcPr>
          <w:p w14:paraId="3D605FC9" w14:textId="77777777" w:rsidR="00FF3A47" w:rsidRPr="00B91F3C" w:rsidRDefault="00FF3A47" w:rsidP="00FF3A47">
            <w:pPr>
              <w:rPr>
                <w:rFonts w:cstheme="minorHAnsi"/>
                <w:iCs/>
              </w:rPr>
            </w:pPr>
            <w:r w:rsidRPr="00B91F3C">
              <w:t>18. Стратегия, программные направления деятельности и рекомендации по вопросам политики в области биоразнообразия ГЭФ-8 должны укреплять усилия ГЭФ по мобилизации и взаимодействию с различными субъектами деятельности, включая частный сектор.</w:t>
            </w:r>
          </w:p>
        </w:tc>
        <w:tc>
          <w:tcPr>
            <w:tcW w:w="4050" w:type="dxa"/>
          </w:tcPr>
          <w:p w14:paraId="35477292" w14:textId="77777777" w:rsidR="00FF3A47" w:rsidRPr="00B91F3C" w:rsidRDefault="00FF3A47" w:rsidP="00FF3A47">
            <w:pPr>
              <w:rPr>
                <w:rFonts w:cstheme="minorHAnsi"/>
              </w:rPr>
            </w:pPr>
            <w:r w:rsidRPr="00B91F3C">
              <w:t>Все проекты ГЭФ предполагают обязательное привлечение заинтересованных сторон, а разработка их плана участия является обязательным условием для проектов, одобряемых Исполнительным директором. В рамках ГЭФ-8 для каждой из 11 комплексных программ разработан комплекс целей для частного сектора, который определяет основные платформы для взаимодействия, ключевые подходы и ожидаемые формы взаимодействия, способствующие оптимизации вклада частного сектора.</w:t>
            </w:r>
          </w:p>
        </w:tc>
      </w:tr>
      <w:tr w:rsidR="00FF3A47" w:rsidRPr="00B91F3C" w14:paraId="361D9F8D" w14:textId="77777777" w:rsidTr="00DA7535">
        <w:trPr>
          <w:trHeight w:val="4031"/>
        </w:trPr>
        <w:tc>
          <w:tcPr>
            <w:tcW w:w="5305" w:type="dxa"/>
            <w:shd w:val="clear" w:color="auto" w:fill="auto"/>
          </w:tcPr>
          <w:p w14:paraId="3C6EEE2B" w14:textId="77777777" w:rsidR="00FF3A47" w:rsidRPr="00B91F3C" w:rsidRDefault="00FF3A47" w:rsidP="00FF3A47">
            <w:pPr>
              <w:rPr>
                <w:rFonts w:cstheme="minorHAnsi"/>
                <w:iCs/>
              </w:rPr>
            </w:pPr>
            <w:r w:rsidRPr="00B91F3C">
              <w:lastRenderedPageBreak/>
              <w:t>19. В целях повышения своей результативности и эффективности в достижении устойчивых результатов в период восьмого пополнения ГЭФ должен продолжать совершенствовать свою политику в отношении управления и стандартов, которых должны придерживаться его партнеры по осуществлению.</w:t>
            </w:r>
          </w:p>
        </w:tc>
        <w:tc>
          <w:tcPr>
            <w:tcW w:w="4050" w:type="dxa"/>
            <w:shd w:val="clear" w:color="auto" w:fill="auto"/>
          </w:tcPr>
          <w:p w14:paraId="06B3ADC2" w14:textId="77777777" w:rsidR="00FF3A47" w:rsidRPr="00B91F3C" w:rsidRDefault="00FF3A47" w:rsidP="00FF3A47">
            <w:pPr>
              <w:rPr>
                <w:rFonts w:cstheme="minorHAnsi"/>
              </w:rPr>
            </w:pPr>
            <w:r w:rsidRPr="00B91F3C">
              <w:t xml:space="preserve">Управление ГЭФ включает механизмы, обеспечивающие соблюдение политики и стандартов ГЭФ партнерами-исполнителями, включая четыре ключевых минимальных стандарта: фидуциарные стандарты, экологические и социальные гарантии, гендерное равенство и взаимодействие с заинтересованными сторонами. В 2023 году был проведен </w:t>
            </w:r>
            <w:hyperlink r:id="rId35" w:history="1">
              <w:r w:rsidRPr="00B91F3C">
                <w:rPr>
                  <w:color w:val="0563C1" w:themeColor="hyperlink"/>
                  <w:u w:val="single"/>
                </w:rPr>
                <w:t>обзор</w:t>
              </w:r>
            </w:hyperlink>
            <w:r w:rsidRPr="00B91F3C">
              <w:t xml:space="preserve"> соблюдения этих стандартов партнерами-исполнителями, результаты которого были представлены Совету (GEF/C.64/Inf.09). Учреждениям, в которых были выявлены проблемы c соблюдением, было предписано разработать планы действий, а Совету были представлены </w:t>
            </w:r>
            <w:hyperlink r:id="rId36" w:history="1">
              <w:r w:rsidRPr="00B91F3C">
                <w:rPr>
                  <w:color w:val="0563C1" w:themeColor="hyperlink"/>
                  <w:u w:val="single"/>
                </w:rPr>
                <w:t>доклады</w:t>
              </w:r>
            </w:hyperlink>
            <w:r w:rsidRPr="00B91F3C">
              <w:t xml:space="preserve"> о ходе выполнения этих планов (например, см.: GEF/C.66/Inf.10). Кроме того, были подготовлены анализы пробелов в области </w:t>
            </w:r>
            <w:hyperlink r:id="rId37" w:history="1">
              <w:r w:rsidRPr="00B91F3C">
                <w:rPr>
                  <w:color w:val="0563C1" w:themeColor="hyperlink"/>
                  <w:u w:val="single"/>
                </w:rPr>
                <w:t>социальной интеграции</w:t>
              </w:r>
            </w:hyperlink>
            <w:r w:rsidRPr="00B91F3C">
              <w:t xml:space="preserve"> (GEF/C.66/10) и </w:t>
            </w:r>
            <w:hyperlink r:id="rId38" w:history="1">
              <w:r w:rsidRPr="00B91F3C">
                <w:rPr>
                  <w:color w:val="0563C1" w:themeColor="hyperlink"/>
                  <w:u w:val="single"/>
                </w:rPr>
                <w:t>нестабильности, конфликтов и ситуаций, связанных с насилием</w:t>
              </w:r>
            </w:hyperlink>
            <w:r w:rsidRPr="00B91F3C">
              <w:t xml:space="preserve"> (GEF/C.66/09), которые Совет обсудил в феврале 2024 года.</w:t>
            </w:r>
          </w:p>
        </w:tc>
      </w:tr>
    </w:tbl>
    <w:p w14:paraId="297EC748" w14:textId="77777777" w:rsidR="00FF3A47" w:rsidRPr="00B91F3C" w:rsidRDefault="00FF3A47" w:rsidP="00FF3A47">
      <w:pPr>
        <w:keepNext/>
        <w:keepLines/>
        <w:spacing w:before="240" w:after="240" w:line="240" w:lineRule="auto"/>
        <w:outlineLvl w:val="1"/>
        <w:rPr>
          <w:rFonts w:eastAsiaTheme="majorEastAsia" w:cstheme="minorHAnsi"/>
          <w:b/>
          <w:bCs/>
          <w:snapToGrid w:val="0"/>
          <w:sz w:val="24"/>
          <w:szCs w:val="24"/>
        </w:rPr>
      </w:pPr>
      <w:bookmarkStart w:id="169" w:name="_Toc162534613"/>
      <w:bookmarkStart w:id="170" w:name="_Toc165899273"/>
      <w:r w:rsidRPr="00B91F3C">
        <w:rPr>
          <w:rFonts w:eastAsiaTheme="majorEastAsia" w:cstheme="minorHAnsi"/>
          <w:b/>
          <w:bCs/>
          <w:snapToGrid w:val="0"/>
          <w:sz w:val="24"/>
          <w:szCs w:val="24"/>
        </w:rPr>
        <w:t>Поддержка ГЭФ по повышению согласованности политики</w:t>
      </w:r>
      <w:bookmarkEnd w:id="169"/>
      <w:bookmarkEnd w:id="170"/>
      <w:r w:rsidRPr="00B91F3C">
        <w:rPr>
          <w:rFonts w:eastAsiaTheme="majorEastAsia" w:cstheme="minorHAnsi"/>
          <w:b/>
          <w:bCs/>
          <w:snapToGrid w:val="0"/>
          <w:sz w:val="24"/>
          <w:szCs w:val="24"/>
        </w:rPr>
        <w:t xml:space="preserve"> </w:t>
      </w:r>
    </w:p>
    <w:p w14:paraId="7FAFCD93"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 xml:space="preserve">Признавая растущее значение задачи по обеспечению согласованности политики и потенциальную роль ГЭФ, Совет ГЭФ на своей 65-й сессии в октябре 2023 года одобрил ряд областей деятельности, направленных на </w:t>
      </w:r>
      <w:hyperlink r:id="rId39" w:history="1">
        <w:r w:rsidRPr="00B91F3C">
          <w:rPr>
            <w:snapToGrid w:val="0"/>
            <w:color w:val="0563C1" w:themeColor="hyperlink"/>
            <w:sz w:val="24"/>
            <w:szCs w:val="24"/>
            <w:u w:val="single"/>
          </w:rPr>
          <w:t xml:space="preserve">повышение согласованности политики в оперативной деятельности ГЭФ </w:t>
        </w:r>
      </w:hyperlink>
      <w:r w:rsidRPr="00B91F3C">
        <w:rPr>
          <w:snapToGrid w:val="0"/>
          <w:sz w:val="24"/>
          <w:szCs w:val="24"/>
        </w:rPr>
        <w:t>. К ним относятся: включение вопросов согласованности политики в текущие программы, разработка специальных программ по согласованности политики, взаимодействие со странами и учреждениями по этому вопросу, постоянный анализ согласованности политики в текущем портфеле проектов ГЭФ, разработка инструментов для отслеживания и оценки прогресса, а также изучение возможностей разработки индикаторов, связанных с политикой.</w:t>
      </w:r>
    </w:p>
    <w:p w14:paraId="166E77FE"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 xml:space="preserve">Хотя аспекты согласованности политики постоянно и все в большей степени учитывались в программах ГЭФ на протяжении всех циклов пополнения, ГЭФ-8, охватывающий период с 2022 по 2026 год, первый раз в истории выделяет согласованность политики как один из основных элементов программ. Согласованность политики является универсальным основополагающим принципом, лежащим в основе </w:t>
      </w:r>
      <w:hyperlink r:id="rId40" w:history="1">
        <w:r w:rsidRPr="00B91F3C">
          <w:rPr>
            <w:snapToGrid w:val="0"/>
            <w:color w:val="0563C1" w:themeColor="hyperlink"/>
            <w:sz w:val="24"/>
            <w:szCs w:val="24"/>
            <w:u w:val="single"/>
          </w:rPr>
          <w:t>разработки и осуществления программ и взаимодействия со странами в рамках ГЭФ-8,</w:t>
        </w:r>
      </w:hyperlink>
      <w:r w:rsidRPr="00B91F3C">
        <w:rPr>
          <w:snapToGrid w:val="0"/>
          <w:color w:val="0563C1" w:themeColor="hyperlink"/>
          <w:sz w:val="24"/>
          <w:szCs w:val="24"/>
        </w:rPr>
        <w:t xml:space="preserve"> </w:t>
      </w:r>
      <w:r w:rsidRPr="00B91F3C">
        <w:rPr>
          <w:snapToGrid w:val="0"/>
          <w:sz w:val="24"/>
          <w:szCs w:val="24"/>
        </w:rPr>
        <w:t xml:space="preserve">в частности, флагманских инвестиций ГЭФ-8 – Комплексных программ. </w:t>
      </w:r>
    </w:p>
    <w:p w14:paraId="26FDFADB" w14:textId="77777777" w:rsidR="00FF3A47" w:rsidRPr="00B91F3C" w:rsidRDefault="00FF3A47" w:rsidP="00FF3A47">
      <w:pPr>
        <w:numPr>
          <w:ilvl w:val="0"/>
          <w:numId w:val="12"/>
        </w:numPr>
        <w:tabs>
          <w:tab w:val="left" w:pos="0"/>
        </w:tabs>
        <w:spacing w:before="240" w:after="240" w:line="240" w:lineRule="auto"/>
        <w:ind w:left="0" w:firstLine="0"/>
        <w:rPr>
          <w:snapToGrid w:val="0"/>
          <w:color w:val="000000"/>
          <w:sz w:val="24"/>
          <w:szCs w:val="24"/>
          <w14:ligatures w14:val="standardContextual"/>
        </w:rPr>
      </w:pPr>
      <w:r w:rsidRPr="00B91F3C">
        <w:rPr>
          <w:sz w:val="24"/>
          <w:szCs w:val="24"/>
        </w:rPr>
        <w:t xml:space="preserve">Еще до того, как согласованность политики стала приоритетом ГЭФ-8, в конце цикла ГЭФ-7 Фонд предоставил финансирование на среднемасштабный проект </w:t>
      </w:r>
      <w:hyperlink r:id="rId41" w:history="1">
        <w:r w:rsidRPr="00B91F3C">
          <w:rPr>
            <w:sz w:val="24"/>
            <w:szCs w:val="24"/>
          </w:rPr>
          <w:t>«Согласованность политики в интересах глобальных экологических выгод»</w:t>
        </w:r>
      </w:hyperlink>
      <w:r w:rsidRPr="00B91F3C">
        <w:rPr>
          <w:sz w:val="24"/>
          <w:szCs w:val="24"/>
        </w:rPr>
        <w:t>,</w:t>
      </w:r>
      <w:r w:rsidRPr="00B91F3C">
        <w:rPr>
          <w:i/>
          <w:snapToGrid w:val="0"/>
          <w:color w:val="000000"/>
          <w:sz w:val="24"/>
          <w:szCs w:val="24"/>
        </w:rPr>
        <w:t xml:space="preserve"> </w:t>
      </w:r>
      <w:r w:rsidRPr="00B91F3C">
        <w:rPr>
          <w:snapToGrid w:val="0"/>
          <w:color w:val="000000"/>
          <w:sz w:val="24"/>
          <w:szCs w:val="24"/>
        </w:rPr>
        <w:t xml:space="preserve">цель которого заключается в определении подходов и содействии формированию </w:t>
      </w:r>
      <w:proofErr w:type="spellStart"/>
      <w:r w:rsidRPr="00B91F3C">
        <w:rPr>
          <w:snapToGrid w:val="0"/>
          <w:color w:val="000000"/>
          <w:sz w:val="24"/>
          <w:szCs w:val="24"/>
        </w:rPr>
        <w:t>взаимоукрепляющих</w:t>
      </w:r>
      <w:proofErr w:type="spellEnd"/>
      <w:r w:rsidRPr="00B91F3C">
        <w:rPr>
          <w:snapToGrid w:val="0"/>
          <w:color w:val="000000"/>
          <w:sz w:val="24"/>
          <w:szCs w:val="24"/>
        </w:rPr>
        <w:t xml:space="preserve"> законодательств и согласованию финансовых ресурсов для обеспечения выгод для биоразнообразия на глобальном уровне. Этот проект, осуществляемый в непосредственном сотрудничестве с членами коалиций по охране природы в Колумбии, Монголии и Замбии, сосредоточен на выявлении и устранении препятствий в законодательстве, затрудняющих достижение глобальных экологических выгод. В настоящее время этот проект находится в процессе осуществления.</w:t>
      </w:r>
    </w:p>
    <w:p w14:paraId="788D6425"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z w:val="24"/>
          <w:szCs w:val="24"/>
        </w:rPr>
        <w:t>С учетом приоритетного значения согласованности политики в программах ГЭФ-8 секретариат ГЭФ</w:t>
      </w:r>
      <w:r w:rsidRPr="00B91F3C">
        <w:rPr>
          <w:snapToGrid w:val="0"/>
          <w:sz w:val="24"/>
          <w:szCs w:val="24"/>
        </w:rPr>
        <w:t xml:space="preserve"> начал проводить систематическую оценку предлагаемого воздействия проектов и программ на согласованность политики уже на этапе их разработки. В связи с этим каждая сопроводительная записка к программе работы ГЭФ-8 теперь содержит общий раздел, посвященный согласованности политики, в котором кратко приводятся примеры вклада проектов и программ предлагаемой программы работы в обеспечение согласованности политики. Так, сопроводительная записка к последней утвержденной на 66-м совещании Совета в феврале 2024 года </w:t>
      </w:r>
      <w:hyperlink r:id="rId42" w:history="1">
        <w:r w:rsidRPr="00B91F3C">
          <w:rPr>
            <w:snapToGrid w:val="0"/>
            <w:color w:val="0563C1" w:themeColor="hyperlink"/>
            <w:sz w:val="24"/>
            <w:szCs w:val="24"/>
            <w:u w:val="single"/>
          </w:rPr>
          <w:t>программе работы</w:t>
        </w:r>
      </w:hyperlink>
      <w:r w:rsidRPr="00B91F3C">
        <w:rPr>
          <w:snapToGrid w:val="0"/>
          <w:sz w:val="24"/>
          <w:szCs w:val="24"/>
        </w:rPr>
        <w:t xml:space="preserve"> впервые содержала раздел, посвященный согласованности политики. Несколько программ и проектов данной программы работы, в том числе в целевой области «Биоразнообразие», направлены на повышение согласованности политики. Например, Комплексная программа «Сохранение дикой природы в интересах развития» будет способствовать повышению согласованности и укреплению политики и правовой базы в различных секторах, что будет содействовать разработке планов комплексного управления охраняемыми районами и ландшафтами, национальных стратегий по мирному сосуществованию человека и дикой природы, национальных стратегий развития экономики, основанной на ресурсах дикой природы, а также стратегий развития туризма, связанного с посещением природных объектов, и т.д. Дополнительные самостоятельные проекты целевой области «Биоразнообразие» включали компоненты, направленные на повышение согласованности политики или ее элементов, таких как укрепление и согласованность управления, поддержка трансграничного управления и укрепление нормативной базы.  </w:t>
      </w:r>
    </w:p>
    <w:p w14:paraId="6347CF4F"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z w:val="24"/>
          <w:szCs w:val="24"/>
        </w:rPr>
        <w:t>Секретариат ГЭФ продолжит работу по обеспечению согласованности политики в соответствии с документом, утвержденным на 65-м совещании Совета, и будет представлять доклады о ходе работы Совету ГЭФ и КС.</w:t>
      </w:r>
    </w:p>
    <w:p w14:paraId="54E8EAE1" w14:textId="77777777" w:rsidR="00FF3A47" w:rsidRPr="00B91F3C" w:rsidRDefault="00FF3A47" w:rsidP="00FF3A47">
      <w:pPr>
        <w:keepNext/>
        <w:keepLines/>
        <w:spacing w:before="240" w:after="240" w:line="240" w:lineRule="auto"/>
        <w:outlineLvl w:val="1"/>
        <w:rPr>
          <w:rFonts w:eastAsiaTheme="majorEastAsia" w:cstheme="minorHAnsi"/>
          <w:b/>
          <w:bCs/>
          <w:snapToGrid w:val="0"/>
          <w:sz w:val="24"/>
          <w:szCs w:val="24"/>
        </w:rPr>
      </w:pPr>
      <w:bookmarkStart w:id="171" w:name="_Toc162534614"/>
      <w:bookmarkStart w:id="172" w:name="_Toc165899274"/>
      <w:r w:rsidRPr="00B91F3C">
        <w:rPr>
          <w:rFonts w:eastAsiaTheme="majorEastAsia" w:cstheme="minorHAnsi"/>
          <w:b/>
          <w:bCs/>
          <w:snapToGrid w:val="0"/>
          <w:sz w:val="24"/>
          <w:szCs w:val="24"/>
        </w:rPr>
        <w:t>Обновленная информация о распределении ресурсов ФГПБ</w:t>
      </w:r>
      <w:bookmarkEnd w:id="171"/>
      <w:bookmarkEnd w:id="172"/>
      <w:r w:rsidRPr="00B91F3C">
        <w:rPr>
          <w:rFonts w:eastAsiaTheme="majorEastAsia" w:cstheme="minorHAnsi"/>
          <w:b/>
          <w:bCs/>
          <w:snapToGrid w:val="0"/>
          <w:sz w:val="24"/>
          <w:szCs w:val="24"/>
        </w:rPr>
        <w:t xml:space="preserve">  </w:t>
      </w:r>
    </w:p>
    <w:p w14:paraId="0687AA22"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 xml:space="preserve">Признавая настоятельную необходимость увеличения объема международного финансирования деятельности в области биоразнообразия, КС-15 КБР поручила Глобальному экологическому фонду в пунктах 29 и 30 решения 15/7 КС о мобилизации </w:t>
      </w:r>
      <w:r w:rsidRPr="00B91F3C">
        <w:rPr>
          <w:snapToGrid w:val="0"/>
          <w:sz w:val="24"/>
          <w:szCs w:val="24"/>
        </w:rPr>
        <w:lastRenderedPageBreak/>
        <w:t>ресурсов и в пунктах 19 и 20 решения 15/15 КС о механизме финансирования создать в 2023 году специальный общедоступный Фонд глобальной рамочной программы в области биоразнообразия, позволяющий оперативно мобилизовывать и распределять новые и дополнительные ресурсы из всех источников сообразно целям Куньминско-Монреальской глобальной рамочной программы в области биоразнообразия</w:t>
      </w:r>
      <w:r w:rsidRPr="00B91F3C">
        <w:rPr>
          <w:snapToGrid w:val="0"/>
          <w:sz w:val="24"/>
          <w:szCs w:val="24"/>
          <w:vertAlign w:val="superscript"/>
        </w:rPr>
        <w:footnoteReference w:id="52"/>
      </w:r>
      <w:r w:rsidRPr="00B91F3C">
        <w:rPr>
          <w:snapToGrid w:val="0"/>
          <w:sz w:val="24"/>
          <w:szCs w:val="24"/>
          <w:vertAlign w:val="superscript"/>
        </w:rPr>
        <w:t>,</w:t>
      </w:r>
      <w:r w:rsidRPr="00B91F3C">
        <w:rPr>
          <w:snapToGrid w:val="0"/>
          <w:sz w:val="24"/>
          <w:szCs w:val="24"/>
          <w:vertAlign w:val="superscript"/>
        </w:rPr>
        <w:footnoteReference w:id="53"/>
      </w:r>
      <w:r w:rsidRPr="00B91F3C">
        <w:rPr>
          <w:snapToGrid w:val="0"/>
          <w:sz w:val="24"/>
          <w:szCs w:val="24"/>
        </w:rPr>
        <w:t xml:space="preserve">. </w:t>
      </w:r>
    </w:p>
    <w:p w14:paraId="1D969F83"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В ответ на это поручение о создании специального общедоступного Фонда глобальной рамочной программы в области биоразнообразия (ФГПБ) Совет ГЭФ в июне 2023 года утвердил создание ФГПБ</w:t>
      </w:r>
      <w:r w:rsidRPr="00B91F3C">
        <w:rPr>
          <w:snapToGrid w:val="0"/>
          <w:sz w:val="24"/>
          <w:szCs w:val="24"/>
          <w:vertAlign w:val="superscript"/>
        </w:rPr>
        <w:footnoteReference w:id="54"/>
      </w:r>
      <w:r w:rsidRPr="00B91F3C">
        <w:rPr>
          <w:snapToGrid w:val="0"/>
          <w:sz w:val="24"/>
          <w:szCs w:val="24"/>
        </w:rPr>
        <w:t xml:space="preserve"> и его программные направления</w:t>
      </w:r>
      <w:r w:rsidRPr="00B91F3C">
        <w:rPr>
          <w:snapToGrid w:val="0"/>
          <w:sz w:val="24"/>
          <w:szCs w:val="24"/>
          <w:vertAlign w:val="superscript"/>
        </w:rPr>
        <w:footnoteReference w:id="55"/>
      </w:r>
      <w:r w:rsidRPr="00B91F3C">
        <w:rPr>
          <w:snapToGrid w:val="0"/>
          <w:sz w:val="24"/>
          <w:szCs w:val="24"/>
        </w:rPr>
        <w:t xml:space="preserve">. В августе 2024 года седьмая Ассамблея ГЭФ ратифицировала решение о создании ФГПБ и объявила о начале его работы. </w:t>
      </w:r>
    </w:p>
    <w:p w14:paraId="3672312B"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Секретариат ГЭФ провел обширные консультации по вопросам создания и обеспечения функционирования ФГПБ. Процесс включал многочисленные консультации с Советом ГЭФ, многосторонними банками развития и международными финансовыми учреждениями, частным сектором и секретариатом КБР, а также брифинги для представителей гражданского общества, Консультативной группы ГЭФ по вопросам коренных народов и учреждений ГЭФ. Координационные центры КБР были активно вовлечены в процесс консультаций посредством регулярных совместных уведомлений</w:t>
      </w:r>
      <w:r w:rsidRPr="00B91F3C">
        <w:rPr>
          <w:snapToGrid w:val="0"/>
          <w:sz w:val="24"/>
          <w:szCs w:val="24"/>
          <w:vertAlign w:val="superscript"/>
        </w:rPr>
        <w:footnoteReference w:id="56"/>
      </w:r>
      <w:r w:rsidRPr="00B91F3C">
        <w:rPr>
          <w:snapToGrid w:val="0"/>
          <w:sz w:val="24"/>
          <w:szCs w:val="24"/>
          <w:vertAlign w:val="superscript"/>
        </w:rPr>
        <w:t>,</w:t>
      </w:r>
      <w:r w:rsidRPr="00B91F3C">
        <w:rPr>
          <w:snapToGrid w:val="0"/>
          <w:sz w:val="24"/>
          <w:szCs w:val="24"/>
          <w:vertAlign w:val="superscript"/>
        </w:rPr>
        <w:footnoteReference w:id="57"/>
      </w:r>
      <w:r w:rsidRPr="00B91F3C">
        <w:rPr>
          <w:snapToGrid w:val="0"/>
          <w:sz w:val="24"/>
          <w:szCs w:val="24"/>
          <w:vertAlign w:val="superscript"/>
        </w:rPr>
        <w:t>,</w:t>
      </w:r>
      <w:r w:rsidRPr="00B91F3C">
        <w:rPr>
          <w:snapToGrid w:val="0"/>
          <w:sz w:val="24"/>
          <w:szCs w:val="24"/>
          <w:vertAlign w:val="superscript"/>
        </w:rPr>
        <w:footnoteReference w:id="58"/>
      </w:r>
      <w:r w:rsidRPr="00B91F3C">
        <w:rPr>
          <w:snapToGrid w:val="0"/>
          <w:sz w:val="24"/>
          <w:szCs w:val="24"/>
        </w:rPr>
        <w:t>.</w:t>
      </w:r>
    </w:p>
    <w:p w14:paraId="55D50A86"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 xml:space="preserve">На основе процесса консультаций, решений Совета и Ассамблеи ГЭФ, отраженных в Таблице 10 выше в ответных мерах на руководящие указания КС-15, решения первого совещания Совета ФГПБ, которое состоялось 8-9 февраля 2024 года, позволили начать процесс планирования распределения ресурсов ФГПБ всего через 14 месяцев после принятия решения КС о его создании. Совет ФГПБ, в частности, принял решение о выделении ресурсов в виде отдельных программных траншей для повышения предсказуемости поступления средств для стран-получателей. При этом финансовые взносы принимаются по мере их поступления. Принятие Политики распределения ресурсов ФГПБ позволило выделить первый программный транш ФГПБ, в рамках которого на осуществление программ выделяется 211 миллионов долларов. Эта сумма соответствует всем обязательствам, подтвержденным доверительным управляющим на дату утверждения Политики, включая взносы Канады, Соединенного Королевства </w:t>
      </w:r>
      <w:r w:rsidRPr="00B91F3C">
        <w:rPr>
          <w:snapToGrid w:val="0"/>
          <w:sz w:val="24"/>
          <w:szCs w:val="24"/>
        </w:rPr>
        <w:lastRenderedPageBreak/>
        <w:t xml:space="preserve">Великобритании и Северной Ирландии, Германии, Японии и Испании, за вычетом бюджета на оперативную деятельность. </w:t>
      </w:r>
    </w:p>
    <w:p w14:paraId="69019097"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 xml:space="preserve">В рамках программных траншей все средства ФГПБ выделяются на проекты на страновой основе по итогам последовательных отборочных туров, к участию в которых допускаются все страны, имеющие право на помощь. Первые два отборочных тура были проведены с февраля по апрель 2024 года. </w:t>
      </w:r>
    </w:p>
    <w:p w14:paraId="7C14EFDB"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Специальный первый отборочный тур был организован для ускоренного утверждения первых проектов ФГПБ с учетом срочности осуществления КМГПБ и поставленной Советом ФГПБ цели, которая заключается в представлении первой программы работы второму совещанию Совета ФГПБ, запланированного на неделю, начинающуюся 17 июня 2024 года. В рамках первого тура Исполнительный директор утвердил четыре заявки на гранты на подготовку проектов (ГПП) из четырех соответствующих правилам заявок на ГПП, полученных в установленный для подачи заявок срок с 21 февраля по 1 марта 2024 года. Общий объем средств, запрошенных на четыре проекта, составлял 39,8 млн долл. США. Ожидается, что соответствующие полностью доработанные проекты будут представлены на утверждение на втором совещании Совета ФГПБ.</w:t>
      </w:r>
    </w:p>
    <w:p w14:paraId="4A42A031" w14:textId="77777777" w:rsidR="00FF3A47" w:rsidRPr="00B91F3C" w:rsidRDefault="00FF3A47" w:rsidP="00FF3A47">
      <w:pPr>
        <w:numPr>
          <w:ilvl w:val="0"/>
          <w:numId w:val="12"/>
        </w:numPr>
        <w:tabs>
          <w:tab w:val="left" w:pos="0"/>
        </w:tabs>
        <w:spacing w:before="240" w:after="240" w:line="240" w:lineRule="auto"/>
        <w:ind w:left="0" w:firstLine="0"/>
        <w:rPr>
          <w:snapToGrid w:val="0"/>
          <w:color w:val="000000"/>
          <w:sz w:val="24"/>
          <w:szCs w:val="24"/>
        </w:rPr>
      </w:pPr>
      <w:r w:rsidRPr="00B91F3C">
        <w:rPr>
          <w:snapToGrid w:val="0"/>
          <w:sz w:val="24"/>
          <w:szCs w:val="24"/>
        </w:rPr>
        <w:t xml:space="preserve">Прием заявок на ГПП в рамках второго отборочного тура проходил с 4 марта 2024 года по 1 апреля 2024 года. Решения об удовлетворении заявок на ГПП будут объявлены после крайнего срока публикации настоящего доклада, к 1 мая 2024 года. После </w:t>
      </w:r>
      <w:r w:rsidRPr="00B91F3C">
        <w:rPr>
          <w:snapToGrid w:val="0"/>
          <w:color w:val="000000"/>
          <w:sz w:val="24"/>
          <w:szCs w:val="24"/>
        </w:rPr>
        <w:t>утверждения</w:t>
      </w:r>
      <w:r w:rsidRPr="00B91F3C">
        <w:rPr>
          <w:snapToGrid w:val="0"/>
          <w:sz w:val="24"/>
          <w:szCs w:val="24"/>
        </w:rPr>
        <w:t xml:space="preserve"> Исполнительным директором </w:t>
      </w:r>
      <w:r w:rsidRPr="00B91F3C">
        <w:rPr>
          <w:snapToGrid w:val="0"/>
          <w:color w:val="000000"/>
          <w:sz w:val="24"/>
          <w:szCs w:val="24"/>
        </w:rPr>
        <w:t>отобранных заявок на ГПП, проекты будут подготовлены на основе Политики проектного цикла ФГПБ, которая представляет упрощенную версию Политики проектного и программного цикла ГЭФ</w:t>
      </w:r>
      <w:r w:rsidRPr="00B91F3C">
        <w:rPr>
          <w:snapToGrid w:val="0"/>
          <w:sz w:val="24"/>
          <w:szCs w:val="24"/>
        </w:rPr>
        <w:t>.</w:t>
      </w:r>
      <w:r w:rsidRPr="00B91F3C">
        <w:rPr>
          <w:snapToGrid w:val="0"/>
          <w:color w:val="000000"/>
          <w:sz w:val="24"/>
          <w:szCs w:val="24"/>
        </w:rPr>
        <w:t xml:space="preserve"> Документация по окончательно доработанным проектам должна быть представлена в секретариат ГЭФ в течение девяти месяцев после утверждения заявки на ГПП. Проекты на сумму свыше 5 млн долл. США будут включены в программу работы, подлежащую рассмотрению и обсуждению Советом ФГПБ. Проекты на сумму до 5 млн долл. США, одобренные секретариатом, могут быть утверждены Исполнительным директором на основании полномочий, делегированных Советом ФГПБ.</w:t>
      </w:r>
    </w:p>
    <w:p w14:paraId="7908468C"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Дополнительные отборочные туры будут проводиться в рамках первого программного транша до тех пор, пока не будут освоены все средства. Ожидается, что третий тур будет организован в течение 2024 года в сроки, обусловленные графиком поступления предстоящих взносов в Целевой фонд ГПБ.</w:t>
      </w:r>
    </w:p>
    <w:p w14:paraId="4D876564"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Второй программный транш будет выделен после внесения дополнительных 250 млн долл. США или через 18 месяцев после выделения первого транша, в зависимости от того, что наступит раньше. Люксембург заявил о взносе в ФГПБ в размере 7 млн евро на шестой сессии Ассамблеи по окружающей среде Организации Объединенных Наций, прошедшей в Найроби, Кения, с 26 февраля по 1 марта 2024 года.</w:t>
      </w:r>
      <w:r w:rsidRPr="00B91F3C">
        <w:rPr>
          <w:snapToGrid w:val="0"/>
          <w:sz w:val="24"/>
          <w:szCs w:val="24"/>
        </w:rPr>
        <w:br w:type="page"/>
      </w:r>
    </w:p>
    <w:p w14:paraId="5E4982F8" w14:textId="77777777" w:rsidR="00FF3A47" w:rsidRPr="00B91F3C" w:rsidRDefault="00FF3A47" w:rsidP="00FF3A47">
      <w:pPr>
        <w:keepNext/>
        <w:keepLines/>
        <w:numPr>
          <w:ilvl w:val="0"/>
          <w:numId w:val="13"/>
        </w:numPr>
        <w:adjustRightInd w:val="0"/>
        <w:snapToGrid w:val="0"/>
        <w:spacing w:before="240" w:after="240" w:line="240" w:lineRule="auto"/>
        <w:jc w:val="both"/>
        <w:outlineLvl w:val="0"/>
        <w:rPr>
          <w:rFonts w:eastAsiaTheme="majorEastAsia" w:cstheme="minorHAnsi"/>
          <w:b/>
          <w:smallCaps/>
          <w:snapToGrid w:val="0"/>
          <w:kern w:val="22"/>
          <w:sz w:val="24"/>
        </w:rPr>
      </w:pPr>
      <w:bookmarkStart w:id="173" w:name="_Hlk159933648"/>
      <w:bookmarkStart w:id="174" w:name="_Toc162534615"/>
      <w:bookmarkStart w:id="175" w:name="_Toc165899275"/>
      <w:r w:rsidRPr="00B91F3C">
        <w:rPr>
          <w:rFonts w:eastAsiaTheme="majorEastAsia" w:cstheme="minorHAnsi"/>
          <w:b/>
          <w:smallCaps/>
          <w:snapToGrid w:val="0"/>
          <w:kern w:val="22"/>
          <w:sz w:val="24"/>
        </w:rPr>
        <w:lastRenderedPageBreak/>
        <w:t>Реализация портфеля проектов</w:t>
      </w:r>
      <w:bookmarkEnd w:id="161"/>
      <w:bookmarkEnd w:id="162"/>
      <w:bookmarkEnd w:id="173"/>
      <w:bookmarkEnd w:id="174"/>
      <w:bookmarkEnd w:id="175"/>
    </w:p>
    <w:p w14:paraId="45325589" w14:textId="77777777" w:rsidR="00FF3A47" w:rsidRPr="00B91F3C" w:rsidRDefault="00FF3A47" w:rsidP="00FF3A47">
      <w:pPr>
        <w:keepNext/>
        <w:keepLines/>
        <w:spacing w:before="240" w:after="240" w:line="240" w:lineRule="auto"/>
        <w:outlineLvl w:val="1"/>
        <w:rPr>
          <w:rFonts w:eastAsiaTheme="majorEastAsia" w:cstheme="minorHAnsi"/>
          <w:b/>
          <w:bCs/>
          <w:snapToGrid w:val="0"/>
          <w:sz w:val="24"/>
          <w:szCs w:val="24"/>
        </w:rPr>
      </w:pPr>
      <w:bookmarkStart w:id="176" w:name="_Toc162534616"/>
      <w:bookmarkStart w:id="177" w:name="_Toc165899276"/>
      <w:bookmarkStart w:id="178" w:name="_Toc102227417"/>
      <w:r w:rsidRPr="00B91F3C">
        <w:rPr>
          <w:rFonts w:eastAsiaTheme="majorEastAsia" w:cstheme="minorHAnsi"/>
          <w:b/>
          <w:bCs/>
          <w:snapToGrid w:val="0"/>
          <w:sz w:val="24"/>
          <w:szCs w:val="24"/>
        </w:rPr>
        <w:t>Реализация портфеля проектов</w:t>
      </w:r>
      <w:bookmarkEnd w:id="176"/>
      <w:bookmarkEnd w:id="177"/>
      <w:r w:rsidRPr="00B91F3C">
        <w:rPr>
          <w:rFonts w:eastAsiaTheme="majorEastAsia" w:cstheme="minorHAnsi"/>
          <w:b/>
          <w:bCs/>
          <w:snapToGrid w:val="0"/>
          <w:sz w:val="24"/>
          <w:szCs w:val="24"/>
        </w:rPr>
        <w:t xml:space="preserve"> </w:t>
      </w:r>
    </w:p>
    <w:p w14:paraId="370842C2"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ГЭФ стремится постоянно рационализировать свой портфель инвестиций, реализуемых в странах через его учреждения, с целью достижения более значительных и долгосрочных результатов в области охраны окружающей среды. Недавно ГЭФ приступил к осуществлению программы оптимизации проектного цикла, направленной на облегчение доступа к финансированию и содействие достижению результатов. Обновленная информация о результатах финансируемой деятельности по сохранению биоразнообразия свидетельствует о высоком качестве и эффективности проектов и программ.</w:t>
      </w:r>
    </w:p>
    <w:p w14:paraId="52F5EC16" w14:textId="77777777" w:rsidR="00FF3A47" w:rsidRPr="00B91F3C" w:rsidRDefault="00FF3A47" w:rsidP="00FF3A47">
      <w:pPr>
        <w:spacing w:before="240" w:after="240" w:line="240" w:lineRule="auto"/>
        <w:jc w:val="both"/>
        <w:rPr>
          <w:rFonts w:cstheme="minorHAnsi"/>
          <w:b/>
          <w:bCs/>
          <w:kern w:val="2"/>
          <w:sz w:val="24"/>
          <w:szCs w:val="24"/>
          <w14:ligatures w14:val="standardContextual"/>
        </w:rPr>
      </w:pPr>
      <w:r w:rsidRPr="00B91F3C">
        <w:rPr>
          <w:b/>
          <w:bCs/>
          <w:sz w:val="24"/>
        </w:rPr>
        <w:t>Укрепление потенциала стран</w:t>
      </w:r>
    </w:p>
    <w:p w14:paraId="3F6ED924"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 xml:space="preserve">Стратегия взаимодействия со странами (СВС) ГЭФ-8 позволяет странам добиться более </w:t>
      </w:r>
      <w:proofErr w:type="gramStart"/>
      <w:r w:rsidRPr="00B91F3C">
        <w:rPr>
          <w:snapToGrid w:val="0"/>
          <w:sz w:val="24"/>
          <w:szCs w:val="24"/>
        </w:rPr>
        <w:t>значительных результатов</w:t>
      </w:r>
      <w:proofErr w:type="gramEnd"/>
      <w:r w:rsidRPr="00B91F3C">
        <w:rPr>
          <w:snapToGrid w:val="0"/>
          <w:sz w:val="24"/>
          <w:szCs w:val="24"/>
        </w:rPr>
        <w:t xml:space="preserve"> в осуществлении проектов и максимально эффективно использовать ресурсы ГЭФ. Это достигается в том числе благодаря мероприятиям по укреплению потенциала, вовлечению стран на начальном этапе и информационным мероприятиям, ориентированным на конкретную страну. </w:t>
      </w:r>
    </w:p>
    <w:p w14:paraId="1A8D090E"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 xml:space="preserve">С начала периода пополнения ГЭФ-8 было организовано 13 семинаров, посвященных началу цикла ГЭФ-8, и 41 технический и национальный диалог на высоком уровне, которые позволили странам определить программные приоритеты для ГЭФ-8 (GEF/C.66/Inf.04). В составе каждой делегации, принявшей участие в семинарах с расширенным составом, были представлены политические координаторы и оперативные координационные центры ГЭФ, национальные координационные центры многосторонних природоохранных соглашений, обслуживаемых ГЭФ, включая КБР, а также представители ОГО и частного сектора. </w:t>
      </w:r>
    </w:p>
    <w:p w14:paraId="2FA122CC" w14:textId="77777777" w:rsidR="00FF3A47" w:rsidRPr="00B91F3C" w:rsidRDefault="00FF3A47" w:rsidP="00FF3A47">
      <w:pPr>
        <w:keepNext/>
        <w:keepLines/>
        <w:spacing w:before="240" w:after="240" w:line="240" w:lineRule="auto"/>
        <w:outlineLvl w:val="1"/>
        <w:rPr>
          <w:rFonts w:eastAsiaTheme="majorEastAsia" w:cstheme="minorHAnsi"/>
          <w:b/>
          <w:bCs/>
          <w:snapToGrid w:val="0"/>
          <w:sz w:val="24"/>
          <w:szCs w:val="24"/>
        </w:rPr>
      </w:pPr>
      <w:bookmarkStart w:id="179" w:name="_Toc162534617"/>
      <w:bookmarkStart w:id="180" w:name="_Toc165899277"/>
      <w:r w:rsidRPr="00B91F3C">
        <w:rPr>
          <w:rFonts w:eastAsiaTheme="majorEastAsia" w:cstheme="minorHAnsi"/>
          <w:b/>
          <w:bCs/>
          <w:snapToGrid w:val="0"/>
          <w:sz w:val="24"/>
          <w:szCs w:val="24"/>
        </w:rPr>
        <w:t>Меры по оптимизации</w:t>
      </w:r>
      <w:bookmarkEnd w:id="179"/>
      <w:bookmarkEnd w:id="180"/>
    </w:p>
    <w:p w14:paraId="53C0B53D"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В соответствии с рекомендациями по вопросам политики в период ГЭФ-8 Фонд изучает возможности оптимизации своего проектного цикла с целью снижения операционных издержек и обеспечения ускоренного доступа стран к ресурсам ГЭФ. Эта работа ведется на фоне согласования процедур и методов работы с Зеленым климатическим фондом и внедрения упрощенного проектного и программного цикла для ФГПБ.</w:t>
      </w:r>
    </w:p>
    <w:p w14:paraId="22F5C9CA"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 xml:space="preserve">Первые меры предполагают увеличение лимита для среднемасштабных проектов (СМП) с 2 млн долл. США до 5 млн долл. США и введение обязательного среднесрочного обзора всех СМП свыше 2 млн долл. Это направлено на укрепление подотчетности о достигнутых результатах и извлеченных уроках, а также на содействие принятию корректирующих мер. </w:t>
      </w:r>
    </w:p>
    <w:p w14:paraId="4A4B220C" w14:textId="77777777" w:rsidR="00FF3A47" w:rsidRPr="00B91F3C" w:rsidRDefault="00FF3A47" w:rsidP="00FF3A47">
      <w:pPr>
        <w:numPr>
          <w:ilvl w:val="0"/>
          <w:numId w:val="12"/>
        </w:numPr>
        <w:tabs>
          <w:tab w:val="left" w:pos="0"/>
        </w:tabs>
        <w:spacing w:before="240" w:after="240" w:line="240" w:lineRule="auto"/>
        <w:ind w:left="0" w:firstLine="0"/>
        <w:rPr>
          <w:snapToGrid w:val="0"/>
          <w:kern w:val="2"/>
          <w:sz w:val="24"/>
          <w:szCs w:val="24"/>
          <w14:ligatures w14:val="standardContextual"/>
        </w:rPr>
      </w:pPr>
      <w:r w:rsidRPr="00B91F3C">
        <w:rPr>
          <w:sz w:val="24"/>
          <w:szCs w:val="24"/>
        </w:rPr>
        <w:lastRenderedPageBreak/>
        <w:t>Дальнейшая аналитическая работа и меры будут заранее определены, в том числе благодаря созданию</w:t>
      </w:r>
      <w:r w:rsidRPr="00B91F3C">
        <w:rPr>
          <w:snapToGrid w:val="0"/>
          <w:sz w:val="24"/>
          <w:szCs w:val="24"/>
        </w:rPr>
        <w:t xml:space="preserve"> специальной рабочей группы в составе членов Совета и их заместителей.</w:t>
      </w:r>
    </w:p>
    <w:p w14:paraId="3F661421" w14:textId="77777777" w:rsidR="00FF3A47" w:rsidRPr="00B91F3C" w:rsidRDefault="00FF3A47" w:rsidP="00FF3A47">
      <w:pPr>
        <w:keepNext/>
        <w:keepLines/>
        <w:spacing w:before="240" w:after="240" w:line="240" w:lineRule="auto"/>
        <w:outlineLvl w:val="1"/>
        <w:rPr>
          <w:rFonts w:eastAsiaTheme="majorEastAsia" w:cstheme="minorHAnsi"/>
          <w:b/>
          <w:bCs/>
          <w:snapToGrid w:val="0"/>
          <w:sz w:val="24"/>
          <w:szCs w:val="24"/>
        </w:rPr>
      </w:pPr>
      <w:bookmarkStart w:id="181" w:name="_Toc162534618"/>
      <w:bookmarkStart w:id="182" w:name="_Toc165899278"/>
      <w:r w:rsidRPr="00B91F3C">
        <w:rPr>
          <w:rFonts w:eastAsiaTheme="majorEastAsia" w:cstheme="minorHAnsi"/>
          <w:b/>
          <w:bCs/>
          <w:snapToGrid w:val="0"/>
          <w:sz w:val="24"/>
          <w:szCs w:val="24"/>
        </w:rPr>
        <w:t>Повышение транспарентности и подотчетности</w:t>
      </w:r>
      <w:bookmarkEnd w:id="181"/>
      <w:bookmarkEnd w:id="182"/>
    </w:p>
    <w:p w14:paraId="4A1F13CC"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z w:val="24"/>
          <w:szCs w:val="24"/>
        </w:rPr>
        <w:t>ГЭФ стремится обеспечить транспарентность и подотчетность в использовании своих ресурсов, необходимых для мониторинга и облегчения доступа к финансированию</w:t>
      </w:r>
      <w:r w:rsidRPr="00B91F3C">
        <w:rPr>
          <w:snapToGrid w:val="0"/>
          <w:sz w:val="24"/>
          <w:szCs w:val="24"/>
        </w:rPr>
        <w:t xml:space="preserve">. Для этого он предоставляет странам страновые информационные бюллетени, которые позволяют им отслеживать расходование и эффективность использования ресурсов, а также публикует на своем общедоступном веб-сайте информационные бюллетени учреждений, чтобы облегчить странам выбор учреждения. </w:t>
      </w:r>
    </w:p>
    <w:p w14:paraId="254762D6"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Общеорганизационный оценочный лист ГЭФ, частично лежащий в основе доклада ГЭФ для КС, служит механизмом отчетности, обеспечивающим надлежащее и эффективное использование ресурсов в различных регионах и страновых группах в текущем цикле ГЭФ. Кроме того, в ежегодном докладе о мониторинге оцениваются результаты, эффективность и качество текущего портфеля проектов в соответствии с матрицей оценки результатов (МОР) ГЭФ-8. В докладах о мониторинге за 2022 и 2023 годы был использован инновационный подход: отчетность в соответствии с МОР ГЭФ-8 разбита на два уровня показателей: на уровне 1 оценивались достигнутые экологические результаты, а на уровне 2 – прогресс с точки зрения эффективности и результативности.</w:t>
      </w:r>
    </w:p>
    <w:p w14:paraId="3EA76A88"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z w:val="24"/>
          <w:szCs w:val="24"/>
        </w:rPr>
        <w:t>ГЭФ продолжает представлять доклады о ходе осуществления проектов на основе принципа транспарентности, регулярно публикуя их в соответствии со стандартом</w:t>
      </w:r>
      <w:r w:rsidRPr="00B91F3C">
        <w:rPr>
          <w:snapToGrid w:val="0"/>
          <w:sz w:val="24"/>
          <w:szCs w:val="24"/>
        </w:rPr>
        <w:t xml:space="preserve"> </w:t>
      </w:r>
      <w:hyperlink r:id="rId43" w:history="1">
        <w:r w:rsidRPr="00B91F3C">
          <w:rPr>
            <w:snapToGrid w:val="0"/>
            <w:color w:val="0563C1" w:themeColor="hyperlink"/>
            <w:sz w:val="24"/>
            <w:szCs w:val="24"/>
            <w:u w:val="single"/>
          </w:rPr>
          <w:t>Международной инициативы по обеспечению транспарентности помощи</w:t>
        </w:r>
      </w:hyperlink>
      <w:r w:rsidRPr="00B91F3C">
        <w:rPr>
          <w:snapToGrid w:val="0"/>
          <w:sz w:val="24"/>
          <w:szCs w:val="24"/>
        </w:rPr>
        <w:t>. Эта работа ведется при соблюдении политики ГЭФ по доступу к информации (GEF/C.55/06).</w:t>
      </w:r>
    </w:p>
    <w:p w14:paraId="37AEC57D" w14:textId="77777777" w:rsidR="00FF3A47" w:rsidRPr="00B91F3C" w:rsidRDefault="00FF3A47" w:rsidP="00FF3A47">
      <w:pPr>
        <w:keepNext/>
        <w:keepLines/>
        <w:spacing w:before="240" w:after="240" w:line="240" w:lineRule="auto"/>
        <w:outlineLvl w:val="1"/>
        <w:rPr>
          <w:rFonts w:eastAsiaTheme="majorEastAsia" w:cstheme="minorHAnsi"/>
          <w:b/>
          <w:bCs/>
          <w:snapToGrid w:val="0"/>
          <w:sz w:val="24"/>
          <w:szCs w:val="24"/>
        </w:rPr>
      </w:pPr>
      <w:bookmarkStart w:id="183" w:name="_Toc102227414"/>
      <w:bookmarkStart w:id="184" w:name="_Toc162534619"/>
      <w:bookmarkStart w:id="185" w:name="_Toc165899279"/>
      <w:r w:rsidRPr="00B91F3C">
        <w:rPr>
          <w:rFonts w:eastAsiaTheme="majorEastAsia" w:cstheme="minorHAnsi"/>
          <w:b/>
          <w:bCs/>
          <w:snapToGrid w:val="0"/>
          <w:sz w:val="24"/>
          <w:szCs w:val="24"/>
        </w:rPr>
        <w:t>Достижение целей проектов в области развития и прогресс в их осуществлении</w:t>
      </w:r>
      <w:bookmarkEnd w:id="183"/>
      <w:bookmarkEnd w:id="184"/>
      <w:bookmarkEnd w:id="185"/>
    </w:p>
    <w:p w14:paraId="46DB1D55"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 xml:space="preserve">По состоянию на конец 2023 года портфель финансируемых проектов по сохранению биоразнообразия, находящихся в процессе осуществления, оценивался в 2,61 млрд долл. США, включая почти 500 проектов. Из них 255 проектов получают финансирование исключительно по линии целевой области «Биоразнообразие» на общую сумму в 709 млн долл. США. В данном разделе представлена обновленная информация о результатах, достигнутых в рамках данного портфеля проектов, которая содержится в докладе ГЭФ о мониторинге за 2023 год (GEF/C.66/03). </w:t>
      </w:r>
    </w:p>
    <w:p w14:paraId="5F01264F"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z w:val="24"/>
          <w:szCs w:val="24"/>
        </w:rPr>
        <w:t xml:space="preserve">В 2023 финансовом году была представлена исчерпывающая обновленная информация о ходе осуществления всего портфеля проектов ГЭФ, включающего 891 проект </w:t>
      </w:r>
      <w:r w:rsidRPr="00B91F3C">
        <w:rPr>
          <w:snapToGrid w:val="0"/>
          <w:sz w:val="24"/>
          <w:szCs w:val="24"/>
        </w:rPr>
        <w:t>с чистым объемом обязательств в размере 5,1 млрд долл. США. Итоги самооценки, ежегодно предоставляемые учреждениями, позволяют оценить прогресс в осуществлении проектов и вероятность достижения их целей</w:t>
      </w:r>
      <w:r w:rsidRPr="00B91F3C">
        <w:rPr>
          <w:snapToGrid w:val="0"/>
          <w:sz w:val="24"/>
          <w:szCs w:val="24"/>
          <w:vertAlign w:val="superscript"/>
        </w:rPr>
        <w:footnoteReference w:id="59"/>
      </w:r>
      <w:r w:rsidRPr="00B91F3C">
        <w:rPr>
          <w:snapToGrid w:val="0"/>
          <w:sz w:val="24"/>
          <w:szCs w:val="24"/>
        </w:rPr>
        <w:t xml:space="preserve">. На диаграмме 1 показано, </w:t>
      </w:r>
      <w:r w:rsidRPr="00B91F3C">
        <w:rPr>
          <w:snapToGrid w:val="0"/>
          <w:sz w:val="24"/>
          <w:szCs w:val="24"/>
        </w:rPr>
        <w:lastRenderedPageBreak/>
        <w:t>что в 2021 финансовом году 82% проектов получили удовлетворительную оценку за достигнутый прогресс в осуществлении, что равноценно результату предыдущего года в 84%. Кроме того, 87% проектов получили удовлетворительную оценку вероятности достижения их цели в области развития.</w:t>
      </w:r>
    </w:p>
    <w:p w14:paraId="4A279C22" w14:textId="77777777" w:rsidR="00FF3A47" w:rsidRPr="00B91F3C" w:rsidRDefault="00FF3A47" w:rsidP="00AF44BA">
      <w:pPr>
        <w:pStyle w:val="Lgende"/>
      </w:pPr>
      <w:bookmarkStart w:id="186" w:name="_Toc102225701"/>
      <w:bookmarkStart w:id="187" w:name="_Toc102226018"/>
      <w:bookmarkStart w:id="188" w:name="_Toc103967094"/>
      <w:bookmarkStart w:id="189" w:name="_Toc161334840"/>
      <w:r w:rsidRPr="00B91F3C">
        <w:t>Диаграмма 1. Оценка результатов и прогресса в осуществлении текущих проектов ГЭФ по всем целевым областям по состоянию на 30 июня 2023 года</w:t>
      </w:r>
      <w:bookmarkEnd w:id="186"/>
      <w:bookmarkEnd w:id="187"/>
      <w:bookmarkEnd w:id="188"/>
      <w:bookmarkEnd w:id="189"/>
    </w:p>
    <w:p w14:paraId="6C9DB2B8" w14:textId="77777777" w:rsidR="00FF3A47" w:rsidRPr="00B91F3C" w:rsidRDefault="00FF3A47" w:rsidP="00FF3A47">
      <w:pPr>
        <w:spacing w:after="160"/>
        <w:rPr>
          <w:b/>
          <w:kern w:val="2"/>
          <w14:ligatures w14:val="standardContextual"/>
        </w:rPr>
      </w:pPr>
      <w:r w:rsidRPr="00B91F3C">
        <w:drawing>
          <wp:inline distT="0" distB="0" distL="0" distR="0" wp14:anchorId="74295EA7" wp14:editId="72211830">
            <wp:extent cx="5943600" cy="1878965"/>
            <wp:effectExtent l="0" t="0" r="0" b="6985"/>
            <wp:docPr id="35" name="Chart 35">
              <a:extLst xmlns:a="http://schemas.openxmlformats.org/drawingml/2006/main">
                <a:ext uri="{FF2B5EF4-FFF2-40B4-BE49-F238E27FC236}">
                  <a16:creationId xmlns:a16="http://schemas.microsoft.com/office/drawing/2014/main" id="{886E6960-9B36-4881-BBDB-4D49C3F0BE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78DE2C09"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bookmarkStart w:id="190" w:name="_Toc25257623"/>
      <w:bookmarkEnd w:id="190"/>
      <w:r w:rsidRPr="00B91F3C">
        <w:rPr>
          <w:sz w:val="24"/>
          <w:szCs w:val="24"/>
        </w:rPr>
        <w:t>В этом контексте 85% портфеля текущих проектов, связанных с сохранением биоразнообразия</w:t>
      </w:r>
      <w:r w:rsidRPr="00B91F3C">
        <w:rPr>
          <w:snapToGrid w:val="0"/>
          <w:sz w:val="24"/>
          <w:szCs w:val="24"/>
        </w:rPr>
        <w:t xml:space="preserve">, получили удовлетворительную </w:t>
      </w:r>
      <w:r w:rsidRPr="00B91F3C">
        <w:rPr>
          <w:sz w:val="24"/>
          <w:szCs w:val="24"/>
        </w:rPr>
        <w:t>оценку</w:t>
      </w:r>
      <w:r w:rsidRPr="00B91F3C">
        <w:rPr>
          <w:snapToGrid w:val="0"/>
          <w:sz w:val="24"/>
          <w:szCs w:val="24"/>
        </w:rPr>
        <w:t xml:space="preserve"> прогресса в осуществлении, а 89% – удовлетворительную оценку вероятности достижения их цели в области развития. Эти показатели превышают средние значения по портфелям ГЭФ. Кроме того, 85% проектов многоцелевой направленности, которые часто включают финансирование по линии биоразнообразия, получили удовлетворительную оценку прогресса в осуществлении, а 88% – удовлетворительную оценку вероятности достижения их цели в области развития. </w:t>
      </w:r>
    </w:p>
    <w:p w14:paraId="7E4C4462" w14:textId="77777777" w:rsidR="00FF3A47" w:rsidRPr="00B91F3C" w:rsidRDefault="00FF3A47" w:rsidP="00AF44BA">
      <w:pPr>
        <w:pStyle w:val="Lgende"/>
      </w:pPr>
      <w:bookmarkStart w:id="191" w:name="_Toc25257626"/>
      <w:bookmarkStart w:id="192" w:name="_Toc102225702"/>
      <w:bookmarkStart w:id="193" w:name="_Toc102226019"/>
      <w:bookmarkStart w:id="194" w:name="_Toc103967095"/>
      <w:bookmarkStart w:id="195" w:name="_Toc161334841"/>
      <w:r w:rsidRPr="00B91F3C">
        <mc:AlternateContent>
          <mc:Choice Requires="wps">
            <w:drawing>
              <wp:anchor distT="0" distB="0" distL="114300" distR="114300" simplePos="0" relativeHeight="251661824" behindDoc="0" locked="0" layoutInCell="1" allowOverlap="1" wp14:anchorId="7AA9DC73" wp14:editId="617B2116">
                <wp:simplePos x="0" y="0"/>
                <wp:positionH relativeFrom="margin">
                  <wp:align>center</wp:align>
                </wp:positionH>
                <wp:positionV relativeFrom="paragraph">
                  <wp:posOffset>434315</wp:posOffset>
                </wp:positionV>
                <wp:extent cx="4645152" cy="285750"/>
                <wp:effectExtent l="0" t="0" r="0" b="0"/>
                <wp:wrapNone/>
                <wp:docPr id="18" name="Rectangle 18">
                  <a:extLst xmlns:a="http://schemas.openxmlformats.org/drawingml/2006/main">
                    <a:ext uri="{147F2762-F138-4A5C-976F-8EAC2B608ADB}">
                      <a16:predDERef xmlns:a16="http://schemas.microsoft.com/office/drawing/2014/main" pred="{CC0CA6B4-528E-42F2-86A4-6B68F3512AAC}"/>
                    </a:ext>
                  </a:extLst>
                </wp:docPr>
                <wp:cNvGraphicFramePr/>
                <a:graphic xmlns:a="http://schemas.openxmlformats.org/drawingml/2006/main">
                  <a:graphicData uri="http://schemas.microsoft.com/office/word/2010/wordprocessingShape">
                    <wps:wsp>
                      <wps:cNvSpPr/>
                      <wps:spPr>
                        <a:xfrm>
                          <a:off x="0" y="0"/>
                          <a:ext cx="4645152" cy="285750"/>
                        </a:xfrm>
                        <a:prstGeom prst="rect">
                          <a:avLst/>
                        </a:prstGeom>
                        <a:noFill/>
                        <a:ln w="12700" cap="flat" cmpd="sng" algn="ctr">
                          <a:noFill/>
                          <a:prstDash val="solid"/>
                          <a:miter lim="800000"/>
                        </a:ln>
                        <a:effectLst/>
                      </wps:spPr>
                      <wps:txbx>
                        <w:txbxContent>
                          <w:p w14:paraId="4555AA99" w14:textId="77777777" w:rsidR="00FF3A47" w:rsidRPr="00B91F3C" w:rsidRDefault="00FF3A47" w:rsidP="00FF3A47">
                            <w:pPr>
                              <w:spacing w:line="240" w:lineRule="auto"/>
                              <w:rPr>
                                <w:rFonts w:hAnsi="Calibri"/>
                                <w:i/>
                                <w:iCs/>
                                <w:color w:val="595959" w:themeColor="text1" w:themeTint="A6"/>
                                <w:sz w:val="20"/>
                                <w:szCs w:val="20"/>
                              </w:rPr>
                            </w:pPr>
                            <w:r w:rsidRPr="00B91F3C">
                              <w:rPr>
                                <w:rFonts w:hAnsi="Calibri"/>
                                <w:i/>
                                <w:color w:val="595959" w:themeColor="text1" w:themeTint="A6"/>
                                <w:sz w:val="20"/>
                              </w:rPr>
                              <w:t>Проекты, получившие умеренно удовлетворительную оценку и выше (в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7AA9DC73" id="Rectangle 18" o:spid="_x0000_s1026" style="position:absolute;left:0;text-align:left;margin-left:0;margin-top:34.2pt;width:365.75pt;height:22.5pt;z-index:2516618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gfugEAAFUDAAAOAAAAZHJzL2Uyb0RvYy54bWysU8tu2zAQvBfoPxC8x5KFODEEy0EBI70U&#10;bYC0H7CmSIkAX+HSlvz3XdKuHaS3oj7QS3I5Ozs72jzN1rCjjKi96/hyUXMmnfC9dkPHf/18vltz&#10;hglcD8Y72fGTRP60/fxpM4VWNn70ppeREYjDdgodH1MKbVWhGKUFXPggHV0qHy0k2sah6iNMhG5N&#10;1dT1QzX52IfohUSk0935km8LvlJSpB9KoUzMdJy4pbLGsu7zWm030A4RwqjFhQb8AwsL2lHRK9QO&#10;ErBD1H9BWS2iR6/SQnhbeaW0kKUH6mZZf+jmdYQgSy8kDoarTPj/YMX342t4iSTDFLBFCnMXs4o2&#10;/xM/NhexTlex5JyYoMP7h/vVctVwJuiuWa8eV0XN6vY6RExfpbcsBx2PNIyiERy/YaKKlPonJRdz&#10;/lkbUwZiHJvITc1jTTMTQL5QBhKFNvQdRzdwBmYgw4kUC+S7txlyBziyI9DM0Rvdn6dsdSKrGW07&#10;vq7zLx8TB+NydVnMciF20yJHad7PF4H2vj+9RDaRYQj77QAxzydz/3JIXunSVn5zTiT8vKHZlUoX&#10;n2VzvN+XrNvXsP0NAAD//wMAUEsDBBQABgAIAAAAIQAMMP0n3QAAAAcBAAAPAAAAZHJzL2Rvd25y&#10;ZXYueG1sTI/NTsMwEITvSLyDtUjcqBMaQhviVBWIEz8SLep5Gy9JRLyOYrdN357lBMfRjGa+KVeT&#10;69WRxtB5NpDOElDEtbcdNwY+t883C1AhIlvsPZOBMwVYVZcXJRbWn/iDjpvYKCnhUKCBNsah0DrU&#10;LTkMMz8Qi/flR4dR5NhoO+JJyl2vb5Mk1w47loUWB3psqf7eHJyB5du4e1135zrPg89e7PtTTHBr&#10;zPXVtH4AFWmKf2H4xRd0qIRp7w9sg+oNyJFoIF9koMS9n6d3oPYSS+cZ6KrU//mrHwAAAP//AwBQ&#10;SwECLQAUAAYACAAAACEAtoM4kv4AAADhAQAAEwAAAAAAAAAAAAAAAAAAAAAAW0NvbnRlbnRfVHlw&#10;ZXNdLnhtbFBLAQItABQABgAIAAAAIQA4/SH/1gAAAJQBAAALAAAAAAAAAAAAAAAAAC8BAABfcmVs&#10;cy8ucmVsc1BLAQItABQABgAIAAAAIQBR+HgfugEAAFUDAAAOAAAAAAAAAAAAAAAAAC4CAABkcnMv&#10;ZTJvRG9jLnhtbFBLAQItABQABgAIAAAAIQAMMP0n3QAAAAcBAAAPAAAAAAAAAAAAAAAAABQEAABk&#10;cnMvZG93bnJldi54bWxQSwUGAAAAAAQABADzAAAAHgUAAAAA&#10;" filled="f" stroked="f" strokeweight="1pt">
                <v:textbox>
                  <w:txbxContent>
                    <w:p w14:paraId="4555AA99" w14:textId="77777777" w:rsidR="00FF3A47" w:rsidRPr="00B91F3C" w:rsidRDefault="00FF3A47" w:rsidP="00FF3A47">
                      <w:pPr>
                        <w:spacing w:line="240" w:lineRule="auto"/>
                        <w:rPr>
                          <w:rFonts w:hAnsi="Calibri"/>
                          <w:i/>
                          <w:iCs/>
                          <w:color w:val="595959" w:themeColor="text1" w:themeTint="A6"/>
                          <w:sz w:val="20"/>
                          <w:szCs w:val="20"/>
                        </w:rPr>
                      </w:pPr>
                      <w:r w:rsidRPr="00B91F3C">
                        <w:rPr>
                          <w:rFonts w:hAnsi="Calibri"/>
                          <w:i/>
                          <w:color w:val="595959" w:themeColor="text1" w:themeTint="A6"/>
                          <w:sz w:val="20"/>
                        </w:rPr>
                        <w:t>Проекты, получившие умеренно удовлетворительную оценку и выше (в %)</w:t>
                      </w:r>
                    </w:p>
                  </w:txbxContent>
                </v:textbox>
                <w10:wrap anchorx="margin"/>
              </v:rect>
            </w:pict>
          </mc:Fallback>
        </mc:AlternateContent>
      </w:r>
      <w:r w:rsidRPr="00B91F3C">
        <w:t>Диаграмма 2. Проекты, получившие удовлетворительную оценку, в разбивке по целевым областям</w:t>
      </w:r>
      <w:bookmarkEnd w:id="191"/>
      <w:r w:rsidRPr="00B91F3C">
        <w:t xml:space="preserve"> по состоянию на 30 июня </w:t>
      </w:r>
      <w:bookmarkEnd w:id="192"/>
      <w:bookmarkEnd w:id="193"/>
      <w:bookmarkEnd w:id="194"/>
      <w:r w:rsidRPr="00B91F3C">
        <w:t>2023 г</w:t>
      </w:r>
      <w:bookmarkEnd w:id="195"/>
      <w:r w:rsidRPr="00B91F3C">
        <w:t>ода</w:t>
      </w:r>
    </w:p>
    <w:p w14:paraId="4EE87231" w14:textId="77777777" w:rsidR="00FF3A47" w:rsidRPr="00B91F3C" w:rsidRDefault="00FF3A47" w:rsidP="00FF3A47">
      <w:pPr>
        <w:spacing w:after="160"/>
        <w:rPr>
          <w:b/>
          <w:bCs/>
          <w:kern w:val="2"/>
          <w14:ligatures w14:val="standardContextual"/>
        </w:rPr>
      </w:pPr>
      <w:bookmarkStart w:id="196" w:name="_Toc23525337"/>
      <w:bookmarkStart w:id="197" w:name="_Toc18940489"/>
      <w:bookmarkStart w:id="198" w:name="_Toc24011742"/>
      <w:bookmarkStart w:id="199" w:name="_Toc25257585"/>
      <w:r w:rsidRPr="00B91F3C">
        <w:drawing>
          <wp:anchor distT="0" distB="0" distL="114300" distR="114300" simplePos="0" relativeHeight="251663872" behindDoc="0" locked="0" layoutInCell="1" allowOverlap="1" wp14:anchorId="4BB125D4" wp14:editId="660511E0">
            <wp:simplePos x="0" y="0"/>
            <wp:positionH relativeFrom="column">
              <wp:posOffset>412750</wp:posOffset>
            </wp:positionH>
            <wp:positionV relativeFrom="paragraph">
              <wp:posOffset>227330</wp:posOffset>
            </wp:positionV>
            <wp:extent cx="2597785" cy="1799590"/>
            <wp:effectExtent l="0" t="0" r="0" b="10160"/>
            <wp:wrapTopAndBottom/>
            <wp:docPr id="40" name="Chart 40">
              <a:extLst xmlns:a="http://schemas.openxmlformats.org/drawingml/2006/main">
                <a:ext uri="{FF2B5EF4-FFF2-40B4-BE49-F238E27FC236}">
                  <a16:creationId xmlns:a16="http://schemas.microsoft.com/office/drawing/2014/main" id="{2EBB32E4-55A4-49CF-884B-AAF5877CC8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anchor>
        </w:drawing>
      </w:r>
      <w:r w:rsidRPr="00B91F3C">
        <w:drawing>
          <wp:anchor distT="0" distB="0" distL="114300" distR="114300" simplePos="0" relativeHeight="251662848" behindDoc="0" locked="0" layoutInCell="1" allowOverlap="1" wp14:anchorId="6B8BB2BC" wp14:editId="6954D9DE">
            <wp:simplePos x="0" y="0"/>
            <wp:positionH relativeFrom="column">
              <wp:posOffset>2781300</wp:posOffset>
            </wp:positionH>
            <wp:positionV relativeFrom="paragraph">
              <wp:posOffset>217170</wp:posOffset>
            </wp:positionV>
            <wp:extent cx="2108835" cy="1810385"/>
            <wp:effectExtent l="0" t="0" r="0" b="0"/>
            <wp:wrapTopAndBottom/>
            <wp:docPr id="42" name="Chart 42">
              <a:extLst xmlns:a="http://schemas.openxmlformats.org/drawingml/2006/main">
                <a:ext uri="{FF2B5EF4-FFF2-40B4-BE49-F238E27FC236}">
                  <a16:creationId xmlns:a16="http://schemas.microsoft.com/office/drawing/2014/main" id="{96005F9A-99EF-4B24-BC3E-20A4991A5B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anchor>
        </w:drawing>
      </w:r>
      <w:bookmarkStart w:id="200" w:name="_Toc102227415"/>
    </w:p>
    <w:p w14:paraId="46718EC1" w14:textId="77777777" w:rsidR="00FF3A47" w:rsidRPr="00B91F3C" w:rsidRDefault="00FF3A47" w:rsidP="00FF3A47">
      <w:pPr>
        <w:spacing w:after="160"/>
        <w:rPr>
          <w:b/>
          <w:bCs/>
          <w:kern w:val="2"/>
          <w14:ligatures w14:val="standardContextual"/>
        </w:rPr>
      </w:pPr>
    </w:p>
    <w:p w14:paraId="0D7E4A7F" w14:textId="77777777" w:rsidR="00FF3A47" w:rsidRPr="00B91F3C" w:rsidRDefault="00FF3A47" w:rsidP="00FF3A47">
      <w:pPr>
        <w:keepNext/>
        <w:keepLines/>
        <w:spacing w:before="240" w:after="240" w:line="240" w:lineRule="auto"/>
        <w:outlineLvl w:val="1"/>
        <w:rPr>
          <w:rFonts w:eastAsiaTheme="majorEastAsia" w:cstheme="minorHAnsi"/>
          <w:b/>
          <w:bCs/>
          <w:snapToGrid w:val="0"/>
          <w:sz w:val="24"/>
          <w:szCs w:val="24"/>
        </w:rPr>
      </w:pPr>
      <w:bookmarkStart w:id="201" w:name="_Toc162534620"/>
      <w:bookmarkStart w:id="202" w:name="_Toc165899280"/>
      <w:r w:rsidRPr="00B91F3C">
        <w:rPr>
          <w:rFonts w:eastAsiaTheme="majorEastAsia" w:cstheme="minorHAnsi"/>
          <w:b/>
          <w:bCs/>
          <w:snapToGrid w:val="0"/>
          <w:sz w:val="24"/>
          <w:szCs w:val="24"/>
        </w:rPr>
        <w:lastRenderedPageBreak/>
        <w:t>Увеличение доли софинансирования в портфеле проектов</w:t>
      </w:r>
      <w:bookmarkEnd w:id="196"/>
      <w:bookmarkEnd w:id="197"/>
      <w:bookmarkEnd w:id="198"/>
      <w:bookmarkEnd w:id="199"/>
      <w:r w:rsidRPr="00B91F3C">
        <w:rPr>
          <w:rFonts w:eastAsiaTheme="majorEastAsia" w:cstheme="minorHAnsi"/>
          <w:b/>
          <w:bCs/>
          <w:snapToGrid w:val="0"/>
          <w:sz w:val="24"/>
          <w:szCs w:val="24"/>
        </w:rPr>
        <w:t xml:space="preserve"> по состоянию на июнь </w:t>
      </w:r>
      <w:bookmarkEnd w:id="200"/>
      <w:r w:rsidRPr="00B91F3C">
        <w:rPr>
          <w:rFonts w:eastAsiaTheme="majorEastAsia" w:cstheme="minorHAnsi"/>
          <w:b/>
          <w:bCs/>
          <w:snapToGrid w:val="0"/>
          <w:sz w:val="24"/>
          <w:szCs w:val="24"/>
        </w:rPr>
        <w:t>2023 года</w:t>
      </w:r>
      <w:bookmarkEnd w:id="201"/>
      <w:bookmarkEnd w:id="202"/>
    </w:p>
    <w:p w14:paraId="40FCAF72"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Софинансирование представляет фактор повышения эффективности, воздействия и устойчивости проектов и программ ГЭФ. В частности, оно способствует обеспечению более масштабных и долгосрочных глобальных экологических выгод и укрепляет партнерские отношения. По состоянию на конец 2023 года коэффициент софинансирования текущих проектов ГЭФ составляет в среднем 7,6 к 1, то есть на каждый инвестированный ГЭФ доллар приходится 7,6 доллара софинансирования.</w:t>
      </w:r>
    </w:p>
    <w:p w14:paraId="38E382EE"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bookmarkStart w:id="203" w:name="_Toc25257629"/>
      <w:r w:rsidRPr="00B91F3C">
        <w:rPr>
          <w:snapToGrid w:val="0"/>
          <w:sz w:val="24"/>
          <w:szCs w:val="24"/>
        </w:rPr>
        <w:t>На диаграмме 3 показано, что коэффициент софинансирования проектов, финансируемых только по линии целевой области «Биоразнообразие», составляет 5,1 к 1, в то время как коэффициент софинансирования проектов, частично финансируемых по линии биоразнообразия, составляет 7,2 к 1. Таким образом проекты многоцелевой направленности и проекты, входящие в состав программ широкого воздействия, успешно привлекают больше ресурсов для осуществления КБР.</w:t>
      </w:r>
    </w:p>
    <w:p w14:paraId="0B22A820"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ГЭФ продолжает привлекать финансирование из всех источников для достижения целей проектов и программ. Целевой показатель софинансирования ГЭФ-8 , заключающийся в мобилизации семи долларов на каждый потраченный «доллар ГЭФ», превзойден за полтора года этого программного цикла, достигнув соотношения 7,9 к 1. Коэффициент мобилизации инвестиций также увеличился и теперь составляет 6,3 доллара на каждый инвестированный ГЭФ доллар, что превышает показатель 5 к 1, установленный для стран с уровнем дохода выше среднего и стран с высоким уровнем дохода, не относящихся к МОСРГ или НРС.</w:t>
      </w:r>
    </w:p>
    <w:p w14:paraId="4B9887ED" w14:textId="77777777" w:rsidR="00FF3A47" w:rsidRPr="00B91F3C" w:rsidRDefault="00FF3A47" w:rsidP="00FF3A47">
      <w:pPr>
        <w:spacing w:after="160"/>
        <w:rPr>
          <w:snapToGrid w:val="0"/>
          <w:sz w:val="24"/>
          <w:szCs w:val="24"/>
        </w:rPr>
      </w:pPr>
      <w:r w:rsidRPr="00B91F3C">
        <w:br w:type="page"/>
      </w:r>
    </w:p>
    <w:p w14:paraId="35A360B2" w14:textId="77777777" w:rsidR="00FF3A47" w:rsidRPr="00B91F3C" w:rsidRDefault="00FF3A47" w:rsidP="00AF44BA">
      <w:pPr>
        <w:pStyle w:val="Lgende"/>
        <w:rPr>
          <w:vertAlign w:val="superscript"/>
        </w:rPr>
      </w:pPr>
      <w:bookmarkStart w:id="204" w:name="_Toc102225704"/>
      <w:bookmarkStart w:id="205" w:name="_Toc102226021"/>
      <w:bookmarkStart w:id="206" w:name="_Toc103967097"/>
      <w:bookmarkStart w:id="207" w:name="_Toc161334842"/>
      <w:r w:rsidRPr="00B91F3C">
        <w:lastRenderedPageBreak/>
        <w:t>Диаграмма 3. Коэффициент софинансирования текущих проектов в разбивке по целевым областям</w:t>
      </w:r>
      <w:bookmarkEnd w:id="203"/>
      <w:r w:rsidRPr="00B91F3C">
        <w:t xml:space="preserve"> (2023 год)</w:t>
      </w:r>
      <w:r w:rsidRPr="00B91F3C">
        <w:rPr>
          <w:vertAlign w:val="superscript"/>
        </w:rPr>
        <w:footnoteReference w:id="60"/>
      </w:r>
      <w:bookmarkEnd w:id="204"/>
      <w:bookmarkEnd w:id="205"/>
      <w:r w:rsidRPr="00B91F3C">
        <w:rPr>
          <w:vertAlign w:val="superscript"/>
        </w:rPr>
        <w:t>,</w:t>
      </w:r>
      <w:r w:rsidRPr="00B91F3C">
        <w:rPr>
          <w:vertAlign w:val="superscript"/>
        </w:rPr>
        <w:footnoteReference w:id="61"/>
      </w:r>
      <w:bookmarkEnd w:id="206"/>
      <w:bookmarkEnd w:id="207"/>
    </w:p>
    <w:p w14:paraId="57C15F16" w14:textId="77777777" w:rsidR="00FF3A47" w:rsidRPr="00B91F3C" w:rsidRDefault="00FF3A47" w:rsidP="00FF3A47"/>
    <w:p w14:paraId="3069A157" w14:textId="77777777" w:rsidR="00FF3A47" w:rsidRPr="00B91F3C" w:rsidRDefault="00FF3A47" w:rsidP="00FF3A47">
      <w:pPr>
        <w:spacing w:after="160"/>
        <w:jc w:val="center"/>
        <w:rPr>
          <w:b/>
          <w:kern w:val="2"/>
          <w14:ligatures w14:val="standardContextual"/>
        </w:rPr>
      </w:pPr>
      <w:r w:rsidRPr="00B91F3C">
        <w:drawing>
          <wp:inline distT="0" distB="0" distL="0" distR="0" wp14:anchorId="77371859" wp14:editId="17AE1475">
            <wp:extent cx="4279900" cy="3263899"/>
            <wp:effectExtent l="0" t="0" r="6350" b="0"/>
            <wp:docPr id="5" name="Chart 5">
              <a:extLst xmlns:a="http://schemas.openxmlformats.org/drawingml/2006/main">
                <a:ext uri="{FF2B5EF4-FFF2-40B4-BE49-F238E27FC236}">
                  <a16:creationId xmlns:a16="http://schemas.microsoft.com/office/drawing/2014/main" id="{37B1D8CB-A6D8-B782-A2BE-83C59D98469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bookmarkStart w:id="208" w:name="_Toc102227416"/>
    </w:p>
    <w:p w14:paraId="5F5F51FB" w14:textId="77777777" w:rsidR="00FF3A47" w:rsidRPr="00B91F3C" w:rsidRDefault="00FF3A47" w:rsidP="00FF3A47">
      <w:pPr>
        <w:spacing w:after="160"/>
        <w:rPr>
          <w:kern w:val="2"/>
          <w14:ligatures w14:val="standardContextual"/>
        </w:rPr>
        <w:sectPr w:rsidR="00FF3A47" w:rsidRPr="00B91F3C" w:rsidSect="00FF3A47">
          <w:pgSz w:w="12240" w:h="15840"/>
          <w:pgMar w:top="1440" w:right="1440" w:bottom="1440" w:left="1440" w:header="720" w:footer="720" w:gutter="0"/>
          <w:cols w:space="720"/>
          <w:docGrid w:linePitch="360"/>
        </w:sectPr>
      </w:pPr>
    </w:p>
    <w:p w14:paraId="66D9000B" w14:textId="77777777" w:rsidR="00FF3A47" w:rsidRPr="00B91F3C" w:rsidRDefault="00FF3A47" w:rsidP="00FF3A47">
      <w:pPr>
        <w:keepNext/>
        <w:keepLines/>
        <w:numPr>
          <w:ilvl w:val="0"/>
          <w:numId w:val="13"/>
        </w:numPr>
        <w:adjustRightInd w:val="0"/>
        <w:snapToGrid w:val="0"/>
        <w:spacing w:before="240" w:after="240" w:line="240" w:lineRule="auto"/>
        <w:jc w:val="both"/>
        <w:outlineLvl w:val="0"/>
        <w:rPr>
          <w:rFonts w:eastAsiaTheme="majorEastAsia" w:cstheme="minorHAnsi"/>
          <w:b/>
          <w:smallCaps/>
          <w:snapToGrid w:val="0"/>
          <w:kern w:val="22"/>
          <w:sz w:val="24"/>
        </w:rPr>
      </w:pPr>
      <w:bookmarkStart w:id="209" w:name="_Toc162534621"/>
      <w:bookmarkStart w:id="210" w:name="_Toc165899281"/>
      <w:r w:rsidRPr="00B91F3C">
        <w:rPr>
          <w:rFonts w:eastAsiaTheme="majorEastAsia" w:cstheme="minorHAnsi"/>
          <w:b/>
          <w:smallCaps/>
          <w:snapToGrid w:val="0"/>
          <w:kern w:val="22"/>
          <w:sz w:val="24"/>
        </w:rPr>
        <w:lastRenderedPageBreak/>
        <w:t>Доклад о положении дел в достижении корпоративных результатов и целевых показателей ГЭФ-7</w:t>
      </w:r>
      <w:bookmarkEnd w:id="208"/>
      <w:bookmarkEnd w:id="209"/>
      <w:bookmarkEnd w:id="210"/>
    </w:p>
    <w:p w14:paraId="2DE39B7C"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bookmarkStart w:id="211" w:name="_Hlk101166224"/>
      <w:r w:rsidRPr="00B91F3C">
        <w:rPr>
          <w:snapToGrid w:val="0"/>
          <w:sz w:val="24"/>
          <w:szCs w:val="24"/>
        </w:rPr>
        <w:t>В рамках соглашения о пополнении ГЭФ-7 были установлены четкие и амбициозные целевые показатели по основным индикаторам, согласованные с выделенными ресурсами</w:t>
      </w:r>
      <w:r w:rsidRPr="00B91F3C">
        <w:rPr>
          <w:snapToGrid w:val="0"/>
          <w:sz w:val="24"/>
          <w:szCs w:val="24"/>
          <w:vertAlign w:val="superscript"/>
        </w:rPr>
        <w:footnoteReference w:id="62"/>
      </w:r>
      <w:r w:rsidRPr="00B91F3C">
        <w:rPr>
          <w:snapToGrid w:val="0"/>
          <w:sz w:val="24"/>
          <w:szCs w:val="24"/>
        </w:rPr>
        <w:t xml:space="preserve">. В рамках ГЭФ-7 была представлена обновленная матрица результатов с 11 основными индикаторами, которые охватывают все пять целевых областей. Семь основных индикаторов (ОИ) связаны с </w:t>
      </w:r>
      <w:proofErr w:type="spellStart"/>
      <w:r w:rsidRPr="00B91F3C">
        <w:rPr>
          <w:snapToGrid w:val="0"/>
          <w:sz w:val="24"/>
          <w:szCs w:val="24"/>
        </w:rPr>
        <w:t>Айтинскими</w:t>
      </w:r>
      <w:proofErr w:type="spellEnd"/>
      <w:r w:rsidRPr="00B91F3C">
        <w:rPr>
          <w:snapToGrid w:val="0"/>
          <w:sz w:val="24"/>
          <w:szCs w:val="24"/>
        </w:rPr>
        <w:t xml:space="preserve"> целевыми задачами в области биоразнообразия, а именно ОИ 1, 2, 3, 4, 5, 7 и 8, как показано на диаграмме 5 ниже. Все основные индикаторы, а также соответствующие </w:t>
      </w:r>
      <w:proofErr w:type="spellStart"/>
      <w:r w:rsidRPr="00B91F3C">
        <w:rPr>
          <w:snapToGrid w:val="0"/>
          <w:sz w:val="24"/>
          <w:szCs w:val="24"/>
        </w:rPr>
        <w:t>субиндикаторы</w:t>
      </w:r>
      <w:proofErr w:type="spellEnd"/>
      <w:r w:rsidRPr="00B91F3C">
        <w:rPr>
          <w:snapToGrid w:val="0"/>
          <w:sz w:val="24"/>
          <w:szCs w:val="24"/>
        </w:rPr>
        <w:t xml:space="preserve"> и методологии, значительно расширяют возможности ГЭФ в плане фиксирования, мониторинга, анализа и отчетности о результатах. При этом замена инструментов отслеживания и матрицы результатов по каждой целевой области на основные индикаторы позволяет существенно упростить структуру результатов ГЭФ и значительно снизить нагрузку по мониторингу и отчетности на уровне проектов и программ. </w:t>
      </w:r>
    </w:p>
    <w:p w14:paraId="0FD0B6B2"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 xml:space="preserve">На диаграмме 5 ниже представлены совокупные целевые показатели, включенные в утвержденные Советом ГЭФ концепции проектов (идентификационные формы по проекту (ИФП)) и программы в период с 1 июля 2018 года по 31 декабря 2019 года, представляющие актуальность с точки зрения КБР и Стратегического плана в области сохранения и устойчивого использования биоразнообразия на 2010-2020 годы. Совокупные целевые показатели представляют основные ожидаемые результаты от проектов на этапе их разработки, а также отражают относительный вклад программ широкого воздействия в достижение целевых показателей.  </w:t>
      </w:r>
      <w:bookmarkStart w:id="212" w:name="_Hlk100829509"/>
    </w:p>
    <w:p w14:paraId="54FD8B8D"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 xml:space="preserve">Целевые показатели ГЭФ-7 были разработаны с учетом исторических тенденций в приоритетах стран и результатов проектов. В период ГЭФ-7 страны решили использовать более значительную долю выделяемых им средств на восстановление экосистем, поддержку охраняемых морских районов и учет проблематики биоразнообразия в контексте морской среды обитания. В этой связи уровень достижения соответствующих целевых показателей превысил 100% (основные индикаторы 2, 3 и 5), в то время как другие целевые показатели, связанные с наземными экосистемами, были достигнуты не полностью (основные индикаторы 1 и 4). </w:t>
      </w:r>
    </w:p>
    <w:p w14:paraId="1DDF859A"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 xml:space="preserve">Превышен целевой показатель по морским охраняемым районам: ожидается, что будет обеспечена охрана или устойчивое управление для более 1 390 млн га при целевом показателе в 8 млн га. В то же время уровень достижения целевого показателя по наземным охраняемым районам составляет чуть более 50%. </w:t>
      </w:r>
    </w:p>
    <w:p w14:paraId="23153592"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z w:val="24"/>
          <w:szCs w:val="24"/>
        </w:rPr>
        <w:t>Однако если учитывать проекты ГЭФ-7, уже одобренные Исполнительным директором, то 84%</w:t>
      </w:r>
      <w:r w:rsidRPr="00B91F3C">
        <w:rPr>
          <w:snapToGrid w:val="0"/>
          <w:sz w:val="24"/>
          <w:szCs w:val="24"/>
        </w:rPr>
        <w:t xml:space="preserve"> целевого показателя в 200 млн га охраняемых районов суши уже достигнуты (169 млн га), причем большинство проектов уже находятся на этапе осуществления. Такие достижения свидетельствует о том, что на продвинутых этапах </w:t>
      </w:r>
      <w:r w:rsidRPr="00B91F3C">
        <w:rPr>
          <w:snapToGrid w:val="0"/>
          <w:sz w:val="24"/>
          <w:szCs w:val="24"/>
        </w:rPr>
        <w:lastRenderedPageBreak/>
        <w:t xml:space="preserve">подготовки проектов был повышен уровень амбициозности, что нашло отражение в результатах. Это указывает на то, что ГЭФ приблизился к достижению всех целевых показателей ГЭФ-7 в области биоразнообразия.  </w:t>
      </w:r>
      <w:bookmarkEnd w:id="211"/>
      <w:bookmarkEnd w:id="212"/>
    </w:p>
    <w:p w14:paraId="7FB4E698" w14:textId="77777777" w:rsidR="00FF3A47" w:rsidRPr="00B91F3C" w:rsidRDefault="00FF3A47" w:rsidP="00265EA8">
      <w:pPr>
        <w:pStyle w:val="Lgende"/>
      </w:pPr>
      <w:bookmarkStart w:id="213" w:name="_Toc102225705"/>
      <w:bookmarkStart w:id="214" w:name="_Toc102226022"/>
      <w:bookmarkStart w:id="215" w:name="_Toc103967098"/>
      <w:bookmarkStart w:id="216" w:name="_Toc161334843"/>
      <w:r w:rsidRPr="00B91F3C">
        <w:t>Диаграмма 4. Результаты достижения целевых показателей по основным индикаторам ГЭФ-7 по состоянию на июнь 2022 года</w:t>
      </w:r>
      <w:bookmarkEnd w:id="213"/>
      <w:bookmarkEnd w:id="214"/>
      <w:r w:rsidRPr="00B91F3C">
        <w:rPr>
          <w:vertAlign w:val="superscript"/>
        </w:rPr>
        <w:footnoteReference w:id="63"/>
      </w:r>
      <w:bookmarkEnd w:id="215"/>
      <w:bookmarkEnd w:id="216"/>
    </w:p>
    <w:p w14:paraId="59FF5D23" w14:textId="77777777" w:rsidR="00FF3A47" w:rsidRPr="00B91F3C" w:rsidRDefault="00FF3A47" w:rsidP="00FF3A47">
      <w:pPr>
        <w:spacing w:after="160"/>
        <w:jc w:val="center"/>
        <w:rPr>
          <w:kern w:val="2"/>
          <w14:ligatures w14:val="standardContextual"/>
        </w:rPr>
      </w:pPr>
      <w:r w:rsidRPr="00B91F3C">
        <w:drawing>
          <wp:inline distT="0" distB="0" distL="0" distR="0" wp14:anchorId="0C538561" wp14:editId="7B30888A">
            <wp:extent cx="5010149" cy="5708650"/>
            <wp:effectExtent l="0" t="0" r="635" b="6350"/>
            <wp:docPr id="6" name="Picture 6" descr="Une image contenant texte, capture d’écran, Police, nomb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Une image contenant texte, capture d’écran, Police, nombre&#10;&#10;Description générée automatiquement"/>
                    <pic:cNvPicPr/>
                  </pic:nvPicPr>
                  <pic:blipFill rotWithShape="1">
                    <a:blip r:embed="rId48"/>
                    <a:srcRect t="15188"/>
                    <a:stretch/>
                  </pic:blipFill>
                  <pic:spPr bwMode="auto">
                    <a:xfrm>
                      <a:off x="0" y="0"/>
                      <a:ext cx="5010149" cy="5708650"/>
                    </a:xfrm>
                    <a:prstGeom prst="rect">
                      <a:avLst/>
                    </a:prstGeom>
                    <a:ln>
                      <a:noFill/>
                    </a:ln>
                    <a:extLst>
                      <a:ext uri="{53640926-AAD7-44D8-BBD7-CCE9431645EC}">
                        <a14:shadowObscured xmlns:a14="http://schemas.microsoft.com/office/drawing/2010/main"/>
                      </a:ext>
                    </a:extLst>
                  </pic:spPr>
                </pic:pic>
              </a:graphicData>
            </a:graphic>
          </wp:inline>
        </w:drawing>
      </w:r>
    </w:p>
    <w:p w14:paraId="34A4F4BD"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 xml:space="preserve">Согласно программным направлениям в период ГЭФ-7 и матрице результатов программы широкого воздействия направлены на достижение результатов по индикатору 1 (наземные охраняемые районы), индикатору 3 (площадь восстановленных </w:t>
      </w:r>
      <w:r w:rsidRPr="00B91F3C">
        <w:rPr>
          <w:snapToGrid w:val="0"/>
          <w:sz w:val="24"/>
          <w:szCs w:val="24"/>
        </w:rPr>
        <w:lastRenderedPageBreak/>
        <w:t xml:space="preserve">земель), индикатору 4 (улучшение практики эксплуатации ландшафтов) и 6 (сокращение выбросов парниковых газов). </w:t>
      </w:r>
    </w:p>
    <w:p w14:paraId="374DB527"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 xml:space="preserve">На данный момент вклад всех программ широкого воздействия в достижение показателей по этим четырем основным индикаторам варьируется от 21% до почти 70% всех целевых показателей ГЭФ-7 (диаграмма 5), при этом объем ресурсов по СПРР, который запланировано освоить в КП, составляет лишь 23% от целевых ассигнований по СПРР в ГЭФ-7.  </w:t>
      </w:r>
    </w:p>
    <w:p w14:paraId="3B2B5F60" w14:textId="77777777" w:rsidR="00FF3A47" w:rsidRPr="00B91F3C" w:rsidRDefault="00FF3A47" w:rsidP="00FF3A47">
      <w:pPr>
        <w:keepNext/>
        <w:keepLines/>
        <w:spacing w:before="240" w:after="240" w:line="240" w:lineRule="auto"/>
        <w:outlineLvl w:val="1"/>
        <w:rPr>
          <w:rFonts w:eastAsiaTheme="majorEastAsia" w:cstheme="minorHAnsi"/>
          <w:b/>
          <w:bCs/>
          <w:snapToGrid w:val="0"/>
          <w:sz w:val="24"/>
          <w:szCs w:val="24"/>
        </w:rPr>
      </w:pPr>
      <w:bookmarkStart w:id="217" w:name="_Toc162534622"/>
      <w:bookmarkStart w:id="218" w:name="_Toc165899282"/>
      <w:r w:rsidRPr="00B91F3C">
        <w:rPr>
          <w:rFonts w:eastAsiaTheme="majorEastAsia" w:cstheme="minorHAnsi"/>
          <w:b/>
          <w:bCs/>
          <w:snapToGrid w:val="0"/>
          <w:sz w:val="24"/>
          <w:szCs w:val="24"/>
        </w:rPr>
        <w:t>Доклад о положении дел в достижении корпоративных результатов и целевых показателей ГЭФ-8</w:t>
      </w:r>
      <w:bookmarkEnd w:id="217"/>
      <w:bookmarkEnd w:id="218"/>
    </w:p>
    <w:p w14:paraId="09F6C749"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 xml:space="preserve">На основе фактических данных и опыта, накопленного в ходе последних циклов пополнения, а также стратегического плана, изложенного в программных направлениях деятельности, для ГЭФ-8 были установлены новые целевые показатели. В соответствии с глобальными устремлениями, сформулированными в многосторонних природоохранных соглашениях и в ходе соответствующих форумов, ГЭФ установил амбициозные, но достижимые целевые показатели для ГЭФ-8, превышающие показатели, согласованные для ГЭФ-7. На диаграмме 6 представлена обновленная информация о достижении целевых показателей ГЭФ-8 по </w:t>
      </w:r>
      <w:proofErr w:type="gramStart"/>
      <w:r w:rsidRPr="00B91F3C">
        <w:rPr>
          <w:snapToGrid w:val="0"/>
          <w:sz w:val="24"/>
          <w:szCs w:val="24"/>
        </w:rPr>
        <w:t>десяти основным</w:t>
      </w:r>
      <w:proofErr w:type="gramEnd"/>
      <w:r w:rsidRPr="00B91F3C">
        <w:rPr>
          <w:snapToGrid w:val="0"/>
          <w:sz w:val="24"/>
          <w:szCs w:val="24"/>
        </w:rPr>
        <w:t xml:space="preserve"> индикаторам, ориентированным на глобальные экологические выгоды, по состоянию на февраль 2024 года. </w:t>
      </w:r>
    </w:p>
    <w:p w14:paraId="5B47F417" w14:textId="77777777" w:rsidR="00FF3A47" w:rsidRPr="00B91F3C" w:rsidRDefault="00FF3A47" w:rsidP="00FF3A47">
      <w:pPr>
        <w:spacing w:after="160"/>
        <w:rPr>
          <w:snapToGrid w:val="0"/>
          <w:sz w:val="24"/>
          <w:szCs w:val="24"/>
        </w:rPr>
      </w:pPr>
      <w:r w:rsidRPr="00B91F3C">
        <w:br w:type="page"/>
      </w:r>
    </w:p>
    <w:p w14:paraId="726BF583" w14:textId="77777777" w:rsidR="00FF3A47" w:rsidRPr="00B91F3C" w:rsidRDefault="00FF3A47" w:rsidP="00265EA8">
      <w:pPr>
        <w:pStyle w:val="Lgende"/>
      </w:pPr>
      <w:bookmarkStart w:id="219" w:name="_Toc161334844"/>
      <w:r w:rsidRPr="00B91F3C">
        <w:lastRenderedPageBreak/>
        <w:t>Диаграмма 5. Результаты достижения целевых показателей по основным индикаторам ГЭФ-8 по состоянию на февраль 2024 года</w:t>
      </w:r>
      <w:r w:rsidRPr="00B91F3C">
        <w:rPr>
          <w:vertAlign w:val="superscript"/>
        </w:rPr>
        <w:footnoteReference w:id="64"/>
      </w:r>
      <w:bookmarkEnd w:id="219"/>
    </w:p>
    <w:p w14:paraId="32B696A8" w14:textId="77777777" w:rsidR="00FF3A47" w:rsidRPr="00B91F3C" w:rsidRDefault="00FF3A47" w:rsidP="00FF3A47">
      <w:pPr>
        <w:spacing w:line="240" w:lineRule="auto"/>
        <w:jc w:val="center"/>
        <w:rPr>
          <w:kern w:val="2"/>
          <w14:ligatures w14:val="standardContextual"/>
        </w:rPr>
      </w:pPr>
      <w:r w:rsidRPr="00B91F3C">
        <w:drawing>
          <wp:inline distT="0" distB="0" distL="0" distR="0" wp14:anchorId="0FF32014" wp14:editId="7D22622C">
            <wp:extent cx="5565380" cy="5281448"/>
            <wp:effectExtent l="0" t="0" r="0" b="0"/>
            <wp:docPr id="3" name="Picture 3" descr="Une image contenant texte, capture d’écran, nombre, Parallè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Une image contenant texte, capture d’écran, nombre, Parallèle&#10;&#10;Description générée automatiquement"/>
                    <pic:cNvPicPr/>
                  </pic:nvPicPr>
                  <pic:blipFill rotWithShape="1">
                    <a:blip r:embed="rId49"/>
                    <a:srcRect t="1499" b="1499"/>
                    <a:stretch/>
                  </pic:blipFill>
                  <pic:spPr bwMode="auto">
                    <a:xfrm>
                      <a:off x="0" y="0"/>
                      <a:ext cx="5633538" cy="5346129"/>
                    </a:xfrm>
                    <a:prstGeom prst="rect">
                      <a:avLst/>
                    </a:prstGeom>
                    <a:ln>
                      <a:noFill/>
                    </a:ln>
                    <a:extLst>
                      <a:ext uri="{53640926-AAD7-44D8-BBD7-CCE9431645EC}">
                        <a14:shadowObscured xmlns:a14="http://schemas.microsoft.com/office/drawing/2010/main"/>
                      </a:ext>
                    </a:extLst>
                  </pic:spPr>
                </pic:pic>
              </a:graphicData>
            </a:graphic>
          </wp:inline>
        </w:drawing>
      </w:r>
    </w:p>
    <w:p w14:paraId="21BE6C72"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Через 20 месяцев с начала восьмого цикла пополнения ГЭФ отмечается значительный прогресс в достижении четырех целевых показателей, входящих в группу индикаторов, позволяющих отслеживать прогресс в области сохранения и устойчивого использования биоразнообразия. Уровень достижения целевого показателя по наземным охраняемым районам уже составляет 50%, а показатель по морским охраняемым районам достигнут полностью. Кроме того, достигнуто более 50% целевых значений по улучшению практики эксплуатации в интересах сохранения биоразнообразия для наземных и морских районов. Таким образом, ГЭФ уверенно движется к достижению этих целевых показателей в рамках ГЭФ-8.</w:t>
      </w:r>
    </w:p>
    <w:p w14:paraId="21531AD9" w14:textId="77777777" w:rsidR="00FF3A47" w:rsidRPr="00B91F3C" w:rsidRDefault="00FF3A47" w:rsidP="00FF3A47">
      <w:pPr>
        <w:keepNext/>
        <w:keepLines/>
        <w:spacing w:before="240" w:after="240" w:line="240" w:lineRule="auto"/>
        <w:outlineLvl w:val="1"/>
        <w:rPr>
          <w:rFonts w:eastAsiaTheme="majorEastAsia" w:cstheme="minorHAnsi"/>
          <w:b/>
          <w:bCs/>
          <w:snapToGrid w:val="0"/>
          <w:sz w:val="24"/>
          <w:szCs w:val="24"/>
        </w:rPr>
      </w:pPr>
      <w:bookmarkStart w:id="220" w:name="_Toc162534623"/>
      <w:bookmarkStart w:id="221" w:name="_Toc165899283"/>
      <w:r w:rsidRPr="00B91F3C">
        <w:rPr>
          <w:rFonts w:eastAsiaTheme="majorEastAsia" w:cstheme="minorHAnsi"/>
          <w:b/>
          <w:bCs/>
          <w:snapToGrid w:val="0"/>
          <w:sz w:val="24"/>
          <w:szCs w:val="24"/>
        </w:rPr>
        <w:lastRenderedPageBreak/>
        <w:t>Результаты достижения целевых показателей ГЭФ-8 по Рио-де-</w:t>
      </w:r>
      <w:proofErr w:type="spellStart"/>
      <w:r w:rsidRPr="00B91F3C">
        <w:rPr>
          <w:rFonts w:eastAsiaTheme="majorEastAsia" w:cstheme="minorHAnsi"/>
          <w:b/>
          <w:bCs/>
          <w:snapToGrid w:val="0"/>
          <w:sz w:val="24"/>
          <w:szCs w:val="24"/>
        </w:rPr>
        <w:t>Жанейрским</w:t>
      </w:r>
      <w:proofErr w:type="spellEnd"/>
      <w:r w:rsidRPr="00B91F3C">
        <w:rPr>
          <w:rFonts w:eastAsiaTheme="majorEastAsia" w:cstheme="minorHAnsi"/>
          <w:b/>
          <w:bCs/>
          <w:snapToGrid w:val="0"/>
          <w:sz w:val="24"/>
          <w:szCs w:val="24"/>
        </w:rPr>
        <w:t xml:space="preserve"> маркерам</w:t>
      </w:r>
      <w:bookmarkEnd w:id="220"/>
      <w:bookmarkEnd w:id="221"/>
    </w:p>
    <w:p w14:paraId="0C39AA9C"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Финансирование ГЭФ на проекты, для которых в качестве основной или значимой цели обозначено сохранение биоразнообразия, адаптация к изменению климата, смягчение его последствий и борьба с деградацией земель, отслеживается по установленным для ГЭФ-8 ориентировочным целевым показателям в соответствии с методологией Рио-де-</w:t>
      </w:r>
      <w:proofErr w:type="spellStart"/>
      <w:r w:rsidRPr="00B91F3C">
        <w:rPr>
          <w:snapToGrid w:val="0"/>
          <w:sz w:val="24"/>
          <w:szCs w:val="24"/>
        </w:rPr>
        <w:t>Жанейрских</w:t>
      </w:r>
      <w:proofErr w:type="spellEnd"/>
      <w:r w:rsidRPr="00B91F3C">
        <w:rPr>
          <w:snapToGrid w:val="0"/>
          <w:sz w:val="24"/>
          <w:szCs w:val="24"/>
        </w:rPr>
        <w:t xml:space="preserve"> маркеров КСР ОЭСР. </w:t>
      </w:r>
    </w:p>
    <w:p w14:paraId="1B52E9DB"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В этом контексте 83% финансирования ГЭФ-8, утвержденного по состоянию на февраль, направлено на достижение целей в области биоразнообразия. Это означает, что речь идет о финансировании проектов, в рамках которых обеспечение выгод в сфере биоразнообразия обозначено в качестве основной или значимой цели, что превышает целевой показатель в 60%, установленный участниками восьмого цикла пополнения ГЭФ</w:t>
      </w:r>
      <w:r w:rsidRPr="00B91F3C">
        <w:rPr>
          <w:snapToGrid w:val="0"/>
          <w:sz w:val="24"/>
          <w:szCs w:val="24"/>
          <w:vertAlign w:val="superscript"/>
        </w:rPr>
        <w:footnoteReference w:id="65"/>
      </w:r>
      <w:r w:rsidRPr="00B91F3C">
        <w:rPr>
          <w:snapToGrid w:val="0"/>
          <w:sz w:val="24"/>
          <w:szCs w:val="24"/>
        </w:rPr>
        <w:t xml:space="preserve">. Таким образом, за первые 20 месяцев восьмого цикла пополнения ГЭФ было утверждено финансирование на общую сумму 2,07 млрд долл. США, способствующее достижению целей в области биоразнообразия. </w:t>
      </w:r>
    </w:p>
    <w:p w14:paraId="56E23F76" w14:textId="075FC51D" w:rsidR="00FF3A47" w:rsidRPr="00B91F3C" w:rsidRDefault="001F7F0F" w:rsidP="00490133">
      <w:pPr>
        <w:pStyle w:val="Lgende"/>
        <w:rPr>
          <w:bCs/>
          <w:kern w:val="2"/>
          <w:szCs w:val="24"/>
          <w14:ligatures w14:val="standardContextual"/>
        </w:rPr>
      </w:pPr>
      <w:bookmarkStart w:id="222" w:name="_Toc161334845"/>
      <w:r w:rsidRPr="00B91F3C">
        <w:t>Диаграмма 6. Результаты достижения целевых показателей ГЭФ-8 по Рио-де-</w:t>
      </w:r>
      <w:proofErr w:type="spellStart"/>
      <w:r w:rsidRPr="00B91F3C">
        <w:t>Жанейрским</w:t>
      </w:r>
      <w:proofErr w:type="spellEnd"/>
      <w:r w:rsidRPr="00B91F3C">
        <w:t xml:space="preserve"> маркерам по состоянию на февраль 2024 года</w:t>
      </w:r>
      <w:bookmarkEnd w:id="222"/>
    </w:p>
    <w:p w14:paraId="40A987F4" w14:textId="77777777" w:rsidR="00FF3A47" w:rsidRPr="00B91F3C" w:rsidRDefault="00FF3A47" w:rsidP="00FF3A47">
      <w:pPr>
        <w:spacing w:after="160"/>
        <w:jc w:val="center"/>
        <w:rPr>
          <w:kern w:val="2"/>
          <w14:ligatures w14:val="standardContextual"/>
        </w:rPr>
      </w:pPr>
      <w:r w:rsidRPr="00B91F3C">
        <w:drawing>
          <wp:inline distT="0" distB="0" distL="0" distR="0" wp14:anchorId="2B1D3A0E" wp14:editId="1B48FF88">
            <wp:extent cx="5462337" cy="3176337"/>
            <wp:effectExtent l="0" t="0" r="5080" b="5080"/>
            <wp:docPr id="1103369423" name="Chart 4">
              <a:extLst xmlns:a="http://schemas.openxmlformats.org/drawingml/2006/main">
                <a:ext uri="{FF2B5EF4-FFF2-40B4-BE49-F238E27FC236}">
                  <a16:creationId xmlns:a16="http://schemas.microsoft.com/office/drawing/2014/main" id="{B854FC26-ECAF-4C03-BE8E-AADD00665C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42D17FAC" w14:textId="77777777" w:rsidR="00FF3A47" w:rsidRPr="00B91F3C" w:rsidRDefault="00FF3A47" w:rsidP="00FF3A47">
      <w:pPr>
        <w:keepNext/>
        <w:keepLines/>
        <w:adjustRightInd w:val="0"/>
        <w:snapToGrid w:val="0"/>
        <w:spacing w:before="240" w:after="240" w:line="240" w:lineRule="auto"/>
        <w:jc w:val="both"/>
        <w:outlineLvl w:val="0"/>
        <w:rPr>
          <w:rFonts w:eastAsiaTheme="majorEastAsia" w:cstheme="minorHAnsi"/>
          <w:b/>
          <w:smallCaps/>
          <w:snapToGrid w:val="0"/>
          <w:kern w:val="22"/>
          <w:sz w:val="24"/>
        </w:rPr>
        <w:sectPr w:rsidR="00FF3A47" w:rsidRPr="00B91F3C" w:rsidSect="00FF3A47">
          <w:pgSz w:w="12240" w:h="15840"/>
          <w:pgMar w:top="1440" w:right="1440" w:bottom="1440" w:left="1440" w:header="720" w:footer="720" w:gutter="0"/>
          <w:cols w:space="720"/>
          <w:docGrid w:linePitch="360"/>
        </w:sectPr>
      </w:pPr>
    </w:p>
    <w:p w14:paraId="7A1BAFC4" w14:textId="77777777" w:rsidR="00FF3A47" w:rsidRPr="00B91F3C" w:rsidRDefault="00FF3A47" w:rsidP="00FF3A47">
      <w:pPr>
        <w:keepNext/>
        <w:keepLines/>
        <w:numPr>
          <w:ilvl w:val="0"/>
          <w:numId w:val="13"/>
        </w:numPr>
        <w:adjustRightInd w:val="0"/>
        <w:snapToGrid w:val="0"/>
        <w:spacing w:before="240" w:after="240" w:line="240" w:lineRule="auto"/>
        <w:jc w:val="both"/>
        <w:outlineLvl w:val="0"/>
        <w:rPr>
          <w:rFonts w:eastAsiaTheme="majorEastAsia" w:cstheme="minorHAnsi"/>
          <w:b/>
          <w:smallCaps/>
          <w:snapToGrid w:val="0"/>
          <w:kern w:val="22"/>
          <w:sz w:val="24"/>
        </w:rPr>
      </w:pPr>
      <w:bookmarkStart w:id="223" w:name="_Toc162534624"/>
      <w:bookmarkStart w:id="224" w:name="_Toc165899284"/>
      <w:r w:rsidRPr="00B91F3C">
        <w:rPr>
          <w:rFonts w:eastAsiaTheme="majorEastAsia" w:cstheme="minorHAnsi"/>
          <w:b/>
          <w:smallCaps/>
          <w:snapToGrid w:val="0"/>
          <w:kern w:val="22"/>
          <w:sz w:val="24"/>
        </w:rPr>
        <w:lastRenderedPageBreak/>
        <w:t>Результаты работы Управления независимой оценки ГЭФ</w:t>
      </w:r>
      <w:bookmarkEnd w:id="178"/>
      <w:bookmarkEnd w:id="223"/>
      <w:bookmarkEnd w:id="224"/>
      <w:r w:rsidRPr="00B91F3C">
        <w:rPr>
          <w:rFonts w:eastAsiaTheme="majorEastAsia" w:cstheme="minorHAnsi"/>
          <w:b/>
          <w:smallCaps/>
          <w:snapToGrid w:val="0"/>
          <w:kern w:val="22"/>
          <w:sz w:val="24"/>
        </w:rPr>
        <w:t xml:space="preserve"> </w:t>
      </w:r>
    </w:p>
    <w:p w14:paraId="1332DA95"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В отчетный период Управление независимой оценки ГЭФ (УНО) провело четыре оценки, представляющие актуальность для целевой области «Биоразнообразие». Основные тезисы этих оценок кратко изложены ниже.</w:t>
      </w:r>
    </w:p>
    <w:p w14:paraId="20F83AA8" w14:textId="77777777" w:rsidR="00FF3A47" w:rsidRPr="00B91F3C" w:rsidRDefault="00FF3A47" w:rsidP="00FF3A47">
      <w:pPr>
        <w:keepNext/>
        <w:keepLines/>
        <w:spacing w:before="240" w:after="240" w:line="240" w:lineRule="auto"/>
        <w:outlineLvl w:val="1"/>
        <w:rPr>
          <w:rFonts w:eastAsiaTheme="majorEastAsia" w:cstheme="minorHAnsi"/>
          <w:b/>
          <w:bCs/>
          <w:snapToGrid w:val="0"/>
          <w:sz w:val="24"/>
          <w:szCs w:val="24"/>
        </w:rPr>
      </w:pPr>
      <w:bookmarkStart w:id="225" w:name="_Toc162534625"/>
      <w:bookmarkStart w:id="226" w:name="_Toc165899285"/>
      <w:r w:rsidRPr="00B91F3C">
        <w:rPr>
          <w:rFonts w:eastAsiaTheme="majorEastAsia" w:cstheme="minorHAnsi"/>
          <w:b/>
          <w:bCs/>
          <w:snapToGrid w:val="0"/>
          <w:sz w:val="24"/>
          <w:szCs w:val="24"/>
        </w:rPr>
        <w:t>Оценка обеспечиваемой ГЭФ поддержки в области устойчивого лесопользования</w:t>
      </w:r>
      <w:r w:rsidRPr="00B91F3C">
        <w:rPr>
          <w:rFonts w:eastAsiaTheme="majorEastAsia" w:cstheme="minorHAnsi"/>
          <w:b/>
          <w:bCs/>
          <w:snapToGrid w:val="0"/>
          <w:sz w:val="24"/>
          <w:szCs w:val="24"/>
          <w:vertAlign w:val="superscript"/>
        </w:rPr>
        <w:footnoteReference w:id="66"/>
      </w:r>
      <w:bookmarkEnd w:id="225"/>
      <w:bookmarkEnd w:id="226"/>
    </w:p>
    <w:p w14:paraId="6DEEFF2B"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bookmarkStart w:id="227" w:name="_Hlk32089239"/>
      <w:r w:rsidRPr="00B91F3C">
        <w:rPr>
          <w:sz w:val="24"/>
          <w:szCs w:val="24"/>
        </w:rPr>
        <w:t>ГЭФ поддерживает устойчивое лесопользование (УЛП), начиная с пилотного этапа ГЭФ. Эта</w:t>
      </w:r>
      <w:r w:rsidRPr="00B91F3C">
        <w:rPr>
          <w:snapToGrid w:val="0"/>
          <w:sz w:val="24"/>
          <w:szCs w:val="24"/>
        </w:rPr>
        <w:t xml:space="preserve"> оценка стала первой комплексной оценкой обеспечиваемой ГЭФ поддержки в области УЛП, посвященной результатам и эффективности различных проектов ГЭФ в области УЛП. Оценка охватила весь временной промежуток от пилотного этапа ГЭФ до ГЭФ-7 и предоставила ценные ориентиры для ГЭФ-8. В ходе оценки было проанализировано 640 проектов в области УЛП общей стоимостью 3,65 млрд долл. США. Если изначально портфель проектов ГЭФ в области УЛП уделял основное внимание биоразнообразию, постепенно акцент сместился на проекты многоцелевой направленности, которые в настоящее время составляют 44% портфеля в области УЛП. Оставшиеся 56% проектов сосредоточены на одной целевой области, при этом среди них по-прежнему преобладают проекты целевой области «Биоразнообразие».</w:t>
      </w:r>
    </w:p>
    <w:p w14:paraId="04C0010C"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По итогам оценки отмечается, что результаты регулярных оценок эффективности проектов ГЭФ в области УЛП сопоставимы со средними показателями по всему портфелю проектов ГЭФ за все периоды пополнения. Результаты 81,2% проектов в области УЛП оцениваются как удовлетворительные, при этом считается, что результаты 57,6% проектов носят устойчивый характер. Оценка выявила совокупный положительный вклад портфеля проектов ГЭФ в области УЛП в таких областях, как защита лесов; восстановление лесных ландшафтов; экологическая безопасность; экономические выгоды; расширение прав и возможностей и обеспечение равенства; а также политика, институты и потенциал.</w:t>
      </w:r>
    </w:p>
    <w:p w14:paraId="54F4D68A"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По итогам оценки сделан вывод о том, что для обеспечения устойчивой поддержки, солидного и диверсифицированного портфеля проектов и широких масштабов деятельности в области УЛП необходимо сформулировать четкую и наглядную долгосрочную концепцию и теорию изменений для УЛП. За три десятилетия обеспечиваемой ГЭФ поддержки в области УЛП произошли изменения в подходах, адаптировавшихся к программным направлениям ГЭФ, глобальному политическому контексту, а также приоритетам доноров и стран. Однако, несмотря на более комплексный характер и расширение масштабов работы ГЭФ в области УЛП, до сих пор не сформулировано четкой и долгосрочной концепции в данной области.</w:t>
      </w:r>
    </w:p>
    <w:p w14:paraId="4FD75A47"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 xml:space="preserve">Несмотря на новые подходы и достигнутый прогресс в разработке механизмов мониторинга и оценки, ряд аспектов требуют улучшений. Данная оценка продемонстрировала трудности, связанные с созданием портфеля проектов в области УЛП постфактум и оценкой его эффективности. Эффективные меры по мониторингу, оценке и извлечению уроков на уровне проекта были определены в итоговых оценках как положительный фактор достижения результатов в области УЛП. Однако факты </w:t>
      </w:r>
      <w:r w:rsidRPr="00B91F3C">
        <w:rPr>
          <w:snapToGrid w:val="0"/>
          <w:sz w:val="24"/>
          <w:szCs w:val="24"/>
        </w:rPr>
        <w:lastRenderedPageBreak/>
        <w:t xml:space="preserve">свидетельствуют о том, что в системах </w:t>
      </w:r>
      <w:proofErr w:type="spellStart"/>
      <w:r w:rsidRPr="00B91F3C">
        <w:rPr>
          <w:snapToGrid w:val="0"/>
          <w:sz w:val="24"/>
          <w:szCs w:val="24"/>
        </w:rPr>
        <w:t>МиО</w:t>
      </w:r>
      <w:proofErr w:type="spellEnd"/>
      <w:r w:rsidRPr="00B91F3C">
        <w:rPr>
          <w:snapToGrid w:val="0"/>
          <w:sz w:val="24"/>
          <w:szCs w:val="24"/>
        </w:rPr>
        <w:t xml:space="preserve"> часто отсутствуют стандартизированные индикаторы результатов и воздействия, а данные по ключевым аспектам УЛП, в том числе о компромиссах и выгодах, либо отсутствуют, либо не собираются. </w:t>
      </w:r>
    </w:p>
    <w:p w14:paraId="13AF3016"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По итогам оценки сделан вывод о том, что поддержание надлежащего баланса и обеспечение устойчивого характера выгод от мероприятий в области УЛП в долгосрочной перспективе остаются сложными задачами. Отмечается недостаток фактологически обоснованных принципов, которыми можно руководствоваться при диагностике компромиссов, проведении диалогов и принятии решений заинтересованными сторонами на национальном уровне. Факты свидетельствуют о том, что даже если многочисленные мероприятия обеспечивают краткосрочные выгоды, они носят достаточно неустойчивый характер, обусловленный как факторами на уровне проектов, так и более широким контекстом.</w:t>
      </w:r>
    </w:p>
    <w:p w14:paraId="42D46ABF"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По итогам оценки были сформулированы три рекомендации: 1) разработка комплексной четкой долгосрочной концепции и стратегии в области УЛП; 2) повышение эффективности мониторинга сопутствующих социально-экономических выгод и содействие извлечению уроков; 3) поддержка конкретных национальных и местных приоритетов для поддержания надлежащего баланса и обеспечения устойчивого характера выгод.</w:t>
      </w:r>
    </w:p>
    <w:p w14:paraId="6A100869"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Совет ГЭФ одобрил ответы руководства секретариата ГЭФ в связи с этими рекомендациями</w:t>
      </w:r>
      <w:r w:rsidRPr="00B91F3C">
        <w:rPr>
          <w:snapToGrid w:val="0"/>
          <w:sz w:val="24"/>
          <w:szCs w:val="24"/>
          <w:vertAlign w:val="superscript"/>
        </w:rPr>
        <w:footnoteReference w:id="67"/>
      </w:r>
      <w:r w:rsidRPr="00B91F3C">
        <w:rPr>
          <w:snapToGrid w:val="0"/>
          <w:sz w:val="24"/>
          <w:szCs w:val="24"/>
        </w:rPr>
        <w:t xml:space="preserve">. В ответах подчеркивалась целесообразность выводов и рекомендаций данной оценки в контексте непрерывной работы ГЭФ по поддержке УЛП, чтобы обеспечить учет важнейшей роли лесов в экологии планеты и отразить международные амбициозные цели и призывы к более существенной поддержке лесов на уровне МПС. Совместно с Консультативной группой по науке и технике и учреждениями ГЭФ секретариат продолжит активизировать свои усилия в области УЛП и в вопросах, связанных с лесами, включая повышение наглядности, управление знаниями и обмен передовым опытом, а также мониторинг УЛП в проектах ГЭФ. Кроме того, секретариат будет повышать согласованность политики, эффективность управления, включая права в отношении использования лесов и землевладение, а также обеспечивать надлежащий уровень финансирования КНМО в рамках </w:t>
      </w:r>
      <w:proofErr w:type="spellStart"/>
      <w:r w:rsidRPr="00B91F3C">
        <w:rPr>
          <w:snapToGrid w:val="0"/>
          <w:sz w:val="24"/>
          <w:szCs w:val="24"/>
        </w:rPr>
        <w:t>межсекторальной</w:t>
      </w:r>
      <w:proofErr w:type="spellEnd"/>
      <w:r w:rsidRPr="00B91F3C">
        <w:rPr>
          <w:snapToGrid w:val="0"/>
          <w:sz w:val="24"/>
          <w:szCs w:val="24"/>
        </w:rPr>
        <w:t xml:space="preserve"> стратегии по УЛП и ее осуществления. Секретариат ГЭФ будет отслеживать ход выполнения каждой рекомендации и сообщать о нем Совету с использованием стандартного документа УНО о принятых руководством мерах.</w:t>
      </w:r>
    </w:p>
    <w:p w14:paraId="041F9AFC" w14:textId="77777777" w:rsidR="00FF3A47" w:rsidRPr="00B91F3C" w:rsidRDefault="00FF3A47" w:rsidP="00FF3A47">
      <w:pPr>
        <w:keepNext/>
        <w:keepLines/>
        <w:spacing w:before="240" w:after="240" w:line="240" w:lineRule="auto"/>
        <w:outlineLvl w:val="1"/>
        <w:rPr>
          <w:rFonts w:eastAsiaTheme="majorEastAsia" w:cstheme="minorHAnsi"/>
          <w:b/>
          <w:bCs/>
          <w:snapToGrid w:val="0"/>
          <w:sz w:val="24"/>
          <w:szCs w:val="24"/>
        </w:rPr>
      </w:pPr>
      <w:bookmarkStart w:id="228" w:name="_Toc162534626"/>
      <w:bookmarkStart w:id="229" w:name="_Toc165899286"/>
      <w:bookmarkStart w:id="230" w:name="_Toc32494936"/>
      <w:bookmarkEnd w:id="227"/>
      <w:r w:rsidRPr="00B91F3C">
        <w:rPr>
          <w:rFonts w:eastAsiaTheme="majorEastAsia" w:cstheme="minorHAnsi"/>
          <w:b/>
          <w:bCs/>
          <w:snapToGrid w:val="0"/>
          <w:sz w:val="24"/>
          <w:szCs w:val="24"/>
        </w:rPr>
        <w:t>Стратегическая оценка группы стран: экосистема бассейна Нижнего Меконга, июнь 2023 года</w:t>
      </w:r>
      <w:r w:rsidRPr="00B91F3C">
        <w:rPr>
          <w:rFonts w:eastAsiaTheme="majorEastAsia" w:cstheme="minorHAnsi"/>
          <w:b/>
          <w:bCs/>
          <w:snapToGrid w:val="0"/>
          <w:sz w:val="24"/>
          <w:szCs w:val="24"/>
          <w:vertAlign w:val="superscript"/>
        </w:rPr>
        <w:footnoteReference w:id="68"/>
      </w:r>
      <w:bookmarkEnd w:id="228"/>
      <w:bookmarkEnd w:id="229"/>
    </w:p>
    <w:p w14:paraId="4B896C2B"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 xml:space="preserve">С момента своего создания ГЭФ оказывает финансовую поддержку усилиям в области защиты и сохранения наземных, морских и пресноводных экосистем; адаптации к изменению климата и смягчения его последствий; уменьшения деградации земель; и </w:t>
      </w:r>
      <w:r w:rsidRPr="00B91F3C">
        <w:rPr>
          <w:snapToGrid w:val="0"/>
          <w:sz w:val="24"/>
          <w:szCs w:val="24"/>
        </w:rPr>
        <w:lastRenderedPageBreak/>
        <w:t xml:space="preserve">сокращения объемов химических отходов в субрегионе Большого Меконга (СБМ). Стратегическая оценка группы стран бассейна Нижнего Меконга была направлена на анализ влияния поддержки и подхода ГЭФ в решении проблем в международных водах бассейна Меконга. В ходе оценки было проанализировано 28 проектов с ГЭФ-4 по ГЭФ-7 общей стоимостью 109,9 млн долл. США. Выбранные проекты охватывали четыре стратегии конкретных целевых областей ГЭФ – биоразнообразие, изменение климата, международные воды и деградация земель, а также проекты, направленные на решение вопросов, которые лучше всего решаются с помощью подхода многоцелевой направленности (ПМО). </w:t>
      </w:r>
    </w:p>
    <w:p w14:paraId="7207976B"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Согласно результатам оценки финансируемые ГЭФ проекты в БНМ позволили приостановить процесс утраты биоразнообразия глобального и регионального значения путем интеграции сохранения биоразнообразия в устойчивое сельское хозяйство, аквакультуру, лесное хозяйство и устойчивое природопользование. Большинство проектов были сосредоточены на конкретных факторах уязвимости на местном (общинном) уровне, ориентируясь на решение четырех основных задач БНМ, выявленных в ходе оценки: (a) поощрение решений на основе экосистем; (b) улучшение состояния биоразнообразия; (c) поощрение мер по повышению устойчивости к изменению климата на уровне общин; и (d) укрепление институционального и общинного потенциала, включая вовлечение и расширение прав и возможностей женщин в конкретных аспектах управления экосистемами и адаптации на экосистемной основе (АЭО). Однако в проектах отсутствовали руководящие указания по применению концептуальных инструментов управления, таких как АОЭ, управление на экосистемной основе (УЭО), и не предусмотрены соответствующие индикаторы для оценки их эффективности.</w:t>
      </w:r>
    </w:p>
    <w:p w14:paraId="2848CFFF"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Наиболее эффективными оказались мероприятия, разработка и осуществление которых предусматривали создание долгосрочного потенциала устойчивости (например, восстановление экосистем), устойчивую инфраструктуру для ирригации, управление с привлечением женщин и других маргинализированных групп в сочетании с развитием потенциала для использования новых концептуальных инструментов планирования и оперативной деятельности (например, АОЭ, УЭО). Это позволило достичь немедленных социально-экономических выгод, таких как повышение благосостояния общин и семей, использование экосистемных услуг на более справедливой основе в условиях серьезных экологических изменений в будущем, повышение доходов семей. Сочетание краткосрочных выгод с долгосрочными мероприятиями также способствовало вовлечению уязвимых домохозяйств.</w:t>
      </w:r>
    </w:p>
    <w:p w14:paraId="0C602150"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 xml:space="preserve">По итогам оценки был сделан вывод о том, что ГЭФ обладает потенциалом для дальнейшей поддержки коренных преобразований в сотрудничестве со странами-партнерами и региональными организациями и расширения масштабов мер, направленных на решение основных проблем БНМ. Однако для достижения тройного воздействия (социального, экономического и экологического) необходимо провести дополнительную работу и увязать эти аспекты для обеспечения согласованности политики. Существует обширная база знаний для устранения экологических, экономических и социальных факторов, подрывающих потенциал устойчивости БМ. Однако, за некоторыми исключениями, многие положительные результаты и опыт </w:t>
      </w:r>
      <w:r w:rsidRPr="00B91F3C">
        <w:rPr>
          <w:snapToGrid w:val="0"/>
          <w:sz w:val="24"/>
          <w:szCs w:val="24"/>
        </w:rPr>
        <w:lastRenderedPageBreak/>
        <w:t>многосторонних, двусторонних и региональных организаций, а также извлеченные уроки обеспечиваемой ГЭФ поддержки в течение почти трех десятилетий никогда не обобщались. Это затрудняет коллективные действия, необходимые для тестирования и распространения эффективных подходов к решению самых актуальных проблем БНМ.</w:t>
      </w:r>
    </w:p>
    <w:p w14:paraId="5EEAABF7"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По итогам оценки были сформулированы три рекомендации: 1) ГЭФ следует согласовывать стратегические региональные приоритеты стратегии развития бассейна Комиссии по реке Меконг со странами-партнерами БНМ, другими многосторонними, двусторонними и региональными организациями (например, Комиссией по реке Меконг [КРМ], Ассоциацией государств Юго-Восточной Азии [АСЕАН]); 2) для обеспечения долгосрочной устойчивости секретариат ГЭФ и его учреждения должны разработать и внедрить механизмы для тестирования, распространения и расширения масштабов успешной практики на местном уровне, а затем внедрять ее на национальном уровне; 3) Консультативная группа по науке и технике ГЭФ совместно с ГЭФ должна предоставить технические консультации относительно согласованных международных определений и руководящих принципов внедрения концептуальных экосистемных подходов и инструментов управления, таких как адаптация на экосистемной основе, управление на экосистемной основе, основанные на природных факторах решения, от хребта до речного бассейна, для достижения целостного понимания и осуществления на местах.</w:t>
      </w:r>
    </w:p>
    <w:p w14:paraId="6BD3FB85"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Совет ГЭФ одобрил ответы руководства секретариата ГЭФ в связи с этими рекомендациями</w:t>
      </w:r>
      <w:r w:rsidRPr="00B91F3C">
        <w:rPr>
          <w:snapToGrid w:val="0"/>
          <w:sz w:val="24"/>
          <w:szCs w:val="24"/>
          <w:vertAlign w:val="superscript"/>
        </w:rPr>
        <w:footnoteReference w:id="69"/>
      </w:r>
      <w:r w:rsidRPr="00B91F3C">
        <w:rPr>
          <w:snapToGrid w:val="0"/>
          <w:sz w:val="24"/>
          <w:szCs w:val="24"/>
        </w:rPr>
        <w:t>. Секретариат ГЭФ принял к сведению рекомендации данной оценки и будет продолжать поиск возможностей для сотрудничества с Консультативной группой по науке и технике, учреждениями ГЭФ и странами в поддержку стратегических региональных приоритетов, повышения устойчивости и осуществления проектов, основанных на теории преобразований, использования и мониторинга концептуальных экосистемных подходов и инструментов управления в бассейне Нижнего Меконга. Ход выполнения каждой рекомендации будет отслеживаться с помощью стандартного документа УНО о принятых руководством мерах.</w:t>
      </w:r>
    </w:p>
    <w:p w14:paraId="3E650086" w14:textId="77777777" w:rsidR="00FF3A47" w:rsidRPr="00B91F3C" w:rsidRDefault="00FF3A47" w:rsidP="00FF3A47">
      <w:pPr>
        <w:keepNext/>
        <w:keepLines/>
        <w:spacing w:before="240" w:after="240" w:line="240" w:lineRule="auto"/>
        <w:outlineLvl w:val="1"/>
        <w:rPr>
          <w:rFonts w:eastAsiaTheme="majorEastAsia" w:cstheme="minorHAnsi"/>
          <w:b/>
          <w:bCs/>
          <w:snapToGrid w:val="0"/>
          <w:sz w:val="24"/>
          <w:szCs w:val="24"/>
        </w:rPr>
      </w:pPr>
      <w:bookmarkStart w:id="231" w:name="_Toc162534627"/>
      <w:bookmarkStart w:id="232" w:name="_Toc165899287"/>
      <w:r w:rsidRPr="00B91F3C">
        <w:rPr>
          <w:rFonts w:eastAsiaTheme="majorEastAsia" w:cstheme="minorHAnsi"/>
          <w:b/>
          <w:bCs/>
          <w:snapToGrid w:val="0"/>
          <w:sz w:val="24"/>
          <w:szCs w:val="24"/>
        </w:rPr>
        <w:t>Стратегическая оценка группы стран: обеспечиваемая ГЭФ поддержка странам с засушливыми районами, январь 2024 года</w:t>
      </w:r>
      <w:r w:rsidRPr="00B91F3C">
        <w:rPr>
          <w:rFonts w:eastAsiaTheme="majorEastAsia" w:cstheme="minorHAnsi"/>
          <w:b/>
          <w:bCs/>
          <w:snapToGrid w:val="0"/>
          <w:sz w:val="24"/>
          <w:szCs w:val="24"/>
          <w:vertAlign w:val="superscript"/>
        </w:rPr>
        <w:footnoteReference w:id="70"/>
      </w:r>
      <w:bookmarkEnd w:id="231"/>
      <w:bookmarkEnd w:id="232"/>
    </w:p>
    <w:bookmarkEnd w:id="230"/>
    <w:p w14:paraId="43D1DB0A" w14:textId="77777777" w:rsidR="00FF3A47" w:rsidRPr="00B91F3C" w:rsidRDefault="00FF3A47" w:rsidP="00FF3A47">
      <w:r w:rsidRPr="00B91F3C">
        <w:t xml:space="preserve">Засушливые районы, которые занимают более 40% поверхности Земли и в которых проживают более двух миллиардов человек, представляют собой территории, где экологические и социальные компромиссы могут иметь решающее значение. В данной стратегической оценке группы стран (СОГС) рассматриваются меры, принимаемые Глобальным экологическим фондом (ГЭФ) для решения экологических проблем в очень сложных условиях. Она дополняет и учитывает результаты предыдущих оценок Управления независимой оценки ГЭФ (УНО) по вопросам деградации земель, устойчивого землепользования и лесопользования и биоразнообразия. Оценка анализирует актуальность и согласованность проектов ГЭФ, а также их результаты и устойчивость. В ходе оценки было проанализировано 195 проектов, общей стоимостью примерно </w:t>
      </w:r>
      <w:r w:rsidRPr="00B91F3C">
        <w:lastRenderedPageBreak/>
        <w:t xml:space="preserve">1,1 млрд долл. США, выделенных ГЭФ, начиная с четвертого цикла пополнения, что составляет 5,2% от общего объема финансирования ГЭФ за этот период времени. </w:t>
      </w:r>
    </w:p>
    <w:p w14:paraId="64CCD79C"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По результатам оценки был сделан вывод о том, что поддержка ГЭФ вносит существенный вклад в решение основных экологических проблем засушливых районов. Помимо проблем нехватки воды и в определенной мере засухи, она также в значительной степени способствует устойчивости в качестве важной сопутствующей выгоды. Проекты ГЭФ осуществляются в странах и районах, где крайне остро стоят конкретные экологические проблемы, характерные для засушливых регионов, такие как деградация земель и опустынивание, изменение климата и обезлесение, при этом с течением времени все больше внимания уделяется биоразнообразию. Угрозы для биоразнообразия учитывались в большинстве проектов ГЭФ-6/ГЭФ-7 по сравнению с более ранними циклами. При этом 90% заинтересованных сторон в странах считают, что проблематика биоразнообразия надлежащим образом отражена в программах ГЭФ для засушливых районов. В то же время, опрошенные сотрудники учреждений и секретариата отметили сложности в обеспечении финансирования по линии целевой области «Биоразнообразие» для проектов многоцелевой направленности по засушливым районам. Это связано с мнением о том, что для таких районов не характерно богатое биоразнообразие глобального значения, нуждающееся в защите.</w:t>
      </w:r>
    </w:p>
    <w:p w14:paraId="217878BB"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В проектах ГЭФ по засушливым районам часто отмечалась несогласованность с политикой на этапе разработки, но меры по повышению согласованности или ослаблению ее влияния на эффективность и устойчивость проекта приносили ограниченные результаты. Обеспечение согласованности с национальной политикой на этапе разработки не всегда приводило к согласованности с местной политикой на этапе осуществления. При разработке проектов по засушливым районам учитывался политический контекст и определялись меры по устранению перекосов в политике и последствий утечек, а также по содействию синергии, в том числе в проектах более ранних циклов.</w:t>
      </w:r>
    </w:p>
    <w:p w14:paraId="25BC577B"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 xml:space="preserve">Использование индикаторов, основанных на площади, ограничивает возможности ГЭФ отслеживать весь спектр изменений состояния окружающей среды. Экологические результаты проектов ГЭФ по засушливым районам в основном представляются в гектарах. Значительно реже встречаются надежные измерения улучшений биофизических показателей, такие как анализ растительного покрова или запасы органического углерода почвы, которые подтвердили бы соответствующие изменения состояния окружающей среды. </w:t>
      </w:r>
    </w:p>
    <w:p w14:paraId="4574D057"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 xml:space="preserve">Работа на стыке усилий по охране окружающей среды и социально-экономическому развитию представляет особую актуальность для засушливых районов по сравнению со многими другими развивающимися регионами. ГЭФ успешно содействует взаимодополняющему воздействию между этими сферами, но пока не уделяет достаточного внимания смягчению последствий компромиссных решений. Взаимодополняющее воздействие между социально-экономическими и глобальными экологическими выгодами нашло широкое отражение в проектах по засушливым районам, а укрепление взаимосвязей между этими выгодами позволило обеспечить эффективность и повысить устойчивость результатов. Когда проекты отвечали интересам </w:t>
      </w:r>
      <w:r w:rsidRPr="00B91F3C">
        <w:rPr>
          <w:snapToGrid w:val="0"/>
          <w:sz w:val="24"/>
          <w:szCs w:val="24"/>
        </w:rPr>
        <w:lastRenderedPageBreak/>
        <w:t>местных социально-экономических приоритетов, часто связанных с решением проблемы нехватки воды, общины более активно принимали участие и внедряли экологические методы в засушливых районах.</w:t>
      </w:r>
    </w:p>
    <w:p w14:paraId="2D697E76"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Учет вопросов управления природными ресурсами при разработке проектов ГЭФ по засушливым районам не всегда воплощался в результаты. Аналогичным образом при разработке проектов не уделялось достаточного внимания учету конфликтов и вопросов землевладения, предусмотренному в программных направлениях ГЭФ. Проекты ГЭФ способствовали развитию потенциала на местном уровне для децентрализованного и инклюзивного принятия решений и планирования, однако зачастую созданные в рамках проектов механизмы управления при участии многих заинтересованных сторон, прекращали свое функционирование по завершении проекта.</w:t>
      </w:r>
    </w:p>
    <w:p w14:paraId="43253B13"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По итогам оценки были сформулированы четыре рекомендации: 1) в процессе подготовки к разработке и внедрению официальной рамочной программы по обеспечению согласованности политики в рамках ГЭФ-8 секретариат должен акцентировать внимание на субнациональном и местном уровнях в руководстве по повышению согласованности политики в проектах ГЭФ; 2) секретариат ГЭФ и его учреждения-партнеры должны обеспечить уделение повышенного внимания учету вопросов безопасности землевладения и разрешения конфликтов в контексте управления ресурсами в проектах и программах, а также в лежащей в их основе теории изменений; 3) секретариат ГЭФ и учреждения должны обеспечить, чтобы при разработке проектов и программ внимание в равной степени уделялось развитию взаимодополняющего воздействия и смягчению последствий компромиссных решений в области защиты окружающей среды и социально-экономического развития с надлежащим учетом влияния распределения ресурсов; 4) секретариат ГЭФ следует призывать учреждения предоставлять данные мониторинга основных индикаторов проекта, основанных на площади, отражающие соответствующие биофизические изменения.</w:t>
      </w:r>
    </w:p>
    <w:p w14:paraId="06582950"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Совет ГЭФ одобрил ответы руководства секретариата ГЭФ в связи с этими рекомендациями</w:t>
      </w:r>
      <w:r w:rsidRPr="00B91F3C">
        <w:rPr>
          <w:snapToGrid w:val="0"/>
          <w:sz w:val="24"/>
          <w:szCs w:val="24"/>
          <w:vertAlign w:val="superscript"/>
        </w:rPr>
        <w:footnoteReference w:id="71"/>
      </w:r>
      <w:r w:rsidRPr="00B91F3C">
        <w:rPr>
          <w:snapToGrid w:val="0"/>
          <w:sz w:val="24"/>
          <w:szCs w:val="24"/>
        </w:rPr>
        <w:t>. Секретариат ГЭФ уверен, что ценные уроки и рекомендации оценки позволят ГЭФ оказывать дальнейшую целенаправленную поддержку в засушливых районах на комплексной основе в рамках стратегий ГЭФ-8 и последующих циклов в соответствии с национальными приоритетами и международными амбициозными целями, сформулированными в соответствующих МПС. Проекты в странах с засушливыми районами останутся приоритетным направлением стратегии целевой области «Деградация земель» и будут способствовать расширению взаимодействия с другими целевыми областями ГЭФ, а также стратегиями ФНРС и СФБИК. Ход выполнения всех рекомендаций будет отслеживаться с помощью стандартного документа УНО о принятых руководством мерах. Секретариат ГЭФ также учтет выводы и рекомендации данной оценки при подготовке стратегии целевой области «Деградация земель» в контексте переговоров по девятому циклу пополнения ГЭФ.</w:t>
      </w:r>
    </w:p>
    <w:p w14:paraId="7F359AA1" w14:textId="77777777" w:rsidR="00FF3A47" w:rsidRPr="00B91F3C" w:rsidRDefault="00FF3A47" w:rsidP="00FF3A47">
      <w:pPr>
        <w:keepNext/>
        <w:keepLines/>
        <w:spacing w:before="240" w:after="240" w:line="240" w:lineRule="auto"/>
        <w:outlineLvl w:val="1"/>
        <w:rPr>
          <w:rFonts w:eastAsiaTheme="majorEastAsia" w:cstheme="minorHAnsi"/>
          <w:b/>
          <w:bCs/>
          <w:snapToGrid w:val="0"/>
          <w:sz w:val="24"/>
          <w:szCs w:val="24"/>
        </w:rPr>
      </w:pPr>
      <w:bookmarkStart w:id="233" w:name="_Toc162534628"/>
      <w:bookmarkStart w:id="234" w:name="_Toc165899288"/>
      <w:r w:rsidRPr="00B91F3C">
        <w:rPr>
          <w:rFonts w:eastAsiaTheme="majorEastAsia" w:cstheme="minorHAnsi"/>
          <w:b/>
          <w:bCs/>
          <w:snapToGrid w:val="0"/>
          <w:sz w:val="24"/>
          <w:szCs w:val="24"/>
        </w:rPr>
        <w:lastRenderedPageBreak/>
        <w:t>Оценка подходов, основанных на участии общин, в проектах ГЭФ, январь 2024 года</w:t>
      </w:r>
      <w:r w:rsidRPr="00B91F3C">
        <w:rPr>
          <w:rFonts w:eastAsiaTheme="majorEastAsia" w:cstheme="minorHAnsi"/>
          <w:b/>
          <w:bCs/>
          <w:snapToGrid w:val="0"/>
          <w:sz w:val="24"/>
          <w:szCs w:val="24"/>
          <w:vertAlign w:val="superscript"/>
        </w:rPr>
        <w:footnoteReference w:id="72"/>
      </w:r>
      <w:bookmarkEnd w:id="233"/>
      <w:bookmarkEnd w:id="234"/>
    </w:p>
    <w:p w14:paraId="467A1803"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 xml:space="preserve">Подходы, основанные на участии общин (ПУО), предусматривают активное вовлечение общин и людей в проекты, преследующие социальные и экологические цели. Они предоставляют заинтересованным сторонам право голоса и полномочия по принятию решений, делая их активными участниками, а не пассивными бенефициарами. Оценка была призвана определить, применяются ли такие подходы в проектах и программах ГЭФ, проанализировать их характеристики и их влияние на эффективность и устойчивость результатов мероприятий ГЭФ для извлечения обоснованных выводов по их оптимальному применению. В ходе оценки было проанализировано 190 проектов, применяющих подход, основанный на участии общин, с общим объемом финансирования в 1,02 млрд долл. США, охватывающих период с ГЭФ-4 по ГЭФ-7. В оценку вошли проекты целевых областей «Биоразнообразие», «Адаптация к изменению климата» и «Деградация земель», а также проекты многоцелевой направленности, включающие компоненты </w:t>
      </w:r>
      <w:proofErr w:type="spellStart"/>
      <w:r w:rsidRPr="00B91F3C">
        <w:rPr>
          <w:snapToGrid w:val="0"/>
          <w:sz w:val="24"/>
          <w:szCs w:val="24"/>
        </w:rPr>
        <w:t>вышеобозначенных</w:t>
      </w:r>
      <w:proofErr w:type="spellEnd"/>
      <w:r w:rsidRPr="00B91F3C">
        <w:rPr>
          <w:snapToGrid w:val="0"/>
          <w:sz w:val="24"/>
          <w:szCs w:val="24"/>
        </w:rPr>
        <w:t xml:space="preserve"> целевых областей. Проекты в области сохранения биоразнообразия занимали в оценке второе место по числу проектов (22%), и их доля в анализируемых проектах превышала долю проектов в области сохранения биоразнообразия в общем портфеле ГЭФ за тот же период времени. </w:t>
      </w:r>
    </w:p>
    <w:p w14:paraId="54F7F8F0"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 xml:space="preserve">Оценка продемонстрировала актуальное значение ПУО для ГЭФ, что подтверждается отражением данного подхода в многосторонних природоохранных соглашениях, проектах, программах и политике ГЭФ, а также в национальных приоритетах. Хотя использование этого подхода не предписано для финансируемых ГЭФ проектов, конвенции, обслуживаемые ГЭФ, особенно КООНБО, КБР и РКИКООН, содержат формулировки, отражающие ключевые аспекты ПУО (включая активное участие в разработке и осуществлении проектов). В соответствии с руководящими указаниями Конвенции стратегии ГЭФ для целевых областей, особенно таких как «Биоразнообразие», «Адаптация к изменению климата» и «Деградация земель», содержат ссылки на ключевые понятия ПУО, а в некоторых случаях прямо указывают на применение ПУО. </w:t>
      </w:r>
    </w:p>
    <w:p w14:paraId="481604D3"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 xml:space="preserve">В ходе оценки было установлено, что проекты ГЭФ, применяющие ПУО, демонстрируют более высокие показатели эффективности. Проекты, в которых применяется подход, основанный на участии общин, имеют более высокие оценки результатов по сравнению с портфелем проектов ГЭФ в целом. Проекты с применением ПУО также более часто связаны с улучшением состояния окружающей среды, в том числе благодаря оптимизации землепользования, восстановлению земель, связыванию углерода, борьбе с браконьерством и незаконной вырубкой лесов, защите исчезающих видов и улучшению качества воды, а также с более широким принятием и сопутствующими социально-экономическими выгодами, такими как устойчивость, расширение источников жизнеобеспечения, сокращение масштабов нищеты, управление и расширение прав и возможностей. </w:t>
      </w:r>
    </w:p>
    <w:p w14:paraId="0FC3F33D"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 xml:space="preserve">Устойчивость результатов проектов с применением ПУО после их завершения часто связана с изменением поведения и, в некоторой степени, с альтернативными </w:t>
      </w:r>
      <w:r w:rsidRPr="00B91F3C">
        <w:rPr>
          <w:snapToGrid w:val="0"/>
          <w:sz w:val="24"/>
          <w:szCs w:val="24"/>
        </w:rPr>
        <w:lastRenderedPageBreak/>
        <w:t>источниками средств к существованию. Вероятность того, что меры по обеспечению средств к существованию продолжат применяться после завершения проекта, была выше, если они соответствовали местным условиям, были связаны с местными рынками и поддерживались частным сектором, гражданским обществом или другим проектом. Для обеспечения устойчивости намеченных экологических и социально-экономических сопутствующих выгод, процессы, связанные с ПУО, лучше всего поддерживать за счет постоянного взаимодействия.</w:t>
      </w:r>
    </w:p>
    <w:p w14:paraId="6B5723CE"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Согласно выводам оценки проекты ГЭФ с применением ПУО не всегда опираются на передовой опыт. Однако в новых проектах наблюдаются некоторые положительные изменения по сравнению с более ранними инициативами. Лишь немногие из выявленных проектов с применением ПУО могут быть охарактеризованы как «комплексные» с показателями выше среднего по шести аспектам передового опыта, определенным в оценке. Направления совершенствования включают выход за рамки консультаций для активного вовлечения местных общин в процесс принятия решений, учет местных институтов и обычаев, обеспечение отчетности исполнителей перед конечными пользователями, а также признание прав человека и принципов равенства. В последних проектах все реже наблюдается передача финансовых и технических ресурсов общинам, что является важным аспектом ПУО.</w:t>
      </w:r>
    </w:p>
    <w:p w14:paraId="09057BF8"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Проектный цикл ГЭФ вносит определенные сложности в осуществление проектов с применением ПУО, как с точки зрения привлечения местных заинтересованных сторон на этапе разработки, так и в плане предоставления достаточного времени для получения результатов до завершения проекта. Недостаток времени и ресурсов, выделяемых на подготовку проекта, может ограничить возможности для проведения разъяснительной работы, вовлечения и анализа, которые позволили бы отразить в проекте потребности, определенные непосредственно общинами. Проектный цикл продолжительностью от трех до пяти лет не всегда предоставляет достаточно времени для проведения всех этих мероприятий до завершения проекта.</w:t>
      </w:r>
    </w:p>
    <w:p w14:paraId="32717C63"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 xml:space="preserve">По итогам оценки были сформулированы три рекомендации: 1) секретариат ГЭФ должен обеспечить, чтобы политика и руководящие указания ГЭФ предусматривали возможность разработки проектов совместно с общинами в тех случаях, когда партнерство с общинами играет в проекте решающую роль; 2) секретариат ГЭФ совместно с Консультативной группой ГЭФ по науке и технике с учетом предыдущих руководящих указаний должен внести уточнения и предоставить руководящие указания относительно того, когда и как можно применять ПУО в проектах ГЭФ; 3) секретариат ГЭФ должен разработать подход для отслеживания передачи ответственности и/или финансовых ресурсов на местный уровень по мере необходимости в рамках проектов ГЭФ. </w:t>
      </w:r>
    </w:p>
    <w:p w14:paraId="46BDAAA5" w14:textId="77777777" w:rsidR="00FF3A47" w:rsidRPr="00B91F3C" w:rsidRDefault="00FF3A47" w:rsidP="00FF3A47">
      <w:pPr>
        <w:numPr>
          <w:ilvl w:val="0"/>
          <w:numId w:val="12"/>
        </w:numPr>
        <w:tabs>
          <w:tab w:val="left" w:pos="0"/>
        </w:tabs>
        <w:spacing w:before="240" w:after="240" w:line="240" w:lineRule="auto"/>
        <w:ind w:left="0" w:firstLine="0"/>
        <w:rPr>
          <w:snapToGrid w:val="0"/>
          <w:sz w:val="24"/>
          <w:szCs w:val="24"/>
        </w:rPr>
      </w:pPr>
      <w:r w:rsidRPr="00B91F3C">
        <w:rPr>
          <w:snapToGrid w:val="0"/>
          <w:sz w:val="24"/>
          <w:szCs w:val="24"/>
        </w:rPr>
        <w:t>Совет ГЭФ одобрил ответы руководства секретариата ГЭФ в связи с этими рекомендациями</w:t>
      </w:r>
      <w:r w:rsidRPr="00B91F3C">
        <w:rPr>
          <w:snapToGrid w:val="0"/>
          <w:sz w:val="24"/>
          <w:szCs w:val="24"/>
          <w:vertAlign w:val="superscript"/>
        </w:rPr>
        <w:footnoteReference w:id="73"/>
      </w:r>
      <w:r w:rsidRPr="00B91F3C">
        <w:rPr>
          <w:snapToGrid w:val="0"/>
          <w:sz w:val="24"/>
          <w:szCs w:val="24"/>
        </w:rPr>
        <w:t xml:space="preserve">. Секретариат ГЭФ приветствовал и поддержал ключевые выводы данной оценки в контексте начального этапа осуществления программной стратегии ГЭФ-8, в которой приоритетное внимание уделяется социальной интеграции и подходу на </w:t>
      </w:r>
      <w:r w:rsidRPr="00B91F3C">
        <w:rPr>
          <w:snapToGrid w:val="0"/>
          <w:sz w:val="24"/>
          <w:szCs w:val="24"/>
        </w:rPr>
        <w:lastRenderedPageBreak/>
        <w:t>основе участия всего общества. Секретариат ГЭФ в целом согласился с тремя рекомендациями и подтверждает важное значение обеспечения активного участия основных заинтересованных сторон в разработке и осуществлении проектов, финансируемых ГЭФ, а также поощрения подходов к управлению природными ресурсами, ориентированных на общины. Ход выполнения трех рекомендаций будет отслеживаться с помощью стандартного документа УНО о принятых руководством мерах. Секретариат ГЭФ также будет учитывать выводы и рекомендации оценки при подготовке к девятому циклу пополнения ГЭФ и разработке соответствующих программных направлений деятельности и повестки по вопросам политики на период ГЭФ-9.</w:t>
      </w:r>
    </w:p>
    <w:p w14:paraId="75485D1F" w14:textId="77777777" w:rsidR="00FF3A47" w:rsidRPr="00B91F3C" w:rsidRDefault="00FF3A47" w:rsidP="00FF3A47">
      <w:pPr>
        <w:jc w:val="center"/>
      </w:pPr>
      <w:r w:rsidRPr="00B91F3C">
        <w:t>__________</w:t>
      </w:r>
    </w:p>
    <w:p w14:paraId="73B9722D" w14:textId="77777777" w:rsidR="00FF3A47" w:rsidRPr="00BB0362" w:rsidRDefault="00FF3A47" w:rsidP="00FF3A47">
      <w:pPr>
        <w:pStyle w:val="Paragraphedeliste"/>
        <w:numPr>
          <w:ilvl w:val="0"/>
          <w:numId w:val="0"/>
        </w:numPr>
      </w:pPr>
    </w:p>
    <w:sectPr w:rsidR="00FF3A47" w:rsidRPr="00BB0362" w:rsidSect="009964DD">
      <w:headerReference w:type="default" r:id="rId51"/>
      <w:pgSz w:w="12240" w:h="15840"/>
      <w:pgMar w:top="1134" w:right="1440"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ABCF4C" w14:textId="77777777" w:rsidR="00130CCF" w:rsidRPr="00B91F3C" w:rsidRDefault="00130CCF" w:rsidP="00CB2F0E">
      <w:pPr>
        <w:spacing w:line="240" w:lineRule="auto"/>
      </w:pPr>
      <w:r w:rsidRPr="00B91F3C">
        <w:separator/>
      </w:r>
    </w:p>
  </w:endnote>
  <w:endnote w:type="continuationSeparator" w:id="0">
    <w:p w14:paraId="41BF6D81" w14:textId="77777777" w:rsidR="00130CCF" w:rsidRPr="00B91F3C" w:rsidRDefault="00130CCF" w:rsidP="00CB2F0E">
      <w:pPr>
        <w:spacing w:line="240" w:lineRule="auto"/>
      </w:pPr>
      <w:r w:rsidRPr="00B91F3C">
        <w:continuationSeparator/>
      </w:r>
    </w:p>
  </w:endnote>
  <w:endnote w:type="continuationNotice" w:id="1">
    <w:p w14:paraId="7F785855" w14:textId="77777777" w:rsidR="00130CCF" w:rsidRPr="00B91F3C" w:rsidRDefault="00130CC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charset w:val="00"/>
    <w:family w:val="auto"/>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42452535"/>
      <w:docPartObj>
        <w:docPartGallery w:val="Page Numbers (Bottom of Page)"/>
        <w:docPartUnique/>
      </w:docPartObj>
    </w:sdtPr>
    <w:sdtEndPr/>
    <w:sdtContent>
      <w:p w14:paraId="00A4E81D" w14:textId="52D6D118" w:rsidR="00EC0F8C" w:rsidRPr="00B91F3C" w:rsidRDefault="00EC0F8C">
        <w:pPr>
          <w:pStyle w:val="Pieddepage"/>
          <w:jc w:val="center"/>
        </w:pPr>
        <w:r w:rsidRPr="00B91F3C">
          <w:fldChar w:fldCharType="begin"/>
        </w:r>
        <w:r w:rsidRPr="00B91F3C">
          <w:instrText xml:space="preserve"> PAGE   \* MERGEFORMAT </w:instrText>
        </w:r>
        <w:r w:rsidRPr="00B91F3C">
          <w:fldChar w:fldCharType="separate"/>
        </w:r>
        <w:r w:rsidR="00516B45" w:rsidRPr="00B91F3C">
          <w:t>10</w:t>
        </w:r>
        <w:r w:rsidRPr="00B91F3C">
          <w:fldChar w:fldCharType="end"/>
        </w:r>
      </w:p>
    </w:sdtContent>
  </w:sdt>
  <w:p w14:paraId="0D1BE81E" w14:textId="77777777" w:rsidR="00EC0F8C" w:rsidRPr="00B91F3C" w:rsidRDefault="00EC0F8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D087C5" w14:textId="259E83D7" w:rsidR="00EC0F8C" w:rsidRPr="00B91F3C" w:rsidRDefault="00EC0F8C" w:rsidP="008E6054">
    <w:pPr>
      <w:pStyle w:val="Pieddepage"/>
      <w:jc w:val="center"/>
    </w:pPr>
  </w:p>
  <w:p w14:paraId="35A0DB57" w14:textId="77777777" w:rsidR="00EC0F8C" w:rsidRPr="00B91F3C" w:rsidRDefault="00EC0F8C" w:rsidP="008E6054">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1E95E4" w14:textId="77777777" w:rsidR="00EC0F8C" w:rsidRPr="00B91F3C" w:rsidRDefault="00EC0F8C">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65397228"/>
      <w:docPartObj>
        <w:docPartGallery w:val="Page Numbers (Bottom of Page)"/>
        <w:docPartUnique/>
      </w:docPartObj>
    </w:sdtPr>
    <w:sdtEndPr/>
    <w:sdtContent>
      <w:p w14:paraId="2E43BF68" w14:textId="77777777" w:rsidR="00EC0F8C" w:rsidRPr="00B91F3C" w:rsidRDefault="00EC0F8C" w:rsidP="008E6054">
        <w:pPr>
          <w:pStyle w:val="Pieddepage"/>
          <w:jc w:val="center"/>
        </w:pPr>
        <w:r w:rsidRPr="00B91F3C">
          <w:fldChar w:fldCharType="begin"/>
        </w:r>
        <w:r w:rsidRPr="00B91F3C">
          <w:instrText xml:space="preserve"> PAGE   \* MERGEFORMAT </w:instrText>
        </w:r>
        <w:r w:rsidRPr="00B91F3C">
          <w:fldChar w:fldCharType="separate"/>
        </w:r>
        <w:r w:rsidR="00516B45" w:rsidRPr="00B91F3C">
          <w:t>i</w:t>
        </w:r>
        <w:r w:rsidRPr="00B91F3C">
          <w:fldChar w:fldCharType="end"/>
        </w:r>
      </w:p>
    </w:sdtContent>
  </w:sdt>
  <w:p w14:paraId="048BB66C" w14:textId="77777777" w:rsidR="00EC0F8C" w:rsidRPr="00B91F3C" w:rsidRDefault="00EC0F8C" w:rsidP="008E6054">
    <w:pPr>
      <w:pStyle w:val="Pieddepag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A0FD95" w14:textId="4DA0EC9C" w:rsidR="00EC0F8C" w:rsidRPr="00B91F3C" w:rsidRDefault="000E0255">
    <w:pPr>
      <w:pStyle w:val="Pieddepage"/>
      <w:jc w:val="center"/>
    </w:pPr>
    <w:sdt>
      <w:sdtPr>
        <w:id w:val="64387514"/>
        <w:docPartObj>
          <w:docPartGallery w:val="Page Numbers (Bottom of Page)"/>
          <w:docPartUnique/>
        </w:docPartObj>
      </w:sdtPr>
      <w:sdtEndPr/>
      <w:sdtContent>
        <w:r w:rsidR="00EC0F8C" w:rsidRPr="00B91F3C">
          <w:fldChar w:fldCharType="begin"/>
        </w:r>
        <w:r w:rsidR="00EC0F8C" w:rsidRPr="00B91F3C">
          <w:instrText xml:space="preserve"> PAGE   \* MERGEFORMAT </w:instrText>
        </w:r>
        <w:r w:rsidR="00EC0F8C" w:rsidRPr="00B91F3C">
          <w:fldChar w:fldCharType="separate"/>
        </w:r>
        <w:r w:rsidR="00EC0F8C" w:rsidRPr="00B91F3C">
          <w:t>xxxvii</w:t>
        </w:r>
        <w:r w:rsidR="00EC0F8C" w:rsidRPr="00B91F3C">
          <w:fldChar w:fldCharType="end"/>
        </w:r>
      </w:sdtContent>
    </w:sdt>
  </w:p>
  <w:p w14:paraId="1C2D147F" w14:textId="77777777" w:rsidR="00EC0F8C" w:rsidRPr="00B91F3C" w:rsidRDefault="00EC0F8C">
    <w:pPr>
      <w:pStyle w:val="Pieddepag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6C310B" w14:textId="77777777" w:rsidR="00EC0F8C" w:rsidRPr="00B91F3C" w:rsidRDefault="000E0255">
    <w:pPr>
      <w:pStyle w:val="Pieddepage"/>
      <w:jc w:val="center"/>
    </w:pPr>
    <w:sdt>
      <w:sdtPr>
        <w:id w:val="184253430"/>
        <w:docPartObj>
          <w:docPartGallery w:val="Page Numbers (Bottom of Page)"/>
          <w:docPartUnique/>
        </w:docPartObj>
      </w:sdtPr>
      <w:sdtEndPr/>
      <w:sdtContent>
        <w:r w:rsidR="00EC0F8C" w:rsidRPr="00B91F3C">
          <w:fldChar w:fldCharType="begin"/>
        </w:r>
        <w:r w:rsidR="00EC0F8C" w:rsidRPr="00B91F3C">
          <w:instrText xml:space="preserve"> PAGE   \* MERGEFORMAT </w:instrText>
        </w:r>
        <w:r w:rsidR="00EC0F8C" w:rsidRPr="00B91F3C">
          <w:fldChar w:fldCharType="separate"/>
        </w:r>
        <w:r w:rsidR="00516B45" w:rsidRPr="00B91F3C">
          <w:t>ix</w:t>
        </w:r>
        <w:r w:rsidR="00EC0F8C" w:rsidRPr="00B91F3C">
          <w:fldChar w:fldCharType="end"/>
        </w:r>
      </w:sdtContent>
    </w:sdt>
  </w:p>
  <w:p w14:paraId="01A25CCD" w14:textId="77777777" w:rsidR="00EC0F8C" w:rsidRPr="00B91F3C" w:rsidRDefault="00EC0F8C">
    <w:pPr>
      <w:pStyle w:val="Pieddepag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7C6443" w14:textId="317F4365" w:rsidR="00EC0F8C" w:rsidRPr="00B91F3C" w:rsidRDefault="000E0255">
    <w:pPr>
      <w:pStyle w:val="Pieddepage"/>
      <w:jc w:val="center"/>
    </w:pPr>
    <w:sdt>
      <w:sdtPr>
        <w:id w:val="1772356828"/>
        <w:docPartObj>
          <w:docPartGallery w:val="Page Numbers (Bottom of Page)"/>
          <w:docPartUnique/>
        </w:docPartObj>
      </w:sdtPr>
      <w:sdtEndPr/>
      <w:sdtContent>
        <w:r w:rsidR="00EC0F8C" w:rsidRPr="00B91F3C">
          <w:fldChar w:fldCharType="begin"/>
        </w:r>
        <w:r w:rsidR="00EC0F8C" w:rsidRPr="00B91F3C">
          <w:instrText xml:space="preserve"> PAGE   \* MERGEFORMAT </w:instrText>
        </w:r>
        <w:r w:rsidR="00EC0F8C" w:rsidRPr="00B91F3C">
          <w:fldChar w:fldCharType="separate"/>
        </w:r>
        <w:r w:rsidR="00EC0F8C" w:rsidRPr="00B91F3C">
          <w:t>37</w:t>
        </w:r>
        <w:r w:rsidR="00EC0F8C" w:rsidRPr="00B91F3C">
          <w:fldChar w:fldCharType="end"/>
        </w:r>
      </w:sdtContent>
    </w:sdt>
  </w:p>
  <w:p w14:paraId="4467E8E7" w14:textId="77777777" w:rsidR="00EC0F8C" w:rsidRPr="00B91F3C" w:rsidRDefault="00EC0F8C">
    <w:pPr>
      <w:pStyle w:val="Pieddepage"/>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D6D810" w14:textId="58D136A8" w:rsidR="00EC0F8C" w:rsidRPr="00B91F3C" w:rsidRDefault="000E0255" w:rsidP="007655D1">
    <w:pPr>
      <w:pStyle w:val="Pieddepage"/>
      <w:jc w:val="center"/>
    </w:pPr>
    <w:sdt>
      <w:sdtPr>
        <w:id w:val="-1472434405"/>
        <w:docPartObj>
          <w:docPartGallery w:val="Page Numbers (Bottom of Page)"/>
          <w:docPartUnique/>
        </w:docPartObj>
      </w:sdtPr>
      <w:sdtEndPr/>
      <w:sdtContent>
        <w:r w:rsidR="00EC0F8C" w:rsidRPr="00B91F3C">
          <w:fldChar w:fldCharType="begin"/>
        </w:r>
        <w:r w:rsidR="00EC0F8C" w:rsidRPr="00B91F3C">
          <w:instrText xml:space="preserve"> PAGE   \* MERGEFORMAT </w:instrText>
        </w:r>
        <w:r w:rsidR="00EC0F8C" w:rsidRPr="00B91F3C">
          <w:fldChar w:fldCharType="separate"/>
        </w:r>
        <w:r w:rsidR="00516B45" w:rsidRPr="00B91F3C">
          <w:t>9</w:t>
        </w:r>
        <w:r w:rsidR="00EC0F8C" w:rsidRPr="00B91F3C">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B11D4D" w14:textId="77777777" w:rsidR="00130CCF" w:rsidRPr="00B91F3C" w:rsidRDefault="00130CCF" w:rsidP="00CB2F0E">
      <w:pPr>
        <w:spacing w:line="240" w:lineRule="auto"/>
      </w:pPr>
      <w:r w:rsidRPr="00B91F3C">
        <w:separator/>
      </w:r>
    </w:p>
  </w:footnote>
  <w:footnote w:type="continuationSeparator" w:id="0">
    <w:p w14:paraId="780B5498" w14:textId="77777777" w:rsidR="00130CCF" w:rsidRPr="00B91F3C" w:rsidRDefault="00130CCF" w:rsidP="00CB2F0E">
      <w:pPr>
        <w:spacing w:line="240" w:lineRule="auto"/>
      </w:pPr>
      <w:r w:rsidRPr="00B91F3C">
        <w:continuationSeparator/>
      </w:r>
    </w:p>
  </w:footnote>
  <w:footnote w:type="continuationNotice" w:id="1">
    <w:p w14:paraId="0C818EBF" w14:textId="77777777" w:rsidR="00130CCF" w:rsidRPr="00B91F3C" w:rsidRDefault="00130CCF">
      <w:pPr>
        <w:spacing w:line="240" w:lineRule="auto"/>
      </w:pPr>
    </w:p>
  </w:footnote>
  <w:footnote w:id="2">
    <w:p w14:paraId="36C1006A" w14:textId="77777777" w:rsidR="00EC0F8C" w:rsidRPr="00B91F3C" w:rsidRDefault="00EC0F8C" w:rsidP="0073642D">
      <w:pPr>
        <w:pStyle w:val="Footnote"/>
      </w:pPr>
      <w:r w:rsidRPr="00B91F3C">
        <w:rPr>
          <w:rStyle w:val="Appelnotedebasdep"/>
        </w:rPr>
        <w:t>*</w:t>
      </w:r>
      <w:r w:rsidRPr="00B91F3C">
        <w:t xml:space="preserve"> CBD/SBI/4/1.</w:t>
      </w:r>
    </w:p>
  </w:footnote>
  <w:footnote w:id="3">
    <w:p w14:paraId="6591825D" w14:textId="6269890E" w:rsidR="00EC0F8C" w:rsidRPr="00B91F3C" w:rsidRDefault="00EC0F8C" w:rsidP="0073642D">
      <w:pPr>
        <w:pStyle w:val="Notedebasdepage"/>
      </w:pPr>
      <w:r w:rsidRPr="00B91F3C">
        <w:rPr>
          <w:rStyle w:val="Appelnotedebasdep"/>
        </w:rPr>
        <w:footnoteRef/>
      </w:r>
      <w:r w:rsidRPr="00B91F3C">
        <w:t xml:space="preserve"> GEF, 2023, </w:t>
      </w:r>
      <w:hyperlink r:id="rId1" w:history="1">
        <w:proofErr w:type="spellStart"/>
        <w:r w:rsidRPr="00B91F3C">
          <w:rPr>
            <w:rStyle w:val="Lienhypertexte"/>
            <w:i/>
          </w:rPr>
          <w:t>Establishment</w:t>
        </w:r>
        <w:proofErr w:type="spellEnd"/>
        <w:r w:rsidRPr="00B91F3C">
          <w:rPr>
            <w:rStyle w:val="Lienhypertexte"/>
            <w:i/>
          </w:rPr>
          <w:t xml:space="preserve"> </w:t>
        </w:r>
        <w:proofErr w:type="spellStart"/>
        <w:r w:rsidRPr="00B91F3C">
          <w:rPr>
            <w:rStyle w:val="Lienhypertexte"/>
            <w:i/>
          </w:rPr>
          <w:t>of</w:t>
        </w:r>
        <w:proofErr w:type="spellEnd"/>
        <w:r w:rsidRPr="00B91F3C">
          <w:rPr>
            <w:rStyle w:val="Lienhypertexte"/>
            <w:i/>
          </w:rPr>
          <w:t xml:space="preserve"> a New Trust Fund: The Global </w:t>
        </w:r>
        <w:proofErr w:type="spellStart"/>
        <w:r w:rsidRPr="00B91F3C">
          <w:rPr>
            <w:rStyle w:val="Lienhypertexte"/>
            <w:i/>
          </w:rPr>
          <w:t>Biodiversity</w:t>
        </w:r>
        <w:proofErr w:type="spellEnd"/>
        <w:r w:rsidRPr="00B91F3C">
          <w:rPr>
            <w:rStyle w:val="Lienhypertexte"/>
            <w:i/>
          </w:rPr>
          <w:t xml:space="preserve"> Framework Fund</w:t>
        </w:r>
      </w:hyperlink>
      <w:r w:rsidRPr="00B91F3C">
        <w:t>, Council Document GEF/C.64/05/Rev.01.</w:t>
      </w:r>
    </w:p>
  </w:footnote>
  <w:footnote w:id="4">
    <w:p w14:paraId="1A4314C9" w14:textId="37ECC581" w:rsidR="00EC0F8C" w:rsidRPr="00B91F3C" w:rsidRDefault="00EC0F8C" w:rsidP="0073642D">
      <w:pPr>
        <w:pStyle w:val="Notedebasdepage"/>
      </w:pPr>
      <w:r w:rsidRPr="00B91F3C">
        <w:rPr>
          <w:rStyle w:val="Appelnotedebasdep"/>
        </w:rPr>
        <w:footnoteRef/>
      </w:r>
      <w:r w:rsidRPr="00B91F3C">
        <w:t xml:space="preserve"> GEF, 2023, </w:t>
      </w:r>
      <w:hyperlink r:id="rId2" w:history="1">
        <w:proofErr w:type="spellStart"/>
        <w:r w:rsidRPr="00B91F3C">
          <w:rPr>
            <w:rStyle w:val="Lienhypertexte"/>
            <w:i/>
          </w:rPr>
          <w:t>Programming</w:t>
        </w:r>
        <w:proofErr w:type="spellEnd"/>
        <w:r w:rsidRPr="00B91F3C">
          <w:rPr>
            <w:rStyle w:val="Lienhypertexte"/>
            <w:i/>
          </w:rPr>
          <w:t xml:space="preserve"> </w:t>
        </w:r>
        <w:proofErr w:type="spellStart"/>
        <w:r w:rsidRPr="00B91F3C">
          <w:rPr>
            <w:rStyle w:val="Lienhypertexte"/>
            <w:i/>
          </w:rPr>
          <w:t>Directions</w:t>
        </w:r>
        <w:proofErr w:type="spellEnd"/>
        <w:r w:rsidRPr="00B91F3C">
          <w:rPr>
            <w:rStyle w:val="Lienhypertexte"/>
            <w:i/>
          </w:rPr>
          <w:t xml:space="preserve"> </w:t>
        </w:r>
        <w:proofErr w:type="spellStart"/>
        <w:r w:rsidRPr="00B91F3C">
          <w:rPr>
            <w:rStyle w:val="Lienhypertexte"/>
            <w:i/>
          </w:rPr>
          <w:t>for</w:t>
        </w:r>
        <w:proofErr w:type="spellEnd"/>
        <w:r w:rsidRPr="00B91F3C">
          <w:rPr>
            <w:rStyle w:val="Lienhypertexte"/>
            <w:i/>
          </w:rPr>
          <w:t xml:space="preserve"> </w:t>
        </w:r>
        <w:proofErr w:type="spellStart"/>
        <w:r w:rsidRPr="00B91F3C">
          <w:rPr>
            <w:rStyle w:val="Lienhypertexte"/>
            <w:i/>
          </w:rPr>
          <w:t>the</w:t>
        </w:r>
        <w:proofErr w:type="spellEnd"/>
        <w:r w:rsidRPr="00B91F3C">
          <w:rPr>
            <w:rStyle w:val="Lienhypertexte"/>
            <w:i/>
          </w:rPr>
          <w:t xml:space="preserve"> Global </w:t>
        </w:r>
        <w:proofErr w:type="spellStart"/>
        <w:r w:rsidRPr="00B91F3C">
          <w:rPr>
            <w:rStyle w:val="Lienhypertexte"/>
            <w:i/>
          </w:rPr>
          <w:t>Biodiversity</w:t>
        </w:r>
        <w:proofErr w:type="spellEnd"/>
        <w:r w:rsidRPr="00B91F3C">
          <w:rPr>
            <w:rStyle w:val="Lienhypertexte"/>
            <w:i/>
          </w:rPr>
          <w:t xml:space="preserve"> Framework Fund</w:t>
        </w:r>
      </w:hyperlink>
      <w:r w:rsidRPr="00B91F3C">
        <w:t>, Council Document GEF/C.64/06/Rev.02.</w:t>
      </w:r>
    </w:p>
  </w:footnote>
  <w:footnote w:id="5">
    <w:p w14:paraId="4205B6AA" w14:textId="5EB3F150" w:rsidR="00EC0F8C" w:rsidRPr="00B91F3C" w:rsidRDefault="00EC0F8C" w:rsidP="0073642D">
      <w:pPr>
        <w:pStyle w:val="Notedebasdepage"/>
      </w:pPr>
      <w:r w:rsidRPr="00B91F3C">
        <w:rPr>
          <w:vertAlign w:val="superscript"/>
        </w:rPr>
        <w:footnoteRef/>
      </w:r>
      <w:r w:rsidRPr="00B91F3C">
        <w:t xml:space="preserve"> Эти показатели включают оплату услуг учреждений и гранты на подготовку проектов.</w:t>
      </w:r>
    </w:p>
  </w:footnote>
  <w:footnote w:id="6">
    <w:p w14:paraId="2923B7C3" w14:textId="125315DD" w:rsidR="00EC0F8C" w:rsidRPr="00B91F3C" w:rsidRDefault="00EC0F8C" w:rsidP="0073642D">
      <w:pPr>
        <w:pStyle w:val="Notedebasdepage"/>
      </w:pPr>
      <w:r w:rsidRPr="00B91F3C">
        <w:rPr>
          <w:vertAlign w:val="superscript"/>
        </w:rPr>
        <w:footnoteRef/>
      </w:r>
      <w:r w:rsidRPr="00B91F3C">
        <w:t xml:space="preserve"> Данные показатели не включают оплату услуг учреждений и ГПП. </w:t>
      </w:r>
    </w:p>
  </w:footnote>
  <w:footnote w:id="7">
    <w:p w14:paraId="01F5BE3E" w14:textId="386CE906" w:rsidR="00EC0F8C" w:rsidRPr="00B91F3C" w:rsidRDefault="00EC0F8C" w:rsidP="0073642D">
      <w:pPr>
        <w:pStyle w:val="Notedebasdepage"/>
      </w:pPr>
      <w:r w:rsidRPr="00B91F3C">
        <w:rPr>
          <w:vertAlign w:val="superscript"/>
        </w:rPr>
        <w:footnoteRef/>
      </w:r>
      <w:r w:rsidRPr="00B91F3C">
        <w:t xml:space="preserve"> Софинансирование для каждой программы широкого воздействия (ПШВ) отражает общий объем софинансирования ПШВ, так как не представляется возможным составить отчет по долям софинансирования применительно к вкладу различных целевых областей в ПШВ. В этой связи итоговые цифры в настоящей таблице не должны использоваться для расчета коэффициентов софинансирования.</w:t>
      </w:r>
    </w:p>
  </w:footnote>
  <w:footnote w:id="8">
    <w:p w14:paraId="4B901382" w14:textId="4D9CDA3B" w:rsidR="00EC0F8C" w:rsidRPr="00B91F3C" w:rsidRDefault="00EC0F8C" w:rsidP="0073642D">
      <w:pPr>
        <w:pStyle w:val="Notedebasdepage"/>
      </w:pPr>
      <w:r w:rsidRPr="00B91F3C">
        <w:rPr>
          <w:vertAlign w:val="superscript"/>
        </w:rPr>
        <w:footnoteRef/>
      </w:r>
      <w:r w:rsidRPr="00B91F3C">
        <w:rPr>
          <w:vertAlign w:val="superscript"/>
        </w:rPr>
        <w:t xml:space="preserve"> </w:t>
      </w:r>
      <w:r w:rsidRPr="00B91F3C">
        <w:t>Приведенные в этой строке ассигнования по СПРР относятся к проектам в целевой области «Биоразнообразие» и к проектам многоцелевой направленности, использующим средства на биоразнообразие и не входящим в ПШВ.</w:t>
      </w:r>
    </w:p>
  </w:footnote>
  <w:footnote w:id="9">
    <w:p w14:paraId="6C782F75" w14:textId="6D3592FD" w:rsidR="00EC0F8C" w:rsidRPr="00B91F3C" w:rsidRDefault="00EC0F8C" w:rsidP="0073642D">
      <w:pPr>
        <w:pStyle w:val="Notedebasdepage"/>
      </w:pPr>
      <w:r w:rsidRPr="00B91F3C">
        <w:rPr>
          <w:rStyle w:val="Appelnotedebasdep"/>
          <w:rFonts w:cs="Times New Roman"/>
        </w:rPr>
        <w:footnoteRef/>
      </w:r>
      <w:r w:rsidRPr="00B91F3C">
        <w:t xml:space="preserve"> Здесь приведены только ресурсы на биоразнообразие, выделенные этой ПШВ.</w:t>
      </w:r>
    </w:p>
  </w:footnote>
  <w:footnote w:id="10">
    <w:p w14:paraId="7CB39172" w14:textId="366D2F0D" w:rsidR="00EC0F8C" w:rsidRPr="00B91F3C" w:rsidRDefault="00EC0F8C" w:rsidP="0073642D">
      <w:pPr>
        <w:pStyle w:val="Notedebasdepage"/>
      </w:pPr>
      <w:r w:rsidRPr="00B91F3C">
        <w:rPr>
          <w:rStyle w:val="Appelnotedebasdep"/>
          <w:rFonts w:cs="Times New Roman"/>
        </w:rPr>
        <w:footnoteRef/>
      </w:r>
      <w:r w:rsidRPr="00B91F3C">
        <w:t xml:space="preserve"> Здесь приведены только ресурсы на биоразнообразие, выделенные этой ПШВ.</w:t>
      </w:r>
    </w:p>
  </w:footnote>
  <w:footnote w:id="11">
    <w:p w14:paraId="4CB43033" w14:textId="077BFBB0" w:rsidR="00EC0F8C" w:rsidRPr="00B91F3C" w:rsidRDefault="00EC0F8C" w:rsidP="0073642D">
      <w:pPr>
        <w:pStyle w:val="Notedebasdepage"/>
      </w:pPr>
      <w:r w:rsidRPr="00B91F3C">
        <w:rPr>
          <w:rStyle w:val="Appelnotedebasdep"/>
          <w:rFonts w:cs="Times New Roman"/>
        </w:rPr>
        <w:footnoteRef/>
      </w:r>
      <w:r w:rsidRPr="00B91F3C">
        <w:t xml:space="preserve"> Здесь приведены только ресурсы на биоразнообразие, выделенные этой ПШВ.</w:t>
      </w:r>
    </w:p>
  </w:footnote>
  <w:footnote w:id="12">
    <w:p w14:paraId="5B57C317" w14:textId="77777777" w:rsidR="00EC0F8C" w:rsidRPr="00B91F3C" w:rsidRDefault="00EC0F8C" w:rsidP="0073642D">
      <w:pPr>
        <w:pStyle w:val="Notedebasdepage"/>
      </w:pPr>
      <w:r w:rsidRPr="00B91F3C">
        <w:rPr>
          <w:rStyle w:val="Appelnotedebasdep"/>
        </w:rPr>
        <w:footnoteRef/>
      </w:r>
      <w:r w:rsidRPr="00B91F3C">
        <w:t xml:space="preserve"> Эти показатели включают оплату услуг учреждений и гранты на подготовку проектов.</w:t>
      </w:r>
    </w:p>
  </w:footnote>
  <w:footnote w:id="13">
    <w:p w14:paraId="153FEB78" w14:textId="3B290E12" w:rsidR="00EC0F8C" w:rsidRPr="00B91F3C" w:rsidRDefault="00EC0F8C" w:rsidP="0073642D">
      <w:pPr>
        <w:pStyle w:val="Notedebasdepage"/>
      </w:pPr>
      <w:r w:rsidRPr="00B91F3C">
        <w:rPr>
          <w:rStyle w:val="Appelnotedebasdep"/>
        </w:rPr>
        <w:footnoteRef/>
      </w:r>
      <w:r w:rsidRPr="00B91F3C">
        <w:t xml:space="preserve"> Этот показатель включает СПРР на биоразнообразие исключительно в независимых проектах и проектах, не являющихся КП.</w:t>
      </w:r>
    </w:p>
  </w:footnote>
  <w:footnote w:id="14">
    <w:p w14:paraId="750ED61B" w14:textId="08F6B916" w:rsidR="00EC0F8C" w:rsidRPr="00B91F3C" w:rsidRDefault="00EC0F8C" w:rsidP="0073642D">
      <w:pPr>
        <w:pStyle w:val="Notedebasdepage"/>
      </w:pPr>
      <w:r w:rsidRPr="00B91F3C">
        <w:rPr>
          <w:rStyle w:val="Appelnotedebasdep"/>
        </w:rPr>
        <w:footnoteRef/>
      </w:r>
      <w:r w:rsidRPr="00B91F3C">
        <w:t xml:space="preserve"> Программное финансирование КП, отраженное в настоящей таблице, включает только средства целевой области «Биоразнообразие» (т. е. страновая СПРР на биоразнообразие для КП, глобальные платформы КП в области биоразнообразия и паритетное стимулирование КП в области биоразнообразия). КП также получают финансирование через другие целевые области.</w:t>
      </w:r>
    </w:p>
  </w:footnote>
  <w:footnote w:id="15">
    <w:p w14:paraId="1AA01AB2" w14:textId="44A5DB7D" w:rsidR="00EC0F8C" w:rsidRPr="00B91F3C" w:rsidRDefault="00EC0F8C" w:rsidP="0073642D">
      <w:pPr>
        <w:pStyle w:val="Notedebasdepage"/>
      </w:pPr>
      <w:r w:rsidRPr="00B91F3C">
        <w:rPr>
          <w:vertAlign w:val="superscript"/>
        </w:rPr>
        <w:footnoteRef/>
      </w:r>
      <w:r w:rsidRPr="00B91F3C">
        <w:rPr>
          <w:vertAlign w:val="superscript"/>
        </w:rPr>
        <w:t xml:space="preserve"> </w:t>
      </w:r>
      <w:r w:rsidRPr="00B91F3C">
        <w:t>Эти показатели отражают всю сумму ГПП и оплату услуг по ГПП для программных подходов, которые включают средства на биоразнообразие.</w:t>
      </w:r>
    </w:p>
  </w:footnote>
  <w:footnote w:id="16">
    <w:p w14:paraId="7F40B35E" w14:textId="1B67D320" w:rsidR="00EC0F8C" w:rsidRPr="00B91F3C" w:rsidRDefault="00EC0F8C" w:rsidP="0073642D">
      <w:pPr>
        <w:pStyle w:val="Notedebasdepage"/>
      </w:pPr>
      <w:r w:rsidRPr="00B91F3C">
        <w:rPr>
          <w:rStyle w:val="Appelnotedebasdep"/>
        </w:rPr>
        <w:footnoteRef/>
      </w:r>
      <w:r w:rsidRPr="00B91F3C">
        <w:t xml:space="preserve"> </w:t>
      </w:r>
      <w:hyperlink r:id="rId3" w:history="1">
        <w:r w:rsidRPr="00B91F3C">
          <w:rPr>
            <w:rStyle w:val="Lienhypertexte"/>
          </w:rPr>
          <w:t>https://www.cbd.int/gbf/targets</w:t>
        </w:r>
      </w:hyperlink>
    </w:p>
  </w:footnote>
  <w:footnote w:id="17">
    <w:p w14:paraId="7BCFE341" w14:textId="2D1BA4BB" w:rsidR="00EC0F8C" w:rsidRPr="00061F32" w:rsidRDefault="00EC0F8C" w:rsidP="00607AA4">
      <w:pPr>
        <w:rPr>
          <w:rFonts w:ascii="Times New Roman" w:hAnsi="Times New Roman" w:cs="Times New Roman"/>
        </w:rPr>
      </w:pPr>
      <w:r w:rsidRPr="00061F32">
        <w:rPr>
          <w:rStyle w:val="Appelnotedebasdep"/>
          <w:rFonts w:ascii="Times New Roman" w:hAnsi="Times New Roman" w:cs="Times New Roman"/>
          <w:sz w:val="18"/>
          <w:szCs w:val="18"/>
        </w:rPr>
        <w:footnoteRef/>
      </w:r>
      <w:r w:rsidRPr="00061F32">
        <w:rPr>
          <w:rFonts w:ascii="Times New Roman" w:hAnsi="Times New Roman" w:cs="Times New Roman"/>
          <w:sz w:val="18"/>
        </w:rPr>
        <w:t xml:space="preserve"> Настоящая таблица отражает непосредственный вклад этих КП в выполнение всех 23 задач КМГПБ. КП охватывают почти все 23 задачи ГПБ, за исключением задач 6, 12 и 17. Ни одна из КП не направлена непосредственно на выполнение задачи 6, хотя КП «Голубые и зеленые острова» может внести косвенный вклад в ее выполнение. КП «Устойчивое развитие городов», которая будет представлена в рамках будущей программы работы ГЭФ, может внести вклад в выполнение задачи 12. Задача 17, касающаяся биобезопасности, тоже не охвачена этими КП.  </w:t>
      </w:r>
    </w:p>
  </w:footnote>
  <w:footnote w:id="18">
    <w:p w14:paraId="714E375C" w14:textId="6A531A37" w:rsidR="00EC0F8C" w:rsidRPr="00B91F3C" w:rsidRDefault="00EC0F8C" w:rsidP="0073642D">
      <w:pPr>
        <w:pStyle w:val="Notedebasdepage"/>
      </w:pPr>
      <w:r w:rsidRPr="0021435D">
        <w:rPr>
          <w:rStyle w:val="Appelnotedebasdep"/>
        </w:rPr>
        <w:footnoteRef/>
      </w:r>
      <w:r w:rsidRPr="00B91F3C">
        <w:t xml:space="preserve"> Для определения целевых показателей по основным индикаторам применялись методика высокого уровня, а также расчеты для оценки вклада </w:t>
      </w:r>
      <w:r w:rsidR="0073642D" w:rsidRPr="00B91F3C">
        <w:t>в отношении всей</w:t>
      </w:r>
      <w:r w:rsidRPr="00B91F3C">
        <w:t xml:space="preserve"> программ</w:t>
      </w:r>
      <w:r w:rsidR="0073642D" w:rsidRPr="00B91F3C">
        <w:t>ы</w:t>
      </w:r>
      <w:r w:rsidRPr="00B91F3C">
        <w:t>, включая ее национальные подчиненные проекты. При этом для ускоренной оценки использовался подход «сверху вниз», так как в концептуальных записках национальных подчиненных проектов не была представлена подробная информация о мероприятиях. Более подробная и тщательно разработанная методика и расчеты будут подготовлены на этапе ГПП.</w:t>
      </w:r>
    </w:p>
    <w:p w14:paraId="60AEC346" w14:textId="77777777" w:rsidR="00EC0F8C" w:rsidRPr="00B91F3C" w:rsidRDefault="00EC0F8C" w:rsidP="0073642D">
      <w:pPr>
        <w:pStyle w:val="Notedebasdepage"/>
      </w:pPr>
    </w:p>
  </w:footnote>
  <w:footnote w:id="19">
    <w:p w14:paraId="39DCB01E" w14:textId="77D731F6" w:rsidR="00EC0F8C" w:rsidRPr="00B91F3C" w:rsidRDefault="00EC0F8C" w:rsidP="0073642D">
      <w:pPr>
        <w:pStyle w:val="Notedebasdepage"/>
      </w:pPr>
      <w:r w:rsidRPr="00B91F3C">
        <w:rPr>
          <w:vertAlign w:val="superscript"/>
        </w:rPr>
        <w:footnoteRef/>
      </w:r>
      <w:r w:rsidRPr="00B91F3C">
        <w:rPr>
          <w:vertAlign w:val="superscript"/>
        </w:rPr>
        <w:t xml:space="preserve"> </w:t>
      </w:r>
      <w:r w:rsidRPr="00B91F3C">
        <w:t xml:space="preserve">Данные показатели не включают оплату услуг учреждений или ГПП. </w:t>
      </w:r>
    </w:p>
  </w:footnote>
  <w:footnote w:id="20">
    <w:p w14:paraId="7CCA5677" w14:textId="77777777" w:rsidR="00EC0F8C" w:rsidRPr="00B91F3C" w:rsidRDefault="00EC0F8C" w:rsidP="0073642D">
      <w:pPr>
        <w:pStyle w:val="Notedebasdepage"/>
      </w:pPr>
      <w:r w:rsidRPr="00B91F3C">
        <w:rPr>
          <w:vertAlign w:val="superscript"/>
        </w:rPr>
        <w:footnoteRef/>
      </w:r>
      <w:r w:rsidRPr="00B91F3C">
        <w:rPr>
          <w:vertAlign w:val="superscript"/>
        </w:rPr>
        <w:t xml:space="preserve"> </w:t>
      </w:r>
      <w:r w:rsidRPr="00B91F3C">
        <w:t>Данные показатели не включают оплату услуг учреждений или ГПП.</w:t>
      </w:r>
    </w:p>
  </w:footnote>
  <w:footnote w:id="21">
    <w:p w14:paraId="7964209E" w14:textId="72573BDC" w:rsidR="00EC0F8C" w:rsidRPr="00B91F3C" w:rsidRDefault="00EC0F8C" w:rsidP="0073642D">
      <w:pPr>
        <w:pStyle w:val="Notedebasdepage"/>
      </w:pPr>
      <w:r w:rsidRPr="00B91F3C">
        <w:rPr>
          <w:rStyle w:val="Appelnotedebasdep"/>
        </w:rPr>
        <w:footnoteRef/>
      </w:r>
      <w:r w:rsidRPr="00B91F3C">
        <w:t xml:space="preserve"> В соответствии с решением 14/2023, в котором Совет ГЭФ разрешил использование средств в объеме до 34 млн долл. США для финансирования работы в поддержку ратификации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 и своевременных действий по его реализации в период ГЭФ-8, средства, условно выделенные на задачу 2 стратегии ГЭФ в области международных вод, будут в полном объеме направлены на оказание такой поддержки, что подробно описано в </w:t>
      </w:r>
      <w:hyperlink r:id="rId4" w:history="1">
        <w:r w:rsidRPr="00B91F3C">
          <w:rPr>
            <w:rStyle w:val="Lienhypertexte"/>
          </w:rPr>
          <w:t>документе Совета ГЭФ GEF/C.66/07</w:t>
        </w:r>
      </w:hyperlink>
      <w:r w:rsidRPr="00B91F3C">
        <w:t>.</w:t>
      </w:r>
    </w:p>
  </w:footnote>
  <w:footnote w:id="22">
    <w:p w14:paraId="13BC7574" w14:textId="3D0B080B" w:rsidR="00EC0F8C" w:rsidRPr="00B91F3C" w:rsidRDefault="00EC0F8C" w:rsidP="0073642D">
      <w:pPr>
        <w:pStyle w:val="Notedebasdepage"/>
        <w:rPr>
          <w:rFonts w:cstheme="minorBidi"/>
          <w:kern w:val="2"/>
          <w14:ligatures w14:val="standardContextual"/>
        </w:rPr>
      </w:pPr>
      <w:r w:rsidRPr="00B91F3C">
        <w:rPr>
          <w:rStyle w:val="Appelnotedebasdep"/>
        </w:rPr>
        <w:footnoteRef/>
      </w:r>
      <w:r w:rsidRPr="00B91F3C">
        <w:t xml:space="preserve"> Задачи КМГПБ, увязанные с задачей 2 стратегии ГЭФ в настоящей таблице, </w:t>
      </w:r>
      <w:r w:rsidR="00D72BDA" w:rsidRPr="00B91F3C">
        <w:rPr>
          <w:rFonts w:cs="Times New Roman"/>
        </w:rPr>
        <w:t>—</w:t>
      </w:r>
      <w:r w:rsidRPr="00B91F3C">
        <w:t xml:space="preserve"> это те задачи, в выполнение которых вступление в силу и реализация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 как ожидается, внесет наиболее су</w:t>
      </w:r>
      <w:r w:rsidR="00FA07CF" w:rsidRPr="00B91F3C">
        <w:t>щественный дополнительный вклад</w:t>
      </w:r>
      <w:r w:rsidRPr="00B91F3C">
        <w:t xml:space="preserve"> с учетом сферы охвата Соглашения и его полномочий в отношении биоразнообразия в районах за пределами действия национальной юрисдикции. Следовательно, ожидается, что поддержка ГЭФ ратификации Соглашения и соответствующих скорейших мероприятий будет косвенно способствовать выполнению этих задач.</w:t>
      </w:r>
    </w:p>
  </w:footnote>
  <w:footnote w:id="23">
    <w:p w14:paraId="12DE8D1C" w14:textId="54F89CBF" w:rsidR="00EC0F8C" w:rsidRPr="00B91F3C" w:rsidRDefault="00EC0F8C" w:rsidP="0073642D">
      <w:pPr>
        <w:pStyle w:val="Notedebasdepage"/>
      </w:pPr>
      <w:r w:rsidRPr="00B91F3C">
        <w:rPr>
          <w:vertAlign w:val="superscript"/>
        </w:rPr>
        <w:footnoteRef/>
      </w:r>
      <w:r w:rsidR="001D3275">
        <w:t xml:space="preserve"> </w:t>
      </w:r>
      <w:r w:rsidRPr="00B91F3C">
        <w:t xml:space="preserve">Эти показатели не включают оплату услуг учреждений или ГПП. </w:t>
      </w:r>
    </w:p>
  </w:footnote>
  <w:footnote w:id="24">
    <w:p w14:paraId="7610B6F8" w14:textId="0A973891" w:rsidR="00EC0F8C" w:rsidRPr="00B91F3C" w:rsidRDefault="00EC0F8C" w:rsidP="0073642D">
      <w:pPr>
        <w:pStyle w:val="Notedebasdepage"/>
      </w:pPr>
      <w:r w:rsidRPr="00B91F3C">
        <w:rPr>
          <w:rStyle w:val="Appelnotedebasdep"/>
        </w:rPr>
        <w:footnoteRef/>
      </w:r>
      <w:r w:rsidRPr="00B91F3C">
        <w:t xml:space="preserve"> </w:t>
      </w:r>
      <w:hyperlink r:id="rId5" w:history="1">
        <w:r w:rsidRPr="00B91F3C">
          <w:rPr>
            <w:rStyle w:val="Lienhypertexte"/>
          </w:rPr>
          <w:t>https://sgp.undp.org/innovation-library/item/2458-gef-small-grants-programme-annual-monitoring-report-2022---2023-(summary-infograph</w:t>
        </w:r>
        <w:r w:rsidRPr="00B91F3C">
          <w:rPr>
            <w:rStyle w:val="Lienhypertexte"/>
          </w:rPr>
          <w:t>i</w:t>
        </w:r>
        <w:r w:rsidRPr="00B91F3C">
          <w:rPr>
            <w:rStyle w:val="Lienhypertexte"/>
          </w:rPr>
          <w:t>c).html</w:t>
        </w:r>
      </w:hyperlink>
    </w:p>
    <w:p w14:paraId="7A484B71" w14:textId="77777777" w:rsidR="00EC0F8C" w:rsidRPr="00B91F3C" w:rsidRDefault="00EC0F8C" w:rsidP="0073642D">
      <w:pPr>
        <w:pStyle w:val="Notedebasdepage"/>
      </w:pPr>
    </w:p>
  </w:footnote>
  <w:footnote w:id="25">
    <w:p w14:paraId="5A7FD314" w14:textId="77777777" w:rsidR="00FF3A47" w:rsidRPr="00CD3925" w:rsidRDefault="00FF3A47" w:rsidP="00FF3A47">
      <w:pPr>
        <w:pStyle w:val="Notedebasdepage"/>
        <w:rPr>
          <w:rFonts w:cs="Times New Roman"/>
        </w:rPr>
      </w:pPr>
      <w:r w:rsidRPr="00CD3925">
        <w:rPr>
          <w:rFonts w:cs="Times New Roman"/>
          <w:vertAlign w:val="superscript"/>
        </w:rPr>
        <w:footnoteRef/>
      </w:r>
      <w:r w:rsidRPr="00CD3925">
        <w:rPr>
          <w:rFonts w:cs="Times New Roman"/>
        </w:rPr>
        <w:t xml:space="preserve"> Эти показатели включают оплату услуг учреждений и ГПП. </w:t>
      </w:r>
    </w:p>
  </w:footnote>
  <w:footnote w:id="26">
    <w:p w14:paraId="74D19BD3" w14:textId="77777777" w:rsidR="00FF3A47" w:rsidRPr="00CD3925" w:rsidRDefault="00FF3A47" w:rsidP="00FF3A47">
      <w:pPr>
        <w:pStyle w:val="Notedebasdepage"/>
        <w:rPr>
          <w:rFonts w:cs="Times New Roman"/>
        </w:rPr>
      </w:pPr>
      <w:r w:rsidRPr="00CD3925">
        <w:rPr>
          <w:rStyle w:val="Appelnotedebasdep"/>
          <w:rFonts w:cs="Times New Roman"/>
        </w:rPr>
        <w:footnoteRef/>
      </w:r>
      <w:r w:rsidRPr="00CD3925">
        <w:rPr>
          <w:rFonts w:cs="Times New Roman"/>
        </w:rPr>
        <w:t xml:space="preserve"> Этот показатель включает СПРР на биоразнообразие исключительно в независимых проектах и проектах, не являющихся КП.</w:t>
      </w:r>
    </w:p>
  </w:footnote>
  <w:footnote w:id="27">
    <w:p w14:paraId="2853EDA2" w14:textId="77777777" w:rsidR="00FF3A47" w:rsidRPr="00B91F3C" w:rsidRDefault="00FF3A47" w:rsidP="00FF3A47">
      <w:pPr>
        <w:pStyle w:val="Notedebasdepage"/>
      </w:pPr>
      <w:r w:rsidRPr="00CD3925">
        <w:rPr>
          <w:rStyle w:val="Appelnotedebasdep"/>
          <w:rFonts w:cs="Times New Roman"/>
        </w:rPr>
        <w:footnoteRef/>
      </w:r>
      <w:r w:rsidRPr="00CD3925">
        <w:rPr>
          <w:rFonts w:cs="Times New Roman"/>
        </w:rPr>
        <w:t xml:space="preserve"> Финансирование КП, включая все источники финансирования. Из этой суммы 575,94 млн долл. составляют страновые ассигнования для КП в области БР в рамках СПРР, а 261,42 млн долл. </w:t>
      </w:r>
      <w:r w:rsidRPr="00CD3925">
        <w:rPr>
          <w:rFonts w:eastAsia="Yu Mincho" w:cs="Times New Roman"/>
        </w:rPr>
        <w:t>– ассигнования глобальных платформ КШВ в области БР и механизма стимулирования КШВ в области БР</w:t>
      </w:r>
      <w:r w:rsidRPr="00CD3925">
        <w:rPr>
          <w:rFonts w:cs="Times New Roman"/>
        </w:rPr>
        <w:t>.</w:t>
      </w:r>
    </w:p>
  </w:footnote>
  <w:footnote w:id="28">
    <w:p w14:paraId="36D01C9F" w14:textId="77777777" w:rsidR="00FF3A47" w:rsidRPr="00B91F3C" w:rsidRDefault="00FF3A47" w:rsidP="00FF3A47">
      <w:pPr>
        <w:pStyle w:val="Notedebasdepage"/>
      </w:pPr>
      <w:r w:rsidRPr="00B91F3C">
        <w:rPr>
          <w:rStyle w:val="Appelnotedebasdep"/>
        </w:rPr>
        <w:footnoteRef/>
      </w:r>
      <w:r w:rsidRPr="00B91F3C">
        <w:t xml:space="preserve"> </w:t>
      </w:r>
      <w:hyperlink r:id="rId6" w:history="1">
        <w:r w:rsidRPr="00B91F3C">
          <w:rPr>
            <w:rStyle w:val="Lienhypertexte"/>
          </w:rPr>
          <w:t>https://www.cbd.int/doc/decisions/cop-15/cop-15-dec-15-ru.pdf</w:t>
        </w:r>
      </w:hyperlink>
      <w:r w:rsidRPr="00B91F3C">
        <w:t xml:space="preserve"> </w:t>
      </w:r>
      <w:r w:rsidRPr="00B91F3C">
        <w:rPr>
          <w:rStyle w:val="Lienhypertexte"/>
        </w:rPr>
        <w:t xml:space="preserve"> </w:t>
      </w:r>
    </w:p>
    <w:p w14:paraId="68E6BF26" w14:textId="77777777" w:rsidR="00FF3A47" w:rsidRPr="00B91F3C" w:rsidRDefault="00FF3A47" w:rsidP="00FF3A47">
      <w:pPr>
        <w:pStyle w:val="Notedebasdepage"/>
      </w:pPr>
    </w:p>
  </w:footnote>
  <w:footnote w:id="29">
    <w:p w14:paraId="77400844" w14:textId="77777777" w:rsidR="00FF3A47" w:rsidRPr="00B91F3C" w:rsidRDefault="00FF3A47" w:rsidP="00FF3A47">
      <w:pPr>
        <w:pStyle w:val="Notedebasdepage"/>
      </w:pPr>
      <w:r w:rsidRPr="00B91F3C">
        <w:rPr>
          <w:rStyle w:val="Appelnotedebasdep"/>
          <w:kern w:val="18"/>
        </w:rPr>
        <w:footnoteRef/>
      </w:r>
      <w:r w:rsidRPr="00B91F3C">
        <w:t xml:space="preserve"> Рабочее резюме содержится в документе CBD/SBI/3/6/Add.2/Rev.1, а полный текст доклада – в документе CBD/SBI/3/INF/44.</w:t>
      </w:r>
    </w:p>
  </w:footnote>
  <w:footnote w:id="30">
    <w:p w14:paraId="6E8A1562" w14:textId="77777777" w:rsidR="00FF3A47" w:rsidRPr="00B91F3C" w:rsidRDefault="00FF3A47" w:rsidP="00FF3A47">
      <w:pPr>
        <w:pStyle w:val="Notedebasdepage"/>
      </w:pPr>
      <w:r w:rsidRPr="00B91F3C">
        <w:rPr>
          <w:rStyle w:val="Appelnotedebasdep"/>
        </w:rPr>
        <w:footnoteRef/>
      </w:r>
      <w:r w:rsidRPr="00B91F3C">
        <w:t xml:space="preserve"> </w:t>
      </w:r>
      <w:bookmarkStart w:id="163" w:name="_Hlk122084754"/>
      <w:r w:rsidRPr="00B91F3C">
        <w:t>Пополнение Глобального экологического фонда означает пополнение Целевого фонда Глобального экологического фонда.</w:t>
      </w:r>
      <w:bookmarkEnd w:id="163"/>
    </w:p>
  </w:footnote>
  <w:footnote w:id="31">
    <w:p w14:paraId="42633408" w14:textId="77777777" w:rsidR="00FF3A47" w:rsidRPr="00B91F3C" w:rsidRDefault="00FF3A47" w:rsidP="00FF3A47">
      <w:pPr>
        <w:pStyle w:val="Notedebasdepage"/>
      </w:pPr>
      <w:r w:rsidRPr="00B91F3C">
        <w:rPr>
          <w:rStyle w:val="Appelnotedebasdep"/>
        </w:rPr>
        <w:footnoteRef/>
      </w:r>
      <w:r w:rsidRPr="00B91F3C">
        <w:t xml:space="preserve"> Решение 15/4, приложение.</w:t>
      </w:r>
    </w:p>
  </w:footnote>
  <w:footnote w:id="32">
    <w:p w14:paraId="72CFF23E" w14:textId="77777777" w:rsidR="00FF3A47" w:rsidRPr="00B91F3C" w:rsidRDefault="00FF3A47" w:rsidP="00FF3A47">
      <w:pPr>
        <w:pStyle w:val="Notedebasdepage"/>
      </w:pPr>
      <w:r w:rsidRPr="00B91F3C">
        <w:rPr>
          <w:rStyle w:val="Appelnotedebasdep"/>
        </w:rPr>
        <w:footnoteRef/>
      </w:r>
      <w:r w:rsidRPr="00B91F3C">
        <w:t xml:space="preserve"> Решение 15/5, приложение I.</w:t>
      </w:r>
    </w:p>
  </w:footnote>
  <w:footnote w:id="33">
    <w:p w14:paraId="2E8D1E79" w14:textId="77777777" w:rsidR="00FF3A47" w:rsidRPr="00B91F3C" w:rsidRDefault="00FF3A47" w:rsidP="00FF3A47">
      <w:pPr>
        <w:pStyle w:val="Notedebasdepage"/>
      </w:pPr>
      <w:r w:rsidRPr="00B91F3C">
        <w:rPr>
          <w:rStyle w:val="Appelnotedebasdep"/>
        </w:rPr>
        <w:footnoteRef/>
      </w:r>
      <w:r w:rsidRPr="00B91F3C">
        <w:t xml:space="preserve"> GEF, 2024, </w:t>
      </w:r>
      <w:hyperlink r:id="rId7" w:history="1">
        <w:proofErr w:type="spellStart"/>
        <w:r w:rsidRPr="00B91F3C">
          <w:rPr>
            <w:rStyle w:val="Lienhypertexte"/>
            <w:i/>
          </w:rPr>
          <w:t>Streamlining</w:t>
        </w:r>
        <w:proofErr w:type="spellEnd"/>
        <w:r w:rsidRPr="00B91F3C">
          <w:rPr>
            <w:rStyle w:val="Lienhypertexte"/>
            <w:i/>
          </w:rPr>
          <w:t xml:space="preserve"> </w:t>
        </w:r>
        <w:proofErr w:type="spellStart"/>
        <w:r w:rsidRPr="00B91F3C">
          <w:rPr>
            <w:rStyle w:val="Lienhypertexte"/>
            <w:i/>
          </w:rPr>
          <w:t>the</w:t>
        </w:r>
        <w:proofErr w:type="spellEnd"/>
        <w:r w:rsidRPr="00B91F3C">
          <w:rPr>
            <w:rStyle w:val="Lienhypertexte"/>
            <w:i/>
          </w:rPr>
          <w:t xml:space="preserve"> GEF Project </w:t>
        </w:r>
        <w:proofErr w:type="spellStart"/>
        <w:r w:rsidRPr="00B91F3C">
          <w:rPr>
            <w:rStyle w:val="Lienhypertexte"/>
            <w:i/>
          </w:rPr>
          <w:t>Cycle</w:t>
        </w:r>
        <w:proofErr w:type="spellEnd"/>
      </w:hyperlink>
      <w:r w:rsidRPr="00B91F3C">
        <w:t xml:space="preserve">, Council </w:t>
      </w:r>
      <w:proofErr w:type="spellStart"/>
      <w:r w:rsidRPr="00B91F3C">
        <w:t>document</w:t>
      </w:r>
      <w:proofErr w:type="spellEnd"/>
      <w:r w:rsidRPr="00B91F3C">
        <w:t xml:space="preserve"> GEF/C.66/08/Rev.03.</w:t>
      </w:r>
    </w:p>
  </w:footnote>
  <w:footnote w:id="34">
    <w:p w14:paraId="76D6DBCC" w14:textId="77777777" w:rsidR="00FF3A47" w:rsidRPr="00B91F3C" w:rsidRDefault="00FF3A47" w:rsidP="00FF3A47">
      <w:pPr>
        <w:pStyle w:val="Notedebasdepage"/>
      </w:pPr>
      <w:r w:rsidRPr="00B91F3C">
        <w:rPr>
          <w:rStyle w:val="Appelnotedebasdep"/>
        </w:rPr>
        <w:footnoteRef/>
      </w:r>
      <w:r w:rsidRPr="00B91F3C">
        <w:t xml:space="preserve"> CBD, 2023, </w:t>
      </w:r>
      <w:hyperlink r:id="rId8" w:history="1">
        <w:proofErr w:type="spellStart"/>
        <w:r w:rsidRPr="00B91F3C">
          <w:rPr>
            <w:rStyle w:val="Lienhypertexte"/>
            <w:i/>
          </w:rPr>
          <w:t>Consultations</w:t>
        </w:r>
        <w:proofErr w:type="spellEnd"/>
        <w:r w:rsidRPr="00B91F3C">
          <w:rPr>
            <w:rStyle w:val="Lienhypertexte"/>
            <w:i/>
          </w:rPr>
          <w:t xml:space="preserve"> </w:t>
        </w:r>
        <w:proofErr w:type="spellStart"/>
        <w:r w:rsidRPr="00B91F3C">
          <w:rPr>
            <w:rStyle w:val="Lienhypertexte"/>
            <w:i/>
          </w:rPr>
          <w:t>on</w:t>
        </w:r>
        <w:proofErr w:type="spellEnd"/>
        <w:r w:rsidRPr="00B91F3C">
          <w:rPr>
            <w:rStyle w:val="Lienhypertexte"/>
            <w:i/>
          </w:rPr>
          <w:t xml:space="preserve"> </w:t>
        </w:r>
        <w:proofErr w:type="spellStart"/>
        <w:r w:rsidRPr="00B91F3C">
          <w:rPr>
            <w:rStyle w:val="Lienhypertexte"/>
            <w:i/>
          </w:rPr>
          <w:t>the</w:t>
        </w:r>
        <w:proofErr w:type="spellEnd"/>
        <w:r w:rsidRPr="00B91F3C">
          <w:rPr>
            <w:rStyle w:val="Lienhypertexte"/>
            <w:i/>
          </w:rPr>
          <w:t xml:space="preserve"> </w:t>
        </w:r>
        <w:proofErr w:type="spellStart"/>
        <w:r w:rsidRPr="00B91F3C">
          <w:rPr>
            <w:rStyle w:val="Lienhypertexte"/>
            <w:i/>
          </w:rPr>
          <w:t>establishment</w:t>
        </w:r>
        <w:proofErr w:type="spellEnd"/>
        <w:r w:rsidRPr="00B91F3C">
          <w:rPr>
            <w:rStyle w:val="Lienhypertexte"/>
            <w:i/>
          </w:rPr>
          <w:t xml:space="preserve"> </w:t>
        </w:r>
        <w:proofErr w:type="spellStart"/>
        <w:r w:rsidRPr="00B91F3C">
          <w:rPr>
            <w:rStyle w:val="Lienhypertexte"/>
            <w:i/>
          </w:rPr>
          <w:t>of</w:t>
        </w:r>
        <w:proofErr w:type="spellEnd"/>
        <w:r w:rsidRPr="00B91F3C">
          <w:rPr>
            <w:rStyle w:val="Lienhypertexte"/>
            <w:i/>
          </w:rPr>
          <w:t xml:space="preserve"> </w:t>
        </w:r>
        <w:proofErr w:type="spellStart"/>
        <w:r w:rsidRPr="00B91F3C">
          <w:rPr>
            <w:rStyle w:val="Lienhypertexte"/>
            <w:i/>
          </w:rPr>
          <w:t>the</w:t>
        </w:r>
        <w:proofErr w:type="spellEnd"/>
        <w:r w:rsidRPr="00B91F3C">
          <w:rPr>
            <w:rStyle w:val="Lienhypertexte"/>
            <w:i/>
          </w:rPr>
          <w:t xml:space="preserve"> </w:t>
        </w:r>
        <w:proofErr w:type="spellStart"/>
        <w:r w:rsidRPr="00B91F3C">
          <w:rPr>
            <w:rStyle w:val="Lienhypertexte"/>
            <w:i/>
          </w:rPr>
          <w:t>Kunming-Montreal</w:t>
        </w:r>
        <w:proofErr w:type="spellEnd"/>
        <w:r w:rsidRPr="00B91F3C">
          <w:rPr>
            <w:rStyle w:val="Lienhypertexte"/>
            <w:i/>
          </w:rPr>
          <w:t xml:space="preserve"> Global </w:t>
        </w:r>
        <w:proofErr w:type="spellStart"/>
        <w:r w:rsidRPr="00B91F3C">
          <w:rPr>
            <w:rStyle w:val="Lienhypertexte"/>
            <w:i/>
          </w:rPr>
          <w:t>Biodiversity</w:t>
        </w:r>
        <w:proofErr w:type="spellEnd"/>
        <w:r w:rsidRPr="00B91F3C">
          <w:rPr>
            <w:rStyle w:val="Lienhypertexte"/>
            <w:i/>
          </w:rPr>
          <w:t xml:space="preserve"> Framework Fund </w:t>
        </w:r>
        <w:proofErr w:type="spellStart"/>
        <w:r w:rsidRPr="00B91F3C">
          <w:rPr>
            <w:rStyle w:val="Lienhypertexte"/>
            <w:i/>
          </w:rPr>
          <w:t>by</w:t>
        </w:r>
        <w:proofErr w:type="spellEnd"/>
        <w:r w:rsidRPr="00B91F3C">
          <w:rPr>
            <w:rStyle w:val="Lienhypertexte"/>
            <w:i/>
          </w:rPr>
          <w:t xml:space="preserve"> </w:t>
        </w:r>
        <w:proofErr w:type="spellStart"/>
        <w:r w:rsidRPr="00B91F3C">
          <w:rPr>
            <w:rStyle w:val="Lienhypertexte"/>
            <w:i/>
          </w:rPr>
          <w:t>the</w:t>
        </w:r>
        <w:proofErr w:type="spellEnd"/>
        <w:r w:rsidRPr="00B91F3C">
          <w:rPr>
            <w:rStyle w:val="Lienhypertexte"/>
            <w:i/>
          </w:rPr>
          <w:t xml:space="preserve"> Global Environment </w:t>
        </w:r>
        <w:proofErr w:type="spellStart"/>
        <w:r w:rsidRPr="00B91F3C">
          <w:rPr>
            <w:rStyle w:val="Lienhypertexte"/>
            <w:i/>
          </w:rPr>
          <w:t>Facility</w:t>
        </w:r>
        <w:proofErr w:type="spellEnd"/>
      </w:hyperlink>
      <w:r w:rsidRPr="00B91F3C">
        <w:t xml:space="preserve">, </w:t>
      </w:r>
      <w:proofErr w:type="spellStart"/>
      <w:r w:rsidRPr="00B91F3C">
        <w:t>Notification</w:t>
      </w:r>
      <w:proofErr w:type="spellEnd"/>
      <w:r w:rsidRPr="00B91F3C">
        <w:t xml:space="preserve"> </w:t>
      </w:r>
      <w:hyperlink r:id="rId9" w:history="1">
        <w:r w:rsidRPr="00B91F3C">
          <w:rPr>
            <w:rStyle w:val="Lienhypertexte"/>
          </w:rPr>
          <w:t>2023-041 (SCBD/IMS/NP/YX/GT/90953)</w:t>
        </w:r>
      </w:hyperlink>
      <w:r w:rsidRPr="00B91F3C">
        <w:t xml:space="preserve">. </w:t>
      </w:r>
    </w:p>
  </w:footnote>
  <w:footnote w:id="35">
    <w:p w14:paraId="2BBB2B21" w14:textId="77777777" w:rsidR="00FF3A47" w:rsidRPr="00B91F3C" w:rsidRDefault="00FF3A47" w:rsidP="00FF3A47">
      <w:pPr>
        <w:pStyle w:val="Notedebasdepage"/>
      </w:pPr>
      <w:r w:rsidRPr="00B91F3C">
        <w:rPr>
          <w:rStyle w:val="Appelnotedebasdep"/>
        </w:rPr>
        <w:footnoteRef/>
      </w:r>
      <w:r w:rsidRPr="00B91F3C">
        <w:t xml:space="preserve"> CBD, 2023, </w:t>
      </w:r>
      <w:hyperlink r:id="rId10" w:history="1">
        <w:proofErr w:type="spellStart"/>
        <w:r w:rsidRPr="00B91F3C">
          <w:rPr>
            <w:rStyle w:val="Lienhypertexte"/>
            <w:i/>
          </w:rPr>
          <w:t>Updated</w:t>
        </w:r>
        <w:proofErr w:type="spellEnd"/>
        <w:r w:rsidRPr="00B91F3C">
          <w:rPr>
            <w:rStyle w:val="Lienhypertexte"/>
            <w:i/>
          </w:rPr>
          <w:t xml:space="preserve"> </w:t>
        </w:r>
        <w:proofErr w:type="spellStart"/>
        <w:r w:rsidRPr="00B91F3C">
          <w:rPr>
            <w:rStyle w:val="Lienhypertexte"/>
            <w:i/>
          </w:rPr>
          <w:t>draft</w:t>
        </w:r>
        <w:proofErr w:type="spellEnd"/>
        <w:r w:rsidRPr="00B91F3C">
          <w:rPr>
            <w:rStyle w:val="Lienhypertexte"/>
            <w:i/>
          </w:rPr>
          <w:t xml:space="preserve"> </w:t>
        </w:r>
        <w:proofErr w:type="spellStart"/>
        <w:r w:rsidRPr="00B91F3C">
          <w:rPr>
            <w:rStyle w:val="Lienhypertexte"/>
            <w:i/>
          </w:rPr>
          <w:t>documents</w:t>
        </w:r>
        <w:proofErr w:type="spellEnd"/>
        <w:r w:rsidRPr="00B91F3C">
          <w:rPr>
            <w:rStyle w:val="Lienhypertexte"/>
            <w:i/>
          </w:rPr>
          <w:t xml:space="preserve"> </w:t>
        </w:r>
        <w:proofErr w:type="spellStart"/>
        <w:r w:rsidRPr="00B91F3C">
          <w:rPr>
            <w:rStyle w:val="Lienhypertexte"/>
            <w:i/>
          </w:rPr>
          <w:t>on</w:t>
        </w:r>
        <w:proofErr w:type="spellEnd"/>
        <w:r w:rsidRPr="00B91F3C">
          <w:rPr>
            <w:rStyle w:val="Lienhypertexte"/>
            <w:i/>
          </w:rPr>
          <w:t xml:space="preserve"> </w:t>
        </w:r>
        <w:proofErr w:type="spellStart"/>
        <w:r w:rsidRPr="00B91F3C">
          <w:rPr>
            <w:rStyle w:val="Lienhypertexte"/>
            <w:i/>
          </w:rPr>
          <w:t>the</w:t>
        </w:r>
        <w:proofErr w:type="spellEnd"/>
        <w:r w:rsidRPr="00B91F3C">
          <w:rPr>
            <w:rStyle w:val="Lienhypertexte"/>
            <w:i/>
          </w:rPr>
          <w:t xml:space="preserve"> </w:t>
        </w:r>
        <w:proofErr w:type="spellStart"/>
        <w:r w:rsidRPr="00B91F3C">
          <w:rPr>
            <w:rStyle w:val="Lienhypertexte"/>
            <w:i/>
          </w:rPr>
          <w:t>establishment</w:t>
        </w:r>
        <w:proofErr w:type="spellEnd"/>
        <w:r w:rsidRPr="00B91F3C">
          <w:rPr>
            <w:rStyle w:val="Lienhypertexte"/>
            <w:i/>
          </w:rPr>
          <w:t xml:space="preserve"> </w:t>
        </w:r>
        <w:proofErr w:type="spellStart"/>
        <w:r w:rsidRPr="00B91F3C">
          <w:rPr>
            <w:rStyle w:val="Lienhypertexte"/>
            <w:i/>
          </w:rPr>
          <w:t>of</w:t>
        </w:r>
        <w:proofErr w:type="spellEnd"/>
        <w:r w:rsidRPr="00B91F3C">
          <w:rPr>
            <w:rStyle w:val="Lienhypertexte"/>
            <w:i/>
          </w:rPr>
          <w:t xml:space="preserve"> </w:t>
        </w:r>
        <w:proofErr w:type="spellStart"/>
        <w:r w:rsidRPr="00B91F3C">
          <w:rPr>
            <w:rStyle w:val="Lienhypertexte"/>
            <w:i/>
          </w:rPr>
          <w:t>the</w:t>
        </w:r>
        <w:proofErr w:type="spellEnd"/>
        <w:r w:rsidRPr="00B91F3C">
          <w:rPr>
            <w:rStyle w:val="Lienhypertexte"/>
            <w:i/>
          </w:rPr>
          <w:t xml:space="preserve"> </w:t>
        </w:r>
        <w:proofErr w:type="spellStart"/>
        <w:r w:rsidRPr="00B91F3C">
          <w:rPr>
            <w:rStyle w:val="Lienhypertexte"/>
            <w:i/>
          </w:rPr>
          <w:t>Kunming-Montreal</w:t>
        </w:r>
        <w:proofErr w:type="spellEnd"/>
        <w:r w:rsidRPr="00B91F3C">
          <w:rPr>
            <w:rStyle w:val="Lienhypertexte"/>
            <w:i/>
          </w:rPr>
          <w:t xml:space="preserve"> Global </w:t>
        </w:r>
        <w:proofErr w:type="spellStart"/>
        <w:r w:rsidRPr="00B91F3C">
          <w:rPr>
            <w:rStyle w:val="Lienhypertexte"/>
            <w:i/>
          </w:rPr>
          <w:t>Biodiversity</w:t>
        </w:r>
        <w:proofErr w:type="spellEnd"/>
        <w:r w:rsidRPr="00B91F3C">
          <w:rPr>
            <w:rStyle w:val="Lienhypertexte"/>
            <w:i/>
          </w:rPr>
          <w:t xml:space="preserve"> Framework Fund </w:t>
        </w:r>
        <w:proofErr w:type="spellStart"/>
        <w:r w:rsidRPr="00B91F3C">
          <w:rPr>
            <w:rStyle w:val="Lienhypertexte"/>
            <w:i/>
          </w:rPr>
          <w:t>by</w:t>
        </w:r>
        <w:proofErr w:type="spellEnd"/>
        <w:r w:rsidRPr="00B91F3C">
          <w:rPr>
            <w:rStyle w:val="Lienhypertexte"/>
            <w:i/>
          </w:rPr>
          <w:t xml:space="preserve"> </w:t>
        </w:r>
        <w:proofErr w:type="spellStart"/>
        <w:r w:rsidRPr="00B91F3C">
          <w:rPr>
            <w:rStyle w:val="Lienhypertexte"/>
            <w:i/>
          </w:rPr>
          <w:t>the</w:t>
        </w:r>
        <w:proofErr w:type="spellEnd"/>
        <w:r w:rsidRPr="00B91F3C">
          <w:rPr>
            <w:rStyle w:val="Lienhypertexte"/>
            <w:i/>
          </w:rPr>
          <w:t xml:space="preserve"> Global Environment </w:t>
        </w:r>
        <w:proofErr w:type="spellStart"/>
        <w:r w:rsidRPr="00B91F3C">
          <w:rPr>
            <w:rStyle w:val="Lienhypertexte"/>
            <w:i/>
          </w:rPr>
          <w:t>Facility</w:t>
        </w:r>
        <w:proofErr w:type="spellEnd"/>
      </w:hyperlink>
      <w:r w:rsidRPr="00B91F3C">
        <w:rPr>
          <w:rStyle w:val="Lienhypertexte"/>
        </w:rPr>
        <w:t xml:space="preserve">, </w:t>
      </w:r>
      <w:proofErr w:type="spellStart"/>
      <w:r w:rsidRPr="00B91F3C">
        <w:rPr>
          <w:rStyle w:val="Lienhypertexte"/>
        </w:rPr>
        <w:t>Notification</w:t>
      </w:r>
      <w:proofErr w:type="spellEnd"/>
      <w:r w:rsidRPr="00B91F3C">
        <w:rPr>
          <w:rStyle w:val="Lienhypertexte"/>
        </w:rPr>
        <w:t xml:space="preserve"> </w:t>
      </w:r>
      <w:hyperlink r:id="rId11" w:history="1">
        <w:r w:rsidRPr="00B91F3C">
          <w:rPr>
            <w:rStyle w:val="Lienhypertexte"/>
          </w:rPr>
          <w:t>2023-056 (SCBD/IMS/NP/YX/GT/90953)</w:t>
        </w:r>
      </w:hyperlink>
      <w:r w:rsidRPr="00B91F3C">
        <w:rPr>
          <w:rStyle w:val="Lienhypertexte"/>
        </w:rPr>
        <w:t>.</w:t>
      </w:r>
    </w:p>
  </w:footnote>
  <w:footnote w:id="36">
    <w:p w14:paraId="46725AF1" w14:textId="77777777" w:rsidR="00FF3A47" w:rsidRPr="00B91F3C" w:rsidRDefault="00FF3A47" w:rsidP="00FF3A47">
      <w:pPr>
        <w:pStyle w:val="Notedebasdepage"/>
      </w:pPr>
      <w:r w:rsidRPr="00B91F3C">
        <w:rPr>
          <w:rStyle w:val="Appelnotedebasdep"/>
        </w:rPr>
        <w:footnoteRef/>
      </w:r>
      <w:r w:rsidRPr="00B91F3C">
        <w:t xml:space="preserve"> CBD, 2023, </w:t>
      </w:r>
      <w:hyperlink r:id="rId12" w:history="1">
        <w:r w:rsidRPr="00B91F3C">
          <w:rPr>
            <w:rStyle w:val="Lienhypertexte"/>
            <w:i/>
          </w:rPr>
          <w:t xml:space="preserve">Council </w:t>
        </w:r>
        <w:proofErr w:type="spellStart"/>
        <w:r w:rsidRPr="00B91F3C">
          <w:rPr>
            <w:rStyle w:val="Lienhypertexte"/>
            <w:i/>
          </w:rPr>
          <w:t>documents</w:t>
        </w:r>
        <w:proofErr w:type="spellEnd"/>
        <w:r w:rsidRPr="00B91F3C">
          <w:rPr>
            <w:rStyle w:val="Lienhypertexte"/>
            <w:i/>
          </w:rPr>
          <w:t xml:space="preserve"> </w:t>
        </w:r>
        <w:proofErr w:type="spellStart"/>
        <w:r w:rsidRPr="00B91F3C">
          <w:rPr>
            <w:rStyle w:val="Lienhypertexte"/>
            <w:i/>
          </w:rPr>
          <w:t>on</w:t>
        </w:r>
        <w:proofErr w:type="spellEnd"/>
        <w:r w:rsidRPr="00B91F3C">
          <w:rPr>
            <w:rStyle w:val="Lienhypertexte"/>
            <w:i/>
          </w:rPr>
          <w:t xml:space="preserve"> </w:t>
        </w:r>
        <w:proofErr w:type="spellStart"/>
        <w:r w:rsidRPr="00B91F3C">
          <w:rPr>
            <w:rStyle w:val="Lienhypertexte"/>
            <w:i/>
          </w:rPr>
          <w:t>the</w:t>
        </w:r>
        <w:proofErr w:type="spellEnd"/>
        <w:r w:rsidRPr="00B91F3C">
          <w:rPr>
            <w:rStyle w:val="Lienhypertexte"/>
            <w:i/>
          </w:rPr>
          <w:t xml:space="preserve"> </w:t>
        </w:r>
        <w:proofErr w:type="spellStart"/>
        <w:r w:rsidRPr="00B91F3C">
          <w:rPr>
            <w:rStyle w:val="Lienhypertexte"/>
            <w:i/>
          </w:rPr>
          <w:t>establishment</w:t>
        </w:r>
        <w:proofErr w:type="spellEnd"/>
        <w:r w:rsidRPr="00B91F3C">
          <w:rPr>
            <w:rStyle w:val="Lienhypertexte"/>
            <w:i/>
          </w:rPr>
          <w:t xml:space="preserve"> </w:t>
        </w:r>
        <w:proofErr w:type="spellStart"/>
        <w:r w:rsidRPr="00B91F3C">
          <w:rPr>
            <w:rStyle w:val="Lienhypertexte"/>
            <w:i/>
          </w:rPr>
          <w:t>of</w:t>
        </w:r>
        <w:proofErr w:type="spellEnd"/>
        <w:r w:rsidRPr="00B91F3C">
          <w:rPr>
            <w:rStyle w:val="Lienhypertexte"/>
            <w:i/>
          </w:rPr>
          <w:t xml:space="preserve"> </w:t>
        </w:r>
        <w:proofErr w:type="spellStart"/>
        <w:r w:rsidRPr="00B91F3C">
          <w:rPr>
            <w:rStyle w:val="Lienhypertexte"/>
            <w:i/>
          </w:rPr>
          <w:t>the</w:t>
        </w:r>
        <w:proofErr w:type="spellEnd"/>
        <w:r w:rsidRPr="00B91F3C">
          <w:rPr>
            <w:rStyle w:val="Lienhypertexte"/>
            <w:i/>
          </w:rPr>
          <w:t xml:space="preserve"> Global </w:t>
        </w:r>
        <w:proofErr w:type="spellStart"/>
        <w:r w:rsidRPr="00B91F3C">
          <w:rPr>
            <w:rStyle w:val="Lienhypertexte"/>
            <w:i/>
          </w:rPr>
          <w:t>Biodiversity</w:t>
        </w:r>
        <w:proofErr w:type="spellEnd"/>
        <w:r w:rsidRPr="00B91F3C">
          <w:rPr>
            <w:rStyle w:val="Lienhypertexte"/>
            <w:i/>
          </w:rPr>
          <w:t xml:space="preserve"> Framework Fund </w:t>
        </w:r>
        <w:proofErr w:type="spellStart"/>
        <w:r w:rsidRPr="00B91F3C">
          <w:rPr>
            <w:rStyle w:val="Lienhypertexte"/>
            <w:i/>
          </w:rPr>
          <w:t>by</w:t>
        </w:r>
        <w:proofErr w:type="spellEnd"/>
        <w:r w:rsidRPr="00B91F3C">
          <w:rPr>
            <w:rStyle w:val="Lienhypertexte"/>
            <w:i/>
          </w:rPr>
          <w:t xml:space="preserve"> </w:t>
        </w:r>
        <w:proofErr w:type="spellStart"/>
        <w:r w:rsidRPr="00B91F3C">
          <w:rPr>
            <w:rStyle w:val="Lienhypertexte"/>
            <w:i/>
          </w:rPr>
          <w:t>the</w:t>
        </w:r>
        <w:proofErr w:type="spellEnd"/>
        <w:r w:rsidRPr="00B91F3C">
          <w:rPr>
            <w:rStyle w:val="Lienhypertexte"/>
            <w:i/>
          </w:rPr>
          <w:t xml:space="preserve"> Global Environment </w:t>
        </w:r>
        <w:proofErr w:type="spellStart"/>
        <w:r w:rsidRPr="00B91F3C">
          <w:rPr>
            <w:rStyle w:val="Lienhypertexte"/>
            <w:i/>
          </w:rPr>
          <w:t>Facility</w:t>
        </w:r>
        <w:proofErr w:type="spellEnd"/>
      </w:hyperlink>
      <w:r w:rsidRPr="00B91F3C">
        <w:rPr>
          <w:rStyle w:val="Lienhypertexte"/>
          <w:i/>
        </w:rPr>
        <w:t xml:space="preserve">, </w:t>
      </w:r>
      <w:proofErr w:type="spellStart"/>
      <w:r w:rsidRPr="00B91F3C">
        <w:rPr>
          <w:rStyle w:val="Lienhypertexte"/>
        </w:rPr>
        <w:t>Notification</w:t>
      </w:r>
      <w:proofErr w:type="spellEnd"/>
      <w:r w:rsidRPr="00B91F3C">
        <w:rPr>
          <w:rStyle w:val="Lienhypertexte"/>
        </w:rPr>
        <w:t xml:space="preserve"> </w:t>
      </w:r>
      <w:proofErr w:type="gramStart"/>
      <w:r w:rsidRPr="00B91F3C">
        <w:rPr>
          <w:rStyle w:val="Lienhypertexte"/>
        </w:rPr>
        <w:t>2023-062</w:t>
      </w:r>
      <w:proofErr w:type="gramEnd"/>
      <w:r w:rsidRPr="00B91F3C">
        <w:rPr>
          <w:rStyle w:val="Lienhypertexte"/>
        </w:rPr>
        <w:t xml:space="preserve"> (SCBD/IMS/NP/YX/GT/90953).</w:t>
      </w:r>
    </w:p>
  </w:footnote>
  <w:footnote w:id="37">
    <w:p w14:paraId="2C17B41B" w14:textId="77777777" w:rsidR="00FF3A47" w:rsidRPr="00B91F3C" w:rsidRDefault="00FF3A47" w:rsidP="00FF3A47">
      <w:pPr>
        <w:pStyle w:val="Notedebasdepage"/>
      </w:pPr>
      <w:r w:rsidRPr="00B91F3C">
        <w:rPr>
          <w:rStyle w:val="Appelnotedebasdep"/>
        </w:rPr>
        <w:footnoteRef/>
      </w:r>
      <w:r w:rsidRPr="00B91F3C">
        <w:t xml:space="preserve"> GEF, 2023, </w:t>
      </w:r>
      <w:hyperlink r:id="rId13" w:history="1">
        <w:proofErr w:type="spellStart"/>
        <w:r w:rsidRPr="00B91F3C">
          <w:rPr>
            <w:rStyle w:val="Lienhypertexte"/>
            <w:i/>
          </w:rPr>
          <w:t>Establishment</w:t>
        </w:r>
        <w:proofErr w:type="spellEnd"/>
        <w:r w:rsidRPr="00B91F3C">
          <w:rPr>
            <w:rStyle w:val="Lienhypertexte"/>
            <w:i/>
          </w:rPr>
          <w:t xml:space="preserve"> </w:t>
        </w:r>
        <w:proofErr w:type="spellStart"/>
        <w:r w:rsidRPr="00B91F3C">
          <w:rPr>
            <w:rStyle w:val="Lienhypertexte"/>
            <w:i/>
          </w:rPr>
          <w:t>of</w:t>
        </w:r>
        <w:proofErr w:type="spellEnd"/>
        <w:r w:rsidRPr="00B91F3C">
          <w:rPr>
            <w:rStyle w:val="Lienhypertexte"/>
            <w:i/>
          </w:rPr>
          <w:t xml:space="preserve"> a New Trust Fund:</w:t>
        </w:r>
      </w:hyperlink>
      <w:hyperlink r:id="rId14" w:history="1">
        <w:r w:rsidRPr="00B91F3C">
          <w:rPr>
            <w:rStyle w:val="Lienhypertexte"/>
            <w:i/>
          </w:rPr>
          <w:t xml:space="preserve"> The Global </w:t>
        </w:r>
        <w:proofErr w:type="spellStart"/>
        <w:r w:rsidRPr="00B91F3C">
          <w:rPr>
            <w:rStyle w:val="Lienhypertexte"/>
            <w:i/>
          </w:rPr>
          <w:t>Biodiversity</w:t>
        </w:r>
        <w:proofErr w:type="spellEnd"/>
        <w:r w:rsidRPr="00B91F3C">
          <w:rPr>
            <w:rStyle w:val="Lienhypertexte"/>
            <w:i/>
          </w:rPr>
          <w:t xml:space="preserve"> Framework Fund</w:t>
        </w:r>
      </w:hyperlink>
      <w:r w:rsidRPr="00B91F3C">
        <w:t>, Council Document GEF/C.64/05/Rev.01.</w:t>
      </w:r>
    </w:p>
  </w:footnote>
  <w:footnote w:id="38">
    <w:p w14:paraId="24654082" w14:textId="77777777" w:rsidR="00FF3A47" w:rsidRPr="00B91F3C" w:rsidRDefault="00FF3A47" w:rsidP="00FF3A47">
      <w:pPr>
        <w:pStyle w:val="Notedebasdepage"/>
      </w:pPr>
      <w:r w:rsidRPr="00B91F3C">
        <w:rPr>
          <w:rStyle w:val="Appelnotedebasdep"/>
        </w:rPr>
        <w:footnoteRef/>
      </w:r>
      <w:r w:rsidRPr="00B91F3C">
        <w:t xml:space="preserve"> GEF, 2023, </w:t>
      </w:r>
      <w:hyperlink r:id="rId15" w:history="1">
        <w:proofErr w:type="spellStart"/>
        <w:r w:rsidRPr="00B91F3C">
          <w:rPr>
            <w:rStyle w:val="Lienhypertexte"/>
            <w:i/>
          </w:rPr>
          <w:t>Programming</w:t>
        </w:r>
        <w:proofErr w:type="spellEnd"/>
        <w:r w:rsidRPr="00B91F3C">
          <w:rPr>
            <w:rStyle w:val="Lienhypertexte"/>
            <w:i/>
          </w:rPr>
          <w:t xml:space="preserve"> </w:t>
        </w:r>
        <w:proofErr w:type="spellStart"/>
        <w:r w:rsidRPr="00B91F3C">
          <w:rPr>
            <w:rStyle w:val="Lienhypertexte"/>
            <w:i/>
          </w:rPr>
          <w:t>Directions</w:t>
        </w:r>
        <w:proofErr w:type="spellEnd"/>
        <w:r w:rsidRPr="00B91F3C">
          <w:rPr>
            <w:rStyle w:val="Lienhypertexte"/>
            <w:i/>
          </w:rPr>
          <w:t xml:space="preserve"> </w:t>
        </w:r>
        <w:proofErr w:type="spellStart"/>
        <w:r w:rsidRPr="00B91F3C">
          <w:rPr>
            <w:rStyle w:val="Lienhypertexte"/>
            <w:i/>
          </w:rPr>
          <w:t>for</w:t>
        </w:r>
        <w:proofErr w:type="spellEnd"/>
        <w:r w:rsidRPr="00B91F3C">
          <w:rPr>
            <w:rStyle w:val="Lienhypertexte"/>
            <w:i/>
          </w:rPr>
          <w:t xml:space="preserve"> </w:t>
        </w:r>
        <w:proofErr w:type="spellStart"/>
        <w:r w:rsidRPr="00B91F3C">
          <w:rPr>
            <w:rStyle w:val="Lienhypertexte"/>
            <w:i/>
          </w:rPr>
          <w:t>the</w:t>
        </w:r>
        <w:proofErr w:type="spellEnd"/>
        <w:r w:rsidRPr="00B91F3C">
          <w:rPr>
            <w:rStyle w:val="Lienhypertexte"/>
            <w:i/>
          </w:rPr>
          <w:t xml:space="preserve"> Global </w:t>
        </w:r>
        <w:proofErr w:type="spellStart"/>
        <w:r w:rsidRPr="00B91F3C">
          <w:rPr>
            <w:rStyle w:val="Lienhypertexte"/>
            <w:i/>
          </w:rPr>
          <w:t>Biodiversity</w:t>
        </w:r>
        <w:proofErr w:type="spellEnd"/>
        <w:r w:rsidRPr="00B91F3C">
          <w:rPr>
            <w:rStyle w:val="Lienhypertexte"/>
            <w:i/>
          </w:rPr>
          <w:t xml:space="preserve"> Framework Fund</w:t>
        </w:r>
      </w:hyperlink>
      <w:r w:rsidRPr="00B91F3C">
        <w:t>, Council Document GEF/C.64/06/Rev.02.</w:t>
      </w:r>
    </w:p>
  </w:footnote>
  <w:footnote w:id="39">
    <w:p w14:paraId="5B6886C1" w14:textId="77777777" w:rsidR="00FF3A47" w:rsidRPr="00B91F3C" w:rsidRDefault="00FF3A47" w:rsidP="00FF3A47">
      <w:pPr>
        <w:pStyle w:val="Notedebasdepage"/>
      </w:pPr>
      <w:r w:rsidRPr="00B91F3C">
        <w:rPr>
          <w:rStyle w:val="Appelnotedebasdep"/>
        </w:rPr>
        <w:footnoteRef/>
      </w:r>
      <w:r w:rsidRPr="00B91F3C">
        <w:t xml:space="preserve"> GEF, 2024, </w:t>
      </w:r>
      <w:hyperlink r:id="rId16" w:history="1">
        <w:r w:rsidRPr="00B91F3C">
          <w:rPr>
            <w:rStyle w:val="Lienhypertexte"/>
            <w:i/>
          </w:rPr>
          <w:t xml:space="preserve">Policy </w:t>
        </w:r>
        <w:proofErr w:type="spellStart"/>
        <w:r w:rsidRPr="00B91F3C">
          <w:rPr>
            <w:rStyle w:val="Lienhypertexte"/>
            <w:i/>
          </w:rPr>
          <w:t>on</w:t>
        </w:r>
        <w:proofErr w:type="spellEnd"/>
        <w:r w:rsidRPr="00B91F3C">
          <w:rPr>
            <w:rStyle w:val="Lienhypertexte"/>
            <w:i/>
          </w:rPr>
          <w:t xml:space="preserve"> </w:t>
        </w:r>
        <w:proofErr w:type="spellStart"/>
        <w:r w:rsidRPr="00B91F3C">
          <w:rPr>
            <w:rStyle w:val="Lienhypertexte"/>
            <w:i/>
          </w:rPr>
          <w:t>Allocation</w:t>
        </w:r>
        <w:proofErr w:type="spellEnd"/>
        <w:r w:rsidRPr="00B91F3C">
          <w:rPr>
            <w:rStyle w:val="Lienhypertexte"/>
            <w:i/>
          </w:rPr>
          <w:t xml:space="preserve"> </w:t>
        </w:r>
        <w:proofErr w:type="spellStart"/>
        <w:r w:rsidRPr="00B91F3C">
          <w:rPr>
            <w:rStyle w:val="Lienhypertexte"/>
            <w:i/>
          </w:rPr>
          <w:t>of</w:t>
        </w:r>
        <w:proofErr w:type="spellEnd"/>
        <w:r w:rsidRPr="00B91F3C">
          <w:rPr>
            <w:rStyle w:val="Lienhypertexte"/>
            <w:i/>
          </w:rPr>
          <w:t xml:space="preserve"> Resources </w:t>
        </w:r>
        <w:proofErr w:type="spellStart"/>
        <w:r w:rsidRPr="00B91F3C">
          <w:rPr>
            <w:rStyle w:val="Lienhypertexte"/>
            <w:i/>
          </w:rPr>
          <w:t>for</w:t>
        </w:r>
        <w:proofErr w:type="spellEnd"/>
        <w:r w:rsidRPr="00B91F3C">
          <w:rPr>
            <w:rStyle w:val="Lienhypertexte"/>
            <w:i/>
          </w:rPr>
          <w:t xml:space="preserve"> </w:t>
        </w:r>
        <w:proofErr w:type="spellStart"/>
        <w:r w:rsidRPr="00B91F3C">
          <w:rPr>
            <w:rStyle w:val="Lienhypertexte"/>
            <w:i/>
          </w:rPr>
          <w:t>the</w:t>
        </w:r>
        <w:proofErr w:type="spellEnd"/>
        <w:r w:rsidRPr="00B91F3C">
          <w:rPr>
            <w:rStyle w:val="Lienhypertexte"/>
            <w:i/>
          </w:rPr>
          <w:t xml:space="preserve"> Global </w:t>
        </w:r>
        <w:proofErr w:type="spellStart"/>
        <w:r w:rsidRPr="00B91F3C">
          <w:rPr>
            <w:rStyle w:val="Lienhypertexte"/>
            <w:i/>
          </w:rPr>
          <w:t>Biodiversity</w:t>
        </w:r>
        <w:proofErr w:type="spellEnd"/>
        <w:r w:rsidRPr="00B91F3C">
          <w:rPr>
            <w:rStyle w:val="Lienhypertexte"/>
            <w:i/>
          </w:rPr>
          <w:t xml:space="preserve"> Framework Fund</w:t>
        </w:r>
      </w:hyperlink>
      <w:r w:rsidRPr="00B91F3C">
        <w:t xml:space="preserve">, Council </w:t>
      </w:r>
      <w:proofErr w:type="spellStart"/>
      <w:r w:rsidRPr="00B91F3C">
        <w:t>document</w:t>
      </w:r>
      <w:proofErr w:type="spellEnd"/>
      <w:r w:rsidRPr="00B91F3C">
        <w:t xml:space="preserve"> GEF/GBFF.01/03/Rev.03.</w:t>
      </w:r>
    </w:p>
  </w:footnote>
  <w:footnote w:id="40">
    <w:p w14:paraId="5406778C" w14:textId="77777777" w:rsidR="00FF3A47" w:rsidRPr="00B91F3C" w:rsidRDefault="00FF3A47" w:rsidP="00FF3A47">
      <w:pPr>
        <w:pStyle w:val="Notedebasdepage"/>
      </w:pPr>
      <w:r w:rsidRPr="00B91F3C">
        <w:rPr>
          <w:rStyle w:val="Appelnotedebasdep"/>
        </w:rPr>
        <w:footnoteRef/>
      </w:r>
      <w:r w:rsidRPr="00B91F3C">
        <w:t xml:space="preserve"> Решение 15/7.</w:t>
      </w:r>
    </w:p>
  </w:footnote>
  <w:footnote w:id="41">
    <w:p w14:paraId="1725231C" w14:textId="77777777" w:rsidR="00FF3A47" w:rsidRPr="00B91F3C" w:rsidRDefault="00FF3A47" w:rsidP="00FF3A47">
      <w:pPr>
        <w:pStyle w:val="Notedebasdepage"/>
      </w:pPr>
      <w:r w:rsidRPr="00B91F3C">
        <w:rPr>
          <w:rStyle w:val="Appelnotedebasdep"/>
        </w:rPr>
        <w:footnoteRef/>
      </w:r>
      <w:r w:rsidRPr="00B91F3C">
        <w:t xml:space="preserve"> Решение 15/8, приложение I.</w:t>
      </w:r>
    </w:p>
  </w:footnote>
  <w:footnote w:id="42">
    <w:p w14:paraId="06C09635" w14:textId="77777777" w:rsidR="00FF3A47" w:rsidRPr="00B91F3C" w:rsidRDefault="00FF3A47" w:rsidP="00FF3A47">
      <w:pPr>
        <w:pStyle w:val="Notedebasdepage"/>
      </w:pPr>
      <w:r w:rsidRPr="00B91F3C">
        <w:rPr>
          <w:rStyle w:val="Appelnotedebasdep"/>
        </w:rPr>
        <w:footnoteRef/>
      </w:r>
      <w:r w:rsidRPr="00B91F3C">
        <w:t xml:space="preserve"> Решение 15/12, приложение.</w:t>
      </w:r>
    </w:p>
  </w:footnote>
  <w:footnote w:id="43">
    <w:p w14:paraId="254F291A" w14:textId="77777777" w:rsidR="00FF3A47" w:rsidRPr="00B91F3C" w:rsidRDefault="00FF3A47" w:rsidP="00FF3A47">
      <w:pPr>
        <w:pStyle w:val="Notedebasdepage"/>
      </w:pPr>
      <w:r w:rsidRPr="00B91F3C">
        <w:rPr>
          <w:rStyle w:val="Appelnotedebasdep"/>
        </w:rPr>
        <w:footnoteRef/>
      </w:r>
      <w:r w:rsidRPr="00B91F3C">
        <w:t xml:space="preserve"> Решение 15/11, приложение.</w:t>
      </w:r>
    </w:p>
  </w:footnote>
  <w:footnote w:id="44">
    <w:p w14:paraId="68E8869C" w14:textId="77777777" w:rsidR="00FF3A47" w:rsidRPr="00B91F3C" w:rsidRDefault="00FF3A47" w:rsidP="00FF3A47">
      <w:pPr>
        <w:pStyle w:val="Notedebasdepage"/>
      </w:pPr>
      <w:r w:rsidRPr="00B91F3C">
        <w:rPr>
          <w:rStyle w:val="Appelnotedebasdep"/>
        </w:rPr>
        <w:footnoteRef/>
      </w:r>
      <w:r w:rsidRPr="00B91F3C">
        <w:t xml:space="preserve"> GEF, 2018, </w:t>
      </w:r>
      <w:hyperlink r:id="rId17" w:history="1">
        <w:r w:rsidRPr="00B91F3C">
          <w:rPr>
            <w:rStyle w:val="Lienhypertexte"/>
            <w:i/>
          </w:rPr>
          <w:t xml:space="preserve">Policy </w:t>
        </w:r>
        <w:proofErr w:type="spellStart"/>
        <w:r w:rsidRPr="00B91F3C">
          <w:rPr>
            <w:rStyle w:val="Lienhypertexte"/>
            <w:i/>
          </w:rPr>
          <w:t>on</w:t>
        </w:r>
        <w:proofErr w:type="spellEnd"/>
        <w:r w:rsidRPr="00B91F3C">
          <w:rPr>
            <w:rStyle w:val="Lienhypertexte"/>
            <w:i/>
          </w:rPr>
          <w:t xml:space="preserve"> </w:t>
        </w:r>
        <w:proofErr w:type="spellStart"/>
        <w:r w:rsidRPr="00B91F3C">
          <w:rPr>
            <w:rStyle w:val="Lienhypertexte"/>
            <w:i/>
          </w:rPr>
          <w:t>Gender</w:t>
        </w:r>
        <w:proofErr w:type="spellEnd"/>
        <w:r w:rsidRPr="00B91F3C">
          <w:rPr>
            <w:rStyle w:val="Lienhypertexte"/>
            <w:i/>
          </w:rPr>
          <w:t xml:space="preserve"> </w:t>
        </w:r>
        <w:proofErr w:type="spellStart"/>
        <w:r w:rsidRPr="00B91F3C">
          <w:rPr>
            <w:rStyle w:val="Lienhypertexte"/>
            <w:i/>
          </w:rPr>
          <w:t>Equality</w:t>
        </w:r>
        <w:proofErr w:type="spellEnd"/>
      </w:hyperlink>
      <w:r w:rsidRPr="00B91F3C">
        <w:t>, GEF Policy SD/PL/02.</w:t>
      </w:r>
    </w:p>
  </w:footnote>
  <w:footnote w:id="45">
    <w:p w14:paraId="3B810968" w14:textId="77777777" w:rsidR="00FF3A47" w:rsidRPr="00B91F3C" w:rsidRDefault="00FF3A47" w:rsidP="00FF3A47">
      <w:pPr>
        <w:pStyle w:val="Notedebasdepage"/>
      </w:pPr>
      <w:r w:rsidRPr="00B91F3C">
        <w:rPr>
          <w:rStyle w:val="Appelnotedebasdep"/>
        </w:rPr>
        <w:footnoteRef/>
      </w:r>
      <w:r w:rsidRPr="00B91F3C">
        <w:t xml:space="preserve"> GEF, 2024, </w:t>
      </w:r>
      <w:hyperlink r:id="rId18" w:history="1">
        <w:r w:rsidRPr="00B91F3C">
          <w:rPr>
            <w:rStyle w:val="Lienhypertexte"/>
            <w:i/>
          </w:rPr>
          <w:t xml:space="preserve">Policy </w:t>
        </w:r>
        <w:proofErr w:type="spellStart"/>
        <w:r w:rsidRPr="00B91F3C">
          <w:rPr>
            <w:rStyle w:val="Lienhypertexte"/>
            <w:i/>
          </w:rPr>
          <w:t>on</w:t>
        </w:r>
        <w:proofErr w:type="spellEnd"/>
        <w:r w:rsidRPr="00B91F3C">
          <w:rPr>
            <w:rStyle w:val="Lienhypertexte"/>
            <w:i/>
          </w:rPr>
          <w:t xml:space="preserve"> </w:t>
        </w:r>
        <w:proofErr w:type="spellStart"/>
        <w:r w:rsidRPr="00B91F3C">
          <w:rPr>
            <w:rStyle w:val="Lienhypertexte"/>
            <w:i/>
          </w:rPr>
          <w:t>Environmental</w:t>
        </w:r>
        <w:proofErr w:type="spellEnd"/>
        <w:r w:rsidRPr="00B91F3C">
          <w:rPr>
            <w:rStyle w:val="Lienhypertexte"/>
            <w:i/>
          </w:rPr>
          <w:t xml:space="preserve"> </w:t>
        </w:r>
        <w:proofErr w:type="spellStart"/>
        <w:r w:rsidRPr="00B91F3C">
          <w:rPr>
            <w:rStyle w:val="Lienhypertexte"/>
            <w:i/>
          </w:rPr>
          <w:t>and</w:t>
        </w:r>
        <w:proofErr w:type="spellEnd"/>
        <w:r w:rsidRPr="00B91F3C">
          <w:rPr>
            <w:rStyle w:val="Lienhypertexte"/>
            <w:i/>
          </w:rPr>
          <w:t xml:space="preserve"> Social </w:t>
        </w:r>
        <w:proofErr w:type="spellStart"/>
        <w:r w:rsidRPr="00B91F3C">
          <w:rPr>
            <w:rStyle w:val="Lienhypertexte"/>
            <w:i/>
          </w:rPr>
          <w:t>Safeguards</w:t>
        </w:r>
        <w:proofErr w:type="spellEnd"/>
      </w:hyperlink>
      <w:r w:rsidRPr="00B91F3C">
        <w:t>, GEF Policy SD/PL/03.</w:t>
      </w:r>
    </w:p>
  </w:footnote>
  <w:footnote w:id="46">
    <w:p w14:paraId="6052A27C" w14:textId="77777777" w:rsidR="00FF3A47" w:rsidRPr="00B91F3C" w:rsidRDefault="00FF3A47" w:rsidP="00FF3A47">
      <w:pPr>
        <w:pStyle w:val="Notedebasdepage"/>
      </w:pPr>
      <w:r w:rsidRPr="00B91F3C">
        <w:rPr>
          <w:rStyle w:val="Appelnotedebasdep"/>
        </w:rPr>
        <w:footnoteRef/>
      </w:r>
      <w:r w:rsidRPr="00B91F3C">
        <w:t xml:space="preserve"> Решение 15/6.</w:t>
      </w:r>
    </w:p>
  </w:footnote>
  <w:footnote w:id="47">
    <w:p w14:paraId="5D3068BB" w14:textId="77777777" w:rsidR="00FF3A47" w:rsidRPr="00B91F3C" w:rsidRDefault="00FF3A47" w:rsidP="00FF3A47">
      <w:pPr>
        <w:pStyle w:val="Notedebasdepage"/>
      </w:pPr>
      <w:r w:rsidRPr="00B91F3C">
        <w:rPr>
          <w:rStyle w:val="Appelnotedebasdep"/>
        </w:rPr>
        <w:footnoteRef/>
      </w:r>
      <w:r w:rsidRPr="00B91F3C">
        <w:t xml:space="preserve"> Решение CP-10/3, приложение.</w:t>
      </w:r>
    </w:p>
  </w:footnote>
  <w:footnote w:id="48">
    <w:p w14:paraId="252EA72D" w14:textId="77777777" w:rsidR="00FF3A47" w:rsidRPr="00B91F3C" w:rsidRDefault="00FF3A47" w:rsidP="00FF3A47">
      <w:pPr>
        <w:pStyle w:val="Notedebasdepage"/>
      </w:pPr>
      <w:r w:rsidRPr="00B91F3C">
        <w:rPr>
          <w:rStyle w:val="Appelnotedebasdep"/>
        </w:rPr>
        <w:footnoteRef/>
      </w:r>
      <w:r w:rsidRPr="00B91F3C">
        <w:t xml:space="preserve"> Решение CP-10/4, приложение.</w:t>
      </w:r>
    </w:p>
  </w:footnote>
  <w:footnote w:id="49">
    <w:p w14:paraId="09D029A4" w14:textId="77777777" w:rsidR="00FF3A47" w:rsidRPr="003B6BD1" w:rsidRDefault="00FF3A47" w:rsidP="00FF3A47">
      <w:pPr>
        <w:rPr>
          <w:rFonts w:ascii="Times New Roman" w:hAnsi="Times New Roman" w:cs="Times New Roman"/>
          <w:color w:val="0563C1" w:themeColor="hyperlink"/>
          <w:sz w:val="18"/>
          <w:szCs w:val="18"/>
          <w:u w:val="single"/>
        </w:rPr>
      </w:pPr>
      <w:r w:rsidRPr="003B6BD1">
        <w:rPr>
          <w:rStyle w:val="Appelnotedebasdep"/>
          <w:rFonts w:ascii="Times New Roman" w:hAnsi="Times New Roman" w:cs="Times New Roman"/>
          <w:sz w:val="18"/>
          <w:szCs w:val="18"/>
        </w:rPr>
        <w:footnoteRef/>
      </w:r>
      <w:r w:rsidRPr="003B6BD1">
        <w:rPr>
          <w:rFonts w:ascii="Times New Roman" w:hAnsi="Times New Roman" w:cs="Times New Roman"/>
          <w:sz w:val="18"/>
          <w:szCs w:val="18"/>
        </w:rPr>
        <w:t xml:space="preserve"> </w:t>
      </w:r>
      <w:hyperlink r:id="rId19">
        <w:r w:rsidRPr="003B6BD1">
          <w:rPr>
            <w:rStyle w:val="Lienhypertexte"/>
            <w:rFonts w:ascii="Times New Roman" w:hAnsi="Times New Roman" w:cs="Times New Roman"/>
            <w:sz w:val="18"/>
            <w:szCs w:val="18"/>
          </w:rPr>
          <w:t>https://ukcop26.org/</w:t>
        </w:r>
        <w:r w:rsidRPr="003B6BD1">
          <w:rPr>
            <w:rStyle w:val="Lienhypertexte"/>
            <w:rFonts w:ascii="Times New Roman" w:hAnsi="Times New Roman" w:cs="Times New Roman"/>
            <w:sz w:val="18"/>
            <w:szCs w:val="18"/>
          </w:rPr>
          <w:t>m</w:t>
        </w:r>
        <w:r w:rsidRPr="003B6BD1">
          <w:rPr>
            <w:rStyle w:val="Lienhypertexte"/>
            <w:rFonts w:ascii="Times New Roman" w:hAnsi="Times New Roman" w:cs="Times New Roman"/>
            <w:sz w:val="18"/>
            <w:szCs w:val="18"/>
          </w:rPr>
          <w:t>db-joint-statement/</w:t>
        </w:r>
      </w:hyperlink>
    </w:p>
  </w:footnote>
  <w:footnote w:id="50">
    <w:p w14:paraId="11DA2636" w14:textId="77777777" w:rsidR="00FF3A47" w:rsidRPr="003B6BD1" w:rsidRDefault="00FF3A47" w:rsidP="00FF3A47">
      <w:pPr>
        <w:pStyle w:val="Notedebasdepage"/>
        <w:rPr>
          <w:rFonts w:cs="Times New Roman"/>
        </w:rPr>
      </w:pPr>
      <w:r w:rsidRPr="003B6BD1">
        <w:rPr>
          <w:rStyle w:val="Appelnotedebasdep"/>
          <w:rFonts w:cs="Times New Roman"/>
        </w:rPr>
        <w:footnoteRef/>
      </w:r>
      <w:r w:rsidRPr="003B6BD1">
        <w:rPr>
          <w:rFonts w:cs="Times New Roman"/>
        </w:rPr>
        <w:t xml:space="preserve"> https://www.ebrd.com/documents/environment/mdb-common-principles-to-nature-positive-finance-tracking.pdf</w:t>
      </w:r>
    </w:p>
  </w:footnote>
  <w:footnote w:id="51">
    <w:p w14:paraId="78F8B0D8" w14:textId="77777777" w:rsidR="00FF3A47" w:rsidRPr="00B91F3C" w:rsidRDefault="00FF3A47" w:rsidP="00FF3A47">
      <w:pPr>
        <w:pStyle w:val="Notedebasdepage"/>
      </w:pPr>
      <w:r w:rsidRPr="003B6BD1">
        <w:rPr>
          <w:rStyle w:val="Appelnotedebasdep"/>
          <w:rFonts w:cs="Times New Roman"/>
        </w:rPr>
        <w:footnoteRef/>
      </w:r>
      <w:r w:rsidRPr="003B6BD1">
        <w:rPr>
          <w:rFonts w:cs="Times New Roman"/>
        </w:rPr>
        <w:t xml:space="preserve"> GEF, 2024, </w:t>
      </w:r>
      <w:hyperlink r:id="rId20" w:history="1">
        <w:proofErr w:type="spellStart"/>
        <w:r w:rsidRPr="003B6BD1">
          <w:rPr>
            <w:rStyle w:val="Lienhypertexte"/>
            <w:rFonts w:cs="Times New Roman"/>
            <w:i/>
          </w:rPr>
          <w:t>Streamlining</w:t>
        </w:r>
        <w:proofErr w:type="spellEnd"/>
        <w:r w:rsidRPr="003B6BD1">
          <w:rPr>
            <w:rStyle w:val="Lienhypertexte"/>
            <w:rFonts w:cs="Times New Roman"/>
            <w:i/>
          </w:rPr>
          <w:t xml:space="preserve"> </w:t>
        </w:r>
        <w:proofErr w:type="spellStart"/>
        <w:r w:rsidRPr="003B6BD1">
          <w:rPr>
            <w:rStyle w:val="Lienhypertexte"/>
            <w:rFonts w:cs="Times New Roman"/>
            <w:i/>
          </w:rPr>
          <w:t>the</w:t>
        </w:r>
        <w:proofErr w:type="spellEnd"/>
        <w:r w:rsidRPr="003B6BD1">
          <w:rPr>
            <w:rStyle w:val="Lienhypertexte"/>
            <w:rFonts w:cs="Times New Roman"/>
            <w:i/>
          </w:rPr>
          <w:t xml:space="preserve"> GEF</w:t>
        </w:r>
        <w:r w:rsidRPr="003B6BD1">
          <w:rPr>
            <w:rStyle w:val="Lienhypertexte"/>
            <w:rFonts w:cs="Times New Roman"/>
            <w:i/>
          </w:rPr>
          <w:t xml:space="preserve"> </w:t>
        </w:r>
        <w:r w:rsidRPr="003B6BD1">
          <w:rPr>
            <w:rStyle w:val="Lienhypertexte"/>
            <w:rFonts w:cs="Times New Roman"/>
            <w:i/>
          </w:rPr>
          <w:t xml:space="preserve">Project </w:t>
        </w:r>
        <w:proofErr w:type="spellStart"/>
        <w:r w:rsidRPr="003B6BD1">
          <w:rPr>
            <w:rStyle w:val="Lienhypertexte"/>
            <w:rFonts w:cs="Times New Roman"/>
            <w:i/>
          </w:rPr>
          <w:t>Cycle</w:t>
        </w:r>
        <w:proofErr w:type="spellEnd"/>
      </w:hyperlink>
      <w:r w:rsidRPr="003B6BD1">
        <w:rPr>
          <w:rFonts w:cs="Times New Roman"/>
        </w:rPr>
        <w:t xml:space="preserve">, Council </w:t>
      </w:r>
      <w:proofErr w:type="spellStart"/>
      <w:r w:rsidRPr="003B6BD1">
        <w:rPr>
          <w:rFonts w:cs="Times New Roman"/>
        </w:rPr>
        <w:t>document</w:t>
      </w:r>
      <w:proofErr w:type="spellEnd"/>
      <w:r w:rsidRPr="003B6BD1">
        <w:rPr>
          <w:rFonts w:cs="Times New Roman"/>
        </w:rPr>
        <w:t xml:space="preserve"> GEF/C.66/08/Rev.03.</w:t>
      </w:r>
    </w:p>
  </w:footnote>
  <w:footnote w:id="52">
    <w:p w14:paraId="77A53664" w14:textId="77777777" w:rsidR="00FF3A47" w:rsidRPr="00B91F3C" w:rsidRDefault="00FF3A47" w:rsidP="00FF3A47">
      <w:pPr>
        <w:pStyle w:val="Notedebasdepage"/>
      </w:pPr>
      <w:r w:rsidRPr="00B91F3C">
        <w:rPr>
          <w:rStyle w:val="Appelnotedebasdep"/>
        </w:rPr>
        <w:footnoteRef/>
      </w:r>
      <w:r w:rsidRPr="00B91F3C">
        <w:t xml:space="preserve"> КБР, 2022 год, решение, принятое Конференцией Сторон Конвенции о биологическом разнообразии, 15/7. Мобилизация ресурсов, CBD/COP/DEC/15/7.</w:t>
      </w:r>
    </w:p>
  </w:footnote>
  <w:footnote w:id="53">
    <w:p w14:paraId="18249823" w14:textId="77777777" w:rsidR="00FF3A47" w:rsidRPr="00B91F3C" w:rsidRDefault="00FF3A47" w:rsidP="00FF3A47">
      <w:pPr>
        <w:pStyle w:val="Notedebasdepage"/>
      </w:pPr>
      <w:r w:rsidRPr="00B91F3C">
        <w:rPr>
          <w:rStyle w:val="Appelnotedebasdep"/>
        </w:rPr>
        <w:footnoteRef/>
      </w:r>
      <w:r w:rsidRPr="00B91F3C">
        <w:t xml:space="preserve"> КБР, 2022 год, решение, принятое Конференцией Сторон Конвенции о биологическом разнообразии, 15/15. Механизм финансирования, CBD/COP/DEC/15/15.</w:t>
      </w:r>
    </w:p>
  </w:footnote>
  <w:footnote w:id="54">
    <w:p w14:paraId="4EED294A" w14:textId="77777777" w:rsidR="00FF3A47" w:rsidRPr="00B91F3C" w:rsidRDefault="00FF3A47" w:rsidP="00FF3A47">
      <w:pPr>
        <w:pStyle w:val="Notedebasdepage"/>
      </w:pPr>
      <w:r w:rsidRPr="00B91F3C">
        <w:rPr>
          <w:rStyle w:val="Appelnotedebasdep"/>
        </w:rPr>
        <w:footnoteRef/>
      </w:r>
      <w:r w:rsidRPr="00B91F3C">
        <w:t xml:space="preserve"> GEF, 2023, </w:t>
      </w:r>
      <w:hyperlink r:id="rId21" w:history="1">
        <w:proofErr w:type="spellStart"/>
        <w:r w:rsidRPr="00B91F3C">
          <w:rPr>
            <w:rStyle w:val="Lienhypertexte"/>
            <w:i/>
          </w:rPr>
          <w:t>Establishment</w:t>
        </w:r>
        <w:proofErr w:type="spellEnd"/>
        <w:r w:rsidRPr="00B91F3C">
          <w:rPr>
            <w:rStyle w:val="Lienhypertexte"/>
            <w:i/>
          </w:rPr>
          <w:t xml:space="preserve"> </w:t>
        </w:r>
        <w:proofErr w:type="spellStart"/>
        <w:r w:rsidRPr="00B91F3C">
          <w:rPr>
            <w:rStyle w:val="Lienhypertexte"/>
            <w:i/>
          </w:rPr>
          <w:t>of</w:t>
        </w:r>
        <w:proofErr w:type="spellEnd"/>
        <w:r w:rsidRPr="00B91F3C">
          <w:rPr>
            <w:rStyle w:val="Lienhypertexte"/>
            <w:i/>
          </w:rPr>
          <w:t xml:space="preserve"> a New Trust Fund:</w:t>
        </w:r>
      </w:hyperlink>
      <w:hyperlink r:id="rId22" w:history="1">
        <w:r w:rsidRPr="00B91F3C">
          <w:rPr>
            <w:rStyle w:val="Lienhypertexte"/>
            <w:i/>
          </w:rPr>
          <w:t xml:space="preserve"> The Global </w:t>
        </w:r>
        <w:proofErr w:type="spellStart"/>
        <w:r w:rsidRPr="00B91F3C">
          <w:rPr>
            <w:rStyle w:val="Lienhypertexte"/>
            <w:i/>
          </w:rPr>
          <w:t>Biodiversity</w:t>
        </w:r>
        <w:proofErr w:type="spellEnd"/>
        <w:r w:rsidRPr="00B91F3C">
          <w:rPr>
            <w:rStyle w:val="Lienhypertexte"/>
            <w:i/>
          </w:rPr>
          <w:t xml:space="preserve"> Framework Fund</w:t>
        </w:r>
      </w:hyperlink>
      <w:r w:rsidRPr="00B91F3C">
        <w:t>, Council Document GEF/C.64/05/Rev.01.</w:t>
      </w:r>
    </w:p>
  </w:footnote>
  <w:footnote w:id="55">
    <w:p w14:paraId="7B55ED05" w14:textId="77777777" w:rsidR="00FF3A47" w:rsidRPr="00B91F3C" w:rsidRDefault="00FF3A47" w:rsidP="00FF3A47">
      <w:pPr>
        <w:pStyle w:val="Notedebasdepage"/>
      </w:pPr>
      <w:r w:rsidRPr="00B91F3C">
        <w:rPr>
          <w:rStyle w:val="Appelnotedebasdep"/>
        </w:rPr>
        <w:footnoteRef/>
      </w:r>
      <w:r w:rsidRPr="00B91F3C">
        <w:t xml:space="preserve"> GEF, 2023, </w:t>
      </w:r>
      <w:hyperlink r:id="rId23" w:history="1">
        <w:proofErr w:type="spellStart"/>
        <w:r w:rsidRPr="00B91F3C">
          <w:rPr>
            <w:rStyle w:val="Lienhypertexte"/>
            <w:i/>
          </w:rPr>
          <w:t>Programming</w:t>
        </w:r>
        <w:proofErr w:type="spellEnd"/>
        <w:r w:rsidRPr="00B91F3C">
          <w:rPr>
            <w:rStyle w:val="Lienhypertexte"/>
            <w:i/>
          </w:rPr>
          <w:t xml:space="preserve"> </w:t>
        </w:r>
        <w:proofErr w:type="spellStart"/>
        <w:r w:rsidRPr="00B91F3C">
          <w:rPr>
            <w:rStyle w:val="Lienhypertexte"/>
            <w:i/>
          </w:rPr>
          <w:t>Directions</w:t>
        </w:r>
        <w:proofErr w:type="spellEnd"/>
        <w:r w:rsidRPr="00B91F3C">
          <w:rPr>
            <w:rStyle w:val="Lienhypertexte"/>
            <w:i/>
          </w:rPr>
          <w:t xml:space="preserve"> </w:t>
        </w:r>
        <w:proofErr w:type="spellStart"/>
        <w:r w:rsidRPr="00B91F3C">
          <w:rPr>
            <w:rStyle w:val="Lienhypertexte"/>
            <w:i/>
          </w:rPr>
          <w:t>for</w:t>
        </w:r>
        <w:proofErr w:type="spellEnd"/>
        <w:r w:rsidRPr="00B91F3C">
          <w:rPr>
            <w:rStyle w:val="Lienhypertexte"/>
            <w:i/>
          </w:rPr>
          <w:t xml:space="preserve"> </w:t>
        </w:r>
        <w:proofErr w:type="spellStart"/>
        <w:r w:rsidRPr="00B91F3C">
          <w:rPr>
            <w:rStyle w:val="Lienhypertexte"/>
            <w:i/>
          </w:rPr>
          <w:t>the</w:t>
        </w:r>
        <w:proofErr w:type="spellEnd"/>
        <w:r w:rsidRPr="00B91F3C">
          <w:rPr>
            <w:rStyle w:val="Lienhypertexte"/>
            <w:i/>
          </w:rPr>
          <w:t xml:space="preserve"> Global </w:t>
        </w:r>
        <w:proofErr w:type="spellStart"/>
        <w:r w:rsidRPr="00B91F3C">
          <w:rPr>
            <w:rStyle w:val="Lienhypertexte"/>
            <w:i/>
          </w:rPr>
          <w:t>Biodiversity</w:t>
        </w:r>
        <w:proofErr w:type="spellEnd"/>
        <w:r w:rsidRPr="00B91F3C">
          <w:rPr>
            <w:rStyle w:val="Lienhypertexte"/>
            <w:i/>
          </w:rPr>
          <w:t xml:space="preserve"> Framework Fund</w:t>
        </w:r>
      </w:hyperlink>
      <w:r w:rsidRPr="00B91F3C">
        <w:t>, Council Document GEF/C.64/06/Rev.02.</w:t>
      </w:r>
    </w:p>
  </w:footnote>
  <w:footnote w:id="56">
    <w:p w14:paraId="2A72E3A9" w14:textId="77777777" w:rsidR="00FF3A47" w:rsidRPr="00B91F3C" w:rsidRDefault="00FF3A47" w:rsidP="00FF3A47">
      <w:pPr>
        <w:pStyle w:val="Notedebasdepage"/>
      </w:pPr>
      <w:r w:rsidRPr="00B91F3C">
        <w:rPr>
          <w:rStyle w:val="Appelnotedebasdep"/>
        </w:rPr>
        <w:footnoteRef/>
      </w:r>
      <w:r w:rsidRPr="00B91F3C">
        <w:t xml:space="preserve"> CBD, 2023, </w:t>
      </w:r>
      <w:hyperlink r:id="rId24" w:history="1">
        <w:proofErr w:type="spellStart"/>
        <w:r w:rsidRPr="00B91F3C">
          <w:rPr>
            <w:rStyle w:val="Lienhypertexte"/>
            <w:i/>
          </w:rPr>
          <w:t>Consultations</w:t>
        </w:r>
        <w:proofErr w:type="spellEnd"/>
        <w:r w:rsidRPr="00B91F3C">
          <w:rPr>
            <w:rStyle w:val="Lienhypertexte"/>
            <w:i/>
          </w:rPr>
          <w:t xml:space="preserve"> </w:t>
        </w:r>
        <w:proofErr w:type="spellStart"/>
        <w:r w:rsidRPr="00B91F3C">
          <w:rPr>
            <w:rStyle w:val="Lienhypertexte"/>
            <w:i/>
          </w:rPr>
          <w:t>on</w:t>
        </w:r>
        <w:proofErr w:type="spellEnd"/>
        <w:r w:rsidRPr="00B91F3C">
          <w:rPr>
            <w:rStyle w:val="Lienhypertexte"/>
            <w:i/>
          </w:rPr>
          <w:t xml:space="preserve"> </w:t>
        </w:r>
        <w:proofErr w:type="spellStart"/>
        <w:r w:rsidRPr="00B91F3C">
          <w:rPr>
            <w:rStyle w:val="Lienhypertexte"/>
            <w:i/>
          </w:rPr>
          <w:t>the</w:t>
        </w:r>
        <w:proofErr w:type="spellEnd"/>
        <w:r w:rsidRPr="00B91F3C">
          <w:rPr>
            <w:rStyle w:val="Lienhypertexte"/>
            <w:i/>
          </w:rPr>
          <w:t xml:space="preserve"> </w:t>
        </w:r>
        <w:proofErr w:type="spellStart"/>
        <w:r w:rsidRPr="00B91F3C">
          <w:rPr>
            <w:rStyle w:val="Lienhypertexte"/>
            <w:i/>
          </w:rPr>
          <w:t>establishment</w:t>
        </w:r>
        <w:proofErr w:type="spellEnd"/>
        <w:r w:rsidRPr="00B91F3C">
          <w:rPr>
            <w:rStyle w:val="Lienhypertexte"/>
            <w:i/>
          </w:rPr>
          <w:t xml:space="preserve"> </w:t>
        </w:r>
        <w:proofErr w:type="spellStart"/>
        <w:r w:rsidRPr="00B91F3C">
          <w:rPr>
            <w:rStyle w:val="Lienhypertexte"/>
            <w:i/>
          </w:rPr>
          <w:t>of</w:t>
        </w:r>
        <w:proofErr w:type="spellEnd"/>
        <w:r w:rsidRPr="00B91F3C">
          <w:rPr>
            <w:rStyle w:val="Lienhypertexte"/>
            <w:i/>
          </w:rPr>
          <w:t xml:space="preserve"> </w:t>
        </w:r>
        <w:proofErr w:type="spellStart"/>
        <w:r w:rsidRPr="00B91F3C">
          <w:rPr>
            <w:rStyle w:val="Lienhypertexte"/>
            <w:i/>
          </w:rPr>
          <w:t>the</w:t>
        </w:r>
        <w:proofErr w:type="spellEnd"/>
        <w:r w:rsidRPr="00B91F3C">
          <w:rPr>
            <w:rStyle w:val="Lienhypertexte"/>
            <w:i/>
          </w:rPr>
          <w:t xml:space="preserve"> </w:t>
        </w:r>
        <w:proofErr w:type="spellStart"/>
        <w:r w:rsidRPr="00B91F3C">
          <w:rPr>
            <w:rStyle w:val="Lienhypertexte"/>
            <w:i/>
          </w:rPr>
          <w:t>Kunming-Montreal</w:t>
        </w:r>
        <w:proofErr w:type="spellEnd"/>
        <w:r w:rsidRPr="00B91F3C">
          <w:rPr>
            <w:rStyle w:val="Lienhypertexte"/>
            <w:i/>
          </w:rPr>
          <w:t xml:space="preserve"> Global </w:t>
        </w:r>
        <w:proofErr w:type="spellStart"/>
        <w:r w:rsidRPr="00B91F3C">
          <w:rPr>
            <w:rStyle w:val="Lienhypertexte"/>
            <w:i/>
          </w:rPr>
          <w:t>Biodiversity</w:t>
        </w:r>
        <w:proofErr w:type="spellEnd"/>
        <w:r w:rsidRPr="00B91F3C">
          <w:rPr>
            <w:rStyle w:val="Lienhypertexte"/>
            <w:i/>
          </w:rPr>
          <w:t xml:space="preserve"> Framework Fund </w:t>
        </w:r>
        <w:proofErr w:type="spellStart"/>
        <w:r w:rsidRPr="00B91F3C">
          <w:rPr>
            <w:rStyle w:val="Lienhypertexte"/>
            <w:i/>
          </w:rPr>
          <w:t>by</w:t>
        </w:r>
        <w:proofErr w:type="spellEnd"/>
        <w:r w:rsidRPr="00B91F3C">
          <w:rPr>
            <w:rStyle w:val="Lienhypertexte"/>
            <w:i/>
          </w:rPr>
          <w:t xml:space="preserve"> </w:t>
        </w:r>
        <w:proofErr w:type="spellStart"/>
        <w:r w:rsidRPr="00B91F3C">
          <w:rPr>
            <w:rStyle w:val="Lienhypertexte"/>
            <w:i/>
          </w:rPr>
          <w:t>the</w:t>
        </w:r>
        <w:proofErr w:type="spellEnd"/>
        <w:r w:rsidRPr="00B91F3C">
          <w:rPr>
            <w:rStyle w:val="Lienhypertexte"/>
            <w:i/>
          </w:rPr>
          <w:t xml:space="preserve"> Global Environment </w:t>
        </w:r>
        <w:proofErr w:type="spellStart"/>
        <w:r w:rsidRPr="00B91F3C">
          <w:rPr>
            <w:rStyle w:val="Lienhypertexte"/>
            <w:i/>
          </w:rPr>
          <w:t>Facility</w:t>
        </w:r>
        <w:proofErr w:type="spellEnd"/>
      </w:hyperlink>
      <w:r w:rsidRPr="00B91F3C">
        <w:t xml:space="preserve">, </w:t>
      </w:r>
      <w:proofErr w:type="spellStart"/>
      <w:r w:rsidRPr="00B91F3C">
        <w:t>Notification</w:t>
      </w:r>
      <w:proofErr w:type="spellEnd"/>
      <w:r w:rsidRPr="00B91F3C">
        <w:t xml:space="preserve"> </w:t>
      </w:r>
      <w:hyperlink r:id="rId25" w:history="1">
        <w:r w:rsidRPr="00B91F3C">
          <w:rPr>
            <w:rStyle w:val="Lienhypertexte"/>
          </w:rPr>
          <w:t>2023-041 (SCBD/IMS/NP/YX/GT/90953)</w:t>
        </w:r>
      </w:hyperlink>
      <w:r w:rsidRPr="00B91F3C">
        <w:t xml:space="preserve">. </w:t>
      </w:r>
    </w:p>
  </w:footnote>
  <w:footnote w:id="57">
    <w:p w14:paraId="14949434" w14:textId="77777777" w:rsidR="00FF3A47" w:rsidRPr="00B91F3C" w:rsidRDefault="00FF3A47" w:rsidP="00FF3A47">
      <w:pPr>
        <w:pStyle w:val="Notedebasdepage"/>
      </w:pPr>
      <w:r w:rsidRPr="00B91F3C">
        <w:rPr>
          <w:rStyle w:val="Appelnotedebasdep"/>
        </w:rPr>
        <w:footnoteRef/>
      </w:r>
      <w:r w:rsidRPr="00B91F3C">
        <w:t xml:space="preserve"> CBD, 2023, </w:t>
      </w:r>
      <w:hyperlink r:id="rId26" w:history="1">
        <w:proofErr w:type="spellStart"/>
        <w:r w:rsidRPr="00B91F3C">
          <w:rPr>
            <w:rStyle w:val="Lienhypertexte"/>
            <w:i/>
          </w:rPr>
          <w:t>Updated</w:t>
        </w:r>
        <w:proofErr w:type="spellEnd"/>
        <w:r w:rsidRPr="00B91F3C">
          <w:rPr>
            <w:rStyle w:val="Lienhypertexte"/>
            <w:i/>
          </w:rPr>
          <w:t xml:space="preserve"> </w:t>
        </w:r>
        <w:proofErr w:type="spellStart"/>
        <w:r w:rsidRPr="00B91F3C">
          <w:rPr>
            <w:rStyle w:val="Lienhypertexte"/>
            <w:i/>
          </w:rPr>
          <w:t>draft</w:t>
        </w:r>
        <w:proofErr w:type="spellEnd"/>
        <w:r w:rsidRPr="00B91F3C">
          <w:rPr>
            <w:rStyle w:val="Lienhypertexte"/>
            <w:i/>
          </w:rPr>
          <w:t xml:space="preserve"> </w:t>
        </w:r>
        <w:proofErr w:type="spellStart"/>
        <w:r w:rsidRPr="00B91F3C">
          <w:rPr>
            <w:rStyle w:val="Lienhypertexte"/>
            <w:i/>
          </w:rPr>
          <w:t>documents</w:t>
        </w:r>
        <w:proofErr w:type="spellEnd"/>
        <w:r w:rsidRPr="00B91F3C">
          <w:rPr>
            <w:rStyle w:val="Lienhypertexte"/>
            <w:i/>
          </w:rPr>
          <w:t xml:space="preserve"> </w:t>
        </w:r>
        <w:proofErr w:type="spellStart"/>
        <w:r w:rsidRPr="00B91F3C">
          <w:rPr>
            <w:rStyle w:val="Lienhypertexte"/>
            <w:i/>
          </w:rPr>
          <w:t>on</w:t>
        </w:r>
        <w:proofErr w:type="spellEnd"/>
        <w:r w:rsidRPr="00B91F3C">
          <w:rPr>
            <w:rStyle w:val="Lienhypertexte"/>
            <w:i/>
          </w:rPr>
          <w:t xml:space="preserve"> </w:t>
        </w:r>
        <w:proofErr w:type="spellStart"/>
        <w:r w:rsidRPr="00B91F3C">
          <w:rPr>
            <w:rStyle w:val="Lienhypertexte"/>
            <w:i/>
          </w:rPr>
          <w:t>the</w:t>
        </w:r>
        <w:proofErr w:type="spellEnd"/>
        <w:r w:rsidRPr="00B91F3C">
          <w:rPr>
            <w:rStyle w:val="Lienhypertexte"/>
            <w:i/>
          </w:rPr>
          <w:t xml:space="preserve"> </w:t>
        </w:r>
        <w:proofErr w:type="spellStart"/>
        <w:r w:rsidRPr="00B91F3C">
          <w:rPr>
            <w:rStyle w:val="Lienhypertexte"/>
            <w:i/>
          </w:rPr>
          <w:t>establishment</w:t>
        </w:r>
        <w:proofErr w:type="spellEnd"/>
        <w:r w:rsidRPr="00B91F3C">
          <w:rPr>
            <w:rStyle w:val="Lienhypertexte"/>
            <w:i/>
          </w:rPr>
          <w:t xml:space="preserve"> </w:t>
        </w:r>
        <w:proofErr w:type="spellStart"/>
        <w:r w:rsidRPr="00B91F3C">
          <w:rPr>
            <w:rStyle w:val="Lienhypertexte"/>
            <w:i/>
          </w:rPr>
          <w:t>of</w:t>
        </w:r>
        <w:proofErr w:type="spellEnd"/>
        <w:r w:rsidRPr="00B91F3C">
          <w:rPr>
            <w:rStyle w:val="Lienhypertexte"/>
            <w:i/>
          </w:rPr>
          <w:t xml:space="preserve"> </w:t>
        </w:r>
        <w:proofErr w:type="spellStart"/>
        <w:r w:rsidRPr="00B91F3C">
          <w:rPr>
            <w:rStyle w:val="Lienhypertexte"/>
            <w:i/>
          </w:rPr>
          <w:t>the</w:t>
        </w:r>
        <w:proofErr w:type="spellEnd"/>
        <w:r w:rsidRPr="00B91F3C">
          <w:rPr>
            <w:rStyle w:val="Lienhypertexte"/>
            <w:i/>
          </w:rPr>
          <w:t xml:space="preserve"> </w:t>
        </w:r>
        <w:proofErr w:type="spellStart"/>
        <w:r w:rsidRPr="00B91F3C">
          <w:rPr>
            <w:rStyle w:val="Lienhypertexte"/>
            <w:i/>
          </w:rPr>
          <w:t>Kunming-Montreal</w:t>
        </w:r>
        <w:proofErr w:type="spellEnd"/>
        <w:r w:rsidRPr="00B91F3C">
          <w:rPr>
            <w:rStyle w:val="Lienhypertexte"/>
            <w:i/>
          </w:rPr>
          <w:t xml:space="preserve"> Global </w:t>
        </w:r>
        <w:proofErr w:type="spellStart"/>
        <w:r w:rsidRPr="00B91F3C">
          <w:rPr>
            <w:rStyle w:val="Lienhypertexte"/>
            <w:i/>
          </w:rPr>
          <w:t>Biodiversity</w:t>
        </w:r>
        <w:proofErr w:type="spellEnd"/>
        <w:r w:rsidRPr="00B91F3C">
          <w:rPr>
            <w:rStyle w:val="Lienhypertexte"/>
            <w:i/>
          </w:rPr>
          <w:t xml:space="preserve"> Framework Fund </w:t>
        </w:r>
        <w:proofErr w:type="spellStart"/>
        <w:r w:rsidRPr="00B91F3C">
          <w:rPr>
            <w:rStyle w:val="Lienhypertexte"/>
            <w:i/>
          </w:rPr>
          <w:t>by</w:t>
        </w:r>
        <w:proofErr w:type="spellEnd"/>
        <w:r w:rsidRPr="00B91F3C">
          <w:rPr>
            <w:rStyle w:val="Lienhypertexte"/>
            <w:i/>
          </w:rPr>
          <w:t xml:space="preserve"> </w:t>
        </w:r>
        <w:proofErr w:type="spellStart"/>
        <w:r w:rsidRPr="00B91F3C">
          <w:rPr>
            <w:rStyle w:val="Lienhypertexte"/>
            <w:i/>
          </w:rPr>
          <w:t>the</w:t>
        </w:r>
        <w:proofErr w:type="spellEnd"/>
        <w:r w:rsidRPr="00B91F3C">
          <w:rPr>
            <w:rStyle w:val="Lienhypertexte"/>
            <w:i/>
          </w:rPr>
          <w:t xml:space="preserve"> Global Environment </w:t>
        </w:r>
        <w:proofErr w:type="spellStart"/>
        <w:r w:rsidRPr="00B91F3C">
          <w:rPr>
            <w:rStyle w:val="Lienhypertexte"/>
            <w:i/>
          </w:rPr>
          <w:t>Facility</w:t>
        </w:r>
        <w:proofErr w:type="spellEnd"/>
      </w:hyperlink>
      <w:r w:rsidRPr="00B91F3C">
        <w:rPr>
          <w:rStyle w:val="Lienhypertexte"/>
        </w:rPr>
        <w:t xml:space="preserve">, </w:t>
      </w:r>
      <w:proofErr w:type="spellStart"/>
      <w:r w:rsidRPr="00B91F3C">
        <w:rPr>
          <w:rStyle w:val="Lienhypertexte"/>
        </w:rPr>
        <w:t>Notification</w:t>
      </w:r>
      <w:proofErr w:type="spellEnd"/>
      <w:r w:rsidRPr="00B91F3C">
        <w:rPr>
          <w:rStyle w:val="Lienhypertexte"/>
        </w:rPr>
        <w:t xml:space="preserve"> </w:t>
      </w:r>
      <w:hyperlink r:id="rId27" w:history="1">
        <w:r w:rsidRPr="00B91F3C">
          <w:rPr>
            <w:rStyle w:val="Lienhypertexte"/>
          </w:rPr>
          <w:t>2023-056 (SCBD/IMS/NP/YX/GT/90953)</w:t>
        </w:r>
      </w:hyperlink>
      <w:r w:rsidRPr="00B91F3C">
        <w:rPr>
          <w:rStyle w:val="Lienhypertexte"/>
        </w:rPr>
        <w:t>.</w:t>
      </w:r>
    </w:p>
  </w:footnote>
  <w:footnote w:id="58">
    <w:p w14:paraId="23063F26" w14:textId="77777777" w:rsidR="00FF3A47" w:rsidRPr="00B91F3C" w:rsidRDefault="00FF3A47" w:rsidP="00FF3A47">
      <w:pPr>
        <w:pStyle w:val="Notedebasdepage"/>
      </w:pPr>
      <w:r w:rsidRPr="00B91F3C">
        <w:rPr>
          <w:rStyle w:val="Appelnotedebasdep"/>
        </w:rPr>
        <w:footnoteRef/>
      </w:r>
      <w:r w:rsidRPr="00B91F3C">
        <w:t xml:space="preserve"> CBD, 2023, </w:t>
      </w:r>
      <w:hyperlink r:id="rId28" w:history="1">
        <w:r w:rsidRPr="00B91F3C">
          <w:rPr>
            <w:rStyle w:val="Lienhypertexte"/>
            <w:i/>
          </w:rPr>
          <w:t xml:space="preserve">Council </w:t>
        </w:r>
        <w:proofErr w:type="spellStart"/>
        <w:r w:rsidRPr="00B91F3C">
          <w:rPr>
            <w:rStyle w:val="Lienhypertexte"/>
            <w:i/>
          </w:rPr>
          <w:t>documents</w:t>
        </w:r>
        <w:proofErr w:type="spellEnd"/>
        <w:r w:rsidRPr="00B91F3C">
          <w:rPr>
            <w:rStyle w:val="Lienhypertexte"/>
            <w:i/>
          </w:rPr>
          <w:t xml:space="preserve"> </w:t>
        </w:r>
        <w:proofErr w:type="spellStart"/>
        <w:r w:rsidRPr="00B91F3C">
          <w:rPr>
            <w:rStyle w:val="Lienhypertexte"/>
            <w:i/>
          </w:rPr>
          <w:t>on</w:t>
        </w:r>
        <w:proofErr w:type="spellEnd"/>
        <w:r w:rsidRPr="00B91F3C">
          <w:rPr>
            <w:rStyle w:val="Lienhypertexte"/>
            <w:i/>
          </w:rPr>
          <w:t xml:space="preserve"> </w:t>
        </w:r>
        <w:proofErr w:type="spellStart"/>
        <w:r w:rsidRPr="00B91F3C">
          <w:rPr>
            <w:rStyle w:val="Lienhypertexte"/>
            <w:i/>
          </w:rPr>
          <w:t>the</w:t>
        </w:r>
        <w:proofErr w:type="spellEnd"/>
        <w:r w:rsidRPr="00B91F3C">
          <w:rPr>
            <w:rStyle w:val="Lienhypertexte"/>
            <w:i/>
          </w:rPr>
          <w:t xml:space="preserve"> </w:t>
        </w:r>
        <w:proofErr w:type="spellStart"/>
        <w:r w:rsidRPr="00B91F3C">
          <w:rPr>
            <w:rStyle w:val="Lienhypertexte"/>
            <w:i/>
          </w:rPr>
          <w:t>establishment</w:t>
        </w:r>
        <w:proofErr w:type="spellEnd"/>
        <w:r w:rsidRPr="00B91F3C">
          <w:rPr>
            <w:rStyle w:val="Lienhypertexte"/>
            <w:i/>
          </w:rPr>
          <w:t xml:space="preserve"> </w:t>
        </w:r>
        <w:proofErr w:type="spellStart"/>
        <w:r w:rsidRPr="00B91F3C">
          <w:rPr>
            <w:rStyle w:val="Lienhypertexte"/>
            <w:i/>
          </w:rPr>
          <w:t>of</w:t>
        </w:r>
        <w:proofErr w:type="spellEnd"/>
        <w:r w:rsidRPr="00B91F3C">
          <w:rPr>
            <w:rStyle w:val="Lienhypertexte"/>
            <w:i/>
          </w:rPr>
          <w:t xml:space="preserve"> </w:t>
        </w:r>
        <w:proofErr w:type="spellStart"/>
        <w:r w:rsidRPr="00B91F3C">
          <w:rPr>
            <w:rStyle w:val="Lienhypertexte"/>
            <w:i/>
          </w:rPr>
          <w:t>the</w:t>
        </w:r>
        <w:proofErr w:type="spellEnd"/>
        <w:r w:rsidRPr="00B91F3C">
          <w:rPr>
            <w:rStyle w:val="Lienhypertexte"/>
            <w:i/>
          </w:rPr>
          <w:t xml:space="preserve"> Global </w:t>
        </w:r>
        <w:proofErr w:type="spellStart"/>
        <w:r w:rsidRPr="00B91F3C">
          <w:rPr>
            <w:rStyle w:val="Lienhypertexte"/>
            <w:i/>
          </w:rPr>
          <w:t>Biodiversity</w:t>
        </w:r>
        <w:proofErr w:type="spellEnd"/>
        <w:r w:rsidRPr="00B91F3C">
          <w:rPr>
            <w:rStyle w:val="Lienhypertexte"/>
            <w:i/>
          </w:rPr>
          <w:t xml:space="preserve"> Framework Fund </w:t>
        </w:r>
        <w:proofErr w:type="spellStart"/>
        <w:r w:rsidRPr="00B91F3C">
          <w:rPr>
            <w:rStyle w:val="Lienhypertexte"/>
            <w:i/>
          </w:rPr>
          <w:t>by</w:t>
        </w:r>
        <w:proofErr w:type="spellEnd"/>
        <w:r w:rsidRPr="00B91F3C">
          <w:rPr>
            <w:rStyle w:val="Lienhypertexte"/>
            <w:i/>
          </w:rPr>
          <w:t xml:space="preserve"> </w:t>
        </w:r>
        <w:proofErr w:type="spellStart"/>
        <w:r w:rsidRPr="00B91F3C">
          <w:rPr>
            <w:rStyle w:val="Lienhypertexte"/>
            <w:i/>
          </w:rPr>
          <w:t>the</w:t>
        </w:r>
        <w:proofErr w:type="spellEnd"/>
        <w:r w:rsidRPr="00B91F3C">
          <w:rPr>
            <w:rStyle w:val="Lienhypertexte"/>
            <w:i/>
          </w:rPr>
          <w:t xml:space="preserve"> Global Environment </w:t>
        </w:r>
        <w:proofErr w:type="spellStart"/>
        <w:r w:rsidRPr="00B91F3C">
          <w:rPr>
            <w:rStyle w:val="Lienhypertexte"/>
            <w:i/>
          </w:rPr>
          <w:t>Facility</w:t>
        </w:r>
        <w:proofErr w:type="spellEnd"/>
      </w:hyperlink>
      <w:r w:rsidRPr="00B91F3C">
        <w:rPr>
          <w:rStyle w:val="Lienhypertexte"/>
          <w:i/>
        </w:rPr>
        <w:t xml:space="preserve">, </w:t>
      </w:r>
      <w:proofErr w:type="spellStart"/>
      <w:r w:rsidRPr="00B91F3C">
        <w:rPr>
          <w:rStyle w:val="Lienhypertexte"/>
        </w:rPr>
        <w:t>Notification</w:t>
      </w:r>
      <w:proofErr w:type="spellEnd"/>
      <w:r w:rsidRPr="00B91F3C">
        <w:rPr>
          <w:rStyle w:val="Lienhypertexte"/>
        </w:rPr>
        <w:t xml:space="preserve"> </w:t>
      </w:r>
      <w:proofErr w:type="gramStart"/>
      <w:r w:rsidRPr="00B91F3C">
        <w:rPr>
          <w:rStyle w:val="Lienhypertexte"/>
        </w:rPr>
        <w:t>2023-062</w:t>
      </w:r>
      <w:proofErr w:type="gramEnd"/>
      <w:r w:rsidRPr="00B91F3C">
        <w:rPr>
          <w:rStyle w:val="Lienhypertexte"/>
        </w:rPr>
        <w:t xml:space="preserve"> (SCBD/IMS/NP/YX/GT/90953).</w:t>
      </w:r>
    </w:p>
  </w:footnote>
  <w:footnote w:id="59">
    <w:p w14:paraId="41B14762" w14:textId="77777777" w:rsidR="00FF3A47" w:rsidRPr="00B91F3C" w:rsidRDefault="00FF3A47" w:rsidP="00FF3A47">
      <w:pPr>
        <w:pStyle w:val="Notedebasdepage"/>
      </w:pPr>
      <w:r w:rsidRPr="00B91F3C">
        <w:rPr>
          <w:vertAlign w:val="superscript"/>
        </w:rPr>
        <w:footnoteRef/>
      </w:r>
      <w:r w:rsidRPr="00B91F3C">
        <w:t xml:space="preserve"> GEF, 2019, </w:t>
      </w:r>
      <w:hyperlink r:id="rId29" w:history="1">
        <w:r w:rsidRPr="00B91F3C">
          <w:rPr>
            <w:rStyle w:val="Lienhypertexte"/>
          </w:rPr>
          <w:t xml:space="preserve">GEF Policy </w:t>
        </w:r>
        <w:proofErr w:type="spellStart"/>
        <w:r w:rsidRPr="00B91F3C">
          <w:rPr>
            <w:rStyle w:val="Lienhypertexte"/>
          </w:rPr>
          <w:t>on</w:t>
        </w:r>
        <w:proofErr w:type="spellEnd"/>
        <w:r w:rsidRPr="00B91F3C">
          <w:rPr>
            <w:rStyle w:val="Lienhypertexte"/>
          </w:rPr>
          <w:t xml:space="preserve"> Monitoring</w:t>
        </w:r>
      </w:hyperlink>
      <w:r w:rsidRPr="00B91F3C">
        <w:t xml:space="preserve">, Council </w:t>
      </w:r>
      <w:proofErr w:type="spellStart"/>
      <w:r w:rsidRPr="00B91F3C">
        <w:t>document</w:t>
      </w:r>
      <w:proofErr w:type="spellEnd"/>
      <w:r w:rsidRPr="00B91F3C">
        <w:t xml:space="preserve"> GEF/C.56/03/Rev.01.</w:t>
      </w:r>
    </w:p>
  </w:footnote>
  <w:footnote w:id="60">
    <w:p w14:paraId="490C4561" w14:textId="77777777" w:rsidR="00FF3A47" w:rsidRPr="00B91F3C" w:rsidRDefault="00FF3A47" w:rsidP="00FF3A47">
      <w:pPr>
        <w:pStyle w:val="Notedebasdepage"/>
      </w:pPr>
      <w:r w:rsidRPr="00B91F3C">
        <w:rPr>
          <w:vertAlign w:val="superscript"/>
        </w:rPr>
        <w:footnoteRef/>
      </w:r>
      <w:r w:rsidRPr="00B91F3C">
        <w:rPr>
          <w:vertAlign w:val="superscript"/>
        </w:rPr>
        <w:t xml:space="preserve"> </w:t>
      </w:r>
      <w:r w:rsidRPr="00B91F3C">
        <w:t xml:space="preserve">Речь идет о проектах, находящихся в процессе осуществления по состоянию на конец 2023 календарного года. </w:t>
      </w:r>
    </w:p>
  </w:footnote>
  <w:footnote w:id="61">
    <w:p w14:paraId="76CE7EB7" w14:textId="77777777" w:rsidR="00FF3A47" w:rsidRPr="00B91F3C" w:rsidRDefault="00FF3A47" w:rsidP="00FF3A47">
      <w:pPr>
        <w:pStyle w:val="Notedebasdepage"/>
      </w:pPr>
      <w:r w:rsidRPr="00B91F3C">
        <w:rPr>
          <w:rStyle w:val="Appelnotedebasdep"/>
        </w:rPr>
        <w:footnoteRef/>
      </w:r>
      <w:r w:rsidRPr="00B91F3C">
        <w:t xml:space="preserve"> К проектам, финансируемым по линии биоразнообразия, относятся проекты по биоразнообразию в рамках одной целевой области и проекты многоцелевой направленности, получившие финансирование по линии целевой области «Биоразнообразие».</w:t>
      </w:r>
    </w:p>
  </w:footnote>
  <w:footnote w:id="62">
    <w:p w14:paraId="6AE02292" w14:textId="77777777" w:rsidR="00FF3A47" w:rsidRPr="00B91F3C" w:rsidRDefault="00FF3A47" w:rsidP="00FF3A47">
      <w:pPr>
        <w:pStyle w:val="Notedebasdepage"/>
      </w:pPr>
      <w:r w:rsidRPr="00B91F3C">
        <w:rPr>
          <w:vertAlign w:val="superscript"/>
        </w:rPr>
        <w:footnoteRef/>
      </w:r>
      <w:r w:rsidRPr="00B91F3C">
        <w:rPr>
          <w:vertAlign w:val="superscript"/>
        </w:rPr>
        <w:t xml:space="preserve"> </w:t>
      </w:r>
      <w:r w:rsidRPr="00B91F3C">
        <w:t xml:space="preserve">GEF, 2018, </w:t>
      </w:r>
      <w:hyperlink r:id="rId30" w:history="1">
        <w:proofErr w:type="spellStart"/>
        <w:r w:rsidRPr="00B91F3C">
          <w:rPr>
            <w:rStyle w:val="Lienhypertexte"/>
          </w:rPr>
          <w:t>Updated</w:t>
        </w:r>
        <w:proofErr w:type="spellEnd"/>
        <w:r w:rsidRPr="00B91F3C">
          <w:rPr>
            <w:rStyle w:val="Lienhypertexte"/>
          </w:rPr>
          <w:t xml:space="preserve"> </w:t>
        </w:r>
        <w:proofErr w:type="spellStart"/>
        <w:r w:rsidRPr="00B91F3C">
          <w:rPr>
            <w:rStyle w:val="Lienhypertexte"/>
          </w:rPr>
          <w:t>Results</w:t>
        </w:r>
        <w:proofErr w:type="spellEnd"/>
        <w:r w:rsidRPr="00B91F3C">
          <w:rPr>
            <w:rStyle w:val="Lienhypertexte"/>
          </w:rPr>
          <w:t xml:space="preserve"> Architecture </w:t>
        </w:r>
        <w:proofErr w:type="spellStart"/>
        <w:r w:rsidRPr="00B91F3C">
          <w:rPr>
            <w:rStyle w:val="Lienhypertexte"/>
          </w:rPr>
          <w:t>for</w:t>
        </w:r>
        <w:proofErr w:type="spellEnd"/>
        <w:r w:rsidRPr="00B91F3C">
          <w:rPr>
            <w:rStyle w:val="Lienhypertexte"/>
          </w:rPr>
          <w:t xml:space="preserve"> GEF-7</w:t>
        </w:r>
      </w:hyperlink>
      <w:r w:rsidRPr="00B91F3C">
        <w:t xml:space="preserve">, Council </w:t>
      </w:r>
      <w:proofErr w:type="spellStart"/>
      <w:r w:rsidRPr="00B91F3C">
        <w:t>document</w:t>
      </w:r>
      <w:proofErr w:type="spellEnd"/>
      <w:r w:rsidRPr="00B91F3C">
        <w:t xml:space="preserve"> GEF/C.54/11/Rev.02.</w:t>
      </w:r>
    </w:p>
  </w:footnote>
  <w:footnote w:id="63">
    <w:p w14:paraId="339B310D" w14:textId="77777777" w:rsidR="00FF3A47" w:rsidRPr="00B91F3C" w:rsidRDefault="00FF3A47" w:rsidP="00FF3A47">
      <w:pPr>
        <w:pStyle w:val="Notedebasdepage"/>
      </w:pPr>
      <w:r w:rsidRPr="00B91F3C">
        <w:rPr>
          <w:rStyle w:val="Appelnotedebasdep"/>
        </w:rPr>
        <w:footnoteRef/>
      </w:r>
      <w:r w:rsidRPr="00B91F3C">
        <w:t xml:space="preserve"> GEF, 2022, </w:t>
      </w:r>
      <w:hyperlink r:id="rId31" w:history="1">
        <w:r w:rsidRPr="00B91F3C">
          <w:rPr>
            <w:rStyle w:val="Lienhypertexte"/>
          </w:rPr>
          <w:t xml:space="preserve">GEF-7 Corporate </w:t>
        </w:r>
        <w:proofErr w:type="spellStart"/>
        <w:r w:rsidRPr="00B91F3C">
          <w:rPr>
            <w:rStyle w:val="Lienhypertexte"/>
          </w:rPr>
          <w:t>Scorecard</w:t>
        </w:r>
        <w:proofErr w:type="spellEnd"/>
        <w:r w:rsidRPr="00B91F3C">
          <w:rPr>
            <w:rStyle w:val="Lienhypertexte"/>
          </w:rPr>
          <w:t xml:space="preserve"> </w:t>
        </w:r>
        <w:proofErr w:type="spellStart"/>
        <w:r w:rsidRPr="00B91F3C">
          <w:rPr>
            <w:rStyle w:val="Lienhypertexte"/>
          </w:rPr>
          <w:t>June</w:t>
        </w:r>
        <w:proofErr w:type="spellEnd"/>
        <w:r w:rsidRPr="00B91F3C">
          <w:rPr>
            <w:rStyle w:val="Lienhypertexte"/>
          </w:rPr>
          <w:t xml:space="preserve"> 2022</w:t>
        </w:r>
      </w:hyperlink>
      <w:r w:rsidRPr="00B91F3C">
        <w:t>, GEF/C.62/Inf.04.</w:t>
      </w:r>
    </w:p>
    <w:p w14:paraId="63B59CDB" w14:textId="77777777" w:rsidR="00FF3A47" w:rsidRPr="00B91F3C" w:rsidRDefault="00FF3A47" w:rsidP="00FF3A47">
      <w:pPr>
        <w:pStyle w:val="Notedebasdepage"/>
      </w:pPr>
    </w:p>
  </w:footnote>
  <w:footnote w:id="64">
    <w:p w14:paraId="494F754B" w14:textId="77777777" w:rsidR="00FF3A47" w:rsidRPr="00B91F3C" w:rsidRDefault="00FF3A47" w:rsidP="00FF3A47">
      <w:pPr>
        <w:pStyle w:val="Notedebasdepage"/>
      </w:pPr>
      <w:r w:rsidRPr="00B91F3C">
        <w:rPr>
          <w:rStyle w:val="Appelnotedebasdep"/>
        </w:rPr>
        <w:footnoteRef/>
      </w:r>
      <w:r w:rsidRPr="00B91F3C">
        <w:t xml:space="preserve"> GEF, 2024, </w:t>
      </w:r>
      <w:hyperlink r:id="rId32" w:history="1">
        <w:r w:rsidRPr="00B91F3C">
          <w:rPr>
            <w:rStyle w:val="Lienhypertexte"/>
          </w:rPr>
          <w:t xml:space="preserve">GEF-8 Corporate </w:t>
        </w:r>
        <w:proofErr w:type="spellStart"/>
        <w:r w:rsidRPr="00B91F3C">
          <w:rPr>
            <w:rStyle w:val="Lienhypertexte"/>
          </w:rPr>
          <w:t>Scorecard</w:t>
        </w:r>
        <w:proofErr w:type="spellEnd"/>
        <w:r w:rsidRPr="00B91F3C">
          <w:rPr>
            <w:rStyle w:val="Lienhypertexte"/>
          </w:rPr>
          <w:t xml:space="preserve"> </w:t>
        </w:r>
        <w:proofErr w:type="spellStart"/>
        <w:r w:rsidRPr="00B91F3C">
          <w:rPr>
            <w:rStyle w:val="Lienhypertexte"/>
          </w:rPr>
          <w:t>February</w:t>
        </w:r>
        <w:proofErr w:type="spellEnd"/>
        <w:r w:rsidRPr="00B91F3C">
          <w:rPr>
            <w:rStyle w:val="Lienhypertexte"/>
          </w:rPr>
          <w:t xml:space="preserve"> 2024</w:t>
        </w:r>
      </w:hyperlink>
      <w:r w:rsidRPr="00B91F3C">
        <w:t>, GEF/C.66/Inf.04.</w:t>
      </w:r>
    </w:p>
  </w:footnote>
  <w:footnote w:id="65">
    <w:p w14:paraId="0853A221" w14:textId="77777777" w:rsidR="00FF3A47" w:rsidRPr="00B91F3C" w:rsidRDefault="00FF3A47" w:rsidP="00FF3A47">
      <w:pPr>
        <w:pStyle w:val="Notedebasdepage"/>
      </w:pPr>
      <w:r w:rsidRPr="00B91F3C">
        <w:rPr>
          <w:rStyle w:val="Appelnotedebasdep"/>
        </w:rPr>
        <w:footnoteRef/>
      </w:r>
      <w:r w:rsidRPr="00B91F3C">
        <w:t xml:space="preserve"> GEF, 2024, </w:t>
      </w:r>
      <w:hyperlink r:id="rId33" w:history="1">
        <w:r w:rsidRPr="00B91F3C">
          <w:rPr>
            <w:rStyle w:val="Lienhypertexte"/>
          </w:rPr>
          <w:t xml:space="preserve">GEF-8 Corporate </w:t>
        </w:r>
        <w:proofErr w:type="spellStart"/>
        <w:r w:rsidRPr="00B91F3C">
          <w:rPr>
            <w:rStyle w:val="Lienhypertexte"/>
          </w:rPr>
          <w:t>Scorecard</w:t>
        </w:r>
        <w:proofErr w:type="spellEnd"/>
        <w:r w:rsidRPr="00B91F3C">
          <w:rPr>
            <w:rStyle w:val="Lienhypertexte"/>
          </w:rPr>
          <w:t xml:space="preserve"> </w:t>
        </w:r>
        <w:proofErr w:type="spellStart"/>
        <w:r w:rsidRPr="00B91F3C">
          <w:rPr>
            <w:rStyle w:val="Lienhypertexte"/>
          </w:rPr>
          <w:t>February</w:t>
        </w:r>
        <w:proofErr w:type="spellEnd"/>
        <w:r w:rsidRPr="00B91F3C">
          <w:rPr>
            <w:rStyle w:val="Lienhypertexte"/>
          </w:rPr>
          <w:t xml:space="preserve"> 2024</w:t>
        </w:r>
      </w:hyperlink>
      <w:r w:rsidRPr="00B91F3C">
        <w:t>, GEF/C.66/Inf.04.</w:t>
      </w:r>
    </w:p>
  </w:footnote>
  <w:footnote w:id="66">
    <w:p w14:paraId="0B7F8457" w14:textId="77777777" w:rsidR="00FF3A47" w:rsidRPr="00B91F3C" w:rsidRDefault="00FF3A47" w:rsidP="00FF3A47">
      <w:pPr>
        <w:pStyle w:val="Notedebasdepage"/>
      </w:pPr>
      <w:r w:rsidRPr="00B91F3C">
        <w:rPr>
          <w:rStyle w:val="Appelnotedebasdep"/>
        </w:rPr>
        <w:footnoteRef/>
      </w:r>
      <w:r w:rsidRPr="00B91F3C">
        <w:t xml:space="preserve"> </w:t>
      </w:r>
      <w:hyperlink r:id="rId34" w:history="1">
        <w:r w:rsidRPr="00B91F3C">
          <w:rPr>
            <w:rStyle w:val="Lienhypertexte"/>
          </w:rPr>
          <w:t>https://www.gefieo.org/sites/default/files/documents/council-documents/c-62-e-02.pdf</w:t>
        </w:r>
      </w:hyperlink>
    </w:p>
    <w:p w14:paraId="3604A17F" w14:textId="77777777" w:rsidR="00FF3A47" w:rsidRPr="00B91F3C" w:rsidRDefault="00FF3A47" w:rsidP="00FF3A47">
      <w:pPr>
        <w:pStyle w:val="Notedebasdepage"/>
      </w:pPr>
    </w:p>
  </w:footnote>
  <w:footnote w:id="67">
    <w:p w14:paraId="6AB45F33" w14:textId="77777777" w:rsidR="00FF3A47" w:rsidRPr="00B91F3C" w:rsidRDefault="00FF3A47" w:rsidP="00FF3A47">
      <w:pPr>
        <w:pStyle w:val="Notedebasdepage"/>
      </w:pPr>
      <w:r w:rsidRPr="00B91F3C">
        <w:rPr>
          <w:rStyle w:val="Appelnotedebasdep"/>
        </w:rPr>
        <w:footnoteRef/>
      </w:r>
      <w:r w:rsidRPr="00B91F3C">
        <w:t xml:space="preserve"> GEF, 2022, </w:t>
      </w:r>
      <w:hyperlink r:id="rId35" w:history="1">
        <w:r w:rsidRPr="00B91F3C">
          <w:rPr>
            <w:rStyle w:val="Lienhypertexte"/>
            <w:i/>
          </w:rPr>
          <w:t xml:space="preserve">Management </w:t>
        </w:r>
        <w:proofErr w:type="spellStart"/>
        <w:r w:rsidRPr="00B91F3C">
          <w:rPr>
            <w:rStyle w:val="Lienhypertexte"/>
            <w:i/>
          </w:rPr>
          <w:t>response</w:t>
        </w:r>
        <w:proofErr w:type="spellEnd"/>
        <w:r w:rsidRPr="00B91F3C">
          <w:rPr>
            <w:rStyle w:val="Lienhypertexte"/>
            <w:i/>
          </w:rPr>
          <w:t xml:space="preserve"> </w:t>
        </w:r>
        <w:proofErr w:type="spellStart"/>
        <w:r w:rsidRPr="00B91F3C">
          <w:rPr>
            <w:rStyle w:val="Lienhypertexte"/>
            <w:i/>
          </w:rPr>
          <w:t>to</w:t>
        </w:r>
        <w:proofErr w:type="spellEnd"/>
        <w:r w:rsidRPr="00B91F3C">
          <w:rPr>
            <w:rStyle w:val="Lienhypertexte"/>
            <w:i/>
          </w:rPr>
          <w:t>:</w:t>
        </w:r>
      </w:hyperlink>
      <w:hyperlink r:id="rId36" w:history="1">
        <w:r w:rsidRPr="00B91F3C">
          <w:rPr>
            <w:rStyle w:val="Lienhypertexte"/>
            <w:i/>
          </w:rPr>
          <w:t xml:space="preserve"> </w:t>
        </w:r>
        <w:proofErr w:type="spellStart"/>
        <w:r w:rsidRPr="00B91F3C">
          <w:rPr>
            <w:rStyle w:val="Lienhypertexte"/>
            <w:i/>
          </w:rPr>
          <w:t>Evaluation</w:t>
        </w:r>
        <w:proofErr w:type="spellEnd"/>
        <w:r w:rsidRPr="00B91F3C">
          <w:rPr>
            <w:rStyle w:val="Lienhypertexte"/>
            <w:i/>
          </w:rPr>
          <w:t xml:space="preserve"> </w:t>
        </w:r>
        <w:proofErr w:type="spellStart"/>
        <w:r w:rsidRPr="00B91F3C">
          <w:rPr>
            <w:rStyle w:val="Lienhypertexte"/>
            <w:i/>
          </w:rPr>
          <w:t>of</w:t>
        </w:r>
        <w:proofErr w:type="spellEnd"/>
        <w:r w:rsidRPr="00B91F3C">
          <w:rPr>
            <w:rStyle w:val="Lienhypertexte"/>
            <w:i/>
          </w:rPr>
          <w:t xml:space="preserve"> GEF </w:t>
        </w:r>
        <w:proofErr w:type="spellStart"/>
        <w:r w:rsidRPr="00B91F3C">
          <w:rPr>
            <w:rStyle w:val="Lienhypertexte"/>
            <w:i/>
          </w:rPr>
          <w:t>support</w:t>
        </w:r>
        <w:proofErr w:type="spellEnd"/>
        <w:r w:rsidRPr="00B91F3C">
          <w:rPr>
            <w:rStyle w:val="Lienhypertexte"/>
            <w:i/>
          </w:rPr>
          <w:t xml:space="preserve"> </w:t>
        </w:r>
        <w:proofErr w:type="spellStart"/>
        <w:r w:rsidRPr="00B91F3C">
          <w:rPr>
            <w:rStyle w:val="Lienhypertexte"/>
            <w:i/>
          </w:rPr>
          <w:t>to</w:t>
        </w:r>
        <w:proofErr w:type="spellEnd"/>
        <w:r w:rsidRPr="00B91F3C">
          <w:rPr>
            <w:rStyle w:val="Lienhypertexte"/>
            <w:i/>
          </w:rPr>
          <w:t xml:space="preserve"> </w:t>
        </w:r>
        <w:proofErr w:type="spellStart"/>
        <w:r w:rsidRPr="00B91F3C">
          <w:rPr>
            <w:rStyle w:val="Lienhypertexte"/>
            <w:i/>
          </w:rPr>
          <w:t>Sustainable</w:t>
        </w:r>
        <w:proofErr w:type="spellEnd"/>
        <w:r w:rsidRPr="00B91F3C">
          <w:rPr>
            <w:rStyle w:val="Lienhypertexte"/>
            <w:i/>
          </w:rPr>
          <w:t xml:space="preserve"> </w:t>
        </w:r>
        <w:proofErr w:type="spellStart"/>
        <w:r w:rsidRPr="00B91F3C">
          <w:rPr>
            <w:rStyle w:val="Lienhypertexte"/>
            <w:i/>
          </w:rPr>
          <w:t>Forest</w:t>
        </w:r>
        <w:proofErr w:type="spellEnd"/>
        <w:r w:rsidRPr="00B91F3C">
          <w:rPr>
            <w:rStyle w:val="Lienhypertexte"/>
            <w:i/>
          </w:rPr>
          <w:t xml:space="preserve"> Management</w:t>
        </w:r>
      </w:hyperlink>
      <w:r w:rsidRPr="00B91F3C">
        <w:t>, Council Document GEF/C.62/14/Rev.01</w:t>
      </w:r>
    </w:p>
  </w:footnote>
  <w:footnote w:id="68">
    <w:p w14:paraId="24B50E1B" w14:textId="77777777" w:rsidR="00FF3A47" w:rsidRPr="00B91F3C" w:rsidRDefault="00FF3A47" w:rsidP="00FF3A47">
      <w:pPr>
        <w:pStyle w:val="Notedebasdepage"/>
      </w:pPr>
      <w:r w:rsidRPr="00B91F3C">
        <w:rPr>
          <w:rStyle w:val="Appelnotedebasdep"/>
        </w:rPr>
        <w:footnoteRef/>
      </w:r>
      <w:r w:rsidRPr="00B91F3C">
        <w:t xml:space="preserve"> </w:t>
      </w:r>
      <w:hyperlink r:id="rId37" w:history="1">
        <w:r w:rsidRPr="00B91F3C">
          <w:rPr>
            <w:rStyle w:val="Lienhypertexte"/>
          </w:rPr>
          <w:t>https://www.gefieo.org/sites/default/files/documents/council-documents/c-64-e-02-rev-01.pdf</w:t>
        </w:r>
      </w:hyperlink>
    </w:p>
    <w:p w14:paraId="50EAEED6" w14:textId="77777777" w:rsidR="00FF3A47" w:rsidRPr="00B91F3C" w:rsidRDefault="00FF3A47" w:rsidP="00FF3A47">
      <w:pPr>
        <w:pStyle w:val="Notedebasdepage"/>
      </w:pPr>
    </w:p>
  </w:footnote>
  <w:footnote w:id="69">
    <w:p w14:paraId="5FD95717" w14:textId="77777777" w:rsidR="00FF3A47" w:rsidRPr="00B91F3C" w:rsidRDefault="00FF3A47" w:rsidP="00FF3A47">
      <w:pPr>
        <w:pStyle w:val="Notedebasdepage"/>
      </w:pPr>
      <w:r w:rsidRPr="00B91F3C">
        <w:rPr>
          <w:rStyle w:val="Appelnotedebasdep"/>
        </w:rPr>
        <w:footnoteRef/>
      </w:r>
      <w:r w:rsidRPr="00B91F3C">
        <w:t xml:space="preserve"> GEF, 2023, </w:t>
      </w:r>
      <w:hyperlink r:id="rId38" w:history="1">
        <w:r w:rsidRPr="00B91F3C">
          <w:rPr>
            <w:rStyle w:val="Lienhypertexte"/>
            <w:i/>
          </w:rPr>
          <w:t xml:space="preserve">Management </w:t>
        </w:r>
        <w:proofErr w:type="spellStart"/>
        <w:r w:rsidRPr="00B91F3C">
          <w:rPr>
            <w:rStyle w:val="Lienhypertexte"/>
            <w:i/>
          </w:rPr>
          <w:t>response</w:t>
        </w:r>
        <w:proofErr w:type="spellEnd"/>
        <w:r w:rsidRPr="00B91F3C">
          <w:rPr>
            <w:rStyle w:val="Lienhypertexte"/>
            <w:i/>
          </w:rPr>
          <w:t xml:space="preserve"> </w:t>
        </w:r>
        <w:proofErr w:type="spellStart"/>
        <w:r w:rsidRPr="00B91F3C">
          <w:rPr>
            <w:rStyle w:val="Lienhypertexte"/>
            <w:i/>
          </w:rPr>
          <w:t>to</w:t>
        </w:r>
        <w:proofErr w:type="spellEnd"/>
        <w:r w:rsidRPr="00B91F3C">
          <w:rPr>
            <w:rStyle w:val="Lienhypertexte"/>
            <w:i/>
          </w:rPr>
          <w:t>:</w:t>
        </w:r>
      </w:hyperlink>
      <w:hyperlink r:id="rId39" w:history="1">
        <w:r w:rsidRPr="00B91F3C">
          <w:rPr>
            <w:rStyle w:val="Lienhypertexte"/>
            <w:i/>
          </w:rPr>
          <w:t xml:space="preserve"> </w:t>
        </w:r>
        <w:proofErr w:type="spellStart"/>
        <w:r w:rsidRPr="00B91F3C">
          <w:rPr>
            <w:rStyle w:val="Lienhypertexte"/>
            <w:i/>
          </w:rPr>
          <w:t>Evaluation</w:t>
        </w:r>
        <w:proofErr w:type="spellEnd"/>
        <w:r w:rsidRPr="00B91F3C">
          <w:rPr>
            <w:rStyle w:val="Lienhypertexte"/>
            <w:i/>
          </w:rPr>
          <w:t xml:space="preserve"> </w:t>
        </w:r>
        <w:proofErr w:type="spellStart"/>
        <w:r w:rsidRPr="00B91F3C">
          <w:rPr>
            <w:rStyle w:val="Lienhypertexte"/>
            <w:i/>
          </w:rPr>
          <w:t>of</w:t>
        </w:r>
        <w:proofErr w:type="spellEnd"/>
        <w:r w:rsidRPr="00B91F3C">
          <w:rPr>
            <w:rStyle w:val="Lienhypertexte"/>
            <w:i/>
          </w:rPr>
          <w:t xml:space="preserve"> </w:t>
        </w:r>
        <w:proofErr w:type="spellStart"/>
        <w:r w:rsidRPr="00B91F3C">
          <w:rPr>
            <w:rStyle w:val="Lienhypertexte"/>
            <w:i/>
          </w:rPr>
          <w:t>the</w:t>
        </w:r>
        <w:proofErr w:type="spellEnd"/>
        <w:r w:rsidRPr="00B91F3C">
          <w:rPr>
            <w:rStyle w:val="Lienhypertexte"/>
            <w:i/>
          </w:rPr>
          <w:t xml:space="preserve"> </w:t>
        </w:r>
        <w:proofErr w:type="spellStart"/>
        <w:r w:rsidRPr="00B91F3C">
          <w:rPr>
            <w:rStyle w:val="Lienhypertexte"/>
            <w:i/>
          </w:rPr>
          <w:t>GEF’s</w:t>
        </w:r>
        <w:proofErr w:type="spellEnd"/>
        <w:r w:rsidRPr="00B91F3C">
          <w:rPr>
            <w:rStyle w:val="Lienhypertexte"/>
            <w:i/>
          </w:rPr>
          <w:t xml:space="preserve"> </w:t>
        </w:r>
        <w:proofErr w:type="spellStart"/>
        <w:r w:rsidRPr="00B91F3C">
          <w:rPr>
            <w:rStyle w:val="Lienhypertexte"/>
            <w:i/>
          </w:rPr>
          <w:t>approach</w:t>
        </w:r>
        <w:proofErr w:type="spellEnd"/>
        <w:r w:rsidRPr="00B91F3C">
          <w:rPr>
            <w:rStyle w:val="Lienhypertexte"/>
            <w:i/>
          </w:rPr>
          <w:t xml:space="preserve"> </w:t>
        </w:r>
        <w:proofErr w:type="spellStart"/>
        <w:r w:rsidRPr="00B91F3C">
          <w:rPr>
            <w:rStyle w:val="Lienhypertexte"/>
            <w:i/>
          </w:rPr>
          <w:t>in</w:t>
        </w:r>
        <w:proofErr w:type="spellEnd"/>
        <w:r w:rsidRPr="00B91F3C">
          <w:rPr>
            <w:rStyle w:val="Lienhypertexte"/>
            <w:i/>
          </w:rPr>
          <w:t xml:space="preserve"> </w:t>
        </w:r>
        <w:proofErr w:type="spellStart"/>
        <w:r w:rsidRPr="00B91F3C">
          <w:rPr>
            <w:rStyle w:val="Lienhypertexte"/>
            <w:i/>
          </w:rPr>
          <w:t>interventions</w:t>
        </w:r>
        <w:proofErr w:type="spellEnd"/>
        <w:r w:rsidRPr="00B91F3C">
          <w:rPr>
            <w:rStyle w:val="Lienhypertexte"/>
            <w:i/>
          </w:rPr>
          <w:t xml:space="preserve"> </w:t>
        </w:r>
        <w:proofErr w:type="spellStart"/>
        <w:r w:rsidRPr="00B91F3C">
          <w:rPr>
            <w:rStyle w:val="Lienhypertexte"/>
            <w:i/>
          </w:rPr>
          <w:t>in</w:t>
        </w:r>
        <w:proofErr w:type="spellEnd"/>
        <w:r w:rsidRPr="00B91F3C">
          <w:rPr>
            <w:rStyle w:val="Lienhypertexte"/>
            <w:i/>
          </w:rPr>
          <w:t xml:space="preserve"> Water Security</w:t>
        </w:r>
      </w:hyperlink>
      <w:r w:rsidRPr="00B91F3C">
        <w:t>, Council Document GEF/C.64/14.</w:t>
      </w:r>
    </w:p>
  </w:footnote>
  <w:footnote w:id="70">
    <w:p w14:paraId="2FEEF4E8" w14:textId="77777777" w:rsidR="00FF3A47" w:rsidRPr="00B91F3C" w:rsidRDefault="00FF3A47" w:rsidP="00FF3A47">
      <w:pPr>
        <w:pStyle w:val="Notedebasdepage"/>
      </w:pPr>
      <w:r w:rsidRPr="00B91F3C">
        <w:rPr>
          <w:rStyle w:val="Appelnotedebasdep"/>
        </w:rPr>
        <w:footnoteRef/>
      </w:r>
      <w:r w:rsidRPr="00B91F3C">
        <w:t xml:space="preserve"> </w:t>
      </w:r>
      <w:hyperlink r:id="rId40" w:history="1">
        <w:r w:rsidRPr="00B91F3C">
          <w:rPr>
            <w:rStyle w:val="Lienhypertexte"/>
          </w:rPr>
          <w:t>https://www.gefieo.org/sites/default/files/documents/council-documents/c-66-e-01-a.pdf</w:t>
        </w:r>
      </w:hyperlink>
    </w:p>
    <w:p w14:paraId="7D36432A" w14:textId="77777777" w:rsidR="00FF3A47" w:rsidRPr="00B91F3C" w:rsidRDefault="00FF3A47" w:rsidP="00FF3A47">
      <w:pPr>
        <w:pStyle w:val="Notedebasdepage"/>
      </w:pPr>
    </w:p>
  </w:footnote>
  <w:footnote w:id="71">
    <w:p w14:paraId="25BBAF20" w14:textId="77777777" w:rsidR="00FF3A47" w:rsidRPr="00B91F3C" w:rsidRDefault="00FF3A47" w:rsidP="00FF3A47">
      <w:pPr>
        <w:pStyle w:val="Notedebasdepage"/>
      </w:pPr>
      <w:r w:rsidRPr="00B91F3C">
        <w:rPr>
          <w:rStyle w:val="Appelnotedebasdep"/>
        </w:rPr>
        <w:footnoteRef/>
      </w:r>
      <w:r w:rsidRPr="00B91F3C">
        <w:t xml:space="preserve"> GEF, 2024, </w:t>
      </w:r>
      <w:hyperlink r:id="rId41" w:history="1">
        <w:r w:rsidRPr="00B91F3C">
          <w:rPr>
            <w:rStyle w:val="Lienhypertexte"/>
            <w:i/>
          </w:rPr>
          <w:t xml:space="preserve">Management </w:t>
        </w:r>
        <w:proofErr w:type="spellStart"/>
        <w:r w:rsidRPr="00B91F3C">
          <w:rPr>
            <w:rStyle w:val="Lienhypertexte"/>
            <w:i/>
          </w:rPr>
          <w:t>response</w:t>
        </w:r>
        <w:proofErr w:type="spellEnd"/>
        <w:r w:rsidRPr="00B91F3C">
          <w:rPr>
            <w:rStyle w:val="Lienhypertexte"/>
            <w:i/>
          </w:rPr>
          <w:t xml:space="preserve"> </w:t>
        </w:r>
        <w:proofErr w:type="spellStart"/>
        <w:r w:rsidRPr="00B91F3C">
          <w:rPr>
            <w:rStyle w:val="Lienhypertexte"/>
            <w:i/>
          </w:rPr>
          <w:t>to</w:t>
        </w:r>
        <w:proofErr w:type="spellEnd"/>
        <w:r w:rsidRPr="00B91F3C">
          <w:rPr>
            <w:rStyle w:val="Lienhypertexte"/>
            <w:i/>
          </w:rPr>
          <w:t xml:space="preserve"> </w:t>
        </w:r>
        <w:proofErr w:type="spellStart"/>
        <w:r w:rsidRPr="00B91F3C">
          <w:rPr>
            <w:rStyle w:val="Lienhypertexte"/>
            <w:i/>
          </w:rPr>
          <w:t>the</w:t>
        </w:r>
        <w:proofErr w:type="spellEnd"/>
        <w:r w:rsidRPr="00B91F3C">
          <w:rPr>
            <w:rStyle w:val="Lienhypertexte"/>
            <w:i/>
          </w:rPr>
          <w:t xml:space="preserve"> EIO Strategic Country Cluster </w:t>
        </w:r>
        <w:proofErr w:type="spellStart"/>
        <w:r w:rsidRPr="00B91F3C">
          <w:rPr>
            <w:rStyle w:val="Lienhypertexte"/>
            <w:i/>
          </w:rPr>
          <w:t>Evaluation</w:t>
        </w:r>
        <w:proofErr w:type="spellEnd"/>
        <w:r w:rsidRPr="00B91F3C">
          <w:rPr>
            <w:rStyle w:val="Lienhypertexte"/>
            <w:i/>
          </w:rPr>
          <w:t>:</w:t>
        </w:r>
      </w:hyperlink>
      <w:hyperlink r:id="rId42" w:history="1">
        <w:r w:rsidRPr="00B91F3C">
          <w:rPr>
            <w:rStyle w:val="Lienhypertexte"/>
            <w:i/>
          </w:rPr>
          <w:t xml:space="preserve"> GEF </w:t>
        </w:r>
        <w:proofErr w:type="spellStart"/>
        <w:r w:rsidRPr="00B91F3C">
          <w:rPr>
            <w:rStyle w:val="Lienhypertexte"/>
            <w:i/>
          </w:rPr>
          <w:t>support</w:t>
        </w:r>
        <w:proofErr w:type="spellEnd"/>
        <w:r w:rsidRPr="00B91F3C">
          <w:rPr>
            <w:rStyle w:val="Lienhypertexte"/>
            <w:i/>
          </w:rPr>
          <w:t xml:space="preserve"> </w:t>
        </w:r>
        <w:proofErr w:type="spellStart"/>
        <w:r w:rsidRPr="00B91F3C">
          <w:rPr>
            <w:rStyle w:val="Lienhypertexte"/>
            <w:i/>
          </w:rPr>
          <w:t>to</w:t>
        </w:r>
        <w:proofErr w:type="spellEnd"/>
        <w:r w:rsidRPr="00B91F3C">
          <w:rPr>
            <w:rStyle w:val="Lienhypertexte"/>
            <w:i/>
          </w:rPr>
          <w:t xml:space="preserve"> </w:t>
        </w:r>
        <w:proofErr w:type="spellStart"/>
        <w:r w:rsidRPr="00B91F3C">
          <w:rPr>
            <w:rStyle w:val="Lienhypertexte"/>
            <w:i/>
          </w:rPr>
          <w:t>Drylands</w:t>
        </w:r>
        <w:proofErr w:type="spellEnd"/>
        <w:r w:rsidRPr="00B91F3C">
          <w:rPr>
            <w:rStyle w:val="Lienhypertexte"/>
            <w:i/>
          </w:rPr>
          <w:t xml:space="preserve"> </w:t>
        </w:r>
        <w:proofErr w:type="spellStart"/>
        <w:r w:rsidRPr="00B91F3C">
          <w:rPr>
            <w:rStyle w:val="Lienhypertexte"/>
            <w:i/>
          </w:rPr>
          <w:t>Countries</w:t>
        </w:r>
        <w:proofErr w:type="spellEnd"/>
      </w:hyperlink>
      <w:r w:rsidRPr="00B91F3C">
        <w:t>, Council Document GEF/C.66/14.</w:t>
      </w:r>
    </w:p>
  </w:footnote>
  <w:footnote w:id="72">
    <w:p w14:paraId="2C3A24AF" w14:textId="77777777" w:rsidR="00FF3A47" w:rsidRPr="00B91F3C" w:rsidRDefault="00FF3A47" w:rsidP="00FF3A47">
      <w:pPr>
        <w:pStyle w:val="Notedebasdepage"/>
      </w:pPr>
      <w:r w:rsidRPr="00B91F3C">
        <w:rPr>
          <w:rStyle w:val="Appelnotedebasdep"/>
        </w:rPr>
        <w:footnoteRef/>
      </w:r>
      <w:r w:rsidRPr="00B91F3C">
        <w:t xml:space="preserve"> </w:t>
      </w:r>
      <w:hyperlink r:id="rId43" w:history="1">
        <w:r w:rsidRPr="00B91F3C">
          <w:rPr>
            <w:rStyle w:val="Lienhypertexte"/>
          </w:rPr>
          <w:t>https://www.gefieo.org/sites/default/files/documents/council-documents/c-66-e-02.pdf</w:t>
        </w:r>
      </w:hyperlink>
    </w:p>
    <w:p w14:paraId="4D9E210B" w14:textId="77777777" w:rsidR="00FF3A47" w:rsidRPr="00B91F3C" w:rsidRDefault="00FF3A47" w:rsidP="00FF3A47">
      <w:pPr>
        <w:pStyle w:val="Notedebasdepage"/>
      </w:pPr>
    </w:p>
  </w:footnote>
  <w:footnote w:id="73">
    <w:p w14:paraId="46668A2C" w14:textId="77777777" w:rsidR="00FF3A47" w:rsidRPr="007476F9" w:rsidRDefault="00FF3A47" w:rsidP="00FF3A47">
      <w:pPr>
        <w:pStyle w:val="Notedebasdepage"/>
      </w:pPr>
      <w:r w:rsidRPr="00B91F3C">
        <w:rPr>
          <w:rStyle w:val="Appelnotedebasdep"/>
        </w:rPr>
        <w:footnoteRef/>
      </w:r>
      <w:r w:rsidRPr="00B91F3C">
        <w:t xml:space="preserve"> GEF, 2024, </w:t>
      </w:r>
      <w:hyperlink r:id="rId44" w:history="1">
        <w:r w:rsidRPr="00B91F3C">
          <w:rPr>
            <w:rStyle w:val="Lienhypertexte"/>
            <w:i/>
          </w:rPr>
          <w:t xml:space="preserve">Management </w:t>
        </w:r>
        <w:proofErr w:type="spellStart"/>
        <w:r w:rsidRPr="00B91F3C">
          <w:rPr>
            <w:rStyle w:val="Lienhypertexte"/>
            <w:i/>
          </w:rPr>
          <w:t>response</w:t>
        </w:r>
        <w:proofErr w:type="spellEnd"/>
        <w:r w:rsidRPr="00B91F3C">
          <w:rPr>
            <w:rStyle w:val="Lienhypertexte"/>
            <w:i/>
          </w:rPr>
          <w:t xml:space="preserve"> </w:t>
        </w:r>
        <w:proofErr w:type="spellStart"/>
        <w:r w:rsidRPr="00B91F3C">
          <w:rPr>
            <w:rStyle w:val="Lienhypertexte"/>
            <w:i/>
          </w:rPr>
          <w:t>to</w:t>
        </w:r>
        <w:proofErr w:type="spellEnd"/>
        <w:r w:rsidRPr="00B91F3C">
          <w:rPr>
            <w:rStyle w:val="Lienhypertexte"/>
            <w:i/>
          </w:rPr>
          <w:t>:</w:t>
        </w:r>
      </w:hyperlink>
      <w:hyperlink r:id="rId45" w:history="1">
        <w:r w:rsidRPr="00B91F3C">
          <w:rPr>
            <w:rStyle w:val="Lienhypertexte"/>
            <w:i/>
          </w:rPr>
          <w:t xml:space="preserve"> </w:t>
        </w:r>
        <w:proofErr w:type="spellStart"/>
        <w:r w:rsidRPr="00B91F3C">
          <w:rPr>
            <w:rStyle w:val="Lienhypertexte"/>
            <w:i/>
          </w:rPr>
          <w:t>Evaluation</w:t>
        </w:r>
        <w:proofErr w:type="spellEnd"/>
        <w:r w:rsidRPr="00B91F3C">
          <w:rPr>
            <w:rStyle w:val="Lienhypertexte"/>
            <w:i/>
          </w:rPr>
          <w:t xml:space="preserve"> </w:t>
        </w:r>
        <w:proofErr w:type="spellStart"/>
        <w:r w:rsidRPr="00B91F3C">
          <w:rPr>
            <w:rStyle w:val="Lienhypertexte"/>
            <w:i/>
          </w:rPr>
          <w:t>of</w:t>
        </w:r>
        <w:proofErr w:type="spellEnd"/>
        <w:r w:rsidRPr="00B91F3C">
          <w:rPr>
            <w:rStyle w:val="Lienhypertexte"/>
            <w:i/>
          </w:rPr>
          <w:t xml:space="preserve"> Community-Based </w:t>
        </w:r>
        <w:proofErr w:type="spellStart"/>
        <w:r w:rsidRPr="00B91F3C">
          <w:rPr>
            <w:rStyle w:val="Lienhypertexte"/>
            <w:i/>
          </w:rPr>
          <w:t>approaches</w:t>
        </w:r>
        <w:proofErr w:type="spellEnd"/>
        <w:r w:rsidRPr="00B91F3C">
          <w:rPr>
            <w:rStyle w:val="Lienhypertexte"/>
            <w:i/>
          </w:rPr>
          <w:t xml:space="preserve"> </w:t>
        </w:r>
        <w:proofErr w:type="spellStart"/>
        <w:r w:rsidRPr="00B91F3C">
          <w:rPr>
            <w:rStyle w:val="Lienhypertexte"/>
            <w:i/>
          </w:rPr>
          <w:t>at</w:t>
        </w:r>
        <w:proofErr w:type="spellEnd"/>
        <w:r w:rsidRPr="00B91F3C">
          <w:rPr>
            <w:rStyle w:val="Lienhypertexte"/>
            <w:i/>
          </w:rPr>
          <w:t xml:space="preserve"> </w:t>
        </w:r>
        <w:proofErr w:type="spellStart"/>
        <w:r w:rsidRPr="00B91F3C">
          <w:rPr>
            <w:rStyle w:val="Lienhypertexte"/>
            <w:i/>
          </w:rPr>
          <w:t>the</w:t>
        </w:r>
        <w:proofErr w:type="spellEnd"/>
        <w:r w:rsidRPr="00B91F3C">
          <w:rPr>
            <w:rStyle w:val="Lienhypertexte"/>
            <w:i/>
          </w:rPr>
          <w:t xml:space="preserve"> GEF</w:t>
        </w:r>
      </w:hyperlink>
      <w:r w:rsidRPr="00B91F3C">
        <w:t>, Council Document GEF/C.66/15.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FE8121" w14:textId="6318FA7B" w:rsidR="00EC0F8C" w:rsidRPr="00B91F3C" w:rsidRDefault="00EC0F8C" w:rsidP="007655D1">
    <w:pPr>
      <w:pStyle w:val="En-tte"/>
      <w:pBdr>
        <w:bottom w:val="single" w:sz="4" w:space="1" w:color="auto"/>
      </w:pBdr>
      <w:rPr>
        <w:rFonts w:ascii="Times New Roman" w:hAnsi="Times New Roman" w:cs="Times New Roman"/>
        <w:sz w:val="20"/>
        <w:szCs w:val="20"/>
      </w:rPr>
    </w:pPr>
    <w:r w:rsidRPr="00B91F3C">
      <w:rPr>
        <w:rFonts w:ascii="Times New Roman" w:hAnsi="Times New Roman"/>
        <w:sz w:val="20"/>
      </w:rPr>
      <w:t>CBD/SBI/4/6/Add.1.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5D39C1" w14:textId="1156B5E2" w:rsidR="00EC0F8C" w:rsidRPr="00B91F3C" w:rsidRDefault="00EC0F8C" w:rsidP="004C586F">
    <w:pPr>
      <w:pStyle w:val="En-tte"/>
      <w:pBdr>
        <w:bottom w:val="single" w:sz="4" w:space="1" w:color="auto"/>
      </w:pBdr>
      <w:rPr>
        <w:rFonts w:ascii="Times New Roman" w:hAnsi="Times New Roman" w:cs="Times New Roman"/>
        <w:sz w:val="20"/>
        <w:szCs w:val="20"/>
      </w:rPr>
    </w:pPr>
    <w:r w:rsidRPr="00B91F3C">
      <w:rPr>
        <w:rFonts w:ascii="Times New Roman" w:hAnsi="Times New Roman"/>
        <w:sz w:val="20"/>
      </w:rPr>
      <w:t>CBD/SBI/4/6/Add.1.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55D260" w14:textId="77777777" w:rsidR="00EC0F8C" w:rsidRPr="00B91F3C" w:rsidRDefault="00EC0F8C">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67B4C7" w14:textId="77777777" w:rsidR="00EC0F8C" w:rsidRPr="00B91F3C" w:rsidRDefault="00EC0F8C" w:rsidP="003E659C">
    <w:pPr>
      <w:pStyle w:val="En-tte"/>
      <w:pBdr>
        <w:bottom w:val="single" w:sz="4" w:space="1" w:color="auto"/>
      </w:pBdr>
      <w:jc w:val="right"/>
      <w:rPr>
        <w:rFonts w:ascii="Times New Roman" w:hAnsi="Times New Roman" w:cs="Times New Roman"/>
        <w:sz w:val="20"/>
        <w:szCs w:val="20"/>
      </w:rPr>
    </w:pPr>
    <w:r w:rsidRPr="00B91F3C">
      <w:rPr>
        <w:rFonts w:ascii="Times New Roman" w:hAnsi="Times New Roman"/>
        <w:sz w:val="20"/>
      </w:rPr>
      <w:t>CBD/SBI/4/6/Add.1.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F9864" w14:textId="77777777" w:rsidR="00FF3A47" w:rsidRPr="00B91F3C" w:rsidRDefault="00FF3A47" w:rsidP="007655D1">
    <w:pPr>
      <w:pStyle w:val="En-tte"/>
      <w:pBdr>
        <w:bottom w:val="single" w:sz="4" w:space="1" w:color="auto"/>
      </w:pBdr>
      <w:jc w:val="right"/>
      <w:rPr>
        <w:rFonts w:ascii="Times New Roman" w:hAnsi="Times New Roman" w:cs="Times New Roman"/>
        <w:sz w:val="20"/>
        <w:szCs w:val="20"/>
      </w:rPr>
    </w:pPr>
    <w:r w:rsidRPr="00B91F3C">
      <w:rPr>
        <w:rFonts w:ascii="Times New Roman" w:hAnsi="Times New Roman"/>
        <w:sz w:val="20"/>
      </w:rPr>
      <w:t>CBD/SBI/4/6/Add.1.</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05ECF3" w14:textId="6D9DFE9C" w:rsidR="00EC0F8C" w:rsidRPr="00B91F3C" w:rsidRDefault="00EC0F8C" w:rsidP="007655D1">
    <w:pPr>
      <w:pStyle w:val="En-tte"/>
      <w:pBdr>
        <w:bottom w:val="single" w:sz="4" w:space="1" w:color="auto"/>
      </w:pBdr>
      <w:jc w:val="right"/>
      <w:rPr>
        <w:rFonts w:ascii="Times New Roman" w:hAnsi="Times New Roman" w:cs="Times New Roman"/>
        <w:sz w:val="20"/>
        <w:szCs w:val="20"/>
      </w:rPr>
    </w:pPr>
    <w:r w:rsidRPr="00B91F3C">
      <w:rPr>
        <w:rFonts w:ascii="Times New Roman" w:hAnsi="Times New Roman"/>
        <w:sz w:val="20"/>
      </w:rPr>
      <w:t>CBD/SBI/4/6/Add.1.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D97F3A"/>
    <w:multiLevelType w:val="hybridMultilevel"/>
    <w:tmpl w:val="3F68E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8442AE"/>
    <w:multiLevelType w:val="hybridMultilevel"/>
    <w:tmpl w:val="BB16F2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5167D3D"/>
    <w:multiLevelType w:val="hybridMultilevel"/>
    <w:tmpl w:val="1FDA5006"/>
    <w:lvl w:ilvl="0" w:tplc="516E62AC">
      <w:start w:val="1"/>
      <w:numFmt w:val="decimal"/>
      <w:pStyle w:val="GEFNumberedParagraph"/>
      <w:lvlText w:val="%1."/>
      <w:lvlJc w:val="left"/>
      <w:pPr>
        <w:ind w:left="0" w:firstLine="0"/>
      </w:pPr>
      <w:rPr>
        <w:rFonts w:ascii="Times New Roman" w:hAnsi="Times New Roman" w:cs="Times New Roman" w:hint="default"/>
        <w:b w:val="0"/>
        <w:i w:val="0"/>
        <w:sz w:val="24"/>
        <w:szCs w:val="24"/>
        <w:vertAlign w:val="baseline"/>
      </w:rPr>
    </w:lvl>
    <w:lvl w:ilvl="1" w:tplc="6922C808">
      <w:numFmt w:val="bullet"/>
      <w:lvlText w:val="•"/>
      <w:lvlJc w:val="left"/>
      <w:pPr>
        <w:ind w:left="1440" w:hanging="360"/>
      </w:pPr>
      <w:rPr>
        <w:rFonts w:ascii="Calibri" w:eastAsia="Times New Roman Bold"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337F5C7A"/>
    <w:multiLevelType w:val="hybridMultilevel"/>
    <w:tmpl w:val="FC6A2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9939BA"/>
    <w:multiLevelType w:val="hybridMultilevel"/>
    <w:tmpl w:val="E58A92A2"/>
    <w:lvl w:ilvl="0" w:tplc="0F3A950C">
      <w:start w:val="1"/>
      <w:numFmt w:val="decimal"/>
      <w:lvlText w:val="(%1)"/>
      <w:lvlJc w:val="left"/>
      <w:pPr>
        <w:ind w:left="720" w:hanging="360"/>
      </w:pPr>
      <w:rPr>
        <w:rFonts w:hint="default"/>
        <w:b w:val="0"/>
        <w:bCs w:val="0"/>
      </w:rPr>
    </w:lvl>
    <w:lvl w:ilvl="1" w:tplc="04090003" w:tentative="1">
      <w:start w:val="1"/>
      <w:numFmt w:val="bullet"/>
      <w:lvlText w:val="o"/>
      <w:lvlJc w:val="left"/>
      <w:pPr>
        <w:ind w:left="1440" w:hanging="360"/>
      </w:pPr>
      <w:rPr>
        <w:rFonts w:ascii="Yu Gothic Light" w:hAnsi="Yu Gothic Light" w:cs="Yu Gothic Light" w:hint="default"/>
      </w:rPr>
    </w:lvl>
    <w:lvl w:ilvl="2" w:tplc="04090005" w:tentative="1">
      <w:start w:val="1"/>
      <w:numFmt w:val="bullet"/>
      <w:lvlText w:val=""/>
      <w:lvlJc w:val="left"/>
      <w:pPr>
        <w:ind w:left="2160" w:hanging="360"/>
      </w:pPr>
      <w:rPr>
        <w:rFonts w:ascii="Helvetica" w:hAnsi="Helvetica" w:hint="default"/>
      </w:rPr>
    </w:lvl>
    <w:lvl w:ilvl="3" w:tplc="04090001" w:tentative="1">
      <w:start w:val="1"/>
      <w:numFmt w:val="bullet"/>
      <w:lvlText w:val=""/>
      <w:lvlJc w:val="left"/>
      <w:pPr>
        <w:ind w:left="2880" w:hanging="360"/>
      </w:pPr>
      <w:rPr>
        <w:rFonts w:ascii="Cambria Math" w:hAnsi="Cambria Math" w:hint="default"/>
      </w:rPr>
    </w:lvl>
    <w:lvl w:ilvl="4" w:tplc="04090003" w:tentative="1">
      <w:start w:val="1"/>
      <w:numFmt w:val="bullet"/>
      <w:lvlText w:val="o"/>
      <w:lvlJc w:val="left"/>
      <w:pPr>
        <w:ind w:left="3600" w:hanging="360"/>
      </w:pPr>
      <w:rPr>
        <w:rFonts w:ascii="Yu Gothic Light" w:hAnsi="Yu Gothic Light" w:cs="Yu Gothic Light" w:hint="default"/>
      </w:rPr>
    </w:lvl>
    <w:lvl w:ilvl="5" w:tplc="04090005" w:tentative="1">
      <w:start w:val="1"/>
      <w:numFmt w:val="bullet"/>
      <w:lvlText w:val=""/>
      <w:lvlJc w:val="left"/>
      <w:pPr>
        <w:ind w:left="4320" w:hanging="360"/>
      </w:pPr>
      <w:rPr>
        <w:rFonts w:ascii="Helvetica" w:hAnsi="Helvetica" w:hint="default"/>
      </w:rPr>
    </w:lvl>
    <w:lvl w:ilvl="6" w:tplc="04090001" w:tentative="1">
      <w:start w:val="1"/>
      <w:numFmt w:val="bullet"/>
      <w:lvlText w:val=""/>
      <w:lvlJc w:val="left"/>
      <w:pPr>
        <w:ind w:left="5040" w:hanging="360"/>
      </w:pPr>
      <w:rPr>
        <w:rFonts w:ascii="Cambria Math" w:hAnsi="Cambria Math" w:hint="default"/>
      </w:rPr>
    </w:lvl>
    <w:lvl w:ilvl="7" w:tplc="04090003" w:tentative="1">
      <w:start w:val="1"/>
      <w:numFmt w:val="bullet"/>
      <w:lvlText w:val="o"/>
      <w:lvlJc w:val="left"/>
      <w:pPr>
        <w:ind w:left="5760" w:hanging="360"/>
      </w:pPr>
      <w:rPr>
        <w:rFonts w:ascii="Yu Gothic Light" w:hAnsi="Yu Gothic Light" w:cs="Yu Gothic Light" w:hint="default"/>
      </w:rPr>
    </w:lvl>
    <w:lvl w:ilvl="8" w:tplc="04090005" w:tentative="1">
      <w:start w:val="1"/>
      <w:numFmt w:val="bullet"/>
      <w:lvlText w:val=""/>
      <w:lvlJc w:val="left"/>
      <w:pPr>
        <w:ind w:left="6480" w:hanging="360"/>
      </w:pPr>
      <w:rPr>
        <w:rFonts w:ascii="Helvetica" w:hAnsi="Helvetica" w:hint="default"/>
      </w:rPr>
    </w:lvl>
  </w:abstractNum>
  <w:abstractNum w:abstractNumId="6" w15:restartNumberingAfterBreak="0">
    <w:nsid w:val="402A4CA7"/>
    <w:multiLevelType w:val="hybridMultilevel"/>
    <w:tmpl w:val="A872C030"/>
    <w:lvl w:ilvl="0" w:tplc="6AF235AE">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46770195"/>
    <w:multiLevelType w:val="hybridMultilevel"/>
    <w:tmpl w:val="E7A07E8C"/>
    <w:lvl w:ilvl="0" w:tplc="54605A3A">
      <w:start w:val="1"/>
      <w:numFmt w:val="lowerLetter"/>
      <w:pStyle w:val="SubParagraphLevel1"/>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8FE736D"/>
    <w:multiLevelType w:val="hybridMultilevel"/>
    <w:tmpl w:val="926001F0"/>
    <w:lvl w:ilvl="0" w:tplc="04090001">
      <w:start w:val="1"/>
      <w:numFmt w:val="bullet"/>
      <w:lvlText w:val=""/>
      <w:lvlJc w:val="left"/>
      <w:pPr>
        <w:ind w:left="720" w:hanging="360"/>
      </w:pPr>
      <w:rPr>
        <w:rFonts w:ascii="Symbol" w:hAnsi="Symbol" w:hint="default"/>
      </w:rPr>
    </w:lvl>
    <w:lvl w:ilvl="1" w:tplc="AE9408FC">
      <w:start w:val="1"/>
      <w:numFmt w:val="bullet"/>
      <w:pStyle w:val="bullettex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C0713F"/>
    <w:multiLevelType w:val="hybridMultilevel"/>
    <w:tmpl w:val="B89E2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1B37B8"/>
    <w:multiLevelType w:val="hybridMultilevel"/>
    <w:tmpl w:val="82DEF83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0442B4"/>
    <w:multiLevelType w:val="multilevel"/>
    <w:tmpl w:val="5928D00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88246A6"/>
    <w:multiLevelType w:val="hybridMultilevel"/>
    <w:tmpl w:val="3140D5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E9400CA"/>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7A3C1293"/>
    <w:multiLevelType w:val="hybridMultilevel"/>
    <w:tmpl w:val="0068CC78"/>
    <w:lvl w:ilvl="0" w:tplc="D562B8AE">
      <w:start w:val="1"/>
      <w:numFmt w:val="decimal"/>
      <w:pStyle w:val="Paragraphedeliste"/>
      <w:lvlText w:val="%1."/>
      <w:lvlJc w:val="left"/>
      <w:pPr>
        <w:ind w:left="36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473001">
    <w:abstractNumId w:val="12"/>
  </w:num>
  <w:num w:numId="2" w16cid:durableId="1046025906">
    <w:abstractNumId w:val="11"/>
  </w:num>
  <w:num w:numId="3" w16cid:durableId="535191935">
    <w:abstractNumId w:val="2"/>
  </w:num>
  <w:num w:numId="4" w16cid:durableId="1280649665">
    <w:abstractNumId w:val="8"/>
  </w:num>
  <w:num w:numId="5" w16cid:durableId="1460805486">
    <w:abstractNumId w:val="7"/>
  </w:num>
  <w:num w:numId="6" w16cid:durableId="520440259">
    <w:abstractNumId w:val="5"/>
  </w:num>
  <w:num w:numId="7" w16cid:durableId="235941614">
    <w:abstractNumId w:val="1"/>
  </w:num>
  <w:num w:numId="8" w16cid:durableId="563369882">
    <w:abstractNumId w:val="0"/>
  </w:num>
  <w:num w:numId="9" w16cid:durableId="541360107">
    <w:abstractNumId w:val="9"/>
  </w:num>
  <w:num w:numId="10" w16cid:durableId="2052604694">
    <w:abstractNumId w:val="4"/>
  </w:num>
  <w:num w:numId="11" w16cid:durableId="2081907096">
    <w:abstractNumId w:val="6"/>
  </w:num>
  <w:num w:numId="12" w16cid:durableId="1146975965">
    <w:abstractNumId w:val="15"/>
  </w:num>
  <w:num w:numId="13" w16cid:durableId="1607302684">
    <w:abstractNumId w:val="10"/>
  </w:num>
  <w:num w:numId="14" w16cid:durableId="644509741">
    <w:abstractNumId w:val="15"/>
    <w:lvlOverride w:ilvl="0">
      <w:startOverride w:val="1"/>
    </w:lvlOverride>
  </w:num>
  <w:num w:numId="15" w16cid:durableId="1011760866">
    <w:abstractNumId w:val="15"/>
  </w:num>
  <w:num w:numId="16" w16cid:durableId="2048752328">
    <w:abstractNumId w:val="13"/>
  </w:num>
  <w:num w:numId="17" w16cid:durableId="784468657">
    <w:abstractNumId w:val="3"/>
  </w:num>
  <w:num w:numId="18" w16cid:durableId="1050609715">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defaultTabStop w:val="720"/>
  <w:hyphenationZone w:val="425"/>
  <w:evenAndOddHeaders/>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F0E"/>
    <w:rsid w:val="000004BB"/>
    <w:rsid w:val="00000614"/>
    <w:rsid w:val="0000072A"/>
    <w:rsid w:val="000008D5"/>
    <w:rsid w:val="00000EC4"/>
    <w:rsid w:val="00001439"/>
    <w:rsid w:val="00001658"/>
    <w:rsid w:val="00001B38"/>
    <w:rsid w:val="00002495"/>
    <w:rsid w:val="000026B9"/>
    <w:rsid w:val="00002DA1"/>
    <w:rsid w:val="00002F0D"/>
    <w:rsid w:val="00002FBE"/>
    <w:rsid w:val="0000301F"/>
    <w:rsid w:val="000030E2"/>
    <w:rsid w:val="0000313F"/>
    <w:rsid w:val="000035BD"/>
    <w:rsid w:val="00004C3F"/>
    <w:rsid w:val="0000500F"/>
    <w:rsid w:val="00005052"/>
    <w:rsid w:val="000052F1"/>
    <w:rsid w:val="000060F1"/>
    <w:rsid w:val="000066C9"/>
    <w:rsid w:val="00006D86"/>
    <w:rsid w:val="00006E00"/>
    <w:rsid w:val="000074B8"/>
    <w:rsid w:val="00007536"/>
    <w:rsid w:val="00007852"/>
    <w:rsid w:val="00007B82"/>
    <w:rsid w:val="00007D36"/>
    <w:rsid w:val="000101D9"/>
    <w:rsid w:val="0001025C"/>
    <w:rsid w:val="00010A23"/>
    <w:rsid w:val="00010F22"/>
    <w:rsid w:val="00011171"/>
    <w:rsid w:val="00011177"/>
    <w:rsid w:val="00011193"/>
    <w:rsid w:val="00011998"/>
    <w:rsid w:val="000128BF"/>
    <w:rsid w:val="00012A7F"/>
    <w:rsid w:val="000131A1"/>
    <w:rsid w:val="0001339E"/>
    <w:rsid w:val="00013D78"/>
    <w:rsid w:val="00014557"/>
    <w:rsid w:val="00014CC8"/>
    <w:rsid w:val="00015069"/>
    <w:rsid w:val="000156E8"/>
    <w:rsid w:val="00015E01"/>
    <w:rsid w:val="000165CC"/>
    <w:rsid w:val="0001680B"/>
    <w:rsid w:val="0001683E"/>
    <w:rsid w:val="00016B44"/>
    <w:rsid w:val="000170C9"/>
    <w:rsid w:val="00017B39"/>
    <w:rsid w:val="00017C8C"/>
    <w:rsid w:val="00017E4E"/>
    <w:rsid w:val="00017F16"/>
    <w:rsid w:val="000202C7"/>
    <w:rsid w:val="00020881"/>
    <w:rsid w:val="000208B4"/>
    <w:rsid w:val="00020B47"/>
    <w:rsid w:val="00020CB1"/>
    <w:rsid w:val="00020E95"/>
    <w:rsid w:val="00021032"/>
    <w:rsid w:val="000216A6"/>
    <w:rsid w:val="00021F13"/>
    <w:rsid w:val="00022114"/>
    <w:rsid w:val="00022461"/>
    <w:rsid w:val="000228F0"/>
    <w:rsid w:val="00022A15"/>
    <w:rsid w:val="00022A5C"/>
    <w:rsid w:val="00022AB0"/>
    <w:rsid w:val="00023073"/>
    <w:rsid w:val="00023C5C"/>
    <w:rsid w:val="00023CA5"/>
    <w:rsid w:val="00023D52"/>
    <w:rsid w:val="00024022"/>
    <w:rsid w:val="00024A06"/>
    <w:rsid w:val="00024B0B"/>
    <w:rsid w:val="00024C0E"/>
    <w:rsid w:val="00025CD6"/>
    <w:rsid w:val="00025EE6"/>
    <w:rsid w:val="000262C3"/>
    <w:rsid w:val="00026E95"/>
    <w:rsid w:val="000272DB"/>
    <w:rsid w:val="0002737D"/>
    <w:rsid w:val="00027FBC"/>
    <w:rsid w:val="000302E6"/>
    <w:rsid w:val="00030576"/>
    <w:rsid w:val="000305AF"/>
    <w:rsid w:val="00030C9E"/>
    <w:rsid w:val="00031A99"/>
    <w:rsid w:val="000323BF"/>
    <w:rsid w:val="00032D02"/>
    <w:rsid w:val="00032D3D"/>
    <w:rsid w:val="00033068"/>
    <w:rsid w:val="00033258"/>
    <w:rsid w:val="00034086"/>
    <w:rsid w:val="000341E1"/>
    <w:rsid w:val="000343DF"/>
    <w:rsid w:val="0003463F"/>
    <w:rsid w:val="0003474F"/>
    <w:rsid w:val="00035DB4"/>
    <w:rsid w:val="00035E46"/>
    <w:rsid w:val="00036238"/>
    <w:rsid w:val="00036BB1"/>
    <w:rsid w:val="00036CC3"/>
    <w:rsid w:val="000375BF"/>
    <w:rsid w:val="000376CC"/>
    <w:rsid w:val="00037EF2"/>
    <w:rsid w:val="00037F75"/>
    <w:rsid w:val="000400D7"/>
    <w:rsid w:val="000405B7"/>
    <w:rsid w:val="000406DE"/>
    <w:rsid w:val="00040DDF"/>
    <w:rsid w:val="00041968"/>
    <w:rsid w:val="00042435"/>
    <w:rsid w:val="00042832"/>
    <w:rsid w:val="00042ACF"/>
    <w:rsid w:val="00043257"/>
    <w:rsid w:val="00043667"/>
    <w:rsid w:val="00043AAB"/>
    <w:rsid w:val="00043B00"/>
    <w:rsid w:val="00043C27"/>
    <w:rsid w:val="00043D73"/>
    <w:rsid w:val="00043DAB"/>
    <w:rsid w:val="00043ED8"/>
    <w:rsid w:val="000447D4"/>
    <w:rsid w:val="000451EA"/>
    <w:rsid w:val="000453EB"/>
    <w:rsid w:val="00045526"/>
    <w:rsid w:val="0004564B"/>
    <w:rsid w:val="00045652"/>
    <w:rsid w:val="00045BA7"/>
    <w:rsid w:val="00046027"/>
    <w:rsid w:val="0004665A"/>
    <w:rsid w:val="000467F0"/>
    <w:rsid w:val="00050016"/>
    <w:rsid w:val="0005020A"/>
    <w:rsid w:val="000506D8"/>
    <w:rsid w:val="00050E58"/>
    <w:rsid w:val="00051781"/>
    <w:rsid w:val="00052F52"/>
    <w:rsid w:val="0005361C"/>
    <w:rsid w:val="00053681"/>
    <w:rsid w:val="000536E8"/>
    <w:rsid w:val="0005384B"/>
    <w:rsid w:val="00053DE5"/>
    <w:rsid w:val="00053F8F"/>
    <w:rsid w:val="0005461A"/>
    <w:rsid w:val="000546A2"/>
    <w:rsid w:val="000555C1"/>
    <w:rsid w:val="00055AB1"/>
    <w:rsid w:val="00055B4B"/>
    <w:rsid w:val="00055DAA"/>
    <w:rsid w:val="00055DCD"/>
    <w:rsid w:val="00055E09"/>
    <w:rsid w:val="000561E6"/>
    <w:rsid w:val="00056385"/>
    <w:rsid w:val="000564A1"/>
    <w:rsid w:val="00056693"/>
    <w:rsid w:val="0005681D"/>
    <w:rsid w:val="00056AFA"/>
    <w:rsid w:val="00056B95"/>
    <w:rsid w:val="00056F63"/>
    <w:rsid w:val="00057945"/>
    <w:rsid w:val="0005795A"/>
    <w:rsid w:val="00057DE2"/>
    <w:rsid w:val="00057E6D"/>
    <w:rsid w:val="00060119"/>
    <w:rsid w:val="00060DDA"/>
    <w:rsid w:val="0006115A"/>
    <w:rsid w:val="00061840"/>
    <w:rsid w:val="000618C6"/>
    <w:rsid w:val="000619DA"/>
    <w:rsid w:val="00061C5D"/>
    <w:rsid w:val="00061DA1"/>
    <w:rsid w:val="00061F32"/>
    <w:rsid w:val="00061F7D"/>
    <w:rsid w:val="000631ED"/>
    <w:rsid w:val="0006385D"/>
    <w:rsid w:val="00063914"/>
    <w:rsid w:val="00063E44"/>
    <w:rsid w:val="00064391"/>
    <w:rsid w:val="00064894"/>
    <w:rsid w:val="00064B35"/>
    <w:rsid w:val="00064B64"/>
    <w:rsid w:val="0006542C"/>
    <w:rsid w:val="00065680"/>
    <w:rsid w:val="00065B33"/>
    <w:rsid w:val="00065BC4"/>
    <w:rsid w:val="00066054"/>
    <w:rsid w:val="00066074"/>
    <w:rsid w:val="0006609C"/>
    <w:rsid w:val="0006622E"/>
    <w:rsid w:val="000667F9"/>
    <w:rsid w:val="00066A1B"/>
    <w:rsid w:val="00066A82"/>
    <w:rsid w:val="00066FFE"/>
    <w:rsid w:val="00067520"/>
    <w:rsid w:val="000675B4"/>
    <w:rsid w:val="00067964"/>
    <w:rsid w:val="00067A64"/>
    <w:rsid w:val="00067CCE"/>
    <w:rsid w:val="0007059B"/>
    <w:rsid w:val="0007080A"/>
    <w:rsid w:val="000714AD"/>
    <w:rsid w:val="000714C7"/>
    <w:rsid w:val="0007164E"/>
    <w:rsid w:val="000717E0"/>
    <w:rsid w:val="00072157"/>
    <w:rsid w:val="000721F7"/>
    <w:rsid w:val="00072268"/>
    <w:rsid w:val="00072457"/>
    <w:rsid w:val="000726EC"/>
    <w:rsid w:val="00072CCB"/>
    <w:rsid w:val="00073422"/>
    <w:rsid w:val="00073896"/>
    <w:rsid w:val="00074856"/>
    <w:rsid w:val="00074EE9"/>
    <w:rsid w:val="00074EFC"/>
    <w:rsid w:val="00075E72"/>
    <w:rsid w:val="0007603C"/>
    <w:rsid w:val="00076A57"/>
    <w:rsid w:val="00076BA8"/>
    <w:rsid w:val="00076D61"/>
    <w:rsid w:val="00077319"/>
    <w:rsid w:val="000773C9"/>
    <w:rsid w:val="0007757A"/>
    <w:rsid w:val="00077582"/>
    <w:rsid w:val="000775B6"/>
    <w:rsid w:val="000779F5"/>
    <w:rsid w:val="000807F9"/>
    <w:rsid w:val="000817DB"/>
    <w:rsid w:val="0008227B"/>
    <w:rsid w:val="00082420"/>
    <w:rsid w:val="00082669"/>
    <w:rsid w:val="000832A6"/>
    <w:rsid w:val="00083997"/>
    <w:rsid w:val="00083BCA"/>
    <w:rsid w:val="00083C3A"/>
    <w:rsid w:val="00083F00"/>
    <w:rsid w:val="00083FD0"/>
    <w:rsid w:val="00084506"/>
    <w:rsid w:val="00084746"/>
    <w:rsid w:val="00084BDE"/>
    <w:rsid w:val="00085031"/>
    <w:rsid w:val="000856C3"/>
    <w:rsid w:val="00085827"/>
    <w:rsid w:val="0008582F"/>
    <w:rsid w:val="000858DB"/>
    <w:rsid w:val="00085DDE"/>
    <w:rsid w:val="000867BF"/>
    <w:rsid w:val="0008705E"/>
    <w:rsid w:val="000870A0"/>
    <w:rsid w:val="000870D4"/>
    <w:rsid w:val="000871BE"/>
    <w:rsid w:val="00087715"/>
    <w:rsid w:val="000879FE"/>
    <w:rsid w:val="00087C48"/>
    <w:rsid w:val="00087F79"/>
    <w:rsid w:val="000908B4"/>
    <w:rsid w:val="00091006"/>
    <w:rsid w:val="000915EB"/>
    <w:rsid w:val="00091CF2"/>
    <w:rsid w:val="00091E48"/>
    <w:rsid w:val="00092644"/>
    <w:rsid w:val="00092923"/>
    <w:rsid w:val="00093155"/>
    <w:rsid w:val="00093309"/>
    <w:rsid w:val="000935AD"/>
    <w:rsid w:val="000939C9"/>
    <w:rsid w:val="000939E9"/>
    <w:rsid w:val="000944A2"/>
    <w:rsid w:val="000945ED"/>
    <w:rsid w:val="0009489D"/>
    <w:rsid w:val="00094FEE"/>
    <w:rsid w:val="0009531F"/>
    <w:rsid w:val="000956F1"/>
    <w:rsid w:val="00095C6D"/>
    <w:rsid w:val="00095C73"/>
    <w:rsid w:val="00095D2E"/>
    <w:rsid w:val="00096859"/>
    <w:rsid w:val="00096AE0"/>
    <w:rsid w:val="00096B3D"/>
    <w:rsid w:val="00096F0E"/>
    <w:rsid w:val="000973A1"/>
    <w:rsid w:val="00097622"/>
    <w:rsid w:val="000976D5"/>
    <w:rsid w:val="00097AFE"/>
    <w:rsid w:val="00097D19"/>
    <w:rsid w:val="000A01DE"/>
    <w:rsid w:val="000A0213"/>
    <w:rsid w:val="000A03DE"/>
    <w:rsid w:val="000A05AB"/>
    <w:rsid w:val="000A0697"/>
    <w:rsid w:val="000A0A98"/>
    <w:rsid w:val="000A0D48"/>
    <w:rsid w:val="000A1266"/>
    <w:rsid w:val="000A1642"/>
    <w:rsid w:val="000A19C2"/>
    <w:rsid w:val="000A1A12"/>
    <w:rsid w:val="000A1A92"/>
    <w:rsid w:val="000A1BF9"/>
    <w:rsid w:val="000A1E66"/>
    <w:rsid w:val="000A2262"/>
    <w:rsid w:val="000A2789"/>
    <w:rsid w:val="000A2A3E"/>
    <w:rsid w:val="000A3206"/>
    <w:rsid w:val="000A32F5"/>
    <w:rsid w:val="000A3363"/>
    <w:rsid w:val="000A33E8"/>
    <w:rsid w:val="000A41F2"/>
    <w:rsid w:val="000A46B7"/>
    <w:rsid w:val="000A4BDB"/>
    <w:rsid w:val="000A4CC8"/>
    <w:rsid w:val="000A4FFA"/>
    <w:rsid w:val="000A549B"/>
    <w:rsid w:val="000A5706"/>
    <w:rsid w:val="000A5C56"/>
    <w:rsid w:val="000A5EDF"/>
    <w:rsid w:val="000A671E"/>
    <w:rsid w:val="000A68BC"/>
    <w:rsid w:val="000A6C5D"/>
    <w:rsid w:val="000A6F0C"/>
    <w:rsid w:val="000A742F"/>
    <w:rsid w:val="000A74D6"/>
    <w:rsid w:val="000A774C"/>
    <w:rsid w:val="000B025B"/>
    <w:rsid w:val="000B04D0"/>
    <w:rsid w:val="000B0554"/>
    <w:rsid w:val="000B0D7C"/>
    <w:rsid w:val="000B13CA"/>
    <w:rsid w:val="000B1AB8"/>
    <w:rsid w:val="000B21EA"/>
    <w:rsid w:val="000B25DE"/>
    <w:rsid w:val="000B26FB"/>
    <w:rsid w:val="000B373A"/>
    <w:rsid w:val="000B3BEF"/>
    <w:rsid w:val="000B465C"/>
    <w:rsid w:val="000B47AF"/>
    <w:rsid w:val="000B4BD5"/>
    <w:rsid w:val="000B4E14"/>
    <w:rsid w:val="000B523A"/>
    <w:rsid w:val="000B59AB"/>
    <w:rsid w:val="000B5D00"/>
    <w:rsid w:val="000B5E90"/>
    <w:rsid w:val="000B621D"/>
    <w:rsid w:val="000B643D"/>
    <w:rsid w:val="000B64B8"/>
    <w:rsid w:val="000B6572"/>
    <w:rsid w:val="000B65EF"/>
    <w:rsid w:val="000B6665"/>
    <w:rsid w:val="000B6775"/>
    <w:rsid w:val="000B67AF"/>
    <w:rsid w:val="000B6F1F"/>
    <w:rsid w:val="000B7047"/>
    <w:rsid w:val="000B75AA"/>
    <w:rsid w:val="000B7F8F"/>
    <w:rsid w:val="000C0136"/>
    <w:rsid w:val="000C01EB"/>
    <w:rsid w:val="000C034D"/>
    <w:rsid w:val="000C09D1"/>
    <w:rsid w:val="000C13E7"/>
    <w:rsid w:val="000C16CB"/>
    <w:rsid w:val="000C20EA"/>
    <w:rsid w:val="000C234A"/>
    <w:rsid w:val="000C25B7"/>
    <w:rsid w:val="000C27DC"/>
    <w:rsid w:val="000C2B3F"/>
    <w:rsid w:val="000C2D71"/>
    <w:rsid w:val="000C33DD"/>
    <w:rsid w:val="000C39B5"/>
    <w:rsid w:val="000C3CDF"/>
    <w:rsid w:val="000C3D75"/>
    <w:rsid w:val="000C3E78"/>
    <w:rsid w:val="000C3EA7"/>
    <w:rsid w:val="000C3ECF"/>
    <w:rsid w:val="000C435B"/>
    <w:rsid w:val="000C4A5E"/>
    <w:rsid w:val="000C4FC6"/>
    <w:rsid w:val="000C50C3"/>
    <w:rsid w:val="000C53E8"/>
    <w:rsid w:val="000C53EC"/>
    <w:rsid w:val="000C5B27"/>
    <w:rsid w:val="000C5E87"/>
    <w:rsid w:val="000C5ED0"/>
    <w:rsid w:val="000C5FF1"/>
    <w:rsid w:val="000C6C84"/>
    <w:rsid w:val="000C730C"/>
    <w:rsid w:val="000C745F"/>
    <w:rsid w:val="000C7A0F"/>
    <w:rsid w:val="000C7A42"/>
    <w:rsid w:val="000C7A65"/>
    <w:rsid w:val="000D0855"/>
    <w:rsid w:val="000D0D8F"/>
    <w:rsid w:val="000D1324"/>
    <w:rsid w:val="000D13A7"/>
    <w:rsid w:val="000D21F4"/>
    <w:rsid w:val="000D2822"/>
    <w:rsid w:val="000D287C"/>
    <w:rsid w:val="000D293E"/>
    <w:rsid w:val="000D2962"/>
    <w:rsid w:val="000D2FCF"/>
    <w:rsid w:val="000D321C"/>
    <w:rsid w:val="000D348C"/>
    <w:rsid w:val="000D3555"/>
    <w:rsid w:val="000D395C"/>
    <w:rsid w:val="000D3AC1"/>
    <w:rsid w:val="000D3C61"/>
    <w:rsid w:val="000D3F44"/>
    <w:rsid w:val="000D435A"/>
    <w:rsid w:val="000D48FE"/>
    <w:rsid w:val="000D4A80"/>
    <w:rsid w:val="000D4C5C"/>
    <w:rsid w:val="000D4F54"/>
    <w:rsid w:val="000D5052"/>
    <w:rsid w:val="000D50C5"/>
    <w:rsid w:val="000D53D3"/>
    <w:rsid w:val="000D568C"/>
    <w:rsid w:val="000D6145"/>
    <w:rsid w:val="000D624C"/>
    <w:rsid w:val="000D6425"/>
    <w:rsid w:val="000D68D0"/>
    <w:rsid w:val="000D6FB5"/>
    <w:rsid w:val="000D765D"/>
    <w:rsid w:val="000D76F3"/>
    <w:rsid w:val="000D7E54"/>
    <w:rsid w:val="000E0201"/>
    <w:rsid w:val="000E0255"/>
    <w:rsid w:val="000E0697"/>
    <w:rsid w:val="000E0B06"/>
    <w:rsid w:val="000E10E9"/>
    <w:rsid w:val="000E11A5"/>
    <w:rsid w:val="000E11F1"/>
    <w:rsid w:val="000E1796"/>
    <w:rsid w:val="000E2255"/>
    <w:rsid w:val="000E2F5B"/>
    <w:rsid w:val="000E379B"/>
    <w:rsid w:val="000E3B79"/>
    <w:rsid w:val="000E4167"/>
    <w:rsid w:val="000E4452"/>
    <w:rsid w:val="000E48B9"/>
    <w:rsid w:val="000E49C9"/>
    <w:rsid w:val="000E536D"/>
    <w:rsid w:val="000E54A4"/>
    <w:rsid w:val="000E552E"/>
    <w:rsid w:val="000E571D"/>
    <w:rsid w:val="000E60C2"/>
    <w:rsid w:val="000E6337"/>
    <w:rsid w:val="000E682C"/>
    <w:rsid w:val="000E6BFC"/>
    <w:rsid w:val="000E7264"/>
    <w:rsid w:val="000E75A8"/>
    <w:rsid w:val="000E772E"/>
    <w:rsid w:val="000E7932"/>
    <w:rsid w:val="000F0076"/>
    <w:rsid w:val="000F020A"/>
    <w:rsid w:val="000F0226"/>
    <w:rsid w:val="000F0E11"/>
    <w:rsid w:val="000F0FB5"/>
    <w:rsid w:val="000F104D"/>
    <w:rsid w:val="000F1271"/>
    <w:rsid w:val="000F16CB"/>
    <w:rsid w:val="000F1A06"/>
    <w:rsid w:val="000F1B23"/>
    <w:rsid w:val="000F1D0C"/>
    <w:rsid w:val="000F1D7C"/>
    <w:rsid w:val="000F35D1"/>
    <w:rsid w:val="000F3650"/>
    <w:rsid w:val="000F398C"/>
    <w:rsid w:val="000F39D9"/>
    <w:rsid w:val="000F4B0B"/>
    <w:rsid w:val="000F4ECA"/>
    <w:rsid w:val="000F4EF7"/>
    <w:rsid w:val="000F4F48"/>
    <w:rsid w:val="000F4FCC"/>
    <w:rsid w:val="000F5056"/>
    <w:rsid w:val="000F5164"/>
    <w:rsid w:val="000F5257"/>
    <w:rsid w:val="000F530C"/>
    <w:rsid w:val="000F60C6"/>
    <w:rsid w:val="000F6487"/>
    <w:rsid w:val="000F71E3"/>
    <w:rsid w:val="000F779F"/>
    <w:rsid w:val="000F7F59"/>
    <w:rsid w:val="0010018C"/>
    <w:rsid w:val="00100493"/>
    <w:rsid w:val="00100594"/>
    <w:rsid w:val="00100A84"/>
    <w:rsid w:val="00100E57"/>
    <w:rsid w:val="0010120A"/>
    <w:rsid w:val="001012C3"/>
    <w:rsid w:val="0010149D"/>
    <w:rsid w:val="00101781"/>
    <w:rsid w:val="00101878"/>
    <w:rsid w:val="00101AA1"/>
    <w:rsid w:val="00101C80"/>
    <w:rsid w:val="00101E93"/>
    <w:rsid w:val="00101FFE"/>
    <w:rsid w:val="001020F1"/>
    <w:rsid w:val="00102140"/>
    <w:rsid w:val="001021D9"/>
    <w:rsid w:val="001025F0"/>
    <w:rsid w:val="00102672"/>
    <w:rsid w:val="00102E35"/>
    <w:rsid w:val="00103C9B"/>
    <w:rsid w:val="001047C5"/>
    <w:rsid w:val="00104F9D"/>
    <w:rsid w:val="00104FC6"/>
    <w:rsid w:val="0010510B"/>
    <w:rsid w:val="001051A9"/>
    <w:rsid w:val="00105261"/>
    <w:rsid w:val="00105BE1"/>
    <w:rsid w:val="00105FB1"/>
    <w:rsid w:val="00106375"/>
    <w:rsid w:val="00106F8B"/>
    <w:rsid w:val="00107383"/>
    <w:rsid w:val="001073E7"/>
    <w:rsid w:val="00107422"/>
    <w:rsid w:val="001075B9"/>
    <w:rsid w:val="00107CA6"/>
    <w:rsid w:val="00107F8F"/>
    <w:rsid w:val="0011026E"/>
    <w:rsid w:val="00110516"/>
    <w:rsid w:val="00110B03"/>
    <w:rsid w:val="00110B3A"/>
    <w:rsid w:val="00110B68"/>
    <w:rsid w:val="00110D52"/>
    <w:rsid w:val="001120A5"/>
    <w:rsid w:val="001122CF"/>
    <w:rsid w:val="00112400"/>
    <w:rsid w:val="00112887"/>
    <w:rsid w:val="00112948"/>
    <w:rsid w:val="00112FA5"/>
    <w:rsid w:val="00113079"/>
    <w:rsid w:val="0011327F"/>
    <w:rsid w:val="001137E0"/>
    <w:rsid w:val="00113BEA"/>
    <w:rsid w:val="0011432F"/>
    <w:rsid w:val="001143D0"/>
    <w:rsid w:val="0011476A"/>
    <w:rsid w:val="00114CF3"/>
    <w:rsid w:val="00114FB8"/>
    <w:rsid w:val="00115725"/>
    <w:rsid w:val="00115726"/>
    <w:rsid w:val="001158C3"/>
    <w:rsid w:val="00115926"/>
    <w:rsid w:val="001161F3"/>
    <w:rsid w:val="00116564"/>
    <w:rsid w:val="00116A86"/>
    <w:rsid w:val="00116DD8"/>
    <w:rsid w:val="00117046"/>
    <w:rsid w:val="0011746B"/>
    <w:rsid w:val="00117958"/>
    <w:rsid w:val="00117B63"/>
    <w:rsid w:val="001202CB"/>
    <w:rsid w:val="00120B3F"/>
    <w:rsid w:val="00120BAD"/>
    <w:rsid w:val="00121168"/>
    <w:rsid w:val="00121186"/>
    <w:rsid w:val="00121B4D"/>
    <w:rsid w:val="00121F26"/>
    <w:rsid w:val="001220CA"/>
    <w:rsid w:val="00122176"/>
    <w:rsid w:val="001229E6"/>
    <w:rsid w:val="00122A91"/>
    <w:rsid w:val="00122D32"/>
    <w:rsid w:val="0012342E"/>
    <w:rsid w:val="0012357D"/>
    <w:rsid w:val="0012399A"/>
    <w:rsid w:val="0012426D"/>
    <w:rsid w:val="001248A8"/>
    <w:rsid w:val="001248B4"/>
    <w:rsid w:val="00124DCF"/>
    <w:rsid w:val="00124F7B"/>
    <w:rsid w:val="00125741"/>
    <w:rsid w:val="00125768"/>
    <w:rsid w:val="0012692B"/>
    <w:rsid w:val="00126BE7"/>
    <w:rsid w:val="00126FE0"/>
    <w:rsid w:val="001271B3"/>
    <w:rsid w:val="001273EE"/>
    <w:rsid w:val="00127FF1"/>
    <w:rsid w:val="00130501"/>
    <w:rsid w:val="00130863"/>
    <w:rsid w:val="00130CCF"/>
    <w:rsid w:val="00131016"/>
    <w:rsid w:val="0013155B"/>
    <w:rsid w:val="001318BF"/>
    <w:rsid w:val="0013193B"/>
    <w:rsid w:val="00131B85"/>
    <w:rsid w:val="0013209B"/>
    <w:rsid w:val="00132658"/>
    <w:rsid w:val="00132B35"/>
    <w:rsid w:val="00132C75"/>
    <w:rsid w:val="00132F37"/>
    <w:rsid w:val="00133208"/>
    <w:rsid w:val="001334EC"/>
    <w:rsid w:val="00133A3C"/>
    <w:rsid w:val="00134079"/>
    <w:rsid w:val="001347AA"/>
    <w:rsid w:val="001347BF"/>
    <w:rsid w:val="001348A3"/>
    <w:rsid w:val="001348ED"/>
    <w:rsid w:val="00134AA5"/>
    <w:rsid w:val="00134C7F"/>
    <w:rsid w:val="001352EE"/>
    <w:rsid w:val="00135371"/>
    <w:rsid w:val="00135695"/>
    <w:rsid w:val="00135871"/>
    <w:rsid w:val="00135A47"/>
    <w:rsid w:val="00135F86"/>
    <w:rsid w:val="001363CC"/>
    <w:rsid w:val="00136495"/>
    <w:rsid w:val="00137077"/>
    <w:rsid w:val="001370C9"/>
    <w:rsid w:val="0013726D"/>
    <w:rsid w:val="0013730F"/>
    <w:rsid w:val="0013766C"/>
    <w:rsid w:val="001376F9"/>
    <w:rsid w:val="00137910"/>
    <w:rsid w:val="00137A8F"/>
    <w:rsid w:val="0014002F"/>
    <w:rsid w:val="00140283"/>
    <w:rsid w:val="00140508"/>
    <w:rsid w:val="00140B52"/>
    <w:rsid w:val="00140C1B"/>
    <w:rsid w:val="00141323"/>
    <w:rsid w:val="00141444"/>
    <w:rsid w:val="001416E9"/>
    <w:rsid w:val="00141A73"/>
    <w:rsid w:val="00141F40"/>
    <w:rsid w:val="00142462"/>
    <w:rsid w:val="001424D9"/>
    <w:rsid w:val="001425F2"/>
    <w:rsid w:val="0014269E"/>
    <w:rsid w:val="00142747"/>
    <w:rsid w:val="0014296A"/>
    <w:rsid w:val="00142B0A"/>
    <w:rsid w:val="00142B0F"/>
    <w:rsid w:val="00142D23"/>
    <w:rsid w:val="001432DB"/>
    <w:rsid w:val="0014356D"/>
    <w:rsid w:val="001437EB"/>
    <w:rsid w:val="001440C5"/>
    <w:rsid w:val="00144547"/>
    <w:rsid w:val="001445EA"/>
    <w:rsid w:val="0014469E"/>
    <w:rsid w:val="001446EC"/>
    <w:rsid w:val="00144CDE"/>
    <w:rsid w:val="00144FDC"/>
    <w:rsid w:val="001451EA"/>
    <w:rsid w:val="00145832"/>
    <w:rsid w:val="00145F93"/>
    <w:rsid w:val="0014613F"/>
    <w:rsid w:val="001461C8"/>
    <w:rsid w:val="0014654E"/>
    <w:rsid w:val="001468DB"/>
    <w:rsid w:val="001468F0"/>
    <w:rsid w:val="00146EF6"/>
    <w:rsid w:val="001470F2"/>
    <w:rsid w:val="00147365"/>
    <w:rsid w:val="001475CD"/>
    <w:rsid w:val="001478AB"/>
    <w:rsid w:val="001478C9"/>
    <w:rsid w:val="00150742"/>
    <w:rsid w:val="00150E96"/>
    <w:rsid w:val="00151051"/>
    <w:rsid w:val="001512C9"/>
    <w:rsid w:val="0015143C"/>
    <w:rsid w:val="0015146A"/>
    <w:rsid w:val="001515C6"/>
    <w:rsid w:val="001518C1"/>
    <w:rsid w:val="0015207B"/>
    <w:rsid w:val="0015264B"/>
    <w:rsid w:val="00152CAA"/>
    <w:rsid w:val="00152EEB"/>
    <w:rsid w:val="0015314B"/>
    <w:rsid w:val="001534C4"/>
    <w:rsid w:val="001537E5"/>
    <w:rsid w:val="00153940"/>
    <w:rsid w:val="00153E65"/>
    <w:rsid w:val="00153E98"/>
    <w:rsid w:val="00153FC6"/>
    <w:rsid w:val="001545A3"/>
    <w:rsid w:val="00154B54"/>
    <w:rsid w:val="0015518A"/>
    <w:rsid w:val="001552C4"/>
    <w:rsid w:val="0015596D"/>
    <w:rsid w:val="00155D3C"/>
    <w:rsid w:val="001561A9"/>
    <w:rsid w:val="001567A8"/>
    <w:rsid w:val="001568F4"/>
    <w:rsid w:val="0015699D"/>
    <w:rsid w:val="001569FA"/>
    <w:rsid w:val="00156FA8"/>
    <w:rsid w:val="001570E0"/>
    <w:rsid w:val="00157251"/>
    <w:rsid w:val="0015744C"/>
    <w:rsid w:val="001576BC"/>
    <w:rsid w:val="00157CC3"/>
    <w:rsid w:val="00160698"/>
    <w:rsid w:val="00160A88"/>
    <w:rsid w:val="00160C00"/>
    <w:rsid w:val="00160E90"/>
    <w:rsid w:val="00160F7C"/>
    <w:rsid w:val="00161355"/>
    <w:rsid w:val="001613A5"/>
    <w:rsid w:val="00161527"/>
    <w:rsid w:val="001616A7"/>
    <w:rsid w:val="00161C57"/>
    <w:rsid w:val="001622AA"/>
    <w:rsid w:val="0016338E"/>
    <w:rsid w:val="001637ED"/>
    <w:rsid w:val="001639B0"/>
    <w:rsid w:val="00163BD7"/>
    <w:rsid w:val="00163C38"/>
    <w:rsid w:val="0016400B"/>
    <w:rsid w:val="00164525"/>
    <w:rsid w:val="001648B8"/>
    <w:rsid w:val="00164AC5"/>
    <w:rsid w:val="00164CDF"/>
    <w:rsid w:val="00164D0C"/>
    <w:rsid w:val="00164D58"/>
    <w:rsid w:val="001651E8"/>
    <w:rsid w:val="00165950"/>
    <w:rsid w:val="00165F6C"/>
    <w:rsid w:val="001660BD"/>
    <w:rsid w:val="00166BF0"/>
    <w:rsid w:val="00166C62"/>
    <w:rsid w:val="00166EA5"/>
    <w:rsid w:val="00167453"/>
    <w:rsid w:val="001704D7"/>
    <w:rsid w:val="0017110A"/>
    <w:rsid w:val="00171E48"/>
    <w:rsid w:val="00171F1A"/>
    <w:rsid w:val="0017347A"/>
    <w:rsid w:val="00173A75"/>
    <w:rsid w:val="00173AD1"/>
    <w:rsid w:val="00173F17"/>
    <w:rsid w:val="001742E7"/>
    <w:rsid w:val="0017550C"/>
    <w:rsid w:val="001757AA"/>
    <w:rsid w:val="00175D03"/>
    <w:rsid w:val="00176158"/>
    <w:rsid w:val="001765EC"/>
    <w:rsid w:val="001766F2"/>
    <w:rsid w:val="001769EE"/>
    <w:rsid w:val="00176DBE"/>
    <w:rsid w:val="001774C1"/>
    <w:rsid w:val="00177686"/>
    <w:rsid w:val="00180746"/>
    <w:rsid w:val="00180BB3"/>
    <w:rsid w:val="00180CD0"/>
    <w:rsid w:val="00180EC8"/>
    <w:rsid w:val="00181162"/>
    <w:rsid w:val="0018133E"/>
    <w:rsid w:val="001823DE"/>
    <w:rsid w:val="00182574"/>
    <w:rsid w:val="0018328B"/>
    <w:rsid w:val="001834C1"/>
    <w:rsid w:val="00183C48"/>
    <w:rsid w:val="00184189"/>
    <w:rsid w:val="0018425F"/>
    <w:rsid w:val="0018432F"/>
    <w:rsid w:val="001847AE"/>
    <w:rsid w:val="001852A8"/>
    <w:rsid w:val="001867BB"/>
    <w:rsid w:val="00186ACC"/>
    <w:rsid w:val="0018702A"/>
    <w:rsid w:val="001906AE"/>
    <w:rsid w:val="001906E2"/>
    <w:rsid w:val="00190A4B"/>
    <w:rsid w:val="00190DD4"/>
    <w:rsid w:val="001914E3"/>
    <w:rsid w:val="001915B0"/>
    <w:rsid w:val="00191978"/>
    <w:rsid w:val="001919ED"/>
    <w:rsid w:val="00191CC2"/>
    <w:rsid w:val="001921D5"/>
    <w:rsid w:val="00192235"/>
    <w:rsid w:val="001927EC"/>
    <w:rsid w:val="00192AA9"/>
    <w:rsid w:val="00192C3C"/>
    <w:rsid w:val="0019303E"/>
    <w:rsid w:val="00193E82"/>
    <w:rsid w:val="001942BC"/>
    <w:rsid w:val="0019435B"/>
    <w:rsid w:val="00194416"/>
    <w:rsid w:val="00194793"/>
    <w:rsid w:val="001947C9"/>
    <w:rsid w:val="0019531B"/>
    <w:rsid w:val="00195D0D"/>
    <w:rsid w:val="00195EFE"/>
    <w:rsid w:val="0019625E"/>
    <w:rsid w:val="00196336"/>
    <w:rsid w:val="001964A1"/>
    <w:rsid w:val="00196559"/>
    <w:rsid w:val="0019692F"/>
    <w:rsid w:val="001974BF"/>
    <w:rsid w:val="00197706"/>
    <w:rsid w:val="00197A01"/>
    <w:rsid w:val="00197DA2"/>
    <w:rsid w:val="001A0DB1"/>
    <w:rsid w:val="001A1956"/>
    <w:rsid w:val="001A2062"/>
    <w:rsid w:val="001A2892"/>
    <w:rsid w:val="001A29C9"/>
    <w:rsid w:val="001A2C9A"/>
    <w:rsid w:val="001A2D9D"/>
    <w:rsid w:val="001A2E61"/>
    <w:rsid w:val="001A3273"/>
    <w:rsid w:val="001A3369"/>
    <w:rsid w:val="001A33D2"/>
    <w:rsid w:val="001A3687"/>
    <w:rsid w:val="001A36DB"/>
    <w:rsid w:val="001A3743"/>
    <w:rsid w:val="001A3B7A"/>
    <w:rsid w:val="001A46B3"/>
    <w:rsid w:val="001A4843"/>
    <w:rsid w:val="001A4890"/>
    <w:rsid w:val="001A4AA7"/>
    <w:rsid w:val="001A4E76"/>
    <w:rsid w:val="001A4FE3"/>
    <w:rsid w:val="001A521D"/>
    <w:rsid w:val="001A555B"/>
    <w:rsid w:val="001A55CA"/>
    <w:rsid w:val="001A5BA8"/>
    <w:rsid w:val="001A5CD0"/>
    <w:rsid w:val="001A6714"/>
    <w:rsid w:val="001A6B61"/>
    <w:rsid w:val="001A7041"/>
    <w:rsid w:val="001A70EC"/>
    <w:rsid w:val="001A7203"/>
    <w:rsid w:val="001A762B"/>
    <w:rsid w:val="001A77D6"/>
    <w:rsid w:val="001A7AE8"/>
    <w:rsid w:val="001A7C45"/>
    <w:rsid w:val="001A7D02"/>
    <w:rsid w:val="001A7DEC"/>
    <w:rsid w:val="001B06E2"/>
    <w:rsid w:val="001B0C80"/>
    <w:rsid w:val="001B0F68"/>
    <w:rsid w:val="001B126B"/>
    <w:rsid w:val="001B17B2"/>
    <w:rsid w:val="001B1C86"/>
    <w:rsid w:val="001B20B5"/>
    <w:rsid w:val="001B2474"/>
    <w:rsid w:val="001B2758"/>
    <w:rsid w:val="001B27F4"/>
    <w:rsid w:val="001B2A25"/>
    <w:rsid w:val="001B2B90"/>
    <w:rsid w:val="001B2F27"/>
    <w:rsid w:val="001B310F"/>
    <w:rsid w:val="001B3797"/>
    <w:rsid w:val="001B4089"/>
    <w:rsid w:val="001B4826"/>
    <w:rsid w:val="001B5939"/>
    <w:rsid w:val="001B5DB4"/>
    <w:rsid w:val="001B5E79"/>
    <w:rsid w:val="001B5FD9"/>
    <w:rsid w:val="001B634D"/>
    <w:rsid w:val="001B6417"/>
    <w:rsid w:val="001B6418"/>
    <w:rsid w:val="001B67B7"/>
    <w:rsid w:val="001B718F"/>
    <w:rsid w:val="001B73E1"/>
    <w:rsid w:val="001B73FC"/>
    <w:rsid w:val="001B75F0"/>
    <w:rsid w:val="001B7DB3"/>
    <w:rsid w:val="001B7F80"/>
    <w:rsid w:val="001C05A3"/>
    <w:rsid w:val="001C0651"/>
    <w:rsid w:val="001C188E"/>
    <w:rsid w:val="001C2106"/>
    <w:rsid w:val="001C2310"/>
    <w:rsid w:val="001C2615"/>
    <w:rsid w:val="001C29BD"/>
    <w:rsid w:val="001C2AC3"/>
    <w:rsid w:val="001C2D09"/>
    <w:rsid w:val="001C3061"/>
    <w:rsid w:val="001C36A0"/>
    <w:rsid w:val="001C383A"/>
    <w:rsid w:val="001C3BFF"/>
    <w:rsid w:val="001C3C2E"/>
    <w:rsid w:val="001C3C7A"/>
    <w:rsid w:val="001C3CCB"/>
    <w:rsid w:val="001C3F43"/>
    <w:rsid w:val="001C44CF"/>
    <w:rsid w:val="001C46BD"/>
    <w:rsid w:val="001C472A"/>
    <w:rsid w:val="001C4D52"/>
    <w:rsid w:val="001C58EF"/>
    <w:rsid w:val="001C5CF6"/>
    <w:rsid w:val="001C5F5E"/>
    <w:rsid w:val="001C67ED"/>
    <w:rsid w:val="001C6D86"/>
    <w:rsid w:val="001C7164"/>
    <w:rsid w:val="001C7359"/>
    <w:rsid w:val="001C7AEE"/>
    <w:rsid w:val="001D08D6"/>
    <w:rsid w:val="001D08ED"/>
    <w:rsid w:val="001D0D41"/>
    <w:rsid w:val="001D0D92"/>
    <w:rsid w:val="001D1069"/>
    <w:rsid w:val="001D10F0"/>
    <w:rsid w:val="001D127D"/>
    <w:rsid w:val="001D15BE"/>
    <w:rsid w:val="001D1C23"/>
    <w:rsid w:val="001D1D12"/>
    <w:rsid w:val="001D20AB"/>
    <w:rsid w:val="001D2604"/>
    <w:rsid w:val="001D2666"/>
    <w:rsid w:val="001D31F0"/>
    <w:rsid w:val="001D3275"/>
    <w:rsid w:val="001D3340"/>
    <w:rsid w:val="001D37C1"/>
    <w:rsid w:val="001D3D16"/>
    <w:rsid w:val="001D3D2F"/>
    <w:rsid w:val="001D438C"/>
    <w:rsid w:val="001D455B"/>
    <w:rsid w:val="001D47C7"/>
    <w:rsid w:val="001D4837"/>
    <w:rsid w:val="001D509C"/>
    <w:rsid w:val="001D5A09"/>
    <w:rsid w:val="001D60B2"/>
    <w:rsid w:val="001D626F"/>
    <w:rsid w:val="001D6812"/>
    <w:rsid w:val="001D6819"/>
    <w:rsid w:val="001D6D9F"/>
    <w:rsid w:val="001D6E2A"/>
    <w:rsid w:val="001D7058"/>
    <w:rsid w:val="001D71FA"/>
    <w:rsid w:val="001D7270"/>
    <w:rsid w:val="001D73BD"/>
    <w:rsid w:val="001D743B"/>
    <w:rsid w:val="001D74DB"/>
    <w:rsid w:val="001E031E"/>
    <w:rsid w:val="001E0A05"/>
    <w:rsid w:val="001E0A65"/>
    <w:rsid w:val="001E179E"/>
    <w:rsid w:val="001E1C1D"/>
    <w:rsid w:val="001E1F90"/>
    <w:rsid w:val="001E25F7"/>
    <w:rsid w:val="001E2C92"/>
    <w:rsid w:val="001E2D89"/>
    <w:rsid w:val="001E2E38"/>
    <w:rsid w:val="001E3205"/>
    <w:rsid w:val="001E3BF4"/>
    <w:rsid w:val="001E3C08"/>
    <w:rsid w:val="001E3E4B"/>
    <w:rsid w:val="001E41F9"/>
    <w:rsid w:val="001E4228"/>
    <w:rsid w:val="001E43E7"/>
    <w:rsid w:val="001E45FF"/>
    <w:rsid w:val="001E4624"/>
    <w:rsid w:val="001E4BA0"/>
    <w:rsid w:val="001E4C69"/>
    <w:rsid w:val="001E4D1E"/>
    <w:rsid w:val="001E4F82"/>
    <w:rsid w:val="001E4F99"/>
    <w:rsid w:val="001E553B"/>
    <w:rsid w:val="001E5675"/>
    <w:rsid w:val="001E6011"/>
    <w:rsid w:val="001E624B"/>
    <w:rsid w:val="001E62F0"/>
    <w:rsid w:val="001E6B70"/>
    <w:rsid w:val="001E7496"/>
    <w:rsid w:val="001E7A75"/>
    <w:rsid w:val="001F0262"/>
    <w:rsid w:val="001F06B2"/>
    <w:rsid w:val="001F16E0"/>
    <w:rsid w:val="001F16E2"/>
    <w:rsid w:val="001F182F"/>
    <w:rsid w:val="001F299C"/>
    <w:rsid w:val="001F2A00"/>
    <w:rsid w:val="001F2B89"/>
    <w:rsid w:val="001F2E93"/>
    <w:rsid w:val="001F303B"/>
    <w:rsid w:val="001F358D"/>
    <w:rsid w:val="001F3683"/>
    <w:rsid w:val="001F3990"/>
    <w:rsid w:val="001F3BA6"/>
    <w:rsid w:val="001F3DF9"/>
    <w:rsid w:val="001F4239"/>
    <w:rsid w:val="001F441E"/>
    <w:rsid w:val="001F482B"/>
    <w:rsid w:val="001F525F"/>
    <w:rsid w:val="001F5287"/>
    <w:rsid w:val="001F5D15"/>
    <w:rsid w:val="001F5F17"/>
    <w:rsid w:val="001F6077"/>
    <w:rsid w:val="001F6099"/>
    <w:rsid w:val="001F7200"/>
    <w:rsid w:val="001F777F"/>
    <w:rsid w:val="001F7C7F"/>
    <w:rsid w:val="001F7F0F"/>
    <w:rsid w:val="002003B1"/>
    <w:rsid w:val="0020081D"/>
    <w:rsid w:val="00200B4E"/>
    <w:rsid w:val="002013AD"/>
    <w:rsid w:val="002014D1"/>
    <w:rsid w:val="0020166B"/>
    <w:rsid w:val="002017A5"/>
    <w:rsid w:val="00201DD3"/>
    <w:rsid w:val="00201E30"/>
    <w:rsid w:val="00201ECE"/>
    <w:rsid w:val="00201FF6"/>
    <w:rsid w:val="002024CA"/>
    <w:rsid w:val="00202A2E"/>
    <w:rsid w:val="00203134"/>
    <w:rsid w:val="0020394A"/>
    <w:rsid w:val="002039B0"/>
    <w:rsid w:val="00203CAF"/>
    <w:rsid w:val="0020459A"/>
    <w:rsid w:val="00204BD6"/>
    <w:rsid w:val="00204FF2"/>
    <w:rsid w:val="0020506A"/>
    <w:rsid w:val="00205803"/>
    <w:rsid w:val="00205A66"/>
    <w:rsid w:val="00206482"/>
    <w:rsid w:val="00206663"/>
    <w:rsid w:val="00206B86"/>
    <w:rsid w:val="002072E5"/>
    <w:rsid w:val="00207786"/>
    <w:rsid w:val="00207B9E"/>
    <w:rsid w:val="00207BAE"/>
    <w:rsid w:val="002100C8"/>
    <w:rsid w:val="00210DA3"/>
    <w:rsid w:val="00211492"/>
    <w:rsid w:val="0021164C"/>
    <w:rsid w:val="00211E4B"/>
    <w:rsid w:val="00211F1F"/>
    <w:rsid w:val="0021247E"/>
    <w:rsid w:val="0021253D"/>
    <w:rsid w:val="002128A0"/>
    <w:rsid w:val="002130E9"/>
    <w:rsid w:val="0021333A"/>
    <w:rsid w:val="0021352B"/>
    <w:rsid w:val="00213757"/>
    <w:rsid w:val="00213912"/>
    <w:rsid w:val="00214174"/>
    <w:rsid w:val="00214307"/>
    <w:rsid w:val="0021435D"/>
    <w:rsid w:val="00214643"/>
    <w:rsid w:val="002147C3"/>
    <w:rsid w:val="00214E36"/>
    <w:rsid w:val="0021536A"/>
    <w:rsid w:val="00215F4A"/>
    <w:rsid w:val="0021604E"/>
    <w:rsid w:val="00216137"/>
    <w:rsid w:val="002169DD"/>
    <w:rsid w:val="00216AC1"/>
    <w:rsid w:val="00216EFE"/>
    <w:rsid w:val="0021706A"/>
    <w:rsid w:val="002174A5"/>
    <w:rsid w:val="002176B7"/>
    <w:rsid w:val="00221235"/>
    <w:rsid w:val="002214FD"/>
    <w:rsid w:val="002215F0"/>
    <w:rsid w:val="00221B6E"/>
    <w:rsid w:val="0022202A"/>
    <w:rsid w:val="0022280B"/>
    <w:rsid w:val="00222F83"/>
    <w:rsid w:val="002232E3"/>
    <w:rsid w:val="0022342D"/>
    <w:rsid w:val="002236EB"/>
    <w:rsid w:val="00223C54"/>
    <w:rsid w:val="00223F14"/>
    <w:rsid w:val="002240CF"/>
    <w:rsid w:val="0022442E"/>
    <w:rsid w:val="00224584"/>
    <w:rsid w:val="002249EC"/>
    <w:rsid w:val="00224B2A"/>
    <w:rsid w:val="00224D53"/>
    <w:rsid w:val="00225025"/>
    <w:rsid w:val="00225063"/>
    <w:rsid w:val="0022521F"/>
    <w:rsid w:val="0022558E"/>
    <w:rsid w:val="00225908"/>
    <w:rsid w:val="00225DCC"/>
    <w:rsid w:val="002262CC"/>
    <w:rsid w:val="0022661B"/>
    <w:rsid w:val="0022699F"/>
    <w:rsid w:val="00226E39"/>
    <w:rsid w:val="002273D4"/>
    <w:rsid w:val="00230416"/>
    <w:rsid w:val="002306B4"/>
    <w:rsid w:val="00230EAC"/>
    <w:rsid w:val="0023203E"/>
    <w:rsid w:val="00232248"/>
    <w:rsid w:val="00232754"/>
    <w:rsid w:val="002327DC"/>
    <w:rsid w:val="00232822"/>
    <w:rsid w:val="002328DD"/>
    <w:rsid w:val="00232B93"/>
    <w:rsid w:val="00232D58"/>
    <w:rsid w:val="00232E6D"/>
    <w:rsid w:val="002333F0"/>
    <w:rsid w:val="00233B49"/>
    <w:rsid w:val="002340F3"/>
    <w:rsid w:val="00234361"/>
    <w:rsid w:val="00234621"/>
    <w:rsid w:val="00234727"/>
    <w:rsid w:val="00235133"/>
    <w:rsid w:val="00235170"/>
    <w:rsid w:val="00235393"/>
    <w:rsid w:val="00235C58"/>
    <w:rsid w:val="00237656"/>
    <w:rsid w:val="0023769D"/>
    <w:rsid w:val="002377C2"/>
    <w:rsid w:val="00240283"/>
    <w:rsid w:val="00240A9C"/>
    <w:rsid w:val="00240B67"/>
    <w:rsid w:val="00240DC3"/>
    <w:rsid w:val="0024103E"/>
    <w:rsid w:val="00241710"/>
    <w:rsid w:val="00241A30"/>
    <w:rsid w:val="00241B82"/>
    <w:rsid w:val="00241B9A"/>
    <w:rsid w:val="00241C1C"/>
    <w:rsid w:val="00241D39"/>
    <w:rsid w:val="00242903"/>
    <w:rsid w:val="00242DF2"/>
    <w:rsid w:val="002430F3"/>
    <w:rsid w:val="0024312E"/>
    <w:rsid w:val="00243131"/>
    <w:rsid w:val="00243B0F"/>
    <w:rsid w:val="00243E15"/>
    <w:rsid w:val="00243F7C"/>
    <w:rsid w:val="0024412A"/>
    <w:rsid w:val="002442E7"/>
    <w:rsid w:val="00244970"/>
    <w:rsid w:val="00244972"/>
    <w:rsid w:val="00244A62"/>
    <w:rsid w:val="0024529C"/>
    <w:rsid w:val="0024555C"/>
    <w:rsid w:val="00246836"/>
    <w:rsid w:val="002469AB"/>
    <w:rsid w:val="00246A9F"/>
    <w:rsid w:val="00246E65"/>
    <w:rsid w:val="002470C7"/>
    <w:rsid w:val="002476C8"/>
    <w:rsid w:val="00247801"/>
    <w:rsid w:val="00247860"/>
    <w:rsid w:val="002478C1"/>
    <w:rsid w:val="00247D3C"/>
    <w:rsid w:val="00247DA3"/>
    <w:rsid w:val="00250ABB"/>
    <w:rsid w:val="00250C03"/>
    <w:rsid w:val="002513A0"/>
    <w:rsid w:val="002514FD"/>
    <w:rsid w:val="0025160C"/>
    <w:rsid w:val="002519EA"/>
    <w:rsid w:val="00251B6A"/>
    <w:rsid w:val="00251D31"/>
    <w:rsid w:val="002525BA"/>
    <w:rsid w:val="00252873"/>
    <w:rsid w:val="002529E1"/>
    <w:rsid w:val="00253382"/>
    <w:rsid w:val="002537ED"/>
    <w:rsid w:val="00253D34"/>
    <w:rsid w:val="00253DAE"/>
    <w:rsid w:val="002542A5"/>
    <w:rsid w:val="002542B3"/>
    <w:rsid w:val="002547BB"/>
    <w:rsid w:val="00254D8F"/>
    <w:rsid w:val="0025540B"/>
    <w:rsid w:val="00255CAF"/>
    <w:rsid w:val="002569BB"/>
    <w:rsid w:val="00256B00"/>
    <w:rsid w:val="00256B9A"/>
    <w:rsid w:val="00256D01"/>
    <w:rsid w:val="00256E20"/>
    <w:rsid w:val="0025795D"/>
    <w:rsid w:val="00257A00"/>
    <w:rsid w:val="00257E89"/>
    <w:rsid w:val="002607D6"/>
    <w:rsid w:val="00260A4A"/>
    <w:rsid w:val="00260D95"/>
    <w:rsid w:val="002613CF"/>
    <w:rsid w:val="0026142E"/>
    <w:rsid w:val="002614AC"/>
    <w:rsid w:val="002614CA"/>
    <w:rsid w:val="00261612"/>
    <w:rsid w:val="00261E54"/>
    <w:rsid w:val="00262446"/>
    <w:rsid w:val="0026276F"/>
    <w:rsid w:val="00262877"/>
    <w:rsid w:val="002629B4"/>
    <w:rsid w:val="002629FB"/>
    <w:rsid w:val="00263B63"/>
    <w:rsid w:val="00263FFC"/>
    <w:rsid w:val="002641E9"/>
    <w:rsid w:val="002649CB"/>
    <w:rsid w:val="00264A0F"/>
    <w:rsid w:val="0026524A"/>
    <w:rsid w:val="00265820"/>
    <w:rsid w:val="00265A93"/>
    <w:rsid w:val="00265B6E"/>
    <w:rsid w:val="00265D6E"/>
    <w:rsid w:val="00265EA8"/>
    <w:rsid w:val="0026608B"/>
    <w:rsid w:val="002664C3"/>
    <w:rsid w:val="002666B1"/>
    <w:rsid w:val="002668C2"/>
    <w:rsid w:val="00267653"/>
    <w:rsid w:val="0027037D"/>
    <w:rsid w:val="00270ABC"/>
    <w:rsid w:val="00270D69"/>
    <w:rsid w:val="0027141A"/>
    <w:rsid w:val="002714B3"/>
    <w:rsid w:val="00271C0A"/>
    <w:rsid w:val="002720DB"/>
    <w:rsid w:val="0027255F"/>
    <w:rsid w:val="00272574"/>
    <w:rsid w:val="00273725"/>
    <w:rsid w:val="00273874"/>
    <w:rsid w:val="00273937"/>
    <w:rsid w:val="00273B2C"/>
    <w:rsid w:val="00273DE5"/>
    <w:rsid w:val="0027421B"/>
    <w:rsid w:val="00274354"/>
    <w:rsid w:val="002752C2"/>
    <w:rsid w:val="002753E6"/>
    <w:rsid w:val="00275D92"/>
    <w:rsid w:val="00275E06"/>
    <w:rsid w:val="00275F56"/>
    <w:rsid w:val="00276134"/>
    <w:rsid w:val="00276B77"/>
    <w:rsid w:val="00276CB1"/>
    <w:rsid w:val="00277365"/>
    <w:rsid w:val="002803E2"/>
    <w:rsid w:val="00280B8B"/>
    <w:rsid w:val="00280C6B"/>
    <w:rsid w:val="00280F6B"/>
    <w:rsid w:val="00281107"/>
    <w:rsid w:val="0028111A"/>
    <w:rsid w:val="00281209"/>
    <w:rsid w:val="0028164F"/>
    <w:rsid w:val="00281999"/>
    <w:rsid w:val="002819BC"/>
    <w:rsid w:val="00281CD4"/>
    <w:rsid w:val="00281FCB"/>
    <w:rsid w:val="00282210"/>
    <w:rsid w:val="00282967"/>
    <w:rsid w:val="00282CAB"/>
    <w:rsid w:val="00283832"/>
    <w:rsid w:val="00283899"/>
    <w:rsid w:val="00283B1D"/>
    <w:rsid w:val="00283BE4"/>
    <w:rsid w:val="00283D0F"/>
    <w:rsid w:val="00283F50"/>
    <w:rsid w:val="00284242"/>
    <w:rsid w:val="00284346"/>
    <w:rsid w:val="00284D22"/>
    <w:rsid w:val="00285082"/>
    <w:rsid w:val="00285267"/>
    <w:rsid w:val="002853E9"/>
    <w:rsid w:val="002855CD"/>
    <w:rsid w:val="002857F7"/>
    <w:rsid w:val="00285BC8"/>
    <w:rsid w:val="002861F0"/>
    <w:rsid w:val="002863E6"/>
    <w:rsid w:val="002864D0"/>
    <w:rsid w:val="002864F3"/>
    <w:rsid w:val="00286B9C"/>
    <w:rsid w:val="00286D98"/>
    <w:rsid w:val="002874C2"/>
    <w:rsid w:val="00287596"/>
    <w:rsid w:val="002877F1"/>
    <w:rsid w:val="00287E15"/>
    <w:rsid w:val="00287EF1"/>
    <w:rsid w:val="00290135"/>
    <w:rsid w:val="00290891"/>
    <w:rsid w:val="00291074"/>
    <w:rsid w:val="0029176A"/>
    <w:rsid w:val="002917F4"/>
    <w:rsid w:val="002918CE"/>
    <w:rsid w:val="00291938"/>
    <w:rsid w:val="00291C7C"/>
    <w:rsid w:val="00292825"/>
    <w:rsid w:val="00292922"/>
    <w:rsid w:val="0029320E"/>
    <w:rsid w:val="00293351"/>
    <w:rsid w:val="0029353D"/>
    <w:rsid w:val="00294272"/>
    <w:rsid w:val="00294C6A"/>
    <w:rsid w:val="00294EA1"/>
    <w:rsid w:val="002950CA"/>
    <w:rsid w:val="00295A80"/>
    <w:rsid w:val="00295A96"/>
    <w:rsid w:val="00295B1E"/>
    <w:rsid w:val="00295D2F"/>
    <w:rsid w:val="002967A2"/>
    <w:rsid w:val="00296E6C"/>
    <w:rsid w:val="002A04DB"/>
    <w:rsid w:val="002A0695"/>
    <w:rsid w:val="002A0823"/>
    <w:rsid w:val="002A094F"/>
    <w:rsid w:val="002A1311"/>
    <w:rsid w:val="002A1344"/>
    <w:rsid w:val="002A202B"/>
    <w:rsid w:val="002A25DE"/>
    <w:rsid w:val="002A263B"/>
    <w:rsid w:val="002A3170"/>
    <w:rsid w:val="002A31BF"/>
    <w:rsid w:val="002A3270"/>
    <w:rsid w:val="002A35E4"/>
    <w:rsid w:val="002A3997"/>
    <w:rsid w:val="002A39C5"/>
    <w:rsid w:val="002A3DB7"/>
    <w:rsid w:val="002A3F63"/>
    <w:rsid w:val="002A4F79"/>
    <w:rsid w:val="002A517D"/>
    <w:rsid w:val="002A5AD9"/>
    <w:rsid w:val="002A5C32"/>
    <w:rsid w:val="002A5D23"/>
    <w:rsid w:val="002A65E7"/>
    <w:rsid w:val="002A6865"/>
    <w:rsid w:val="002A6C4E"/>
    <w:rsid w:val="002A6C7A"/>
    <w:rsid w:val="002A6F1D"/>
    <w:rsid w:val="002A71D4"/>
    <w:rsid w:val="002A72BC"/>
    <w:rsid w:val="002A753F"/>
    <w:rsid w:val="002A7C75"/>
    <w:rsid w:val="002B00A7"/>
    <w:rsid w:val="002B0940"/>
    <w:rsid w:val="002B0B43"/>
    <w:rsid w:val="002B0EBE"/>
    <w:rsid w:val="002B0F55"/>
    <w:rsid w:val="002B15C9"/>
    <w:rsid w:val="002B1734"/>
    <w:rsid w:val="002B1F24"/>
    <w:rsid w:val="002B1FF4"/>
    <w:rsid w:val="002B21F6"/>
    <w:rsid w:val="002B2418"/>
    <w:rsid w:val="002B2721"/>
    <w:rsid w:val="002B27A6"/>
    <w:rsid w:val="002B2B24"/>
    <w:rsid w:val="002B2B66"/>
    <w:rsid w:val="002B2CC4"/>
    <w:rsid w:val="002B31C1"/>
    <w:rsid w:val="002B3413"/>
    <w:rsid w:val="002B3894"/>
    <w:rsid w:val="002B42DF"/>
    <w:rsid w:val="002B4D77"/>
    <w:rsid w:val="002B4D8D"/>
    <w:rsid w:val="002B4FCB"/>
    <w:rsid w:val="002B50B1"/>
    <w:rsid w:val="002B52FF"/>
    <w:rsid w:val="002B55C4"/>
    <w:rsid w:val="002B5B61"/>
    <w:rsid w:val="002B5EB4"/>
    <w:rsid w:val="002B649F"/>
    <w:rsid w:val="002B6EF5"/>
    <w:rsid w:val="002B7134"/>
    <w:rsid w:val="002B7184"/>
    <w:rsid w:val="002B73E1"/>
    <w:rsid w:val="002B7640"/>
    <w:rsid w:val="002B791B"/>
    <w:rsid w:val="002B7AF9"/>
    <w:rsid w:val="002B7C38"/>
    <w:rsid w:val="002B7D8B"/>
    <w:rsid w:val="002C015C"/>
    <w:rsid w:val="002C0617"/>
    <w:rsid w:val="002C081F"/>
    <w:rsid w:val="002C0C1F"/>
    <w:rsid w:val="002C13CA"/>
    <w:rsid w:val="002C1F07"/>
    <w:rsid w:val="002C202B"/>
    <w:rsid w:val="002C24B6"/>
    <w:rsid w:val="002C2B38"/>
    <w:rsid w:val="002C2FB9"/>
    <w:rsid w:val="002C372D"/>
    <w:rsid w:val="002C3AA1"/>
    <w:rsid w:val="002C4883"/>
    <w:rsid w:val="002C4B46"/>
    <w:rsid w:val="002C52D6"/>
    <w:rsid w:val="002C5909"/>
    <w:rsid w:val="002C5A79"/>
    <w:rsid w:val="002C5DA3"/>
    <w:rsid w:val="002C6D61"/>
    <w:rsid w:val="002C6D8B"/>
    <w:rsid w:val="002C725B"/>
    <w:rsid w:val="002C746B"/>
    <w:rsid w:val="002C754A"/>
    <w:rsid w:val="002C75F8"/>
    <w:rsid w:val="002C78BB"/>
    <w:rsid w:val="002C7B63"/>
    <w:rsid w:val="002D06AF"/>
    <w:rsid w:val="002D1099"/>
    <w:rsid w:val="002D1C0A"/>
    <w:rsid w:val="002D2385"/>
    <w:rsid w:val="002D2A55"/>
    <w:rsid w:val="002D37F0"/>
    <w:rsid w:val="002D3AAA"/>
    <w:rsid w:val="002D4005"/>
    <w:rsid w:val="002D4AFE"/>
    <w:rsid w:val="002D4BEA"/>
    <w:rsid w:val="002D4CF0"/>
    <w:rsid w:val="002D5259"/>
    <w:rsid w:val="002D54AD"/>
    <w:rsid w:val="002D582B"/>
    <w:rsid w:val="002D5E8C"/>
    <w:rsid w:val="002D5EF7"/>
    <w:rsid w:val="002D6A31"/>
    <w:rsid w:val="002D6C69"/>
    <w:rsid w:val="002D71D1"/>
    <w:rsid w:val="002D7A0B"/>
    <w:rsid w:val="002E01E2"/>
    <w:rsid w:val="002E05A5"/>
    <w:rsid w:val="002E0D35"/>
    <w:rsid w:val="002E0E7D"/>
    <w:rsid w:val="002E0FBC"/>
    <w:rsid w:val="002E17C0"/>
    <w:rsid w:val="002E202F"/>
    <w:rsid w:val="002E246D"/>
    <w:rsid w:val="002E252C"/>
    <w:rsid w:val="002E252F"/>
    <w:rsid w:val="002E260A"/>
    <w:rsid w:val="002E2631"/>
    <w:rsid w:val="002E3146"/>
    <w:rsid w:val="002E3E59"/>
    <w:rsid w:val="002E442F"/>
    <w:rsid w:val="002E4901"/>
    <w:rsid w:val="002E4B36"/>
    <w:rsid w:val="002E4CA8"/>
    <w:rsid w:val="002E4D91"/>
    <w:rsid w:val="002E4E4F"/>
    <w:rsid w:val="002E56CE"/>
    <w:rsid w:val="002E58B5"/>
    <w:rsid w:val="002E59A1"/>
    <w:rsid w:val="002E5F78"/>
    <w:rsid w:val="002E60C7"/>
    <w:rsid w:val="002E69B8"/>
    <w:rsid w:val="002E6BA0"/>
    <w:rsid w:val="002E6C14"/>
    <w:rsid w:val="002E7096"/>
    <w:rsid w:val="002E70AC"/>
    <w:rsid w:val="002E7804"/>
    <w:rsid w:val="002E7C1A"/>
    <w:rsid w:val="002E7E41"/>
    <w:rsid w:val="002F0B33"/>
    <w:rsid w:val="002F0CCA"/>
    <w:rsid w:val="002F0E63"/>
    <w:rsid w:val="002F10F4"/>
    <w:rsid w:val="002F131A"/>
    <w:rsid w:val="002F14D1"/>
    <w:rsid w:val="002F159C"/>
    <w:rsid w:val="002F166C"/>
    <w:rsid w:val="002F1986"/>
    <w:rsid w:val="002F1B42"/>
    <w:rsid w:val="002F23E5"/>
    <w:rsid w:val="002F2517"/>
    <w:rsid w:val="002F2DC1"/>
    <w:rsid w:val="002F2EFA"/>
    <w:rsid w:val="002F2F28"/>
    <w:rsid w:val="002F2F36"/>
    <w:rsid w:val="002F3569"/>
    <w:rsid w:val="002F3940"/>
    <w:rsid w:val="002F3A3D"/>
    <w:rsid w:val="002F3D47"/>
    <w:rsid w:val="002F3F78"/>
    <w:rsid w:val="002F41E8"/>
    <w:rsid w:val="002F493D"/>
    <w:rsid w:val="002F4D92"/>
    <w:rsid w:val="002F4DA9"/>
    <w:rsid w:val="002F53FC"/>
    <w:rsid w:val="002F5833"/>
    <w:rsid w:val="002F5B76"/>
    <w:rsid w:val="002F5DC4"/>
    <w:rsid w:val="002F5E46"/>
    <w:rsid w:val="002F6017"/>
    <w:rsid w:val="002F6A91"/>
    <w:rsid w:val="002F7237"/>
    <w:rsid w:val="002F78CC"/>
    <w:rsid w:val="002F7D10"/>
    <w:rsid w:val="00300035"/>
    <w:rsid w:val="003005AE"/>
    <w:rsid w:val="0030080D"/>
    <w:rsid w:val="00300D08"/>
    <w:rsid w:val="00300EAC"/>
    <w:rsid w:val="00300EB3"/>
    <w:rsid w:val="00300F0A"/>
    <w:rsid w:val="003014E0"/>
    <w:rsid w:val="0030157B"/>
    <w:rsid w:val="003018AE"/>
    <w:rsid w:val="003019AE"/>
    <w:rsid w:val="00301DDC"/>
    <w:rsid w:val="00301EF9"/>
    <w:rsid w:val="003021E3"/>
    <w:rsid w:val="003025F1"/>
    <w:rsid w:val="0030271D"/>
    <w:rsid w:val="00302A2F"/>
    <w:rsid w:val="00302DC6"/>
    <w:rsid w:val="003034C9"/>
    <w:rsid w:val="00303CF6"/>
    <w:rsid w:val="00303EF4"/>
    <w:rsid w:val="0030446F"/>
    <w:rsid w:val="00304DDD"/>
    <w:rsid w:val="003052D5"/>
    <w:rsid w:val="0030567D"/>
    <w:rsid w:val="00305B68"/>
    <w:rsid w:val="00305E38"/>
    <w:rsid w:val="0030619C"/>
    <w:rsid w:val="003069DA"/>
    <w:rsid w:val="003074E8"/>
    <w:rsid w:val="00307780"/>
    <w:rsid w:val="0030783E"/>
    <w:rsid w:val="003078E5"/>
    <w:rsid w:val="00307B3C"/>
    <w:rsid w:val="0031021A"/>
    <w:rsid w:val="00310B83"/>
    <w:rsid w:val="00310C96"/>
    <w:rsid w:val="003112BD"/>
    <w:rsid w:val="003115A3"/>
    <w:rsid w:val="003115DD"/>
    <w:rsid w:val="0031184C"/>
    <w:rsid w:val="0031199F"/>
    <w:rsid w:val="00311AF3"/>
    <w:rsid w:val="0031233B"/>
    <w:rsid w:val="00313969"/>
    <w:rsid w:val="00313BCB"/>
    <w:rsid w:val="00313E67"/>
    <w:rsid w:val="00315195"/>
    <w:rsid w:val="0031552B"/>
    <w:rsid w:val="003155D2"/>
    <w:rsid w:val="00315E11"/>
    <w:rsid w:val="00316520"/>
    <w:rsid w:val="00316561"/>
    <w:rsid w:val="00316858"/>
    <w:rsid w:val="003169FD"/>
    <w:rsid w:val="00316E87"/>
    <w:rsid w:val="00317885"/>
    <w:rsid w:val="003178E1"/>
    <w:rsid w:val="00317C52"/>
    <w:rsid w:val="0032046E"/>
    <w:rsid w:val="00321A8E"/>
    <w:rsid w:val="00321B0B"/>
    <w:rsid w:val="00321B2F"/>
    <w:rsid w:val="00322637"/>
    <w:rsid w:val="00322A43"/>
    <w:rsid w:val="003234C2"/>
    <w:rsid w:val="00323729"/>
    <w:rsid w:val="00323983"/>
    <w:rsid w:val="0032509C"/>
    <w:rsid w:val="00325517"/>
    <w:rsid w:val="00325893"/>
    <w:rsid w:val="003258CA"/>
    <w:rsid w:val="003258D1"/>
    <w:rsid w:val="00325A29"/>
    <w:rsid w:val="00325B4B"/>
    <w:rsid w:val="00325E13"/>
    <w:rsid w:val="003262D0"/>
    <w:rsid w:val="003262DF"/>
    <w:rsid w:val="00326396"/>
    <w:rsid w:val="00326458"/>
    <w:rsid w:val="00326476"/>
    <w:rsid w:val="003268C4"/>
    <w:rsid w:val="00326980"/>
    <w:rsid w:val="003269F2"/>
    <w:rsid w:val="00327C86"/>
    <w:rsid w:val="00330A3D"/>
    <w:rsid w:val="00331193"/>
    <w:rsid w:val="00331194"/>
    <w:rsid w:val="00331273"/>
    <w:rsid w:val="00331558"/>
    <w:rsid w:val="00331758"/>
    <w:rsid w:val="00331BF7"/>
    <w:rsid w:val="003322F5"/>
    <w:rsid w:val="003326E5"/>
    <w:rsid w:val="00332C06"/>
    <w:rsid w:val="00333B06"/>
    <w:rsid w:val="003341BE"/>
    <w:rsid w:val="0033437E"/>
    <w:rsid w:val="0033450C"/>
    <w:rsid w:val="0033465D"/>
    <w:rsid w:val="00334FDA"/>
    <w:rsid w:val="00335288"/>
    <w:rsid w:val="0033577D"/>
    <w:rsid w:val="00335AE9"/>
    <w:rsid w:val="00336DE5"/>
    <w:rsid w:val="00337367"/>
    <w:rsid w:val="003378CE"/>
    <w:rsid w:val="00337904"/>
    <w:rsid w:val="00340530"/>
    <w:rsid w:val="00340D5F"/>
    <w:rsid w:val="00341B68"/>
    <w:rsid w:val="00341B7F"/>
    <w:rsid w:val="00341D4E"/>
    <w:rsid w:val="00341DE7"/>
    <w:rsid w:val="00341FFC"/>
    <w:rsid w:val="00343515"/>
    <w:rsid w:val="00343523"/>
    <w:rsid w:val="00343591"/>
    <w:rsid w:val="0034385C"/>
    <w:rsid w:val="0034394D"/>
    <w:rsid w:val="00343F45"/>
    <w:rsid w:val="00344785"/>
    <w:rsid w:val="00345933"/>
    <w:rsid w:val="00345956"/>
    <w:rsid w:val="00345DC8"/>
    <w:rsid w:val="00345F6B"/>
    <w:rsid w:val="0034618C"/>
    <w:rsid w:val="003461AB"/>
    <w:rsid w:val="003467A9"/>
    <w:rsid w:val="00346A8B"/>
    <w:rsid w:val="00346C1A"/>
    <w:rsid w:val="00346C74"/>
    <w:rsid w:val="00347FC4"/>
    <w:rsid w:val="00350644"/>
    <w:rsid w:val="00350D2F"/>
    <w:rsid w:val="00350E46"/>
    <w:rsid w:val="00351194"/>
    <w:rsid w:val="003512E3"/>
    <w:rsid w:val="003516A3"/>
    <w:rsid w:val="00351AAB"/>
    <w:rsid w:val="00351BBC"/>
    <w:rsid w:val="00351BBF"/>
    <w:rsid w:val="003529E7"/>
    <w:rsid w:val="00352D86"/>
    <w:rsid w:val="0035406B"/>
    <w:rsid w:val="00354CC6"/>
    <w:rsid w:val="003556E5"/>
    <w:rsid w:val="00355A82"/>
    <w:rsid w:val="00355BD3"/>
    <w:rsid w:val="00355FE3"/>
    <w:rsid w:val="003560A2"/>
    <w:rsid w:val="003560C8"/>
    <w:rsid w:val="00356596"/>
    <w:rsid w:val="00356CBB"/>
    <w:rsid w:val="003570C2"/>
    <w:rsid w:val="0035720F"/>
    <w:rsid w:val="003576FC"/>
    <w:rsid w:val="0035792B"/>
    <w:rsid w:val="0036045C"/>
    <w:rsid w:val="00360BBF"/>
    <w:rsid w:val="00360F53"/>
    <w:rsid w:val="00360FBC"/>
    <w:rsid w:val="00361697"/>
    <w:rsid w:val="00361971"/>
    <w:rsid w:val="00361C04"/>
    <w:rsid w:val="00362522"/>
    <w:rsid w:val="00362D3A"/>
    <w:rsid w:val="00362FE8"/>
    <w:rsid w:val="003630A7"/>
    <w:rsid w:val="00363644"/>
    <w:rsid w:val="003641E4"/>
    <w:rsid w:val="00364241"/>
    <w:rsid w:val="003642E7"/>
    <w:rsid w:val="00364363"/>
    <w:rsid w:val="003648CA"/>
    <w:rsid w:val="003649FA"/>
    <w:rsid w:val="00364A84"/>
    <w:rsid w:val="00364D24"/>
    <w:rsid w:val="00364EA4"/>
    <w:rsid w:val="00365002"/>
    <w:rsid w:val="00365358"/>
    <w:rsid w:val="0036546B"/>
    <w:rsid w:val="00365556"/>
    <w:rsid w:val="00365BE2"/>
    <w:rsid w:val="00365D6D"/>
    <w:rsid w:val="003661E4"/>
    <w:rsid w:val="0036658E"/>
    <w:rsid w:val="003668F0"/>
    <w:rsid w:val="00366F7F"/>
    <w:rsid w:val="00366FFE"/>
    <w:rsid w:val="003671F7"/>
    <w:rsid w:val="00367246"/>
    <w:rsid w:val="00367D00"/>
    <w:rsid w:val="003700CC"/>
    <w:rsid w:val="0037042C"/>
    <w:rsid w:val="00370A02"/>
    <w:rsid w:val="00370A71"/>
    <w:rsid w:val="00371144"/>
    <w:rsid w:val="003711A7"/>
    <w:rsid w:val="003713B2"/>
    <w:rsid w:val="00371D8F"/>
    <w:rsid w:val="00372052"/>
    <w:rsid w:val="00372140"/>
    <w:rsid w:val="003725E5"/>
    <w:rsid w:val="00372D00"/>
    <w:rsid w:val="00372DF0"/>
    <w:rsid w:val="00372F62"/>
    <w:rsid w:val="003730F8"/>
    <w:rsid w:val="0037377F"/>
    <w:rsid w:val="00373E26"/>
    <w:rsid w:val="00373FE7"/>
    <w:rsid w:val="0037453E"/>
    <w:rsid w:val="0037476E"/>
    <w:rsid w:val="00374C8D"/>
    <w:rsid w:val="00374D04"/>
    <w:rsid w:val="00374F36"/>
    <w:rsid w:val="003754CB"/>
    <w:rsid w:val="00375CDF"/>
    <w:rsid w:val="003765FD"/>
    <w:rsid w:val="003769B4"/>
    <w:rsid w:val="00376C99"/>
    <w:rsid w:val="00376CAB"/>
    <w:rsid w:val="00376E5D"/>
    <w:rsid w:val="0037713F"/>
    <w:rsid w:val="003771AB"/>
    <w:rsid w:val="0037784C"/>
    <w:rsid w:val="00377AD1"/>
    <w:rsid w:val="003802AD"/>
    <w:rsid w:val="00380427"/>
    <w:rsid w:val="003806CD"/>
    <w:rsid w:val="00380AF8"/>
    <w:rsid w:val="00380D66"/>
    <w:rsid w:val="00380DEE"/>
    <w:rsid w:val="00381195"/>
    <w:rsid w:val="0038293A"/>
    <w:rsid w:val="00382942"/>
    <w:rsid w:val="00382C58"/>
    <w:rsid w:val="0038348D"/>
    <w:rsid w:val="00383686"/>
    <w:rsid w:val="003836DB"/>
    <w:rsid w:val="003838A8"/>
    <w:rsid w:val="003838AF"/>
    <w:rsid w:val="003839E5"/>
    <w:rsid w:val="00383BB4"/>
    <w:rsid w:val="00383E0D"/>
    <w:rsid w:val="00383E10"/>
    <w:rsid w:val="00383FE2"/>
    <w:rsid w:val="003841E9"/>
    <w:rsid w:val="0038502D"/>
    <w:rsid w:val="0038513D"/>
    <w:rsid w:val="003851DD"/>
    <w:rsid w:val="00385B5F"/>
    <w:rsid w:val="0038624B"/>
    <w:rsid w:val="00386525"/>
    <w:rsid w:val="00386B8E"/>
    <w:rsid w:val="003873DB"/>
    <w:rsid w:val="00387ACB"/>
    <w:rsid w:val="00387CED"/>
    <w:rsid w:val="00390433"/>
    <w:rsid w:val="0039082E"/>
    <w:rsid w:val="00390FB6"/>
    <w:rsid w:val="003911A7"/>
    <w:rsid w:val="00391285"/>
    <w:rsid w:val="003912AB"/>
    <w:rsid w:val="003913A8"/>
    <w:rsid w:val="00391A1F"/>
    <w:rsid w:val="00391B4D"/>
    <w:rsid w:val="00391D07"/>
    <w:rsid w:val="00391D63"/>
    <w:rsid w:val="00393009"/>
    <w:rsid w:val="003938FF"/>
    <w:rsid w:val="00393922"/>
    <w:rsid w:val="003940B7"/>
    <w:rsid w:val="0039419B"/>
    <w:rsid w:val="0039459C"/>
    <w:rsid w:val="00394E61"/>
    <w:rsid w:val="0039522D"/>
    <w:rsid w:val="0039523F"/>
    <w:rsid w:val="003953AE"/>
    <w:rsid w:val="00395AFF"/>
    <w:rsid w:val="00395BCB"/>
    <w:rsid w:val="00395D54"/>
    <w:rsid w:val="003972C5"/>
    <w:rsid w:val="00397512"/>
    <w:rsid w:val="0039765D"/>
    <w:rsid w:val="00397C4E"/>
    <w:rsid w:val="003A050E"/>
    <w:rsid w:val="003A0FA0"/>
    <w:rsid w:val="003A1059"/>
    <w:rsid w:val="003A1167"/>
    <w:rsid w:val="003A141A"/>
    <w:rsid w:val="003A198E"/>
    <w:rsid w:val="003A19AF"/>
    <w:rsid w:val="003A1FD0"/>
    <w:rsid w:val="003A218D"/>
    <w:rsid w:val="003A21C8"/>
    <w:rsid w:val="003A2D0E"/>
    <w:rsid w:val="003A2DB4"/>
    <w:rsid w:val="003A37FF"/>
    <w:rsid w:val="003A40BA"/>
    <w:rsid w:val="003A4126"/>
    <w:rsid w:val="003A47FD"/>
    <w:rsid w:val="003A49A2"/>
    <w:rsid w:val="003A54ED"/>
    <w:rsid w:val="003A586D"/>
    <w:rsid w:val="003A5936"/>
    <w:rsid w:val="003A5B83"/>
    <w:rsid w:val="003A5EB4"/>
    <w:rsid w:val="003A6066"/>
    <w:rsid w:val="003A624E"/>
    <w:rsid w:val="003A6269"/>
    <w:rsid w:val="003A6352"/>
    <w:rsid w:val="003A686C"/>
    <w:rsid w:val="003A6967"/>
    <w:rsid w:val="003A6A40"/>
    <w:rsid w:val="003A6B84"/>
    <w:rsid w:val="003A6BE0"/>
    <w:rsid w:val="003A6D3C"/>
    <w:rsid w:val="003A6F5D"/>
    <w:rsid w:val="003A6FD4"/>
    <w:rsid w:val="003A7411"/>
    <w:rsid w:val="003A7A9B"/>
    <w:rsid w:val="003A7D61"/>
    <w:rsid w:val="003B043C"/>
    <w:rsid w:val="003B087E"/>
    <w:rsid w:val="003B1053"/>
    <w:rsid w:val="003B10C1"/>
    <w:rsid w:val="003B115A"/>
    <w:rsid w:val="003B15BE"/>
    <w:rsid w:val="003B1672"/>
    <w:rsid w:val="003B16DB"/>
    <w:rsid w:val="003B2601"/>
    <w:rsid w:val="003B300F"/>
    <w:rsid w:val="003B3317"/>
    <w:rsid w:val="003B3523"/>
    <w:rsid w:val="003B3D19"/>
    <w:rsid w:val="003B4B7C"/>
    <w:rsid w:val="003B4EE5"/>
    <w:rsid w:val="003B51F1"/>
    <w:rsid w:val="003B52BB"/>
    <w:rsid w:val="003B545C"/>
    <w:rsid w:val="003B603E"/>
    <w:rsid w:val="003B6324"/>
    <w:rsid w:val="003B68D9"/>
    <w:rsid w:val="003B6BD0"/>
    <w:rsid w:val="003B6BD1"/>
    <w:rsid w:val="003B6DD7"/>
    <w:rsid w:val="003B7244"/>
    <w:rsid w:val="003B7507"/>
    <w:rsid w:val="003B75CF"/>
    <w:rsid w:val="003B769B"/>
    <w:rsid w:val="003B7CCF"/>
    <w:rsid w:val="003B7EAF"/>
    <w:rsid w:val="003C0230"/>
    <w:rsid w:val="003C0730"/>
    <w:rsid w:val="003C0B7C"/>
    <w:rsid w:val="003C0D84"/>
    <w:rsid w:val="003C1030"/>
    <w:rsid w:val="003C10AA"/>
    <w:rsid w:val="003C15F0"/>
    <w:rsid w:val="003C1A90"/>
    <w:rsid w:val="003C1C7D"/>
    <w:rsid w:val="003C207E"/>
    <w:rsid w:val="003C28E6"/>
    <w:rsid w:val="003C29FF"/>
    <w:rsid w:val="003C2A1C"/>
    <w:rsid w:val="003C2B14"/>
    <w:rsid w:val="003C2B23"/>
    <w:rsid w:val="003C2CA8"/>
    <w:rsid w:val="003C2DC2"/>
    <w:rsid w:val="003C301D"/>
    <w:rsid w:val="003C314C"/>
    <w:rsid w:val="003C348B"/>
    <w:rsid w:val="003C3659"/>
    <w:rsid w:val="003C3F39"/>
    <w:rsid w:val="003C487E"/>
    <w:rsid w:val="003C4D56"/>
    <w:rsid w:val="003C525C"/>
    <w:rsid w:val="003C5764"/>
    <w:rsid w:val="003C6315"/>
    <w:rsid w:val="003C6964"/>
    <w:rsid w:val="003C737E"/>
    <w:rsid w:val="003C7459"/>
    <w:rsid w:val="003C7593"/>
    <w:rsid w:val="003C7702"/>
    <w:rsid w:val="003C7EC6"/>
    <w:rsid w:val="003C7FC4"/>
    <w:rsid w:val="003D0270"/>
    <w:rsid w:val="003D0DAE"/>
    <w:rsid w:val="003D1F7D"/>
    <w:rsid w:val="003D2406"/>
    <w:rsid w:val="003D26BC"/>
    <w:rsid w:val="003D28D9"/>
    <w:rsid w:val="003D2954"/>
    <w:rsid w:val="003D2C75"/>
    <w:rsid w:val="003D3099"/>
    <w:rsid w:val="003D34F0"/>
    <w:rsid w:val="003D372A"/>
    <w:rsid w:val="003D3C68"/>
    <w:rsid w:val="003D40C4"/>
    <w:rsid w:val="003D42AD"/>
    <w:rsid w:val="003D436E"/>
    <w:rsid w:val="003D48D1"/>
    <w:rsid w:val="003D500D"/>
    <w:rsid w:val="003D518D"/>
    <w:rsid w:val="003D5590"/>
    <w:rsid w:val="003D575B"/>
    <w:rsid w:val="003D5C46"/>
    <w:rsid w:val="003D5DBB"/>
    <w:rsid w:val="003D600B"/>
    <w:rsid w:val="003D66FF"/>
    <w:rsid w:val="003D7007"/>
    <w:rsid w:val="003D735E"/>
    <w:rsid w:val="003D73C2"/>
    <w:rsid w:val="003D75F3"/>
    <w:rsid w:val="003D7C11"/>
    <w:rsid w:val="003E074D"/>
    <w:rsid w:val="003E08DE"/>
    <w:rsid w:val="003E0AD3"/>
    <w:rsid w:val="003E0F45"/>
    <w:rsid w:val="003E134B"/>
    <w:rsid w:val="003E2116"/>
    <w:rsid w:val="003E21FD"/>
    <w:rsid w:val="003E2B23"/>
    <w:rsid w:val="003E3785"/>
    <w:rsid w:val="003E3CE1"/>
    <w:rsid w:val="003E3D0C"/>
    <w:rsid w:val="003E43C0"/>
    <w:rsid w:val="003E4A2B"/>
    <w:rsid w:val="003E4FBE"/>
    <w:rsid w:val="003E5230"/>
    <w:rsid w:val="003E595E"/>
    <w:rsid w:val="003E5965"/>
    <w:rsid w:val="003E5C19"/>
    <w:rsid w:val="003E5FA1"/>
    <w:rsid w:val="003E61B0"/>
    <w:rsid w:val="003E659C"/>
    <w:rsid w:val="003E6779"/>
    <w:rsid w:val="003E7086"/>
    <w:rsid w:val="003E74CC"/>
    <w:rsid w:val="003E74E3"/>
    <w:rsid w:val="003E7626"/>
    <w:rsid w:val="003E777B"/>
    <w:rsid w:val="003E7988"/>
    <w:rsid w:val="003E7A40"/>
    <w:rsid w:val="003E7EF1"/>
    <w:rsid w:val="003F0379"/>
    <w:rsid w:val="003F03C3"/>
    <w:rsid w:val="003F0A4F"/>
    <w:rsid w:val="003F1196"/>
    <w:rsid w:val="003F15FB"/>
    <w:rsid w:val="003F1809"/>
    <w:rsid w:val="003F1966"/>
    <w:rsid w:val="003F1A0E"/>
    <w:rsid w:val="003F1B2D"/>
    <w:rsid w:val="003F2033"/>
    <w:rsid w:val="003F2536"/>
    <w:rsid w:val="003F265C"/>
    <w:rsid w:val="003F28E8"/>
    <w:rsid w:val="003F2CCF"/>
    <w:rsid w:val="003F2DE2"/>
    <w:rsid w:val="003F3280"/>
    <w:rsid w:val="003F3554"/>
    <w:rsid w:val="003F364A"/>
    <w:rsid w:val="003F3F5E"/>
    <w:rsid w:val="003F3FAA"/>
    <w:rsid w:val="003F4433"/>
    <w:rsid w:val="003F4649"/>
    <w:rsid w:val="003F4A15"/>
    <w:rsid w:val="003F519D"/>
    <w:rsid w:val="003F6067"/>
    <w:rsid w:val="003F6532"/>
    <w:rsid w:val="003F65F0"/>
    <w:rsid w:val="003F67A7"/>
    <w:rsid w:val="003F6F92"/>
    <w:rsid w:val="003F728C"/>
    <w:rsid w:val="003F7CFC"/>
    <w:rsid w:val="003F7E4E"/>
    <w:rsid w:val="003F7EA1"/>
    <w:rsid w:val="0040084C"/>
    <w:rsid w:val="004012C5"/>
    <w:rsid w:val="00401A62"/>
    <w:rsid w:val="00401B0E"/>
    <w:rsid w:val="00402BF2"/>
    <w:rsid w:val="00402E44"/>
    <w:rsid w:val="00402FF7"/>
    <w:rsid w:val="00403162"/>
    <w:rsid w:val="00403489"/>
    <w:rsid w:val="004036CA"/>
    <w:rsid w:val="00403A79"/>
    <w:rsid w:val="00403EED"/>
    <w:rsid w:val="00403FCE"/>
    <w:rsid w:val="00404535"/>
    <w:rsid w:val="00404575"/>
    <w:rsid w:val="00404E58"/>
    <w:rsid w:val="00405A68"/>
    <w:rsid w:val="00405B88"/>
    <w:rsid w:val="00405BD8"/>
    <w:rsid w:val="0040636D"/>
    <w:rsid w:val="004063BA"/>
    <w:rsid w:val="004067FC"/>
    <w:rsid w:val="00406C11"/>
    <w:rsid w:val="004070D0"/>
    <w:rsid w:val="004070E3"/>
    <w:rsid w:val="004072FF"/>
    <w:rsid w:val="0040790E"/>
    <w:rsid w:val="00407918"/>
    <w:rsid w:val="00410051"/>
    <w:rsid w:val="0041030E"/>
    <w:rsid w:val="00410310"/>
    <w:rsid w:val="00410454"/>
    <w:rsid w:val="0041049D"/>
    <w:rsid w:val="004105BA"/>
    <w:rsid w:val="00410B60"/>
    <w:rsid w:val="00410E52"/>
    <w:rsid w:val="00411126"/>
    <w:rsid w:val="0041162A"/>
    <w:rsid w:val="00411EA9"/>
    <w:rsid w:val="0041204C"/>
    <w:rsid w:val="004123D8"/>
    <w:rsid w:val="004124A4"/>
    <w:rsid w:val="00412998"/>
    <w:rsid w:val="004129DE"/>
    <w:rsid w:val="00412E14"/>
    <w:rsid w:val="00413516"/>
    <w:rsid w:val="004135A7"/>
    <w:rsid w:val="0041379D"/>
    <w:rsid w:val="00413826"/>
    <w:rsid w:val="00413A14"/>
    <w:rsid w:val="00413D4D"/>
    <w:rsid w:val="00413E70"/>
    <w:rsid w:val="00413E96"/>
    <w:rsid w:val="00413F6F"/>
    <w:rsid w:val="004143A0"/>
    <w:rsid w:val="004145E7"/>
    <w:rsid w:val="00414701"/>
    <w:rsid w:val="00414A46"/>
    <w:rsid w:val="00414BA8"/>
    <w:rsid w:val="00414D11"/>
    <w:rsid w:val="0041518D"/>
    <w:rsid w:val="004154D3"/>
    <w:rsid w:val="004154E2"/>
    <w:rsid w:val="0041591E"/>
    <w:rsid w:val="00415C6A"/>
    <w:rsid w:val="00415F8E"/>
    <w:rsid w:val="00416453"/>
    <w:rsid w:val="00416CF4"/>
    <w:rsid w:val="00417320"/>
    <w:rsid w:val="00417450"/>
    <w:rsid w:val="004205DF"/>
    <w:rsid w:val="00420B40"/>
    <w:rsid w:val="00421428"/>
    <w:rsid w:val="0042185C"/>
    <w:rsid w:val="00421945"/>
    <w:rsid w:val="0042203E"/>
    <w:rsid w:val="004220F7"/>
    <w:rsid w:val="004222A8"/>
    <w:rsid w:val="0042230A"/>
    <w:rsid w:val="00422821"/>
    <w:rsid w:val="00422A68"/>
    <w:rsid w:val="00422B28"/>
    <w:rsid w:val="00422E0D"/>
    <w:rsid w:val="00423A8E"/>
    <w:rsid w:val="00423CC8"/>
    <w:rsid w:val="00423E7A"/>
    <w:rsid w:val="00424269"/>
    <w:rsid w:val="00424576"/>
    <w:rsid w:val="00425AF5"/>
    <w:rsid w:val="00425B87"/>
    <w:rsid w:val="0042616B"/>
    <w:rsid w:val="00426388"/>
    <w:rsid w:val="0042639E"/>
    <w:rsid w:val="004267C5"/>
    <w:rsid w:val="00426907"/>
    <w:rsid w:val="00426C1D"/>
    <w:rsid w:val="0042764E"/>
    <w:rsid w:val="004278B4"/>
    <w:rsid w:val="00427B57"/>
    <w:rsid w:val="00427C62"/>
    <w:rsid w:val="004302DF"/>
    <w:rsid w:val="004309CE"/>
    <w:rsid w:val="004313F4"/>
    <w:rsid w:val="004318C4"/>
    <w:rsid w:val="00431D70"/>
    <w:rsid w:val="00431EEA"/>
    <w:rsid w:val="004326AC"/>
    <w:rsid w:val="00432770"/>
    <w:rsid w:val="00432BB3"/>
    <w:rsid w:val="00432D2B"/>
    <w:rsid w:val="00432F8B"/>
    <w:rsid w:val="004331B2"/>
    <w:rsid w:val="00433298"/>
    <w:rsid w:val="00433440"/>
    <w:rsid w:val="00433465"/>
    <w:rsid w:val="00433836"/>
    <w:rsid w:val="004339C0"/>
    <w:rsid w:val="00433C4F"/>
    <w:rsid w:val="00433D91"/>
    <w:rsid w:val="0043439B"/>
    <w:rsid w:val="004345AC"/>
    <w:rsid w:val="0043466A"/>
    <w:rsid w:val="0043494D"/>
    <w:rsid w:val="0043622C"/>
    <w:rsid w:val="004365A7"/>
    <w:rsid w:val="0043694E"/>
    <w:rsid w:val="00436CA5"/>
    <w:rsid w:val="0043786A"/>
    <w:rsid w:val="00437C0E"/>
    <w:rsid w:val="00440C27"/>
    <w:rsid w:val="00441238"/>
    <w:rsid w:val="0044157B"/>
    <w:rsid w:val="00441E1C"/>
    <w:rsid w:val="004428C6"/>
    <w:rsid w:val="00442C6E"/>
    <w:rsid w:val="00442E91"/>
    <w:rsid w:val="0044301C"/>
    <w:rsid w:val="004430E1"/>
    <w:rsid w:val="004431A1"/>
    <w:rsid w:val="0044330F"/>
    <w:rsid w:val="0044356A"/>
    <w:rsid w:val="004436BF"/>
    <w:rsid w:val="00444050"/>
    <w:rsid w:val="00444B1F"/>
    <w:rsid w:val="00444BE0"/>
    <w:rsid w:val="00444C60"/>
    <w:rsid w:val="004451ED"/>
    <w:rsid w:val="0044535C"/>
    <w:rsid w:val="0044550F"/>
    <w:rsid w:val="004455B7"/>
    <w:rsid w:val="004457F7"/>
    <w:rsid w:val="0044647E"/>
    <w:rsid w:val="004464CF"/>
    <w:rsid w:val="00446719"/>
    <w:rsid w:val="00446C31"/>
    <w:rsid w:val="00446D25"/>
    <w:rsid w:val="00446DC9"/>
    <w:rsid w:val="0045036A"/>
    <w:rsid w:val="0045051C"/>
    <w:rsid w:val="004506A1"/>
    <w:rsid w:val="0045129D"/>
    <w:rsid w:val="004512CF"/>
    <w:rsid w:val="00451427"/>
    <w:rsid w:val="004515B8"/>
    <w:rsid w:val="0045194F"/>
    <w:rsid w:val="00451A44"/>
    <w:rsid w:val="004522F7"/>
    <w:rsid w:val="00452524"/>
    <w:rsid w:val="004528AA"/>
    <w:rsid w:val="004529D0"/>
    <w:rsid w:val="00452B5B"/>
    <w:rsid w:val="00452C64"/>
    <w:rsid w:val="00452D19"/>
    <w:rsid w:val="00453125"/>
    <w:rsid w:val="00453D4E"/>
    <w:rsid w:val="00454147"/>
    <w:rsid w:val="0045421F"/>
    <w:rsid w:val="00454BE2"/>
    <w:rsid w:val="00454E2D"/>
    <w:rsid w:val="004551CC"/>
    <w:rsid w:val="00455596"/>
    <w:rsid w:val="0045589B"/>
    <w:rsid w:val="00456222"/>
    <w:rsid w:val="0045626A"/>
    <w:rsid w:val="00456FF3"/>
    <w:rsid w:val="00457028"/>
    <w:rsid w:val="00457140"/>
    <w:rsid w:val="004573CA"/>
    <w:rsid w:val="004600D1"/>
    <w:rsid w:val="00460217"/>
    <w:rsid w:val="00460643"/>
    <w:rsid w:val="00460D20"/>
    <w:rsid w:val="00460D62"/>
    <w:rsid w:val="00460F53"/>
    <w:rsid w:val="00461081"/>
    <w:rsid w:val="00461AE3"/>
    <w:rsid w:val="00461CBF"/>
    <w:rsid w:val="00461F5C"/>
    <w:rsid w:val="00462228"/>
    <w:rsid w:val="00462577"/>
    <w:rsid w:val="00462D0D"/>
    <w:rsid w:val="00462F65"/>
    <w:rsid w:val="0046319B"/>
    <w:rsid w:val="00463647"/>
    <w:rsid w:val="00463BBF"/>
    <w:rsid w:val="00463CFB"/>
    <w:rsid w:val="00463DE7"/>
    <w:rsid w:val="00464925"/>
    <w:rsid w:val="00464BAB"/>
    <w:rsid w:val="0046503F"/>
    <w:rsid w:val="00465258"/>
    <w:rsid w:val="00465390"/>
    <w:rsid w:val="004655A2"/>
    <w:rsid w:val="00466079"/>
    <w:rsid w:val="004666E4"/>
    <w:rsid w:val="00466D44"/>
    <w:rsid w:val="00466DF0"/>
    <w:rsid w:val="004671F6"/>
    <w:rsid w:val="004677A6"/>
    <w:rsid w:val="00467BBA"/>
    <w:rsid w:val="004700CD"/>
    <w:rsid w:val="00470C9A"/>
    <w:rsid w:val="00471B38"/>
    <w:rsid w:val="00471E26"/>
    <w:rsid w:val="0047203C"/>
    <w:rsid w:val="00472080"/>
    <w:rsid w:val="004723D9"/>
    <w:rsid w:val="004726A4"/>
    <w:rsid w:val="004728D3"/>
    <w:rsid w:val="004742BE"/>
    <w:rsid w:val="00474BEB"/>
    <w:rsid w:val="00474F81"/>
    <w:rsid w:val="00475060"/>
    <w:rsid w:val="004752EA"/>
    <w:rsid w:val="004753A2"/>
    <w:rsid w:val="004753FC"/>
    <w:rsid w:val="00475E87"/>
    <w:rsid w:val="00476039"/>
    <w:rsid w:val="004764F9"/>
    <w:rsid w:val="00476A80"/>
    <w:rsid w:val="00476BCB"/>
    <w:rsid w:val="00476D39"/>
    <w:rsid w:val="00476ECD"/>
    <w:rsid w:val="00477AFD"/>
    <w:rsid w:val="00477CA3"/>
    <w:rsid w:val="00480F5F"/>
    <w:rsid w:val="0048109E"/>
    <w:rsid w:val="0048185E"/>
    <w:rsid w:val="00482469"/>
    <w:rsid w:val="004829ED"/>
    <w:rsid w:val="004834C6"/>
    <w:rsid w:val="00483C88"/>
    <w:rsid w:val="00483FC9"/>
    <w:rsid w:val="00484622"/>
    <w:rsid w:val="00484A36"/>
    <w:rsid w:val="00484A90"/>
    <w:rsid w:val="00484B7E"/>
    <w:rsid w:val="00484D9B"/>
    <w:rsid w:val="00485633"/>
    <w:rsid w:val="00485A71"/>
    <w:rsid w:val="00485EDA"/>
    <w:rsid w:val="00485F83"/>
    <w:rsid w:val="00485FEC"/>
    <w:rsid w:val="00486944"/>
    <w:rsid w:val="00486A9D"/>
    <w:rsid w:val="0048752E"/>
    <w:rsid w:val="0048768C"/>
    <w:rsid w:val="00487D64"/>
    <w:rsid w:val="00487E7F"/>
    <w:rsid w:val="00487EBC"/>
    <w:rsid w:val="00490008"/>
    <w:rsid w:val="004900FF"/>
    <w:rsid w:val="00490133"/>
    <w:rsid w:val="004901A1"/>
    <w:rsid w:val="004904E5"/>
    <w:rsid w:val="00490508"/>
    <w:rsid w:val="004905F4"/>
    <w:rsid w:val="00491136"/>
    <w:rsid w:val="0049155F"/>
    <w:rsid w:val="0049166C"/>
    <w:rsid w:val="004924B9"/>
    <w:rsid w:val="00492586"/>
    <w:rsid w:val="0049297A"/>
    <w:rsid w:val="00493CA6"/>
    <w:rsid w:val="0049498C"/>
    <w:rsid w:val="00494F04"/>
    <w:rsid w:val="00495224"/>
    <w:rsid w:val="004953CB"/>
    <w:rsid w:val="004956ED"/>
    <w:rsid w:val="00495845"/>
    <w:rsid w:val="00495FB3"/>
    <w:rsid w:val="0049614C"/>
    <w:rsid w:val="004964F7"/>
    <w:rsid w:val="0049674C"/>
    <w:rsid w:val="00496BF5"/>
    <w:rsid w:val="0049708B"/>
    <w:rsid w:val="00497B7E"/>
    <w:rsid w:val="00497FF8"/>
    <w:rsid w:val="004A00D9"/>
    <w:rsid w:val="004A0F5A"/>
    <w:rsid w:val="004A1029"/>
    <w:rsid w:val="004A16E2"/>
    <w:rsid w:val="004A1C6E"/>
    <w:rsid w:val="004A1F2C"/>
    <w:rsid w:val="004A1FB1"/>
    <w:rsid w:val="004A25F8"/>
    <w:rsid w:val="004A28BE"/>
    <w:rsid w:val="004A3427"/>
    <w:rsid w:val="004A3820"/>
    <w:rsid w:val="004A385C"/>
    <w:rsid w:val="004A3AE1"/>
    <w:rsid w:val="004A3F53"/>
    <w:rsid w:val="004A40BB"/>
    <w:rsid w:val="004A4CBA"/>
    <w:rsid w:val="004A4DF3"/>
    <w:rsid w:val="004A5087"/>
    <w:rsid w:val="004A5438"/>
    <w:rsid w:val="004A58ED"/>
    <w:rsid w:val="004A5945"/>
    <w:rsid w:val="004A641A"/>
    <w:rsid w:val="004A64A4"/>
    <w:rsid w:val="004A6659"/>
    <w:rsid w:val="004A6C80"/>
    <w:rsid w:val="004A730E"/>
    <w:rsid w:val="004A7499"/>
    <w:rsid w:val="004A76B5"/>
    <w:rsid w:val="004A7DB8"/>
    <w:rsid w:val="004A7FF7"/>
    <w:rsid w:val="004B0B0E"/>
    <w:rsid w:val="004B1B71"/>
    <w:rsid w:val="004B1CDE"/>
    <w:rsid w:val="004B2213"/>
    <w:rsid w:val="004B2FBF"/>
    <w:rsid w:val="004B35BF"/>
    <w:rsid w:val="004B35CB"/>
    <w:rsid w:val="004B3B28"/>
    <w:rsid w:val="004B421C"/>
    <w:rsid w:val="004B4432"/>
    <w:rsid w:val="004B4877"/>
    <w:rsid w:val="004B493C"/>
    <w:rsid w:val="004B49F8"/>
    <w:rsid w:val="004B4E9A"/>
    <w:rsid w:val="004B5002"/>
    <w:rsid w:val="004B539A"/>
    <w:rsid w:val="004B6356"/>
    <w:rsid w:val="004B640E"/>
    <w:rsid w:val="004B647D"/>
    <w:rsid w:val="004B692F"/>
    <w:rsid w:val="004B6E29"/>
    <w:rsid w:val="004B788D"/>
    <w:rsid w:val="004B7A17"/>
    <w:rsid w:val="004B7BA9"/>
    <w:rsid w:val="004B7D03"/>
    <w:rsid w:val="004C03A8"/>
    <w:rsid w:val="004C0888"/>
    <w:rsid w:val="004C0A06"/>
    <w:rsid w:val="004C0AF2"/>
    <w:rsid w:val="004C0E12"/>
    <w:rsid w:val="004C0F08"/>
    <w:rsid w:val="004C1179"/>
    <w:rsid w:val="004C1DEA"/>
    <w:rsid w:val="004C2664"/>
    <w:rsid w:val="004C2833"/>
    <w:rsid w:val="004C28FA"/>
    <w:rsid w:val="004C29B2"/>
    <w:rsid w:val="004C2BC9"/>
    <w:rsid w:val="004C2F62"/>
    <w:rsid w:val="004C38D2"/>
    <w:rsid w:val="004C3B1C"/>
    <w:rsid w:val="004C3C41"/>
    <w:rsid w:val="004C3CD0"/>
    <w:rsid w:val="004C3CD4"/>
    <w:rsid w:val="004C3F85"/>
    <w:rsid w:val="004C4465"/>
    <w:rsid w:val="004C460A"/>
    <w:rsid w:val="004C4680"/>
    <w:rsid w:val="004C48A0"/>
    <w:rsid w:val="004C492E"/>
    <w:rsid w:val="004C4ADD"/>
    <w:rsid w:val="004C50E8"/>
    <w:rsid w:val="004C52EE"/>
    <w:rsid w:val="004C586F"/>
    <w:rsid w:val="004C5CD1"/>
    <w:rsid w:val="004C5CE4"/>
    <w:rsid w:val="004C6151"/>
    <w:rsid w:val="004C64E9"/>
    <w:rsid w:val="004C6589"/>
    <w:rsid w:val="004C66C4"/>
    <w:rsid w:val="004C6741"/>
    <w:rsid w:val="004C6D68"/>
    <w:rsid w:val="004C6FE3"/>
    <w:rsid w:val="004C7488"/>
    <w:rsid w:val="004C749B"/>
    <w:rsid w:val="004C7DB8"/>
    <w:rsid w:val="004D02AA"/>
    <w:rsid w:val="004D08EC"/>
    <w:rsid w:val="004D16A9"/>
    <w:rsid w:val="004D1D52"/>
    <w:rsid w:val="004D2090"/>
    <w:rsid w:val="004D2D09"/>
    <w:rsid w:val="004D31BD"/>
    <w:rsid w:val="004D3353"/>
    <w:rsid w:val="004D3447"/>
    <w:rsid w:val="004D3C15"/>
    <w:rsid w:val="004D3CD6"/>
    <w:rsid w:val="004D3E81"/>
    <w:rsid w:val="004D3F8D"/>
    <w:rsid w:val="004D41CD"/>
    <w:rsid w:val="004D4649"/>
    <w:rsid w:val="004D50F1"/>
    <w:rsid w:val="004D597E"/>
    <w:rsid w:val="004D6050"/>
    <w:rsid w:val="004D66DE"/>
    <w:rsid w:val="004D687D"/>
    <w:rsid w:val="004D6B9C"/>
    <w:rsid w:val="004D6CF4"/>
    <w:rsid w:val="004D7136"/>
    <w:rsid w:val="004E0170"/>
    <w:rsid w:val="004E0A93"/>
    <w:rsid w:val="004E0AEF"/>
    <w:rsid w:val="004E0C8E"/>
    <w:rsid w:val="004E0D79"/>
    <w:rsid w:val="004E0E0B"/>
    <w:rsid w:val="004E0EC8"/>
    <w:rsid w:val="004E1227"/>
    <w:rsid w:val="004E20BB"/>
    <w:rsid w:val="004E2550"/>
    <w:rsid w:val="004E2E2C"/>
    <w:rsid w:val="004E31B7"/>
    <w:rsid w:val="004E32F7"/>
    <w:rsid w:val="004E3A7A"/>
    <w:rsid w:val="004E3AFE"/>
    <w:rsid w:val="004E4BE5"/>
    <w:rsid w:val="004E4F3D"/>
    <w:rsid w:val="004E4F77"/>
    <w:rsid w:val="004E50F3"/>
    <w:rsid w:val="004E5140"/>
    <w:rsid w:val="004E5860"/>
    <w:rsid w:val="004E5A66"/>
    <w:rsid w:val="004E5C27"/>
    <w:rsid w:val="004E5C28"/>
    <w:rsid w:val="004E62F4"/>
    <w:rsid w:val="004E66BF"/>
    <w:rsid w:val="004E6B6B"/>
    <w:rsid w:val="004E6C8E"/>
    <w:rsid w:val="004E6DCE"/>
    <w:rsid w:val="004E6EB2"/>
    <w:rsid w:val="004E6F9C"/>
    <w:rsid w:val="004E73E4"/>
    <w:rsid w:val="004E7711"/>
    <w:rsid w:val="004F0153"/>
    <w:rsid w:val="004F0545"/>
    <w:rsid w:val="004F0683"/>
    <w:rsid w:val="004F099E"/>
    <w:rsid w:val="004F0D75"/>
    <w:rsid w:val="004F0ECA"/>
    <w:rsid w:val="004F15A6"/>
    <w:rsid w:val="004F1872"/>
    <w:rsid w:val="004F1B93"/>
    <w:rsid w:val="004F2219"/>
    <w:rsid w:val="004F2443"/>
    <w:rsid w:val="004F26E3"/>
    <w:rsid w:val="004F32B2"/>
    <w:rsid w:val="004F351A"/>
    <w:rsid w:val="004F3677"/>
    <w:rsid w:val="004F3A22"/>
    <w:rsid w:val="004F3CBD"/>
    <w:rsid w:val="004F3D8B"/>
    <w:rsid w:val="004F4332"/>
    <w:rsid w:val="004F46D3"/>
    <w:rsid w:val="004F506D"/>
    <w:rsid w:val="004F5469"/>
    <w:rsid w:val="004F596E"/>
    <w:rsid w:val="004F59BE"/>
    <w:rsid w:val="004F63F8"/>
    <w:rsid w:val="004F678C"/>
    <w:rsid w:val="004F69A3"/>
    <w:rsid w:val="004F7205"/>
    <w:rsid w:val="004F724C"/>
    <w:rsid w:val="004F7B42"/>
    <w:rsid w:val="004F7CC5"/>
    <w:rsid w:val="0050036B"/>
    <w:rsid w:val="00500618"/>
    <w:rsid w:val="00500794"/>
    <w:rsid w:val="005010D8"/>
    <w:rsid w:val="0050139A"/>
    <w:rsid w:val="005017F1"/>
    <w:rsid w:val="00501B63"/>
    <w:rsid w:val="00501D8B"/>
    <w:rsid w:val="005020D0"/>
    <w:rsid w:val="00502282"/>
    <w:rsid w:val="005029F8"/>
    <w:rsid w:val="00502BF4"/>
    <w:rsid w:val="005036DA"/>
    <w:rsid w:val="00503A48"/>
    <w:rsid w:val="00503D75"/>
    <w:rsid w:val="00503E0F"/>
    <w:rsid w:val="005045C8"/>
    <w:rsid w:val="005048A3"/>
    <w:rsid w:val="00505E4E"/>
    <w:rsid w:val="00506145"/>
    <w:rsid w:val="005067DE"/>
    <w:rsid w:val="00506807"/>
    <w:rsid w:val="00506C7F"/>
    <w:rsid w:val="00506D7B"/>
    <w:rsid w:val="005079BB"/>
    <w:rsid w:val="00507F2D"/>
    <w:rsid w:val="00510259"/>
    <w:rsid w:val="00510552"/>
    <w:rsid w:val="00510704"/>
    <w:rsid w:val="005108B9"/>
    <w:rsid w:val="0051092E"/>
    <w:rsid w:val="00510A2C"/>
    <w:rsid w:val="00510C1F"/>
    <w:rsid w:val="00510C36"/>
    <w:rsid w:val="005113E7"/>
    <w:rsid w:val="00511F25"/>
    <w:rsid w:val="005123F9"/>
    <w:rsid w:val="00512490"/>
    <w:rsid w:val="00513317"/>
    <w:rsid w:val="00513B84"/>
    <w:rsid w:val="00513C2B"/>
    <w:rsid w:val="005141BF"/>
    <w:rsid w:val="0051421A"/>
    <w:rsid w:val="00514643"/>
    <w:rsid w:val="005148AB"/>
    <w:rsid w:val="00514F9A"/>
    <w:rsid w:val="0051542B"/>
    <w:rsid w:val="00515431"/>
    <w:rsid w:val="00515768"/>
    <w:rsid w:val="00515E03"/>
    <w:rsid w:val="00515E4F"/>
    <w:rsid w:val="00516445"/>
    <w:rsid w:val="005164C8"/>
    <w:rsid w:val="00516B45"/>
    <w:rsid w:val="00516F8B"/>
    <w:rsid w:val="005174D3"/>
    <w:rsid w:val="00517A75"/>
    <w:rsid w:val="005203DD"/>
    <w:rsid w:val="0052159E"/>
    <w:rsid w:val="005217EB"/>
    <w:rsid w:val="005218D5"/>
    <w:rsid w:val="00521965"/>
    <w:rsid w:val="005220F5"/>
    <w:rsid w:val="00522239"/>
    <w:rsid w:val="00522242"/>
    <w:rsid w:val="005225BD"/>
    <w:rsid w:val="00523008"/>
    <w:rsid w:val="005230B7"/>
    <w:rsid w:val="005235F1"/>
    <w:rsid w:val="00523841"/>
    <w:rsid w:val="00523A45"/>
    <w:rsid w:val="00524237"/>
    <w:rsid w:val="00524506"/>
    <w:rsid w:val="00524830"/>
    <w:rsid w:val="00524861"/>
    <w:rsid w:val="00525060"/>
    <w:rsid w:val="005252D8"/>
    <w:rsid w:val="0052533F"/>
    <w:rsid w:val="0052540B"/>
    <w:rsid w:val="0052576A"/>
    <w:rsid w:val="00525AF8"/>
    <w:rsid w:val="00526121"/>
    <w:rsid w:val="005261F7"/>
    <w:rsid w:val="00526530"/>
    <w:rsid w:val="00526B5A"/>
    <w:rsid w:val="005301A7"/>
    <w:rsid w:val="005301DE"/>
    <w:rsid w:val="005303AC"/>
    <w:rsid w:val="00530694"/>
    <w:rsid w:val="00531354"/>
    <w:rsid w:val="0053190A"/>
    <w:rsid w:val="00531C7F"/>
    <w:rsid w:val="00531D22"/>
    <w:rsid w:val="00531ED2"/>
    <w:rsid w:val="00532141"/>
    <w:rsid w:val="00532ECD"/>
    <w:rsid w:val="00532EF3"/>
    <w:rsid w:val="00532F3E"/>
    <w:rsid w:val="00533104"/>
    <w:rsid w:val="00533428"/>
    <w:rsid w:val="005336DE"/>
    <w:rsid w:val="005337EC"/>
    <w:rsid w:val="00533923"/>
    <w:rsid w:val="00533BD0"/>
    <w:rsid w:val="0053410A"/>
    <w:rsid w:val="005341E9"/>
    <w:rsid w:val="0053427B"/>
    <w:rsid w:val="005342AA"/>
    <w:rsid w:val="00534E0E"/>
    <w:rsid w:val="00535492"/>
    <w:rsid w:val="00535AC5"/>
    <w:rsid w:val="00535D49"/>
    <w:rsid w:val="0053621F"/>
    <w:rsid w:val="00536828"/>
    <w:rsid w:val="00536AAE"/>
    <w:rsid w:val="00536E2A"/>
    <w:rsid w:val="00536E6F"/>
    <w:rsid w:val="00537001"/>
    <w:rsid w:val="0053767B"/>
    <w:rsid w:val="00537712"/>
    <w:rsid w:val="005378E2"/>
    <w:rsid w:val="005379A6"/>
    <w:rsid w:val="00537EE7"/>
    <w:rsid w:val="00540083"/>
    <w:rsid w:val="00540300"/>
    <w:rsid w:val="005404D8"/>
    <w:rsid w:val="00540C5C"/>
    <w:rsid w:val="0054217B"/>
    <w:rsid w:val="00542212"/>
    <w:rsid w:val="00542DAF"/>
    <w:rsid w:val="005430DF"/>
    <w:rsid w:val="00543126"/>
    <w:rsid w:val="00543A1F"/>
    <w:rsid w:val="00543BBA"/>
    <w:rsid w:val="00543EEF"/>
    <w:rsid w:val="00544541"/>
    <w:rsid w:val="00544C83"/>
    <w:rsid w:val="005452AF"/>
    <w:rsid w:val="00545329"/>
    <w:rsid w:val="00545725"/>
    <w:rsid w:val="00545771"/>
    <w:rsid w:val="00545936"/>
    <w:rsid w:val="00545ADD"/>
    <w:rsid w:val="00545EBD"/>
    <w:rsid w:val="00545FA1"/>
    <w:rsid w:val="0054614F"/>
    <w:rsid w:val="0054644B"/>
    <w:rsid w:val="00546B04"/>
    <w:rsid w:val="00546B0D"/>
    <w:rsid w:val="00547035"/>
    <w:rsid w:val="0054782A"/>
    <w:rsid w:val="00547CB7"/>
    <w:rsid w:val="0055045D"/>
    <w:rsid w:val="00550651"/>
    <w:rsid w:val="00550B85"/>
    <w:rsid w:val="005513DA"/>
    <w:rsid w:val="0055154F"/>
    <w:rsid w:val="005518EE"/>
    <w:rsid w:val="00552027"/>
    <w:rsid w:val="00552675"/>
    <w:rsid w:val="0055283A"/>
    <w:rsid w:val="0055286C"/>
    <w:rsid w:val="00552ACC"/>
    <w:rsid w:val="00552EDB"/>
    <w:rsid w:val="005530E8"/>
    <w:rsid w:val="005533DB"/>
    <w:rsid w:val="00553443"/>
    <w:rsid w:val="0055369B"/>
    <w:rsid w:val="0055379B"/>
    <w:rsid w:val="00553A18"/>
    <w:rsid w:val="00553AE8"/>
    <w:rsid w:val="00554216"/>
    <w:rsid w:val="0055445F"/>
    <w:rsid w:val="00554B65"/>
    <w:rsid w:val="00554E15"/>
    <w:rsid w:val="00554EBA"/>
    <w:rsid w:val="005550BC"/>
    <w:rsid w:val="00555E17"/>
    <w:rsid w:val="00556177"/>
    <w:rsid w:val="00556B91"/>
    <w:rsid w:val="00557223"/>
    <w:rsid w:val="005572A8"/>
    <w:rsid w:val="005573F6"/>
    <w:rsid w:val="005574EC"/>
    <w:rsid w:val="0055757D"/>
    <w:rsid w:val="005577B0"/>
    <w:rsid w:val="00557A70"/>
    <w:rsid w:val="00557CD1"/>
    <w:rsid w:val="00557E02"/>
    <w:rsid w:val="00560B72"/>
    <w:rsid w:val="00560F49"/>
    <w:rsid w:val="00562317"/>
    <w:rsid w:val="00562467"/>
    <w:rsid w:val="005625AA"/>
    <w:rsid w:val="00562BF2"/>
    <w:rsid w:val="00562FC3"/>
    <w:rsid w:val="00563609"/>
    <w:rsid w:val="00565546"/>
    <w:rsid w:val="00565848"/>
    <w:rsid w:val="00565FCB"/>
    <w:rsid w:val="00566650"/>
    <w:rsid w:val="00566A7F"/>
    <w:rsid w:val="00566A9E"/>
    <w:rsid w:val="0056740C"/>
    <w:rsid w:val="00567A29"/>
    <w:rsid w:val="00567F6B"/>
    <w:rsid w:val="005705F8"/>
    <w:rsid w:val="00570615"/>
    <w:rsid w:val="005706E3"/>
    <w:rsid w:val="00570DEB"/>
    <w:rsid w:val="00570F9E"/>
    <w:rsid w:val="00571130"/>
    <w:rsid w:val="00571541"/>
    <w:rsid w:val="00571B90"/>
    <w:rsid w:val="00571B94"/>
    <w:rsid w:val="0057201F"/>
    <w:rsid w:val="00572241"/>
    <w:rsid w:val="0057240B"/>
    <w:rsid w:val="00572B1E"/>
    <w:rsid w:val="00572E8C"/>
    <w:rsid w:val="00572F91"/>
    <w:rsid w:val="00573327"/>
    <w:rsid w:val="005737AF"/>
    <w:rsid w:val="00573F3B"/>
    <w:rsid w:val="005740D8"/>
    <w:rsid w:val="00574A5D"/>
    <w:rsid w:val="00574DDC"/>
    <w:rsid w:val="00576A1B"/>
    <w:rsid w:val="00577034"/>
    <w:rsid w:val="0057704D"/>
    <w:rsid w:val="005770EA"/>
    <w:rsid w:val="005772B6"/>
    <w:rsid w:val="005775CC"/>
    <w:rsid w:val="00577D5C"/>
    <w:rsid w:val="0058007F"/>
    <w:rsid w:val="00580377"/>
    <w:rsid w:val="0058055E"/>
    <w:rsid w:val="00580958"/>
    <w:rsid w:val="00580CD2"/>
    <w:rsid w:val="00580FB6"/>
    <w:rsid w:val="00581EE0"/>
    <w:rsid w:val="00582012"/>
    <w:rsid w:val="005820D1"/>
    <w:rsid w:val="00582148"/>
    <w:rsid w:val="005825EA"/>
    <w:rsid w:val="00583289"/>
    <w:rsid w:val="0058363E"/>
    <w:rsid w:val="00583A3F"/>
    <w:rsid w:val="00584AD7"/>
    <w:rsid w:val="00584DDE"/>
    <w:rsid w:val="00585102"/>
    <w:rsid w:val="00585CAC"/>
    <w:rsid w:val="0058632A"/>
    <w:rsid w:val="0058644E"/>
    <w:rsid w:val="005868EE"/>
    <w:rsid w:val="005868FC"/>
    <w:rsid w:val="00586A72"/>
    <w:rsid w:val="00586AA7"/>
    <w:rsid w:val="0058727C"/>
    <w:rsid w:val="005876DB"/>
    <w:rsid w:val="00587754"/>
    <w:rsid w:val="005877DF"/>
    <w:rsid w:val="005879E2"/>
    <w:rsid w:val="00587BF1"/>
    <w:rsid w:val="00590166"/>
    <w:rsid w:val="00590420"/>
    <w:rsid w:val="00590C77"/>
    <w:rsid w:val="00590DF9"/>
    <w:rsid w:val="00590E8C"/>
    <w:rsid w:val="005919A7"/>
    <w:rsid w:val="00591B1B"/>
    <w:rsid w:val="00591BB8"/>
    <w:rsid w:val="00591C61"/>
    <w:rsid w:val="00591E8B"/>
    <w:rsid w:val="00591FD7"/>
    <w:rsid w:val="00591FDA"/>
    <w:rsid w:val="00592003"/>
    <w:rsid w:val="00592744"/>
    <w:rsid w:val="00592BA4"/>
    <w:rsid w:val="00593657"/>
    <w:rsid w:val="005937A1"/>
    <w:rsid w:val="0059394F"/>
    <w:rsid w:val="00593C4F"/>
    <w:rsid w:val="00593EAF"/>
    <w:rsid w:val="00594535"/>
    <w:rsid w:val="00594861"/>
    <w:rsid w:val="005955B7"/>
    <w:rsid w:val="005960B1"/>
    <w:rsid w:val="00596312"/>
    <w:rsid w:val="0059656C"/>
    <w:rsid w:val="00596F7B"/>
    <w:rsid w:val="005975C3"/>
    <w:rsid w:val="00597952"/>
    <w:rsid w:val="00597CD1"/>
    <w:rsid w:val="00597F69"/>
    <w:rsid w:val="005A0B27"/>
    <w:rsid w:val="005A0D4D"/>
    <w:rsid w:val="005A10EE"/>
    <w:rsid w:val="005A16AD"/>
    <w:rsid w:val="005A1848"/>
    <w:rsid w:val="005A2C0A"/>
    <w:rsid w:val="005A3544"/>
    <w:rsid w:val="005A3567"/>
    <w:rsid w:val="005A36A0"/>
    <w:rsid w:val="005A3978"/>
    <w:rsid w:val="005A3E75"/>
    <w:rsid w:val="005A402E"/>
    <w:rsid w:val="005A4093"/>
    <w:rsid w:val="005A42DB"/>
    <w:rsid w:val="005A48CB"/>
    <w:rsid w:val="005A49F2"/>
    <w:rsid w:val="005A4B15"/>
    <w:rsid w:val="005A4EA4"/>
    <w:rsid w:val="005A4FD1"/>
    <w:rsid w:val="005A58C7"/>
    <w:rsid w:val="005A5C11"/>
    <w:rsid w:val="005A5C47"/>
    <w:rsid w:val="005A5CAD"/>
    <w:rsid w:val="005A6616"/>
    <w:rsid w:val="005A6661"/>
    <w:rsid w:val="005A667B"/>
    <w:rsid w:val="005A6EDE"/>
    <w:rsid w:val="005A7110"/>
    <w:rsid w:val="005A7F80"/>
    <w:rsid w:val="005B0BD8"/>
    <w:rsid w:val="005B1052"/>
    <w:rsid w:val="005B1302"/>
    <w:rsid w:val="005B147E"/>
    <w:rsid w:val="005B1538"/>
    <w:rsid w:val="005B15F8"/>
    <w:rsid w:val="005B169B"/>
    <w:rsid w:val="005B190E"/>
    <w:rsid w:val="005B198A"/>
    <w:rsid w:val="005B2765"/>
    <w:rsid w:val="005B2E6F"/>
    <w:rsid w:val="005B2FCA"/>
    <w:rsid w:val="005B332A"/>
    <w:rsid w:val="005B334D"/>
    <w:rsid w:val="005B38F1"/>
    <w:rsid w:val="005B3927"/>
    <w:rsid w:val="005B3F95"/>
    <w:rsid w:val="005B4A6B"/>
    <w:rsid w:val="005B4D0B"/>
    <w:rsid w:val="005B4EE2"/>
    <w:rsid w:val="005B510E"/>
    <w:rsid w:val="005B55F2"/>
    <w:rsid w:val="005B5911"/>
    <w:rsid w:val="005B59EB"/>
    <w:rsid w:val="005B5B6E"/>
    <w:rsid w:val="005B5C3A"/>
    <w:rsid w:val="005B5CA4"/>
    <w:rsid w:val="005B6064"/>
    <w:rsid w:val="005B6099"/>
    <w:rsid w:val="005B6355"/>
    <w:rsid w:val="005B6619"/>
    <w:rsid w:val="005B6977"/>
    <w:rsid w:val="005B6EF6"/>
    <w:rsid w:val="005B7019"/>
    <w:rsid w:val="005B7349"/>
    <w:rsid w:val="005B74F5"/>
    <w:rsid w:val="005B7741"/>
    <w:rsid w:val="005B77E4"/>
    <w:rsid w:val="005B77F4"/>
    <w:rsid w:val="005B784B"/>
    <w:rsid w:val="005B7CFC"/>
    <w:rsid w:val="005C02B4"/>
    <w:rsid w:val="005C02DE"/>
    <w:rsid w:val="005C0B7A"/>
    <w:rsid w:val="005C0C14"/>
    <w:rsid w:val="005C1326"/>
    <w:rsid w:val="005C1E25"/>
    <w:rsid w:val="005C2E91"/>
    <w:rsid w:val="005C2FCF"/>
    <w:rsid w:val="005C5139"/>
    <w:rsid w:val="005C51DB"/>
    <w:rsid w:val="005C535D"/>
    <w:rsid w:val="005C59AD"/>
    <w:rsid w:val="005C5D2B"/>
    <w:rsid w:val="005C5FB1"/>
    <w:rsid w:val="005C6234"/>
    <w:rsid w:val="005C65F1"/>
    <w:rsid w:val="005C7550"/>
    <w:rsid w:val="005C781C"/>
    <w:rsid w:val="005C7E73"/>
    <w:rsid w:val="005D0088"/>
    <w:rsid w:val="005D009F"/>
    <w:rsid w:val="005D0151"/>
    <w:rsid w:val="005D06FC"/>
    <w:rsid w:val="005D17E4"/>
    <w:rsid w:val="005D2160"/>
    <w:rsid w:val="005D2237"/>
    <w:rsid w:val="005D2DEA"/>
    <w:rsid w:val="005D346D"/>
    <w:rsid w:val="005D34D5"/>
    <w:rsid w:val="005D438C"/>
    <w:rsid w:val="005D4434"/>
    <w:rsid w:val="005D453D"/>
    <w:rsid w:val="005D4BEA"/>
    <w:rsid w:val="005D50E5"/>
    <w:rsid w:val="005D51F0"/>
    <w:rsid w:val="005D52D9"/>
    <w:rsid w:val="005D5373"/>
    <w:rsid w:val="005D5AD3"/>
    <w:rsid w:val="005D5F66"/>
    <w:rsid w:val="005D61F9"/>
    <w:rsid w:val="005D666B"/>
    <w:rsid w:val="005D6736"/>
    <w:rsid w:val="005D67CA"/>
    <w:rsid w:val="005D7196"/>
    <w:rsid w:val="005D733B"/>
    <w:rsid w:val="005D76F4"/>
    <w:rsid w:val="005D7A2D"/>
    <w:rsid w:val="005E01FD"/>
    <w:rsid w:val="005E095F"/>
    <w:rsid w:val="005E0B1D"/>
    <w:rsid w:val="005E0C2D"/>
    <w:rsid w:val="005E2145"/>
    <w:rsid w:val="005E30B9"/>
    <w:rsid w:val="005E3305"/>
    <w:rsid w:val="005E34FE"/>
    <w:rsid w:val="005E3689"/>
    <w:rsid w:val="005E3B0B"/>
    <w:rsid w:val="005E3FF8"/>
    <w:rsid w:val="005E4415"/>
    <w:rsid w:val="005E4491"/>
    <w:rsid w:val="005E4779"/>
    <w:rsid w:val="005E4783"/>
    <w:rsid w:val="005E47A3"/>
    <w:rsid w:val="005E4DB6"/>
    <w:rsid w:val="005E50B6"/>
    <w:rsid w:val="005E5339"/>
    <w:rsid w:val="005E56F3"/>
    <w:rsid w:val="005E58B4"/>
    <w:rsid w:val="005E5934"/>
    <w:rsid w:val="005E5A0E"/>
    <w:rsid w:val="005E60D7"/>
    <w:rsid w:val="005E617A"/>
    <w:rsid w:val="005E68A2"/>
    <w:rsid w:val="005E6C91"/>
    <w:rsid w:val="005E6E51"/>
    <w:rsid w:val="005E6EBB"/>
    <w:rsid w:val="005E6F5E"/>
    <w:rsid w:val="005E76E1"/>
    <w:rsid w:val="005E76F3"/>
    <w:rsid w:val="005E7775"/>
    <w:rsid w:val="005E7D47"/>
    <w:rsid w:val="005F014D"/>
    <w:rsid w:val="005F01D1"/>
    <w:rsid w:val="005F0260"/>
    <w:rsid w:val="005F03C0"/>
    <w:rsid w:val="005F0462"/>
    <w:rsid w:val="005F09DC"/>
    <w:rsid w:val="005F0D4E"/>
    <w:rsid w:val="005F13D1"/>
    <w:rsid w:val="005F14A0"/>
    <w:rsid w:val="005F1A5D"/>
    <w:rsid w:val="005F1AEC"/>
    <w:rsid w:val="005F1D8C"/>
    <w:rsid w:val="005F28DF"/>
    <w:rsid w:val="005F294F"/>
    <w:rsid w:val="005F2A48"/>
    <w:rsid w:val="005F2E44"/>
    <w:rsid w:val="005F364F"/>
    <w:rsid w:val="005F37CE"/>
    <w:rsid w:val="005F3900"/>
    <w:rsid w:val="005F39E6"/>
    <w:rsid w:val="005F3E41"/>
    <w:rsid w:val="005F42B5"/>
    <w:rsid w:val="005F4A52"/>
    <w:rsid w:val="005F4FC0"/>
    <w:rsid w:val="005F518E"/>
    <w:rsid w:val="005F59F8"/>
    <w:rsid w:val="005F5D22"/>
    <w:rsid w:val="005F5F2C"/>
    <w:rsid w:val="005F62DB"/>
    <w:rsid w:val="005F68F9"/>
    <w:rsid w:val="005F69C2"/>
    <w:rsid w:val="005F6EA6"/>
    <w:rsid w:val="005F73C3"/>
    <w:rsid w:val="005F74F7"/>
    <w:rsid w:val="005F7953"/>
    <w:rsid w:val="005F7B4E"/>
    <w:rsid w:val="005F7DFD"/>
    <w:rsid w:val="00600276"/>
    <w:rsid w:val="00600873"/>
    <w:rsid w:val="006009C7"/>
    <w:rsid w:val="00600AED"/>
    <w:rsid w:val="00600DD8"/>
    <w:rsid w:val="00601297"/>
    <w:rsid w:val="0060153F"/>
    <w:rsid w:val="00601A2B"/>
    <w:rsid w:val="00601EF1"/>
    <w:rsid w:val="00602111"/>
    <w:rsid w:val="00602570"/>
    <w:rsid w:val="006027FA"/>
    <w:rsid w:val="00602B7A"/>
    <w:rsid w:val="0060321F"/>
    <w:rsid w:val="006038F4"/>
    <w:rsid w:val="006039D3"/>
    <w:rsid w:val="00603D90"/>
    <w:rsid w:val="00604B02"/>
    <w:rsid w:val="00604BD4"/>
    <w:rsid w:val="006052D4"/>
    <w:rsid w:val="006059F8"/>
    <w:rsid w:val="00606123"/>
    <w:rsid w:val="00606308"/>
    <w:rsid w:val="006064E7"/>
    <w:rsid w:val="00606FFC"/>
    <w:rsid w:val="006073ED"/>
    <w:rsid w:val="00607AA4"/>
    <w:rsid w:val="00607B85"/>
    <w:rsid w:val="00610095"/>
    <w:rsid w:val="006102C7"/>
    <w:rsid w:val="006108C1"/>
    <w:rsid w:val="0061090E"/>
    <w:rsid w:val="00610BB3"/>
    <w:rsid w:val="0061111E"/>
    <w:rsid w:val="0061119A"/>
    <w:rsid w:val="006123AA"/>
    <w:rsid w:val="0061285B"/>
    <w:rsid w:val="00612A7D"/>
    <w:rsid w:val="00612AEB"/>
    <w:rsid w:val="0061311F"/>
    <w:rsid w:val="0061357E"/>
    <w:rsid w:val="006135B8"/>
    <w:rsid w:val="006135CB"/>
    <w:rsid w:val="00613CDA"/>
    <w:rsid w:val="00613D10"/>
    <w:rsid w:val="006143E1"/>
    <w:rsid w:val="006145F4"/>
    <w:rsid w:val="00614E91"/>
    <w:rsid w:val="00614E95"/>
    <w:rsid w:val="006156B2"/>
    <w:rsid w:val="0061579E"/>
    <w:rsid w:val="006164E8"/>
    <w:rsid w:val="006168CB"/>
    <w:rsid w:val="00616A51"/>
    <w:rsid w:val="00616A87"/>
    <w:rsid w:val="006170D9"/>
    <w:rsid w:val="00617822"/>
    <w:rsid w:val="006178AF"/>
    <w:rsid w:val="00620580"/>
    <w:rsid w:val="00620CEE"/>
    <w:rsid w:val="00620E68"/>
    <w:rsid w:val="00621586"/>
    <w:rsid w:val="006219B0"/>
    <w:rsid w:val="00621B23"/>
    <w:rsid w:val="00621DBE"/>
    <w:rsid w:val="00621E32"/>
    <w:rsid w:val="00621E79"/>
    <w:rsid w:val="00621FB2"/>
    <w:rsid w:val="00622252"/>
    <w:rsid w:val="006222C9"/>
    <w:rsid w:val="0062282E"/>
    <w:rsid w:val="006229A6"/>
    <w:rsid w:val="0062314C"/>
    <w:rsid w:val="00623B38"/>
    <w:rsid w:val="00623D0B"/>
    <w:rsid w:val="00623E40"/>
    <w:rsid w:val="00624039"/>
    <w:rsid w:val="0062430D"/>
    <w:rsid w:val="00624329"/>
    <w:rsid w:val="006247E9"/>
    <w:rsid w:val="00624C99"/>
    <w:rsid w:val="00624CE6"/>
    <w:rsid w:val="006253BD"/>
    <w:rsid w:val="006254D0"/>
    <w:rsid w:val="0062570E"/>
    <w:rsid w:val="006257F6"/>
    <w:rsid w:val="00625AA7"/>
    <w:rsid w:val="00625C06"/>
    <w:rsid w:val="006274BC"/>
    <w:rsid w:val="00627A36"/>
    <w:rsid w:val="00630594"/>
    <w:rsid w:val="00631053"/>
    <w:rsid w:val="00631614"/>
    <w:rsid w:val="00631F5C"/>
    <w:rsid w:val="00632C17"/>
    <w:rsid w:val="00633500"/>
    <w:rsid w:val="00633565"/>
    <w:rsid w:val="0063392C"/>
    <w:rsid w:val="0063398B"/>
    <w:rsid w:val="00633A97"/>
    <w:rsid w:val="00633D4A"/>
    <w:rsid w:val="00633D5D"/>
    <w:rsid w:val="0063499C"/>
    <w:rsid w:val="00634B7A"/>
    <w:rsid w:val="00634C68"/>
    <w:rsid w:val="00634CA2"/>
    <w:rsid w:val="006350E3"/>
    <w:rsid w:val="00635242"/>
    <w:rsid w:val="006356B2"/>
    <w:rsid w:val="00635992"/>
    <w:rsid w:val="00635ADB"/>
    <w:rsid w:val="00635E8C"/>
    <w:rsid w:val="00636076"/>
    <w:rsid w:val="006363CC"/>
    <w:rsid w:val="006378A5"/>
    <w:rsid w:val="00637A06"/>
    <w:rsid w:val="006401D7"/>
    <w:rsid w:val="00640330"/>
    <w:rsid w:val="006403B6"/>
    <w:rsid w:val="00640729"/>
    <w:rsid w:val="00640CBE"/>
    <w:rsid w:val="00643516"/>
    <w:rsid w:val="006441CE"/>
    <w:rsid w:val="006446F1"/>
    <w:rsid w:val="0064483B"/>
    <w:rsid w:val="00644B93"/>
    <w:rsid w:val="00645B04"/>
    <w:rsid w:val="00645B9F"/>
    <w:rsid w:val="00647549"/>
    <w:rsid w:val="00647A11"/>
    <w:rsid w:val="00647E0F"/>
    <w:rsid w:val="0065019C"/>
    <w:rsid w:val="00650963"/>
    <w:rsid w:val="00650B35"/>
    <w:rsid w:val="00651110"/>
    <w:rsid w:val="00651C70"/>
    <w:rsid w:val="006521E5"/>
    <w:rsid w:val="00652801"/>
    <w:rsid w:val="00652BD3"/>
    <w:rsid w:val="00652F20"/>
    <w:rsid w:val="006530C2"/>
    <w:rsid w:val="00653294"/>
    <w:rsid w:val="006532EF"/>
    <w:rsid w:val="00653667"/>
    <w:rsid w:val="00653C02"/>
    <w:rsid w:val="006542F8"/>
    <w:rsid w:val="00654302"/>
    <w:rsid w:val="006545D3"/>
    <w:rsid w:val="006546D5"/>
    <w:rsid w:val="0065498C"/>
    <w:rsid w:val="00654A86"/>
    <w:rsid w:val="00655107"/>
    <w:rsid w:val="0065521F"/>
    <w:rsid w:val="00655498"/>
    <w:rsid w:val="006556B2"/>
    <w:rsid w:val="006558B5"/>
    <w:rsid w:val="00656456"/>
    <w:rsid w:val="006569BD"/>
    <w:rsid w:val="00656ABC"/>
    <w:rsid w:val="0065718E"/>
    <w:rsid w:val="006572B9"/>
    <w:rsid w:val="00657AD0"/>
    <w:rsid w:val="006600F7"/>
    <w:rsid w:val="006602E6"/>
    <w:rsid w:val="0066045B"/>
    <w:rsid w:val="006605AD"/>
    <w:rsid w:val="00660A5F"/>
    <w:rsid w:val="00660CEA"/>
    <w:rsid w:val="006610C8"/>
    <w:rsid w:val="006614D5"/>
    <w:rsid w:val="006618DD"/>
    <w:rsid w:val="0066226E"/>
    <w:rsid w:val="0066232B"/>
    <w:rsid w:val="0066254A"/>
    <w:rsid w:val="00662561"/>
    <w:rsid w:val="00662633"/>
    <w:rsid w:val="0066268D"/>
    <w:rsid w:val="00663160"/>
    <w:rsid w:val="006633BB"/>
    <w:rsid w:val="0066342E"/>
    <w:rsid w:val="0066395E"/>
    <w:rsid w:val="006639C2"/>
    <w:rsid w:val="006639F9"/>
    <w:rsid w:val="00665E66"/>
    <w:rsid w:val="00665ECD"/>
    <w:rsid w:val="006662C2"/>
    <w:rsid w:val="00667122"/>
    <w:rsid w:val="00667B8E"/>
    <w:rsid w:val="006707E2"/>
    <w:rsid w:val="00670EAB"/>
    <w:rsid w:val="006719AD"/>
    <w:rsid w:val="00671AC6"/>
    <w:rsid w:val="00671B6B"/>
    <w:rsid w:val="00671ED7"/>
    <w:rsid w:val="006721A1"/>
    <w:rsid w:val="00672ECC"/>
    <w:rsid w:val="0067348F"/>
    <w:rsid w:val="00673CCC"/>
    <w:rsid w:val="006740FF"/>
    <w:rsid w:val="00674225"/>
    <w:rsid w:val="00674850"/>
    <w:rsid w:val="006749E6"/>
    <w:rsid w:val="00674D70"/>
    <w:rsid w:val="006750DF"/>
    <w:rsid w:val="00676638"/>
    <w:rsid w:val="006766A7"/>
    <w:rsid w:val="006769A0"/>
    <w:rsid w:val="00676B7F"/>
    <w:rsid w:val="00676C26"/>
    <w:rsid w:val="00676C28"/>
    <w:rsid w:val="006778DC"/>
    <w:rsid w:val="00677BD5"/>
    <w:rsid w:val="00677C69"/>
    <w:rsid w:val="00680359"/>
    <w:rsid w:val="006808AD"/>
    <w:rsid w:val="00681936"/>
    <w:rsid w:val="00681ACB"/>
    <w:rsid w:val="00682069"/>
    <w:rsid w:val="0068219A"/>
    <w:rsid w:val="00682290"/>
    <w:rsid w:val="0068298D"/>
    <w:rsid w:val="00682E91"/>
    <w:rsid w:val="00683428"/>
    <w:rsid w:val="0068383E"/>
    <w:rsid w:val="00683C13"/>
    <w:rsid w:val="00684191"/>
    <w:rsid w:val="006843C0"/>
    <w:rsid w:val="0068461C"/>
    <w:rsid w:val="00685633"/>
    <w:rsid w:val="00685A2C"/>
    <w:rsid w:val="00685A2F"/>
    <w:rsid w:val="00685AA1"/>
    <w:rsid w:val="00685E0D"/>
    <w:rsid w:val="00685EA5"/>
    <w:rsid w:val="00685EF3"/>
    <w:rsid w:val="006867C2"/>
    <w:rsid w:val="0068689D"/>
    <w:rsid w:val="0068710E"/>
    <w:rsid w:val="006875A2"/>
    <w:rsid w:val="00687FB3"/>
    <w:rsid w:val="00690226"/>
    <w:rsid w:val="00690EA0"/>
    <w:rsid w:val="0069128A"/>
    <w:rsid w:val="00691EF2"/>
    <w:rsid w:val="00692024"/>
    <w:rsid w:val="0069277E"/>
    <w:rsid w:val="00692790"/>
    <w:rsid w:val="00693042"/>
    <w:rsid w:val="006932C5"/>
    <w:rsid w:val="00693814"/>
    <w:rsid w:val="0069394F"/>
    <w:rsid w:val="00693D9C"/>
    <w:rsid w:val="00693DB0"/>
    <w:rsid w:val="00693DFA"/>
    <w:rsid w:val="00693E6F"/>
    <w:rsid w:val="00694306"/>
    <w:rsid w:val="00694E06"/>
    <w:rsid w:val="00694ED1"/>
    <w:rsid w:val="00694FF9"/>
    <w:rsid w:val="00695568"/>
    <w:rsid w:val="00695662"/>
    <w:rsid w:val="00696174"/>
    <w:rsid w:val="006966FA"/>
    <w:rsid w:val="006968F2"/>
    <w:rsid w:val="00697409"/>
    <w:rsid w:val="00697DFA"/>
    <w:rsid w:val="006A013F"/>
    <w:rsid w:val="006A0983"/>
    <w:rsid w:val="006A09D9"/>
    <w:rsid w:val="006A0E06"/>
    <w:rsid w:val="006A1311"/>
    <w:rsid w:val="006A192A"/>
    <w:rsid w:val="006A192E"/>
    <w:rsid w:val="006A1D03"/>
    <w:rsid w:val="006A1EBF"/>
    <w:rsid w:val="006A20E8"/>
    <w:rsid w:val="006A21EC"/>
    <w:rsid w:val="006A2B3E"/>
    <w:rsid w:val="006A2FA2"/>
    <w:rsid w:val="006A358B"/>
    <w:rsid w:val="006A3788"/>
    <w:rsid w:val="006A3E29"/>
    <w:rsid w:val="006A3F48"/>
    <w:rsid w:val="006A4323"/>
    <w:rsid w:val="006A48B8"/>
    <w:rsid w:val="006A5323"/>
    <w:rsid w:val="006A551E"/>
    <w:rsid w:val="006A5745"/>
    <w:rsid w:val="006A576B"/>
    <w:rsid w:val="006A58EE"/>
    <w:rsid w:val="006A59A2"/>
    <w:rsid w:val="006A59CA"/>
    <w:rsid w:val="006A5B2B"/>
    <w:rsid w:val="006A5CB6"/>
    <w:rsid w:val="006A6218"/>
    <w:rsid w:val="006A62B8"/>
    <w:rsid w:val="006A6E47"/>
    <w:rsid w:val="006A6F56"/>
    <w:rsid w:val="006A7266"/>
    <w:rsid w:val="006A74CC"/>
    <w:rsid w:val="006A7C63"/>
    <w:rsid w:val="006B09BD"/>
    <w:rsid w:val="006B1014"/>
    <w:rsid w:val="006B110A"/>
    <w:rsid w:val="006B1267"/>
    <w:rsid w:val="006B152F"/>
    <w:rsid w:val="006B17C2"/>
    <w:rsid w:val="006B184F"/>
    <w:rsid w:val="006B1923"/>
    <w:rsid w:val="006B1C4B"/>
    <w:rsid w:val="006B1C7F"/>
    <w:rsid w:val="006B2103"/>
    <w:rsid w:val="006B2593"/>
    <w:rsid w:val="006B26DE"/>
    <w:rsid w:val="006B34C0"/>
    <w:rsid w:val="006B3990"/>
    <w:rsid w:val="006B3B30"/>
    <w:rsid w:val="006B3BCF"/>
    <w:rsid w:val="006B423D"/>
    <w:rsid w:val="006B46AE"/>
    <w:rsid w:val="006B52E7"/>
    <w:rsid w:val="006B6098"/>
    <w:rsid w:val="006B6C41"/>
    <w:rsid w:val="006B73CA"/>
    <w:rsid w:val="006B754A"/>
    <w:rsid w:val="006B7B81"/>
    <w:rsid w:val="006C0191"/>
    <w:rsid w:val="006C1063"/>
    <w:rsid w:val="006C15CC"/>
    <w:rsid w:val="006C1717"/>
    <w:rsid w:val="006C1D0A"/>
    <w:rsid w:val="006C1D7B"/>
    <w:rsid w:val="006C208E"/>
    <w:rsid w:val="006C2227"/>
    <w:rsid w:val="006C2A48"/>
    <w:rsid w:val="006C2BDC"/>
    <w:rsid w:val="006C2E9D"/>
    <w:rsid w:val="006C32F8"/>
    <w:rsid w:val="006C3394"/>
    <w:rsid w:val="006C3804"/>
    <w:rsid w:val="006C383E"/>
    <w:rsid w:val="006C3844"/>
    <w:rsid w:val="006C38D1"/>
    <w:rsid w:val="006C3C40"/>
    <w:rsid w:val="006C4C32"/>
    <w:rsid w:val="006C679F"/>
    <w:rsid w:val="006C6955"/>
    <w:rsid w:val="006C6AEA"/>
    <w:rsid w:val="006C6B84"/>
    <w:rsid w:val="006C6EC1"/>
    <w:rsid w:val="006C7488"/>
    <w:rsid w:val="006C7530"/>
    <w:rsid w:val="006C7C1D"/>
    <w:rsid w:val="006D0090"/>
    <w:rsid w:val="006D00FF"/>
    <w:rsid w:val="006D0403"/>
    <w:rsid w:val="006D0D6B"/>
    <w:rsid w:val="006D0DB1"/>
    <w:rsid w:val="006D148B"/>
    <w:rsid w:val="006D2491"/>
    <w:rsid w:val="006D26A3"/>
    <w:rsid w:val="006D280C"/>
    <w:rsid w:val="006D2B4A"/>
    <w:rsid w:val="006D2E13"/>
    <w:rsid w:val="006D30FB"/>
    <w:rsid w:val="006D3B6B"/>
    <w:rsid w:val="006D3D90"/>
    <w:rsid w:val="006D3DF5"/>
    <w:rsid w:val="006D3FE4"/>
    <w:rsid w:val="006D411D"/>
    <w:rsid w:val="006D43DD"/>
    <w:rsid w:val="006D45BF"/>
    <w:rsid w:val="006D4773"/>
    <w:rsid w:val="006D531A"/>
    <w:rsid w:val="006D593B"/>
    <w:rsid w:val="006D5BDB"/>
    <w:rsid w:val="006D5F2E"/>
    <w:rsid w:val="006D669F"/>
    <w:rsid w:val="006D679C"/>
    <w:rsid w:val="006D69DA"/>
    <w:rsid w:val="006D69F9"/>
    <w:rsid w:val="006D6A36"/>
    <w:rsid w:val="006D6C30"/>
    <w:rsid w:val="006D6CBF"/>
    <w:rsid w:val="006D7006"/>
    <w:rsid w:val="006D78C1"/>
    <w:rsid w:val="006D7E0B"/>
    <w:rsid w:val="006E01D2"/>
    <w:rsid w:val="006E0573"/>
    <w:rsid w:val="006E0C5E"/>
    <w:rsid w:val="006E126B"/>
    <w:rsid w:val="006E12A8"/>
    <w:rsid w:val="006E1535"/>
    <w:rsid w:val="006E1587"/>
    <w:rsid w:val="006E1745"/>
    <w:rsid w:val="006E19E1"/>
    <w:rsid w:val="006E1E3E"/>
    <w:rsid w:val="006E27C4"/>
    <w:rsid w:val="006E29E6"/>
    <w:rsid w:val="006E2B57"/>
    <w:rsid w:val="006E36FE"/>
    <w:rsid w:val="006E386D"/>
    <w:rsid w:val="006E3A42"/>
    <w:rsid w:val="006E3B3C"/>
    <w:rsid w:val="006E3D14"/>
    <w:rsid w:val="006E3E76"/>
    <w:rsid w:val="006E44FF"/>
    <w:rsid w:val="006E46E4"/>
    <w:rsid w:val="006E474B"/>
    <w:rsid w:val="006E4804"/>
    <w:rsid w:val="006E486E"/>
    <w:rsid w:val="006E4C58"/>
    <w:rsid w:val="006E5003"/>
    <w:rsid w:val="006E5241"/>
    <w:rsid w:val="006E58CC"/>
    <w:rsid w:val="006E5B4A"/>
    <w:rsid w:val="006E5E41"/>
    <w:rsid w:val="006E6407"/>
    <w:rsid w:val="006E6B40"/>
    <w:rsid w:val="006E6D87"/>
    <w:rsid w:val="006E70AD"/>
    <w:rsid w:val="006E7687"/>
    <w:rsid w:val="006F00EB"/>
    <w:rsid w:val="006F048F"/>
    <w:rsid w:val="006F05B1"/>
    <w:rsid w:val="006F0B1C"/>
    <w:rsid w:val="006F0C4E"/>
    <w:rsid w:val="006F0D89"/>
    <w:rsid w:val="006F0DA7"/>
    <w:rsid w:val="006F1722"/>
    <w:rsid w:val="006F1843"/>
    <w:rsid w:val="006F1AEF"/>
    <w:rsid w:val="006F1BD6"/>
    <w:rsid w:val="006F1F62"/>
    <w:rsid w:val="006F25FC"/>
    <w:rsid w:val="006F26E8"/>
    <w:rsid w:val="006F2B43"/>
    <w:rsid w:val="006F2C32"/>
    <w:rsid w:val="006F2EB5"/>
    <w:rsid w:val="006F2F1B"/>
    <w:rsid w:val="006F3B38"/>
    <w:rsid w:val="006F4254"/>
    <w:rsid w:val="006F483D"/>
    <w:rsid w:val="006F5338"/>
    <w:rsid w:val="006F56FC"/>
    <w:rsid w:val="006F5B28"/>
    <w:rsid w:val="006F5C37"/>
    <w:rsid w:val="006F6973"/>
    <w:rsid w:val="006F6C6F"/>
    <w:rsid w:val="006F7855"/>
    <w:rsid w:val="006F79F9"/>
    <w:rsid w:val="0070007F"/>
    <w:rsid w:val="00700421"/>
    <w:rsid w:val="00700468"/>
    <w:rsid w:val="007004DB"/>
    <w:rsid w:val="00700639"/>
    <w:rsid w:val="00700ADF"/>
    <w:rsid w:val="00700CDE"/>
    <w:rsid w:val="00700DD8"/>
    <w:rsid w:val="00701215"/>
    <w:rsid w:val="007015CC"/>
    <w:rsid w:val="0070188E"/>
    <w:rsid w:val="00701EA4"/>
    <w:rsid w:val="00702166"/>
    <w:rsid w:val="00702254"/>
    <w:rsid w:val="007029B9"/>
    <w:rsid w:val="00703005"/>
    <w:rsid w:val="00703193"/>
    <w:rsid w:val="00703460"/>
    <w:rsid w:val="00703891"/>
    <w:rsid w:val="00704392"/>
    <w:rsid w:val="007046FA"/>
    <w:rsid w:val="00704C5F"/>
    <w:rsid w:val="0070592D"/>
    <w:rsid w:val="0070599E"/>
    <w:rsid w:val="00705AE7"/>
    <w:rsid w:val="00705C3D"/>
    <w:rsid w:val="007062AE"/>
    <w:rsid w:val="00706851"/>
    <w:rsid w:val="00706B5A"/>
    <w:rsid w:val="00706F61"/>
    <w:rsid w:val="00707113"/>
    <w:rsid w:val="00707CDE"/>
    <w:rsid w:val="00707FBC"/>
    <w:rsid w:val="0071014C"/>
    <w:rsid w:val="007118D9"/>
    <w:rsid w:val="00711B71"/>
    <w:rsid w:val="00712298"/>
    <w:rsid w:val="00712C0A"/>
    <w:rsid w:val="00712C7A"/>
    <w:rsid w:val="007132FB"/>
    <w:rsid w:val="00713EBF"/>
    <w:rsid w:val="00714074"/>
    <w:rsid w:val="0071458C"/>
    <w:rsid w:val="00714863"/>
    <w:rsid w:val="00714F01"/>
    <w:rsid w:val="0071531F"/>
    <w:rsid w:val="0071562D"/>
    <w:rsid w:val="00715AA3"/>
    <w:rsid w:val="00715C73"/>
    <w:rsid w:val="00716035"/>
    <w:rsid w:val="007160B7"/>
    <w:rsid w:val="00716775"/>
    <w:rsid w:val="00716AB1"/>
    <w:rsid w:val="00717452"/>
    <w:rsid w:val="007176FC"/>
    <w:rsid w:val="00717BED"/>
    <w:rsid w:val="007204B3"/>
    <w:rsid w:val="007207AF"/>
    <w:rsid w:val="00720A32"/>
    <w:rsid w:val="00720ADA"/>
    <w:rsid w:val="0072103D"/>
    <w:rsid w:val="007213BD"/>
    <w:rsid w:val="0072178B"/>
    <w:rsid w:val="00721AED"/>
    <w:rsid w:val="00722320"/>
    <w:rsid w:val="00722625"/>
    <w:rsid w:val="0072296A"/>
    <w:rsid w:val="00723454"/>
    <w:rsid w:val="00723860"/>
    <w:rsid w:val="00723867"/>
    <w:rsid w:val="00723A3C"/>
    <w:rsid w:val="00723B0A"/>
    <w:rsid w:val="00723E13"/>
    <w:rsid w:val="00723E2B"/>
    <w:rsid w:val="00724A18"/>
    <w:rsid w:val="00724AE3"/>
    <w:rsid w:val="00725450"/>
    <w:rsid w:val="00725EFF"/>
    <w:rsid w:val="007268D5"/>
    <w:rsid w:val="007269B2"/>
    <w:rsid w:val="0072766A"/>
    <w:rsid w:val="007277E7"/>
    <w:rsid w:val="00727E2E"/>
    <w:rsid w:val="007300F5"/>
    <w:rsid w:val="00730AC8"/>
    <w:rsid w:val="00730F2E"/>
    <w:rsid w:val="0073101D"/>
    <w:rsid w:val="00731B11"/>
    <w:rsid w:val="00732061"/>
    <w:rsid w:val="007322CA"/>
    <w:rsid w:val="00732493"/>
    <w:rsid w:val="0073253A"/>
    <w:rsid w:val="007326AB"/>
    <w:rsid w:val="00733ACA"/>
    <w:rsid w:val="00734191"/>
    <w:rsid w:val="007341AF"/>
    <w:rsid w:val="00734530"/>
    <w:rsid w:val="0073467F"/>
    <w:rsid w:val="007347FC"/>
    <w:rsid w:val="0073484A"/>
    <w:rsid w:val="0073528F"/>
    <w:rsid w:val="0073582F"/>
    <w:rsid w:val="00735E96"/>
    <w:rsid w:val="007363FF"/>
    <w:rsid w:val="0073642D"/>
    <w:rsid w:val="0073682E"/>
    <w:rsid w:val="0073727D"/>
    <w:rsid w:val="007373A7"/>
    <w:rsid w:val="007375CF"/>
    <w:rsid w:val="00737A34"/>
    <w:rsid w:val="00737B7B"/>
    <w:rsid w:val="00737DE6"/>
    <w:rsid w:val="00740A4B"/>
    <w:rsid w:val="00740BB8"/>
    <w:rsid w:val="007410B5"/>
    <w:rsid w:val="007414D5"/>
    <w:rsid w:val="00741950"/>
    <w:rsid w:val="0074224F"/>
    <w:rsid w:val="007427D5"/>
    <w:rsid w:val="00742AF3"/>
    <w:rsid w:val="00742BDE"/>
    <w:rsid w:val="0074356E"/>
    <w:rsid w:val="00743BE2"/>
    <w:rsid w:val="00744336"/>
    <w:rsid w:val="00744422"/>
    <w:rsid w:val="0074458D"/>
    <w:rsid w:val="007445A0"/>
    <w:rsid w:val="0074482E"/>
    <w:rsid w:val="007451ED"/>
    <w:rsid w:val="0074541E"/>
    <w:rsid w:val="00745611"/>
    <w:rsid w:val="00745A0B"/>
    <w:rsid w:val="00745A91"/>
    <w:rsid w:val="00745D50"/>
    <w:rsid w:val="00746BAF"/>
    <w:rsid w:val="00746DA2"/>
    <w:rsid w:val="007470FD"/>
    <w:rsid w:val="0074713E"/>
    <w:rsid w:val="0074716E"/>
    <w:rsid w:val="007473AC"/>
    <w:rsid w:val="007476DA"/>
    <w:rsid w:val="00747AFD"/>
    <w:rsid w:val="00747C62"/>
    <w:rsid w:val="00747FA5"/>
    <w:rsid w:val="0075052D"/>
    <w:rsid w:val="00750609"/>
    <w:rsid w:val="007511D0"/>
    <w:rsid w:val="0075162E"/>
    <w:rsid w:val="00753AE7"/>
    <w:rsid w:val="00753CF7"/>
    <w:rsid w:val="00753DD9"/>
    <w:rsid w:val="00753FE9"/>
    <w:rsid w:val="00754458"/>
    <w:rsid w:val="00754CA5"/>
    <w:rsid w:val="00754F17"/>
    <w:rsid w:val="00755274"/>
    <w:rsid w:val="00755336"/>
    <w:rsid w:val="0075537C"/>
    <w:rsid w:val="0075581E"/>
    <w:rsid w:val="00756593"/>
    <w:rsid w:val="007569D5"/>
    <w:rsid w:val="00756C88"/>
    <w:rsid w:val="00756EF3"/>
    <w:rsid w:val="0075748F"/>
    <w:rsid w:val="00757E24"/>
    <w:rsid w:val="00757EA5"/>
    <w:rsid w:val="00761129"/>
    <w:rsid w:val="007617FC"/>
    <w:rsid w:val="007619F7"/>
    <w:rsid w:val="00761B24"/>
    <w:rsid w:val="00761DF2"/>
    <w:rsid w:val="00761F9A"/>
    <w:rsid w:val="00762077"/>
    <w:rsid w:val="007624F5"/>
    <w:rsid w:val="00762545"/>
    <w:rsid w:val="007625E7"/>
    <w:rsid w:val="0076267E"/>
    <w:rsid w:val="00762CE7"/>
    <w:rsid w:val="00763443"/>
    <w:rsid w:val="007634C5"/>
    <w:rsid w:val="007638C5"/>
    <w:rsid w:val="00763DDB"/>
    <w:rsid w:val="00764705"/>
    <w:rsid w:val="0076474D"/>
    <w:rsid w:val="00764B1F"/>
    <w:rsid w:val="007655A6"/>
    <w:rsid w:val="007655D1"/>
    <w:rsid w:val="00765AF9"/>
    <w:rsid w:val="007669D2"/>
    <w:rsid w:val="00766A90"/>
    <w:rsid w:val="00766F5D"/>
    <w:rsid w:val="00766FB1"/>
    <w:rsid w:val="007672D5"/>
    <w:rsid w:val="00767404"/>
    <w:rsid w:val="00767B3A"/>
    <w:rsid w:val="00770278"/>
    <w:rsid w:val="00770366"/>
    <w:rsid w:val="00770C99"/>
    <w:rsid w:val="00771281"/>
    <w:rsid w:val="007712CE"/>
    <w:rsid w:val="00771BE2"/>
    <w:rsid w:val="007721CD"/>
    <w:rsid w:val="007725FC"/>
    <w:rsid w:val="00772D01"/>
    <w:rsid w:val="00772E63"/>
    <w:rsid w:val="00773816"/>
    <w:rsid w:val="007738E2"/>
    <w:rsid w:val="00773F4F"/>
    <w:rsid w:val="00774BA2"/>
    <w:rsid w:val="00774D37"/>
    <w:rsid w:val="00774FD2"/>
    <w:rsid w:val="007750A5"/>
    <w:rsid w:val="007750E9"/>
    <w:rsid w:val="00775165"/>
    <w:rsid w:val="0077545E"/>
    <w:rsid w:val="00775665"/>
    <w:rsid w:val="00775891"/>
    <w:rsid w:val="00775ABB"/>
    <w:rsid w:val="0077622F"/>
    <w:rsid w:val="00776484"/>
    <w:rsid w:val="00776AF5"/>
    <w:rsid w:val="00776C54"/>
    <w:rsid w:val="00776DE5"/>
    <w:rsid w:val="007774FB"/>
    <w:rsid w:val="0077752F"/>
    <w:rsid w:val="00777B09"/>
    <w:rsid w:val="00777B37"/>
    <w:rsid w:val="00777CDE"/>
    <w:rsid w:val="00777FA4"/>
    <w:rsid w:val="00777FE7"/>
    <w:rsid w:val="00780300"/>
    <w:rsid w:val="0078035A"/>
    <w:rsid w:val="00780946"/>
    <w:rsid w:val="00780E14"/>
    <w:rsid w:val="0078109E"/>
    <w:rsid w:val="007813F9"/>
    <w:rsid w:val="0078159D"/>
    <w:rsid w:val="00781AA9"/>
    <w:rsid w:val="00781B1C"/>
    <w:rsid w:val="00781EFB"/>
    <w:rsid w:val="00781F7B"/>
    <w:rsid w:val="0078212B"/>
    <w:rsid w:val="0078242C"/>
    <w:rsid w:val="007824CC"/>
    <w:rsid w:val="007824E4"/>
    <w:rsid w:val="00782851"/>
    <w:rsid w:val="007831FD"/>
    <w:rsid w:val="0078364B"/>
    <w:rsid w:val="00783961"/>
    <w:rsid w:val="00783EEA"/>
    <w:rsid w:val="00783EFE"/>
    <w:rsid w:val="0078464C"/>
    <w:rsid w:val="00784FF2"/>
    <w:rsid w:val="0078500A"/>
    <w:rsid w:val="00785061"/>
    <w:rsid w:val="007856C0"/>
    <w:rsid w:val="0078675F"/>
    <w:rsid w:val="0078683D"/>
    <w:rsid w:val="007868AC"/>
    <w:rsid w:val="00787048"/>
    <w:rsid w:val="00787EDE"/>
    <w:rsid w:val="007908F6"/>
    <w:rsid w:val="00790A47"/>
    <w:rsid w:val="00790CA1"/>
    <w:rsid w:val="0079112F"/>
    <w:rsid w:val="0079128F"/>
    <w:rsid w:val="007913F6"/>
    <w:rsid w:val="00791652"/>
    <w:rsid w:val="0079166F"/>
    <w:rsid w:val="00791834"/>
    <w:rsid w:val="00791954"/>
    <w:rsid w:val="00791C15"/>
    <w:rsid w:val="00791C8A"/>
    <w:rsid w:val="00791DE3"/>
    <w:rsid w:val="00792236"/>
    <w:rsid w:val="00792488"/>
    <w:rsid w:val="00792C99"/>
    <w:rsid w:val="00793210"/>
    <w:rsid w:val="00793489"/>
    <w:rsid w:val="007934D3"/>
    <w:rsid w:val="00793850"/>
    <w:rsid w:val="007940DF"/>
    <w:rsid w:val="00794366"/>
    <w:rsid w:val="00794670"/>
    <w:rsid w:val="00794C84"/>
    <w:rsid w:val="007953C1"/>
    <w:rsid w:val="007964DE"/>
    <w:rsid w:val="00796959"/>
    <w:rsid w:val="00797044"/>
    <w:rsid w:val="007973C2"/>
    <w:rsid w:val="00797B2C"/>
    <w:rsid w:val="007A00A0"/>
    <w:rsid w:val="007A0591"/>
    <w:rsid w:val="007A0E43"/>
    <w:rsid w:val="007A13BB"/>
    <w:rsid w:val="007A1494"/>
    <w:rsid w:val="007A1CFB"/>
    <w:rsid w:val="007A1D7A"/>
    <w:rsid w:val="007A1EBB"/>
    <w:rsid w:val="007A2607"/>
    <w:rsid w:val="007A2E3C"/>
    <w:rsid w:val="007A30B3"/>
    <w:rsid w:val="007A3B2A"/>
    <w:rsid w:val="007A3B55"/>
    <w:rsid w:val="007A3C24"/>
    <w:rsid w:val="007A3DA4"/>
    <w:rsid w:val="007A40AC"/>
    <w:rsid w:val="007A490D"/>
    <w:rsid w:val="007A4C6F"/>
    <w:rsid w:val="007A4CE8"/>
    <w:rsid w:val="007A5302"/>
    <w:rsid w:val="007A559B"/>
    <w:rsid w:val="007A55DF"/>
    <w:rsid w:val="007A6189"/>
    <w:rsid w:val="007A6202"/>
    <w:rsid w:val="007A681E"/>
    <w:rsid w:val="007A68F0"/>
    <w:rsid w:val="007A696E"/>
    <w:rsid w:val="007A6E1B"/>
    <w:rsid w:val="007A6F00"/>
    <w:rsid w:val="007A73CA"/>
    <w:rsid w:val="007A75E5"/>
    <w:rsid w:val="007A75E6"/>
    <w:rsid w:val="007A78EB"/>
    <w:rsid w:val="007B0192"/>
    <w:rsid w:val="007B033F"/>
    <w:rsid w:val="007B07C4"/>
    <w:rsid w:val="007B1341"/>
    <w:rsid w:val="007B18A3"/>
    <w:rsid w:val="007B23BC"/>
    <w:rsid w:val="007B23C0"/>
    <w:rsid w:val="007B28EE"/>
    <w:rsid w:val="007B4AC4"/>
    <w:rsid w:val="007B4CFB"/>
    <w:rsid w:val="007B4DD9"/>
    <w:rsid w:val="007B5A2D"/>
    <w:rsid w:val="007B5C56"/>
    <w:rsid w:val="007B66D8"/>
    <w:rsid w:val="007B68AE"/>
    <w:rsid w:val="007B6CDC"/>
    <w:rsid w:val="007B6F93"/>
    <w:rsid w:val="007B709F"/>
    <w:rsid w:val="007B7193"/>
    <w:rsid w:val="007B7766"/>
    <w:rsid w:val="007B7FDC"/>
    <w:rsid w:val="007B7FFC"/>
    <w:rsid w:val="007C00F7"/>
    <w:rsid w:val="007C0531"/>
    <w:rsid w:val="007C0922"/>
    <w:rsid w:val="007C09A9"/>
    <w:rsid w:val="007C0AA1"/>
    <w:rsid w:val="007C1316"/>
    <w:rsid w:val="007C159F"/>
    <w:rsid w:val="007C1734"/>
    <w:rsid w:val="007C1B3F"/>
    <w:rsid w:val="007C1F9A"/>
    <w:rsid w:val="007C261C"/>
    <w:rsid w:val="007C2662"/>
    <w:rsid w:val="007C363B"/>
    <w:rsid w:val="007C3FB3"/>
    <w:rsid w:val="007C4075"/>
    <w:rsid w:val="007C52B1"/>
    <w:rsid w:val="007C5413"/>
    <w:rsid w:val="007C54D2"/>
    <w:rsid w:val="007C58B8"/>
    <w:rsid w:val="007C5C4E"/>
    <w:rsid w:val="007C5DD2"/>
    <w:rsid w:val="007C61B5"/>
    <w:rsid w:val="007C6838"/>
    <w:rsid w:val="007C6920"/>
    <w:rsid w:val="007C75BB"/>
    <w:rsid w:val="007C7886"/>
    <w:rsid w:val="007D04AA"/>
    <w:rsid w:val="007D080D"/>
    <w:rsid w:val="007D0872"/>
    <w:rsid w:val="007D0BCB"/>
    <w:rsid w:val="007D14A6"/>
    <w:rsid w:val="007D1777"/>
    <w:rsid w:val="007D180F"/>
    <w:rsid w:val="007D18C3"/>
    <w:rsid w:val="007D2F6C"/>
    <w:rsid w:val="007D3376"/>
    <w:rsid w:val="007D33ED"/>
    <w:rsid w:val="007D3781"/>
    <w:rsid w:val="007D37FC"/>
    <w:rsid w:val="007D3870"/>
    <w:rsid w:val="007D391E"/>
    <w:rsid w:val="007D3937"/>
    <w:rsid w:val="007D463F"/>
    <w:rsid w:val="007D47F7"/>
    <w:rsid w:val="007D4DC0"/>
    <w:rsid w:val="007D4E4A"/>
    <w:rsid w:val="007D4E56"/>
    <w:rsid w:val="007D52F4"/>
    <w:rsid w:val="007D561F"/>
    <w:rsid w:val="007D5813"/>
    <w:rsid w:val="007D5ACE"/>
    <w:rsid w:val="007D5B34"/>
    <w:rsid w:val="007D5DCD"/>
    <w:rsid w:val="007D6398"/>
    <w:rsid w:val="007D640B"/>
    <w:rsid w:val="007D6625"/>
    <w:rsid w:val="007D6927"/>
    <w:rsid w:val="007D6E47"/>
    <w:rsid w:val="007D6EA2"/>
    <w:rsid w:val="007D7136"/>
    <w:rsid w:val="007D761C"/>
    <w:rsid w:val="007D7729"/>
    <w:rsid w:val="007D7C27"/>
    <w:rsid w:val="007E056F"/>
    <w:rsid w:val="007E0899"/>
    <w:rsid w:val="007E0951"/>
    <w:rsid w:val="007E0AC9"/>
    <w:rsid w:val="007E0C91"/>
    <w:rsid w:val="007E0C9F"/>
    <w:rsid w:val="007E0DFB"/>
    <w:rsid w:val="007E1761"/>
    <w:rsid w:val="007E1AF4"/>
    <w:rsid w:val="007E1B2A"/>
    <w:rsid w:val="007E1E7E"/>
    <w:rsid w:val="007E22F8"/>
    <w:rsid w:val="007E2781"/>
    <w:rsid w:val="007E2D12"/>
    <w:rsid w:val="007E3DF1"/>
    <w:rsid w:val="007E409E"/>
    <w:rsid w:val="007E45F7"/>
    <w:rsid w:val="007E4787"/>
    <w:rsid w:val="007E4930"/>
    <w:rsid w:val="007E4C9C"/>
    <w:rsid w:val="007E4D5D"/>
    <w:rsid w:val="007E508F"/>
    <w:rsid w:val="007E5BE2"/>
    <w:rsid w:val="007E5E63"/>
    <w:rsid w:val="007E649B"/>
    <w:rsid w:val="007E6A03"/>
    <w:rsid w:val="007E6C50"/>
    <w:rsid w:val="007E7B66"/>
    <w:rsid w:val="007E7BF8"/>
    <w:rsid w:val="007E7E16"/>
    <w:rsid w:val="007E7F22"/>
    <w:rsid w:val="007F09A4"/>
    <w:rsid w:val="007F0BA5"/>
    <w:rsid w:val="007F1051"/>
    <w:rsid w:val="007F13B8"/>
    <w:rsid w:val="007F13D1"/>
    <w:rsid w:val="007F1D06"/>
    <w:rsid w:val="007F257E"/>
    <w:rsid w:val="007F2A0C"/>
    <w:rsid w:val="007F2C15"/>
    <w:rsid w:val="007F2E4C"/>
    <w:rsid w:val="007F2E8C"/>
    <w:rsid w:val="007F2EBF"/>
    <w:rsid w:val="007F319C"/>
    <w:rsid w:val="007F37B1"/>
    <w:rsid w:val="007F384F"/>
    <w:rsid w:val="007F3AEA"/>
    <w:rsid w:val="007F3B59"/>
    <w:rsid w:val="007F3EA8"/>
    <w:rsid w:val="007F4A7A"/>
    <w:rsid w:val="007F4FD4"/>
    <w:rsid w:val="007F5960"/>
    <w:rsid w:val="007F615E"/>
    <w:rsid w:val="007F64C2"/>
    <w:rsid w:val="007F6562"/>
    <w:rsid w:val="007F65CA"/>
    <w:rsid w:val="007F6B46"/>
    <w:rsid w:val="007F6B92"/>
    <w:rsid w:val="007F721D"/>
    <w:rsid w:val="007F72DA"/>
    <w:rsid w:val="007F784D"/>
    <w:rsid w:val="007F7B45"/>
    <w:rsid w:val="0080005B"/>
    <w:rsid w:val="00800111"/>
    <w:rsid w:val="0080016B"/>
    <w:rsid w:val="00800490"/>
    <w:rsid w:val="00800721"/>
    <w:rsid w:val="00800759"/>
    <w:rsid w:val="00800DBB"/>
    <w:rsid w:val="0080170D"/>
    <w:rsid w:val="0080179D"/>
    <w:rsid w:val="00801B1D"/>
    <w:rsid w:val="00801B49"/>
    <w:rsid w:val="00801C60"/>
    <w:rsid w:val="00802595"/>
    <w:rsid w:val="008028E6"/>
    <w:rsid w:val="00802F8C"/>
    <w:rsid w:val="008030E0"/>
    <w:rsid w:val="008030ED"/>
    <w:rsid w:val="00803B01"/>
    <w:rsid w:val="00804719"/>
    <w:rsid w:val="00804B7D"/>
    <w:rsid w:val="00804FBA"/>
    <w:rsid w:val="00805086"/>
    <w:rsid w:val="008050F8"/>
    <w:rsid w:val="00805119"/>
    <w:rsid w:val="008052E7"/>
    <w:rsid w:val="0080583C"/>
    <w:rsid w:val="008058DB"/>
    <w:rsid w:val="008067BB"/>
    <w:rsid w:val="00806B8A"/>
    <w:rsid w:val="00806FA7"/>
    <w:rsid w:val="008076ED"/>
    <w:rsid w:val="00807966"/>
    <w:rsid w:val="00807A5C"/>
    <w:rsid w:val="00807DE0"/>
    <w:rsid w:val="008101E1"/>
    <w:rsid w:val="00810671"/>
    <w:rsid w:val="00810AF2"/>
    <w:rsid w:val="00810C08"/>
    <w:rsid w:val="008112DD"/>
    <w:rsid w:val="0081243A"/>
    <w:rsid w:val="00812475"/>
    <w:rsid w:val="008127D8"/>
    <w:rsid w:val="00812F0C"/>
    <w:rsid w:val="00813101"/>
    <w:rsid w:val="008132AB"/>
    <w:rsid w:val="00813501"/>
    <w:rsid w:val="008137EE"/>
    <w:rsid w:val="00813B04"/>
    <w:rsid w:val="0081475B"/>
    <w:rsid w:val="00814785"/>
    <w:rsid w:val="00814F5E"/>
    <w:rsid w:val="00815760"/>
    <w:rsid w:val="008159EB"/>
    <w:rsid w:val="0081661B"/>
    <w:rsid w:val="008167F1"/>
    <w:rsid w:val="00816D28"/>
    <w:rsid w:val="008179B8"/>
    <w:rsid w:val="008204E8"/>
    <w:rsid w:val="00820581"/>
    <w:rsid w:val="008213F6"/>
    <w:rsid w:val="008219B2"/>
    <w:rsid w:val="008220A1"/>
    <w:rsid w:val="00822112"/>
    <w:rsid w:val="00822775"/>
    <w:rsid w:val="00822B12"/>
    <w:rsid w:val="00822B3F"/>
    <w:rsid w:val="00822B60"/>
    <w:rsid w:val="00823F27"/>
    <w:rsid w:val="008242BE"/>
    <w:rsid w:val="008242C3"/>
    <w:rsid w:val="00824430"/>
    <w:rsid w:val="008246EC"/>
    <w:rsid w:val="008248E9"/>
    <w:rsid w:val="008248F0"/>
    <w:rsid w:val="00824DC3"/>
    <w:rsid w:val="008250B5"/>
    <w:rsid w:val="0082585F"/>
    <w:rsid w:val="0082593C"/>
    <w:rsid w:val="00825C91"/>
    <w:rsid w:val="00825DD0"/>
    <w:rsid w:val="00826071"/>
    <w:rsid w:val="00826534"/>
    <w:rsid w:val="0082654D"/>
    <w:rsid w:val="00826D27"/>
    <w:rsid w:val="008271DA"/>
    <w:rsid w:val="008273DB"/>
    <w:rsid w:val="008273F6"/>
    <w:rsid w:val="0082767B"/>
    <w:rsid w:val="00827DC7"/>
    <w:rsid w:val="008301AA"/>
    <w:rsid w:val="00830438"/>
    <w:rsid w:val="008308EF"/>
    <w:rsid w:val="00830902"/>
    <w:rsid w:val="008322AC"/>
    <w:rsid w:val="00832502"/>
    <w:rsid w:val="00832B03"/>
    <w:rsid w:val="008334DF"/>
    <w:rsid w:val="00833600"/>
    <w:rsid w:val="0083382F"/>
    <w:rsid w:val="00833C9E"/>
    <w:rsid w:val="00833D81"/>
    <w:rsid w:val="00833E74"/>
    <w:rsid w:val="00833F2D"/>
    <w:rsid w:val="00833FEA"/>
    <w:rsid w:val="00834120"/>
    <w:rsid w:val="00834335"/>
    <w:rsid w:val="00834399"/>
    <w:rsid w:val="008346C1"/>
    <w:rsid w:val="00834918"/>
    <w:rsid w:val="00834CEC"/>
    <w:rsid w:val="00834D6A"/>
    <w:rsid w:val="00834F1A"/>
    <w:rsid w:val="0083533E"/>
    <w:rsid w:val="00835365"/>
    <w:rsid w:val="008354E6"/>
    <w:rsid w:val="008355A1"/>
    <w:rsid w:val="00835A43"/>
    <w:rsid w:val="00835C25"/>
    <w:rsid w:val="008360B5"/>
    <w:rsid w:val="00836469"/>
    <w:rsid w:val="00836895"/>
    <w:rsid w:val="00836906"/>
    <w:rsid w:val="00836C44"/>
    <w:rsid w:val="00837863"/>
    <w:rsid w:val="0083788B"/>
    <w:rsid w:val="00837953"/>
    <w:rsid w:val="008379BF"/>
    <w:rsid w:val="00837B2C"/>
    <w:rsid w:val="00837D88"/>
    <w:rsid w:val="00837F3E"/>
    <w:rsid w:val="00840D1F"/>
    <w:rsid w:val="00840E92"/>
    <w:rsid w:val="00841A79"/>
    <w:rsid w:val="00841F25"/>
    <w:rsid w:val="008420A7"/>
    <w:rsid w:val="00842DC2"/>
    <w:rsid w:val="0084309C"/>
    <w:rsid w:val="0084309D"/>
    <w:rsid w:val="0084331C"/>
    <w:rsid w:val="00843357"/>
    <w:rsid w:val="0084337A"/>
    <w:rsid w:val="008437FA"/>
    <w:rsid w:val="008439EE"/>
    <w:rsid w:val="00843A2B"/>
    <w:rsid w:val="00843CC4"/>
    <w:rsid w:val="00843F7C"/>
    <w:rsid w:val="008440D0"/>
    <w:rsid w:val="00844246"/>
    <w:rsid w:val="008446E3"/>
    <w:rsid w:val="008449BC"/>
    <w:rsid w:val="00844B48"/>
    <w:rsid w:val="008450E7"/>
    <w:rsid w:val="00845808"/>
    <w:rsid w:val="008458D6"/>
    <w:rsid w:val="008459A0"/>
    <w:rsid w:val="00845B2A"/>
    <w:rsid w:val="0084605C"/>
    <w:rsid w:val="00846322"/>
    <w:rsid w:val="00846689"/>
    <w:rsid w:val="00846988"/>
    <w:rsid w:val="00846B2A"/>
    <w:rsid w:val="00847241"/>
    <w:rsid w:val="008478E9"/>
    <w:rsid w:val="00847B4C"/>
    <w:rsid w:val="00847D53"/>
    <w:rsid w:val="00847E30"/>
    <w:rsid w:val="008501BD"/>
    <w:rsid w:val="0085071D"/>
    <w:rsid w:val="00850A9E"/>
    <w:rsid w:val="00851468"/>
    <w:rsid w:val="00851B6C"/>
    <w:rsid w:val="008524DB"/>
    <w:rsid w:val="0085286F"/>
    <w:rsid w:val="00852AD7"/>
    <w:rsid w:val="00852B95"/>
    <w:rsid w:val="00852C83"/>
    <w:rsid w:val="008537D7"/>
    <w:rsid w:val="00853CE5"/>
    <w:rsid w:val="00853EA8"/>
    <w:rsid w:val="00854284"/>
    <w:rsid w:val="00854703"/>
    <w:rsid w:val="0085474D"/>
    <w:rsid w:val="00854C0A"/>
    <w:rsid w:val="00854D2E"/>
    <w:rsid w:val="008550BC"/>
    <w:rsid w:val="0085539B"/>
    <w:rsid w:val="008553F8"/>
    <w:rsid w:val="00855F8D"/>
    <w:rsid w:val="00856B2F"/>
    <w:rsid w:val="00856D52"/>
    <w:rsid w:val="008578A9"/>
    <w:rsid w:val="0085798E"/>
    <w:rsid w:val="00857A08"/>
    <w:rsid w:val="00857C42"/>
    <w:rsid w:val="00857F23"/>
    <w:rsid w:val="0086001F"/>
    <w:rsid w:val="00860228"/>
    <w:rsid w:val="00860611"/>
    <w:rsid w:val="00860BE4"/>
    <w:rsid w:val="00862079"/>
    <w:rsid w:val="0086317A"/>
    <w:rsid w:val="008633CF"/>
    <w:rsid w:val="00863C65"/>
    <w:rsid w:val="00863E3D"/>
    <w:rsid w:val="00863E4F"/>
    <w:rsid w:val="00863EFF"/>
    <w:rsid w:val="00864419"/>
    <w:rsid w:val="00864446"/>
    <w:rsid w:val="008646AF"/>
    <w:rsid w:val="008647FE"/>
    <w:rsid w:val="00864C47"/>
    <w:rsid w:val="0086519A"/>
    <w:rsid w:val="00865EDE"/>
    <w:rsid w:val="00866989"/>
    <w:rsid w:val="008675CB"/>
    <w:rsid w:val="0087056B"/>
    <w:rsid w:val="008708B8"/>
    <w:rsid w:val="00870DC1"/>
    <w:rsid w:val="00871438"/>
    <w:rsid w:val="0087160F"/>
    <w:rsid w:val="008717BC"/>
    <w:rsid w:val="00871888"/>
    <w:rsid w:val="008719A5"/>
    <w:rsid w:val="00871E67"/>
    <w:rsid w:val="008729AB"/>
    <w:rsid w:val="00872B52"/>
    <w:rsid w:val="00872F3B"/>
    <w:rsid w:val="00872F60"/>
    <w:rsid w:val="00873032"/>
    <w:rsid w:val="00873288"/>
    <w:rsid w:val="00873C5E"/>
    <w:rsid w:val="00873C7C"/>
    <w:rsid w:val="00873DC3"/>
    <w:rsid w:val="00873F98"/>
    <w:rsid w:val="00874357"/>
    <w:rsid w:val="0087528C"/>
    <w:rsid w:val="00875C0E"/>
    <w:rsid w:val="00875C8D"/>
    <w:rsid w:val="00876200"/>
    <w:rsid w:val="00876476"/>
    <w:rsid w:val="008764B8"/>
    <w:rsid w:val="0087658C"/>
    <w:rsid w:val="008772A1"/>
    <w:rsid w:val="008779FD"/>
    <w:rsid w:val="00877E9F"/>
    <w:rsid w:val="00880096"/>
    <w:rsid w:val="00880206"/>
    <w:rsid w:val="0088059F"/>
    <w:rsid w:val="00881200"/>
    <w:rsid w:val="008815E0"/>
    <w:rsid w:val="00881ADE"/>
    <w:rsid w:val="00881B53"/>
    <w:rsid w:val="00881FDB"/>
    <w:rsid w:val="008822E5"/>
    <w:rsid w:val="0088278F"/>
    <w:rsid w:val="00882846"/>
    <w:rsid w:val="00882896"/>
    <w:rsid w:val="008832D4"/>
    <w:rsid w:val="0088430B"/>
    <w:rsid w:val="0088458B"/>
    <w:rsid w:val="008847A6"/>
    <w:rsid w:val="00884849"/>
    <w:rsid w:val="00884DF9"/>
    <w:rsid w:val="00885232"/>
    <w:rsid w:val="0088526E"/>
    <w:rsid w:val="00885F97"/>
    <w:rsid w:val="00886011"/>
    <w:rsid w:val="0088657D"/>
    <w:rsid w:val="00886BF8"/>
    <w:rsid w:val="00886CFB"/>
    <w:rsid w:val="0088717A"/>
    <w:rsid w:val="008876F5"/>
    <w:rsid w:val="008877C0"/>
    <w:rsid w:val="008900D9"/>
    <w:rsid w:val="0089087D"/>
    <w:rsid w:val="00891D4F"/>
    <w:rsid w:val="00891EAC"/>
    <w:rsid w:val="0089204B"/>
    <w:rsid w:val="00892112"/>
    <w:rsid w:val="00892429"/>
    <w:rsid w:val="00892496"/>
    <w:rsid w:val="008926B8"/>
    <w:rsid w:val="00892C5D"/>
    <w:rsid w:val="00892E2D"/>
    <w:rsid w:val="00893058"/>
    <w:rsid w:val="008938E3"/>
    <w:rsid w:val="00893E91"/>
    <w:rsid w:val="00893EC7"/>
    <w:rsid w:val="0089419A"/>
    <w:rsid w:val="00894205"/>
    <w:rsid w:val="00894242"/>
    <w:rsid w:val="0089493D"/>
    <w:rsid w:val="00895174"/>
    <w:rsid w:val="00895320"/>
    <w:rsid w:val="008955F8"/>
    <w:rsid w:val="00895B0D"/>
    <w:rsid w:val="00895D05"/>
    <w:rsid w:val="00895F83"/>
    <w:rsid w:val="00896124"/>
    <w:rsid w:val="008966D1"/>
    <w:rsid w:val="0089677D"/>
    <w:rsid w:val="00896971"/>
    <w:rsid w:val="00896B37"/>
    <w:rsid w:val="00896E1F"/>
    <w:rsid w:val="0089753D"/>
    <w:rsid w:val="008975CA"/>
    <w:rsid w:val="00897782"/>
    <w:rsid w:val="0089790E"/>
    <w:rsid w:val="00897D60"/>
    <w:rsid w:val="008A0EC1"/>
    <w:rsid w:val="008A116D"/>
    <w:rsid w:val="008A15E3"/>
    <w:rsid w:val="008A1FB9"/>
    <w:rsid w:val="008A22B1"/>
    <w:rsid w:val="008A24E7"/>
    <w:rsid w:val="008A29AD"/>
    <w:rsid w:val="008A2A5E"/>
    <w:rsid w:val="008A2BC3"/>
    <w:rsid w:val="008A33CD"/>
    <w:rsid w:val="008A3E8C"/>
    <w:rsid w:val="008A436D"/>
    <w:rsid w:val="008A4742"/>
    <w:rsid w:val="008A499B"/>
    <w:rsid w:val="008A4BD9"/>
    <w:rsid w:val="008A596C"/>
    <w:rsid w:val="008A5C3C"/>
    <w:rsid w:val="008A5F3E"/>
    <w:rsid w:val="008A6287"/>
    <w:rsid w:val="008A6D52"/>
    <w:rsid w:val="008A717A"/>
    <w:rsid w:val="008A74E2"/>
    <w:rsid w:val="008A78CB"/>
    <w:rsid w:val="008A78FA"/>
    <w:rsid w:val="008B0248"/>
    <w:rsid w:val="008B0323"/>
    <w:rsid w:val="008B0A03"/>
    <w:rsid w:val="008B0A4A"/>
    <w:rsid w:val="008B0BD3"/>
    <w:rsid w:val="008B0C73"/>
    <w:rsid w:val="008B1514"/>
    <w:rsid w:val="008B1807"/>
    <w:rsid w:val="008B1940"/>
    <w:rsid w:val="008B1C8F"/>
    <w:rsid w:val="008B28C5"/>
    <w:rsid w:val="008B2C39"/>
    <w:rsid w:val="008B2CDA"/>
    <w:rsid w:val="008B2FCA"/>
    <w:rsid w:val="008B309D"/>
    <w:rsid w:val="008B3DF4"/>
    <w:rsid w:val="008B3F13"/>
    <w:rsid w:val="008B4082"/>
    <w:rsid w:val="008B425A"/>
    <w:rsid w:val="008B4678"/>
    <w:rsid w:val="008B4696"/>
    <w:rsid w:val="008B477F"/>
    <w:rsid w:val="008B4E84"/>
    <w:rsid w:val="008B510E"/>
    <w:rsid w:val="008B57A3"/>
    <w:rsid w:val="008B5A2D"/>
    <w:rsid w:val="008B6A62"/>
    <w:rsid w:val="008B6DC8"/>
    <w:rsid w:val="008B7E57"/>
    <w:rsid w:val="008C0DD7"/>
    <w:rsid w:val="008C196B"/>
    <w:rsid w:val="008C1A70"/>
    <w:rsid w:val="008C2439"/>
    <w:rsid w:val="008C26E6"/>
    <w:rsid w:val="008C2915"/>
    <w:rsid w:val="008C296C"/>
    <w:rsid w:val="008C2DCA"/>
    <w:rsid w:val="008C30A1"/>
    <w:rsid w:val="008C353F"/>
    <w:rsid w:val="008C358C"/>
    <w:rsid w:val="008C362D"/>
    <w:rsid w:val="008C44EF"/>
    <w:rsid w:val="008C4D62"/>
    <w:rsid w:val="008C5B3D"/>
    <w:rsid w:val="008C5C9B"/>
    <w:rsid w:val="008C63DA"/>
    <w:rsid w:val="008C67EF"/>
    <w:rsid w:val="008C6947"/>
    <w:rsid w:val="008C69D6"/>
    <w:rsid w:val="008C69DD"/>
    <w:rsid w:val="008C6BED"/>
    <w:rsid w:val="008C708E"/>
    <w:rsid w:val="008C7185"/>
    <w:rsid w:val="008C71B3"/>
    <w:rsid w:val="008C7220"/>
    <w:rsid w:val="008C787C"/>
    <w:rsid w:val="008C790A"/>
    <w:rsid w:val="008C7E7E"/>
    <w:rsid w:val="008C7F75"/>
    <w:rsid w:val="008D065A"/>
    <w:rsid w:val="008D0828"/>
    <w:rsid w:val="008D0858"/>
    <w:rsid w:val="008D0FBE"/>
    <w:rsid w:val="008D18B6"/>
    <w:rsid w:val="008D1A1F"/>
    <w:rsid w:val="008D1A97"/>
    <w:rsid w:val="008D1C6F"/>
    <w:rsid w:val="008D1D50"/>
    <w:rsid w:val="008D2153"/>
    <w:rsid w:val="008D2B3C"/>
    <w:rsid w:val="008D31B6"/>
    <w:rsid w:val="008D33AE"/>
    <w:rsid w:val="008D349E"/>
    <w:rsid w:val="008D3A77"/>
    <w:rsid w:val="008D4C8F"/>
    <w:rsid w:val="008D4CB6"/>
    <w:rsid w:val="008D4EBF"/>
    <w:rsid w:val="008D5A85"/>
    <w:rsid w:val="008D5DCD"/>
    <w:rsid w:val="008D666B"/>
    <w:rsid w:val="008D66B7"/>
    <w:rsid w:val="008D6A6F"/>
    <w:rsid w:val="008D6E3E"/>
    <w:rsid w:val="008D70BB"/>
    <w:rsid w:val="008D7A86"/>
    <w:rsid w:val="008E0361"/>
    <w:rsid w:val="008E0510"/>
    <w:rsid w:val="008E080F"/>
    <w:rsid w:val="008E1360"/>
    <w:rsid w:val="008E1A1A"/>
    <w:rsid w:val="008E2513"/>
    <w:rsid w:val="008E2812"/>
    <w:rsid w:val="008E2936"/>
    <w:rsid w:val="008E2CCB"/>
    <w:rsid w:val="008E3504"/>
    <w:rsid w:val="008E3913"/>
    <w:rsid w:val="008E39D0"/>
    <w:rsid w:val="008E4B98"/>
    <w:rsid w:val="008E4F2F"/>
    <w:rsid w:val="008E51F3"/>
    <w:rsid w:val="008E575D"/>
    <w:rsid w:val="008E58EF"/>
    <w:rsid w:val="008E6054"/>
    <w:rsid w:val="008E614B"/>
    <w:rsid w:val="008E6209"/>
    <w:rsid w:val="008E6A2B"/>
    <w:rsid w:val="008E6FA3"/>
    <w:rsid w:val="008E7523"/>
    <w:rsid w:val="008E7A46"/>
    <w:rsid w:val="008F0864"/>
    <w:rsid w:val="008F0D4C"/>
    <w:rsid w:val="008F13F4"/>
    <w:rsid w:val="008F14A1"/>
    <w:rsid w:val="008F1811"/>
    <w:rsid w:val="008F2015"/>
    <w:rsid w:val="008F2263"/>
    <w:rsid w:val="008F2495"/>
    <w:rsid w:val="008F2827"/>
    <w:rsid w:val="008F2D27"/>
    <w:rsid w:val="008F34B9"/>
    <w:rsid w:val="008F385C"/>
    <w:rsid w:val="008F3880"/>
    <w:rsid w:val="008F3A72"/>
    <w:rsid w:val="008F3C02"/>
    <w:rsid w:val="008F3EA9"/>
    <w:rsid w:val="008F43CE"/>
    <w:rsid w:val="008F44E3"/>
    <w:rsid w:val="008F45B4"/>
    <w:rsid w:val="008F4867"/>
    <w:rsid w:val="008F526B"/>
    <w:rsid w:val="008F542E"/>
    <w:rsid w:val="008F6A28"/>
    <w:rsid w:val="008F76AC"/>
    <w:rsid w:val="009006A5"/>
    <w:rsid w:val="00900972"/>
    <w:rsid w:val="00900FC7"/>
    <w:rsid w:val="0090107B"/>
    <w:rsid w:val="00901232"/>
    <w:rsid w:val="0090170F"/>
    <w:rsid w:val="00901794"/>
    <w:rsid w:val="0090192B"/>
    <w:rsid w:val="00901B4E"/>
    <w:rsid w:val="00901B58"/>
    <w:rsid w:val="0090228C"/>
    <w:rsid w:val="009024C0"/>
    <w:rsid w:val="009034F1"/>
    <w:rsid w:val="0090391A"/>
    <w:rsid w:val="00903A80"/>
    <w:rsid w:val="00903B7D"/>
    <w:rsid w:val="00903F9F"/>
    <w:rsid w:val="009040DC"/>
    <w:rsid w:val="0090429D"/>
    <w:rsid w:val="009043A4"/>
    <w:rsid w:val="00904637"/>
    <w:rsid w:val="009049AD"/>
    <w:rsid w:val="00904D2C"/>
    <w:rsid w:val="00904D39"/>
    <w:rsid w:val="009055D8"/>
    <w:rsid w:val="00905DDE"/>
    <w:rsid w:val="009064EC"/>
    <w:rsid w:val="009075BB"/>
    <w:rsid w:val="009077B9"/>
    <w:rsid w:val="0090794F"/>
    <w:rsid w:val="00907AF7"/>
    <w:rsid w:val="00907C95"/>
    <w:rsid w:val="00907FAC"/>
    <w:rsid w:val="00907FD5"/>
    <w:rsid w:val="00910913"/>
    <w:rsid w:val="00910D8C"/>
    <w:rsid w:val="00911A34"/>
    <w:rsid w:val="00911EB5"/>
    <w:rsid w:val="00912C3A"/>
    <w:rsid w:val="009133C4"/>
    <w:rsid w:val="009133F1"/>
    <w:rsid w:val="00913B3D"/>
    <w:rsid w:val="00913D3F"/>
    <w:rsid w:val="00913FC5"/>
    <w:rsid w:val="00914784"/>
    <w:rsid w:val="00914D2B"/>
    <w:rsid w:val="009152A2"/>
    <w:rsid w:val="00915CE3"/>
    <w:rsid w:val="00915F70"/>
    <w:rsid w:val="009161AC"/>
    <w:rsid w:val="0091627A"/>
    <w:rsid w:val="00916622"/>
    <w:rsid w:val="0091740C"/>
    <w:rsid w:val="0091752D"/>
    <w:rsid w:val="009176FE"/>
    <w:rsid w:val="009177D7"/>
    <w:rsid w:val="00917B81"/>
    <w:rsid w:val="009205B6"/>
    <w:rsid w:val="00920F55"/>
    <w:rsid w:val="0092238B"/>
    <w:rsid w:val="00922736"/>
    <w:rsid w:val="00922988"/>
    <w:rsid w:val="00922B1D"/>
    <w:rsid w:val="00923029"/>
    <w:rsid w:val="009230D9"/>
    <w:rsid w:val="00923BA1"/>
    <w:rsid w:val="00924E36"/>
    <w:rsid w:val="009254EC"/>
    <w:rsid w:val="009255E7"/>
    <w:rsid w:val="00925669"/>
    <w:rsid w:val="00925734"/>
    <w:rsid w:val="00925836"/>
    <w:rsid w:val="00925ECD"/>
    <w:rsid w:val="00925FCB"/>
    <w:rsid w:val="009260AD"/>
    <w:rsid w:val="0092615C"/>
    <w:rsid w:val="009266DB"/>
    <w:rsid w:val="00926978"/>
    <w:rsid w:val="00926D60"/>
    <w:rsid w:val="00926F7C"/>
    <w:rsid w:val="0092709C"/>
    <w:rsid w:val="00927AC3"/>
    <w:rsid w:val="00927BF5"/>
    <w:rsid w:val="00927DD3"/>
    <w:rsid w:val="00930202"/>
    <w:rsid w:val="0093025E"/>
    <w:rsid w:val="00930845"/>
    <w:rsid w:val="00930B13"/>
    <w:rsid w:val="00930C81"/>
    <w:rsid w:val="00930D44"/>
    <w:rsid w:val="00931C13"/>
    <w:rsid w:val="0093245E"/>
    <w:rsid w:val="00932BA9"/>
    <w:rsid w:val="009336E2"/>
    <w:rsid w:val="00933D84"/>
    <w:rsid w:val="00933E74"/>
    <w:rsid w:val="009342BF"/>
    <w:rsid w:val="009342E3"/>
    <w:rsid w:val="0093494D"/>
    <w:rsid w:val="0093495A"/>
    <w:rsid w:val="00934E0B"/>
    <w:rsid w:val="0093512B"/>
    <w:rsid w:val="00935AA1"/>
    <w:rsid w:val="00935B60"/>
    <w:rsid w:val="00935CAB"/>
    <w:rsid w:val="00936161"/>
    <w:rsid w:val="009367E3"/>
    <w:rsid w:val="009375D8"/>
    <w:rsid w:val="0094018F"/>
    <w:rsid w:val="0094069E"/>
    <w:rsid w:val="00940BAC"/>
    <w:rsid w:val="00940BE0"/>
    <w:rsid w:val="009415C5"/>
    <w:rsid w:val="00941ABE"/>
    <w:rsid w:val="009424FE"/>
    <w:rsid w:val="00942BBB"/>
    <w:rsid w:val="00942DB3"/>
    <w:rsid w:val="00942E7A"/>
    <w:rsid w:val="009435AA"/>
    <w:rsid w:val="00943694"/>
    <w:rsid w:val="009439AE"/>
    <w:rsid w:val="00943CE9"/>
    <w:rsid w:val="009444F8"/>
    <w:rsid w:val="009455AC"/>
    <w:rsid w:val="00945FEE"/>
    <w:rsid w:val="0094632D"/>
    <w:rsid w:val="00946686"/>
    <w:rsid w:val="009467CC"/>
    <w:rsid w:val="00946C80"/>
    <w:rsid w:val="00946DE1"/>
    <w:rsid w:val="00947D42"/>
    <w:rsid w:val="00947F2F"/>
    <w:rsid w:val="00947F57"/>
    <w:rsid w:val="00947F5A"/>
    <w:rsid w:val="00950146"/>
    <w:rsid w:val="009502AC"/>
    <w:rsid w:val="00950398"/>
    <w:rsid w:val="0095088D"/>
    <w:rsid w:val="009511D9"/>
    <w:rsid w:val="0095238E"/>
    <w:rsid w:val="009527E4"/>
    <w:rsid w:val="009531B2"/>
    <w:rsid w:val="009532BC"/>
    <w:rsid w:val="00954182"/>
    <w:rsid w:val="009541C1"/>
    <w:rsid w:val="009541FD"/>
    <w:rsid w:val="00954603"/>
    <w:rsid w:val="009546CE"/>
    <w:rsid w:val="00954883"/>
    <w:rsid w:val="00954B17"/>
    <w:rsid w:val="00955366"/>
    <w:rsid w:val="00956088"/>
    <w:rsid w:val="00956266"/>
    <w:rsid w:val="0095632F"/>
    <w:rsid w:val="00956851"/>
    <w:rsid w:val="00956EF1"/>
    <w:rsid w:val="00956F9A"/>
    <w:rsid w:val="009570F7"/>
    <w:rsid w:val="00960261"/>
    <w:rsid w:val="0096056B"/>
    <w:rsid w:val="009608F5"/>
    <w:rsid w:val="00960F49"/>
    <w:rsid w:val="009618D8"/>
    <w:rsid w:val="00961A2B"/>
    <w:rsid w:val="00961E8A"/>
    <w:rsid w:val="00962169"/>
    <w:rsid w:val="009624EF"/>
    <w:rsid w:val="009629C0"/>
    <w:rsid w:val="00962A50"/>
    <w:rsid w:val="00962DB3"/>
    <w:rsid w:val="00963206"/>
    <w:rsid w:val="0096351B"/>
    <w:rsid w:val="009642CE"/>
    <w:rsid w:val="00964421"/>
    <w:rsid w:val="00964A26"/>
    <w:rsid w:val="00964B31"/>
    <w:rsid w:val="00965294"/>
    <w:rsid w:val="00965307"/>
    <w:rsid w:val="00965351"/>
    <w:rsid w:val="009653D1"/>
    <w:rsid w:val="009658C8"/>
    <w:rsid w:val="00965F46"/>
    <w:rsid w:val="00965FEA"/>
    <w:rsid w:val="009672E8"/>
    <w:rsid w:val="0096739F"/>
    <w:rsid w:val="009675B1"/>
    <w:rsid w:val="00967A50"/>
    <w:rsid w:val="00967BDC"/>
    <w:rsid w:val="00970405"/>
    <w:rsid w:val="00970602"/>
    <w:rsid w:val="00970CE4"/>
    <w:rsid w:val="00970DC5"/>
    <w:rsid w:val="00970E9A"/>
    <w:rsid w:val="00971453"/>
    <w:rsid w:val="00971480"/>
    <w:rsid w:val="00972AF6"/>
    <w:rsid w:val="00972D91"/>
    <w:rsid w:val="00972F50"/>
    <w:rsid w:val="00973328"/>
    <w:rsid w:val="00974F1B"/>
    <w:rsid w:val="00974F2F"/>
    <w:rsid w:val="00974FAC"/>
    <w:rsid w:val="009756AB"/>
    <w:rsid w:val="00975918"/>
    <w:rsid w:val="00975DBA"/>
    <w:rsid w:val="00975DBB"/>
    <w:rsid w:val="00976313"/>
    <w:rsid w:val="0097633E"/>
    <w:rsid w:val="00976B54"/>
    <w:rsid w:val="00976BE9"/>
    <w:rsid w:val="00976E03"/>
    <w:rsid w:val="009770C0"/>
    <w:rsid w:val="009770ED"/>
    <w:rsid w:val="0097720B"/>
    <w:rsid w:val="00977580"/>
    <w:rsid w:val="00977A2D"/>
    <w:rsid w:val="00977BCC"/>
    <w:rsid w:val="00977C59"/>
    <w:rsid w:val="009803BE"/>
    <w:rsid w:val="00980652"/>
    <w:rsid w:val="00980922"/>
    <w:rsid w:val="009811B2"/>
    <w:rsid w:val="009813C2"/>
    <w:rsid w:val="00981D29"/>
    <w:rsid w:val="00981FD9"/>
    <w:rsid w:val="0098207B"/>
    <w:rsid w:val="00982ED7"/>
    <w:rsid w:val="00982EF5"/>
    <w:rsid w:val="00983521"/>
    <w:rsid w:val="00983E78"/>
    <w:rsid w:val="00984135"/>
    <w:rsid w:val="00984468"/>
    <w:rsid w:val="00984AA3"/>
    <w:rsid w:val="00985550"/>
    <w:rsid w:val="009859A5"/>
    <w:rsid w:val="00986F2E"/>
    <w:rsid w:val="00987391"/>
    <w:rsid w:val="00987559"/>
    <w:rsid w:val="009876A0"/>
    <w:rsid w:val="009876D1"/>
    <w:rsid w:val="0098771B"/>
    <w:rsid w:val="009878F6"/>
    <w:rsid w:val="009906DE"/>
    <w:rsid w:val="00990CD1"/>
    <w:rsid w:val="00991430"/>
    <w:rsid w:val="00992022"/>
    <w:rsid w:val="0099245E"/>
    <w:rsid w:val="00993367"/>
    <w:rsid w:val="009933C1"/>
    <w:rsid w:val="0099340C"/>
    <w:rsid w:val="00993505"/>
    <w:rsid w:val="009946CB"/>
    <w:rsid w:val="00994A3D"/>
    <w:rsid w:val="0099541A"/>
    <w:rsid w:val="009956CB"/>
    <w:rsid w:val="00995738"/>
    <w:rsid w:val="00995CE5"/>
    <w:rsid w:val="00996062"/>
    <w:rsid w:val="009964DD"/>
    <w:rsid w:val="00996DE7"/>
    <w:rsid w:val="00996E0D"/>
    <w:rsid w:val="00997189"/>
    <w:rsid w:val="0099779B"/>
    <w:rsid w:val="00997DE8"/>
    <w:rsid w:val="00997E53"/>
    <w:rsid w:val="009A0DD9"/>
    <w:rsid w:val="009A11D3"/>
    <w:rsid w:val="009A167A"/>
    <w:rsid w:val="009A18D0"/>
    <w:rsid w:val="009A1E0B"/>
    <w:rsid w:val="009A205F"/>
    <w:rsid w:val="009A227A"/>
    <w:rsid w:val="009A250D"/>
    <w:rsid w:val="009A2730"/>
    <w:rsid w:val="009A39B9"/>
    <w:rsid w:val="009A3D10"/>
    <w:rsid w:val="009A3D1F"/>
    <w:rsid w:val="009A4667"/>
    <w:rsid w:val="009A4D05"/>
    <w:rsid w:val="009A5201"/>
    <w:rsid w:val="009A5523"/>
    <w:rsid w:val="009A582B"/>
    <w:rsid w:val="009A5935"/>
    <w:rsid w:val="009A5BBA"/>
    <w:rsid w:val="009A6090"/>
    <w:rsid w:val="009A61CF"/>
    <w:rsid w:val="009A6B3D"/>
    <w:rsid w:val="009A753D"/>
    <w:rsid w:val="009A76BC"/>
    <w:rsid w:val="009B00BC"/>
    <w:rsid w:val="009B0555"/>
    <w:rsid w:val="009B0B90"/>
    <w:rsid w:val="009B0C48"/>
    <w:rsid w:val="009B1580"/>
    <w:rsid w:val="009B1B05"/>
    <w:rsid w:val="009B1E25"/>
    <w:rsid w:val="009B22FD"/>
    <w:rsid w:val="009B2585"/>
    <w:rsid w:val="009B2777"/>
    <w:rsid w:val="009B3268"/>
    <w:rsid w:val="009B37CF"/>
    <w:rsid w:val="009B4A0A"/>
    <w:rsid w:val="009B554D"/>
    <w:rsid w:val="009B5EC4"/>
    <w:rsid w:val="009B6108"/>
    <w:rsid w:val="009B7241"/>
    <w:rsid w:val="009B7254"/>
    <w:rsid w:val="009B735C"/>
    <w:rsid w:val="009B7A37"/>
    <w:rsid w:val="009B7A47"/>
    <w:rsid w:val="009B7ABE"/>
    <w:rsid w:val="009C0446"/>
    <w:rsid w:val="009C0B77"/>
    <w:rsid w:val="009C0BF2"/>
    <w:rsid w:val="009C0F6E"/>
    <w:rsid w:val="009C16A2"/>
    <w:rsid w:val="009C16E7"/>
    <w:rsid w:val="009C18A9"/>
    <w:rsid w:val="009C1C92"/>
    <w:rsid w:val="009C2321"/>
    <w:rsid w:val="009C29F7"/>
    <w:rsid w:val="009C32F7"/>
    <w:rsid w:val="009C3414"/>
    <w:rsid w:val="009C36A4"/>
    <w:rsid w:val="009C36AA"/>
    <w:rsid w:val="009C38A2"/>
    <w:rsid w:val="009C3FB5"/>
    <w:rsid w:val="009C43A4"/>
    <w:rsid w:val="009C4413"/>
    <w:rsid w:val="009C48F1"/>
    <w:rsid w:val="009C51EC"/>
    <w:rsid w:val="009C5323"/>
    <w:rsid w:val="009C6030"/>
    <w:rsid w:val="009C6621"/>
    <w:rsid w:val="009C6D53"/>
    <w:rsid w:val="009C6FDF"/>
    <w:rsid w:val="009C781B"/>
    <w:rsid w:val="009D088E"/>
    <w:rsid w:val="009D0F5F"/>
    <w:rsid w:val="009D1020"/>
    <w:rsid w:val="009D112B"/>
    <w:rsid w:val="009D17DA"/>
    <w:rsid w:val="009D224A"/>
    <w:rsid w:val="009D245F"/>
    <w:rsid w:val="009D2467"/>
    <w:rsid w:val="009D289C"/>
    <w:rsid w:val="009D2D67"/>
    <w:rsid w:val="009D3230"/>
    <w:rsid w:val="009D348C"/>
    <w:rsid w:val="009D34EB"/>
    <w:rsid w:val="009D3524"/>
    <w:rsid w:val="009D359A"/>
    <w:rsid w:val="009D360B"/>
    <w:rsid w:val="009D36D4"/>
    <w:rsid w:val="009D3C7E"/>
    <w:rsid w:val="009D42EF"/>
    <w:rsid w:val="009D4AD7"/>
    <w:rsid w:val="009D4CDF"/>
    <w:rsid w:val="009D4F87"/>
    <w:rsid w:val="009D51C9"/>
    <w:rsid w:val="009D527C"/>
    <w:rsid w:val="009D5578"/>
    <w:rsid w:val="009D579B"/>
    <w:rsid w:val="009D6EDB"/>
    <w:rsid w:val="009D765B"/>
    <w:rsid w:val="009D7BC7"/>
    <w:rsid w:val="009D7DD2"/>
    <w:rsid w:val="009E010F"/>
    <w:rsid w:val="009E0185"/>
    <w:rsid w:val="009E0F15"/>
    <w:rsid w:val="009E102A"/>
    <w:rsid w:val="009E115C"/>
    <w:rsid w:val="009E1370"/>
    <w:rsid w:val="009E28E8"/>
    <w:rsid w:val="009E29AF"/>
    <w:rsid w:val="009E2A0B"/>
    <w:rsid w:val="009E2C7E"/>
    <w:rsid w:val="009E37F1"/>
    <w:rsid w:val="009E39D7"/>
    <w:rsid w:val="009E3AE4"/>
    <w:rsid w:val="009E3CAB"/>
    <w:rsid w:val="009E42DC"/>
    <w:rsid w:val="009E459E"/>
    <w:rsid w:val="009E4B0B"/>
    <w:rsid w:val="009E549D"/>
    <w:rsid w:val="009E59E3"/>
    <w:rsid w:val="009E5BBD"/>
    <w:rsid w:val="009E5D70"/>
    <w:rsid w:val="009E6101"/>
    <w:rsid w:val="009E6157"/>
    <w:rsid w:val="009E657F"/>
    <w:rsid w:val="009E66C4"/>
    <w:rsid w:val="009E693D"/>
    <w:rsid w:val="009E6E2C"/>
    <w:rsid w:val="009E7013"/>
    <w:rsid w:val="009E79EF"/>
    <w:rsid w:val="009E7E7A"/>
    <w:rsid w:val="009E7E83"/>
    <w:rsid w:val="009F0495"/>
    <w:rsid w:val="009F0A7F"/>
    <w:rsid w:val="009F0F1E"/>
    <w:rsid w:val="009F1049"/>
    <w:rsid w:val="009F1058"/>
    <w:rsid w:val="009F140E"/>
    <w:rsid w:val="009F1892"/>
    <w:rsid w:val="009F1E7C"/>
    <w:rsid w:val="009F23A8"/>
    <w:rsid w:val="009F2651"/>
    <w:rsid w:val="009F26E0"/>
    <w:rsid w:val="009F2933"/>
    <w:rsid w:val="009F2C28"/>
    <w:rsid w:val="009F2F2D"/>
    <w:rsid w:val="009F32D5"/>
    <w:rsid w:val="009F3A89"/>
    <w:rsid w:val="009F3CAF"/>
    <w:rsid w:val="009F3D97"/>
    <w:rsid w:val="009F3DD8"/>
    <w:rsid w:val="009F480D"/>
    <w:rsid w:val="009F4AC6"/>
    <w:rsid w:val="009F4B69"/>
    <w:rsid w:val="009F53FC"/>
    <w:rsid w:val="009F5425"/>
    <w:rsid w:val="009F5C92"/>
    <w:rsid w:val="009F64F1"/>
    <w:rsid w:val="009F6931"/>
    <w:rsid w:val="009F7041"/>
    <w:rsid w:val="009F7720"/>
    <w:rsid w:val="00A00097"/>
    <w:rsid w:val="00A004F7"/>
    <w:rsid w:val="00A00B7C"/>
    <w:rsid w:val="00A00E66"/>
    <w:rsid w:val="00A0118B"/>
    <w:rsid w:val="00A012E9"/>
    <w:rsid w:val="00A01601"/>
    <w:rsid w:val="00A01675"/>
    <w:rsid w:val="00A0170F"/>
    <w:rsid w:val="00A01746"/>
    <w:rsid w:val="00A01785"/>
    <w:rsid w:val="00A01C3C"/>
    <w:rsid w:val="00A01FA1"/>
    <w:rsid w:val="00A025DA"/>
    <w:rsid w:val="00A02BDB"/>
    <w:rsid w:val="00A031F1"/>
    <w:rsid w:val="00A036AC"/>
    <w:rsid w:val="00A0377B"/>
    <w:rsid w:val="00A03CB1"/>
    <w:rsid w:val="00A03F65"/>
    <w:rsid w:val="00A04050"/>
    <w:rsid w:val="00A04164"/>
    <w:rsid w:val="00A04223"/>
    <w:rsid w:val="00A04DE3"/>
    <w:rsid w:val="00A04E60"/>
    <w:rsid w:val="00A05084"/>
    <w:rsid w:val="00A05F23"/>
    <w:rsid w:val="00A06258"/>
    <w:rsid w:val="00A0630C"/>
    <w:rsid w:val="00A0698C"/>
    <w:rsid w:val="00A077DE"/>
    <w:rsid w:val="00A07804"/>
    <w:rsid w:val="00A07E58"/>
    <w:rsid w:val="00A10008"/>
    <w:rsid w:val="00A106F3"/>
    <w:rsid w:val="00A108E8"/>
    <w:rsid w:val="00A10A81"/>
    <w:rsid w:val="00A10A8D"/>
    <w:rsid w:val="00A10DBF"/>
    <w:rsid w:val="00A116F8"/>
    <w:rsid w:val="00A11CCD"/>
    <w:rsid w:val="00A1217C"/>
    <w:rsid w:val="00A123FC"/>
    <w:rsid w:val="00A12ED4"/>
    <w:rsid w:val="00A134A4"/>
    <w:rsid w:val="00A1411D"/>
    <w:rsid w:val="00A14233"/>
    <w:rsid w:val="00A1491E"/>
    <w:rsid w:val="00A1495B"/>
    <w:rsid w:val="00A1499D"/>
    <w:rsid w:val="00A14B5E"/>
    <w:rsid w:val="00A14D33"/>
    <w:rsid w:val="00A151ED"/>
    <w:rsid w:val="00A15D50"/>
    <w:rsid w:val="00A15E90"/>
    <w:rsid w:val="00A16EB6"/>
    <w:rsid w:val="00A16F93"/>
    <w:rsid w:val="00A17A66"/>
    <w:rsid w:val="00A17C4B"/>
    <w:rsid w:val="00A17D8B"/>
    <w:rsid w:val="00A17E3E"/>
    <w:rsid w:val="00A20573"/>
    <w:rsid w:val="00A20B8D"/>
    <w:rsid w:val="00A20FDB"/>
    <w:rsid w:val="00A21330"/>
    <w:rsid w:val="00A21855"/>
    <w:rsid w:val="00A21DBA"/>
    <w:rsid w:val="00A22283"/>
    <w:rsid w:val="00A22526"/>
    <w:rsid w:val="00A225D3"/>
    <w:rsid w:val="00A22B83"/>
    <w:rsid w:val="00A22F96"/>
    <w:rsid w:val="00A238C7"/>
    <w:rsid w:val="00A23C48"/>
    <w:rsid w:val="00A2435F"/>
    <w:rsid w:val="00A24364"/>
    <w:rsid w:val="00A246ED"/>
    <w:rsid w:val="00A24C6C"/>
    <w:rsid w:val="00A254C7"/>
    <w:rsid w:val="00A254F1"/>
    <w:rsid w:val="00A256BC"/>
    <w:rsid w:val="00A25B0B"/>
    <w:rsid w:val="00A26079"/>
    <w:rsid w:val="00A26383"/>
    <w:rsid w:val="00A26B44"/>
    <w:rsid w:val="00A26E9F"/>
    <w:rsid w:val="00A2770B"/>
    <w:rsid w:val="00A27713"/>
    <w:rsid w:val="00A277D5"/>
    <w:rsid w:val="00A27EC9"/>
    <w:rsid w:val="00A30266"/>
    <w:rsid w:val="00A31466"/>
    <w:rsid w:val="00A31708"/>
    <w:rsid w:val="00A31CEA"/>
    <w:rsid w:val="00A3247E"/>
    <w:rsid w:val="00A3277C"/>
    <w:rsid w:val="00A327A8"/>
    <w:rsid w:val="00A3282C"/>
    <w:rsid w:val="00A32EDA"/>
    <w:rsid w:val="00A330C1"/>
    <w:rsid w:val="00A331F3"/>
    <w:rsid w:val="00A33BF2"/>
    <w:rsid w:val="00A340B7"/>
    <w:rsid w:val="00A3421C"/>
    <w:rsid w:val="00A342C0"/>
    <w:rsid w:val="00A3489D"/>
    <w:rsid w:val="00A34B36"/>
    <w:rsid w:val="00A34C36"/>
    <w:rsid w:val="00A34CE4"/>
    <w:rsid w:val="00A35506"/>
    <w:rsid w:val="00A35CD2"/>
    <w:rsid w:val="00A36B6F"/>
    <w:rsid w:val="00A36CFA"/>
    <w:rsid w:val="00A36EA4"/>
    <w:rsid w:val="00A375A9"/>
    <w:rsid w:val="00A377DE"/>
    <w:rsid w:val="00A37C67"/>
    <w:rsid w:val="00A4020C"/>
    <w:rsid w:val="00A4025C"/>
    <w:rsid w:val="00A4025E"/>
    <w:rsid w:val="00A405D0"/>
    <w:rsid w:val="00A40746"/>
    <w:rsid w:val="00A40983"/>
    <w:rsid w:val="00A40D31"/>
    <w:rsid w:val="00A40E4E"/>
    <w:rsid w:val="00A40ED9"/>
    <w:rsid w:val="00A410F7"/>
    <w:rsid w:val="00A41144"/>
    <w:rsid w:val="00A41189"/>
    <w:rsid w:val="00A41202"/>
    <w:rsid w:val="00A413F8"/>
    <w:rsid w:val="00A4196E"/>
    <w:rsid w:val="00A41B94"/>
    <w:rsid w:val="00A41CB0"/>
    <w:rsid w:val="00A42010"/>
    <w:rsid w:val="00A421AA"/>
    <w:rsid w:val="00A421ED"/>
    <w:rsid w:val="00A42DB6"/>
    <w:rsid w:val="00A43244"/>
    <w:rsid w:val="00A44226"/>
    <w:rsid w:val="00A44937"/>
    <w:rsid w:val="00A456AB"/>
    <w:rsid w:val="00A45ACF"/>
    <w:rsid w:val="00A45FF6"/>
    <w:rsid w:val="00A46B00"/>
    <w:rsid w:val="00A46C61"/>
    <w:rsid w:val="00A46D72"/>
    <w:rsid w:val="00A46E6E"/>
    <w:rsid w:val="00A46F16"/>
    <w:rsid w:val="00A46F43"/>
    <w:rsid w:val="00A46F9C"/>
    <w:rsid w:val="00A47206"/>
    <w:rsid w:val="00A4729F"/>
    <w:rsid w:val="00A47911"/>
    <w:rsid w:val="00A47C3B"/>
    <w:rsid w:val="00A50602"/>
    <w:rsid w:val="00A50757"/>
    <w:rsid w:val="00A50993"/>
    <w:rsid w:val="00A50E55"/>
    <w:rsid w:val="00A51B99"/>
    <w:rsid w:val="00A51CB3"/>
    <w:rsid w:val="00A51EED"/>
    <w:rsid w:val="00A52879"/>
    <w:rsid w:val="00A52E3B"/>
    <w:rsid w:val="00A54634"/>
    <w:rsid w:val="00A54674"/>
    <w:rsid w:val="00A54E70"/>
    <w:rsid w:val="00A55931"/>
    <w:rsid w:val="00A55CFB"/>
    <w:rsid w:val="00A5635F"/>
    <w:rsid w:val="00A5654E"/>
    <w:rsid w:val="00A5748F"/>
    <w:rsid w:val="00A574ED"/>
    <w:rsid w:val="00A575A5"/>
    <w:rsid w:val="00A57700"/>
    <w:rsid w:val="00A57C41"/>
    <w:rsid w:val="00A57EAD"/>
    <w:rsid w:val="00A6008E"/>
    <w:rsid w:val="00A6034C"/>
    <w:rsid w:val="00A60937"/>
    <w:rsid w:val="00A60979"/>
    <w:rsid w:val="00A60F1B"/>
    <w:rsid w:val="00A60FC7"/>
    <w:rsid w:val="00A61430"/>
    <w:rsid w:val="00A61633"/>
    <w:rsid w:val="00A61E6B"/>
    <w:rsid w:val="00A63AC9"/>
    <w:rsid w:val="00A63CF1"/>
    <w:rsid w:val="00A63ED7"/>
    <w:rsid w:val="00A63EF0"/>
    <w:rsid w:val="00A64420"/>
    <w:rsid w:val="00A648E0"/>
    <w:rsid w:val="00A6493D"/>
    <w:rsid w:val="00A64DD3"/>
    <w:rsid w:val="00A650A4"/>
    <w:rsid w:val="00A65169"/>
    <w:rsid w:val="00A66358"/>
    <w:rsid w:val="00A66478"/>
    <w:rsid w:val="00A6658B"/>
    <w:rsid w:val="00A66C55"/>
    <w:rsid w:val="00A66D1A"/>
    <w:rsid w:val="00A6741A"/>
    <w:rsid w:val="00A67E2F"/>
    <w:rsid w:val="00A7086B"/>
    <w:rsid w:val="00A70AD7"/>
    <w:rsid w:val="00A70ECC"/>
    <w:rsid w:val="00A70F8D"/>
    <w:rsid w:val="00A71C5B"/>
    <w:rsid w:val="00A723C5"/>
    <w:rsid w:val="00A7286F"/>
    <w:rsid w:val="00A72A97"/>
    <w:rsid w:val="00A73727"/>
    <w:rsid w:val="00A73804"/>
    <w:rsid w:val="00A739A3"/>
    <w:rsid w:val="00A73BAB"/>
    <w:rsid w:val="00A742E9"/>
    <w:rsid w:val="00A743CF"/>
    <w:rsid w:val="00A74895"/>
    <w:rsid w:val="00A748E3"/>
    <w:rsid w:val="00A75093"/>
    <w:rsid w:val="00A7534A"/>
    <w:rsid w:val="00A75EC0"/>
    <w:rsid w:val="00A761CF"/>
    <w:rsid w:val="00A76387"/>
    <w:rsid w:val="00A770EB"/>
    <w:rsid w:val="00A772F8"/>
    <w:rsid w:val="00A80152"/>
    <w:rsid w:val="00A80C70"/>
    <w:rsid w:val="00A81AD9"/>
    <w:rsid w:val="00A81C41"/>
    <w:rsid w:val="00A81C7A"/>
    <w:rsid w:val="00A82411"/>
    <w:rsid w:val="00A826A8"/>
    <w:rsid w:val="00A82751"/>
    <w:rsid w:val="00A82955"/>
    <w:rsid w:val="00A82CC2"/>
    <w:rsid w:val="00A82F65"/>
    <w:rsid w:val="00A8364F"/>
    <w:rsid w:val="00A83FA0"/>
    <w:rsid w:val="00A8446F"/>
    <w:rsid w:val="00A84AFE"/>
    <w:rsid w:val="00A854B7"/>
    <w:rsid w:val="00A85B43"/>
    <w:rsid w:val="00A867F8"/>
    <w:rsid w:val="00A86A0C"/>
    <w:rsid w:val="00A86E6E"/>
    <w:rsid w:val="00A87121"/>
    <w:rsid w:val="00A87887"/>
    <w:rsid w:val="00A87D57"/>
    <w:rsid w:val="00A907FE"/>
    <w:rsid w:val="00A90A32"/>
    <w:rsid w:val="00A90F3B"/>
    <w:rsid w:val="00A914C1"/>
    <w:rsid w:val="00A91FA1"/>
    <w:rsid w:val="00A9200E"/>
    <w:rsid w:val="00A922C0"/>
    <w:rsid w:val="00A923DD"/>
    <w:rsid w:val="00A928DC"/>
    <w:rsid w:val="00A928F3"/>
    <w:rsid w:val="00A92A17"/>
    <w:rsid w:val="00A92BE9"/>
    <w:rsid w:val="00A92EC5"/>
    <w:rsid w:val="00A93292"/>
    <w:rsid w:val="00A93576"/>
    <w:rsid w:val="00A93ABF"/>
    <w:rsid w:val="00A943CA"/>
    <w:rsid w:val="00A944FC"/>
    <w:rsid w:val="00A946B4"/>
    <w:rsid w:val="00A947B2"/>
    <w:rsid w:val="00A9486C"/>
    <w:rsid w:val="00A94A58"/>
    <w:rsid w:val="00A95163"/>
    <w:rsid w:val="00A964FD"/>
    <w:rsid w:val="00A967CA"/>
    <w:rsid w:val="00A96984"/>
    <w:rsid w:val="00A96A54"/>
    <w:rsid w:val="00A97329"/>
    <w:rsid w:val="00A97760"/>
    <w:rsid w:val="00A97770"/>
    <w:rsid w:val="00A97B0C"/>
    <w:rsid w:val="00A97D03"/>
    <w:rsid w:val="00AA03D9"/>
    <w:rsid w:val="00AA0955"/>
    <w:rsid w:val="00AA0C4E"/>
    <w:rsid w:val="00AA13C2"/>
    <w:rsid w:val="00AA14E7"/>
    <w:rsid w:val="00AA199E"/>
    <w:rsid w:val="00AA19CA"/>
    <w:rsid w:val="00AA1D04"/>
    <w:rsid w:val="00AA261B"/>
    <w:rsid w:val="00AA26DA"/>
    <w:rsid w:val="00AA27D2"/>
    <w:rsid w:val="00AA2BE4"/>
    <w:rsid w:val="00AA2CF7"/>
    <w:rsid w:val="00AA2EE9"/>
    <w:rsid w:val="00AA31C0"/>
    <w:rsid w:val="00AA3915"/>
    <w:rsid w:val="00AA3C95"/>
    <w:rsid w:val="00AA3DEC"/>
    <w:rsid w:val="00AA3F32"/>
    <w:rsid w:val="00AA4E02"/>
    <w:rsid w:val="00AA4E66"/>
    <w:rsid w:val="00AA5553"/>
    <w:rsid w:val="00AA5BC3"/>
    <w:rsid w:val="00AA5D7E"/>
    <w:rsid w:val="00AA5D97"/>
    <w:rsid w:val="00AA6114"/>
    <w:rsid w:val="00AA67CF"/>
    <w:rsid w:val="00AA7AA8"/>
    <w:rsid w:val="00AA7D0C"/>
    <w:rsid w:val="00AB0384"/>
    <w:rsid w:val="00AB0A32"/>
    <w:rsid w:val="00AB0DCE"/>
    <w:rsid w:val="00AB1317"/>
    <w:rsid w:val="00AB15BD"/>
    <w:rsid w:val="00AB16D0"/>
    <w:rsid w:val="00AB1943"/>
    <w:rsid w:val="00AB1C60"/>
    <w:rsid w:val="00AB25A2"/>
    <w:rsid w:val="00AB2E72"/>
    <w:rsid w:val="00AB35F4"/>
    <w:rsid w:val="00AB36DD"/>
    <w:rsid w:val="00AB37CD"/>
    <w:rsid w:val="00AB3BBA"/>
    <w:rsid w:val="00AB3FBA"/>
    <w:rsid w:val="00AB4091"/>
    <w:rsid w:val="00AB40AF"/>
    <w:rsid w:val="00AB41BC"/>
    <w:rsid w:val="00AB4408"/>
    <w:rsid w:val="00AB447B"/>
    <w:rsid w:val="00AB4845"/>
    <w:rsid w:val="00AB4A65"/>
    <w:rsid w:val="00AB4BCE"/>
    <w:rsid w:val="00AB50AF"/>
    <w:rsid w:val="00AB5157"/>
    <w:rsid w:val="00AB51A6"/>
    <w:rsid w:val="00AB5233"/>
    <w:rsid w:val="00AB5329"/>
    <w:rsid w:val="00AB561B"/>
    <w:rsid w:val="00AB585D"/>
    <w:rsid w:val="00AB58F4"/>
    <w:rsid w:val="00AB5D13"/>
    <w:rsid w:val="00AB6209"/>
    <w:rsid w:val="00AB668E"/>
    <w:rsid w:val="00AB66D1"/>
    <w:rsid w:val="00AB6A8E"/>
    <w:rsid w:val="00AB7291"/>
    <w:rsid w:val="00AB7451"/>
    <w:rsid w:val="00AB74A7"/>
    <w:rsid w:val="00AB7AD9"/>
    <w:rsid w:val="00AB7B5A"/>
    <w:rsid w:val="00AC145F"/>
    <w:rsid w:val="00AC149F"/>
    <w:rsid w:val="00AC14E6"/>
    <w:rsid w:val="00AC1963"/>
    <w:rsid w:val="00AC196B"/>
    <w:rsid w:val="00AC1CE0"/>
    <w:rsid w:val="00AC1FC5"/>
    <w:rsid w:val="00AC2585"/>
    <w:rsid w:val="00AC28A4"/>
    <w:rsid w:val="00AC2D90"/>
    <w:rsid w:val="00AC2EEA"/>
    <w:rsid w:val="00AC2F02"/>
    <w:rsid w:val="00AC33C8"/>
    <w:rsid w:val="00AC3C2F"/>
    <w:rsid w:val="00AC3C80"/>
    <w:rsid w:val="00AC3FE9"/>
    <w:rsid w:val="00AC403F"/>
    <w:rsid w:val="00AC4C9E"/>
    <w:rsid w:val="00AC5C4D"/>
    <w:rsid w:val="00AC5D42"/>
    <w:rsid w:val="00AC6754"/>
    <w:rsid w:val="00AC6C52"/>
    <w:rsid w:val="00AC6CB7"/>
    <w:rsid w:val="00AC704C"/>
    <w:rsid w:val="00AC75B0"/>
    <w:rsid w:val="00AC768B"/>
    <w:rsid w:val="00AD0292"/>
    <w:rsid w:val="00AD0667"/>
    <w:rsid w:val="00AD09D3"/>
    <w:rsid w:val="00AD0C50"/>
    <w:rsid w:val="00AD0EFD"/>
    <w:rsid w:val="00AD11E1"/>
    <w:rsid w:val="00AD1269"/>
    <w:rsid w:val="00AD174C"/>
    <w:rsid w:val="00AD1DF8"/>
    <w:rsid w:val="00AD1EF2"/>
    <w:rsid w:val="00AD29FB"/>
    <w:rsid w:val="00AD2A01"/>
    <w:rsid w:val="00AD3101"/>
    <w:rsid w:val="00AD3353"/>
    <w:rsid w:val="00AD3530"/>
    <w:rsid w:val="00AD3842"/>
    <w:rsid w:val="00AD395C"/>
    <w:rsid w:val="00AD3A53"/>
    <w:rsid w:val="00AD4BFD"/>
    <w:rsid w:val="00AD4C87"/>
    <w:rsid w:val="00AD4CCF"/>
    <w:rsid w:val="00AD4DE9"/>
    <w:rsid w:val="00AD5340"/>
    <w:rsid w:val="00AD5960"/>
    <w:rsid w:val="00AD5B32"/>
    <w:rsid w:val="00AD5B37"/>
    <w:rsid w:val="00AD6B44"/>
    <w:rsid w:val="00AD7540"/>
    <w:rsid w:val="00AD7D0D"/>
    <w:rsid w:val="00AD7F84"/>
    <w:rsid w:val="00AE020B"/>
    <w:rsid w:val="00AE0CFF"/>
    <w:rsid w:val="00AE15EF"/>
    <w:rsid w:val="00AE1F3D"/>
    <w:rsid w:val="00AE25A4"/>
    <w:rsid w:val="00AE26CF"/>
    <w:rsid w:val="00AE28E7"/>
    <w:rsid w:val="00AE36FA"/>
    <w:rsid w:val="00AE3A38"/>
    <w:rsid w:val="00AE3ADA"/>
    <w:rsid w:val="00AE3B67"/>
    <w:rsid w:val="00AE3C09"/>
    <w:rsid w:val="00AE3D31"/>
    <w:rsid w:val="00AE3ED3"/>
    <w:rsid w:val="00AE3F1D"/>
    <w:rsid w:val="00AE403F"/>
    <w:rsid w:val="00AE42D2"/>
    <w:rsid w:val="00AE4491"/>
    <w:rsid w:val="00AE4B93"/>
    <w:rsid w:val="00AE4F45"/>
    <w:rsid w:val="00AE617F"/>
    <w:rsid w:val="00AE66BA"/>
    <w:rsid w:val="00AE6BE7"/>
    <w:rsid w:val="00AE6F15"/>
    <w:rsid w:val="00AE7452"/>
    <w:rsid w:val="00AE7833"/>
    <w:rsid w:val="00AE7852"/>
    <w:rsid w:val="00AE7987"/>
    <w:rsid w:val="00AE7FAF"/>
    <w:rsid w:val="00AF04AD"/>
    <w:rsid w:val="00AF150D"/>
    <w:rsid w:val="00AF1807"/>
    <w:rsid w:val="00AF2325"/>
    <w:rsid w:val="00AF23C8"/>
    <w:rsid w:val="00AF2846"/>
    <w:rsid w:val="00AF29B7"/>
    <w:rsid w:val="00AF2BF7"/>
    <w:rsid w:val="00AF2E9A"/>
    <w:rsid w:val="00AF2F4B"/>
    <w:rsid w:val="00AF327E"/>
    <w:rsid w:val="00AF3339"/>
    <w:rsid w:val="00AF3404"/>
    <w:rsid w:val="00AF3452"/>
    <w:rsid w:val="00AF3D6A"/>
    <w:rsid w:val="00AF3E13"/>
    <w:rsid w:val="00AF3E57"/>
    <w:rsid w:val="00AF4137"/>
    <w:rsid w:val="00AF44BA"/>
    <w:rsid w:val="00AF46CE"/>
    <w:rsid w:val="00AF4E77"/>
    <w:rsid w:val="00AF4FCF"/>
    <w:rsid w:val="00AF5475"/>
    <w:rsid w:val="00AF62A0"/>
    <w:rsid w:val="00AF65DF"/>
    <w:rsid w:val="00AF6678"/>
    <w:rsid w:val="00AF6891"/>
    <w:rsid w:val="00AF6A43"/>
    <w:rsid w:val="00AF6C09"/>
    <w:rsid w:val="00AF7227"/>
    <w:rsid w:val="00AF76D1"/>
    <w:rsid w:val="00B003EA"/>
    <w:rsid w:val="00B00F64"/>
    <w:rsid w:val="00B011CA"/>
    <w:rsid w:val="00B0143D"/>
    <w:rsid w:val="00B01A05"/>
    <w:rsid w:val="00B01E66"/>
    <w:rsid w:val="00B024D0"/>
    <w:rsid w:val="00B02739"/>
    <w:rsid w:val="00B02F82"/>
    <w:rsid w:val="00B03DCB"/>
    <w:rsid w:val="00B0415D"/>
    <w:rsid w:val="00B04974"/>
    <w:rsid w:val="00B051B3"/>
    <w:rsid w:val="00B05709"/>
    <w:rsid w:val="00B059A6"/>
    <w:rsid w:val="00B05B2A"/>
    <w:rsid w:val="00B05F8A"/>
    <w:rsid w:val="00B0605E"/>
    <w:rsid w:val="00B060FA"/>
    <w:rsid w:val="00B061AE"/>
    <w:rsid w:val="00B061B1"/>
    <w:rsid w:val="00B061D7"/>
    <w:rsid w:val="00B06324"/>
    <w:rsid w:val="00B063BD"/>
    <w:rsid w:val="00B064A1"/>
    <w:rsid w:val="00B06764"/>
    <w:rsid w:val="00B069FF"/>
    <w:rsid w:val="00B06A59"/>
    <w:rsid w:val="00B076FC"/>
    <w:rsid w:val="00B101D9"/>
    <w:rsid w:val="00B1037E"/>
    <w:rsid w:val="00B10939"/>
    <w:rsid w:val="00B10B65"/>
    <w:rsid w:val="00B10DB8"/>
    <w:rsid w:val="00B10E0A"/>
    <w:rsid w:val="00B10F50"/>
    <w:rsid w:val="00B11155"/>
    <w:rsid w:val="00B113B0"/>
    <w:rsid w:val="00B1181C"/>
    <w:rsid w:val="00B1214E"/>
    <w:rsid w:val="00B12221"/>
    <w:rsid w:val="00B12403"/>
    <w:rsid w:val="00B126F9"/>
    <w:rsid w:val="00B12873"/>
    <w:rsid w:val="00B133C7"/>
    <w:rsid w:val="00B136C3"/>
    <w:rsid w:val="00B13AFC"/>
    <w:rsid w:val="00B13BFB"/>
    <w:rsid w:val="00B13C17"/>
    <w:rsid w:val="00B142E4"/>
    <w:rsid w:val="00B14B89"/>
    <w:rsid w:val="00B15092"/>
    <w:rsid w:val="00B15781"/>
    <w:rsid w:val="00B15E7D"/>
    <w:rsid w:val="00B16219"/>
    <w:rsid w:val="00B1661D"/>
    <w:rsid w:val="00B166E4"/>
    <w:rsid w:val="00B169C6"/>
    <w:rsid w:val="00B16C97"/>
    <w:rsid w:val="00B1714A"/>
    <w:rsid w:val="00B1731D"/>
    <w:rsid w:val="00B17AA1"/>
    <w:rsid w:val="00B20000"/>
    <w:rsid w:val="00B20283"/>
    <w:rsid w:val="00B20371"/>
    <w:rsid w:val="00B209F8"/>
    <w:rsid w:val="00B20B34"/>
    <w:rsid w:val="00B20E73"/>
    <w:rsid w:val="00B20E88"/>
    <w:rsid w:val="00B21171"/>
    <w:rsid w:val="00B215E9"/>
    <w:rsid w:val="00B215F7"/>
    <w:rsid w:val="00B21801"/>
    <w:rsid w:val="00B21813"/>
    <w:rsid w:val="00B21845"/>
    <w:rsid w:val="00B22244"/>
    <w:rsid w:val="00B2245E"/>
    <w:rsid w:val="00B226A5"/>
    <w:rsid w:val="00B228B9"/>
    <w:rsid w:val="00B233A1"/>
    <w:rsid w:val="00B236E9"/>
    <w:rsid w:val="00B2392F"/>
    <w:rsid w:val="00B23B63"/>
    <w:rsid w:val="00B23ECB"/>
    <w:rsid w:val="00B24347"/>
    <w:rsid w:val="00B2437D"/>
    <w:rsid w:val="00B24C3A"/>
    <w:rsid w:val="00B2507A"/>
    <w:rsid w:val="00B2559A"/>
    <w:rsid w:val="00B25600"/>
    <w:rsid w:val="00B25F60"/>
    <w:rsid w:val="00B25FC7"/>
    <w:rsid w:val="00B2649E"/>
    <w:rsid w:val="00B267BF"/>
    <w:rsid w:val="00B26825"/>
    <w:rsid w:val="00B26B84"/>
    <w:rsid w:val="00B26BD8"/>
    <w:rsid w:val="00B26FA2"/>
    <w:rsid w:val="00B3006A"/>
    <w:rsid w:val="00B307C3"/>
    <w:rsid w:val="00B30A42"/>
    <w:rsid w:val="00B30C58"/>
    <w:rsid w:val="00B3114E"/>
    <w:rsid w:val="00B312AC"/>
    <w:rsid w:val="00B31639"/>
    <w:rsid w:val="00B31799"/>
    <w:rsid w:val="00B31F0A"/>
    <w:rsid w:val="00B320F8"/>
    <w:rsid w:val="00B326F4"/>
    <w:rsid w:val="00B33036"/>
    <w:rsid w:val="00B3335F"/>
    <w:rsid w:val="00B334B3"/>
    <w:rsid w:val="00B33862"/>
    <w:rsid w:val="00B33A01"/>
    <w:rsid w:val="00B34DC4"/>
    <w:rsid w:val="00B35A14"/>
    <w:rsid w:val="00B35A6D"/>
    <w:rsid w:val="00B35F09"/>
    <w:rsid w:val="00B36505"/>
    <w:rsid w:val="00B367B7"/>
    <w:rsid w:val="00B36DDA"/>
    <w:rsid w:val="00B36DF0"/>
    <w:rsid w:val="00B36F28"/>
    <w:rsid w:val="00B37150"/>
    <w:rsid w:val="00B376B1"/>
    <w:rsid w:val="00B37A70"/>
    <w:rsid w:val="00B37D35"/>
    <w:rsid w:val="00B37D65"/>
    <w:rsid w:val="00B40630"/>
    <w:rsid w:val="00B4065B"/>
    <w:rsid w:val="00B40799"/>
    <w:rsid w:val="00B40D9E"/>
    <w:rsid w:val="00B411C2"/>
    <w:rsid w:val="00B41B70"/>
    <w:rsid w:val="00B41C06"/>
    <w:rsid w:val="00B41F9A"/>
    <w:rsid w:val="00B423CB"/>
    <w:rsid w:val="00B42CD1"/>
    <w:rsid w:val="00B42CF1"/>
    <w:rsid w:val="00B42E55"/>
    <w:rsid w:val="00B430FE"/>
    <w:rsid w:val="00B43620"/>
    <w:rsid w:val="00B43835"/>
    <w:rsid w:val="00B43C7D"/>
    <w:rsid w:val="00B44080"/>
    <w:rsid w:val="00B44248"/>
    <w:rsid w:val="00B44327"/>
    <w:rsid w:val="00B44963"/>
    <w:rsid w:val="00B44B4F"/>
    <w:rsid w:val="00B44F37"/>
    <w:rsid w:val="00B4502D"/>
    <w:rsid w:val="00B45EB0"/>
    <w:rsid w:val="00B45F75"/>
    <w:rsid w:val="00B4635F"/>
    <w:rsid w:val="00B467E9"/>
    <w:rsid w:val="00B46D85"/>
    <w:rsid w:val="00B46DCF"/>
    <w:rsid w:val="00B50031"/>
    <w:rsid w:val="00B508DE"/>
    <w:rsid w:val="00B50FBD"/>
    <w:rsid w:val="00B5122A"/>
    <w:rsid w:val="00B51C5D"/>
    <w:rsid w:val="00B51F95"/>
    <w:rsid w:val="00B523D2"/>
    <w:rsid w:val="00B52690"/>
    <w:rsid w:val="00B527A7"/>
    <w:rsid w:val="00B531C6"/>
    <w:rsid w:val="00B53D05"/>
    <w:rsid w:val="00B5444B"/>
    <w:rsid w:val="00B5459F"/>
    <w:rsid w:val="00B545D3"/>
    <w:rsid w:val="00B5496A"/>
    <w:rsid w:val="00B54D7D"/>
    <w:rsid w:val="00B54FE4"/>
    <w:rsid w:val="00B55999"/>
    <w:rsid w:val="00B55CB5"/>
    <w:rsid w:val="00B56343"/>
    <w:rsid w:val="00B57645"/>
    <w:rsid w:val="00B5773A"/>
    <w:rsid w:val="00B57779"/>
    <w:rsid w:val="00B578BB"/>
    <w:rsid w:val="00B57AD7"/>
    <w:rsid w:val="00B57F26"/>
    <w:rsid w:val="00B60224"/>
    <w:rsid w:val="00B60619"/>
    <w:rsid w:val="00B609A9"/>
    <w:rsid w:val="00B6145D"/>
    <w:rsid w:val="00B61F59"/>
    <w:rsid w:val="00B620A9"/>
    <w:rsid w:val="00B62172"/>
    <w:rsid w:val="00B62593"/>
    <w:rsid w:val="00B62A70"/>
    <w:rsid w:val="00B62A9F"/>
    <w:rsid w:val="00B62B40"/>
    <w:rsid w:val="00B63525"/>
    <w:rsid w:val="00B638B3"/>
    <w:rsid w:val="00B63A25"/>
    <w:rsid w:val="00B63ACA"/>
    <w:rsid w:val="00B63F0C"/>
    <w:rsid w:val="00B643C0"/>
    <w:rsid w:val="00B64731"/>
    <w:rsid w:val="00B650F7"/>
    <w:rsid w:val="00B654CF"/>
    <w:rsid w:val="00B65627"/>
    <w:rsid w:val="00B65728"/>
    <w:rsid w:val="00B65747"/>
    <w:rsid w:val="00B65942"/>
    <w:rsid w:val="00B65CBB"/>
    <w:rsid w:val="00B65F88"/>
    <w:rsid w:val="00B66BEA"/>
    <w:rsid w:val="00B66C6A"/>
    <w:rsid w:val="00B66D98"/>
    <w:rsid w:val="00B672DD"/>
    <w:rsid w:val="00B6748B"/>
    <w:rsid w:val="00B67608"/>
    <w:rsid w:val="00B67B57"/>
    <w:rsid w:val="00B70118"/>
    <w:rsid w:val="00B7089E"/>
    <w:rsid w:val="00B7093F"/>
    <w:rsid w:val="00B70FA5"/>
    <w:rsid w:val="00B70FCD"/>
    <w:rsid w:val="00B70FFD"/>
    <w:rsid w:val="00B715B1"/>
    <w:rsid w:val="00B72054"/>
    <w:rsid w:val="00B720FE"/>
    <w:rsid w:val="00B728E0"/>
    <w:rsid w:val="00B731B2"/>
    <w:rsid w:val="00B73242"/>
    <w:rsid w:val="00B73306"/>
    <w:rsid w:val="00B737FA"/>
    <w:rsid w:val="00B738A4"/>
    <w:rsid w:val="00B73B0D"/>
    <w:rsid w:val="00B73D42"/>
    <w:rsid w:val="00B740FB"/>
    <w:rsid w:val="00B744D0"/>
    <w:rsid w:val="00B74F1C"/>
    <w:rsid w:val="00B7561B"/>
    <w:rsid w:val="00B756C0"/>
    <w:rsid w:val="00B75ABD"/>
    <w:rsid w:val="00B75B7D"/>
    <w:rsid w:val="00B7660F"/>
    <w:rsid w:val="00B7699D"/>
    <w:rsid w:val="00B76A58"/>
    <w:rsid w:val="00B76B9F"/>
    <w:rsid w:val="00B77BA1"/>
    <w:rsid w:val="00B77ED5"/>
    <w:rsid w:val="00B80F43"/>
    <w:rsid w:val="00B8137E"/>
    <w:rsid w:val="00B81966"/>
    <w:rsid w:val="00B8196B"/>
    <w:rsid w:val="00B81E6C"/>
    <w:rsid w:val="00B8223B"/>
    <w:rsid w:val="00B82A0B"/>
    <w:rsid w:val="00B82AFD"/>
    <w:rsid w:val="00B83181"/>
    <w:rsid w:val="00B838F8"/>
    <w:rsid w:val="00B839CB"/>
    <w:rsid w:val="00B83A8C"/>
    <w:rsid w:val="00B83AEA"/>
    <w:rsid w:val="00B83CC0"/>
    <w:rsid w:val="00B83E10"/>
    <w:rsid w:val="00B83FF2"/>
    <w:rsid w:val="00B8422C"/>
    <w:rsid w:val="00B849BA"/>
    <w:rsid w:val="00B8502C"/>
    <w:rsid w:val="00B8511D"/>
    <w:rsid w:val="00B858FB"/>
    <w:rsid w:val="00B8597D"/>
    <w:rsid w:val="00B859A1"/>
    <w:rsid w:val="00B85AD4"/>
    <w:rsid w:val="00B85FAA"/>
    <w:rsid w:val="00B8671A"/>
    <w:rsid w:val="00B873DF"/>
    <w:rsid w:val="00B875E8"/>
    <w:rsid w:val="00B87918"/>
    <w:rsid w:val="00B9021E"/>
    <w:rsid w:val="00B9076F"/>
    <w:rsid w:val="00B907CC"/>
    <w:rsid w:val="00B9081F"/>
    <w:rsid w:val="00B90F26"/>
    <w:rsid w:val="00B91012"/>
    <w:rsid w:val="00B912A2"/>
    <w:rsid w:val="00B915AB"/>
    <w:rsid w:val="00B917BC"/>
    <w:rsid w:val="00B91F3C"/>
    <w:rsid w:val="00B926E0"/>
    <w:rsid w:val="00B92783"/>
    <w:rsid w:val="00B92F88"/>
    <w:rsid w:val="00B93497"/>
    <w:rsid w:val="00B93F10"/>
    <w:rsid w:val="00B94782"/>
    <w:rsid w:val="00B94C85"/>
    <w:rsid w:val="00B954D6"/>
    <w:rsid w:val="00B95538"/>
    <w:rsid w:val="00B95879"/>
    <w:rsid w:val="00B95B4E"/>
    <w:rsid w:val="00B95C70"/>
    <w:rsid w:val="00B95D99"/>
    <w:rsid w:val="00B95E62"/>
    <w:rsid w:val="00B96B22"/>
    <w:rsid w:val="00B96BEC"/>
    <w:rsid w:val="00B97050"/>
    <w:rsid w:val="00B97E79"/>
    <w:rsid w:val="00BA02E3"/>
    <w:rsid w:val="00BA0430"/>
    <w:rsid w:val="00BA0483"/>
    <w:rsid w:val="00BA093F"/>
    <w:rsid w:val="00BA0A83"/>
    <w:rsid w:val="00BA1097"/>
    <w:rsid w:val="00BA11DF"/>
    <w:rsid w:val="00BA1285"/>
    <w:rsid w:val="00BA1319"/>
    <w:rsid w:val="00BA1582"/>
    <w:rsid w:val="00BA1BC3"/>
    <w:rsid w:val="00BA1BE4"/>
    <w:rsid w:val="00BA1F4E"/>
    <w:rsid w:val="00BA211D"/>
    <w:rsid w:val="00BA237A"/>
    <w:rsid w:val="00BA2727"/>
    <w:rsid w:val="00BA2CBD"/>
    <w:rsid w:val="00BA2DA7"/>
    <w:rsid w:val="00BA34BC"/>
    <w:rsid w:val="00BA396B"/>
    <w:rsid w:val="00BA3BFE"/>
    <w:rsid w:val="00BA3D73"/>
    <w:rsid w:val="00BA3FA3"/>
    <w:rsid w:val="00BA408E"/>
    <w:rsid w:val="00BA4238"/>
    <w:rsid w:val="00BA4A2C"/>
    <w:rsid w:val="00BA5D30"/>
    <w:rsid w:val="00BA6307"/>
    <w:rsid w:val="00BA631C"/>
    <w:rsid w:val="00BA67BC"/>
    <w:rsid w:val="00BA6AA9"/>
    <w:rsid w:val="00BA6E26"/>
    <w:rsid w:val="00BA7AED"/>
    <w:rsid w:val="00BA7FBF"/>
    <w:rsid w:val="00BA7FE3"/>
    <w:rsid w:val="00BB002A"/>
    <w:rsid w:val="00BB0162"/>
    <w:rsid w:val="00BB0336"/>
    <w:rsid w:val="00BB0362"/>
    <w:rsid w:val="00BB060D"/>
    <w:rsid w:val="00BB080A"/>
    <w:rsid w:val="00BB09F1"/>
    <w:rsid w:val="00BB150F"/>
    <w:rsid w:val="00BB18BD"/>
    <w:rsid w:val="00BB1955"/>
    <w:rsid w:val="00BB195D"/>
    <w:rsid w:val="00BB1F0D"/>
    <w:rsid w:val="00BB2019"/>
    <w:rsid w:val="00BB2674"/>
    <w:rsid w:val="00BB2B3F"/>
    <w:rsid w:val="00BB3231"/>
    <w:rsid w:val="00BB33E9"/>
    <w:rsid w:val="00BB3478"/>
    <w:rsid w:val="00BB389B"/>
    <w:rsid w:val="00BB38BE"/>
    <w:rsid w:val="00BB4021"/>
    <w:rsid w:val="00BB410D"/>
    <w:rsid w:val="00BB418F"/>
    <w:rsid w:val="00BB4F90"/>
    <w:rsid w:val="00BB555F"/>
    <w:rsid w:val="00BB5789"/>
    <w:rsid w:val="00BB58D2"/>
    <w:rsid w:val="00BB5B93"/>
    <w:rsid w:val="00BB5E85"/>
    <w:rsid w:val="00BB6062"/>
    <w:rsid w:val="00BB6271"/>
    <w:rsid w:val="00BB6489"/>
    <w:rsid w:val="00BB6D22"/>
    <w:rsid w:val="00BB6ED9"/>
    <w:rsid w:val="00BB7237"/>
    <w:rsid w:val="00BB7B5B"/>
    <w:rsid w:val="00BB7E8A"/>
    <w:rsid w:val="00BB7FD7"/>
    <w:rsid w:val="00BC0220"/>
    <w:rsid w:val="00BC03F4"/>
    <w:rsid w:val="00BC0417"/>
    <w:rsid w:val="00BC05F3"/>
    <w:rsid w:val="00BC0ACB"/>
    <w:rsid w:val="00BC0CCE"/>
    <w:rsid w:val="00BC0D28"/>
    <w:rsid w:val="00BC11B3"/>
    <w:rsid w:val="00BC13D0"/>
    <w:rsid w:val="00BC149F"/>
    <w:rsid w:val="00BC1BAC"/>
    <w:rsid w:val="00BC1CCC"/>
    <w:rsid w:val="00BC1D0F"/>
    <w:rsid w:val="00BC1DC4"/>
    <w:rsid w:val="00BC1DF2"/>
    <w:rsid w:val="00BC27A7"/>
    <w:rsid w:val="00BC29AF"/>
    <w:rsid w:val="00BC3645"/>
    <w:rsid w:val="00BC3648"/>
    <w:rsid w:val="00BC3C56"/>
    <w:rsid w:val="00BC47EE"/>
    <w:rsid w:val="00BC55DB"/>
    <w:rsid w:val="00BC5C01"/>
    <w:rsid w:val="00BC5DA9"/>
    <w:rsid w:val="00BC5F20"/>
    <w:rsid w:val="00BC6895"/>
    <w:rsid w:val="00BC6C8A"/>
    <w:rsid w:val="00BC6F70"/>
    <w:rsid w:val="00BC7248"/>
    <w:rsid w:val="00BD0592"/>
    <w:rsid w:val="00BD074A"/>
    <w:rsid w:val="00BD0A41"/>
    <w:rsid w:val="00BD0E08"/>
    <w:rsid w:val="00BD1D4B"/>
    <w:rsid w:val="00BD1D5D"/>
    <w:rsid w:val="00BD1FB6"/>
    <w:rsid w:val="00BD2015"/>
    <w:rsid w:val="00BD2198"/>
    <w:rsid w:val="00BD29EC"/>
    <w:rsid w:val="00BD321C"/>
    <w:rsid w:val="00BD3440"/>
    <w:rsid w:val="00BD36EF"/>
    <w:rsid w:val="00BD38E2"/>
    <w:rsid w:val="00BD41CD"/>
    <w:rsid w:val="00BD461C"/>
    <w:rsid w:val="00BD4664"/>
    <w:rsid w:val="00BD52DC"/>
    <w:rsid w:val="00BD5356"/>
    <w:rsid w:val="00BD56AE"/>
    <w:rsid w:val="00BD5807"/>
    <w:rsid w:val="00BD587C"/>
    <w:rsid w:val="00BD58FD"/>
    <w:rsid w:val="00BD5919"/>
    <w:rsid w:val="00BD59D1"/>
    <w:rsid w:val="00BD605E"/>
    <w:rsid w:val="00BD6F05"/>
    <w:rsid w:val="00BD6F21"/>
    <w:rsid w:val="00BD72B0"/>
    <w:rsid w:val="00BD72C4"/>
    <w:rsid w:val="00BD7E98"/>
    <w:rsid w:val="00BE024A"/>
    <w:rsid w:val="00BE0347"/>
    <w:rsid w:val="00BE0B6D"/>
    <w:rsid w:val="00BE0D4B"/>
    <w:rsid w:val="00BE108E"/>
    <w:rsid w:val="00BE1217"/>
    <w:rsid w:val="00BE1723"/>
    <w:rsid w:val="00BE18AB"/>
    <w:rsid w:val="00BE18CC"/>
    <w:rsid w:val="00BE1ACC"/>
    <w:rsid w:val="00BE2022"/>
    <w:rsid w:val="00BE2444"/>
    <w:rsid w:val="00BE3192"/>
    <w:rsid w:val="00BE3309"/>
    <w:rsid w:val="00BE33C6"/>
    <w:rsid w:val="00BE395A"/>
    <w:rsid w:val="00BE434A"/>
    <w:rsid w:val="00BE4550"/>
    <w:rsid w:val="00BE5244"/>
    <w:rsid w:val="00BE5694"/>
    <w:rsid w:val="00BE570B"/>
    <w:rsid w:val="00BE5AF1"/>
    <w:rsid w:val="00BE5E85"/>
    <w:rsid w:val="00BE5FAE"/>
    <w:rsid w:val="00BE681A"/>
    <w:rsid w:val="00BE689B"/>
    <w:rsid w:val="00BE6B75"/>
    <w:rsid w:val="00BE6E1E"/>
    <w:rsid w:val="00BE6E7A"/>
    <w:rsid w:val="00BE6FF2"/>
    <w:rsid w:val="00BE789F"/>
    <w:rsid w:val="00BF00A6"/>
    <w:rsid w:val="00BF0878"/>
    <w:rsid w:val="00BF0A05"/>
    <w:rsid w:val="00BF0D38"/>
    <w:rsid w:val="00BF0E96"/>
    <w:rsid w:val="00BF1729"/>
    <w:rsid w:val="00BF1B1B"/>
    <w:rsid w:val="00BF21AA"/>
    <w:rsid w:val="00BF2380"/>
    <w:rsid w:val="00BF24A7"/>
    <w:rsid w:val="00BF2DE8"/>
    <w:rsid w:val="00BF3760"/>
    <w:rsid w:val="00BF3769"/>
    <w:rsid w:val="00BF405F"/>
    <w:rsid w:val="00BF44FE"/>
    <w:rsid w:val="00BF47B4"/>
    <w:rsid w:val="00BF4A58"/>
    <w:rsid w:val="00BF5160"/>
    <w:rsid w:val="00BF5577"/>
    <w:rsid w:val="00BF5970"/>
    <w:rsid w:val="00BF5AE2"/>
    <w:rsid w:val="00BF5EF6"/>
    <w:rsid w:val="00BF61E5"/>
    <w:rsid w:val="00BF662B"/>
    <w:rsid w:val="00BF7292"/>
    <w:rsid w:val="00C0030D"/>
    <w:rsid w:val="00C0051D"/>
    <w:rsid w:val="00C005ED"/>
    <w:rsid w:val="00C0084C"/>
    <w:rsid w:val="00C00BEC"/>
    <w:rsid w:val="00C0114D"/>
    <w:rsid w:val="00C014E8"/>
    <w:rsid w:val="00C01876"/>
    <w:rsid w:val="00C01927"/>
    <w:rsid w:val="00C02000"/>
    <w:rsid w:val="00C0239F"/>
    <w:rsid w:val="00C027FD"/>
    <w:rsid w:val="00C028B2"/>
    <w:rsid w:val="00C02B00"/>
    <w:rsid w:val="00C02C3B"/>
    <w:rsid w:val="00C030C2"/>
    <w:rsid w:val="00C0368F"/>
    <w:rsid w:val="00C037A1"/>
    <w:rsid w:val="00C03A38"/>
    <w:rsid w:val="00C03A45"/>
    <w:rsid w:val="00C03B4D"/>
    <w:rsid w:val="00C0400C"/>
    <w:rsid w:val="00C045D3"/>
    <w:rsid w:val="00C04F3E"/>
    <w:rsid w:val="00C0594B"/>
    <w:rsid w:val="00C060BF"/>
    <w:rsid w:val="00C06BC9"/>
    <w:rsid w:val="00C06DB2"/>
    <w:rsid w:val="00C077B9"/>
    <w:rsid w:val="00C100D7"/>
    <w:rsid w:val="00C10439"/>
    <w:rsid w:val="00C109F2"/>
    <w:rsid w:val="00C10B42"/>
    <w:rsid w:val="00C114B1"/>
    <w:rsid w:val="00C11AB6"/>
    <w:rsid w:val="00C11C79"/>
    <w:rsid w:val="00C11E2D"/>
    <w:rsid w:val="00C120E5"/>
    <w:rsid w:val="00C121D4"/>
    <w:rsid w:val="00C13596"/>
    <w:rsid w:val="00C13D23"/>
    <w:rsid w:val="00C14279"/>
    <w:rsid w:val="00C1434F"/>
    <w:rsid w:val="00C14393"/>
    <w:rsid w:val="00C1464A"/>
    <w:rsid w:val="00C14763"/>
    <w:rsid w:val="00C14943"/>
    <w:rsid w:val="00C154BF"/>
    <w:rsid w:val="00C15551"/>
    <w:rsid w:val="00C1583C"/>
    <w:rsid w:val="00C15887"/>
    <w:rsid w:val="00C15F7E"/>
    <w:rsid w:val="00C1655D"/>
    <w:rsid w:val="00C167EB"/>
    <w:rsid w:val="00C16B85"/>
    <w:rsid w:val="00C1764A"/>
    <w:rsid w:val="00C17BBD"/>
    <w:rsid w:val="00C20114"/>
    <w:rsid w:val="00C206D5"/>
    <w:rsid w:val="00C20A4B"/>
    <w:rsid w:val="00C20B02"/>
    <w:rsid w:val="00C20B1C"/>
    <w:rsid w:val="00C20B4C"/>
    <w:rsid w:val="00C20DAB"/>
    <w:rsid w:val="00C2148E"/>
    <w:rsid w:val="00C2149C"/>
    <w:rsid w:val="00C21AB7"/>
    <w:rsid w:val="00C220A9"/>
    <w:rsid w:val="00C2285C"/>
    <w:rsid w:val="00C22D1F"/>
    <w:rsid w:val="00C232FC"/>
    <w:rsid w:val="00C2399F"/>
    <w:rsid w:val="00C23E23"/>
    <w:rsid w:val="00C23FEB"/>
    <w:rsid w:val="00C242A4"/>
    <w:rsid w:val="00C2568A"/>
    <w:rsid w:val="00C25B79"/>
    <w:rsid w:val="00C25CEE"/>
    <w:rsid w:val="00C2608C"/>
    <w:rsid w:val="00C261DC"/>
    <w:rsid w:val="00C261EA"/>
    <w:rsid w:val="00C26514"/>
    <w:rsid w:val="00C26932"/>
    <w:rsid w:val="00C26D1B"/>
    <w:rsid w:val="00C26E7D"/>
    <w:rsid w:val="00C27357"/>
    <w:rsid w:val="00C300C7"/>
    <w:rsid w:val="00C30897"/>
    <w:rsid w:val="00C30E33"/>
    <w:rsid w:val="00C31073"/>
    <w:rsid w:val="00C31397"/>
    <w:rsid w:val="00C3186E"/>
    <w:rsid w:val="00C31C6F"/>
    <w:rsid w:val="00C323AB"/>
    <w:rsid w:val="00C325CF"/>
    <w:rsid w:val="00C32B88"/>
    <w:rsid w:val="00C336E8"/>
    <w:rsid w:val="00C33AF3"/>
    <w:rsid w:val="00C33B33"/>
    <w:rsid w:val="00C3491E"/>
    <w:rsid w:val="00C34EB6"/>
    <w:rsid w:val="00C353F2"/>
    <w:rsid w:val="00C359F6"/>
    <w:rsid w:val="00C360E6"/>
    <w:rsid w:val="00C3692F"/>
    <w:rsid w:val="00C36ABB"/>
    <w:rsid w:val="00C3747A"/>
    <w:rsid w:val="00C377E8"/>
    <w:rsid w:val="00C40766"/>
    <w:rsid w:val="00C40DC8"/>
    <w:rsid w:val="00C40FC3"/>
    <w:rsid w:val="00C4140E"/>
    <w:rsid w:val="00C4152B"/>
    <w:rsid w:val="00C41624"/>
    <w:rsid w:val="00C41801"/>
    <w:rsid w:val="00C418C2"/>
    <w:rsid w:val="00C422B6"/>
    <w:rsid w:val="00C42312"/>
    <w:rsid w:val="00C4285E"/>
    <w:rsid w:val="00C42C29"/>
    <w:rsid w:val="00C42C6F"/>
    <w:rsid w:val="00C42FAF"/>
    <w:rsid w:val="00C43B58"/>
    <w:rsid w:val="00C43CF8"/>
    <w:rsid w:val="00C444CE"/>
    <w:rsid w:val="00C44557"/>
    <w:rsid w:val="00C44C0F"/>
    <w:rsid w:val="00C44C5C"/>
    <w:rsid w:val="00C4567B"/>
    <w:rsid w:val="00C46416"/>
    <w:rsid w:val="00C46AD1"/>
    <w:rsid w:val="00C46C29"/>
    <w:rsid w:val="00C470B5"/>
    <w:rsid w:val="00C471E3"/>
    <w:rsid w:val="00C47388"/>
    <w:rsid w:val="00C506DA"/>
    <w:rsid w:val="00C50E74"/>
    <w:rsid w:val="00C5112F"/>
    <w:rsid w:val="00C5181A"/>
    <w:rsid w:val="00C523F9"/>
    <w:rsid w:val="00C5247C"/>
    <w:rsid w:val="00C525B8"/>
    <w:rsid w:val="00C5265F"/>
    <w:rsid w:val="00C528B9"/>
    <w:rsid w:val="00C53041"/>
    <w:rsid w:val="00C5310B"/>
    <w:rsid w:val="00C53167"/>
    <w:rsid w:val="00C53DF3"/>
    <w:rsid w:val="00C54818"/>
    <w:rsid w:val="00C554E0"/>
    <w:rsid w:val="00C555A0"/>
    <w:rsid w:val="00C5614E"/>
    <w:rsid w:val="00C56687"/>
    <w:rsid w:val="00C5690C"/>
    <w:rsid w:val="00C56AC4"/>
    <w:rsid w:val="00C56BB1"/>
    <w:rsid w:val="00C56FF6"/>
    <w:rsid w:val="00C5782C"/>
    <w:rsid w:val="00C60330"/>
    <w:rsid w:val="00C608A2"/>
    <w:rsid w:val="00C6091C"/>
    <w:rsid w:val="00C60C51"/>
    <w:rsid w:val="00C60E3A"/>
    <w:rsid w:val="00C60E4D"/>
    <w:rsid w:val="00C610CE"/>
    <w:rsid w:val="00C61356"/>
    <w:rsid w:val="00C617D8"/>
    <w:rsid w:val="00C61CBD"/>
    <w:rsid w:val="00C61D54"/>
    <w:rsid w:val="00C61ED5"/>
    <w:rsid w:val="00C61F6F"/>
    <w:rsid w:val="00C62CA8"/>
    <w:rsid w:val="00C62F51"/>
    <w:rsid w:val="00C62F62"/>
    <w:rsid w:val="00C63277"/>
    <w:rsid w:val="00C63BAD"/>
    <w:rsid w:val="00C63C5C"/>
    <w:rsid w:val="00C6404C"/>
    <w:rsid w:val="00C6464D"/>
    <w:rsid w:val="00C6471A"/>
    <w:rsid w:val="00C64837"/>
    <w:rsid w:val="00C6492E"/>
    <w:rsid w:val="00C64E2C"/>
    <w:rsid w:val="00C6537B"/>
    <w:rsid w:val="00C6544A"/>
    <w:rsid w:val="00C654D4"/>
    <w:rsid w:val="00C66168"/>
    <w:rsid w:val="00C670E7"/>
    <w:rsid w:val="00C670FA"/>
    <w:rsid w:val="00C67626"/>
    <w:rsid w:val="00C67A7E"/>
    <w:rsid w:val="00C67E8C"/>
    <w:rsid w:val="00C70AC0"/>
    <w:rsid w:val="00C70D7A"/>
    <w:rsid w:val="00C70F3C"/>
    <w:rsid w:val="00C71AC1"/>
    <w:rsid w:val="00C71F49"/>
    <w:rsid w:val="00C734B3"/>
    <w:rsid w:val="00C735CB"/>
    <w:rsid w:val="00C737AB"/>
    <w:rsid w:val="00C73983"/>
    <w:rsid w:val="00C73B63"/>
    <w:rsid w:val="00C73D1A"/>
    <w:rsid w:val="00C73FCB"/>
    <w:rsid w:val="00C7413E"/>
    <w:rsid w:val="00C74316"/>
    <w:rsid w:val="00C743DC"/>
    <w:rsid w:val="00C74B9D"/>
    <w:rsid w:val="00C74BF4"/>
    <w:rsid w:val="00C74C9B"/>
    <w:rsid w:val="00C74E58"/>
    <w:rsid w:val="00C74E7B"/>
    <w:rsid w:val="00C74EAD"/>
    <w:rsid w:val="00C75331"/>
    <w:rsid w:val="00C75417"/>
    <w:rsid w:val="00C75474"/>
    <w:rsid w:val="00C7559B"/>
    <w:rsid w:val="00C759FB"/>
    <w:rsid w:val="00C76E4A"/>
    <w:rsid w:val="00C76E4B"/>
    <w:rsid w:val="00C76F1C"/>
    <w:rsid w:val="00C77001"/>
    <w:rsid w:val="00C77163"/>
    <w:rsid w:val="00C773ED"/>
    <w:rsid w:val="00C774C5"/>
    <w:rsid w:val="00C77766"/>
    <w:rsid w:val="00C779F8"/>
    <w:rsid w:val="00C8016A"/>
    <w:rsid w:val="00C80632"/>
    <w:rsid w:val="00C80CA8"/>
    <w:rsid w:val="00C80D8B"/>
    <w:rsid w:val="00C8122C"/>
    <w:rsid w:val="00C8257F"/>
    <w:rsid w:val="00C82997"/>
    <w:rsid w:val="00C82CCC"/>
    <w:rsid w:val="00C82F50"/>
    <w:rsid w:val="00C83047"/>
    <w:rsid w:val="00C832C2"/>
    <w:rsid w:val="00C83378"/>
    <w:rsid w:val="00C83AA3"/>
    <w:rsid w:val="00C84045"/>
    <w:rsid w:val="00C840E8"/>
    <w:rsid w:val="00C84703"/>
    <w:rsid w:val="00C84771"/>
    <w:rsid w:val="00C84AC9"/>
    <w:rsid w:val="00C84CE8"/>
    <w:rsid w:val="00C84E96"/>
    <w:rsid w:val="00C84F69"/>
    <w:rsid w:val="00C850E5"/>
    <w:rsid w:val="00C851FE"/>
    <w:rsid w:val="00C85411"/>
    <w:rsid w:val="00C878CF"/>
    <w:rsid w:val="00C9026B"/>
    <w:rsid w:val="00C90856"/>
    <w:rsid w:val="00C90A6B"/>
    <w:rsid w:val="00C90ABD"/>
    <w:rsid w:val="00C91105"/>
    <w:rsid w:val="00C916A8"/>
    <w:rsid w:val="00C91BC2"/>
    <w:rsid w:val="00C91F7C"/>
    <w:rsid w:val="00C92715"/>
    <w:rsid w:val="00C927D1"/>
    <w:rsid w:val="00C92A18"/>
    <w:rsid w:val="00C9363D"/>
    <w:rsid w:val="00C93668"/>
    <w:rsid w:val="00C93E18"/>
    <w:rsid w:val="00C93FCA"/>
    <w:rsid w:val="00C9432C"/>
    <w:rsid w:val="00C946BA"/>
    <w:rsid w:val="00C94975"/>
    <w:rsid w:val="00C94A1C"/>
    <w:rsid w:val="00C94BAE"/>
    <w:rsid w:val="00C94E6B"/>
    <w:rsid w:val="00C95354"/>
    <w:rsid w:val="00C953ED"/>
    <w:rsid w:val="00C95713"/>
    <w:rsid w:val="00C95976"/>
    <w:rsid w:val="00C95CA2"/>
    <w:rsid w:val="00C95F24"/>
    <w:rsid w:val="00C95FAE"/>
    <w:rsid w:val="00C9606C"/>
    <w:rsid w:val="00C96ECC"/>
    <w:rsid w:val="00C96EE1"/>
    <w:rsid w:val="00C9772C"/>
    <w:rsid w:val="00C97B08"/>
    <w:rsid w:val="00C97E84"/>
    <w:rsid w:val="00CA01E5"/>
    <w:rsid w:val="00CA08F1"/>
    <w:rsid w:val="00CA0E83"/>
    <w:rsid w:val="00CA1339"/>
    <w:rsid w:val="00CA1E25"/>
    <w:rsid w:val="00CA23F3"/>
    <w:rsid w:val="00CA26D3"/>
    <w:rsid w:val="00CA2880"/>
    <w:rsid w:val="00CA2C08"/>
    <w:rsid w:val="00CA31A3"/>
    <w:rsid w:val="00CA40CA"/>
    <w:rsid w:val="00CA41B7"/>
    <w:rsid w:val="00CA4315"/>
    <w:rsid w:val="00CA435A"/>
    <w:rsid w:val="00CA46D1"/>
    <w:rsid w:val="00CA48B9"/>
    <w:rsid w:val="00CA4B5B"/>
    <w:rsid w:val="00CA4BBF"/>
    <w:rsid w:val="00CA4C4A"/>
    <w:rsid w:val="00CA5038"/>
    <w:rsid w:val="00CA53BD"/>
    <w:rsid w:val="00CA5440"/>
    <w:rsid w:val="00CA5517"/>
    <w:rsid w:val="00CA55EC"/>
    <w:rsid w:val="00CA5842"/>
    <w:rsid w:val="00CA5C54"/>
    <w:rsid w:val="00CA60BF"/>
    <w:rsid w:val="00CA7209"/>
    <w:rsid w:val="00CA7643"/>
    <w:rsid w:val="00CA76DA"/>
    <w:rsid w:val="00CA7AAF"/>
    <w:rsid w:val="00CA7C45"/>
    <w:rsid w:val="00CA7F1E"/>
    <w:rsid w:val="00CB02BA"/>
    <w:rsid w:val="00CB03E8"/>
    <w:rsid w:val="00CB04F5"/>
    <w:rsid w:val="00CB0C04"/>
    <w:rsid w:val="00CB0D28"/>
    <w:rsid w:val="00CB0FF2"/>
    <w:rsid w:val="00CB1165"/>
    <w:rsid w:val="00CB1477"/>
    <w:rsid w:val="00CB1581"/>
    <w:rsid w:val="00CB1930"/>
    <w:rsid w:val="00CB1C5D"/>
    <w:rsid w:val="00CB1F85"/>
    <w:rsid w:val="00CB21B6"/>
    <w:rsid w:val="00CB2DC2"/>
    <w:rsid w:val="00CB2F0E"/>
    <w:rsid w:val="00CB3057"/>
    <w:rsid w:val="00CB3758"/>
    <w:rsid w:val="00CB37B7"/>
    <w:rsid w:val="00CB3F2F"/>
    <w:rsid w:val="00CB4379"/>
    <w:rsid w:val="00CB4970"/>
    <w:rsid w:val="00CB4987"/>
    <w:rsid w:val="00CB5921"/>
    <w:rsid w:val="00CB5D12"/>
    <w:rsid w:val="00CB6102"/>
    <w:rsid w:val="00CB620B"/>
    <w:rsid w:val="00CB6AFE"/>
    <w:rsid w:val="00CB7166"/>
    <w:rsid w:val="00CB71D6"/>
    <w:rsid w:val="00CB755A"/>
    <w:rsid w:val="00CB7572"/>
    <w:rsid w:val="00CB7DC8"/>
    <w:rsid w:val="00CB7EB8"/>
    <w:rsid w:val="00CC05CD"/>
    <w:rsid w:val="00CC12E9"/>
    <w:rsid w:val="00CC1D5D"/>
    <w:rsid w:val="00CC2970"/>
    <w:rsid w:val="00CC2D0D"/>
    <w:rsid w:val="00CC3591"/>
    <w:rsid w:val="00CC3C59"/>
    <w:rsid w:val="00CC4334"/>
    <w:rsid w:val="00CC5152"/>
    <w:rsid w:val="00CC542A"/>
    <w:rsid w:val="00CC578E"/>
    <w:rsid w:val="00CC6261"/>
    <w:rsid w:val="00CC6332"/>
    <w:rsid w:val="00CC6AC2"/>
    <w:rsid w:val="00CC6DA7"/>
    <w:rsid w:val="00CC7658"/>
    <w:rsid w:val="00CC7E04"/>
    <w:rsid w:val="00CC7FBC"/>
    <w:rsid w:val="00CD064A"/>
    <w:rsid w:val="00CD0C3B"/>
    <w:rsid w:val="00CD11F5"/>
    <w:rsid w:val="00CD1DAB"/>
    <w:rsid w:val="00CD1EA6"/>
    <w:rsid w:val="00CD25FF"/>
    <w:rsid w:val="00CD26C6"/>
    <w:rsid w:val="00CD2A5A"/>
    <w:rsid w:val="00CD2C24"/>
    <w:rsid w:val="00CD2D05"/>
    <w:rsid w:val="00CD2F93"/>
    <w:rsid w:val="00CD2F99"/>
    <w:rsid w:val="00CD3925"/>
    <w:rsid w:val="00CD3B29"/>
    <w:rsid w:val="00CD3BC5"/>
    <w:rsid w:val="00CD40F2"/>
    <w:rsid w:val="00CD4156"/>
    <w:rsid w:val="00CD5B8C"/>
    <w:rsid w:val="00CD5BFD"/>
    <w:rsid w:val="00CD5FE7"/>
    <w:rsid w:val="00CD672F"/>
    <w:rsid w:val="00CD67CB"/>
    <w:rsid w:val="00CD6ED4"/>
    <w:rsid w:val="00CD6F29"/>
    <w:rsid w:val="00CD7064"/>
    <w:rsid w:val="00CD7798"/>
    <w:rsid w:val="00CD7998"/>
    <w:rsid w:val="00CD7EC4"/>
    <w:rsid w:val="00CE0405"/>
    <w:rsid w:val="00CE060B"/>
    <w:rsid w:val="00CE061E"/>
    <w:rsid w:val="00CE08BD"/>
    <w:rsid w:val="00CE0ADA"/>
    <w:rsid w:val="00CE1337"/>
    <w:rsid w:val="00CE170C"/>
    <w:rsid w:val="00CE18FF"/>
    <w:rsid w:val="00CE1923"/>
    <w:rsid w:val="00CE235A"/>
    <w:rsid w:val="00CE27D3"/>
    <w:rsid w:val="00CE2849"/>
    <w:rsid w:val="00CE2B2A"/>
    <w:rsid w:val="00CE2FC5"/>
    <w:rsid w:val="00CE303B"/>
    <w:rsid w:val="00CE35D0"/>
    <w:rsid w:val="00CE384D"/>
    <w:rsid w:val="00CE3942"/>
    <w:rsid w:val="00CE3D36"/>
    <w:rsid w:val="00CE421B"/>
    <w:rsid w:val="00CE47F8"/>
    <w:rsid w:val="00CE4EA8"/>
    <w:rsid w:val="00CE4F6C"/>
    <w:rsid w:val="00CE4F8B"/>
    <w:rsid w:val="00CE5240"/>
    <w:rsid w:val="00CE5DE1"/>
    <w:rsid w:val="00CE643A"/>
    <w:rsid w:val="00CE6594"/>
    <w:rsid w:val="00CE660E"/>
    <w:rsid w:val="00CE6D0E"/>
    <w:rsid w:val="00CE70E7"/>
    <w:rsid w:val="00CE76A7"/>
    <w:rsid w:val="00CE7B5E"/>
    <w:rsid w:val="00CF0162"/>
    <w:rsid w:val="00CF0200"/>
    <w:rsid w:val="00CF02A1"/>
    <w:rsid w:val="00CF06E9"/>
    <w:rsid w:val="00CF08C6"/>
    <w:rsid w:val="00CF0937"/>
    <w:rsid w:val="00CF0950"/>
    <w:rsid w:val="00CF0976"/>
    <w:rsid w:val="00CF0C10"/>
    <w:rsid w:val="00CF0CE4"/>
    <w:rsid w:val="00CF1344"/>
    <w:rsid w:val="00CF1AC8"/>
    <w:rsid w:val="00CF207C"/>
    <w:rsid w:val="00CF25E1"/>
    <w:rsid w:val="00CF25FC"/>
    <w:rsid w:val="00CF288C"/>
    <w:rsid w:val="00CF4869"/>
    <w:rsid w:val="00CF4A13"/>
    <w:rsid w:val="00CF55E0"/>
    <w:rsid w:val="00CF585A"/>
    <w:rsid w:val="00CF5947"/>
    <w:rsid w:val="00CF5E2C"/>
    <w:rsid w:val="00CF5EC3"/>
    <w:rsid w:val="00CF6183"/>
    <w:rsid w:val="00CF62D3"/>
    <w:rsid w:val="00CF662B"/>
    <w:rsid w:val="00CF6966"/>
    <w:rsid w:val="00CF6C9F"/>
    <w:rsid w:val="00CF6D94"/>
    <w:rsid w:val="00CF70B6"/>
    <w:rsid w:val="00CF70CD"/>
    <w:rsid w:val="00CF7170"/>
    <w:rsid w:val="00CF7191"/>
    <w:rsid w:val="00CF7194"/>
    <w:rsid w:val="00CF7229"/>
    <w:rsid w:val="00CF7465"/>
    <w:rsid w:val="00CF7607"/>
    <w:rsid w:val="00CF79CA"/>
    <w:rsid w:val="00CF7A81"/>
    <w:rsid w:val="00D01647"/>
    <w:rsid w:val="00D01754"/>
    <w:rsid w:val="00D02360"/>
    <w:rsid w:val="00D028F6"/>
    <w:rsid w:val="00D02B40"/>
    <w:rsid w:val="00D03560"/>
    <w:rsid w:val="00D03630"/>
    <w:rsid w:val="00D038B7"/>
    <w:rsid w:val="00D04099"/>
    <w:rsid w:val="00D0413B"/>
    <w:rsid w:val="00D04277"/>
    <w:rsid w:val="00D04587"/>
    <w:rsid w:val="00D0474E"/>
    <w:rsid w:val="00D04A05"/>
    <w:rsid w:val="00D04BE3"/>
    <w:rsid w:val="00D052A0"/>
    <w:rsid w:val="00D064C7"/>
    <w:rsid w:val="00D064F1"/>
    <w:rsid w:val="00D0655E"/>
    <w:rsid w:val="00D06A3B"/>
    <w:rsid w:val="00D06A86"/>
    <w:rsid w:val="00D073AB"/>
    <w:rsid w:val="00D073ED"/>
    <w:rsid w:val="00D074FC"/>
    <w:rsid w:val="00D076AF"/>
    <w:rsid w:val="00D101AE"/>
    <w:rsid w:val="00D101BE"/>
    <w:rsid w:val="00D101D9"/>
    <w:rsid w:val="00D1036F"/>
    <w:rsid w:val="00D103CB"/>
    <w:rsid w:val="00D10820"/>
    <w:rsid w:val="00D10CFB"/>
    <w:rsid w:val="00D1118A"/>
    <w:rsid w:val="00D11232"/>
    <w:rsid w:val="00D11281"/>
    <w:rsid w:val="00D11919"/>
    <w:rsid w:val="00D119E7"/>
    <w:rsid w:val="00D11E68"/>
    <w:rsid w:val="00D121DB"/>
    <w:rsid w:val="00D123A0"/>
    <w:rsid w:val="00D12C6E"/>
    <w:rsid w:val="00D13C80"/>
    <w:rsid w:val="00D13DE4"/>
    <w:rsid w:val="00D13F89"/>
    <w:rsid w:val="00D144ED"/>
    <w:rsid w:val="00D145BB"/>
    <w:rsid w:val="00D14AB9"/>
    <w:rsid w:val="00D14CC2"/>
    <w:rsid w:val="00D14FC0"/>
    <w:rsid w:val="00D1570D"/>
    <w:rsid w:val="00D15786"/>
    <w:rsid w:val="00D157E9"/>
    <w:rsid w:val="00D15E3E"/>
    <w:rsid w:val="00D15FD4"/>
    <w:rsid w:val="00D164CD"/>
    <w:rsid w:val="00D16D0B"/>
    <w:rsid w:val="00D1712D"/>
    <w:rsid w:val="00D17152"/>
    <w:rsid w:val="00D1722E"/>
    <w:rsid w:val="00D17242"/>
    <w:rsid w:val="00D17285"/>
    <w:rsid w:val="00D17818"/>
    <w:rsid w:val="00D1795F"/>
    <w:rsid w:val="00D17AEF"/>
    <w:rsid w:val="00D17FB9"/>
    <w:rsid w:val="00D20256"/>
    <w:rsid w:val="00D20923"/>
    <w:rsid w:val="00D20A12"/>
    <w:rsid w:val="00D20C0A"/>
    <w:rsid w:val="00D20CBA"/>
    <w:rsid w:val="00D20D05"/>
    <w:rsid w:val="00D211EB"/>
    <w:rsid w:val="00D217B9"/>
    <w:rsid w:val="00D21B1C"/>
    <w:rsid w:val="00D21B74"/>
    <w:rsid w:val="00D22166"/>
    <w:rsid w:val="00D2231C"/>
    <w:rsid w:val="00D227F1"/>
    <w:rsid w:val="00D22A7A"/>
    <w:rsid w:val="00D22F5E"/>
    <w:rsid w:val="00D23002"/>
    <w:rsid w:val="00D236F1"/>
    <w:rsid w:val="00D238DC"/>
    <w:rsid w:val="00D23AA7"/>
    <w:rsid w:val="00D23DAC"/>
    <w:rsid w:val="00D24276"/>
    <w:rsid w:val="00D2438E"/>
    <w:rsid w:val="00D24967"/>
    <w:rsid w:val="00D24A99"/>
    <w:rsid w:val="00D24BA3"/>
    <w:rsid w:val="00D24DF7"/>
    <w:rsid w:val="00D250D3"/>
    <w:rsid w:val="00D2593F"/>
    <w:rsid w:val="00D25BA5"/>
    <w:rsid w:val="00D25CEE"/>
    <w:rsid w:val="00D26253"/>
    <w:rsid w:val="00D26A60"/>
    <w:rsid w:val="00D26F57"/>
    <w:rsid w:val="00D26FA6"/>
    <w:rsid w:val="00D2746F"/>
    <w:rsid w:val="00D27520"/>
    <w:rsid w:val="00D276D4"/>
    <w:rsid w:val="00D27952"/>
    <w:rsid w:val="00D30258"/>
    <w:rsid w:val="00D307E7"/>
    <w:rsid w:val="00D30826"/>
    <w:rsid w:val="00D309EF"/>
    <w:rsid w:val="00D30AA6"/>
    <w:rsid w:val="00D30DB1"/>
    <w:rsid w:val="00D30E97"/>
    <w:rsid w:val="00D31233"/>
    <w:rsid w:val="00D31A1B"/>
    <w:rsid w:val="00D32113"/>
    <w:rsid w:val="00D32514"/>
    <w:rsid w:val="00D32FC6"/>
    <w:rsid w:val="00D33C1E"/>
    <w:rsid w:val="00D33CC5"/>
    <w:rsid w:val="00D33E6C"/>
    <w:rsid w:val="00D34B61"/>
    <w:rsid w:val="00D352C1"/>
    <w:rsid w:val="00D3532E"/>
    <w:rsid w:val="00D35469"/>
    <w:rsid w:val="00D359F8"/>
    <w:rsid w:val="00D362A5"/>
    <w:rsid w:val="00D36A28"/>
    <w:rsid w:val="00D370A6"/>
    <w:rsid w:val="00D37273"/>
    <w:rsid w:val="00D377B1"/>
    <w:rsid w:val="00D37940"/>
    <w:rsid w:val="00D400EF"/>
    <w:rsid w:val="00D403AF"/>
    <w:rsid w:val="00D40556"/>
    <w:rsid w:val="00D40B64"/>
    <w:rsid w:val="00D410AA"/>
    <w:rsid w:val="00D41150"/>
    <w:rsid w:val="00D41673"/>
    <w:rsid w:val="00D41693"/>
    <w:rsid w:val="00D4208F"/>
    <w:rsid w:val="00D420DF"/>
    <w:rsid w:val="00D42538"/>
    <w:rsid w:val="00D4276E"/>
    <w:rsid w:val="00D4297E"/>
    <w:rsid w:val="00D42AAD"/>
    <w:rsid w:val="00D42ACF"/>
    <w:rsid w:val="00D42B7A"/>
    <w:rsid w:val="00D42E12"/>
    <w:rsid w:val="00D4301F"/>
    <w:rsid w:val="00D43227"/>
    <w:rsid w:val="00D43445"/>
    <w:rsid w:val="00D43F49"/>
    <w:rsid w:val="00D443FE"/>
    <w:rsid w:val="00D44828"/>
    <w:rsid w:val="00D45E4B"/>
    <w:rsid w:val="00D45FCC"/>
    <w:rsid w:val="00D46058"/>
    <w:rsid w:val="00D46E86"/>
    <w:rsid w:val="00D46E8B"/>
    <w:rsid w:val="00D472DD"/>
    <w:rsid w:val="00D475E7"/>
    <w:rsid w:val="00D47858"/>
    <w:rsid w:val="00D47951"/>
    <w:rsid w:val="00D47972"/>
    <w:rsid w:val="00D47B2B"/>
    <w:rsid w:val="00D502B1"/>
    <w:rsid w:val="00D50620"/>
    <w:rsid w:val="00D50658"/>
    <w:rsid w:val="00D506B9"/>
    <w:rsid w:val="00D5099C"/>
    <w:rsid w:val="00D51333"/>
    <w:rsid w:val="00D520B4"/>
    <w:rsid w:val="00D52A9D"/>
    <w:rsid w:val="00D539C8"/>
    <w:rsid w:val="00D53DA5"/>
    <w:rsid w:val="00D53F7D"/>
    <w:rsid w:val="00D54234"/>
    <w:rsid w:val="00D543D0"/>
    <w:rsid w:val="00D549F6"/>
    <w:rsid w:val="00D54B30"/>
    <w:rsid w:val="00D55121"/>
    <w:rsid w:val="00D5519B"/>
    <w:rsid w:val="00D55579"/>
    <w:rsid w:val="00D55DD2"/>
    <w:rsid w:val="00D55EA9"/>
    <w:rsid w:val="00D55F85"/>
    <w:rsid w:val="00D56A0E"/>
    <w:rsid w:val="00D56C20"/>
    <w:rsid w:val="00D57332"/>
    <w:rsid w:val="00D57450"/>
    <w:rsid w:val="00D575A5"/>
    <w:rsid w:val="00D578CD"/>
    <w:rsid w:val="00D602BE"/>
    <w:rsid w:val="00D60320"/>
    <w:rsid w:val="00D608D9"/>
    <w:rsid w:val="00D61012"/>
    <w:rsid w:val="00D6136C"/>
    <w:rsid w:val="00D614EE"/>
    <w:rsid w:val="00D62189"/>
    <w:rsid w:val="00D6243A"/>
    <w:rsid w:val="00D62B1C"/>
    <w:rsid w:val="00D63166"/>
    <w:rsid w:val="00D6321D"/>
    <w:rsid w:val="00D641A4"/>
    <w:rsid w:val="00D646B3"/>
    <w:rsid w:val="00D64C9A"/>
    <w:rsid w:val="00D650E7"/>
    <w:rsid w:val="00D65CBB"/>
    <w:rsid w:val="00D65FDF"/>
    <w:rsid w:val="00D662A2"/>
    <w:rsid w:val="00D66A1B"/>
    <w:rsid w:val="00D672D5"/>
    <w:rsid w:val="00D67B9F"/>
    <w:rsid w:val="00D70412"/>
    <w:rsid w:val="00D7091D"/>
    <w:rsid w:val="00D70A08"/>
    <w:rsid w:val="00D70B15"/>
    <w:rsid w:val="00D70B1E"/>
    <w:rsid w:val="00D70B8D"/>
    <w:rsid w:val="00D70C04"/>
    <w:rsid w:val="00D70CF0"/>
    <w:rsid w:val="00D71259"/>
    <w:rsid w:val="00D71338"/>
    <w:rsid w:val="00D71520"/>
    <w:rsid w:val="00D715F4"/>
    <w:rsid w:val="00D71A1A"/>
    <w:rsid w:val="00D71C93"/>
    <w:rsid w:val="00D71CF8"/>
    <w:rsid w:val="00D71DD0"/>
    <w:rsid w:val="00D722AE"/>
    <w:rsid w:val="00D7232F"/>
    <w:rsid w:val="00D7254A"/>
    <w:rsid w:val="00D72710"/>
    <w:rsid w:val="00D72BDA"/>
    <w:rsid w:val="00D72E47"/>
    <w:rsid w:val="00D7330D"/>
    <w:rsid w:val="00D734CE"/>
    <w:rsid w:val="00D7359D"/>
    <w:rsid w:val="00D7478A"/>
    <w:rsid w:val="00D74C07"/>
    <w:rsid w:val="00D7512E"/>
    <w:rsid w:val="00D7513D"/>
    <w:rsid w:val="00D75294"/>
    <w:rsid w:val="00D75BF1"/>
    <w:rsid w:val="00D761C1"/>
    <w:rsid w:val="00D76518"/>
    <w:rsid w:val="00D7674D"/>
    <w:rsid w:val="00D76CDF"/>
    <w:rsid w:val="00D76D3A"/>
    <w:rsid w:val="00D77265"/>
    <w:rsid w:val="00D7760E"/>
    <w:rsid w:val="00D77AD8"/>
    <w:rsid w:val="00D77C09"/>
    <w:rsid w:val="00D805BA"/>
    <w:rsid w:val="00D8128F"/>
    <w:rsid w:val="00D81412"/>
    <w:rsid w:val="00D816BC"/>
    <w:rsid w:val="00D81C1D"/>
    <w:rsid w:val="00D82379"/>
    <w:rsid w:val="00D824F5"/>
    <w:rsid w:val="00D82991"/>
    <w:rsid w:val="00D82B0B"/>
    <w:rsid w:val="00D82B47"/>
    <w:rsid w:val="00D831AB"/>
    <w:rsid w:val="00D848C0"/>
    <w:rsid w:val="00D85505"/>
    <w:rsid w:val="00D855C2"/>
    <w:rsid w:val="00D858D3"/>
    <w:rsid w:val="00D85A29"/>
    <w:rsid w:val="00D85A31"/>
    <w:rsid w:val="00D85A9C"/>
    <w:rsid w:val="00D85AC6"/>
    <w:rsid w:val="00D85B19"/>
    <w:rsid w:val="00D85C64"/>
    <w:rsid w:val="00D862EB"/>
    <w:rsid w:val="00D86AF8"/>
    <w:rsid w:val="00D86BA7"/>
    <w:rsid w:val="00D87049"/>
    <w:rsid w:val="00D87159"/>
    <w:rsid w:val="00D879EE"/>
    <w:rsid w:val="00D900A0"/>
    <w:rsid w:val="00D900B8"/>
    <w:rsid w:val="00D900E7"/>
    <w:rsid w:val="00D90167"/>
    <w:rsid w:val="00D9024C"/>
    <w:rsid w:val="00D90CA9"/>
    <w:rsid w:val="00D90E28"/>
    <w:rsid w:val="00D91027"/>
    <w:rsid w:val="00D91569"/>
    <w:rsid w:val="00D9276D"/>
    <w:rsid w:val="00D92B65"/>
    <w:rsid w:val="00D92C8E"/>
    <w:rsid w:val="00D92F27"/>
    <w:rsid w:val="00D9324B"/>
    <w:rsid w:val="00D93DDF"/>
    <w:rsid w:val="00D950B1"/>
    <w:rsid w:val="00D9530F"/>
    <w:rsid w:val="00D958B1"/>
    <w:rsid w:val="00D95FC5"/>
    <w:rsid w:val="00D96351"/>
    <w:rsid w:val="00D966AD"/>
    <w:rsid w:val="00D968C5"/>
    <w:rsid w:val="00D96BFC"/>
    <w:rsid w:val="00D96FC4"/>
    <w:rsid w:val="00D9717C"/>
    <w:rsid w:val="00D9717E"/>
    <w:rsid w:val="00D97629"/>
    <w:rsid w:val="00D9762D"/>
    <w:rsid w:val="00D97819"/>
    <w:rsid w:val="00DA0CDC"/>
    <w:rsid w:val="00DA1004"/>
    <w:rsid w:val="00DA13EC"/>
    <w:rsid w:val="00DA1A14"/>
    <w:rsid w:val="00DA227C"/>
    <w:rsid w:val="00DA22BF"/>
    <w:rsid w:val="00DA2874"/>
    <w:rsid w:val="00DA29B1"/>
    <w:rsid w:val="00DA29D7"/>
    <w:rsid w:val="00DA2B0D"/>
    <w:rsid w:val="00DA2CFD"/>
    <w:rsid w:val="00DA2EE9"/>
    <w:rsid w:val="00DA34A6"/>
    <w:rsid w:val="00DA3596"/>
    <w:rsid w:val="00DA3A8E"/>
    <w:rsid w:val="00DA3FF7"/>
    <w:rsid w:val="00DA48B3"/>
    <w:rsid w:val="00DA4B74"/>
    <w:rsid w:val="00DA5094"/>
    <w:rsid w:val="00DA517E"/>
    <w:rsid w:val="00DA582F"/>
    <w:rsid w:val="00DA5902"/>
    <w:rsid w:val="00DA5D28"/>
    <w:rsid w:val="00DA62D9"/>
    <w:rsid w:val="00DA6571"/>
    <w:rsid w:val="00DA7020"/>
    <w:rsid w:val="00DA7512"/>
    <w:rsid w:val="00DB0B8B"/>
    <w:rsid w:val="00DB1772"/>
    <w:rsid w:val="00DB1A0C"/>
    <w:rsid w:val="00DB1CA3"/>
    <w:rsid w:val="00DB1D39"/>
    <w:rsid w:val="00DB2111"/>
    <w:rsid w:val="00DB239A"/>
    <w:rsid w:val="00DB2F64"/>
    <w:rsid w:val="00DB3215"/>
    <w:rsid w:val="00DB3486"/>
    <w:rsid w:val="00DB34D7"/>
    <w:rsid w:val="00DB3591"/>
    <w:rsid w:val="00DB41C5"/>
    <w:rsid w:val="00DB436B"/>
    <w:rsid w:val="00DB4722"/>
    <w:rsid w:val="00DB4E40"/>
    <w:rsid w:val="00DB5803"/>
    <w:rsid w:val="00DB5809"/>
    <w:rsid w:val="00DB58DB"/>
    <w:rsid w:val="00DB5C87"/>
    <w:rsid w:val="00DB5EB2"/>
    <w:rsid w:val="00DB5FD3"/>
    <w:rsid w:val="00DB63C0"/>
    <w:rsid w:val="00DB650E"/>
    <w:rsid w:val="00DB66D4"/>
    <w:rsid w:val="00DB6A26"/>
    <w:rsid w:val="00DB6F1A"/>
    <w:rsid w:val="00DB7D50"/>
    <w:rsid w:val="00DB7D8D"/>
    <w:rsid w:val="00DC01C1"/>
    <w:rsid w:val="00DC0220"/>
    <w:rsid w:val="00DC032A"/>
    <w:rsid w:val="00DC07F7"/>
    <w:rsid w:val="00DC0E09"/>
    <w:rsid w:val="00DC0E4B"/>
    <w:rsid w:val="00DC13BB"/>
    <w:rsid w:val="00DC1E0E"/>
    <w:rsid w:val="00DC28F0"/>
    <w:rsid w:val="00DC2B42"/>
    <w:rsid w:val="00DC332C"/>
    <w:rsid w:val="00DC3A3A"/>
    <w:rsid w:val="00DC3AAD"/>
    <w:rsid w:val="00DC4214"/>
    <w:rsid w:val="00DC4322"/>
    <w:rsid w:val="00DC4E6B"/>
    <w:rsid w:val="00DC57EB"/>
    <w:rsid w:val="00DC5A2B"/>
    <w:rsid w:val="00DC608C"/>
    <w:rsid w:val="00DC70CD"/>
    <w:rsid w:val="00DC7279"/>
    <w:rsid w:val="00DC73D2"/>
    <w:rsid w:val="00DC7E9A"/>
    <w:rsid w:val="00DD031C"/>
    <w:rsid w:val="00DD05F6"/>
    <w:rsid w:val="00DD0B0A"/>
    <w:rsid w:val="00DD135D"/>
    <w:rsid w:val="00DD1B3F"/>
    <w:rsid w:val="00DD1B5D"/>
    <w:rsid w:val="00DD245A"/>
    <w:rsid w:val="00DD2642"/>
    <w:rsid w:val="00DD2DB9"/>
    <w:rsid w:val="00DD2EDE"/>
    <w:rsid w:val="00DD304A"/>
    <w:rsid w:val="00DD356B"/>
    <w:rsid w:val="00DD3C85"/>
    <w:rsid w:val="00DD3D20"/>
    <w:rsid w:val="00DD3D75"/>
    <w:rsid w:val="00DD3E2E"/>
    <w:rsid w:val="00DD499D"/>
    <w:rsid w:val="00DD4C37"/>
    <w:rsid w:val="00DD5378"/>
    <w:rsid w:val="00DD540D"/>
    <w:rsid w:val="00DD572A"/>
    <w:rsid w:val="00DD5757"/>
    <w:rsid w:val="00DD5815"/>
    <w:rsid w:val="00DD5A04"/>
    <w:rsid w:val="00DD5B4B"/>
    <w:rsid w:val="00DD5BA9"/>
    <w:rsid w:val="00DD5DED"/>
    <w:rsid w:val="00DD5EC4"/>
    <w:rsid w:val="00DD60CB"/>
    <w:rsid w:val="00DD6121"/>
    <w:rsid w:val="00DD64AC"/>
    <w:rsid w:val="00DD6892"/>
    <w:rsid w:val="00DD69FC"/>
    <w:rsid w:val="00DD6C00"/>
    <w:rsid w:val="00DD6EB6"/>
    <w:rsid w:val="00DD7025"/>
    <w:rsid w:val="00DD7611"/>
    <w:rsid w:val="00DD7D82"/>
    <w:rsid w:val="00DD7DB4"/>
    <w:rsid w:val="00DE06AC"/>
    <w:rsid w:val="00DE0756"/>
    <w:rsid w:val="00DE0ABC"/>
    <w:rsid w:val="00DE0D6E"/>
    <w:rsid w:val="00DE0FF8"/>
    <w:rsid w:val="00DE154F"/>
    <w:rsid w:val="00DE16C6"/>
    <w:rsid w:val="00DE16FC"/>
    <w:rsid w:val="00DE1B1C"/>
    <w:rsid w:val="00DE1CF0"/>
    <w:rsid w:val="00DE1E4F"/>
    <w:rsid w:val="00DE25C1"/>
    <w:rsid w:val="00DE2ACD"/>
    <w:rsid w:val="00DE2F40"/>
    <w:rsid w:val="00DE32C6"/>
    <w:rsid w:val="00DE363E"/>
    <w:rsid w:val="00DE3717"/>
    <w:rsid w:val="00DE3FE4"/>
    <w:rsid w:val="00DE401D"/>
    <w:rsid w:val="00DE40AD"/>
    <w:rsid w:val="00DE456B"/>
    <w:rsid w:val="00DE46E9"/>
    <w:rsid w:val="00DE4EE3"/>
    <w:rsid w:val="00DE56E9"/>
    <w:rsid w:val="00DE5E1A"/>
    <w:rsid w:val="00DE62DC"/>
    <w:rsid w:val="00DE6447"/>
    <w:rsid w:val="00DE6469"/>
    <w:rsid w:val="00DE67FA"/>
    <w:rsid w:val="00DE69A4"/>
    <w:rsid w:val="00DE6C9D"/>
    <w:rsid w:val="00DE7343"/>
    <w:rsid w:val="00DE768A"/>
    <w:rsid w:val="00DE76BD"/>
    <w:rsid w:val="00DE76CA"/>
    <w:rsid w:val="00DE775D"/>
    <w:rsid w:val="00DE7BDA"/>
    <w:rsid w:val="00DE7FB5"/>
    <w:rsid w:val="00DF0065"/>
    <w:rsid w:val="00DF0187"/>
    <w:rsid w:val="00DF0624"/>
    <w:rsid w:val="00DF09B4"/>
    <w:rsid w:val="00DF1312"/>
    <w:rsid w:val="00DF1482"/>
    <w:rsid w:val="00DF1D74"/>
    <w:rsid w:val="00DF1F5A"/>
    <w:rsid w:val="00DF2196"/>
    <w:rsid w:val="00DF26C0"/>
    <w:rsid w:val="00DF2C2D"/>
    <w:rsid w:val="00DF2D54"/>
    <w:rsid w:val="00DF3353"/>
    <w:rsid w:val="00DF364B"/>
    <w:rsid w:val="00DF3705"/>
    <w:rsid w:val="00DF3A5E"/>
    <w:rsid w:val="00DF3BD4"/>
    <w:rsid w:val="00DF3BE5"/>
    <w:rsid w:val="00DF3DAD"/>
    <w:rsid w:val="00DF3E57"/>
    <w:rsid w:val="00DF4AA1"/>
    <w:rsid w:val="00DF4B21"/>
    <w:rsid w:val="00DF4BB7"/>
    <w:rsid w:val="00DF517E"/>
    <w:rsid w:val="00DF54D7"/>
    <w:rsid w:val="00DF5D4B"/>
    <w:rsid w:val="00DF6096"/>
    <w:rsid w:val="00DF669B"/>
    <w:rsid w:val="00DF7177"/>
    <w:rsid w:val="00DF7622"/>
    <w:rsid w:val="00DF76B5"/>
    <w:rsid w:val="00DF78A9"/>
    <w:rsid w:val="00E00FF9"/>
    <w:rsid w:val="00E010B3"/>
    <w:rsid w:val="00E01273"/>
    <w:rsid w:val="00E01443"/>
    <w:rsid w:val="00E01816"/>
    <w:rsid w:val="00E0213B"/>
    <w:rsid w:val="00E02360"/>
    <w:rsid w:val="00E02B20"/>
    <w:rsid w:val="00E0301F"/>
    <w:rsid w:val="00E03213"/>
    <w:rsid w:val="00E03825"/>
    <w:rsid w:val="00E0386A"/>
    <w:rsid w:val="00E0416B"/>
    <w:rsid w:val="00E04506"/>
    <w:rsid w:val="00E0468E"/>
    <w:rsid w:val="00E04AA6"/>
    <w:rsid w:val="00E04E13"/>
    <w:rsid w:val="00E052FB"/>
    <w:rsid w:val="00E0532B"/>
    <w:rsid w:val="00E058F6"/>
    <w:rsid w:val="00E05EFA"/>
    <w:rsid w:val="00E0658E"/>
    <w:rsid w:val="00E066CD"/>
    <w:rsid w:val="00E06813"/>
    <w:rsid w:val="00E06A61"/>
    <w:rsid w:val="00E0719A"/>
    <w:rsid w:val="00E07AFA"/>
    <w:rsid w:val="00E1048A"/>
    <w:rsid w:val="00E10725"/>
    <w:rsid w:val="00E108FB"/>
    <w:rsid w:val="00E1094F"/>
    <w:rsid w:val="00E10A3F"/>
    <w:rsid w:val="00E10C3F"/>
    <w:rsid w:val="00E1120E"/>
    <w:rsid w:val="00E116EF"/>
    <w:rsid w:val="00E11F05"/>
    <w:rsid w:val="00E12577"/>
    <w:rsid w:val="00E12BE1"/>
    <w:rsid w:val="00E130CD"/>
    <w:rsid w:val="00E132BB"/>
    <w:rsid w:val="00E132E2"/>
    <w:rsid w:val="00E13672"/>
    <w:rsid w:val="00E13928"/>
    <w:rsid w:val="00E13AD2"/>
    <w:rsid w:val="00E1420E"/>
    <w:rsid w:val="00E1485F"/>
    <w:rsid w:val="00E14F18"/>
    <w:rsid w:val="00E150FD"/>
    <w:rsid w:val="00E15366"/>
    <w:rsid w:val="00E1548C"/>
    <w:rsid w:val="00E1563C"/>
    <w:rsid w:val="00E15BA4"/>
    <w:rsid w:val="00E16078"/>
    <w:rsid w:val="00E1615F"/>
    <w:rsid w:val="00E16241"/>
    <w:rsid w:val="00E166BC"/>
    <w:rsid w:val="00E16992"/>
    <w:rsid w:val="00E1734C"/>
    <w:rsid w:val="00E175B1"/>
    <w:rsid w:val="00E1792B"/>
    <w:rsid w:val="00E17AD2"/>
    <w:rsid w:val="00E20255"/>
    <w:rsid w:val="00E20520"/>
    <w:rsid w:val="00E205C1"/>
    <w:rsid w:val="00E20A8C"/>
    <w:rsid w:val="00E20C32"/>
    <w:rsid w:val="00E20EC7"/>
    <w:rsid w:val="00E210D4"/>
    <w:rsid w:val="00E21ABC"/>
    <w:rsid w:val="00E21ACF"/>
    <w:rsid w:val="00E21D38"/>
    <w:rsid w:val="00E22F81"/>
    <w:rsid w:val="00E23244"/>
    <w:rsid w:val="00E238AD"/>
    <w:rsid w:val="00E23926"/>
    <w:rsid w:val="00E24791"/>
    <w:rsid w:val="00E2480F"/>
    <w:rsid w:val="00E248CC"/>
    <w:rsid w:val="00E2525C"/>
    <w:rsid w:val="00E25A82"/>
    <w:rsid w:val="00E25FFD"/>
    <w:rsid w:val="00E26125"/>
    <w:rsid w:val="00E26DA8"/>
    <w:rsid w:val="00E277ED"/>
    <w:rsid w:val="00E27C19"/>
    <w:rsid w:val="00E27C62"/>
    <w:rsid w:val="00E30165"/>
    <w:rsid w:val="00E30366"/>
    <w:rsid w:val="00E30415"/>
    <w:rsid w:val="00E30759"/>
    <w:rsid w:val="00E30D88"/>
    <w:rsid w:val="00E31027"/>
    <w:rsid w:val="00E311C5"/>
    <w:rsid w:val="00E31385"/>
    <w:rsid w:val="00E317B6"/>
    <w:rsid w:val="00E3199B"/>
    <w:rsid w:val="00E31C22"/>
    <w:rsid w:val="00E31E70"/>
    <w:rsid w:val="00E32BFA"/>
    <w:rsid w:val="00E3316D"/>
    <w:rsid w:val="00E332B2"/>
    <w:rsid w:val="00E332C7"/>
    <w:rsid w:val="00E335C9"/>
    <w:rsid w:val="00E33B0C"/>
    <w:rsid w:val="00E33D4C"/>
    <w:rsid w:val="00E33F66"/>
    <w:rsid w:val="00E33FA3"/>
    <w:rsid w:val="00E34070"/>
    <w:rsid w:val="00E344CD"/>
    <w:rsid w:val="00E346DB"/>
    <w:rsid w:val="00E35613"/>
    <w:rsid w:val="00E363B4"/>
    <w:rsid w:val="00E363EE"/>
    <w:rsid w:val="00E36423"/>
    <w:rsid w:val="00E3645D"/>
    <w:rsid w:val="00E3674D"/>
    <w:rsid w:val="00E36BBE"/>
    <w:rsid w:val="00E372BE"/>
    <w:rsid w:val="00E375DF"/>
    <w:rsid w:val="00E379DC"/>
    <w:rsid w:val="00E4045B"/>
    <w:rsid w:val="00E40672"/>
    <w:rsid w:val="00E40E33"/>
    <w:rsid w:val="00E40E8A"/>
    <w:rsid w:val="00E41132"/>
    <w:rsid w:val="00E41854"/>
    <w:rsid w:val="00E41DE1"/>
    <w:rsid w:val="00E426FB"/>
    <w:rsid w:val="00E42ACC"/>
    <w:rsid w:val="00E42E83"/>
    <w:rsid w:val="00E42F21"/>
    <w:rsid w:val="00E43006"/>
    <w:rsid w:val="00E442C4"/>
    <w:rsid w:val="00E44D94"/>
    <w:rsid w:val="00E4505D"/>
    <w:rsid w:val="00E45276"/>
    <w:rsid w:val="00E458C7"/>
    <w:rsid w:val="00E46165"/>
    <w:rsid w:val="00E46236"/>
    <w:rsid w:val="00E4660B"/>
    <w:rsid w:val="00E4703F"/>
    <w:rsid w:val="00E475AA"/>
    <w:rsid w:val="00E479BF"/>
    <w:rsid w:val="00E47A09"/>
    <w:rsid w:val="00E47B35"/>
    <w:rsid w:val="00E47B82"/>
    <w:rsid w:val="00E501A9"/>
    <w:rsid w:val="00E50286"/>
    <w:rsid w:val="00E5056F"/>
    <w:rsid w:val="00E50757"/>
    <w:rsid w:val="00E50E01"/>
    <w:rsid w:val="00E516F8"/>
    <w:rsid w:val="00E51D7A"/>
    <w:rsid w:val="00E52335"/>
    <w:rsid w:val="00E523E3"/>
    <w:rsid w:val="00E52A90"/>
    <w:rsid w:val="00E52ACA"/>
    <w:rsid w:val="00E530A7"/>
    <w:rsid w:val="00E533C4"/>
    <w:rsid w:val="00E5374F"/>
    <w:rsid w:val="00E53847"/>
    <w:rsid w:val="00E53ABE"/>
    <w:rsid w:val="00E53B50"/>
    <w:rsid w:val="00E5465E"/>
    <w:rsid w:val="00E54D45"/>
    <w:rsid w:val="00E5501D"/>
    <w:rsid w:val="00E552B6"/>
    <w:rsid w:val="00E552F7"/>
    <w:rsid w:val="00E559C6"/>
    <w:rsid w:val="00E55AA9"/>
    <w:rsid w:val="00E55C25"/>
    <w:rsid w:val="00E55C53"/>
    <w:rsid w:val="00E55D04"/>
    <w:rsid w:val="00E55DA8"/>
    <w:rsid w:val="00E5636D"/>
    <w:rsid w:val="00E56C4B"/>
    <w:rsid w:val="00E56EB8"/>
    <w:rsid w:val="00E571D5"/>
    <w:rsid w:val="00E57526"/>
    <w:rsid w:val="00E575FF"/>
    <w:rsid w:val="00E60A11"/>
    <w:rsid w:val="00E60AE3"/>
    <w:rsid w:val="00E60E9F"/>
    <w:rsid w:val="00E61A66"/>
    <w:rsid w:val="00E61DED"/>
    <w:rsid w:val="00E627E9"/>
    <w:rsid w:val="00E6295B"/>
    <w:rsid w:val="00E62C15"/>
    <w:rsid w:val="00E62DA3"/>
    <w:rsid w:val="00E631CF"/>
    <w:rsid w:val="00E63289"/>
    <w:rsid w:val="00E635B5"/>
    <w:rsid w:val="00E63653"/>
    <w:rsid w:val="00E63752"/>
    <w:rsid w:val="00E6448E"/>
    <w:rsid w:val="00E64F1D"/>
    <w:rsid w:val="00E65346"/>
    <w:rsid w:val="00E655E9"/>
    <w:rsid w:val="00E65630"/>
    <w:rsid w:val="00E657CD"/>
    <w:rsid w:val="00E65856"/>
    <w:rsid w:val="00E65BE3"/>
    <w:rsid w:val="00E65FED"/>
    <w:rsid w:val="00E668CB"/>
    <w:rsid w:val="00E66964"/>
    <w:rsid w:val="00E66AAB"/>
    <w:rsid w:val="00E67340"/>
    <w:rsid w:val="00E6785C"/>
    <w:rsid w:val="00E679CC"/>
    <w:rsid w:val="00E67A5C"/>
    <w:rsid w:val="00E67E22"/>
    <w:rsid w:val="00E70901"/>
    <w:rsid w:val="00E7150D"/>
    <w:rsid w:val="00E7198A"/>
    <w:rsid w:val="00E71B22"/>
    <w:rsid w:val="00E72548"/>
    <w:rsid w:val="00E72A2F"/>
    <w:rsid w:val="00E72A6F"/>
    <w:rsid w:val="00E72FAF"/>
    <w:rsid w:val="00E733C6"/>
    <w:rsid w:val="00E73754"/>
    <w:rsid w:val="00E73BCA"/>
    <w:rsid w:val="00E74624"/>
    <w:rsid w:val="00E7473B"/>
    <w:rsid w:val="00E7526D"/>
    <w:rsid w:val="00E756A2"/>
    <w:rsid w:val="00E7599D"/>
    <w:rsid w:val="00E75AD0"/>
    <w:rsid w:val="00E75EAE"/>
    <w:rsid w:val="00E764A9"/>
    <w:rsid w:val="00E768AE"/>
    <w:rsid w:val="00E768FE"/>
    <w:rsid w:val="00E76B40"/>
    <w:rsid w:val="00E77303"/>
    <w:rsid w:val="00E77567"/>
    <w:rsid w:val="00E77753"/>
    <w:rsid w:val="00E813CA"/>
    <w:rsid w:val="00E81548"/>
    <w:rsid w:val="00E81B7B"/>
    <w:rsid w:val="00E81E17"/>
    <w:rsid w:val="00E81FFB"/>
    <w:rsid w:val="00E8203D"/>
    <w:rsid w:val="00E826D5"/>
    <w:rsid w:val="00E829AD"/>
    <w:rsid w:val="00E83C96"/>
    <w:rsid w:val="00E83E4B"/>
    <w:rsid w:val="00E83EC3"/>
    <w:rsid w:val="00E84D62"/>
    <w:rsid w:val="00E8534D"/>
    <w:rsid w:val="00E85CD9"/>
    <w:rsid w:val="00E85F25"/>
    <w:rsid w:val="00E8601E"/>
    <w:rsid w:val="00E860E3"/>
    <w:rsid w:val="00E8631A"/>
    <w:rsid w:val="00E871D3"/>
    <w:rsid w:val="00E875D1"/>
    <w:rsid w:val="00E87A63"/>
    <w:rsid w:val="00E87F3D"/>
    <w:rsid w:val="00E87F4C"/>
    <w:rsid w:val="00E90057"/>
    <w:rsid w:val="00E90379"/>
    <w:rsid w:val="00E909D8"/>
    <w:rsid w:val="00E90AE1"/>
    <w:rsid w:val="00E90B22"/>
    <w:rsid w:val="00E9132C"/>
    <w:rsid w:val="00E914F6"/>
    <w:rsid w:val="00E91515"/>
    <w:rsid w:val="00E91883"/>
    <w:rsid w:val="00E91949"/>
    <w:rsid w:val="00E91D3B"/>
    <w:rsid w:val="00E921C6"/>
    <w:rsid w:val="00E92C47"/>
    <w:rsid w:val="00E92D83"/>
    <w:rsid w:val="00E92E1C"/>
    <w:rsid w:val="00E93B9B"/>
    <w:rsid w:val="00E93D57"/>
    <w:rsid w:val="00E93F29"/>
    <w:rsid w:val="00E945AD"/>
    <w:rsid w:val="00E947DB"/>
    <w:rsid w:val="00E94E25"/>
    <w:rsid w:val="00E95AEA"/>
    <w:rsid w:val="00E95C12"/>
    <w:rsid w:val="00E96355"/>
    <w:rsid w:val="00E96442"/>
    <w:rsid w:val="00E9663D"/>
    <w:rsid w:val="00E969C1"/>
    <w:rsid w:val="00E96E0A"/>
    <w:rsid w:val="00E96F24"/>
    <w:rsid w:val="00E972A4"/>
    <w:rsid w:val="00E9743C"/>
    <w:rsid w:val="00E97E17"/>
    <w:rsid w:val="00E97E3C"/>
    <w:rsid w:val="00E97E81"/>
    <w:rsid w:val="00EA1227"/>
    <w:rsid w:val="00EA1246"/>
    <w:rsid w:val="00EA16B2"/>
    <w:rsid w:val="00EA1964"/>
    <w:rsid w:val="00EA1BC8"/>
    <w:rsid w:val="00EA22B4"/>
    <w:rsid w:val="00EA2D3A"/>
    <w:rsid w:val="00EA2F06"/>
    <w:rsid w:val="00EA30FA"/>
    <w:rsid w:val="00EA3107"/>
    <w:rsid w:val="00EA3723"/>
    <w:rsid w:val="00EA3950"/>
    <w:rsid w:val="00EA3A3C"/>
    <w:rsid w:val="00EA3BE7"/>
    <w:rsid w:val="00EA3F6C"/>
    <w:rsid w:val="00EA51FE"/>
    <w:rsid w:val="00EA5274"/>
    <w:rsid w:val="00EA5A9D"/>
    <w:rsid w:val="00EA67D8"/>
    <w:rsid w:val="00EA69E2"/>
    <w:rsid w:val="00EA6BFC"/>
    <w:rsid w:val="00EA6FB7"/>
    <w:rsid w:val="00EA711A"/>
    <w:rsid w:val="00EA7158"/>
    <w:rsid w:val="00EA718F"/>
    <w:rsid w:val="00EA727F"/>
    <w:rsid w:val="00EA751A"/>
    <w:rsid w:val="00EA7AEE"/>
    <w:rsid w:val="00EB003B"/>
    <w:rsid w:val="00EB07C1"/>
    <w:rsid w:val="00EB09C3"/>
    <w:rsid w:val="00EB0AD0"/>
    <w:rsid w:val="00EB0DF0"/>
    <w:rsid w:val="00EB1CB7"/>
    <w:rsid w:val="00EB245B"/>
    <w:rsid w:val="00EB296B"/>
    <w:rsid w:val="00EB2F82"/>
    <w:rsid w:val="00EB2F8E"/>
    <w:rsid w:val="00EB34F2"/>
    <w:rsid w:val="00EB35CD"/>
    <w:rsid w:val="00EB3A6F"/>
    <w:rsid w:val="00EB3AC1"/>
    <w:rsid w:val="00EB4191"/>
    <w:rsid w:val="00EB43B1"/>
    <w:rsid w:val="00EB4634"/>
    <w:rsid w:val="00EB46E3"/>
    <w:rsid w:val="00EB4869"/>
    <w:rsid w:val="00EB4DBD"/>
    <w:rsid w:val="00EB55A3"/>
    <w:rsid w:val="00EB5AF7"/>
    <w:rsid w:val="00EB6899"/>
    <w:rsid w:val="00EB692E"/>
    <w:rsid w:val="00EB7064"/>
    <w:rsid w:val="00EB72D8"/>
    <w:rsid w:val="00EB79E1"/>
    <w:rsid w:val="00EB7E19"/>
    <w:rsid w:val="00EB7EAF"/>
    <w:rsid w:val="00EC0026"/>
    <w:rsid w:val="00EC061E"/>
    <w:rsid w:val="00EC0F34"/>
    <w:rsid w:val="00EC0F8C"/>
    <w:rsid w:val="00EC146B"/>
    <w:rsid w:val="00EC1B0B"/>
    <w:rsid w:val="00EC1D14"/>
    <w:rsid w:val="00EC1DCA"/>
    <w:rsid w:val="00EC1DFA"/>
    <w:rsid w:val="00EC1E55"/>
    <w:rsid w:val="00EC2361"/>
    <w:rsid w:val="00EC251B"/>
    <w:rsid w:val="00EC2BA3"/>
    <w:rsid w:val="00EC2CF6"/>
    <w:rsid w:val="00EC3A17"/>
    <w:rsid w:val="00EC3AD5"/>
    <w:rsid w:val="00EC3F3D"/>
    <w:rsid w:val="00EC4156"/>
    <w:rsid w:val="00EC43B3"/>
    <w:rsid w:val="00EC49F4"/>
    <w:rsid w:val="00EC4C64"/>
    <w:rsid w:val="00EC4EBE"/>
    <w:rsid w:val="00EC50C3"/>
    <w:rsid w:val="00EC5BA2"/>
    <w:rsid w:val="00EC5E2B"/>
    <w:rsid w:val="00EC6DC5"/>
    <w:rsid w:val="00EC6F7A"/>
    <w:rsid w:val="00EC7DCC"/>
    <w:rsid w:val="00EC7F53"/>
    <w:rsid w:val="00ED0C1A"/>
    <w:rsid w:val="00ED0D77"/>
    <w:rsid w:val="00ED1053"/>
    <w:rsid w:val="00ED1340"/>
    <w:rsid w:val="00ED15D1"/>
    <w:rsid w:val="00ED17C4"/>
    <w:rsid w:val="00ED1FEB"/>
    <w:rsid w:val="00ED1FF9"/>
    <w:rsid w:val="00ED2168"/>
    <w:rsid w:val="00ED2670"/>
    <w:rsid w:val="00ED2E8D"/>
    <w:rsid w:val="00ED3D88"/>
    <w:rsid w:val="00ED3F1F"/>
    <w:rsid w:val="00ED4475"/>
    <w:rsid w:val="00ED4B22"/>
    <w:rsid w:val="00ED5928"/>
    <w:rsid w:val="00ED5A46"/>
    <w:rsid w:val="00ED5B12"/>
    <w:rsid w:val="00ED65A7"/>
    <w:rsid w:val="00ED68E2"/>
    <w:rsid w:val="00ED69BD"/>
    <w:rsid w:val="00ED6F09"/>
    <w:rsid w:val="00ED703A"/>
    <w:rsid w:val="00ED73CC"/>
    <w:rsid w:val="00ED7679"/>
    <w:rsid w:val="00EE0041"/>
    <w:rsid w:val="00EE01A9"/>
    <w:rsid w:val="00EE0624"/>
    <w:rsid w:val="00EE0BD7"/>
    <w:rsid w:val="00EE0D33"/>
    <w:rsid w:val="00EE1794"/>
    <w:rsid w:val="00EE1AB8"/>
    <w:rsid w:val="00EE1DF1"/>
    <w:rsid w:val="00EE1EFD"/>
    <w:rsid w:val="00EE23F7"/>
    <w:rsid w:val="00EE28AC"/>
    <w:rsid w:val="00EE2ECE"/>
    <w:rsid w:val="00EE2F96"/>
    <w:rsid w:val="00EE3667"/>
    <w:rsid w:val="00EE387C"/>
    <w:rsid w:val="00EE3F2A"/>
    <w:rsid w:val="00EE40FB"/>
    <w:rsid w:val="00EE4584"/>
    <w:rsid w:val="00EE4898"/>
    <w:rsid w:val="00EE51C9"/>
    <w:rsid w:val="00EE55A9"/>
    <w:rsid w:val="00EE55F6"/>
    <w:rsid w:val="00EE57DB"/>
    <w:rsid w:val="00EE5D82"/>
    <w:rsid w:val="00EE5DD5"/>
    <w:rsid w:val="00EE60E5"/>
    <w:rsid w:val="00EE68F1"/>
    <w:rsid w:val="00EE6E9F"/>
    <w:rsid w:val="00EE793D"/>
    <w:rsid w:val="00EE79A1"/>
    <w:rsid w:val="00EE79F2"/>
    <w:rsid w:val="00EE7B6C"/>
    <w:rsid w:val="00EE7DFD"/>
    <w:rsid w:val="00EE7F45"/>
    <w:rsid w:val="00EF1791"/>
    <w:rsid w:val="00EF2456"/>
    <w:rsid w:val="00EF2A20"/>
    <w:rsid w:val="00EF2FC4"/>
    <w:rsid w:val="00EF3685"/>
    <w:rsid w:val="00EF3AAD"/>
    <w:rsid w:val="00EF4057"/>
    <w:rsid w:val="00EF40FE"/>
    <w:rsid w:val="00EF4151"/>
    <w:rsid w:val="00EF43F7"/>
    <w:rsid w:val="00EF4594"/>
    <w:rsid w:val="00EF4794"/>
    <w:rsid w:val="00EF4B6E"/>
    <w:rsid w:val="00EF53A7"/>
    <w:rsid w:val="00EF560B"/>
    <w:rsid w:val="00EF5726"/>
    <w:rsid w:val="00EF589F"/>
    <w:rsid w:val="00EF5A1D"/>
    <w:rsid w:val="00EF5D28"/>
    <w:rsid w:val="00EF6778"/>
    <w:rsid w:val="00EF682B"/>
    <w:rsid w:val="00EF6CE3"/>
    <w:rsid w:val="00EF6FC6"/>
    <w:rsid w:val="00EF72EB"/>
    <w:rsid w:val="00EF7495"/>
    <w:rsid w:val="00EF7843"/>
    <w:rsid w:val="00EF7CD1"/>
    <w:rsid w:val="00EF7F22"/>
    <w:rsid w:val="00F000D0"/>
    <w:rsid w:val="00F008D7"/>
    <w:rsid w:val="00F00E79"/>
    <w:rsid w:val="00F01603"/>
    <w:rsid w:val="00F018EA"/>
    <w:rsid w:val="00F01E16"/>
    <w:rsid w:val="00F01E32"/>
    <w:rsid w:val="00F01E37"/>
    <w:rsid w:val="00F01FFC"/>
    <w:rsid w:val="00F02049"/>
    <w:rsid w:val="00F024F7"/>
    <w:rsid w:val="00F02512"/>
    <w:rsid w:val="00F02689"/>
    <w:rsid w:val="00F0282A"/>
    <w:rsid w:val="00F02C18"/>
    <w:rsid w:val="00F03723"/>
    <w:rsid w:val="00F04127"/>
    <w:rsid w:val="00F0425D"/>
    <w:rsid w:val="00F04D1B"/>
    <w:rsid w:val="00F0526E"/>
    <w:rsid w:val="00F062EC"/>
    <w:rsid w:val="00F06F9E"/>
    <w:rsid w:val="00F073C9"/>
    <w:rsid w:val="00F07AD5"/>
    <w:rsid w:val="00F07CFA"/>
    <w:rsid w:val="00F07F55"/>
    <w:rsid w:val="00F10278"/>
    <w:rsid w:val="00F10D34"/>
    <w:rsid w:val="00F1107B"/>
    <w:rsid w:val="00F11340"/>
    <w:rsid w:val="00F113C6"/>
    <w:rsid w:val="00F11E72"/>
    <w:rsid w:val="00F11EC3"/>
    <w:rsid w:val="00F121E4"/>
    <w:rsid w:val="00F1244B"/>
    <w:rsid w:val="00F12611"/>
    <w:rsid w:val="00F1262E"/>
    <w:rsid w:val="00F1282E"/>
    <w:rsid w:val="00F128C1"/>
    <w:rsid w:val="00F12906"/>
    <w:rsid w:val="00F132D7"/>
    <w:rsid w:val="00F13661"/>
    <w:rsid w:val="00F13F1E"/>
    <w:rsid w:val="00F140E1"/>
    <w:rsid w:val="00F153AF"/>
    <w:rsid w:val="00F15643"/>
    <w:rsid w:val="00F15862"/>
    <w:rsid w:val="00F15D24"/>
    <w:rsid w:val="00F16166"/>
    <w:rsid w:val="00F1630F"/>
    <w:rsid w:val="00F16327"/>
    <w:rsid w:val="00F1641A"/>
    <w:rsid w:val="00F16874"/>
    <w:rsid w:val="00F168E7"/>
    <w:rsid w:val="00F17971"/>
    <w:rsid w:val="00F17B6D"/>
    <w:rsid w:val="00F17F95"/>
    <w:rsid w:val="00F2020B"/>
    <w:rsid w:val="00F20B4F"/>
    <w:rsid w:val="00F2124A"/>
    <w:rsid w:val="00F2135B"/>
    <w:rsid w:val="00F21761"/>
    <w:rsid w:val="00F21851"/>
    <w:rsid w:val="00F21B74"/>
    <w:rsid w:val="00F21CBE"/>
    <w:rsid w:val="00F22303"/>
    <w:rsid w:val="00F22CCE"/>
    <w:rsid w:val="00F23307"/>
    <w:rsid w:val="00F23443"/>
    <w:rsid w:val="00F23684"/>
    <w:rsid w:val="00F23793"/>
    <w:rsid w:val="00F23C50"/>
    <w:rsid w:val="00F24562"/>
    <w:rsid w:val="00F24851"/>
    <w:rsid w:val="00F24A85"/>
    <w:rsid w:val="00F24F27"/>
    <w:rsid w:val="00F2510F"/>
    <w:rsid w:val="00F25D31"/>
    <w:rsid w:val="00F2691C"/>
    <w:rsid w:val="00F269FD"/>
    <w:rsid w:val="00F271B5"/>
    <w:rsid w:val="00F2725B"/>
    <w:rsid w:val="00F273CA"/>
    <w:rsid w:val="00F278BF"/>
    <w:rsid w:val="00F27E88"/>
    <w:rsid w:val="00F27FF4"/>
    <w:rsid w:val="00F302EC"/>
    <w:rsid w:val="00F30350"/>
    <w:rsid w:val="00F30665"/>
    <w:rsid w:val="00F30A2E"/>
    <w:rsid w:val="00F30D7B"/>
    <w:rsid w:val="00F30F0E"/>
    <w:rsid w:val="00F3144B"/>
    <w:rsid w:val="00F31994"/>
    <w:rsid w:val="00F31AC1"/>
    <w:rsid w:val="00F31D56"/>
    <w:rsid w:val="00F31FD9"/>
    <w:rsid w:val="00F32004"/>
    <w:rsid w:val="00F32B0E"/>
    <w:rsid w:val="00F32F76"/>
    <w:rsid w:val="00F33101"/>
    <w:rsid w:val="00F33185"/>
    <w:rsid w:val="00F33499"/>
    <w:rsid w:val="00F3389E"/>
    <w:rsid w:val="00F35014"/>
    <w:rsid w:val="00F354D2"/>
    <w:rsid w:val="00F3561F"/>
    <w:rsid w:val="00F35790"/>
    <w:rsid w:val="00F357F4"/>
    <w:rsid w:val="00F3594F"/>
    <w:rsid w:val="00F35C09"/>
    <w:rsid w:val="00F35ED0"/>
    <w:rsid w:val="00F35F84"/>
    <w:rsid w:val="00F362C2"/>
    <w:rsid w:val="00F367D6"/>
    <w:rsid w:val="00F368E8"/>
    <w:rsid w:val="00F36B5F"/>
    <w:rsid w:val="00F36BB9"/>
    <w:rsid w:val="00F36CEF"/>
    <w:rsid w:val="00F36F34"/>
    <w:rsid w:val="00F37988"/>
    <w:rsid w:val="00F40391"/>
    <w:rsid w:val="00F40689"/>
    <w:rsid w:val="00F40A1E"/>
    <w:rsid w:val="00F40D13"/>
    <w:rsid w:val="00F40ED8"/>
    <w:rsid w:val="00F4101A"/>
    <w:rsid w:val="00F411A1"/>
    <w:rsid w:val="00F411E1"/>
    <w:rsid w:val="00F414C5"/>
    <w:rsid w:val="00F41879"/>
    <w:rsid w:val="00F41BDE"/>
    <w:rsid w:val="00F41F0D"/>
    <w:rsid w:val="00F41F4C"/>
    <w:rsid w:val="00F41FD4"/>
    <w:rsid w:val="00F42343"/>
    <w:rsid w:val="00F4243C"/>
    <w:rsid w:val="00F428B9"/>
    <w:rsid w:val="00F42A22"/>
    <w:rsid w:val="00F42A53"/>
    <w:rsid w:val="00F42F00"/>
    <w:rsid w:val="00F436D3"/>
    <w:rsid w:val="00F438CB"/>
    <w:rsid w:val="00F43AB1"/>
    <w:rsid w:val="00F43C1E"/>
    <w:rsid w:val="00F43D43"/>
    <w:rsid w:val="00F43F70"/>
    <w:rsid w:val="00F43FF1"/>
    <w:rsid w:val="00F44293"/>
    <w:rsid w:val="00F444F5"/>
    <w:rsid w:val="00F44518"/>
    <w:rsid w:val="00F44649"/>
    <w:rsid w:val="00F44776"/>
    <w:rsid w:val="00F44C8A"/>
    <w:rsid w:val="00F44FA4"/>
    <w:rsid w:val="00F45037"/>
    <w:rsid w:val="00F45590"/>
    <w:rsid w:val="00F45C10"/>
    <w:rsid w:val="00F46C5C"/>
    <w:rsid w:val="00F46C82"/>
    <w:rsid w:val="00F46EE2"/>
    <w:rsid w:val="00F471D2"/>
    <w:rsid w:val="00F475CE"/>
    <w:rsid w:val="00F476F8"/>
    <w:rsid w:val="00F47E97"/>
    <w:rsid w:val="00F47ECA"/>
    <w:rsid w:val="00F5047D"/>
    <w:rsid w:val="00F507DB"/>
    <w:rsid w:val="00F508D6"/>
    <w:rsid w:val="00F50E52"/>
    <w:rsid w:val="00F51063"/>
    <w:rsid w:val="00F5138E"/>
    <w:rsid w:val="00F518EC"/>
    <w:rsid w:val="00F51C2A"/>
    <w:rsid w:val="00F5227D"/>
    <w:rsid w:val="00F528E7"/>
    <w:rsid w:val="00F529AE"/>
    <w:rsid w:val="00F52BD9"/>
    <w:rsid w:val="00F53175"/>
    <w:rsid w:val="00F5377E"/>
    <w:rsid w:val="00F5494F"/>
    <w:rsid w:val="00F55A27"/>
    <w:rsid w:val="00F55B5C"/>
    <w:rsid w:val="00F55BC7"/>
    <w:rsid w:val="00F55C06"/>
    <w:rsid w:val="00F55D58"/>
    <w:rsid w:val="00F56A23"/>
    <w:rsid w:val="00F57949"/>
    <w:rsid w:val="00F57C1D"/>
    <w:rsid w:val="00F57DC4"/>
    <w:rsid w:val="00F6043A"/>
    <w:rsid w:val="00F60469"/>
    <w:rsid w:val="00F606AA"/>
    <w:rsid w:val="00F60C05"/>
    <w:rsid w:val="00F60D2A"/>
    <w:rsid w:val="00F611FA"/>
    <w:rsid w:val="00F61406"/>
    <w:rsid w:val="00F6155F"/>
    <w:rsid w:val="00F61F67"/>
    <w:rsid w:val="00F620DC"/>
    <w:rsid w:val="00F625EC"/>
    <w:rsid w:val="00F636E8"/>
    <w:rsid w:val="00F637AA"/>
    <w:rsid w:val="00F63856"/>
    <w:rsid w:val="00F63899"/>
    <w:rsid w:val="00F647B9"/>
    <w:rsid w:val="00F647FE"/>
    <w:rsid w:val="00F64C25"/>
    <w:rsid w:val="00F64D76"/>
    <w:rsid w:val="00F6512A"/>
    <w:rsid w:val="00F65609"/>
    <w:rsid w:val="00F65E0A"/>
    <w:rsid w:val="00F65ED5"/>
    <w:rsid w:val="00F66009"/>
    <w:rsid w:val="00F66228"/>
    <w:rsid w:val="00F6679E"/>
    <w:rsid w:val="00F6693B"/>
    <w:rsid w:val="00F671D4"/>
    <w:rsid w:val="00F7014F"/>
    <w:rsid w:val="00F70646"/>
    <w:rsid w:val="00F70AB7"/>
    <w:rsid w:val="00F716E6"/>
    <w:rsid w:val="00F7186A"/>
    <w:rsid w:val="00F720B6"/>
    <w:rsid w:val="00F722BF"/>
    <w:rsid w:val="00F72BA3"/>
    <w:rsid w:val="00F73330"/>
    <w:rsid w:val="00F73649"/>
    <w:rsid w:val="00F737AD"/>
    <w:rsid w:val="00F73AA3"/>
    <w:rsid w:val="00F73B7A"/>
    <w:rsid w:val="00F73B8E"/>
    <w:rsid w:val="00F73E7A"/>
    <w:rsid w:val="00F74132"/>
    <w:rsid w:val="00F7465B"/>
    <w:rsid w:val="00F74967"/>
    <w:rsid w:val="00F74FCE"/>
    <w:rsid w:val="00F74FFB"/>
    <w:rsid w:val="00F7523E"/>
    <w:rsid w:val="00F758B7"/>
    <w:rsid w:val="00F7631A"/>
    <w:rsid w:val="00F76348"/>
    <w:rsid w:val="00F766B5"/>
    <w:rsid w:val="00F76A75"/>
    <w:rsid w:val="00F76AC9"/>
    <w:rsid w:val="00F76D49"/>
    <w:rsid w:val="00F76EFF"/>
    <w:rsid w:val="00F77218"/>
    <w:rsid w:val="00F776EF"/>
    <w:rsid w:val="00F7793A"/>
    <w:rsid w:val="00F77BFF"/>
    <w:rsid w:val="00F80149"/>
    <w:rsid w:val="00F806BA"/>
    <w:rsid w:val="00F80AF0"/>
    <w:rsid w:val="00F80C57"/>
    <w:rsid w:val="00F80CA1"/>
    <w:rsid w:val="00F80F37"/>
    <w:rsid w:val="00F8136E"/>
    <w:rsid w:val="00F828A9"/>
    <w:rsid w:val="00F830BE"/>
    <w:rsid w:val="00F83221"/>
    <w:rsid w:val="00F837BD"/>
    <w:rsid w:val="00F838C0"/>
    <w:rsid w:val="00F83F57"/>
    <w:rsid w:val="00F8437D"/>
    <w:rsid w:val="00F848B4"/>
    <w:rsid w:val="00F84B93"/>
    <w:rsid w:val="00F854AB"/>
    <w:rsid w:val="00F85978"/>
    <w:rsid w:val="00F85DEC"/>
    <w:rsid w:val="00F85FC2"/>
    <w:rsid w:val="00F86C71"/>
    <w:rsid w:val="00F86D91"/>
    <w:rsid w:val="00F8708F"/>
    <w:rsid w:val="00F873D2"/>
    <w:rsid w:val="00F87426"/>
    <w:rsid w:val="00F87564"/>
    <w:rsid w:val="00F87783"/>
    <w:rsid w:val="00F87B44"/>
    <w:rsid w:val="00F87E83"/>
    <w:rsid w:val="00F87F8F"/>
    <w:rsid w:val="00F90533"/>
    <w:rsid w:val="00F91910"/>
    <w:rsid w:val="00F91C68"/>
    <w:rsid w:val="00F91E65"/>
    <w:rsid w:val="00F91ECE"/>
    <w:rsid w:val="00F92024"/>
    <w:rsid w:val="00F92130"/>
    <w:rsid w:val="00F922B8"/>
    <w:rsid w:val="00F922BD"/>
    <w:rsid w:val="00F92616"/>
    <w:rsid w:val="00F9277F"/>
    <w:rsid w:val="00F92BA7"/>
    <w:rsid w:val="00F934F7"/>
    <w:rsid w:val="00F9382B"/>
    <w:rsid w:val="00F93D49"/>
    <w:rsid w:val="00F93E5E"/>
    <w:rsid w:val="00F93EBF"/>
    <w:rsid w:val="00F94597"/>
    <w:rsid w:val="00F94666"/>
    <w:rsid w:val="00F947CB"/>
    <w:rsid w:val="00F94DA3"/>
    <w:rsid w:val="00F953EC"/>
    <w:rsid w:val="00F955D8"/>
    <w:rsid w:val="00F95E81"/>
    <w:rsid w:val="00F961A0"/>
    <w:rsid w:val="00F9726A"/>
    <w:rsid w:val="00F97668"/>
    <w:rsid w:val="00F97914"/>
    <w:rsid w:val="00F97D6D"/>
    <w:rsid w:val="00FA06DE"/>
    <w:rsid w:val="00FA07CF"/>
    <w:rsid w:val="00FA0A66"/>
    <w:rsid w:val="00FA0CC5"/>
    <w:rsid w:val="00FA11A4"/>
    <w:rsid w:val="00FA1608"/>
    <w:rsid w:val="00FA1BE1"/>
    <w:rsid w:val="00FA1CEB"/>
    <w:rsid w:val="00FA1D65"/>
    <w:rsid w:val="00FA1F9E"/>
    <w:rsid w:val="00FA22BB"/>
    <w:rsid w:val="00FA2B60"/>
    <w:rsid w:val="00FA2F1C"/>
    <w:rsid w:val="00FA31F3"/>
    <w:rsid w:val="00FA39CB"/>
    <w:rsid w:val="00FA42AF"/>
    <w:rsid w:val="00FA4451"/>
    <w:rsid w:val="00FA4982"/>
    <w:rsid w:val="00FA49A1"/>
    <w:rsid w:val="00FA4C30"/>
    <w:rsid w:val="00FA4EF9"/>
    <w:rsid w:val="00FA4FBF"/>
    <w:rsid w:val="00FA50B1"/>
    <w:rsid w:val="00FA54AA"/>
    <w:rsid w:val="00FA5CE1"/>
    <w:rsid w:val="00FA5E26"/>
    <w:rsid w:val="00FA5F49"/>
    <w:rsid w:val="00FA6422"/>
    <w:rsid w:val="00FA68A0"/>
    <w:rsid w:val="00FA6E81"/>
    <w:rsid w:val="00FA726F"/>
    <w:rsid w:val="00FA7599"/>
    <w:rsid w:val="00FA7701"/>
    <w:rsid w:val="00FA7A94"/>
    <w:rsid w:val="00FB00DA"/>
    <w:rsid w:val="00FB02D2"/>
    <w:rsid w:val="00FB0598"/>
    <w:rsid w:val="00FB0952"/>
    <w:rsid w:val="00FB09CE"/>
    <w:rsid w:val="00FB105F"/>
    <w:rsid w:val="00FB1282"/>
    <w:rsid w:val="00FB128C"/>
    <w:rsid w:val="00FB15D8"/>
    <w:rsid w:val="00FB2840"/>
    <w:rsid w:val="00FB2B68"/>
    <w:rsid w:val="00FB2F7F"/>
    <w:rsid w:val="00FB3400"/>
    <w:rsid w:val="00FB34A9"/>
    <w:rsid w:val="00FB355B"/>
    <w:rsid w:val="00FB38A3"/>
    <w:rsid w:val="00FB398E"/>
    <w:rsid w:val="00FB3C1E"/>
    <w:rsid w:val="00FB3F35"/>
    <w:rsid w:val="00FB4259"/>
    <w:rsid w:val="00FB470B"/>
    <w:rsid w:val="00FB4B52"/>
    <w:rsid w:val="00FB523D"/>
    <w:rsid w:val="00FB569B"/>
    <w:rsid w:val="00FB5F1E"/>
    <w:rsid w:val="00FB6712"/>
    <w:rsid w:val="00FB714A"/>
    <w:rsid w:val="00FB71CF"/>
    <w:rsid w:val="00FB722D"/>
    <w:rsid w:val="00FB7375"/>
    <w:rsid w:val="00FB75F3"/>
    <w:rsid w:val="00FB778E"/>
    <w:rsid w:val="00FB7F0C"/>
    <w:rsid w:val="00FC01F4"/>
    <w:rsid w:val="00FC01FF"/>
    <w:rsid w:val="00FC07F3"/>
    <w:rsid w:val="00FC0DAC"/>
    <w:rsid w:val="00FC2153"/>
    <w:rsid w:val="00FC2581"/>
    <w:rsid w:val="00FC2954"/>
    <w:rsid w:val="00FC2FAB"/>
    <w:rsid w:val="00FC3464"/>
    <w:rsid w:val="00FC373D"/>
    <w:rsid w:val="00FC3740"/>
    <w:rsid w:val="00FC3AC6"/>
    <w:rsid w:val="00FC4131"/>
    <w:rsid w:val="00FC4AE3"/>
    <w:rsid w:val="00FC51D5"/>
    <w:rsid w:val="00FC52AC"/>
    <w:rsid w:val="00FC5882"/>
    <w:rsid w:val="00FC58A8"/>
    <w:rsid w:val="00FC593E"/>
    <w:rsid w:val="00FC5C89"/>
    <w:rsid w:val="00FC65E7"/>
    <w:rsid w:val="00FC6F72"/>
    <w:rsid w:val="00FC6FCC"/>
    <w:rsid w:val="00FC71D7"/>
    <w:rsid w:val="00FC75AA"/>
    <w:rsid w:val="00FC7856"/>
    <w:rsid w:val="00FC79E0"/>
    <w:rsid w:val="00FC7F00"/>
    <w:rsid w:val="00FD02A3"/>
    <w:rsid w:val="00FD034E"/>
    <w:rsid w:val="00FD04E5"/>
    <w:rsid w:val="00FD06C8"/>
    <w:rsid w:val="00FD06E7"/>
    <w:rsid w:val="00FD0894"/>
    <w:rsid w:val="00FD0E85"/>
    <w:rsid w:val="00FD132F"/>
    <w:rsid w:val="00FD154B"/>
    <w:rsid w:val="00FD1950"/>
    <w:rsid w:val="00FD1C7A"/>
    <w:rsid w:val="00FD21C7"/>
    <w:rsid w:val="00FD223B"/>
    <w:rsid w:val="00FD23D3"/>
    <w:rsid w:val="00FD2B77"/>
    <w:rsid w:val="00FD31CB"/>
    <w:rsid w:val="00FD3A93"/>
    <w:rsid w:val="00FD3AF0"/>
    <w:rsid w:val="00FD4050"/>
    <w:rsid w:val="00FD47FB"/>
    <w:rsid w:val="00FD4998"/>
    <w:rsid w:val="00FD4D57"/>
    <w:rsid w:val="00FD4F1E"/>
    <w:rsid w:val="00FD525C"/>
    <w:rsid w:val="00FD5335"/>
    <w:rsid w:val="00FD534A"/>
    <w:rsid w:val="00FD5966"/>
    <w:rsid w:val="00FD5A3A"/>
    <w:rsid w:val="00FD5D1A"/>
    <w:rsid w:val="00FD5E66"/>
    <w:rsid w:val="00FD66D7"/>
    <w:rsid w:val="00FD67A4"/>
    <w:rsid w:val="00FD6C6A"/>
    <w:rsid w:val="00FD7645"/>
    <w:rsid w:val="00FE042C"/>
    <w:rsid w:val="00FE079E"/>
    <w:rsid w:val="00FE08E5"/>
    <w:rsid w:val="00FE0AD9"/>
    <w:rsid w:val="00FE0F88"/>
    <w:rsid w:val="00FE1367"/>
    <w:rsid w:val="00FE19FC"/>
    <w:rsid w:val="00FE1B2B"/>
    <w:rsid w:val="00FE1CAF"/>
    <w:rsid w:val="00FE1D06"/>
    <w:rsid w:val="00FE2195"/>
    <w:rsid w:val="00FE2970"/>
    <w:rsid w:val="00FE2D44"/>
    <w:rsid w:val="00FE327F"/>
    <w:rsid w:val="00FE32F2"/>
    <w:rsid w:val="00FE336E"/>
    <w:rsid w:val="00FE3436"/>
    <w:rsid w:val="00FE3665"/>
    <w:rsid w:val="00FE3B0C"/>
    <w:rsid w:val="00FE3DB7"/>
    <w:rsid w:val="00FE3EE1"/>
    <w:rsid w:val="00FE4991"/>
    <w:rsid w:val="00FE4FF3"/>
    <w:rsid w:val="00FE54DB"/>
    <w:rsid w:val="00FE581F"/>
    <w:rsid w:val="00FE6008"/>
    <w:rsid w:val="00FE67A4"/>
    <w:rsid w:val="00FE6AEC"/>
    <w:rsid w:val="00FE7267"/>
    <w:rsid w:val="00FE74A2"/>
    <w:rsid w:val="00FE75BA"/>
    <w:rsid w:val="00FE788E"/>
    <w:rsid w:val="00FE7B2B"/>
    <w:rsid w:val="00FF002C"/>
    <w:rsid w:val="00FF03C6"/>
    <w:rsid w:val="00FF0644"/>
    <w:rsid w:val="00FF0882"/>
    <w:rsid w:val="00FF0E9B"/>
    <w:rsid w:val="00FF1016"/>
    <w:rsid w:val="00FF19AA"/>
    <w:rsid w:val="00FF22AB"/>
    <w:rsid w:val="00FF2690"/>
    <w:rsid w:val="00FF3111"/>
    <w:rsid w:val="00FF3432"/>
    <w:rsid w:val="00FF3A47"/>
    <w:rsid w:val="00FF3B4A"/>
    <w:rsid w:val="00FF3B5B"/>
    <w:rsid w:val="00FF3C08"/>
    <w:rsid w:val="00FF4218"/>
    <w:rsid w:val="00FF4864"/>
    <w:rsid w:val="00FF5052"/>
    <w:rsid w:val="00FF524D"/>
    <w:rsid w:val="00FF5706"/>
    <w:rsid w:val="00FF59B5"/>
    <w:rsid w:val="00FF5C70"/>
    <w:rsid w:val="00FF60FB"/>
    <w:rsid w:val="00FF6142"/>
    <w:rsid w:val="00FF6685"/>
    <w:rsid w:val="00FF6E83"/>
    <w:rsid w:val="00FF72CD"/>
    <w:rsid w:val="00FF7527"/>
    <w:rsid w:val="00FF7A04"/>
    <w:rsid w:val="0A26ADFE"/>
    <w:rsid w:val="11EB18B7"/>
    <w:rsid w:val="11F7135F"/>
    <w:rsid w:val="176F01FE"/>
    <w:rsid w:val="1C00518B"/>
    <w:rsid w:val="2385F390"/>
    <w:rsid w:val="3E80D0E9"/>
    <w:rsid w:val="46244E97"/>
    <w:rsid w:val="493BB78C"/>
    <w:rsid w:val="4E8E4954"/>
    <w:rsid w:val="532D2B9E"/>
    <w:rsid w:val="549C41C2"/>
    <w:rsid w:val="562BE188"/>
    <w:rsid w:val="5C801B62"/>
    <w:rsid w:val="5D045C8C"/>
    <w:rsid w:val="696B82EE"/>
    <w:rsid w:val="6992C6E5"/>
    <w:rsid w:val="6CF3F32F"/>
    <w:rsid w:val="6E04A9A3"/>
    <w:rsid w:val="6E123151"/>
    <w:rsid w:val="6EFF47D2"/>
    <w:rsid w:val="7B762D2B"/>
    <w:rsid w:val="7C90E3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07A287D"/>
  <w15:chartTrackingRefBased/>
  <w15:docId w15:val="{588F1770-FB66-482E-B464-618D7A354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A12"/>
    <w:pPr>
      <w:spacing w:after="0"/>
    </w:pPr>
  </w:style>
  <w:style w:type="paragraph" w:styleId="Titre1">
    <w:name w:val="heading 1"/>
    <w:basedOn w:val="Normal"/>
    <w:next w:val="Normal"/>
    <w:link w:val="Titre1Car"/>
    <w:autoRedefine/>
    <w:qFormat/>
    <w:rsid w:val="008E080F"/>
    <w:pPr>
      <w:keepNext/>
      <w:keepLines/>
      <w:adjustRightInd w:val="0"/>
      <w:snapToGrid w:val="0"/>
      <w:spacing w:before="240" w:after="240" w:line="240" w:lineRule="auto"/>
      <w:jc w:val="both"/>
      <w:outlineLvl w:val="0"/>
    </w:pPr>
    <w:rPr>
      <w:rFonts w:eastAsiaTheme="majorEastAsia" w:cstheme="minorHAnsi"/>
      <w:b/>
      <w:smallCaps/>
      <w:snapToGrid w:val="0"/>
      <w:kern w:val="22"/>
      <w:sz w:val="24"/>
    </w:rPr>
  </w:style>
  <w:style w:type="paragraph" w:styleId="Titre2">
    <w:name w:val="heading 2"/>
    <w:basedOn w:val="Normal"/>
    <w:next w:val="Normal"/>
    <w:link w:val="Titre2Car"/>
    <w:autoRedefine/>
    <w:unhideWhenUsed/>
    <w:qFormat/>
    <w:rsid w:val="004E0A93"/>
    <w:pPr>
      <w:keepNext/>
      <w:keepLines/>
      <w:spacing w:before="240" w:after="240" w:line="240" w:lineRule="auto"/>
      <w:outlineLvl w:val="1"/>
    </w:pPr>
    <w:rPr>
      <w:rFonts w:eastAsiaTheme="majorEastAsia" w:cstheme="minorHAnsi"/>
      <w:b/>
      <w:snapToGrid w:val="0"/>
      <w:sz w:val="24"/>
      <w:szCs w:val="24"/>
    </w:rPr>
  </w:style>
  <w:style w:type="paragraph" w:styleId="Titre3">
    <w:name w:val="heading 3"/>
    <w:basedOn w:val="Normal"/>
    <w:next w:val="Normal"/>
    <w:link w:val="Titre3Car"/>
    <w:autoRedefine/>
    <w:uiPriority w:val="9"/>
    <w:unhideWhenUsed/>
    <w:qFormat/>
    <w:rsid w:val="00E533C4"/>
    <w:pPr>
      <w:keepNext/>
      <w:keepLines/>
      <w:spacing w:before="240" w:after="240" w:line="240" w:lineRule="auto"/>
      <w:outlineLvl w:val="2"/>
    </w:pPr>
    <w:rPr>
      <w:rFonts w:eastAsiaTheme="majorEastAsia" w:cstheme="minorHAnsi"/>
      <w:b/>
      <w:bCs/>
      <w:i/>
      <w:snapToGrid w:val="0"/>
      <w:sz w:val="24"/>
      <w:szCs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aliases w:val="fn,Geneva 9,Font: Geneva 9,Boston 10,f,Testo nota a piè di pagina Carattere Carattere,Testo nota a piè di pagina Carattere,Testo nota a piè di pagina Carattere1 Carattere"/>
    <w:basedOn w:val="Normal"/>
    <w:link w:val="NotedebasdepageCar"/>
    <w:autoRedefine/>
    <w:uiPriority w:val="99"/>
    <w:unhideWhenUsed/>
    <w:qFormat/>
    <w:rsid w:val="0073642D"/>
    <w:pPr>
      <w:suppressLineNumbers/>
      <w:suppressAutoHyphens/>
      <w:spacing w:line="240" w:lineRule="auto"/>
    </w:pPr>
    <w:rPr>
      <w:rFonts w:ascii="Times New Roman" w:eastAsia="Calibri" w:hAnsi="Times New Roman" w:cs="Calibri"/>
      <w:sz w:val="18"/>
      <w:szCs w:val="18"/>
    </w:rPr>
  </w:style>
  <w:style w:type="character" w:customStyle="1" w:styleId="NotedebasdepageCar">
    <w:name w:val="Note de bas de page Car"/>
    <w:aliases w:val="fn Car,Geneva 9 Car,Font: Geneva 9 Car,Boston 10 Car,f Car,Testo nota a piè di pagina Carattere Carattere Car,Testo nota a piè di pagina Carattere Car,Testo nota a piè di pagina Carattere1 Carattere Car"/>
    <w:basedOn w:val="Policepardfaut"/>
    <w:link w:val="Notedebasdepage"/>
    <w:uiPriority w:val="99"/>
    <w:qFormat/>
    <w:rsid w:val="0073642D"/>
    <w:rPr>
      <w:rFonts w:ascii="Times New Roman" w:eastAsia="Calibri" w:hAnsi="Times New Roman" w:cs="Calibri"/>
      <w:sz w:val="18"/>
      <w:szCs w:val="18"/>
    </w:rPr>
  </w:style>
  <w:style w:type="paragraph" w:styleId="Date">
    <w:name w:val="Date"/>
    <w:basedOn w:val="Normal"/>
    <w:next w:val="Normal"/>
    <w:link w:val="DateCar"/>
    <w:uiPriority w:val="99"/>
    <w:semiHidden/>
    <w:unhideWhenUsed/>
    <w:rsid w:val="00AB4845"/>
  </w:style>
  <w:style w:type="character" w:styleId="Lienhypertexte">
    <w:name w:val="Hyperlink"/>
    <w:basedOn w:val="Policepardfaut"/>
    <w:uiPriority w:val="99"/>
    <w:unhideWhenUsed/>
    <w:qFormat/>
    <w:rsid w:val="006257F6"/>
    <w:rPr>
      <w:color w:val="0563C1" w:themeColor="hyperlink"/>
      <w:u w:val="single"/>
    </w:rPr>
  </w:style>
  <w:style w:type="character" w:customStyle="1" w:styleId="DateCar">
    <w:name w:val="Date Car"/>
    <w:basedOn w:val="Policepardfaut"/>
    <w:link w:val="Date"/>
    <w:uiPriority w:val="99"/>
    <w:semiHidden/>
    <w:rsid w:val="00AB4845"/>
  </w:style>
  <w:style w:type="paragraph" w:styleId="Textedebulles">
    <w:name w:val="Balloon Text"/>
    <w:basedOn w:val="Normal"/>
    <w:link w:val="TextedebullesCar"/>
    <w:uiPriority w:val="99"/>
    <w:semiHidden/>
    <w:unhideWhenUsed/>
    <w:rsid w:val="006257F6"/>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257F6"/>
    <w:rPr>
      <w:rFonts w:ascii="Segoe UI" w:hAnsi="Segoe UI" w:cs="Segoe UI"/>
      <w:sz w:val="18"/>
      <w:szCs w:val="18"/>
    </w:rPr>
  </w:style>
  <w:style w:type="paragraph" w:styleId="Paragraphedeliste">
    <w:name w:val="List Paragraph"/>
    <w:aliases w:val="Bullets,List Paragraph1,Bullets1,List Paragraph11,Bullets2,List Paragraph12,Bullets3,List Paragraph13,Dot pt,F5 List Paragraph,No Spacing1,List Paragraph Char Char Char,Indicator Text,Colorful List - Accent 11,Numbered Para 1,Ha"/>
    <w:basedOn w:val="Normal"/>
    <w:link w:val="ParagraphedelisteCar"/>
    <w:autoRedefine/>
    <w:uiPriority w:val="34"/>
    <w:qFormat/>
    <w:rsid w:val="007655D1"/>
    <w:pPr>
      <w:numPr>
        <w:numId w:val="12"/>
      </w:numPr>
      <w:tabs>
        <w:tab w:val="left" w:pos="0"/>
      </w:tabs>
      <w:spacing w:before="240" w:after="240" w:line="240" w:lineRule="auto"/>
      <w:ind w:left="0" w:firstLine="0"/>
    </w:pPr>
    <w:rPr>
      <w:snapToGrid w:val="0"/>
      <w:sz w:val="24"/>
      <w:szCs w:val="24"/>
    </w:rPr>
  </w:style>
  <w:style w:type="paragraph" w:customStyle="1" w:styleId="Para1">
    <w:name w:val="Para1"/>
    <w:basedOn w:val="Normal"/>
    <w:rsid w:val="00FB355B"/>
    <w:pPr>
      <w:numPr>
        <w:numId w:val="2"/>
      </w:numPr>
      <w:spacing w:after="120" w:line="240" w:lineRule="auto"/>
    </w:pPr>
    <w:rPr>
      <w:rFonts w:ascii="Times New Roman" w:eastAsia="MS Mincho" w:hAnsi="Times New Roman" w:cs="Angsana New"/>
      <w:snapToGrid w:val="0"/>
      <w:szCs w:val="18"/>
    </w:rPr>
  </w:style>
  <w:style w:type="paragraph" w:customStyle="1" w:styleId="Para3">
    <w:name w:val="Para3"/>
    <w:basedOn w:val="Normal"/>
    <w:rsid w:val="00FB355B"/>
    <w:pPr>
      <w:numPr>
        <w:ilvl w:val="2"/>
        <w:numId w:val="2"/>
      </w:numPr>
      <w:tabs>
        <w:tab w:val="left" w:pos="1980"/>
      </w:tabs>
      <w:spacing w:before="80" w:after="80" w:line="240" w:lineRule="auto"/>
    </w:pPr>
    <w:rPr>
      <w:rFonts w:ascii="Times New Roman" w:eastAsia="MS Mincho" w:hAnsi="Times New Roman" w:cs="Angsana New"/>
      <w:szCs w:val="20"/>
    </w:rPr>
  </w:style>
  <w:style w:type="table" w:styleId="Grilledutableau">
    <w:name w:val="Table Grid"/>
    <w:basedOn w:val="TableauNormal"/>
    <w:uiPriority w:val="39"/>
    <w:rsid w:val="00273B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9230D9"/>
    <w:pPr>
      <w:tabs>
        <w:tab w:val="center" w:pos="4680"/>
        <w:tab w:val="right" w:pos="9360"/>
      </w:tabs>
      <w:spacing w:line="240" w:lineRule="auto"/>
    </w:pPr>
  </w:style>
  <w:style w:type="character" w:customStyle="1" w:styleId="En-tteCar">
    <w:name w:val="En-tête Car"/>
    <w:basedOn w:val="Policepardfaut"/>
    <w:link w:val="En-tte"/>
    <w:uiPriority w:val="99"/>
    <w:rsid w:val="009230D9"/>
  </w:style>
  <w:style w:type="paragraph" w:styleId="Pieddepage">
    <w:name w:val="footer"/>
    <w:basedOn w:val="Normal"/>
    <w:link w:val="PieddepageCar"/>
    <w:uiPriority w:val="99"/>
    <w:unhideWhenUsed/>
    <w:rsid w:val="009230D9"/>
    <w:pPr>
      <w:tabs>
        <w:tab w:val="center" w:pos="4680"/>
        <w:tab w:val="right" w:pos="9360"/>
      </w:tabs>
      <w:spacing w:line="240" w:lineRule="auto"/>
    </w:pPr>
  </w:style>
  <w:style w:type="character" w:customStyle="1" w:styleId="PieddepageCar">
    <w:name w:val="Pied de page Car"/>
    <w:basedOn w:val="Policepardfaut"/>
    <w:link w:val="Pieddepage"/>
    <w:uiPriority w:val="99"/>
    <w:rsid w:val="009230D9"/>
  </w:style>
  <w:style w:type="character" w:styleId="Marquedecommentaire">
    <w:name w:val="annotation reference"/>
    <w:basedOn w:val="Policepardfaut"/>
    <w:uiPriority w:val="99"/>
    <w:semiHidden/>
    <w:unhideWhenUsed/>
    <w:rsid w:val="000A6F0C"/>
    <w:rPr>
      <w:sz w:val="16"/>
      <w:szCs w:val="16"/>
    </w:rPr>
  </w:style>
  <w:style w:type="paragraph" w:styleId="Commentaire">
    <w:name w:val="annotation text"/>
    <w:basedOn w:val="Normal"/>
    <w:link w:val="CommentaireCar"/>
    <w:uiPriority w:val="99"/>
    <w:unhideWhenUsed/>
    <w:rsid w:val="000A6F0C"/>
    <w:pPr>
      <w:spacing w:line="240" w:lineRule="auto"/>
    </w:pPr>
    <w:rPr>
      <w:sz w:val="20"/>
      <w:szCs w:val="20"/>
    </w:rPr>
  </w:style>
  <w:style w:type="character" w:customStyle="1" w:styleId="CommentaireCar">
    <w:name w:val="Commentaire Car"/>
    <w:basedOn w:val="Policepardfaut"/>
    <w:link w:val="Commentaire"/>
    <w:uiPriority w:val="99"/>
    <w:rsid w:val="000A6F0C"/>
    <w:rPr>
      <w:sz w:val="20"/>
      <w:szCs w:val="20"/>
    </w:rPr>
  </w:style>
  <w:style w:type="paragraph" w:styleId="Objetducommentaire">
    <w:name w:val="annotation subject"/>
    <w:basedOn w:val="Commentaire"/>
    <w:next w:val="Commentaire"/>
    <w:link w:val="ObjetducommentaireCar"/>
    <w:uiPriority w:val="99"/>
    <w:semiHidden/>
    <w:unhideWhenUsed/>
    <w:rsid w:val="000A6F0C"/>
    <w:rPr>
      <w:b/>
      <w:bCs/>
    </w:rPr>
  </w:style>
  <w:style w:type="character" w:customStyle="1" w:styleId="ObjetducommentaireCar">
    <w:name w:val="Objet du commentaire Car"/>
    <w:basedOn w:val="CommentaireCar"/>
    <w:link w:val="Objetducommentaire"/>
    <w:uiPriority w:val="99"/>
    <w:semiHidden/>
    <w:rsid w:val="000A6F0C"/>
    <w:rPr>
      <w:b/>
      <w:bCs/>
      <w:sz w:val="20"/>
      <w:szCs w:val="20"/>
    </w:rPr>
  </w:style>
  <w:style w:type="character" w:customStyle="1" w:styleId="Mentionnonrsolue1">
    <w:name w:val="Mention non résolue1"/>
    <w:basedOn w:val="Policepardfaut"/>
    <w:uiPriority w:val="99"/>
    <w:semiHidden/>
    <w:unhideWhenUsed/>
    <w:rsid w:val="00970CE4"/>
    <w:rPr>
      <w:color w:val="605E5C"/>
      <w:shd w:val="clear" w:color="auto" w:fill="E1DFDD"/>
    </w:rPr>
  </w:style>
  <w:style w:type="table" w:styleId="Tableausimple4">
    <w:name w:val="Plain Table 4"/>
    <w:basedOn w:val="TableauNormal"/>
    <w:uiPriority w:val="44"/>
    <w:rsid w:val="000631E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Lienhypertextesuivivisit">
    <w:name w:val="FollowedHyperlink"/>
    <w:basedOn w:val="Policepardfaut"/>
    <w:uiPriority w:val="99"/>
    <w:semiHidden/>
    <w:unhideWhenUsed/>
    <w:rsid w:val="002C6D8B"/>
    <w:rPr>
      <w:color w:val="800080"/>
      <w:u w:val="single"/>
    </w:rPr>
  </w:style>
  <w:style w:type="paragraph" w:customStyle="1" w:styleId="msonormal0">
    <w:name w:val="msonormal"/>
    <w:basedOn w:val="Normal"/>
    <w:rsid w:val="002C6D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2C6D8B"/>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font6">
    <w:name w:val="font6"/>
    <w:basedOn w:val="Normal"/>
    <w:rsid w:val="002C6D8B"/>
    <w:pPr>
      <w:spacing w:before="100" w:beforeAutospacing="1" w:after="100" w:afterAutospacing="1" w:line="240" w:lineRule="auto"/>
    </w:pPr>
    <w:rPr>
      <w:rFonts w:ascii="Tahoma" w:eastAsia="Times New Roman" w:hAnsi="Tahoma" w:cs="Tahoma"/>
      <w:color w:val="000000"/>
      <w:sz w:val="18"/>
      <w:szCs w:val="18"/>
    </w:rPr>
  </w:style>
  <w:style w:type="paragraph" w:customStyle="1" w:styleId="xl65">
    <w:name w:val="xl65"/>
    <w:basedOn w:val="Normal"/>
    <w:rsid w:val="002C6D8B"/>
    <w:pPr>
      <w:pBdr>
        <w:top w:val="single" w:sz="4" w:space="0" w:color="95B3D7"/>
        <w:bottom w:val="single" w:sz="4" w:space="0" w:color="95B3D7"/>
      </w:pBd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66">
    <w:name w:val="xl66"/>
    <w:basedOn w:val="Normal"/>
    <w:rsid w:val="002C6D8B"/>
    <w:pPr>
      <w:pBdr>
        <w:top w:val="single" w:sz="4" w:space="0" w:color="95B3D7"/>
        <w:bottom w:val="single" w:sz="4" w:space="0" w:color="95B3D7"/>
      </w:pBdr>
      <w:shd w:val="clear" w:color="DCE6F1" w:fill="DCE6F1"/>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67">
    <w:name w:val="xl67"/>
    <w:basedOn w:val="Normal"/>
    <w:rsid w:val="002C6D8B"/>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8">
    <w:name w:val="xl6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Normal"/>
    <w:rsid w:val="002C6D8B"/>
    <w:pPr>
      <w:spacing w:before="100" w:beforeAutospacing="1" w:after="100" w:afterAutospacing="1" w:line="240" w:lineRule="auto"/>
    </w:pPr>
    <w:rPr>
      <w:rFonts w:ascii="Times New Roman" w:eastAsia="Times New Roman" w:hAnsi="Times New Roman" w:cs="Times New Roman"/>
      <w:color w:val="0000FF"/>
      <w:sz w:val="24"/>
      <w:szCs w:val="24"/>
      <w:u w:val="single"/>
    </w:rPr>
  </w:style>
  <w:style w:type="paragraph" w:customStyle="1" w:styleId="xl71">
    <w:name w:val="xl71"/>
    <w:basedOn w:val="Normal"/>
    <w:rsid w:val="002C6D8B"/>
    <w:pPr>
      <w:pBdr>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Normal"/>
    <w:rsid w:val="002C6D8B"/>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Normal"/>
    <w:rsid w:val="002C6D8B"/>
    <w:pPr>
      <w:spacing w:before="100" w:beforeAutospacing="1" w:after="100" w:afterAutospacing="1" w:line="240" w:lineRule="auto"/>
    </w:pPr>
    <w:rPr>
      <w:rFonts w:ascii="Times New Roman" w:eastAsia="Times New Roman" w:hAnsi="Times New Roman" w:cs="Times New Roman"/>
      <w:sz w:val="21"/>
      <w:szCs w:val="21"/>
    </w:rPr>
  </w:style>
  <w:style w:type="paragraph" w:customStyle="1" w:styleId="xl75">
    <w:name w:val="xl75"/>
    <w:basedOn w:val="Normal"/>
    <w:rsid w:val="002C6D8B"/>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6">
    <w:name w:val="xl76"/>
    <w:basedOn w:val="Normal"/>
    <w:rsid w:val="002C6D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7">
    <w:name w:val="xl77"/>
    <w:basedOn w:val="Normal"/>
    <w:rsid w:val="002C6D8B"/>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8">
    <w:name w:val="xl7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0">
    <w:name w:val="xl80"/>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re1Car">
    <w:name w:val="Titre 1 Car"/>
    <w:basedOn w:val="Policepardfaut"/>
    <w:link w:val="Titre1"/>
    <w:rsid w:val="008E080F"/>
    <w:rPr>
      <w:rFonts w:eastAsiaTheme="majorEastAsia" w:cstheme="minorHAnsi"/>
      <w:b/>
      <w:smallCaps/>
      <w:snapToGrid w:val="0"/>
      <w:kern w:val="22"/>
      <w:sz w:val="24"/>
      <w:lang w:val="ru-RU"/>
    </w:rPr>
  </w:style>
  <w:style w:type="character" w:customStyle="1" w:styleId="Titre2Car">
    <w:name w:val="Titre 2 Car"/>
    <w:basedOn w:val="Policepardfaut"/>
    <w:link w:val="Titre2"/>
    <w:rsid w:val="004E0A93"/>
    <w:rPr>
      <w:rFonts w:eastAsiaTheme="majorEastAsia" w:cstheme="minorHAnsi"/>
      <w:b/>
      <w:snapToGrid w:val="0"/>
      <w:sz w:val="24"/>
      <w:szCs w:val="24"/>
      <w:lang w:val="ru-RU"/>
    </w:rPr>
  </w:style>
  <w:style w:type="character" w:customStyle="1" w:styleId="Titre3Car">
    <w:name w:val="Titre 3 Car"/>
    <w:basedOn w:val="Policepardfaut"/>
    <w:link w:val="Titre3"/>
    <w:uiPriority w:val="9"/>
    <w:rsid w:val="00E533C4"/>
    <w:rPr>
      <w:rFonts w:eastAsiaTheme="majorEastAsia" w:cstheme="minorHAnsi"/>
      <w:b/>
      <w:bCs/>
      <w:i/>
      <w:snapToGrid w:val="0"/>
      <w:sz w:val="24"/>
      <w:szCs w:val="24"/>
      <w:lang w:val="ru-RU"/>
    </w:rPr>
  </w:style>
  <w:style w:type="paragraph" w:styleId="TM2">
    <w:name w:val="toc 2"/>
    <w:basedOn w:val="Normal"/>
    <w:next w:val="Normal"/>
    <w:autoRedefine/>
    <w:uiPriority w:val="39"/>
    <w:unhideWhenUsed/>
    <w:rsid w:val="00930845"/>
    <w:pPr>
      <w:tabs>
        <w:tab w:val="right" w:leader="dot" w:pos="9360"/>
      </w:tabs>
      <w:spacing w:after="100"/>
      <w:ind w:left="720"/>
    </w:pPr>
    <w:rPr>
      <w:rFonts w:eastAsiaTheme="majorEastAsia" w:cstheme="minorHAnsi"/>
      <w:b/>
      <w:bCs/>
      <w:noProof/>
      <w:snapToGrid w:val="0"/>
    </w:rPr>
  </w:style>
  <w:style w:type="paragraph" w:styleId="TM1">
    <w:name w:val="toc 1"/>
    <w:basedOn w:val="Normal"/>
    <w:next w:val="Normal"/>
    <w:autoRedefine/>
    <w:uiPriority w:val="39"/>
    <w:unhideWhenUsed/>
    <w:qFormat/>
    <w:rsid w:val="00DE6469"/>
    <w:pPr>
      <w:tabs>
        <w:tab w:val="left" w:pos="440"/>
        <w:tab w:val="right" w:leader="dot" w:pos="9350"/>
      </w:tabs>
      <w:adjustRightInd w:val="0"/>
      <w:spacing w:after="120"/>
      <w:ind w:left="864" w:hanging="864"/>
      <w:jc w:val="both"/>
    </w:pPr>
    <w:rPr>
      <w:bCs/>
      <w:noProof/>
    </w:rPr>
  </w:style>
  <w:style w:type="paragraph" w:styleId="TM3">
    <w:name w:val="toc 3"/>
    <w:basedOn w:val="Normal"/>
    <w:next w:val="Normal"/>
    <w:autoRedefine/>
    <w:uiPriority w:val="39"/>
    <w:unhideWhenUsed/>
    <w:rsid w:val="00DE401D"/>
    <w:pPr>
      <w:tabs>
        <w:tab w:val="right" w:leader="dot" w:pos="9350"/>
      </w:tabs>
      <w:spacing w:after="100"/>
      <w:ind w:left="1260"/>
    </w:pPr>
    <w:rPr>
      <w:rFonts w:eastAsiaTheme="majorEastAsia" w:cstheme="majorBidi"/>
      <w:noProof/>
    </w:rPr>
  </w:style>
  <w:style w:type="paragraph" w:customStyle="1" w:styleId="HEADINGNOTFORTOC">
    <w:name w:val="HEADING (NOT FOR TOC)"/>
    <w:basedOn w:val="Titre1"/>
    <w:next w:val="Titre2"/>
    <w:rsid w:val="00AF2846"/>
    <w:pPr>
      <w:keepLines w:val="0"/>
      <w:tabs>
        <w:tab w:val="left" w:pos="720"/>
      </w:tabs>
      <w:spacing w:after="120"/>
    </w:pPr>
    <w:rPr>
      <w:rFonts w:eastAsia="Times New Roman"/>
      <w:caps/>
      <w:smallCaps w:val="0"/>
    </w:rPr>
  </w:style>
  <w:style w:type="paragraph" w:customStyle="1" w:styleId="meetingname">
    <w:name w:val="meeting name"/>
    <w:basedOn w:val="Normal"/>
    <w:qFormat/>
    <w:rsid w:val="00AF2846"/>
    <w:pPr>
      <w:spacing w:line="240" w:lineRule="auto"/>
      <w:ind w:left="170" w:right="3119" w:hanging="170"/>
    </w:pPr>
    <w:rPr>
      <w:rFonts w:ascii="Times New Roman" w:eastAsia="Malgun Gothic" w:hAnsi="Times New Roman" w:cs="Times New Roman"/>
      <w:caps/>
      <w:snapToGrid w:val="0"/>
      <w:sz w:val="24"/>
      <w:szCs w:val="24"/>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uiPriority w:val="99"/>
    <w:qFormat/>
    <w:rsid w:val="00AF2846"/>
    <w:pPr>
      <w:spacing w:line="240" w:lineRule="exact"/>
      <w:jc w:val="both"/>
    </w:pPr>
    <w:rPr>
      <w:rFonts w:ascii="Times New Roman" w:eastAsia="MS Mincho" w:hAnsi="Times New Roman" w:cs="Times New Roman"/>
      <w:sz w:val="18"/>
      <w:szCs w:val="20"/>
      <w:u w:val="single"/>
    </w:rPr>
  </w:style>
  <w:style w:type="character" w:styleId="Textedelespacerserv">
    <w:name w:val="Placeholder Text"/>
    <w:basedOn w:val="Policepardfaut"/>
    <w:uiPriority w:val="99"/>
    <w:semiHidden/>
    <w:rsid w:val="00AF2846"/>
    <w:rPr>
      <w:color w:val="808080"/>
    </w:rPr>
  </w:style>
  <w:style w:type="paragraph" w:styleId="Rvision">
    <w:name w:val="Revision"/>
    <w:hidden/>
    <w:uiPriority w:val="99"/>
    <w:semiHidden/>
    <w:rsid w:val="00D55579"/>
    <w:pPr>
      <w:spacing w:after="0" w:line="240" w:lineRule="auto"/>
    </w:pPr>
  </w:style>
  <w:style w:type="paragraph" w:customStyle="1" w:styleId="SubParagraphLevel1">
    <w:name w:val="Sub Paragraph Level 1"/>
    <w:basedOn w:val="Paragraphedeliste"/>
    <w:link w:val="SubParagraphLevel1Char"/>
    <w:qFormat/>
    <w:rsid w:val="007B7193"/>
    <w:pPr>
      <w:numPr>
        <w:numId w:val="5"/>
      </w:numPr>
      <w:spacing w:before="120" w:after="120"/>
      <w:ind w:left="720" w:firstLine="0"/>
    </w:pPr>
    <w:rPr>
      <w:rFonts w:eastAsiaTheme="minorEastAsia" w:cs="Times New Roman"/>
      <w:color w:val="000000"/>
      <w:lang w:eastAsia="zh-CN"/>
    </w:rPr>
  </w:style>
  <w:style w:type="character" w:customStyle="1" w:styleId="SubParagraphLevel1Char">
    <w:name w:val="Sub Paragraph Level 1 Char"/>
    <w:basedOn w:val="Policepardfaut"/>
    <w:link w:val="SubParagraphLevel1"/>
    <w:rsid w:val="007B7193"/>
    <w:rPr>
      <w:rFonts w:eastAsiaTheme="minorEastAsia" w:cs="Times New Roman"/>
      <w:snapToGrid w:val="0"/>
      <w:color w:val="000000"/>
      <w:sz w:val="24"/>
      <w:szCs w:val="24"/>
      <w:lang w:eastAsia="zh-CN"/>
    </w:rPr>
  </w:style>
  <w:style w:type="paragraph" w:customStyle="1" w:styleId="GEFNumberedParagraph">
    <w:name w:val="GEF Numbered Paragraph"/>
    <w:basedOn w:val="Normal"/>
    <w:link w:val="GEFNumberedParagraphChar"/>
    <w:qFormat/>
    <w:rsid w:val="003E777B"/>
    <w:pPr>
      <w:numPr>
        <w:numId w:val="3"/>
      </w:numPr>
      <w:spacing w:before="240" w:after="240" w:line="276" w:lineRule="auto"/>
      <w:jc w:val="both"/>
    </w:pPr>
    <w:rPr>
      <w:rFonts w:ascii="Times New Roman" w:eastAsia="Times New Roman" w:hAnsi="Times New Roman" w:cs="Calibri"/>
      <w:noProof/>
      <w:color w:val="000000"/>
      <w:sz w:val="24"/>
      <w:szCs w:val="24"/>
    </w:rPr>
  </w:style>
  <w:style w:type="table" w:styleId="Tableausimple3">
    <w:name w:val="Plain Table 3"/>
    <w:basedOn w:val="TableauNormal"/>
    <w:uiPriority w:val="43"/>
    <w:rsid w:val="00AD596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bullettext">
    <w:name w:val="bullet text"/>
    <w:basedOn w:val="Paragraphedeliste"/>
    <w:link w:val="bullettextChar"/>
    <w:qFormat/>
    <w:rsid w:val="00E921C6"/>
    <w:pPr>
      <w:numPr>
        <w:ilvl w:val="1"/>
        <w:numId w:val="4"/>
      </w:numPr>
      <w:spacing w:after="0"/>
    </w:pPr>
  </w:style>
  <w:style w:type="paragraph" w:styleId="Lgende">
    <w:name w:val="caption"/>
    <w:basedOn w:val="Normal"/>
    <w:next w:val="Normal"/>
    <w:autoRedefine/>
    <w:uiPriority w:val="35"/>
    <w:unhideWhenUsed/>
    <w:qFormat/>
    <w:rsid w:val="00351AAB"/>
    <w:pPr>
      <w:spacing w:before="240" w:after="120" w:line="240" w:lineRule="auto"/>
      <w:jc w:val="center"/>
    </w:pPr>
    <w:rPr>
      <w:b/>
      <w:iCs/>
      <w:color w:val="000000" w:themeColor="text1"/>
      <w:sz w:val="24"/>
      <w:szCs w:val="18"/>
    </w:rPr>
  </w:style>
  <w:style w:type="character" w:customStyle="1" w:styleId="ParagraphedelisteCar">
    <w:name w:val="Paragraphe de liste Car"/>
    <w:aliases w:val="Bullets Car,List Paragraph1 Car,Bullets1 Car,List Paragraph11 Car,Bullets2 Car,List Paragraph12 Car,Bullets3 Car,List Paragraph13 Car,Dot pt Car,F5 List Paragraph Car,No Spacing1 Car,List Paragraph Char Char Char Car,Ha Car"/>
    <w:basedOn w:val="Policepardfaut"/>
    <w:link w:val="Paragraphedeliste"/>
    <w:uiPriority w:val="34"/>
    <w:qFormat/>
    <w:rsid w:val="007655D1"/>
    <w:rPr>
      <w:snapToGrid w:val="0"/>
      <w:sz w:val="24"/>
      <w:szCs w:val="24"/>
    </w:rPr>
  </w:style>
  <w:style w:type="character" w:customStyle="1" w:styleId="bullettextChar">
    <w:name w:val="bullet text Char"/>
    <w:basedOn w:val="ParagraphedelisteCar"/>
    <w:link w:val="bullettext"/>
    <w:rsid w:val="00E921C6"/>
    <w:rPr>
      <w:snapToGrid w:val="0"/>
      <w:sz w:val="24"/>
      <w:szCs w:val="24"/>
    </w:rPr>
  </w:style>
  <w:style w:type="paragraph" w:styleId="Tabledesillustrations">
    <w:name w:val="table of figures"/>
    <w:basedOn w:val="Normal"/>
    <w:next w:val="Normal"/>
    <w:autoRedefine/>
    <w:uiPriority w:val="99"/>
    <w:unhideWhenUsed/>
    <w:rsid w:val="00BE1217"/>
    <w:pPr>
      <w:tabs>
        <w:tab w:val="right" w:leader="dot" w:pos="9350"/>
      </w:tabs>
      <w:spacing w:after="120"/>
      <w:ind w:left="1418" w:hanging="1418"/>
    </w:pPr>
    <w:rPr>
      <w:sz w:val="24"/>
    </w:rPr>
  </w:style>
  <w:style w:type="paragraph" w:styleId="En-ttedetabledesmatires">
    <w:name w:val="TOC Heading"/>
    <w:basedOn w:val="Titre1"/>
    <w:next w:val="Normal"/>
    <w:uiPriority w:val="39"/>
    <w:unhideWhenUsed/>
    <w:qFormat/>
    <w:rsid w:val="00FA5F49"/>
    <w:pPr>
      <w:adjustRightInd/>
      <w:snapToGrid/>
      <w:spacing w:after="0" w:line="259" w:lineRule="auto"/>
      <w:outlineLvl w:val="9"/>
    </w:pPr>
    <w:rPr>
      <w:rFonts w:asciiTheme="majorHAnsi" w:hAnsiTheme="majorHAnsi"/>
      <w:b w:val="0"/>
      <w:smallCaps w:val="0"/>
      <w:snapToGrid/>
      <w:color w:val="2F5496" w:themeColor="accent1" w:themeShade="BF"/>
      <w:sz w:val="32"/>
      <w:szCs w:val="32"/>
    </w:rPr>
  </w:style>
  <w:style w:type="character" w:styleId="Appelnotedebasdep">
    <w:name w:val="footnote reference"/>
    <w:aliases w:val="16 Point,Superscript 6 Point,Superscript 6 Point + 11 pt,ftref,Appel note de bas de page,number,Footnote Reference Superscript,-E Fußnotenzeichen,(Diplomarbeit FZ),(Diplomarbeit FZ)1,(Diplomarbeit FZ)2,(Diplomarbeit FZ)3,16 Poin"/>
    <w:basedOn w:val="Policepardfaut"/>
    <w:link w:val="CharChar1CharCharCharChar1CharCharCharCharCharCharCharChar"/>
    <w:uiPriority w:val="99"/>
    <w:unhideWhenUsed/>
    <w:qFormat/>
    <w:rsid w:val="00B70FFD"/>
    <w:rPr>
      <w:vertAlign w:val="superscript"/>
    </w:rPr>
  </w:style>
  <w:style w:type="paragraph" w:styleId="Textebrut">
    <w:name w:val="Plain Text"/>
    <w:basedOn w:val="Normal"/>
    <w:link w:val="TextebrutCar"/>
    <w:uiPriority w:val="99"/>
    <w:unhideWhenUsed/>
    <w:rsid w:val="00AC2F02"/>
    <w:pPr>
      <w:spacing w:line="240" w:lineRule="auto"/>
    </w:pPr>
    <w:rPr>
      <w:rFonts w:ascii="Consolas" w:eastAsiaTheme="minorEastAsia" w:hAnsi="Consolas"/>
      <w:sz w:val="21"/>
      <w:szCs w:val="21"/>
      <w:lang w:eastAsia="zh-CN"/>
    </w:rPr>
  </w:style>
  <w:style w:type="character" w:customStyle="1" w:styleId="TextebrutCar">
    <w:name w:val="Texte brut Car"/>
    <w:basedOn w:val="Policepardfaut"/>
    <w:link w:val="Textebrut"/>
    <w:uiPriority w:val="99"/>
    <w:rsid w:val="00AC2F02"/>
    <w:rPr>
      <w:rFonts w:ascii="Consolas" w:eastAsiaTheme="minorEastAsia" w:hAnsi="Consolas"/>
      <w:sz w:val="21"/>
      <w:szCs w:val="21"/>
      <w:lang w:eastAsia="zh-C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Appelnotedebasdep"/>
    <w:uiPriority w:val="99"/>
    <w:rsid w:val="005D666B"/>
    <w:pPr>
      <w:spacing w:after="160" w:line="240" w:lineRule="exact"/>
      <w:jc w:val="both"/>
    </w:pPr>
    <w:rPr>
      <w:vertAlign w:val="superscript"/>
    </w:rPr>
  </w:style>
  <w:style w:type="paragraph" w:customStyle="1" w:styleId="tabletextwithi">
    <w:name w:val="table text with i"/>
    <w:aliases w:val="ii,iii"/>
    <w:basedOn w:val="Paragraphedeliste"/>
    <w:link w:val="tabletextwithiChar"/>
    <w:autoRedefine/>
    <w:qFormat/>
    <w:rsid w:val="006C2BDC"/>
    <w:pPr>
      <w:tabs>
        <w:tab w:val="left" w:pos="630"/>
        <w:tab w:val="left" w:pos="1350"/>
      </w:tabs>
      <w:spacing w:after="120" w:line="276" w:lineRule="auto"/>
    </w:pPr>
    <w:rPr>
      <w:rFonts w:eastAsiaTheme="minorEastAsia" w:cs="Calibri"/>
      <w:snapToGrid/>
      <w:lang w:eastAsia="de-DE"/>
    </w:rPr>
  </w:style>
  <w:style w:type="character" w:customStyle="1" w:styleId="tabletextwithiChar">
    <w:name w:val="table text with i Char"/>
    <w:aliases w:val="ii Char,iii Char"/>
    <w:basedOn w:val="ParagraphedelisteCar"/>
    <w:link w:val="tabletextwithi"/>
    <w:rsid w:val="006C2BDC"/>
    <w:rPr>
      <w:rFonts w:eastAsiaTheme="minorEastAsia" w:cs="Calibri"/>
      <w:snapToGrid/>
      <w:sz w:val="24"/>
      <w:szCs w:val="24"/>
      <w:lang w:val="ru-RU" w:eastAsia="de-DE"/>
    </w:rPr>
  </w:style>
  <w:style w:type="paragraph" w:customStyle="1" w:styleId="Default">
    <w:name w:val="Default"/>
    <w:rsid w:val="00DA7020"/>
    <w:pPr>
      <w:autoSpaceDE w:val="0"/>
      <w:autoSpaceDN w:val="0"/>
      <w:adjustRightInd w:val="0"/>
      <w:spacing w:after="0" w:line="240" w:lineRule="auto"/>
    </w:pPr>
    <w:rPr>
      <w:rFonts w:ascii="Calibri" w:hAnsi="Calibri" w:cs="Calibri"/>
      <w:color w:val="000000"/>
      <w:sz w:val="24"/>
      <w:szCs w:val="24"/>
    </w:rPr>
  </w:style>
  <w:style w:type="paragraph" w:customStyle="1" w:styleId="Char2">
    <w:name w:val="Char2"/>
    <w:basedOn w:val="Normal"/>
    <w:qFormat/>
    <w:rsid w:val="00DA7020"/>
    <w:pPr>
      <w:spacing w:line="240" w:lineRule="exact"/>
    </w:pPr>
    <w:rPr>
      <w:rFonts w:eastAsia="SimSun"/>
      <w:sz w:val="18"/>
      <w:vertAlign w:val="superscript"/>
    </w:rPr>
  </w:style>
  <w:style w:type="character" w:customStyle="1" w:styleId="GEFNumberedParagraphChar">
    <w:name w:val="GEF Numbered Paragraph Char"/>
    <w:basedOn w:val="Policepardfaut"/>
    <w:link w:val="GEFNumberedParagraph"/>
    <w:rsid w:val="00DA7020"/>
    <w:rPr>
      <w:rFonts w:ascii="Times New Roman" w:eastAsia="Times New Roman" w:hAnsi="Times New Roman" w:cs="Calibri"/>
      <w:noProof/>
      <w:color w:val="000000"/>
      <w:sz w:val="24"/>
      <w:szCs w:val="24"/>
    </w:rPr>
  </w:style>
  <w:style w:type="paragraph" w:styleId="Notedefin">
    <w:name w:val="endnote text"/>
    <w:basedOn w:val="Normal"/>
    <w:link w:val="NotedefinCar"/>
    <w:uiPriority w:val="99"/>
    <w:semiHidden/>
    <w:unhideWhenUsed/>
    <w:rsid w:val="00180746"/>
    <w:pPr>
      <w:spacing w:line="240" w:lineRule="auto"/>
    </w:pPr>
    <w:rPr>
      <w:sz w:val="20"/>
      <w:szCs w:val="20"/>
    </w:rPr>
  </w:style>
  <w:style w:type="character" w:customStyle="1" w:styleId="NotedefinCar">
    <w:name w:val="Note de fin Car"/>
    <w:basedOn w:val="Policepardfaut"/>
    <w:link w:val="Notedefin"/>
    <w:uiPriority w:val="99"/>
    <w:semiHidden/>
    <w:rsid w:val="00180746"/>
    <w:rPr>
      <w:sz w:val="20"/>
      <w:szCs w:val="20"/>
    </w:rPr>
  </w:style>
  <w:style w:type="character" w:styleId="Appeldenotedefin">
    <w:name w:val="endnote reference"/>
    <w:basedOn w:val="Policepardfaut"/>
    <w:uiPriority w:val="99"/>
    <w:semiHidden/>
    <w:unhideWhenUsed/>
    <w:rsid w:val="00180746"/>
    <w:rPr>
      <w:vertAlign w:val="superscript"/>
    </w:rPr>
  </w:style>
  <w:style w:type="table" w:customStyle="1" w:styleId="PlainTable21">
    <w:name w:val="Plain Table 21"/>
    <w:basedOn w:val="TableauNormal"/>
    <w:next w:val="Tableausimple2"/>
    <w:uiPriority w:val="42"/>
    <w:rsid w:val="008847A6"/>
    <w:pPr>
      <w:spacing w:after="0" w:line="240" w:lineRule="auto"/>
    </w:pPr>
    <w:rPr>
      <w14:ligatures w14:val="standardContextu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Tableausimple2">
    <w:name w:val="Plain Table 2"/>
    <w:basedOn w:val="TableauNormal"/>
    <w:uiPriority w:val="42"/>
    <w:rsid w:val="008847A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NoList1">
    <w:name w:val="No List1"/>
    <w:next w:val="Aucuneliste"/>
    <w:uiPriority w:val="99"/>
    <w:semiHidden/>
    <w:unhideWhenUsed/>
    <w:rsid w:val="001534C4"/>
  </w:style>
  <w:style w:type="table" w:styleId="TableauGrille1Clair-Accentuation4">
    <w:name w:val="Grid Table 1 Light Accent 4"/>
    <w:basedOn w:val="TableauNormal"/>
    <w:uiPriority w:val="46"/>
    <w:rsid w:val="001534C4"/>
    <w:pPr>
      <w:spacing w:after="0" w:line="240" w:lineRule="auto"/>
    </w:pPr>
    <w:rPr>
      <w:kern w:val="2"/>
      <w14:ligatures w14:val="standardContextual"/>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eausimple1">
    <w:name w:val="Plain Table 1"/>
    <w:basedOn w:val="TableauNormal"/>
    <w:uiPriority w:val="41"/>
    <w:rsid w:val="001534C4"/>
    <w:pPr>
      <w:spacing w:after="0" w:line="240" w:lineRule="auto"/>
    </w:pPr>
    <w:rPr>
      <w:kern w:val="2"/>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itre">
    <w:name w:val="Title"/>
    <w:basedOn w:val="Normal"/>
    <w:next w:val="Normal"/>
    <w:link w:val="TitreCar"/>
    <w:uiPriority w:val="10"/>
    <w:qFormat/>
    <w:rsid w:val="00E31385"/>
    <w:pPr>
      <w:keepNext/>
      <w:spacing w:before="240" w:after="240" w:line="240" w:lineRule="auto"/>
      <w:ind w:left="567"/>
      <w:jc w:val="both"/>
    </w:pPr>
    <w:rPr>
      <w:rFonts w:ascii="Times New Roman Bold" w:eastAsiaTheme="majorEastAsia" w:hAnsi="Times New Roman Bold" w:cs="Times New Roman"/>
      <w:b/>
      <w:bCs/>
      <w:spacing w:val="5"/>
      <w:kern w:val="28"/>
      <w:sz w:val="28"/>
      <w:szCs w:val="28"/>
      <w14:ligatures w14:val="standardContextual"/>
    </w:rPr>
  </w:style>
  <w:style w:type="character" w:customStyle="1" w:styleId="TitreCar">
    <w:name w:val="Titre Car"/>
    <w:basedOn w:val="Policepardfaut"/>
    <w:link w:val="Titre"/>
    <w:uiPriority w:val="10"/>
    <w:rsid w:val="00E31385"/>
    <w:rPr>
      <w:rFonts w:ascii="Times New Roman Bold" w:eastAsiaTheme="majorEastAsia" w:hAnsi="Times New Roman Bold" w:cs="Times New Roman"/>
      <w:b/>
      <w:bCs/>
      <w:spacing w:val="5"/>
      <w:kern w:val="28"/>
      <w:sz w:val="28"/>
      <w:szCs w:val="28"/>
      <w:lang w:val="ru-RU"/>
      <w14:ligatures w14:val="standardContextual"/>
    </w:rPr>
  </w:style>
  <w:style w:type="paragraph" w:customStyle="1" w:styleId="Cornernotation">
    <w:name w:val="Corner notation"/>
    <w:basedOn w:val="Normal"/>
    <w:rsid w:val="00E31385"/>
    <w:pPr>
      <w:spacing w:line="240" w:lineRule="auto"/>
      <w:ind w:left="170" w:right="3119" w:hanging="170"/>
    </w:pPr>
    <w:rPr>
      <w:rFonts w:ascii="Times New Roman" w:eastAsia="Times New Roman" w:hAnsi="Times New Roman" w:cs="Times New Roman"/>
      <w:b/>
      <w:sz w:val="24"/>
      <w:szCs w:val="24"/>
    </w:rPr>
  </w:style>
  <w:style w:type="table" w:customStyle="1" w:styleId="TableGrid1">
    <w:name w:val="Table Grid1"/>
    <w:basedOn w:val="TableauNormal"/>
    <w:next w:val="Grilledutableau"/>
    <w:uiPriority w:val="59"/>
    <w:rsid w:val="00E31385"/>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E31385"/>
    <w:rPr>
      <w:b w:val="0"/>
      <w:bCs/>
      <w:sz w:val="22"/>
      <w:szCs w:val="22"/>
    </w:rPr>
  </w:style>
  <w:style w:type="paragraph" w:customStyle="1" w:styleId="Footnote">
    <w:name w:val="Footnote"/>
    <w:basedOn w:val="Notedebasdepage"/>
    <w:qFormat/>
    <w:rsid w:val="00E31385"/>
    <w:pPr>
      <w:suppressLineNumbers w:val="0"/>
      <w:suppressAutoHyphens w:val="0"/>
      <w:jc w:val="both"/>
    </w:pPr>
    <w:rPr>
      <w:rFonts w:eastAsia="Times New Roman" w:cs="Times New Roman"/>
    </w:rPr>
  </w:style>
  <w:style w:type="paragraph" w:customStyle="1" w:styleId="Cornernotation-Item">
    <w:name w:val="Corner notation - Item"/>
    <w:basedOn w:val="Venuedate"/>
    <w:qFormat/>
    <w:rsid w:val="00E31385"/>
    <w:rPr>
      <w:b/>
    </w:rPr>
  </w:style>
  <w:style w:type="paragraph" w:styleId="Sous-titre">
    <w:name w:val="Subtitle"/>
    <w:basedOn w:val="Normal"/>
    <w:next w:val="Normal"/>
    <w:link w:val="Sous-titreCar"/>
    <w:uiPriority w:val="11"/>
    <w:qFormat/>
    <w:rsid w:val="00E31385"/>
    <w:pPr>
      <w:numPr>
        <w:ilvl w:val="1"/>
      </w:numPr>
      <w:spacing w:after="160" w:line="240" w:lineRule="auto"/>
      <w:jc w:val="both"/>
    </w:pPr>
    <w:rPr>
      <w:rFonts w:ascii="Times New Roman Bold" w:eastAsiaTheme="minorEastAsia" w:hAnsi="Times New Roman Bold"/>
      <w:b/>
      <w:color w:val="5A5A5A" w:themeColor="text1" w:themeTint="A5"/>
    </w:rPr>
  </w:style>
  <w:style w:type="character" w:customStyle="1" w:styleId="Sous-titreCar">
    <w:name w:val="Sous-titre Car"/>
    <w:basedOn w:val="Policepardfaut"/>
    <w:link w:val="Sous-titre"/>
    <w:uiPriority w:val="11"/>
    <w:rsid w:val="00E31385"/>
    <w:rPr>
      <w:rFonts w:ascii="Times New Roman Bold" w:eastAsiaTheme="minorEastAsia" w:hAnsi="Times New Roman Bold"/>
      <w:b/>
      <w:color w:val="5A5A5A" w:themeColor="text1" w:themeTint="A5"/>
      <w:lang w:val="ru-RU"/>
    </w:rPr>
  </w:style>
  <w:style w:type="paragraph" w:customStyle="1" w:styleId="Para10">
    <w:name w:val="Para 1"/>
    <w:basedOn w:val="Normal"/>
    <w:qFormat/>
    <w:rsid w:val="00E31385"/>
    <w:pPr>
      <w:numPr>
        <w:numId w:val="16"/>
      </w:numPr>
      <w:tabs>
        <w:tab w:val="left" w:pos="1134"/>
      </w:tabs>
      <w:spacing w:before="120" w:after="120" w:line="240" w:lineRule="auto"/>
      <w:ind w:left="567" w:firstLine="0"/>
      <w:jc w:val="both"/>
    </w:pPr>
    <w:rPr>
      <w:rFonts w:ascii="Times New Roman" w:eastAsia="Times New Roman" w:hAnsi="Times New Roman" w:cs="Times New Roman"/>
      <w:szCs w:val="24"/>
    </w:rPr>
  </w:style>
  <w:style w:type="character" w:styleId="Mentionnonrsolue">
    <w:name w:val="Unresolved Mention"/>
    <w:basedOn w:val="Policepardfaut"/>
    <w:uiPriority w:val="99"/>
    <w:semiHidden/>
    <w:unhideWhenUsed/>
    <w:rsid w:val="00FF3A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4510693">
      <w:bodyDiv w:val="1"/>
      <w:marLeft w:val="0"/>
      <w:marRight w:val="0"/>
      <w:marTop w:val="0"/>
      <w:marBottom w:val="0"/>
      <w:divBdr>
        <w:top w:val="none" w:sz="0" w:space="0" w:color="auto"/>
        <w:left w:val="none" w:sz="0" w:space="0" w:color="auto"/>
        <w:bottom w:val="none" w:sz="0" w:space="0" w:color="auto"/>
        <w:right w:val="none" w:sz="0" w:space="0" w:color="auto"/>
      </w:divBdr>
    </w:div>
    <w:div w:id="254946496">
      <w:bodyDiv w:val="1"/>
      <w:marLeft w:val="0"/>
      <w:marRight w:val="0"/>
      <w:marTop w:val="0"/>
      <w:marBottom w:val="0"/>
      <w:divBdr>
        <w:top w:val="none" w:sz="0" w:space="0" w:color="auto"/>
        <w:left w:val="none" w:sz="0" w:space="0" w:color="auto"/>
        <w:bottom w:val="none" w:sz="0" w:space="0" w:color="auto"/>
        <w:right w:val="none" w:sz="0" w:space="0" w:color="auto"/>
      </w:divBdr>
    </w:div>
    <w:div w:id="273824484">
      <w:bodyDiv w:val="1"/>
      <w:marLeft w:val="0"/>
      <w:marRight w:val="0"/>
      <w:marTop w:val="0"/>
      <w:marBottom w:val="0"/>
      <w:divBdr>
        <w:top w:val="none" w:sz="0" w:space="0" w:color="auto"/>
        <w:left w:val="none" w:sz="0" w:space="0" w:color="auto"/>
        <w:bottom w:val="none" w:sz="0" w:space="0" w:color="auto"/>
        <w:right w:val="none" w:sz="0" w:space="0" w:color="auto"/>
      </w:divBdr>
    </w:div>
    <w:div w:id="297496200">
      <w:bodyDiv w:val="1"/>
      <w:marLeft w:val="0"/>
      <w:marRight w:val="0"/>
      <w:marTop w:val="0"/>
      <w:marBottom w:val="0"/>
      <w:divBdr>
        <w:top w:val="none" w:sz="0" w:space="0" w:color="auto"/>
        <w:left w:val="none" w:sz="0" w:space="0" w:color="auto"/>
        <w:bottom w:val="none" w:sz="0" w:space="0" w:color="auto"/>
        <w:right w:val="none" w:sz="0" w:space="0" w:color="auto"/>
      </w:divBdr>
    </w:div>
    <w:div w:id="391007337">
      <w:bodyDiv w:val="1"/>
      <w:marLeft w:val="0"/>
      <w:marRight w:val="0"/>
      <w:marTop w:val="0"/>
      <w:marBottom w:val="0"/>
      <w:divBdr>
        <w:top w:val="none" w:sz="0" w:space="0" w:color="auto"/>
        <w:left w:val="none" w:sz="0" w:space="0" w:color="auto"/>
        <w:bottom w:val="none" w:sz="0" w:space="0" w:color="auto"/>
        <w:right w:val="none" w:sz="0" w:space="0" w:color="auto"/>
      </w:divBdr>
    </w:div>
    <w:div w:id="392240787">
      <w:bodyDiv w:val="1"/>
      <w:marLeft w:val="0"/>
      <w:marRight w:val="0"/>
      <w:marTop w:val="0"/>
      <w:marBottom w:val="0"/>
      <w:divBdr>
        <w:top w:val="none" w:sz="0" w:space="0" w:color="auto"/>
        <w:left w:val="none" w:sz="0" w:space="0" w:color="auto"/>
        <w:bottom w:val="none" w:sz="0" w:space="0" w:color="auto"/>
        <w:right w:val="none" w:sz="0" w:space="0" w:color="auto"/>
      </w:divBdr>
    </w:div>
    <w:div w:id="397484473">
      <w:bodyDiv w:val="1"/>
      <w:marLeft w:val="0"/>
      <w:marRight w:val="0"/>
      <w:marTop w:val="0"/>
      <w:marBottom w:val="0"/>
      <w:divBdr>
        <w:top w:val="none" w:sz="0" w:space="0" w:color="auto"/>
        <w:left w:val="none" w:sz="0" w:space="0" w:color="auto"/>
        <w:bottom w:val="none" w:sz="0" w:space="0" w:color="auto"/>
        <w:right w:val="none" w:sz="0" w:space="0" w:color="auto"/>
      </w:divBdr>
    </w:div>
    <w:div w:id="405618028">
      <w:bodyDiv w:val="1"/>
      <w:marLeft w:val="0"/>
      <w:marRight w:val="0"/>
      <w:marTop w:val="0"/>
      <w:marBottom w:val="0"/>
      <w:divBdr>
        <w:top w:val="none" w:sz="0" w:space="0" w:color="auto"/>
        <w:left w:val="none" w:sz="0" w:space="0" w:color="auto"/>
        <w:bottom w:val="none" w:sz="0" w:space="0" w:color="auto"/>
        <w:right w:val="none" w:sz="0" w:space="0" w:color="auto"/>
      </w:divBdr>
    </w:div>
    <w:div w:id="411971694">
      <w:bodyDiv w:val="1"/>
      <w:marLeft w:val="0"/>
      <w:marRight w:val="0"/>
      <w:marTop w:val="0"/>
      <w:marBottom w:val="0"/>
      <w:divBdr>
        <w:top w:val="none" w:sz="0" w:space="0" w:color="auto"/>
        <w:left w:val="none" w:sz="0" w:space="0" w:color="auto"/>
        <w:bottom w:val="none" w:sz="0" w:space="0" w:color="auto"/>
        <w:right w:val="none" w:sz="0" w:space="0" w:color="auto"/>
      </w:divBdr>
    </w:div>
    <w:div w:id="420881569">
      <w:bodyDiv w:val="1"/>
      <w:marLeft w:val="0"/>
      <w:marRight w:val="0"/>
      <w:marTop w:val="0"/>
      <w:marBottom w:val="0"/>
      <w:divBdr>
        <w:top w:val="none" w:sz="0" w:space="0" w:color="auto"/>
        <w:left w:val="none" w:sz="0" w:space="0" w:color="auto"/>
        <w:bottom w:val="none" w:sz="0" w:space="0" w:color="auto"/>
        <w:right w:val="none" w:sz="0" w:space="0" w:color="auto"/>
      </w:divBdr>
    </w:div>
    <w:div w:id="468595302">
      <w:bodyDiv w:val="1"/>
      <w:marLeft w:val="0"/>
      <w:marRight w:val="0"/>
      <w:marTop w:val="0"/>
      <w:marBottom w:val="0"/>
      <w:divBdr>
        <w:top w:val="none" w:sz="0" w:space="0" w:color="auto"/>
        <w:left w:val="none" w:sz="0" w:space="0" w:color="auto"/>
        <w:bottom w:val="none" w:sz="0" w:space="0" w:color="auto"/>
        <w:right w:val="none" w:sz="0" w:space="0" w:color="auto"/>
      </w:divBdr>
    </w:div>
    <w:div w:id="488059953">
      <w:bodyDiv w:val="1"/>
      <w:marLeft w:val="0"/>
      <w:marRight w:val="0"/>
      <w:marTop w:val="0"/>
      <w:marBottom w:val="0"/>
      <w:divBdr>
        <w:top w:val="none" w:sz="0" w:space="0" w:color="auto"/>
        <w:left w:val="none" w:sz="0" w:space="0" w:color="auto"/>
        <w:bottom w:val="none" w:sz="0" w:space="0" w:color="auto"/>
        <w:right w:val="none" w:sz="0" w:space="0" w:color="auto"/>
      </w:divBdr>
    </w:div>
    <w:div w:id="661399083">
      <w:bodyDiv w:val="1"/>
      <w:marLeft w:val="0"/>
      <w:marRight w:val="0"/>
      <w:marTop w:val="0"/>
      <w:marBottom w:val="0"/>
      <w:divBdr>
        <w:top w:val="none" w:sz="0" w:space="0" w:color="auto"/>
        <w:left w:val="none" w:sz="0" w:space="0" w:color="auto"/>
        <w:bottom w:val="none" w:sz="0" w:space="0" w:color="auto"/>
        <w:right w:val="none" w:sz="0" w:space="0" w:color="auto"/>
      </w:divBdr>
    </w:div>
    <w:div w:id="788623227">
      <w:bodyDiv w:val="1"/>
      <w:marLeft w:val="0"/>
      <w:marRight w:val="0"/>
      <w:marTop w:val="0"/>
      <w:marBottom w:val="0"/>
      <w:divBdr>
        <w:top w:val="none" w:sz="0" w:space="0" w:color="auto"/>
        <w:left w:val="none" w:sz="0" w:space="0" w:color="auto"/>
        <w:bottom w:val="none" w:sz="0" w:space="0" w:color="auto"/>
        <w:right w:val="none" w:sz="0" w:space="0" w:color="auto"/>
      </w:divBdr>
    </w:div>
    <w:div w:id="812216767">
      <w:bodyDiv w:val="1"/>
      <w:marLeft w:val="0"/>
      <w:marRight w:val="0"/>
      <w:marTop w:val="0"/>
      <w:marBottom w:val="0"/>
      <w:divBdr>
        <w:top w:val="none" w:sz="0" w:space="0" w:color="auto"/>
        <w:left w:val="none" w:sz="0" w:space="0" w:color="auto"/>
        <w:bottom w:val="none" w:sz="0" w:space="0" w:color="auto"/>
        <w:right w:val="none" w:sz="0" w:space="0" w:color="auto"/>
      </w:divBdr>
    </w:div>
    <w:div w:id="862598925">
      <w:bodyDiv w:val="1"/>
      <w:marLeft w:val="0"/>
      <w:marRight w:val="0"/>
      <w:marTop w:val="0"/>
      <w:marBottom w:val="0"/>
      <w:divBdr>
        <w:top w:val="none" w:sz="0" w:space="0" w:color="auto"/>
        <w:left w:val="none" w:sz="0" w:space="0" w:color="auto"/>
        <w:bottom w:val="none" w:sz="0" w:space="0" w:color="auto"/>
        <w:right w:val="none" w:sz="0" w:space="0" w:color="auto"/>
      </w:divBdr>
    </w:div>
    <w:div w:id="874077343">
      <w:bodyDiv w:val="1"/>
      <w:marLeft w:val="0"/>
      <w:marRight w:val="0"/>
      <w:marTop w:val="0"/>
      <w:marBottom w:val="0"/>
      <w:divBdr>
        <w:top w:val="none" w:sz="0" w:space="0" w:color="auto"/>
        <w:left w:val="none" w:sz="0" w:space="0" w:color="auto"/>
        <w:bottom w:val="none" w:sz="0" w:space="0" w:color="auto"/>
        <w:right w:val="none" w:sz="0" w:space="0" w:color="auto"/>
      </w:divBdr>
    </w:div>
    <w:div w:id="884828222">
      <w:bodyDiv w:val="1"/>
      <w:marLeft w:val="0"/>
      <w:marRight w:val="0"/>
      <w:marTop w:val="0"/>
      <w:marBottom w:val="0"/>
      <w:divBdr>
        <w:top w:val="none" w:sz="0" w:space="0" w:color="auto"/>
        <w:left w:val="none" w:sz="0" w:space="0" w:color="auto"/>
        <w:bottom w:val="none" w:sz="0" w:space="0" w:color="auto"/>
        <w:right w:val="none" w:sz="0" w:space="0" w:color="auto"/>
      </w:divBdr>
    </w:div>
    <w:div w:id="953287482">
      <w:bodyDiv w:val="1"/>
      <w:marLeft w:val="0"/>
      <w:marRight w:val="0"/>
      <w:marTop w:val="0"/>
      <w:marBottom w:val="0"/>
      <w:divBdr>
        <w:top w:val="none" w:sz="0" w:space="0" w:color="auto"/>
        <w:left w:val="none" w:sz="0" w:space="0" w:color="auto"/>
        <w:bottom w:val="none" w:sz="0" w:space="0" w:color="auto"/>
        <w:right w:val="none" w:sz="0" w:space="0" w:color="auto"/>
      </w:divBdr>
      <w:divsChild>
        <w:div w:id="76874063">
          <w:marLeft w:val="0"/>
          <w:marRight w:val="0"/>
          <w:marTop w:val="0"/>
          <w:marBottom w:val="0"/>
          <w:divBdr>
            <w:top w:val="none" w:sz="0" w:space="0" w:color="auto"/>
            <w:left w:val="none" w:sz="0" w:space="0" w:color="auto"/>
            <w:bottom w:val="none" w:sz="0" w:space="0" w:color="auto"/>
            <w:right w:val="none" w:sz="0" w:space="0" w:color="auto"/>
          </w:divBdr>
        </w:div>
      </w:divsChild>
    </w:div>
    <w:div w:id="1010912092">
      <w:bodyDiv w:val="1"/>
      <w:marLeft w:val="0"/>
      <w:marRight w:val="0"/>
      <w:marTop w:val="0"/>
      <w:marBottom w:val="0"/>
      <w:divBdr>
        <w:top w:val="none" w:sz="0" w:space="0" w:color="auto"/>
        <w:left w:val="none" w:sz="0" w:space="0" w:color="auto"/>
        <w:bottom w:val="none" w:sz="0" w:space="0" w:color="auto"/>
        <w:right w:val="none" w:sz="0" w:space="0" w:color="auto"/>
      </w:divBdr>
    </w:div>
    <w:div w:id="1135566945">
      <w:bodyDiv w:val="1"/>
      <w:marLeft w:val="0"/>
      <w:marRight w:val="0"/>
      <w:marTop w:val="0"/>
      <w:marBottom w:val="0"/>
      <w:divBdr>
        <w:top w:val="none" w:sz="0" w:space="0" w:color="auto"/>
        <w:left w:val="none" w:sz="0" w:space="0" w:color="auto"/>
        <w:bottom w:val="none" w:sz="0" w:space="0" w:color="auto"/>
        <w:right w:val="none" w:sz="0" w:space="0" w:color="auto"/>
      </w:divBdr>
    </w:div>
    <w:div w:id="1146240466">
      <w:bodyDiv w:val="1"/>
      <w:marLeft w:val="0"/>
      <w:marRight w:val="0"/>
      <w:marTop w:val="0"/>
      <w:marBottom w:val="0"/>
      <w:divBdr>
        <w:top w:val="none" w:sz="0" w:space="0" w:color="auto"/>
        <w:left w:val="none" w:sz="0" w:space="0" w:color="auto"/>
        <w:bottom w:val="none" w:sz="0" w:space="0" w:color="auto"/>
        <w:right w:val="none" w:sz="0" w:space="0" w:color="auto"/>
      </w:divBdr>
      <w:divsChild>
        <w:div w:id="814643664">
          <w:marLeft w:val="0"/>
          <w:marRight w:val="0"/>
          <w:marTop w:val="0"/>
          <w:marBottom w:val="0"/>
          <w:divBdr>
            <w:top w:val="none" w:sz="0" w:space="0" w:color="auto"/>
            <w:left w:val="none" w:sz="0" w:space="0" w:color="auto"/>
            <w:bottom w:val="none" w:sz="0" w:space="0" w:color="auto"/>
            <w:right w:val="none" w:sz="0" w:space="0" w:color="auto"/>
          </w:divBdr>
        </w:div>
      </w:divsChild>
    </w:div>
    <w:div w:id="1369917810">
      <w:bodyDiv w:val="1"/>
      <w:marLeft w:val="0"/>
      <w:marRight w:val="0"/>
      <w:marTop w:val="0"/>
      <w:marBottom w:val="0"/>
      <w:divBdr>
        <w:top w:val="none" w:sz="0" w:space="0" w:color="auto"/>
        <w:left w:val="none" w:sz="0" w:space="0" w:color="auto"/>
        <w:bottom w:val="none" w:sz="0" w:space="0" w:color="auto"/>
        <w:right w:val="none" w:sz="0" w:space="0" w:color="auto"/>
      </w:divBdr>
    </w:div>
    <w:div w:id="1396852040">
      <w:bodyDiv w:val="1"/>
      <w:marLeft w:val="0"/>
      <w:marRight w:val="0"/>
      <w:marTop w:val="0"/>
      <w:marBottom w:val="0"/>
      <w:divBdr>
        <w:top w:val="none" w:sz="0" w:space="0" w:color="auto"/>
        <w:left w:val="none" w:sz="0" w:space="0" w:color="auto"/>
        <w:bottom w:val="none" w:sz="0" w:space="0" w:color="auto"/>
        <w:right w:val="none" w:sz="0" w:space="0" w:color="auto"/>
      </w:divBdr>
    </w:div>
    <w:div w:id="1566574095">
      <w:bodyDiv w:val="1"/>
      <w:marLeft w:val="0"/>
      <w:marRight w:val="0"/>
      <w:marTop w:val="0"/>
      <w:marBottom w:val="0"/>
      <w:divBdr>
        <w:top w:val="none" w:sz="0" w:space="0" w:color="auto"/>
        <w:left w:val="none" w:sz="0" w:space="0" w:color="auto"/>
        <w:bottom w:val="none" w:sz="0" w:space="0" w:color="auto"/>
        <w:right w:val="none" w:sz="0" w:space="0" w:color="auto"/>
      </w:divBdr>
    </w:div>
    <w:div w:id="1590237544">
      <w:bodyDiv w:val="1"/>
      <w:marLeft w:val="0"/>
      <w:marRight w:val="0"/>
      <w:marTop w:val="0"/>
      <w:marBottom w:val="0"/>
      <w:divBdr>
        <w:top w:val="none" w:sz="0" w:space="0" w:color="auto"/>
        <w:left w:val="none" w:sz="0" w:space="0" w:color="auto"/>
        <w:bottom w:val="none" w:sz="0" w:space="0" w:color="auto"/>
        <w:right w:val="none" w:sz="0" w:space="0" w:color="auto"/>
      </w:divBdr>
    </w:div>
    <w:div w:id="1788236671">
      <w:bodyDiv w:val="1"/>
      <w:marLeft w:val="0"/>
      <w:marRight w:val="0"/>
      <w:marTop w:val="0"/>
      <w:marBottom w:val="0"/>
      <w:divBdr>
        <w:top w:val="none" w:sz="0" w:space="0" w:color="auto"/>
        <w:left w:val="none" w:sz="0" w:space="0" w:color="auto"/>
        <w:bottom w:val="none" w:sz="0" w:space="0" w:color="auto"/>
        <w:right w:val="none" w:sz="0" w:space="0" w:color="auto"/>
      </w:divBdr>
    </w:div>
    <w:div w:id="1806701807">
      <w:bodyDiv w:val="1"/>
      <w:marLeft w:val="0"/>
      <w:marRight w:val="0"/>
      <w:marTop w:val="0"/>
      <w:marBottom w:val="0"/>
      <w:divBdr>
        <w:top w:val="none" w:sz="0" w:space="0" w:color="auto"/>
        <w:left w:val="none" w:sz="0" w:space="0" w:color="auto"/>
        <w:bottom w:val="none" w:sz="0" w:space="0" w:color="auto"/>
        <w:right w:val="none" w:sz="0" w:space="0" w:color="auto"/>
      </w:divBdr>
    </w:div>
    <w:div w:id="1828933329">
      <w:bodyDiv w:val="1"/>
      <w:marLeft w:val="0"/>
      <w:marRight w:val="0"/>
      <w:marTop w:val="0"/>
      <w:marBottom w:val="0"/>
      <w:divBdr>
        <w:top w:val="none" w:sz="0" w:space="0" w:color="auto"/>
        <w:left w:val="none" w:sz="0" w:space="0" w:color="auto"/>
        <w:bottom w:val="none" w:sz="0" w:space="0" w:color="auto"/>
        <w:right w:val="none" w:sz="0" w:space="0" w:color="auto"/>
      </w:divBdr>
    </w:div>
    <w:div w:id="1849323820">
      <w:bodyDiv w:val="1"/>
      <w:marLeft w:val="0"/>
      <w:marRight w:val="0"/>
      <w:marTop w:val="0"/>
      <w:marBottom w:val="0"/>
      <w:divBdr>
        <w:top w:val="none" w:sz="0" w:space="0" w:color="auto"/>
        <w:left w:val="none" w:sz="0" w:space="0" w:color="auto"/>
        <w:bottom w:val="none" w:sz="0" w:space="0" w:color="auto"/>
        <w:right w:val="none" w:sz="0" w:space="0" w:color="auto"/>
      </w:divBdr>
    </w:div>
    <w:div w:id="1916157981">
      <w:bodyDiv w:val="1"/>
      <w:marLeft w:val="0"/>
      <w:marRight w:val="0"/>
      <w:marTop w:val="0"/>
      <w:marBottom w:val="0"/>
      <w:divBdr>
        <w:top w:val="none" w:sz="0" w:space="0" w:color="auto"/>
        <w:left w:val="none" w:sz="0" w:space="0" w:color="auto"/>
        <w:bottom w:val="none" w:sz="0" w:space="0" w:color="auto"/>
        <w:right w:val="none" w:sz="0" w:space="0" w:color="auto"/>
      </w:divBdr>
    </w:div>
    <w:div w:id="1999072434">
      <w:bodyDiv w:val="1"/>
      <w:marLeft w:val="0"/>
      <w:marRight w:val="0"/>
      <w:marTop w:val="0"/>
      <w:marBottom w:val="0"/>
      <w:divBdr>
        <w:top w:val="none" w:sz="0" w:space="0" w:color="auto"/>
        <w:left w:val="none" w:sz="0" w:space="0" w:color="auto"/>
        <w:bottom w:val="none" w:sz="0" w:space="0" w:color="auto"/>
        <w:right w:val="none" w:sz="0" w:space="0" w:color="auto"/>
      </w:divBdr>
    </w:div>
    <w:div w:id="2003577645">
      <w:bodyDiv w:val="1"/>
      <w:marLeft w:val="0"/>
      <w:marRight w:val="0"/>
      <w:marTop w:val="0"/>
      <w:marBottom w:val="0"/>
      <w:divBdr>
        <w:top w:val="none" w:sz="0" w:space="0" w:color="auto"/>
        <w:left w:val="none" w:sz="0" w:space="0" w:color="auto"/>
        <w:bottom w:val="none" w:sz="0" w:space="0" w:color="auto"/>
        <w:right w:val="none" w:sz="0" w:space="0" w:color="auto"/>
      </w:divBdr>
    </w:div>
    <w:div w:id="2083676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hyperlink" Target="https://www.cbd.int/doc/decisions/cop-12/cop-12-dec-30-ru.pdf" TargetMode="External"/><Relationship Id="rId39" Type="http://schemas.openxmlformats.org/officeDocument/2006/relationships/hyperlink" Target="https://www.thegef.org/sites/default/files/documents/2023-09/EN_GEF.C.65.04_Enhancing%20Policy%20Coherence%20through%20GEF%20Operations_.pdf" TargetMode="External"/><Relationship Id="rId21" Type="http://schemas.openxmlformats.org/officeDocument/2006/relationships/image" Target="media/image5.png"/><Relationship Id="rId34" Type="http://schemas.openxmlformats.org/officeDocument/2006/relationships/hyperlink" Target="https://www.ebrd.com/documents/environment/mdb-common-principles-to-nature-positive-finance-tracking.pdf" TargetMode="External"/><Relationship Id="rId42" Type="http://schemas.openxmlformats.org/officeDocument/2006/relationships/hyperlink" Target="https://www.thegef.org/sites/default/files/documents/2024-01/EN_GEF.C.66.04_Work%20Program%20for%20GEF%20Trust%20Fund.pdf" TargetMode="External"/><Relationship Id="rId47" Type="http://schemas.openxmlformats.org/officeDocument/2006/relationships/chart" Target="charts/chart4.xml"/><Relationship Id="rId50" Type="http://schemas.openxmlformats.org/officeDocument/2006/relationships/chart" Target="charts/chart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footer" Target="footer7.xml"/><Relationship Id="rId11" Type="http://schemas.openxmlformats.org/officeDocument/2006/relationships/image" Target="media/image1.emf"/><Relationship Id="rId24" Type="http://schemas.openxmlformats.org/officeDocument/2006/relationships/footer" Target="footer4.xml"/><Relationship Id="rId32" Type="http://schemas.openxmlformats.org/officeDocument/2006/relationships/header" Target="header5.xml"/><Relationship Id="rId37" Type="http://schemas.openxmlformats.org/officeDocument/2006/relationships/hyperlink" Target="https://www.thegef.org/sites/default/files/documents/2024-01/EN_GEF.C.66.10_Gap%20Analysis%20of%20GEF%20Policies%20and%20Key%20Social%20Inclusion%20Issues.pdf" TargetMode="External"/><Relationship Id="rId40" Type="http://schemas.openxmlformats.org/officeDocument/2006/relationships/hyperlink" Target="https://www.thegef.org/sites/default/files/documents/2022-06/EN_GEF_C.62_03_Summary%20of%20Negotiations%20of%20the%208th%20Replenishment%20of%20the%20GEF%20Trust%20Fund_.pdf" TargetMode="External"/><Relationship Id="rId45" Type="http://schemas.openxmlformats.org/officeDocument/2006/relationships/chart" Target="charts/chart2.xml"/><Relationship Id="rId53" Type="http://schemas.openxmlformats.org/officeDocument/2006/relationships/glossaryDocument" Target="glossary/document.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footer" Target="footer8.xml"/><Relationship Id="rId44" Type="http://schemas.openxmlformats.org/officeDocument/2006/relationships/chart" Target="charts/chart1.xm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cop/default.shtml?id=7104" TargetMode="External"/><Relationship Id="rId22" Type="http://schemas.openxmlformats.org/officeDocument/2006/relationships/footer" Target="footer3.xml"/><Relationship Id="rId27" Type="http://schemas.openxmlformats.org/officeDocument/2006/relationships/header" Target="header4.xml"/><Relationship Id="rId30" Type="http://schemas.openxmlformats.org/officeDocument/2006/relationships/hyperlink" Target="https://www.cbd.int/doc/c/a6f0/7e44/d494250f54314cf3f350b920/cop-15-08-ru.pdf" TargetMode="External"/><Relationship Id="rId35" Type="http://schemas.openxmlformats.org/officeDocument/2006/relationships/hyperlink" Target="https://www.thegef.org/sites/default/files/documents/2023-06/EN_GEF.C.64.Inf_.09_Updated_Third%20Party%20Review%20of%20Agency%20Compliance%20with%20GEF%20Minimum%20Standards.pdf" TargetMode="External"/><Relationship Id="rId43" Type="http://schemas.openxmlformats.org/officeDocument/2006/relationships/hyperlink" Target="https://iatiregistry.org/publisher/gef" TargetMode="External"/><Relationship Id="rId48" Type="http://schemas.openxmlformats.org/officeDocument/2006/relationships/image" Target="media/image6.png"/><Relationship Id="rId8" Type="http://schemas.openxmlformats.org/officeDocument/2006/relationships/webSettings" Target="webSettings.xml"/><Relationship Id="rId51" Type="http://schemas.openxmlformats.org/officeDocument/2006/relationships/header" Target="header6.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footer" Target="footer5.xml"/><Relationship Id="rId33" Type="http://schemas.openxmlformats.org/officeDocument/2006/relationships/hyperlink" Target="https://ukcop26.org/mdb-joint-statement/" TargetMode="External"/><Relationship Id="rId38" Type="http://schemas.openxmlformats.org/officeDocument/2006/relationships/hyperlink" Target="https://www.thegef.org/sites/default/files/documents/2024-01/EN_GEF.C.66.09_Gap_Analysis_GEF_funded_Activity_Engagement_FCV_Affected_States.pdf" TargetMode="External"/><Relationship Id="rId46" Type="http://schemas.openxmlformats.org/officeDocument/2006/relationships/chart" Target="charts/chart3.xml"/><Relationship Id="rId20" Type="http://schemas.openxmlformats.org/officeDocument/2006/relationships/image" Target="media/image4.png"/><Relationship Id="rId41" Type="http://schemas.openxmlformats.org/officeDocument/2006/relationships/hyperlink" Target="https://www.thegef.org/projects-operations/projects/10920"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bd.int/doc/decisions/cop-12/cop-12-dec-30-ru.pdf" TargetMode="External"/><Relationship Id="rId23" Type="http://schemas.openxmlformats.org/officeDocument/2006/relationships/header" Target="header3.xml"/><Relationship Id="rId28" Type="http://schemas.openxmlformats.org/officeDocument/2006/relationships/footer" Target="footer6.xml"/><Relationship Id="rId36" Type="http://schemas.openxmlformats.org/officeDocument/2006/relationships/hyperlink" Target="https://www.thegef.org/sites/default/files/documents/2024-01/EN_GEF.C.66.Inf_.10_Progress_Report_GEF_Agencies_Compliance_GEF_Minimum_Standards.pdf" TargetMode="External"/><Relationship Id="rId49" Type="http://schemas.openxmlformats.org/officeDocument/2006/relationships/image" Target="media/image7.png"/></Relationships>
</file>

<file path=word/_rels/footnotes.xml.rels><?xml version="1.0" encoding="UTF-8" standalone="yes"?>
<Relationships xmlns="http://schemas.openxmlformats.org/package/2006/relationships"><Relationship Id="rId13" Type="http://schemas.openxmlformats.org/officeDocument/2006/relationships/hyperlink" Target="https://www.thegef.org/sites/default/files/documents/2023-07/EN_GEF.C.64.05.REV01_Global%20Biodiversity_Framework_Fund_Establishment%20final%20checked.pdf" TargetMode="External"/><Relationship Id="rId18" Type="http://schemas.openxmlformats.org/officeDocument/2006/relationships/hyperlink" Target="https://www.thegef.org/sites/default/files/documents/gef_environmental_social_safeguards_policy.pdf" TargetMode="External"/><Relationship Id="rId26" Type="http://schemas.openxmlformats.org/officeDocument/2006/relationships/hyperlink" Target="https://www.cbd.int/notifications/2023-056" TargetMode="External"/><Relationship Id="rId39" Type="http://schemas.openxmlformats.org/officeDocument/2006/relationships/hyperlink" Target="https://www.thegef.org/council-meeting-documents/gef-c-64-14" TargetMode="External"/><Relationship Id="rId21" Type="http://schemas.openxmlformats.org/officeDocument/2006/relationships/hyperlink" Target="https://www.thegef.org/sites/default/files/documents/2023-07/EN_GEF.C.64.05.REV01_Global%20Biodiversity_Framework_Fund_Establishment%20final%20checked.pdf" TargetMode="External"/><Relationship Id="rId34" Type="http://schemas.openxmlformats.org/officeDocument/2006/relationships/hyperlink" Target="https://www.gefieo.org/sites/default/files/documents/council-documents/c-62-e-02.pdf" TargetMode="External"/><Relationship Id="rId42" Type="http://schemas.openxmlformats.org/officeDocument/2006/relationships/hyperlink" Target="https://www.thegef.org/council-meeting-documents/gef-c-66-14" TargetMode="External"/><Relationship Id="rId7" Type="http://schemas.openxmlformats.org/officeDocument/2006/relationships/hyperlink" Target="https://www.thegef.org/sites/default/files/documents/2024-02/EN_GEF.C.66.08.Rev_.03_Streamlining_GEF_Project_Cycle.pdf" TargetMode="External"/><Relationship Id="rId2" Type="http://schemas.openxmlformats.org/officeDocument/2006/relationships/hyperlink" Target="https://www.thegef.org/sites/default/files/documents/2023-09/EN_GEF.C.64.06.Rev_.02_GBF_Fund_Programming_Directions.pdf" TargetMode="External"/><Relationship Id="rId16" Type="http://schemas.openxmlformats.org/officeDocument/2006/relationships/hyperlink" Target="https://www.thegef.org/council-meeting-documents/gef-gbff-01-03-rev-03" TargetMode="External"/><Relationship Id="rId29" Type="http://schemas.openxmlformats.org/officeDocument/2006/relationships/hyperlink" Target="https://www.thegef.org/sites/default/files/council-meeting-documents/EN_GEF.C.56.03.Rev_.01_Policy_on_Monitoring.pdf" TargetMode="External"/><Relationship Id="rId1" Type="http://schemas.openxmlformats.org/officeDocument/2006/relationships/hyperlink" Target="https://www.thegef.org/sites/default/files/documents/2023-07/EN_GEF.C.64.05.REV01_Global%20Biodiversity_Framework_Fund_Establishment%20final%20checked.pdf" TargetMode="External"/><Relationship Id="rId6" Type="http://schemas.openxmlformats.org/officeDocument/2006/relationships/hyperlink" Target="https://www.cbd.int/doc/decisions/cop-15/cop-15-dec-15-ru.pdf" TargetMode="External"/><Relationship Id="rId11" Type="http://schemas.openxmlformats.org/officeDocument/2006/relationships/hyperlink" Target="https://www.cbd.int/notifications/2023-056" TargetMode="External"/><Relationship Id="rId24" Type="http://schemas.openxmlformats.org/officeDocument/2006/relationships/hyperlink" Target="https://www.cbd.int/notifications/2023-041" TargetMode="External"/><Relationship Id="rId32" Type="http://schemas.openxmlformats.org/officeDocument/2006/relationships/hyperlink" Target="https://www.thegef.org/sites/default/files/documents/2024-02/GEFScorecard_FEB2024.pdf" TargetMode="External"/><Relationship Id="rId37" Type="http://schemas.openxmlformats.org/officeDocument/2006/relationships/hyperlink" Target="https://www.gefieo.org/sites/default/files/documents/council-documents/c-64-e-02-rev-01.pdf" TargetMode="External"/><Relationship Id="rId40" Type="http://schemas.openxmlformats.org/officeDocument/2006/relationships/hyperlink" Target="https://www.gefieo.org/sites/default/files/documents/council-documents/c-66-e-01-a.pdf" TargetMode="External"/><Relationship Id="rId45" Type="http://schemas.openxmlformats.org/officeDocument/2006/relationships/hyperlink" Target="https://www.thegef.org/council-meeting-documents/gef-c-66-15" TargetMode="External"/><Relationship Id="rId5" Type="http://schemas.openxmlformats.org/officeDocument/2006/relationships/hyperlink" Target="https://sgp.undp.org/innovation-library/item/2458-gef-small-grants-programme-annual-monitoring-report-2022---2023-(summary-infographic).html" TargetMode="External"/><Relationship Id="rId15" Type="http://schemas.openxmlformats.org/officeDocument/2006/relationships/hyperlink" Target="https://www.thegef.org/sites/default/files/documents/2023-09/EN_GEF.C.64.06.Rev_.02_GBF_Fund_Programming_Directions.pdf" TargetMode="External"/><Relationship Id="rId23" Type="http://schemas.openxmlformats.org/officeDocument/2006/relationships/hyperlink" Target="https://www.thegef.org/sites/default/files/documents/2023-09/EN_GEF.C.64.06.Rev_.02_GBF_Fund_Programming_Directions.pdf" TargetMode="External"/><Relationship Id="rId28" Type="http://schemas.openxmlformats.org/officeDocument/2006/relationships/hyperlink" Target="https://www.cbd.int/notifications/2023-062" TargetMode="External"/><Relationship Id="rId36" Type="http://schemas.openxmlformats.org/officeDocument/2006/relationships/hyperlink" Target="https://www.thegef.org/council-meeting-documents/gef-c-62-14-rev-01" TargetMode="External"/><Relationship Id="rId10" Type="http://schemas.openxmlformats.org/officeDocument/2006/relationships/hyperlink" Target="https://www.cbd.int/notifications/2023-056" TargetMode="External"/><Relationship Id="rId19" Type="http://schemas.openxmlformats.org/officeDocument/2006/relationships/hyperlink" Target="https://ukcop26.org/mdb-joint-statement/" TargetMode="External"/><Relationship Id="rId31" Type="http://schemas.openxmlformats.org/officeDocument/2006/relationships/hyperlink" Target="https://www.thegef.org/sites/default/files/documents/2022-06/EN_GEF.C.62.Inf_.04_GEF_Corporate_Scorecard_June_2020.pdf" TargetMode="External"/><Relationship Id="rId44" Type="http://schemas.openxmlformats.org/officeDocument/2006/relationships/hyperlink" Target="https://www.thegef.org/council-meeting-documents/gef-c-66-15" TargetMode="External"/><Relationship Id="rId4" Type="http://schemas.openxmlformats.org/officeDocument/2006/relationships/hyperlink" Target="https://www.thegef.org/council-meeting-documents/gef-c-66-07" TargetMode="External"/><Relationship Id="rId9" Type="http://schemas.openxmlformats.org/officeDocument/2006/relationships/hyperlink" Target="https://www.cbd.int/notifications/2023-041" TargetMode="External"/><Relationship Id="rId14" Type="http://schemas.openxmlformats.org/officeDocument/2006/relationships/hyperlink" Target="https://www.thegef.org/sites/default/files/documents/2023-07/EN_GEF.C.64.05.REV01_Global%20Biodiversity_Framework_Fund_Establishment%20final%20checked.pdf" TargetMode="External"/><Relationship Id="rId22" Type="http://schemas.openxmlformats.org/officeDocument/2006/relationships/hyperlink" Target="https://www.thegef.org/sites/default/files/documents/2023-07/EN_GEF.C.64.05.REV01_Global%20Biodiversity_Framework_Fund_Establishment%20final%20checked.pdf" TargetMode="External"/><Relationship Id="rId27" Type="http://schemas.openxmlformats.org/officeDocument/2006/relationships/hyperlink" Target="https://www.cbd.int/notifications/2023-056" TargetMode="External"/><Relationship Id="rId30" Type="http://schemas.openxmlformats.org/officeDocument/2006/relationships/hyperlink" Target="http://www.thegef.org/sites/default/files/council-meeting-documents/EN_GEF.C.54.11.Rev_.02_Results.pdf" TargetMode="External"/><Relationship Id="rId35" Type="http://schemas.openxmlformats.org/officeDocument/2006/relationships/hyperlink" Target="https://www.thegef.org/council-meeting-documents/gef-c-62-14-rev-01" TargetMode="External"/><Relationship Id="rId43" Type="http://schemas.openxmlformats.org/officeDocument/2006/relationships/hyperlink" Target="https://www.gefieo.org/sites/default/files/documents/council-documents/c-66-e-02.pdf" TargetMode="External"/><Relationship Id="rId8" Type="http://schemas.openxmlformats.org/officeDocument/2006/relationships/hyperlink" Target="https://www.cbd.int/notifications/2023-041" TargetMode="External"/><Relationship Id="rId3" Type="http://schemas.openxmlformats.org/officeDocument/2006/relationships/hyperlink" Target="https://www.cbd.int/gbf/targets" TargetMode="External"/><Relationship Id="rId12" Type="http://schemas.openxmlformats.org/officeDocument/2006/relationships/hyperlink" Target="https://www.cbd.int/notifications/2023-062" TargetMode="External"/><Relationship Id="rId17" Type="http://schemas.openxmlformats.org/officeDocument/2006/relationships/hyperlink" Target="https://www.thegef.org/sites/default/files/documents/Gender_Equality_Policy.pdf" TargetMode="External"/><Relationship Id="rId25" Type="http://schemas.openxmlformats.org/officeDocument/2006/relationships/hyperlink" Target="https://www.cbd.int/notifications/2023-041" TargetMode="External"/><Relationship Id="rId33" Type="http://schemas.openxmlformats.org/officeDocument/2006/relationships/hyperlink" Target="https://www.thegef.org/sites/default/files/documents/2024-02/GEFScorecard_FEB2024.pdf" TargetMode="External"/><Relationship Id="rId38" Type="http://schemas.openxmlformats.org/officeDocument/2006/relationships/hyperlink" Target="https://www.thegef.org/council-meeting-documents/gef-c-64-14" TargetMode="External"/><Relationship Id="rId20" Type="http://schemas.openxmlformats.org/officeDocument/2006/relationships/hyperlink" Target="https://www.thegef.org/sites/default/files/documents/2024-02/EN_GEF.C.66.08.Rev_.03_Streamlining_GEF_Project_Cycle.pdf" TargetMode="External"/><Relationship Id="rId41" Type="http://schemas.openxmlformats.org/officeDocument/2006/relationships/hyperlink" Target="https://www.thegef.org/council-meeting-documents/gef-c-66-14"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oleObject" Target="https://worldbankgroup-my.sharepoint.com/personal/cblet_thegef_org/Documents/2023%20Monitoring%20Report/2.%20Tier%202%20Calculation%20&amp;%20Visualization/FY22_Analytics_AMR_2023.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5" Type="http://schemas.openxmlformats.org/officeDocument/2006/relationships/chartUserShapes" Target="../drawings/drawing2.xml"/><Relationship Id="rId4" Type="http://schemas.openxmlformats.org/officeDocument/2006/relationships/oleObject" Target="https://worldbankgroup-my.sharepoint.com/personal/cblet_thegef_org/Documents/2023%20Monitoring%20Report/2.%20Tier%202%20Calculation%20&amp;%20Visualization/FY22_Analytics_AMR_2023.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5" Type="http://schemas.openxmlformats.org/officeDocument/2006/relationships/chartUserShapes" Target="../drawings/drawing3.xml"/><Relationship Id="rId4" Type="http://schemas.openxmlformats.org/officeDocument/2006/relationships/oleObject" Target="https://worldbankgroup-my.sharepoint.com/personal/cblet_thegef_org/Documents/2023%20Monitoring%20Report/2.%20Tier%202%20Calculation%20&amp;%20Visualization/FY22_Analytics_AMR_2023.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5" Type="http://schemas.openxmlformats.org/officeDocument/2006/relationships/chartUserShapes" Target="../drawings/drawing4.xml"/><Relationship Id="rId4" Type="http://schemas.openxmlformats.org/officeDocument/2006/relationships/oleObject" Target="file:///C:\Users\wb356010\Downloads\export%20(15).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5" Type="http://schemas.openxmlformats.org/officeDocument/2006/relationships/chartUserShapes" Target="../drawings/drawing5.xml"/><Relationship Id="rId4" Type="http://schemas.openxmlformats.org/officeDocument/2006/relationships/oleObject" Target="file:///C:\Users\wb356010\AppData\Local\Microsoft\Windows\INetCache\Content.Outlook\WEEM1OGX\GEF-8_Scorecard_Template_Feb_2024-Graphic%20desig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437096043540557"/>
          <c:y val="9.0616705687283819E-2"/>
          <c:w val="0.78850238951534057"/>
          <c:h val="0.59458152695785871"/>
        </c:manualLayout>
      </c:layout>
      <c:barChart>
        <c:barDir val="bar"/>
        <c:grouping val="stacked"/>
        <c:varyColors val="0"/>
        <c:ser>
          <c:idx val="2"/>
          <c:order val="0"/>
          <c:tx>
            <c:strRef>
              <c:f>Analytics!$BY$27</c:f>
              <c:strCache>
                <c:ptCount val="1"/>
                <c:pt idx="0">
                  <c:v>Moderately Satisfactory</c:v>
                </c:pt>
              </c:strCache>
            </c:strRef>
          </c:tx>
          <c:spPr>
            <a:solidFill>
              <a:srgbClr val="24AAE1"/>
            </a:solidFill>
            <a:ln>
              <a:noFill/>
            </a:ln>
            <a:effectLst/>
          </c:spPr>
          <c:invertIfNegative val="0"/>
          <c:cat>
            <c:strRef>
              <c:f>Analytics!$BX$28:$BX$29</c:f>
              <c:strCache>
                <c:ptCount val="2"/>
                <c:pt idx="0">
                  <c:v>Implement Progress</c:v>
                </c:pt>
                <c:pt idx="1">
                  <c:v>Project Outcome</c:v>
                </c:pt>
              </c:strCache>
            </c:strRef>
          </c:cat>
          <c:val>
            <c:numRef>
              <c:f>Analytics!$BY$28:$BY$29</c:f>
              <c:numCache>
                <c:formatCode>0%</c:formatCode>
                <c:ptCount val="2"/>
                <c:pt idx="0">
                  <c:v>0.3347457627118644</c:v>
                </c:pt>
                <c:pt idx="1">
                  <c:v>0.31638418079096048</c:v>
                </c:pt>
              </c:numCache>
            </c:numRef>
          </c:val>
          <c:extLst>
            <c:ext xmlns:c16="http://schemas.microsoft.com/office/drawing/2014/chart" uri="{C3380CC4-5D6E-409C-BE32-E72D297353CC}">
              <c16:uniqueId val="{00000000-FA7C-4909-B50C-1404AA5E83DB}"/>
            </c:ext>
          </c:extLst>
        </c:ser>
        <c:ser>
          <c:idx val="1"/>
          <c:order val="1"/>
          <c:tx>
            <c:strRef>
              <c:f>Analytics!$BZ$27</c:f>
              <c:strCache>
                <c:ptCount val="1"/>
                <c:pt idx="0">
                  <c:v>Satisfactory</c:v>
                </c:pt>
              </c:strCache>
            </c:strRef>
          </c:tx>
          <c:spPr>
            <a:solidFill>
              <a:srgbClr val="07B7A9"/>
            </a:solidFill>
            <a:ln>
              <a:noFill/>
            </a:ln>
            <a:effectLst/>
          </c:spPr>
          <c:invertIfNegative val="0"/>
          <c:cat>
            <c:strRef>
              <c:f>Analytics!$BX$28:$BX$29</c:f>
              <c:strCache>
                <c:ptCount val="2"/>
                <c:pt idx="0">
                  <c:v>Implement Progress</c:v>
                </c:pt>
                <c:pt idx="1">
                  <c:v>Project Outcome</c:v>
                </c:pt>
              </c:strCache>
            </c:strRef>
          </c:cat>
          <c:val>
            <c:numRef>
              <c:f>Analytics!$BZ$28:$BZ$29</c:f>
              <c:numCache>
                <c:formatCode>0%</c:formatCode>
                <c:ptCount val="2"/>
                <c:pt idx="0">
                  <c:v>0.43361581920903952</c:v>
                </c:pt>
                <c:pt idx="1">
                  <c:v>0.49576271186440679</c:v>
                </c:pt>
              </c:numCache>
            </c:numRef>
          </c:val>
          <c:extLst>
            <c:ext xmlns:c16="http://schemas.microsoft.com/office/drawing/2014/chart" uri="{C3380CC4-5D6E-409C-BE32-E72D297353CC}">
              <c16:uniqueId val="{00000001-FA7C-4909-B50C-1404AA5E83DB}"/>
            </c:ext>
          </c:extLst>
        </c:ser>
        <c:ser>
          <c:idx val="0"/>
          <c:order val="2"/>
          <c:tx>
            <c:strRef>
              <c:f>Analytics!$CA$27</c:f>
              <c:strCache>
                <c:ptCount val="1"/>
                <c:pt idx="0">
                  <c:v>Highly Satisfactory</c:v>
                </c:pt>
              </c:strCache>
            </c:strRef>
          </c:tx>
          <c:spPr>
            <a:solidFill>
              <a:srgbClr val="083A5C"/>
            </a:solidFill>
            <a:ln>
              <a:noFill/>
            </a:ln>
            <a:effectLst/>
          </c:spPr>
          <c:invertIfNegative val="0"/>
          <c:cat>
            <c:strRef>
              <c:f>Analytics!$BX$28:$BX$29</c:f>
              <c:strCache>
                <c:ptCount val="2"/>
                <c:pt idx="0">
                  <c:v>Implement Progress</c:v>
                </c:pt>
                <c:pt idx="1">
                  <c:v>Project Outcome</c:v>
                </c:pt>
              </c:strCache>
            </c:strRef>
          </c:cat>
          <c:val>
            <c:numRef>
              <c:f>Analytics!$CA$28:$CA$29</c:f>
              <c:numCache>
                <c:formatCode>0%</c:formatCode>
                <c:ptCount val="2"/>
                <c:pt idx="0">
                  <c:v>4.9435028248587573E-2</c:v>
                </c:pt>
                <c:pt idx="1">
                  <c:v>6.0734463276836161E-2</c:v>
                </c:pt>
              </c:numCache>
            </c:numRef>
          </c:val>
          <c:extLst>
            <c:ext xmlns:c16="http://schemas.microsoft.com/office/drawing/2014/chart" uri="{C3380CC4-5D6E-409C-BE32-E72D297353CC}">
              <c16:uniqueId val="{00000002-FA7C-4909-B50C-1404AA5E83DB}"/>
            </c:ext>
          </c:extLst>
        </c:ser>
        <c:ser>
          <c:idx val="3"/>
          <c:order val="3"/>
          <c:tx>
            <c:strRef>
              <c:f>Analytics!$CB$27</c:f>
              <c:strCache>
                <c:ptCount val="1"/>
                <c:pt idx="0">
                  <c:v>Moderately Unsatisfactory</c:v>
                </c:pt>
              </c:strCache>
            </c:strRef>
          </c:tx>
          <c:spPr>
            <a:solidFill>
              <a:srgbClr val="FCD98A"/>
            </a:solidFill>
            <a:ln>
              <a:noFill/>
            </a:ln>
            <a:effectLst/>
          </c:spPr>
          <c:invertIfNegative val="0"/>
          <c:cat>
            <c:strRef>
              <c:f>Analytics!$BX$28:$BX$29</c:f>
              <c:strCache>
                <c:ptCount val="2"/>
                <c:pt idx="0">
                  <c:v>Implement Progress</c:v>
                </c:pt>
                <c:pt idx="1">
                  <c:v>Project Outcome</c:v>
                </c:pt>
              </c:strCache>
            </c:strRef>
          </c:cat>
          <c:val>
            <c:numRef>
              <c:f>Analytics!$CB$28:$CB$29</c:f>
              <c:numCache>
                <c:formatCode>0%</c:formatCode>
                <c:ptCount val="2"/>
                <c:pt idx="0">
                  <c:v>-0.12853107344632769</c:v>
                </c:pt>
                <c:pt idx="1">
                  <c:v>-8.6158192090395477E-2</c:v>
                </c:pt>
              </c:numCache>
            </c:numRef>
          </c:val>
          <c:extLst>
            <c:ext xmlns:c16="http://schemas.microsoft.com/office/drawing/2014/chart" uri="{C3380CC4-5D6E-409C-BE32-E72D297353CC}">
              <c16:uniqueId val="{00000003-FA7C-4909-B50C-1404AA5E83DB}"/>
            </c:ext>
          </c:extLst>
        </c:ser>
        <c:ser>
          <c:idx val="4"/>
          <c:order val="4"/>
          <c:tx>
            <c:strRef>
              <c:f>Analytics!$CC$27</c:f>
              <c:strCache>
                <c:ptCount val="1"/>
                <c:pt idx="0">
                  <c:v>Unsatisfactory</c:v>
                </c:pt>
              </c:strCache>
            </c:strRef>
          </c:tx>
          <c:spPr>
            <a:solidFill>
              <a:srgbClr val="F69221"/>
            </a:solidFill>
            <a:ln>
              <a:noFill/>
            </a:ln>
            <a:effectLst/>
          </c:spPr>
          <c:invertIfNegative val="0"/>
          <c:cat>
            <c:strRef>
              <c:f>Analytics!$BX$28:$BX$29</c:f>
              <c:strCache>
                <c:ptCount val="2"/>
                <c:pt idx="0">
                  <c:v>Implement Progress</c:v>
                </c:pt>
                <c:pt idx="1">
                  <c:v>Project Outcome</c:v>
                </c:pt>
              </c:strCache>
            </c:strRef>
          </c:cat>
          <c:val>
            <c:numRef>
              <c:f>Analytics!$CC$28:$CC$29</c:f>
              <c:numCache>
                <c:formatCode>0%</c:formatCode>
                <c:ptCount val="2"/>
                <c:pt idx="0">
                  <c:v>-4.3785310734463276E-2</c:v>
                </c:pt>
                <c:pt idx="1">
                  <c:v>-3.2485875706214688E-2</c:v>
                </c:pt>
              </c:numCache>
            </c:numRef>
          </c:val>
          <c:extLst>
            <c:ext xmlns:c16="http://schemas.microsoft.com/office/drawing/2014/chart" uri="{C3380CC4-5D6E-409C-BE32-E72D297353CC}">
              <c16:uniqueId val="{00000004-FA7C-4909-B50C-1404AA5E83DB}"/>
            </c:ext>
          </c:extLst>
        </c:ser>
        <c:ser>
          <c:idx val="5"/>
          <c:order val="5"/>
          <c:tx>
            <c:strRef>
              <c:f>Analytics!$CD$27</c:f>
              <c:strCache>
                <c:ptCount val="1"/>
                <c:pt idx="0">
                  <c:v>Highly Unsatisfactory</c:v>
                </c:pt>
              </c:strCache>
            </c:strRef>
          </c:tx>
          <c:spPr>
            <a:solidFill>
              <a:srgbClr val="F35326"/>
            </a:solidFill>
            <a:ln>
              <a:noFill/>
            </a:ln>
            <a:effectLst/>
          </c:spPr>
          <c:invertIfNegative val="0"/>
          <c:cat>
            <c:strRef>
              <c:f>Analytics!$BX$28:$BX$29</c:f>
              <c:strCache>
                <c:ptCount val="2"/>
                <c:pt idx="0">
                  <c:v>Implement Progress</c:v>
                </c:pt>
                <c:pt idx="1">
                  <c:v>Project Outcome</c:v>
                </c:pt>
              </c:strCache>
            </c:strRef>
          </c:cat>
          <c:val>
            <c:numRef>
              <c:f>Analytics!$CD$28:$CD$29</c:f>
              <c:numCache>
                <c:formatCode>0%</c:formatCode>
                <c:ptCount val="2"/>
                <c:pt idx="0">
                  <c:v>-9.887005649717515E-3</c:v>
                </c:pt>
                <c:pt idx="1">
                  <c:v>-8.4745762711864406E-3</c:v>
                </c:pt>
              </c:numCache>
            </c:numRef>
          </c:val>
          <c:extLst>
            <c:ext xmlns:c16="http://schemas.microsoft.com/office/drawing/2014/chart" uri="{C3380CC4-5D6E-409C-BE32-E72D297353CC}">
              <c16:uniqueId val="{00000005-FA7C-4909-B50C-1404AA5E83DB}"/>
            </c:ext>
          </c:extLst>
        </c:ser>
        <c:dLbls>
          <c:showLegendKey val="0"/>
          <c:showVal val="0"/>
          <c:showCatName val="0"/>
          <c:showSerName val="0"/>
          <c:showPercent val="0"/>
          <c:showBubbleSize val="0"/>
        </c:dLbls>
        <c:gapWidth val="100"/>
        <c:overlap val="100"/>
        <c:axId val="2130065103"/>
        <c:axId val="1789373071"/>
      </c:barChart>
      <c:catAx>
        <c:axId val="2130065103"/>
        <c:scaling>
          <c:orientation val="minMax"/>
        </c:scaling>
        <c:delete val="1"/>
        <c:axPos val="l"/>
        <c:numFmt formatCode="General" sourceLinked="1"/>
        <c:majorTickMark val="none"/>
        <c:minorTickMark val="none"/>
        <c:tickLblPos val="nextTo"/>
        <c:crossAx val="1789373071"/>
        <c:crosses val="autoZero"/>
        <c:auto val="1"/>
        <c:lblAlgn val="ctr"/>
        <c:lblOffset val="100"/>
        <c:noMultiLvlLbl val="0"/>
      </c:catAx>
      <c:valAx>
        <c:axId val="1789373071"/>
        <c:scaling>
          <c:orientation val="minMax"/>
          <c:max val="0.9"/>
          <c:min val="-0.2"/>
        </c:scaling>
        <c:delete val="0"/>
        <c:axPos val="b"/>
        <c:majorGridlines>
          <c:spPr>
            <a:ln w="9525" cap="flat" cmpd="sng" algn="ctr">
              <a:no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130065103"/>
        <c:crosses val="autoZero"/>
        <c:crossBetween val="between"/>
      </c:valAx>
      <c:spPr>
        <a:noFill/>
        <a:ln>
          <a:noFill/>
        </a:ln>
        <a:effectLst/>
      </c:spPr>
    </c:plotArea>
    <c:legend>
      <c:legendPos val="b"/>
      <c:layout>
        <c:manualLayout>
          <c:xMode val="edge"/>
          <c:yMode val="edge"/>
          <c:x val="0.16186209399593077"/>
          <c:y val="0.82787401574803154"/>
          <c:w val="0.79426685505426342"/>
          <c:h val="0.1684616642852025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extLst/>
  </c:chart>
  <c:spPr>
    <a:solidFill>
      <a:schemeClr val="bg1"/>
    </a:solidFill>
    <a:ln w="9525" cap="flat" cmpd="sng" algn="ctr">
      <a:noFill/>
      <a:round/>
    </a:ln>
    <a:effectLst/>
  </c:spPr>
  <c:txPr>
    <a:bodyPr/>
    <a:lstStyle/>
    <a:p>
      <a:pPr>
        <a:defRPr sz="900"/>
      </a:pPr>
      <a:endParaRPr lang="fr-FR"/>
    </a:p>
  </c:txPr>
  <c:externalData r:id="rId4">
    <c:autoUpdate val="0"/>
  </c:externalData>
  <c:userShapes r:id="rId5"/>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5248072590162927"/>
          <c:y val="3.1361386632606222E-2"/>
          <c:w val="0.60331413150094026"/>
          <c:h val="0.86241019218871617"/>
        </c:manualLayout>
      </c:layout>
      <c:barChart>
        <c:barDir val="bar"/>
        <c:grouping val="clustered"/>
        <c:varyColors val="0"/>
        <c:ser>
          <c:idx val="0"/>
          <c:order val="0"/>
          <c:tx>
            <c:strRef>
              <c:f>Analytics!$CT$14</c:f>
              <c:strCache>
                <c:ptCount val="1"/>
                <c:pt idx="0">
                  <c:v>IP</c:v>
                </c:pt>
              </c:strCache>
            </c:strRef>
          </c:tx>
          <c:spPr>
            <a:solidFill>
              <a:srgbClr val="24AAE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fr-FR"/>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Analytics!$CU$13:$CZ$13</c:f>
              <c:strCache>
                <c:ptCount val="6"/>
                <c:pt idx="0">
                  <c:v>Multi Focal Area</c:v>
                </c:pt>
                <c:pt idx="1">
                  <c:v>Chemicals and Waste</c:v>
                </c:pt>
                <c:pt idx="2">
                  <c:v>International Waters</c:v>
                </c:pt>
                <c:pt idx="3">
                  <c:v>Land Degradation</c:v>
                </c:pt>
                <c:pt idx="4">
                  <c:v>Climate Change</c:v>
                </c:pt>
                <c:pt idx="5">
                  <c:v>Biodiversity</c:v>
                </c:pt>
              </c:strCache>
            </c:strRef>
          </c:cat>
          <c:val>
            <c:numRef>
              <c:f>Analytics!$CU$14:$CZ$14</c:f>
              <c:numCache>
                <c:formatCode>0%</c:formatCode>
                <c:ptCount val="6"/>
                <c:pt idx="0">
                  <c:v>0.84765625</c:v>
                </c:pt>
                <c:pt idx="1">
                  <c:v>0.90361445783132532</c:v>
                </c:pt>
                <c:pt idx="2">
                  <c:v>0.78048780487804881</c:v>
                </c:pt>
                <c:pt idx="3">
                  <c:v>0.7567567567567568</c:v>
                </c:pt>
                <c:pt idx="4">
                  <c:v>0.72839506172839508</c:v>
                </c:pt>
                <c:pt idx="5">
                  <c:v>0.84848484848484851</c:v>
                </c:pt>
              </c:numCache>
            </c:numRef>
          </c:val>
          <c:extLst>
            <c:ext xmlns:c16="http://schemas.microsoft.com/office/drawing/2014/chart" uri="{C3380CC4-5D6E-409C-BE32-E72D297353CC}">
              <c16:uniqueId val="{00000000-90D8-4226-AD49-00C961560524}"/>
            </c:ext>
          </c:extLst>
        </c:ser>
        <c:dLbls>
          <c:showLegendKey val="0"/>
          <c:showVal val="0"/>
          <c:showCatName val="0"/>
          <c:showSerName val="0"/>
          <c:showPercent val="0"/>
          <c:showBubbleSize val="0"/>
        </c:dLbls>
        <c:gapWidth val="67"/>
        <c:axId val="752773711"/>
        <c:axId val="452772607"/>
      </c:barChart>
      <c:catAx>
        <c:axId val="7527737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452772607"/>
        <c:crosses val="autoZero"/>
        <c:auto val="1"/>
        <c:lblAlgn val="ctr"/>
        <c:lblOffset val="100"/>
        <c:noMultiLvlLbl val="0"/>
      </c:catAx>
      <c:valAx>
        <c:axId val="452772607"/>
        <c:scaling>
          <c:orientation val="minMax"/>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fr-FR"/>
          </a:p>
        </c:txPr>
        <c:crossAx val="752773711"/>
        <c:crosses val="autoZero"/>
        <c:crossBetween val="between"/>
      </c:valAx>
      <c:spPr>
        <a:noFill/>
        <a:ln>
          <a:noFill/>
        </a:ln>
        <a:effectLst/>
      </c:spPr>
    </c:plotArea>
    <c:plotVisOnly val="1"/>
    <c:dispBlanksAs val="gap"/>
    <c:showDLblsOverMax val="0"/>
    <c:extLst/>
  </c:chart>
  <c:spPr>
    <a:solidFill>
      <a:schemeClr val="bg1"/>
    </a:solidFill>
    <a:ln w="9525" cap="flat" cmpd="sng" algn="ctr">
      <a:noFill/>
      <a:round/>
    </a:ln>
    <a:effectLst/>
  </c:spPr>
  <c:txPr>
    <a:bodyPr/>
    <a:lstStyle/>
    <a:p>
      <a:pPr>
        <a:defRPr/>
      </a:pPr>
      <a:endParaRPr lang="fr-FR"/>
    </a:p>
  </c:txPr>
  <c:externalData r:id="rId4">
    <c:autoUpdate val="0"/>
  </c:externalData>
  <c:userShapes r:id="rId5"/>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5045979554324673E-2"/>
          <c:y val="4.1658802547873561E-2"/>
          <c:w val="0.85150911807199958"/>
          <c:h val="0.89041085520904084"/>
        </c:manualLayout>
      </c:layout>
      <c:barChart>
        <c:barDir val="bar"/>
        <c:grouping val="clustered"/>
        <c:varyColors val="0"/>
        <c:ser>
          <c:idx val="0"/>
          <c:order val="0"/>
          <c:tx>
            <c:strRef>
              <c:f>Analytics!$CT$15</c:f>
              <c:strCache>
                <c:ptCount val="1"/>
                <c:pt idx="0">
                  <c:v>DO</c:v>
                </c:pt>
              </c:strCache>
            </c:strRef>
          </c:tx>
          <c:spPr>
            <a:solidFill>
              <a:srgbClr val="07B7A9"/>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fr-FR"/>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Analytics!$CU$15:$CZ$15</c:f>
              <c:numCache>
                <c:formatCode>0%</c:formatCode>
                <c:ptCount val="6"/>
                <c:pt idx="0">
                  <c:v>0.8754863813229572</c:v>
                </c:pt>
                <c:pt idx="1">
                  <c:v>0.93975903614457834</c:v>
                </c:pt>
                <c:pt idx="2">
                  <c:v>0.90243902439024393</c:v>
                </c:pt>
                <c:pt idx="3">
                  <c:v>0.77777777777777779</c:v>
                </c:pt>
                <c:pt idx="4">
                  <c:v>0.83018867924528306</c:v>
                </c:pt>
                <c:pt idx="5">
                  <c:v>0.89393939393939392</c:v>
                </c:pt>
              </c:numCache>
            </c:numRef>
          </c:val>
          <c:extLst>
            <c:ext xmlns:c16="http://schemas.microsoft.com/office/drawing/2014/chart" uri="{C3380CC4-5D6E-409C-BE32-E72D297353CC}">
              <c16:uniqueId val="{00000000-3FE7-40A5-AFE8-656FABF6A10D}"/>
            </c:ext>
          </c:extLst>
        </c:ser>
        <c:dLbls>
          <c:showLegendKey val="0"/>
          <c:showVal val="0"/>
          <c:showCatName val="0"/>
          <c:showSerName val="0"/>
          <c:showPercent val="0"/>
          <c:showBubbleSize val="0"/>
        </c:dLbls>
        <c:gapWidth val="67"/>
        <c:axId val="752773711"/>
        <c:axId val="452772607"/>
      </c:barChart>
      <c:catAx>
        <c:axId val="7527737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noFill/>
                <a:latin typeface="+mn-lt"/>
                <a:ea typeface="+mn-ea"/>
                <a:cs typeface="+mn-cs"/>
              </a:defRPr>
            </a:pPr>
            <a:endParaRPr lang="fr-FR"/>
          </a:p>
        </c:txPr>
        <c:crossAx val="452772607"/>
        <c:crosses val="autoZero"/>
        <c:auto val="1"/>
        <c:lblAlgn val="ctr"/>
        <c:lblOffset val="100"/>
        <c:noMultiLvlLbl val="0"/>
      </c:catAx>
      <c:valAx>
        <c:axId val="452772607"/>
        <c:scaling>
          <c:orientation val="minMax"/>
          <c:max val="1"/>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fr-FR"/>
          </a:p>
        </c:txPr>
        <c:crossAx val="752773711"/>
        <c:crosses val="autoZero"/>
        <c:crossBetween val="between"/>
      </c:valAx>
      <c:spPr>
        <a:noFill/>
        <a:ln>
          <a:noFill/>
        </a:ln>
        <a:effectLst/>
      </c:spPr>
    </c:plotArea>
    <c:plotVisOnly val="1"/>
    <c:dispBlanksAs val="gap"/>
    <c:showDLblsOverMax val="0"/>
    <c:extLst/>
  </c:chart>
  <c:spPr>
    <a:noFill/>
    <a:ln w="9525" cap="flat" cmpd="sng" algn="ctr">
      <a:noFill/>
      <a:round/>
    </a:ln>
    <a:effectLst/>
  </c:spPr>
  <c:txPr>
    <a:bodyPr/>
    <a:lstStyle/>
    <a:p>
      <a:pPr>
        <a:defRPr/>
      </a:pPr>
      <a:endParaRPr lang="fr-FR"/>
    </a:p>
  </c:txPr>
  <c:externalData r:id="rId4">
    <c:autoUpdate val="0"/>
  </c:externalData>
  <c:userShapes r:id="rId5"/>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793937522515568"/>
          <c:y val="0"/>
          <c:w val="0.86809548316264384"/>
          <c:h val="0.59300977144206968"/>
        </c:manualLayout>
      </c:layout>
      <c:barChart>
        <c:barDir val="col"/>
        <c:grouping val="clustered"/>
        <c:varyColors val="0"/>
        <c:ser>
          <c:idx val="0"/>
          <c:order val="0"/>
          <c:tx>
            <c:strRef>
              <c:f>Sheet1!$G$4</c:f>
              <c:strCache>
                <c:ptCount val="1"/>
                <c:pt idx="0">
                  <c:v>Co-financing ratio</c:v>
                </c:pt>
              </c:strCache>
            </c:strRef>
          </c:tx>
          <c:spPr>
            <a:solidFill>
              <a:srgbClr val="008C99"/>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Sheet1!$F$5:$F$11</c:f>
              <c:strCache>
                <c:ptCount val="7"/>
                <c:pt idx="0">
                  <c:v>Biodiversity-funded project</c:v>
                </c:pt>
                <c:pt idx="1">
                  <c:v>Biodiversity FA</c:v>
                </c:pt>
                <c:pt idx="2">
                  <c:v>Chemicals and Waste</c:v>
                </c:pt>
                <c:pt idx="3">
                  <c:v>Climate Change</c:v>
                </c:pt>
                <c:pt idx="4">
                  <c:v>International Waters</c:v>
                </c:pt>
                <c:pt idx="5">
                  <c:v>Land Degradation</c:v>
                </c:pt>
                <c:pt idx="6">
                  <c:v>Multi Focal Area</c:v>
                </c:pt>
              </c:strCache>
            </c:strRef>
          </c:cat>
          <c:val>
            <c:numRef>
              <c:f>Sheet1!$G$5:$G$11</c:f>
              <c:numCache>
                <c:formatCode>0.0</c:formatCode>
                <c:ptCount val="7"/>
                <c:pt idx="0">
                  <c:v>7.1796622138286708</c:v>
                </c:pt>
                <c:pt idx="1">
                  <c:v>5.0640691330784531</c:v>
                </c:pt>
                <c:pt idx="2">
                  <c:v>6.6858151902406924</c:v>
                </c:pt>
                <c:pt idx="3">
                  <c:v>8.1691525325577725</c:v>
                </c:pt>
                <c:pt idx="4">
                  <c:v>13.853946875698391</c:v>
                </c:pt>
                <c:pt idx="5">
                  <c:v>7.7236609750241678</c:v>
                </c:pt>
                <c:pt idx="6">
                  <c:v>7.2884876269621524</c:v>
                </c:pt>
              </c:numCache>
            </c:numRef>
          </c:val>
          <c:extLst>
            <c:ext xmlns:c16="http://schemas.microsoft.com/office/drawing/2014/chart" uri="{C3380CC4-5D6E-409C-BE32-E72D297353CC}">
              <c16:uniqueId val="{00000000-69C1-4AD5-BFD8-7D565A260AE0}"/>
            </c:ext>
          </c:extLst>
        </c:ser>
        <c:dLbls>
          <c:showLegendKey val="0"/>
          <c:showVal val="0"/>
          <c:showCatName val="0"/>
          <c:showSerName val="0"/>
          <c:showPercent val="0"/>
          <c:showBubbleSize val="0"/>
        </c:dLbls>
        <c:gapWidth val="219"/>
        <c:overlap val="-27"/>
        <c:axId val="271906575"/>
        <c:axId val="1940588831"/>
      </c:barChart>
      <c:catAx>
        <c:axId val="2719065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940588831"/>
        <c:crosses val="autoZero"/>
        <c:auto val="1"/>
        <c:lblAlgn val="ctr"/>
        <c:lblOffset val="100"/>
        <c:noMultiLvlLbl val="0"/>
      </c:catAx>
      <c:valAx>
        <c:axId val="1940588831"/>
        <c:scaling>
          <c:orientation val="minMax"/>
        </c:scaling>
        <c:delete val="1"/>
        <c:axPos val="l"/>
        <c:numFmt formatCode="0.0" sourceLinked="1"/>
        <c:majorTickMark val="none"/>
        <c:minorTickMark val="none"/>
        <c:tickLblPos val="nextTo"/>
        <c:crossAx val="27190657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rot="-5400000" vert="horz"/>
    <a:lstStyle/>
    <a:p>
      <a:pPr>
        <a:defRPr/>
      </a:pPr>
      <a:endParaRPr lang="fr-FR"/>
    </a:p>
  </c:txPr>
  <c:externalData r:id="rId4">
    <c:autoUpdate val="0"/>
  </c:externalData>
  <c:userShapes r:id="rId5"/>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6980623007113073E-2"/>
          <c:y val="4.6034735300272023E-2"/>
          <c:w val="0.96809507531205397"/>
          <c:h val="0.697260488389987"/>
        </c:manualLayout>
      </c:layout>
      <c:barChart>
        <c:barDir val="col"/>
        <c:grouping val="percentStacked"/>
        <c:varyColors val="0"/>
        <c:ser>
          <c:idx val="0"/>
          <c:order val="0"/>
          <c:tx>
            <c:strRef>
              <c:f>'6. Rio Markers'!$D$14</c:f>
              <c:strCache>
                <c:ptCount val="1"/>
                <c:pt idx="0">
                  <c:v>Principal or signficant objective</c:v>
                </c:pt>
              </c:strCache>
            </c:strRef>
          </c:tx>
          <c:spPr>
            <a:solidFill>
              <a:schemeClr val="accent1">
                <a:lumMod val="60000"/>
                <a:lumOff val="40000"/>
              </a:schemeClr>
            </a:solidFill>
            <a:ln>
              <a:noFill/>
            </a:ln>
            <a:effectLst/>
          </c:spPr>
          <c:invertIfNegative val="0"/>
          <c:dPt>
            <c:idx val="0"/>
            <c:invertIfNegative val="0"/>
            <c:bubble3D val="0"/>
            <c:spPr>
              <a:solidFill>
                <a:schemeClr val="accent2"/>
              </a:solidFill>
              <a:ln>
                <a:noFill/>
              </a:ln>
              <a:effectLst/>
            </c:spPr>
            <c:extLst>
              <c:ext xmlns:c16="http://schemas.microsoft.com/office/drawing/2014/chart" uri="{C3380CC4-5D6E-409C-BE32-E72D297353CC}">
                <c16:uniqueId val="{00000001-C70D-4460-87FD-6EAD361295DA}"/>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C70D-4460-87FD-6EAD361295DA}"/>
              </c:ext>
            </c:extLst>
          </c:dPt>
          <c:dPt>
            <c:idx val="2"/>
            <c:invertIfNegative val="0"/>
            <c:bubble3D val="0"/>
            <c:spPr>
              <a:solidFill>
                <a:schemeClr val="accent2"/>
              </a:solidFill>
              <a:ln>
                <a:noFill/>
              </a:ln>
              <a:effectLst/>
            </c:spPr>
            <c:extLst>
              <c:ext xmlns:c16="http://schemas.microsoft.com/office/drawing/2014/chart" uri="{C3380CC4-5D6E-409C-BE32-E72D297353CC}">
                <c16:uniqueId val="{00000005-C70D-4460-87FD-6EAD361295DA}"/>
              </c:ext>
            </c:extLst>
          </c:dPt>
          <c:dPt>
            <c:idx val="3"/>
            <c:invertIfNegative val="0"/>
            <c:bubble3D val="0"/>
            <c:spPr>
              <a:solidFill>
                <a:schemeClr val="accent6"/>
              </a:solidFill>
              <a:ln>
                <a:noFill/>
              </a:ln>
              <a:effectLst/>
            </c:spPr>
            <c:extLst>
              <c:ext xmlns:c16="http://schemas.microsoft.com/office/drawing/2014/chart" uri="{C3380CC4-5D6E-409C-BE32-E72D297353CC}">
                <c16:uniqueId val="{00000007-C70D-4460-87FD-6EAD361295DA}"/>
              </c:ext>
            </c:extLst>
          </c:dPt>
          <c:dPt>
            <c:idx val="4"/>
            <c:invertIfNegative val="0"/>
            <c:bubble3D val="0"/>
            <c:spPr>
              <a:solidFill>
                <a:schemeClr val="bg2">
                  <a:lumMod val="50000"/>
                </a:schemeClr>
              </a:solidFill>
              <a:ln>
                <a:noFill/>
              </a:ln>
              <a:effectLst/>
            </c:spPr>
            <c:extLst>
              <c:ext xmlns:c16="http://schemas.microsoft.com/office/drawing/2014/chart" uri="{C3380CC4-5D6E-409C-BE32-E72D297353CC}">
                <c16:uniqueId val="{00000009-C70D-4460-87FD-6EAD361295DA}"/>
              </c:ext>
            </c:extLst>
          </c:dPt>
          <c:dLbls>
            <c:dLbl>
              <c:idx val="0"/>
              <c:layout>
                <c:manualLayout>
                  <c:x val="0"/>
                  <c:y val="-0.2900241048023422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70D-4460-87FD-6EAD361295DA}"/>
                </c:ext>
              </c:extLst>
            </c:dLbl>
            <c:dLbl>
              <c:idx val="1"/>
              <c:layout>
                <c:manualLayout>
                  <c:x val="0"/>
                  <c:y val="-0.3232771986364227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70D-4460-87FD-6EAD361295DA}"/>
                </c:ext>
              </c:extLst>
            </c:dLbl>
            <c:dLbl>
              <c:idx val="2"/>
              <c:layout>
                <c:manualLayout>
                  <c:x val="2.4527839097375523E-3"/>
                  <c:y val="-0.3324268082308920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70D-4460-87FD-6EAD361295DA}"/>
                </c:ext>
              </c:extLst>
            </c:dLbl>
            <c:dLbl>
              <c:idx val="3"/>
              <c:layout>
                <c:manualLayout>
                  <c:x val="-8.9934371094180968E-17"/>
                  <c:y val="-0.3169183418927624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70D-4460-87FD-6EAD361295DA}"/>
                </c:ext>
              </c:extLst>
            </c:dLbl>
            <c:dLbl>
              <c:idx val="4"/>
              <c:layout>
                <c:manualLayout>
                  <c:x val="0"/>
                  <c:y val="-0.2627841952900896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C70D-4460-87FD-6EAD361295DA}"/>
                </c:ext>
              </c:extLst>
            </c:dLbl>
            <c:spPr>
              <a:noFill/>
              <a:ln>
                <a:noFill/>
              </a:ln>
              <a:effectLst/>
            </c:spPr>
            <c:txPr>
              <a:bodyPr rot="0" spcFirstLastPara="1" vertOverflow="ellipsis" vert="horz" wrap="square" anchor="ctr" anchorCtr="1"/>
              <a:lstStyle/>
              <a:p>
                <a:pPr>
                  <a:defRPr sz="1000" b="1" i="0" u="none" strike="noStrike" kern="1200" baseline="0">
                    <a:solidFill>
                      <a:schemeClr val="tx1">
                        <a:lumMod val="75000"/>
                        <a:lumOff val="25000"/>
                      </a:schemeClr>
                    </a:solidFill>
                    <a:latin typeface="+mn-lt"/>
                    <a:ea typeface="+mn-ea"/>
                    <a:cs typeface="+mn-cs"/>
                  </a:defRPr>
                </a:pPr>
                <a:endParaRPr lang="fr-FR"/>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'6. Rio Markers'!$A$15:$A$19</c:f>
              <c:strCache>
                <c:ptCount val="5"/>
                <c:pt idx="0">
                  <c:v>Climate Change Adaptation</c:v>
                </c:pt>
                <c:pt idx="1">
                  <c:v>Cimate Change Mitigation</c:v>
                </c:pt>
                <c:pt idx="2">
                  <c:v>Climated Change-related</c:v>
                </c:pt>
                <c:pt idx="3">
                  <c:v>Biodiversity</c:v>
                </c:pt>
                <c:pt idx="4">
                  <c:v>Land Restoration</c:v>
                </c:pt>
              </c:strCache>
            </c:strRef>
          </c:cat>
          <c:val>
            <c:numRef>
              <c:f>'6. Rio Markers'!$D$15:$D$19</c:f>
              <c:numCache>
                <c:formatCode>0%</c:formatCode>
                <c:ptCount val="5"/>
                <c:pt idx="0">
                  <c:v>0.75510091594374917</c:v>
                </c:pt>
                <c:pt idx="1">
                  <c:v>0.83847872625839404</c:v>
                </c:pt>
                <c:pt idx="2">
                  <c:v>0.87672737150225566</c:v>
                </c:pt>
                <c:pt idx="3">
                  <c:v>0.83224306207969112</c:v>
                </c:pt>
                <c:pt idx="4">
                  <c:v>0.67696674741395058</c:v>
                </c:pt>
              </c:numCache>
            </c:numRef>
          </c:val>
          <c:extLst>
            <c:ext xmlns:c16="http://schemas.microsoft.com/office/drawing/2014/chart" uri="{C3380CC4-5D6E-409C-BE32-E72D297353CC}">
              <c16:uniqueId val="{0000000A-C70D-4460-87FD-6EAD361295DA}"/>
            </c:ext>
          </c:extLst>
        </c:ser>
        <c:ser>
          <c:idx val="1"/>
          <c:order val="1"/>
          <c:tx>
            <c:strRef>
              <c:f>'6. Rio Markers'!$E$14</c:f>
              <c:strCache>
                <c:ptCount val="1"/>
                <c:pt idx="0">
                  <c:v>Other</c:v>
                </c:pt>
              </c:strCache>
            </c:strRef>
          </c:tx>
          <c:spPr>
            <a:noFill/>
            <a:ln>
              <a:noFill/>
            </a:ln>
            <a:effectLst/>
          </c:spPr>
          <c:invertIfNegative val="0"/>
          <c:cat>
            <c:strRef>
              <c:f>'6. Rio Markers'!$A$15:$A$19</c:f>
              <c:strCache>
                <c:ptCount val="5"/>
                <c:pt idx="0">
                  <c:v>Climate Change Adaptation</c:v>
                </c:pt>
                <c:pt idx="1">
                  <c:v>Cimate Change Mitigation</c:v>
                </c:pt>
                <c:pt idx="2">
                  <c:v>Climated Change-related</c:v>
                </c:pt>
                <c:pt idx="3">
                  <c:v>Biodiversity</c:v>
                </c:pt>
                <c:pt idx="4">
                  <c:v>Land Restoration</c:v>
                </c:pt>
              </c:strCache>
            </c:strRef>
          </c:cat>
          <c:val>
            <c:numRef>
              <c:f>'6. Rio Markers'!$E$15:$E$19</c:f>
              <c:numCache>
                <c:formatCode>0%</c:formatCode>
                <c:ptCount val="5"/>
                <c:pt idx="0">
                  <c:v>0.24489908405625083</c:v>
                </c:pt>
                <c:pt idx="1">
                  <c:v>0.16152127374160596</c:v>
                </c:pt>
                <c:pt idx="2">
                  <c:v>0.12327262849774434</c:v>
                </c:pt>
                <c:pt idx="3">
                  <c:v>0.16775693792030888</c:v>
                </c:pt>
                <c:pt idx="4">
                  <c:v>0.32303325258604942</c:v>
                </c:pt>
              </c:numCache>
            </c:numRef>
          </c:val>
          <c:extLst>
            <c:ext xmlns:c16="http://schemas.microsoft.com/office/drawing/2014/chart" uri="{C3380CC4-5D6E-409C-BE32-E72D297353CC}">
              <c16:uniqueId val="{0000000B-C70D-4460-87FD-6EAD361295DA}"/>
            </c:ext>
          </c:extLst>
        </c:ser>
        <c:dLbls>
          <c:showLegendKey val="0"/>
          <c:showVal val="0"/>
          <c:showCatName val="0"/>
          <c:showSerName val="0"/>
          <c:showPercent val="0"/>
          <c:showBubbleSize val="0"/>
        </c:dLbls>
        <c:gapWidth val="150"/>
        <c:overlap val="100"/>
        <c:axId val="598950847"/>
        <c:axId val="11538543"/>
      </c:barChart>
      <c:catAx>
        <c:axId val="5989508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crossAx val="11538543"/>
        <c:crosses val="autoZero"/>
        <c:auto val="1"/>
        <c:lblAlgn val="ctr"/>
        <c:lblOffset val="100"/>
        <c:noMultiLvlLbl val="0"/>
      </c:catAx>
      <c:valAx>
        <c:axId val="11538543"/>
        <c:scaling>
          <c:orientation val="minMax"/>
        </c:scaling>
        <c:delete val="1"/>
        <c:axPos val="l"/>
        <c:numFmt formatCode="0%" sourceLinked="1"/>
        <c:majorTickMark val="none"/>
        <c:minorTickMark val="none"/>
        <c:tickLblPos val="nextTo"/>
        <c:crossAx val="598950847"/>
        <c:crosses val="autoZero"/>
        <c:crossBetween val="between"/>
        <c:majorUnit val="0.25"/>
      </c:valAx>
      <c:spPr>
        <a:noFill/>
        <a:ln>
          <a:noFill/>
        </a:ln>
        <a:effectLst/>
      </c:spPr>
    </c:plotArea>
    <c:legend>
      <c:legendPos val="b"/>
      <c:legendEntry>
        <c:idx val="1"/>
        <c:delete val="1"/>
      </c:legendEntry>
      <c:layout>
        <c:manualLayout>
          <c:xMode val="edge"/>
          <c:yMode val="edge"/>
          <c:x val="0.14485118168175998"/>
          <c:y val="0.89921358700218967"/>
          <c:w val="0.40615243182902355"/>
          <c:h val="7.5676557379480106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000"/>
      </a:pPr>
      <a:endParaRPr lang="fr-FR"/>
    </a:p>
  </c:txPr>
  <c:externalData r:id="rId4">
    <c:autoUpdate val="0"/>
  </c:externalData>
  <c:userShapes r:id="rId5"/>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0.012</cdr:x>
      <cdr:y>0.16422</cdr:y>
    </cdr:from>
    <cdr:to>
      <cdr:x>0.23179</cdr:x>
      <cdr:y>0.25831</cdr:y>
    </cdr:to>
    <cdr:sp macro="" textlink="">
      <cdr:nvSpPr>
        <cdr:cNvPr id="2" name="Rectangle 1">
          <a:extLst xmlns:a="http://schemas.openxmlformats.org/drawingml/2006/main">
            <a:ext uri="{FF2B5EF4-FFF2-40B4-BE49-F238E27FC236}">
              <a16:creationId xmlns:a16="http://schemas.microsoft.com/office/drawing/2014/main" id="{59F79609-8043-472B-A317-EEE0102AB0CB}"/>
            </a:ext>
          </a:extLst>
        </cdr:cNvPr>
        <cdr:cNvSpPr/>
      </cdr:nvSpPr>
      <cdr:spPr>
        <a:xfrm xmlns:a="http://schemas.openxmlformats.org/drawingml/2006/main">
          <a:off x="77376" y="450257"/>
          <a:ext cx="1417757" cy="25794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1000" b="1">
              <a:solidFill>
                <a:schemeClr val="tx1">
                  <a:lumMod val="65000"/>
                  <a:lumOff val="35000"/>
                </a:schemeClr>
              </a:solidFill>
            </a:rPr>
            <a:t>Outcome</a:t>
          </a:r>
        </a:p>
      </cdr:txBody>
    </cdr:sp>
  </cdr:relSizeAnchor>
  <cdr:relSizeAnchor xmlns:cdr="http://schemas.openxmlformats.org/drawingml/2006/chartDrawing">
    <cdr:from>
      <cdr:x>0.01068</cdr:x>
      <cdr:y>0.38797</cdr:y>
    </cdr:from>
    <cdr:to>
      <cdr:x>0.20415</cdr:x>
      <cdr:y>0.54508</cdr:y>
    </cdr:to>
    <cdr:sp macro="" textlink="">
      <cdr:nvSpPr>
        <cdr:cNvPr id="3" name="Rectangle 2">
          <a:extLst xmlns:a="http://schemas.openxmlformats.org/drawingml/2006/main">
            <a:ext uri="{FF2B5EF4-FFF2-40B4-BE49-F238E27FC236}">
              <a16:creationId xmlns:a16="http://schemas.microsoft.com/office/drawing/2014/main" id="{D68D1B71-F654-423A-925A-7DE03A85A2FE}"/>
            </a:ext>
          </a:extLst>
        </cdr:cNvPr>
        <cdr:cNvSpPr/>
      </cdr:nvSpPr>
      <cdr:spPr>
        <a:xfrm xmlns:a="http://schemas.openxmlformats.org/drawingml/2006/main">
          <a:off x="68886" y="1063704"/>
          <a:ext cx="1247966" cy="43073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1">
              <a:solidFill>
                <a:schemeClr val="tx1">
                  <a:lumMod val="65000"/>
                  <a:lumOff val="35000"/>
                </a:schemeClr>
              </a:solidFill>
            </a:rPr>
            <a:t>Implementation Progress</a:t>
          </a:r>
        </a:p>
      </cdr:txBody>
    </cdr:sp>
  </cdr:relSizeAnchor>
  <cdr:relSizeAnchor xmlns:cdr="http://schemas.openxmlformats.org/drawingml/2006/chartDrawing">
    <cdr:from>
      <cdr:x>0.32361</cdr:x>
      <cdr:y>0.13371</cdr:y>
    </cdr:from>
    <cdr:to>
      <cdr:x>0.3245</cdr:x>
      <cdr:y>0.6324</cdr:y>
    </cdr:to>
    <cdr:cxnSp macro="">
      <cdr:nvCxnSpPr>
        <cdr:cNvPr id="6" name="Straight Connector 5">
          <a:extLst xmlns:a="http://schemas.openxmlformats.org/drawingml/2006/main">
            <a:ext uri="{FF2B5EF4-FFF2-40B4-BE49-F238E27FC236}">
              <a16:creationId xmlns:a16="http://schemas.microsoft.com/office/drawing/2014/main" id="{6EBCA568-4393-4C8E-8B7B-1D174AA94248}"/>
            </a:ext>
          </a:extLst>
        </cdr:cNvPr>
        <cdr:cNvCxnSpPr/>
      </cdr:nvCxnSpPr>
      <cdr:spPr>
        <a:xfrm xmlns:a="http://schemas.openxmlformats.org/drawingml/2006/main" flipH="1">
          <a:off x="1969645" y="267444"/>
          <a:ext cx="5417" cy="997505"/>
        </a:xfrm>
        <a:prstGeom xmlns:a="http://schemas.openxmlformats.org/drawingml/2006/main" prst="line">
          <a:avLst/>
        </a:prstGeom>
        <a:ln xmlns:a="http://schemas.openxmlformats.org/drawingml/2006/main" w="19050">
          <a:solidFill>
            <a:schemeClr val="tx1">
              <a:lumMod val="65000"/>
              <a:lumOff val="35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0.79251</cdr:x>
      <cdr:y>0.02763</cdr:y>
    </cdr:from>
    <cdr:to>
      <cdr:x>1</cdr:x>
      <cdr:y>0.13385</cdr:y>
    </cdr:to>
    <cdr:sp macro="" textlink="">
      <cdr:nvSpPr>
        <cdr:cNvPr id="7" name="Rectangle 6">
          <a:extLst xmlns:a="http://schemas.openxmlformats.org/drawingml/2006/main">
            <a:ext uri="{FF2B5EF4-FFF2-40B4-BE49-F238E27FC236}">
              <a16:creationId xmlns:a16="http://schemas.microsoft.com/office/drawing/2014/main" id="{375A2239-902B-4C4D-A168-2637F69CCA41}"/>
            </a:ext>
          </a:extLst>
        </cdr:cNvPr>
        <cdr:cNvSpPr/>
      </cdr:nvSpPr>
      <cdr:spPr>
        <a:xfrm xmlns:a="http://schemas.openxmlformats.org/drawingml/2006/main">
          <a:off x="5097775" y="75068"/>
          <a:ext cx="1334655" cy="28863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50" b="0" i="1">
              <a:solidFill>
                <a:schemeClr val="tx1">
                  <a:lumMod val="65000"/>
                  <a:lumOff val="35000"/>
                </a:schemeClr>
              </a:solidFill>
            </a:rPr>
            <a:t>Projects rated (%)</a:t>
          </a:r>
        </a:p>
      </cdr:txBody>
    </cdr:sp>
  </cdr:relSizeAnchor>
</c:userShapes>
</file>

<file path=word/drawings/drawing2.xml><?xml version="1.0" encoding="utf-8"?>
<c:userShapes xmlns:c="http://schemas.openxmlformats.org/drawingml/2006/chart">
  <cdr:relSizeAnchor xmlns:cdr="http://schemas.openxmlformats.org/drawingml/2006/chartDrawing">
    <cdr:from>
      <cdr:x>0.39381</cdr:x>
      <cdr:y>0.85021</cdr:y>
    </cdr:from>
    <cdr:to>
      <cdr:x>0.96885</cdr:x>
      <cdr:y>0.97095</cdr:y>
    </cdr:to>
    <cdr:sp macro="" textlink="">
      <cdr:nvSpPr>
        <cdr:cNvPr id="6" name="Rectangle 5">
          <a:extLst xmlns:a="http://schemas.openxmlformats.org/drawingml/2006/main">
            <a:ext uri="{FF2B5EF4-FFF2-40B4-BE49-F238E27FC236}">
              <a16:creationId xmlns:a16="http://schemas.microsoft.com/office/drawing/2014/main" id="{1551662F-7072-465B-9398-5DE1BB3A9786}"/>
            </a:ext>
          </a:extLst>
        </cdr:cNvPr>
        <cdr:cNvSpPr/>
      </cdr:nvSpPr>
      <cdr:spPr>
        <a:xfrm xmlns:a="http://schemas.openxmlformats.org/drawingml/2006/main">
          <a:off x="1023042" y="1530036"/>
          <a:ext cx="1493821" cy="217283"/>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900" b="1">
              <a:solidFill>
                <a:schemeClr val="tx1">
                  <a:lumMod val="65000"/>
                  <a:lumOff val="35000"/>
                </a:schemeClr>
              </a:solidFill>
            </a:rPr>
            <a:t>Implementation Progress</a:t>
          </a:r>
        </a:p>
      </cdr:txBody>
    </cdr:sp>
  </cdr:relSizeAnchor>
</c:userShapes>
</file>

<file path=word/drawings/drawing3.xml><?xml version="1.0" encoding="utf-8"?>
<c:userShapes xmlns:c="http://schemas.openxmlformats.org/drawingml/2006/chart">
  <cdr:relSizeAnchor xmlns:cdr="http://schemas.openxmlformats.org/drawingml/2006/chartDrawing">
    <cdr:from>
      <cdr:x>0.08339</cdr:x>
      <cdr:y>0.84626</cdr:y>
    </cdr:from>
    <cdr:to>
      <cdr:x>1</cdr:x>
      <cdr:y>0.96355</cdr:y>
    </cdr:to>
    <cdr:sp macro="" textlink="">
      <cdr:nvSpPr>
        <cdr:cNvPr id="2" name="Rectangle 1">
          <a:extLst xmlns:a="http://schemas.openxmlformats.org/drawingml/2006/main">
            <a:ext uri="{FF2B5EF4-FFF2-40B4-BE49-F238E27FC236}">
              <a16:creationId xmlns:a16="http://schemas.microsoft.com/office/drawing/2014/main" id="{CC0CA6B4-528E-42F2-86A4-6B68F3512AAC}"/>
            </a:ext>
          </a:extLst>
        </cdr:cNvPr>
        <cdr:cNvSpPr/>
      </cdr:nvSpPr>
      <cdr:spPr>
        <a:xfrm xmlns:a="http://schemas.openxmlformats.org/drawingml/2006/main">
          <a:off x="175846" y="1532056"/>
          <a:ext cx="1932989" cy="21233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noAutofit/>
        </a:bodyPr>
        <a:lstStyle xmlns:a="http://schemas.openxmlformats.org/drawingml/2006/main"/>
        <a:p xmlns:a="http://schemas.openxmlformats.org/drawingml/2006/main">
          <a:pPr marL="360045" marR="0" indent="-360045">
            <a:lnSpc>
              <a:spcPct val="115000"/>
            </a:lnSpc>
            <a:spcBef>
              <a:spcPts val="1800"/>
            </a:spcBef>
            <a:spcAft>
              <a:spcPts val="1000"/>
            </a:spcAft>
          </a:pPr>
          <a:r>
            <a:rPr lang="en-US" sz="900" b="1">
              <a:solidFill>
                <a:srgbClr val="595959"/>
              </a:solidFill>
              <a:effectLst/>
              <a:ea typeface="Calibri" panose="020F0502020204030204" pitchFamily="34" charset="0"/>
              <a:cs typeface="Arial" panose="020B0604020202020204" pitchFamily="34" charset="0"/>
            </a:rPr>
            <a:t>Outcome</a:t>
          </a:r>
          <a:endParaRPr lang="en-US" sz="1100">
            <a:effectLst/>
            <a:latin typeface="Times New Roman" panose="02020603050405020304" pitchFamily="18" charset="0"/>
            <a:ea typeface="Calibri" panose="020F0502020204030204" pitchFamily="34"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0.35312</cdr:x>
      <cdr:y>0.03113</cdr:y>
    </cdr:from>
    <cdr:to>
      <cdr:x>0.3546</cdr:x>
      <cdr:y>0.95331</cdr:y>
    </cdr:to>
    <cdr:cxnSp macro="">
      <cdr:nvCxnSpPr>
        <cdr:cNvPr id="3" name="Straight Connector 2">
          <a:extLst xmlns:a="http://schemas.openxmlformats.org/drawingml/2006/main">
            <a:ext uri="{FF2B5EF4-FFF2-40B4-BE49-F238E27FC236}">
              <a16:creationId xmlns:a16="http://schemas.microsoft.com/office/drawing/2014/main" id="{C7119A32-2AFB-B988-8917-91975347F723}"/>
            </a:ext>
          </a:extLst>
        </cdr:cNvPr>
        <cdr:cNvCxnSpPr/>
      </cdr:nvCxnSpPr>
      <cdr:spPr>
        <a:xfrm xmlns:a="http://schemas.openxmlformats.org/drawingml/2006/main" flipH="1">
          <a:off x="1511300" y="101600"/>
          <a:ext cx="6350" cy="3009900"/>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drawings/drawing5.xml><?xml version="1.0" encoding="utf-8"?>
<c:userShapes xmlns:c="http://schemas.openxmlformats.org/drawingml/2006/chart">
  <cdr:relSizeAnchor xmlns:cdr="http://schemas.openxmlformats.org/drawingml/2006/chartDrawing">
    <cdr:from>
      <cdr:x>0.7768</cdr:x>
      <cdr:y>1</cdr:y>
    </cdr:from>
    <cdr:to>
      <cdr:x>1</cdr:x>
      <cdr:y>1</cdr:y>
    </cdr:to>
    <cdr:cxnSp macro="">
      <cdr:nvCxnSpPr>
        <cdr:cNvPr id="5" name="Straight Connector 4">
          <a:extLst xmlns:a="http://schemas.openxmlformats.org/drawingml/2006/main">
            <a:ext uri="{FF2B5EF4-FFF2-40B4-BE49-F238E27FC236}">
              <a16:creationId xmlns:a16="http://schemas.microsoft.com/office/drawing/2014/main" id="{94006ACB-30D3-4464-8025-E9B19CFDACBF}"/>
            </a:ext>
          </a:extLst>
        </cdr:cNvPr>
        <cdr:cNvCxnSpPr/>
      </cdr:nvCxnSpPr>
      <cdr:spPr>
        <a:xfrm xmlns:a="http://schemas.openxmlformats.org/drawingml/2006/main">
          <a:off x="4869783" y="7815096"/>
          <a:ext cx="1104900" cy="0"/>
        </a:xfrm>
        <a:prstGeom xmlns:a="http://schemas.openxmlformats.org/drawingml/2006/main" prst="line">
          <a:avLst/>
        </a:prstGeom>
        <a:ln xmlns:a="http://schemas.openxmlformats.org/drawingml/2006/main">
          <a:solidFill>
            <a:schemeClr val="tx1"/>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0.55458</cdr:x>
      <cdr:y>0.93837</cdr:y>
    </cdr:from>
    <cdr:to>
      <cdr:x>0.61378</cdr:x>
      <cdr:y>0.93837</cdr:y>
    </cdr:to>
    <cdr:cxnSp macro="">
      <cdr:nvCxnSpPr>
        <cdr:cNvPr id="7" name="Straight Connector 6">
          <a:extLst xmlns:a="http://schemas.openxmlformats.org/drawingml/2006/main">
            <a:ext uri="{FF2B5EF4-FFF2-40B4-BE49-F238E27FC236}">
              <a16:creationId xmlns:a16="http://schemas.microsoft.com/office/drawing/2014/main" id="{00052851-93B7-418F-B163-F610E028A648}"/>
            </a:ext>
          </a:extLst>
        </cdr:cNvPr>
        <cdr:cNvCxnSpPr/>
      </cdr:nvCxnSpPr>
      <cdr:spPr>
        <a:xfrm xmlns:a="http://schemas.openxmlformats.org/drawingml/2006/main">
          <a:off x="2871515" y="2847633"/>
          <a:ext cx="306525"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0.61089</cdr:x>
      <cdr:y>0.90291</cdr:y>
    </cdr:from>
    <cdr:to>
      <cdr:x>0.81455</cdr:x>
      <cdr:y>0.97139</cdr:y>
    </cdr:to>
    <cdr:sp macro="" textlink="">
      <cdr:nvSpPr>
        <cdr:cNvPr id="8" name="TextBox 7">
          <a:extLst xmlns:a="http://schemas.openxmlformats.org/drawingml/2006/main">
            <a:ext uri="{FF2B5EF4-FFF2-40B4-BE49-F238E27FC236}">
              <a16:creationId xmlns:a16="http://schemas.microsoft.com/office/drawing/2014/main" id="{79DE6A2E-171A-4FCD-BDEB-4FF4DBA3CBDC}"/>
            </a:ext>
          </a:extLst>
        </cdr:cNvPr>
        <cdr:cNvSpPr txBox="1"/>
      </cdr:nvSpPr>
      <cdr:spPr>
        <a:xfrm xmlns:a="http://schemas.openxmlformats.org/drawingml/2006/main">
          <a:off x="3163064" y="2740041"/>
          <a:ext cx="1054509" cy="207814"/>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900">
              <a:solidFill>
                <a:schemeClr val="tx1">
                  <a:lumMod val="75000"/>
                  <a:lumOff val="25000"/>
                </a:schemeClr>
              </a:solidFill>
            </a:rPr>
            <a:t>GEF-8 target</a:t>
          </a:r>
        </a:p>
      </cdr:txBody>
    </cdr:sp>
  </cdr:relSizeAnchor>
  <cdr:relSizeAnchor xmlns:cdr="http://schemas.openxmlformats.org/drawingml/2006/chartDrawing">
    <cdr:from>
      <cdr:x>0.07496</cdr:x>
      <cdr:y>0.42179</cdr:y>
    </cdr:from>
    <cdr:to>
      <cdr:x>0.16731</cdr:x>
      <cdr:y>0.42179</cdr:y>
    </cdr:to>
    <cdr:cxnSp macro="">
      <cdr:nvCxnSpPr>
        <cdr:cNvPr id="9" name="Straight Connector 8">
          <a:extLst xmlns:a="http://schemas.openxmlformats.org/drawingml/2006/main">
            <a:ext uri="{FF2B5EF4-FFF2-40B4-BE49-F238E27FC236}">
              <a16:creationId xmlns:a16="http://schemas.microsoft.com/office/drawing/2014/main" id="{21F5490A-EEB1-4766-A597-ECE9844E2193}"/>
            </a:ext>
          </a:extLst>
        </cdr:cNvPr>
        <cdr:cNvCxnSpPr/>
      </cdr:nvCxnSpPr>
      <cdr:spPr>
        <a:xfrm xmlns:a="http://schemas.openxmlformats.org/drawingml/2006/main">
          <a:off x="388147" y="1279978"/>
          <a:ext cx="478168"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0.27149</cdr:x>
      <cdr:y>0.30605</cdr:y>
    </cdr:from>
    <cdr:to>
      <cdr:x>0.36383</cdr:x>
      <cdr:y>0.30605</cdr:y>
    </cdr:to>
    <cdr:cxnSp macro="">
      <cdr:nvCxnSpPr>
        <cdr:cNvPr id="10" name="Straight Connector 9">
          <a:extLst xmlns:a="http://schemas.openxmlformats.org/drawingml/2006/main">
            <a:ext uri="{FF2B5EF4-FFF2-40B4-BE49-F238E27FC236}">
              <a16:creationId xmlns:a16="http://schemas.microsoft.com/office/drawing/2014/main" id="{3D0E8E16-C59F-4440-A688-54311CFCAC63}"/>
            </a:ext>
          </a:extLst>
        </cdr:cNvPr>
        <cdr:cNvCxnSpPr/>
      </cdr:nvCxnSpPr>
      <cdr:spPr>
        <a:xfrm xmlns:a="http://schemas.openxmlformats.org/drawingml/2006/main">
          <a:off x="1405744" y="928767"/>
          <a:ext cx="478117"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0.4623</cdr:x>
      <cdr:y>0.18309</cdr:y>
    </cdr:from>
    <cdr:to>
      <cdr:x>0.55465</cdr:x>
      <cdr:y>0.18309</cdr:y>
    </cdr:to>
    <cdr:cxnSp macro="">
      <cdr:nvCxnSpPr>
        <cdr:cNvPr id="11" name="Straight Connector 10">
          <a:extLst xmlns:a="http://schemas.openxmlformats.org/drawingml/2006/main">
            <a:ext uri="{FF2B5EF4-FFF2-40B4-BE49-F238E27FC236}">
              <a16:creationId xmlns:a16="http://schemas.microsoft.com/office/drawing/2014/main" id="{3B3B19F5-8008-4C8F-83E3-6947478BEB8E}"/>
            </a:ext>
          </a:extLst>
        </cdr:cNvPr>
        <cdr:cNvCxnSpPr/>
      </cdr:nvCxnSpPr>
      <cdr:spPr>
        <a:xfrm xmlns:a="http://schemas.openxmlformats.org/drawingml/2006/main">
          <a:off x="2393703" y="555617"/>
          <a:ext cx="478169"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0.6563</cdr:x>
      <cdr:y>0.35051</cdr:y>
    </cdr:from>
    <cdr:to>
      <cdr:x>0.74864</cdr:x>
      <cdr:y>0.35051</cdr:y>
    </cdr:to>
    <cdr:cxnSp macro="">
      <cdr:nvCxnSpPr>
        <cdr:cNvPr id="12" name="Straight Connector 11">
          <a:extLst xmlns:a="http://schemas.openxmlformats.org/drawingml/2006/main">
            <a:ext uri="{FF2B5EF4-FFF2-40B4-BE49-F238E27FC236}">
              <a16:creationId xmlns:a16="http://schemas.microsoft.com/office/drawing/2014/main" id="{C1CEAB2E-1BAF-420B-B49C-D5AA3CC0570D}"/>
            </a:ext>
          </a:extLst>
        </cdr:cNvPr>
        <cdr:cNvCxnSpPr/>
      </cdr:nvCxnSpPr>
      <cdr:spPr>
        <a:xfrm xmlns:a="http://schemas.openxmlformats.org/drawingml/2006/main">
          <a:off x="3398167" y="1063681"/>
          <a:ext cx="478117"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0.84895</cdr:x>
      <cdr:y>0.40946</cdr:y>
    </cdr:from>
    <cdr:to>
      <cdr:x>0.9413</cdr:x>
      <cdr:y>0.40946</cdr:y>
    </cdr:to>
    <cdr:cxnSp macro="">
      <cdr:nvCxnSpPr>
        <cdr:cNvPr id="13" name="Straight Connector 12">
          <a:extLst xmlns:a="http://schemas.openxmlformats.org/drawingml/2006/main">
            <a:ext uri="{FF2B5EF4-FFF2-40B4-BE49-F238E27FC236}">
              <a16:creationId xmlns:a16="http://schemas.microsoft.com/office/drawing/2014/main" id="{3DF11862-3A57-4E77-9AD2-06098B7E11AA}"/>
            </a:ext>
          </a:extLst>
        </cdr:cNvPr>
        <cdr:cNvCxnSpPr/>
      </cdr:nvCxnSpPr>
      <cdr:spPr>
        <a:xfrm xmlns:a="http://schemas.openxmlformats.org/drawingml/2006/main">
          <a:off x="4395671" y="1242563"/>
          <a:ext cx="478169"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0.60201</cdr:x>
      <cdr:y>0.04002</cdr:y>
    </cdr:from>
    <cdr:to>
      <cdr:x>0.64657</cdr:x>
      <cdr:y>0.76704</cdr:y>
    </cdr:to>
    <cdr:sp macro="" textlink="">
      <cdr:nvSpPr>
        <cdr:cNvPr id="14" name="Rectangle 13">
          <a:extLst xmlns:a="http://schemas.openxmlformats.org/drawingml/2006/main">
            <a:ext uri="{FF2B5EF4-FFF2-40B4-BE49-F238E27FC236}">
              <a16:creationId xmlns:a16="http://schemas.microsoft.com/office/drawing/2014/main" id="{F34ACCD1-7718-4A53-B8A9-58FC78703D92}"/>
            </a:ext>
          </a:extLst>
        </cdr:cNvPr>
        <cdr:cNvSpPr/>
      </cdr:nvSpPr>
      <cdr:spPr>
        <a:xfrm xmlns:a="http://schemas.openxmlformats.org/drawingml/2006/main">
          <a:off x="2980099" y="119962"/>
          <a:ext cx="220579" cy="2179053"/>
        </a:xfrm>
        <a:prstGeom xmlns:a="http://schemas.openxmlformats.org/drawingml/2006/main" prst="rect">
          <a:avLst/>
        </a:prstGeom>
        <a:solidFill xmlns:a="http://schemas.openxmlformats.org/drawingml/2006/main">
          <a:schemeClr val="bg1"/>
        </a:solidFill>
        <a:ln xmlns:a="http://schemas.openxmlformats.org/drawingml/2006/main">
          <a:solidFill>
            <a:schemeClr val="bg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0.61226</cdr:x>
      <cdr:y>0.03365</cdr:y>
    </cdr:from>
    <cdr:to>
      <cdr:x>0.61226</cdr:x>
      <cdr:y>0.86793</cdr:y>
    </cdr:to>
    <cdr:cxnSp macro="">
      <cdr:nvCxnSpPr>
        <cdr:cNvPr id="3" name="Straight Connector 2">
          <a:extLst xmlns:a="http://schemas.openxmlformats.org/drawingml/2006/main">
            <a:ext uri="{FF2B5EF4-FFF2-40B4-BE49-F238E27FC236}">
              <a16:creationId xmlns:a16="http://schemas.microsoft.com/office/drawing/2014/main" id="{CC00832F-2CFB-4CA1-9B1D-605DCB0D1240}"/>
            </a:ext>
          </a:extLst>
        </cdr:cNvPr>
        <cdr:cNvCxnSpPr/>
      </cdr:nvCxnSpPr>
      <cdr:spPr>
        <a:xfrm xmlns:a="http://schemas.openxmlformats.org/drawingml/2006/main" flipV="1">
          <a:off x="4320988" y="148665"/>
          <a:ext cx="0" cy="3685924"/>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0.17015</cdr:x>
      <cdr:y>0.38906</cdr:y>
    </cdr:from>
    <cdr:to>
      <cdr:x>0.31344</cdr:x>
      <cdr:y>0.45124</cdr:y>
    </cdr:to>
    <cdr:sp macro="" textlink="">
      <cdr:nvSpPr>
        <cdr:cNvPr id="2" name="Rectangle 1">
          <a:extLst xmlns:a="http://schemas.openxmlformats.org/drawingml/2006/main">
            <a:ext uri="{FF2B5EF4-FFF2-40B4-BE49-F238E27FC236}">
              <a16:creationId xmlns:a16="http://schemas.microsoft.com/office/drawing/2014/main" id="{70730EAC-66EA-4656-B39F-0ED9AAF02884}"/>
            </a:ext>
          </a:extLst>
        </cdr:cNvPr>
        <cdr:cNvSpPr/>
      </cdr:nvSpPr>
      <cdr:spPr>
        <a:xfrm xmlns:a="http://schemas.openxmlformats.org/drawingml/2006/main">
          <a:off x="880997" y="1180657"/>
          <a:ext cx="741925" cy="18869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1000" b="0">
              <a:solidFill>
                <a:schemeClr val="tx1">
                  <a:lumMod val="65000"/>
                  <a:lumOff val="35000"/>
                </a:schemeClr>
              </a:solidFill>
            </a:rPr>
            <a:t>45%</a:t>
          </a:r>
        </a:p>
      </cdr:txBody>
    </cdr:sp>
  </cdr:relSizeAnchor>
  <cdr:relSizeAnchor xmlns:cdr="http://schemas.openxmlformats.org/drawingml/2006/chartDrawing">
    <cdr:from>
      <cdr:x>0.36005</cdr:x>
      <cdr:y>0.26709</cdr:y>
    </cdr:from>
    <cdr:to>
      <cdr:x>0.50334</cdr:x>
      <cdr:y>0.32927</cdr:y>
    </cdr:to>
    <cdr:sp macro="" textlink="">
      <cdr:nvSpPr>
        <cdr:cNvPr id="15" name="Rectangle 14">
          <a:extLst xmlns:a="http://schemas.openxmlformats.org/drawingml/2006/main">
            <a:ext uri="{FF2B5EF4-FFF2-40B4-BE49-F238E27FC236}">
              <a16:creationId xmlns:a16="http://schemas.microsoft.com/office/drawing/2014/main" id="{1D4BB4DC-6A99-4C64-9C1A-4DDF0FBA6E31}"/>
            </a:ext>
          </a:extLst>
        </cdr:cNvPr>
        <cdr:cNvSpPr/>
      </cdr:nvSpPr>
      <cdr:spPr>
        <a:xfrm xmlns:a="http://schemas.openxmlformats.org/drawingml/2006/main">
          <a:off x="1864267" y="810514"/>
          <a:ext cx="741925" cy="18869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0">
              <a:solidFill>
                <a:schemeClr val="tx1">
                  <a:lumMod val="65000"/>
                  <a:lumOff val="35000"/>
                </a:schemeClr>
              </a:solidFill>
            </a:rPr>
            <a:t>65%</a:t>
          </a:r>
        </a:p>
      </cdr:txBody>
    </cdr:sp>
  </cdr:relSizeAnchor>
  <cdr:relSizeAnchor xmlns:cdr="http://schemas.openxmlformats.org/drawingml/2006/chartDrawing">
    <cdr:from>
      <cdr:x>0.54634</cdr:x>
      <cdr:y>0.13501</cdr:y>
    </cdr:from>
    <cdr:to>
      <cdr:x>0.68963</cdr:x>
      <cdr:y>0.1972</cdr:y>
    </cdr:to>
    <cdr:sp macro="" textlink="">
      <cdr:nvSpPr>
        <cdr:cNvPr id="16" name="Rectangle 15">
          <a:extLst xmlns:a="http://schemas.openxmlformats.org/drawingml/2006/main">
            <a:ext uri="{FF2B5EF4-FFF2-40B4-BE49-F238E27FC236}">
              <a16:creationId xmlns:a16="http://schemas.microsoft.com/office/drawing/2014/main" id="{1D4BB4DC-6A99-4C64-9C1A-4DDF0FBA6E31}"/>
            </a:ext>
          </a:extLst>
        </cdr:cNvPr>
        <cdr:cNvSpPr/>
      </cdr:nvSpPr>
      <cdr:spPr>
        <a:xfrm xmlns:a="http://schemas.openxmlformats.org/drawingml/2006/main">
          <a:off x="2828824" y="409696"/>
          <a:ext cx="741925" cy="188726"/>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0">
              <a:solidFill>
                <a:schemeClr val="tx1">
                  <a:lumMod val="65000"/>
                  <a:lumOff val="35000"/>
                </a:schemeClr>
              </a:solidFill>
            </a:rPr>
            <a:t>80%</a:t>
          </a:r>
        </a:p>
      </cdr:txBody>
    </cdr:sp>
  </cdr:relSizeAnchor>
  <cdr:relSizeAnchor xmlns:cdr="http://schemas.openxmlformats.org/drawingml/2006/chartDrawing">
    <cdr:from>
      <cdr:x>0.74551</cdr:x>
      <cdr:y>0.3117</cdr:y>
    </cdr:from>
    <cdr:to>
      <cdr:x>0.88879</cdr:x>
      <cdr:y>0.37388</cdr:y>
    </cdr:to>
    <cdr:sp macro="" textlink="">
      <cdr:nvSpPr>
        <cdr:cNvPr id="17" name="Rectangle 16">
          <a:extLst xmlns:a="http://schemas.openxmlformats.org/drawingml/2006/main">
            <a:ext uri="{FF2B5EF4-FFF2-40B4-BE49-F238E27FC236}">
              <a16:creationId xmlns:a16="http://schemas.microsoft.com/office/drawing/2014/main" id="{1D4BB4DC-6A99-4C64-9C1A-4DDF0FBA6E31}"/>
            </a:ext>
          </a:extLst>
        </cdr:cNvPr>
        <cdr:cNvSpPr/>
      </cdr:nvSpPr>
      <cdr:spPr>
        <a:xfrm xmlns:a="http://schemas.openxmlformats.org/drawingml/2006/main">
          <a:off x="4431018" y="945910"/>
          <a:ext cx="851599" cy="18869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0">
              <a:solidFill>
                <a:schemeClr val="tx1">
                  <a:lumMod val="65000"/>
                  <a:lumOff val="35000"/>
                </a:schemeClr>
              </a:solidFill>
            </a:rPr>
            <a:t>60%</a:t>
          </a:r>
        </a:p>
      </cdr:txBody>
    </cdr:sp>
  </cdr:relSizeAnchor>
  <cdr:relSizeAnchor xmlns:cdr="http://schemas.openxmlformats.org/drawingml/2006/chartDrawing">
    <cdr:from>
      <cdr:x>0.91989</cdr:x>
      <cdr:y>0.3669</cdr:y>
    </cdr:from>
    <cdr:to>
      <cdr:x>1</cdr:x>
      <cdr:y>0.42909</cdr:y>
    </cdr:to>
    <cdr:sp macro="" textlink="">
      <cdr:nvSpPr>
        <cdr:cNvPr id="18" name="Rectangle 17">
          <a:extLst xmlns:a="http://schemas.openxmlformats.org/drawingml/2006/main">
            <a:ext uri="{FF2B5EF4-FFF2-40B4-BE49-F238E27FC236}">
              <a16:creationId xmlns:a16="http://schemas.microsoft.com/office/drawing/2014/main" id="{1D4BB4DC-6A99-4C64-9C1A-4DDF0FBA6E31}"/>
            </a:ext>
          </a:extLst>
        </cdr:cNvPr>
        <cdr:cNvSpPr/>
      </cdr:nvSpPr>
      <cdr:spPr>
        <a:xfrm xmlns:a="http://schemas.openxmlformats.org/drawingml/2006/main">
          <a:off x="4762982" y="1113430"/>
          <a:ext cx="414808" cy="188722"/>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r"/>
          <a:r>
            <a:rPr lang="en-US" sz="1000" b="0">
              <a:solidFill>
                <a:schemeClr val="tx1">
                  <a:lumMod val="65000"/>
                  <a:lumOff val="35000"/>
                </a:schemeClr>
              </a:solidFill>
            </a:rPr>
            <a:t>50%</a:t>
          </a:r>
        </a:p>
      </cdr:txBody>
    </cdr: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DE4F23AE18D4DEEA49BC6649D25689E"/>
        <w:category>
          <w:name w:val="General"/>
          <w:gallery w:val="placeholder"/>
        </w:category>
        <w:types>
          <w:type w:val="bbPlcHdr"/>
        </w:types>
        <w:behaviors>
          <w:behavior w:val="content"/>
        </w:behaviors>
        <w:guid w:val="{4387B3BD-BF77-4EB5-8F05-C7180BFD4AD7}"/>
      </w:docPartPr>
      <w:docPartBody>
        <w:p w:rsidR="004D1221" w:rsidRDefault="004D1221" w:rsidP="004D1221">
          <w:pPr>
            <w:pStyle w:val="5DE4F23AE18D4DEEA49BC6649D25689E"/>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charset w:val="00"/>
    <w:family w:val="auto"/>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221"/>
    <w:rsid w:val="001203FF"/>
    <w:rsid w:val="002B6131"/>
    <w:rsid w:val="002E22BC"/>
    <w:rsid w:val="004D1221"/>
    <w:rsid w:val="0096747B"/>
    <w:rsid w:val="00A57D0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4D1221"/>
    <w:rPr>
      <w:color w:val="808080"/>
    </w:rPr>
  </w:style>
  <w:style w:type="paragraph" w:customStyle="1" w:styleId="5DE4F23AE18D4DEEA49BC6649D25689E">
    <w:name w:val="5DE4F23AE18D4DEEA49BC6649D25689E"/>
    <w:rsid w:val="004D12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0A6FE8-8EFF-419C-9EB8-CD639FE3081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0FEA929-E220-42D8-AF99-53750059D9DF}">
  <ds:schemaRefs>
    <ds:schemaRef ds:uri="http://schemas.microsoft.com/sharepoint/v3/contenttype/forms"/>
  </ds:schemaRefs>
</ds:datastoreItem>
</file>

<file path=customXml/itemProps3.xml><?xml version="1.0" encoding="utf-8"?>
<ds:datastoreItem xmlns:ds="http://schemas.openxmlformats.org/officeDocument/2006/customXml" ds:itemID="{B39609A1-8F47-4D9F-BF32-98D964259B14}">
  <ds:schemaRefs>
    <ds:schemaRef ds:uri="http://schemas.openxmlformats.org/officeDocument/2006/bibliography"/>
  </ds:schemaRefs>
</ds:datastoreItem>
</file>

<file path=customXml/itemProps4.xml><?xml version="1.0" encoding="utf-8"?>
<ds:datastoreItem xmlns:ds="http://schemas.openxmlformats.org/officeDocument/2006/customXml" ds:itemID="{1E0C8512-B1F6-4045-9D6B-3818A54E7A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99</Pages>
  <Words>31168</Words>
  <Characters>171427</Characters>
  <Application>Microsoft Office Word</Application>
  <DocSecurity>0</DocSecurity>
  <Lines>1428</Lines>
  <Paragraphs>404</Paragraphs>
  <ScaleCrop>false</ScaleCrop>
  <HeadingPairs>
    <vt:vector size="2" baseType="variant">
      <vt:variant>
        <vt:lpstr>Title</vt:lpstr>
      </vt:variant>
      <vt:variant>
        <vt:i4>1</vt:i4>
      </vt:variant>
    </vt:vector>
  </HeadingPairs>
  <TitlesOfParts>
    <vt:vector size="1" baseType="lpstr">
      <vt:lpstr>Предварительный доклад Совета Глобального экологического фонда</vt:lpstr>
    </vt:vector>
  </TitlesOfParts>
  <Company/>
  <LinksUpToDate>false</LinksUpToDate>
  <CharactersWithSpaces>202191</CharactersWithSpaces>
  <SharedDoc>false</SharedDoc>
  <HLinks>
    <vt:vector size="720" baseType="variant">
      <vt:variant>
        <vt:i4>7340159</vt:i4>
      </vt:variant>
      <vt:variant>
        <vt:i4>489</vt:i4>
      </vt:variant>
      <vt:variant>
        <vt:i4>0</vt:i4>
      </vt:variant>
      <vt:variant>
        <vt:i4>5</vt:i4>
      </vt:variant>
      <vt:variant>
        <vt:lpwstr>https://iatiregistry.org/publisher/gef</vt:lpwstr>
      </vt:variant>
      <vt:variant>
        <vt:lpwstr/>
      </vt:variant>
      <vt:variant>
        <vt:i4>7077924</vt:i4>
      </vt:variant>
      <vt:variant>
        <vt:i4>486</vt:i4>
      </vt:variant>
      <vt:variant>
        <vt:i4>0</vt:i4>
      </vt:variant>
      <vt:variant>
        <vt:i4>5</vt:i4>
      </vt:variant>
      <vt:variant>
        <vt:lpwstr>https://www.thegef.org/sites/default/files/documents/2024-01/EN_GEF.C.66.04_Work Program for GEF Trust Fund.pdf</vt:lpwstr>
      </vt:variant>
      <vt:variant>
        <vt:lpwstr/>
      </vt:variant>
      <vt:variant>
        <vt:i4>4390924</vt:i4>
      </vt:variant>
      <vt:variant>
        <vt:i4>483</vt:i4>
      </vt:variant>
      <vt:variant>
        <vt:i4>0</vt:i4>
      </vt:variant>
      <vt:variant>
        <vt:i4>5</vt:i4>
      </vt:variant>
      <vt:variant>
        <vt:lpwstr>https://www.thegef.org/projects-operations/projects/10920</vt:lpwstr>
      </vt:variant>
      <vt:variant>
        <vt:lpwstr/>
      </vt:variant>
      <vt:variant>
        <vt:i4>4653165</vt:i4>
      </vt:variant>
      <vt:variant>
        <vt:i4>480</vt:i4>
      </vt:variant>
      <vt:variant>
        <vt:i4>0</vt:i4>
      </vt:variant>
      <vt:variant>
        <vt:i4>5</vt:i4>
      </vt:variant>
      <vt:variant>
        <vt:lpwstr>https://www.thegef.org/sites/default/files/documents/2022-06/EN_GEF_C.62_03_Summary of Negotiations of the 8th Replenishment of the GEF Trust Fund_.pdf</vt:lpwstr>
      </vt:variant>
      <vt:variant>
        <vt:lpwstr/>
      </vt:variant>
      <vt:variant>
        <vt:i4>5308451</vt:i4>
      </vt:variant>
      <vt:variant>
        <vt:i4>477</vt:i4>
      </vt:variant>
      <vt:variant>
        <vt:i4>0</vt:i4>
      </vt:variant>
      <vt:variant>
        <vt:i4>5</vt:i4>
      </vt:variant>
      <vt:variant>
        <vt:lpwstr>https://www.thegef.org/sites/default/files/documents/2023-09/EN_GEF.C.65.04_Enhancing Policy Coherence through GEF Operations_.pdf</vt:lpwstr>
      </vt:variant>
      <vt:variant>
        <vt:lpwstr/>
      </vt:variant>
      <vt:variant>
        <vt:i4>7602299</vt:i4>
      </vt:variant>
      <vt:variant>
        <vt:i4>474</vt:i4>
      </vt:variant>
      <vt:variant>
        <vt:i4>0</vt:i4>
      </vt:variant>
      <vt:variant>
        <vt:i4>5</vt:i4>
      </vt:variant>
      <vt:variant>
        <vt:lpwstr>https://www.thegef.org/sites/default/files/documents/2024-01/EN_GEF.C.66.09_Gap_Analysis_GEF_funded_Activity_Engagement_FCV_Affected_States.pdf</vt:lpwstr>
      </vt:variant>
      <vt:variant>
        <vt:lpwstr/>
      </vt:variant>
      <vt:variant>
        <vt:i4>327757</vt:i4>
      </vt:variant>
      <vt:variant>
        <vt:i4>471</vt:i4>
      </vt:variant>
      <vt:variant>
        <vt:i4>0</vt:i4>
      </vt:variant>
      <vt:variant>
        <vt:i4>5</vt:i4>
      </vt:variant>
      <vt:variant>
        <vt:lpwstr>https://www.thegef.org/sites/default/files/documents/2024-01/EN_GEF.C.66.10_Gap Analysis of GEF Policies and Key Social Inclusion Issues.pdf</vt:lpwstr>
      </vt:variant>
      <vt:variant>
        <vt:lpwstr/>
      </vt:variant>
      <vt:variant>
        <vt:i4>4784139</vt:i4>
      </vt:variant>
      <vt:variant>
        <vt:i4>468</vt:i4>
      </vt:variant>
      <vt:variant>
        <vt:i4>0</vt:i4>
      </vt:variant>
      <vt:variant>
        <vt:i4>5</vt:i4>
      </vt:variant>
      <vt:variant>
        <vt:lpwstr>https://www.thegef.org/sites/default/files/documents/2024-01/EN_GEF.C.66.Inf_.10_Progress_Report_GEF_Agencies_Compliance_GEF_Minimum_Standards.pdf</vt:lpwstr>
      </vt:variant>
      <vt:variant>
        <vt:lpwstr/>
      </vt:variant>
      <vt:variant>
        <vt:i4>4194390</vt:i4>
      </vt:variant>
      <vt:variant>
        <vt:i4>465</vt:i4>
      </vt:variant>
      <vt:variant>
        <vt:i4>0</vt:i4>
      </vt:variant>
      <vt:variant>
        <vt:i4>5</vt:i4>
      </vt:variant>
      <vt:variant>
        <vt:lpwstr>https://www.thegef.org/sites/default/files/documents/2023-06/EN_GEF.C.64.Inf_.09_Updated_Third Party Review of Agency Compliance with GEF Minimum Standards.pdf</vt:lpwstr>
      </vt:variant>
      <vt:variant>
        <vt:lpwstr/>
      </vt:variant>
      <vt:variant>
        <vt:i4>4194377</vt:i4>
      </vt:variant>
      <vt:variant>
        <vt:i4>432</vt:i4>
      </vt:variant>
      <vt:variant>
        <vt:i4>0</vt:i4>
      </vt:variant>
      <vt:variant>
        <vt:i4>5</vt:i4>
      </vt:variant>
      <vt:variant>
        <vt:lpwstr>https://www.cbd.int/doc/c/7dd8/8b09/f2e26fbd0b429324524f39a1/cop-15-08-en.pdf</vt:lpwstr>
      </vt:variant>
      <vt:variant>
        <vt:lpwstr/>
      </vt:variant>
      <vt:variant>
        <vt:i4>1376315</vt:i4>
      </vt:variant>
      <vt:variant>
        <vt:i4>425</vt:i4>
      </vt:variant>
      <vt:variant>
        <vt:i4>0</vt:i4>
      </vt:variant>
      <vt:variant>
        <vt:i4>5</vt:i4>
      </vt:variant>
      <vt:variant>
        <vt:lpwstr/>
      </vt:variant>
      <vt:variant>
        <vt:lpwstr>_Toc161334839</vt:lpwstr>
      </vt:variant>
      <vt:variant>
        <vt:i4>1376315</vt:i4>
      </vt:variant>
      <vt:variant>
        <vt:i4>419</vt:i4>
      </vt:variant>
      <vt:variant>
        <vt:i4>0</vt:i4>
      </vt:variant>
      <vt:variant>
        <vt:i4>5</vt:i4>
      </vt:variant>
      <vt:variant>
        <vt:lpwstr/>
      </vt:variant>
      <vt:variant>
        <vt:lpwstr>_Toc161334838</vt:lpwstr>
      </vt:variant>
      <vt:variant>
        <vt:i4>1376315</vt:i4>
      </vt:variant>
      <vt:variant>
        <vt:i4>413</vt:i4>
      </vt:variant>
      <vt:variant>
        <vt:i4>0</vt:i4>
      </vt:variant>
      <vt:variant>
        <vt:i4>5</vt:i4>
      </vt:variant>
      <vt:variant>
        <vt:lpwstr/>
      </vt:variant>
      <vt:variant>
        <vt:lpwstr>_Toc161334837</vt:lpwstr>
      </vt:variant>
      <vt:variant>
        <vt:i4>1376315</vt:i4>
      </vt:variant>
      <vt:variant>
        <vt:i4>407</vt:i4>
      </vt:variant>
      <vt:variant>
        <vt:i4>0</vt:i4>
      </vt:variant>
      <vt:variant>
        <vt:i4>5</vt:i4>
      </vt:variant>
      <vt:variant>
        <vt:lpwstr/>
      </vt:variant>
      <vt:variant>
        <vt:lpwstr>_Toc161334836</vt:lpwstr>
      </vt:variant>
      <vt:variant>
        <vt:i4>1376315</vt:i4>
      </vt:variant>
      <vt:variant>
        <vt:i4>401</vt:i4>
      </vt:variant>
      <vt:variant>
        <vt:i4>0</vt:i4>
      </vt:variant>
      <vt:variant>
        <vt:i4>5</vt:i4>
      </vt:variant>
      <vt:variant>
        <vt:lpwstr/>
      </vt:variant>
      <vt:variant>
        <vt:lpwstr>_Toc161334835</vt:lpwstr>
      </vt:variant>
      <vt:variant>
        <vt:i4>1376315</vt:i4>
      </vt:variant>
      <vt:variant>
        <vt:i4>395</vt:i4>
      </vt:variant>
      <vt:variant>
        <vt:i4>0</vt:i4>
      </vt:variant>
      <vt:variant>
        <vt:i4>5</vt:i4>
      </vt:variant>
      <vt:variant>
        <vt:lpwstr/>
      </vt:variant>
      <vt:variant>
        <vt:lpwstr>_Toc161334834</vt:lpwstr>
      </vt:variant>
      <vt:variant>
        <vt:i4>1376315</vt:i4>
      </vt:variant>
      <vt:variant>
        <vt:i4>389</vt:i4>
      </vt:variant>
      <vt:variant>
        <vt:i4>0</vt:i4>
      </vt:variant>
      <vt:variant>
        <vt:i4>5</vt:i4>
      </vt:variant>
      <vt:variant>
        <vt:lpwstr/>
      </vt:variant>
      <vt:variant>
        <vt:lpwstr>_Toc161334833</vt:lpwstr>
      </vt:variant>
      <vt:variant>
        <vt:i4>1376315</vt:i4>
      </vt:variant>
      <vt:variant>
        <vt:i4>383</vt:i4>
      </vt:variant>
      <vt:variant>
        <vt:i4>0</vt:i4>
      </vt:variant>
      <vt:variant>
        <vt:i4>5</vt:i4>
      </vt:variant>
      <vt:variant>
        <vt:lpwstr/>
      </vt:variant>
      <vt:variant>
        <vt:lpwstr>_Toc161334832</vt:lpwstr>
      </vt:variant>
      <vt:variant>
        <vt:i4>1376315</vt:i4>
      </vt:variant>
      <vt:variant>
        <vt:i4>377</vt:i4>
      </vt:variant>
      <vt:variant>
        <vt:i4>0</vt:i4>
      </vt:variant>
      <vt:variant>
        <vt:i4>5</vt:i4>
      </vt:variant>
      <vt:variant>
        <vt:lpwstr/>
      </vt:variant>
      <vt:variant>
        <vt:lpwstr>_Toc161334831</vt:lpwstr>
      </vt:variant>
      <vt:variant>
        <vt:i4>1376315</vt:i4>
      </vt:variant>
      <vt:variant>
        <vt:i4>371</vt:i4>
      </vt:variant>
      <vt:variant>
        <vt:i4>0</vt:i4>
      </vt:variant>
      <vt:variant>
        <vt:i4>5</vt:i4>
      </vt:variant>
      <vt:variant>
        <vt:lpwstr/>
      </vt:variant>
      <vt:variant>
        <vt:lpwstr>_Toc161334830</vt:lpwstr>
      </vt:variant>
      <vt:variant>
        <vt:i4>1179707</vt:i4>
      </vt:variant>
      <vt:variant>
        <vt:i4>362</vt:i4>
      </vt:variant>
      <vt:variant>
        <vt:i4>0</vt:i4>
      </vt:variant>
      <vt:variant>
        <vt:i4>5</vt:i4>
      </vt:variant>
      <vt:variant>
        <vt:lpwstr/>
      </vt:variant>
      <vt:variant>
        <vt:lpwstr>_Toc161334845</vt:lpwstr>
      </vt:variant>
      <vt:variant>
        <vt:i4>1179707</vt:i4>
      </vt:variant>
      <vt:variant>
        <vt:i4>356</vt:i4>
      </vt:variant>
      <vt:variant>
        <vt:i4>0</vt:i4>
      </vt:variant>
      <vt:variant>
        <vt:i4>5</vt:i4>
      </vt:variant>
      <vt:variant>
        <vt:lpwstr/>
      </vt:variant>
      <vt:variant>
        <vt:lpwstr>_Toc161334844</vt:lpwstr>
      </vt:variant>
      <vt:variant>
        <vt:i4>1179707</vt:i4>
      </vt:variant>
      <vt:variant>
        <vt:i4>350</vt:i4>
      </vt:variant>
      <vt:variant>
        <vt:i4>0</vt:i4>
      </vt:variant>
      <vt:variant>
        <vt:i4>5</vt:i4>
      </vt:variant>
      <vt:variant>
        <vt:lpwstr/>
      </vt:variant>
      <vt:variant>
        <vt:lpwstr>_Toc161334843</vt:lpwstr>
      </vt:variant>
      <vt:variant>
        <vt:i4>1179707</vt:i4>
      </vt:variant>
      <vt:variant>
        <vt:i4>344</vt:i4>
      </vt:variant>
      <vt:variant>
        <vt:i4>0</vt:i4>
      </vt:variant>
      <vt:variant>
        <vt:i4>5</vt:i4>
      </vt:variant>
      <vt:variant>
        <vt:lpwstr/>
      </vt:variant>
      <vt:variant>
        <vt:lpwstr>_Toc161334842</vt:lpwstr>
      </vt:variant>
      <vt:variant>
        <vt:i4>1179707</vt:i4>
      </vt:variant>
      <vt:variant>
        <vt:i4>338</vt:i4>
      </vt:variant>
      <vt:variant>
        <vt:i4>0</vt:i4>
      </vt:variant>
      <vt:variant>
        <vt:i4>5</vt:i4>
      </vt:variant>
      <vt:variant>
        <vt:lpwstr/>
      </vt:variant>
      <vt:variant>
        <vt:lpwstr>_Toc161334841</vt:lpwstr>
      </vt:variant>
      <vt:variant>
        <vt:i4>1179707</vt:i4>
      </vt:variant>
      <vt:variant>
        <vt:i4>332</vt:i4>
      </vt:variant>
      <vt:variant>
        <vt:i4>0</vt:i4>
      </vt:variant>
      <vt:variant>
        <vt:i4>5</vt:i4>
      </vt:variant>
      <vt:variant>
        <vt:lpwstr/>
      </vt:variant>
      <vt:variant>
        <vt:lpwstr>_Toc161334840</vt:lpwstr>
      </vt:variant>
      <vt:variant>
        <vt:i4>1245238</vt:i4>
      </vt:variant>
      <vt:variant>
        <vt:i4>323</vt:i4>
      </vt:variant>
      <vt:variant>
        <vt:i4>0</vt:i4>
      </vt:variant>
      <vt:variant>
        <vt:i4>5</vt:i4>
      </vt:variant>
      <vt:variant>
        <vt:lpwstr/>
      </vt:variant>
      <vt:variant>
        <vt:lpwstr>_Toc162534630</vt:lpwstr>
      </vt:variant>
      <vt:variant>
        <vt:i4>1179702</vt:i4>
      </vt:variant>
      <vt:variant>
        <vt:i4>317</vt:i4>
      </vt:variant>
      <vt:variant>
        <vt:i4>0</vt:i4>
      </vt:variant>
      <vt:variant>
        <vt:i4>5</vt:i4>
      </vt:variant>
      <vt:variant>
        <vt:lpwstr/>
      </vt:variant>
      <vt:variant>
        <vt:lpwstr>_Toc162534629</vt:lpwstr>
      </vt:variant>
      <vt:variant>
        <vt:i4>1179702</vt:i4>
      </vt:variant>
      <vt:variant>
        <vt:i4>311</vt:i4>
      </vt:variant>
      <vt:variant>
        <vt:i4>0</vt:i4>
      </vt:variant>
      <vt:variant>
        <vt:i4>5</vt:i4>
      </vt:variant>
      <vt:variant>
        <vt:lpwstr/>
      </vt:variant>
      <vt:variant>
        <vt:lpwstr>_Toc162534628</vt:lpwstr>
      </vt:variant>
      <vt:variant>
        <vt:i4>1179702</vt:i4>
      </vt:variant>
      <vt:variant>
        <vt:i4>305</vt:i4>
      </vt:variant>
      <vt:variant>
        <vt:i4>0</vt:i4>
      </vt:variant>
      <vt:variant>
        <vt:i4>5</vt:i4>
      </vt:variant>
      <vt:variant>
        <vt:lpwstr/>
      </vt:variant>
      <vt:variant>
        <vt:lpwstr>_Toc162534627</vt:lpwstr>
      </vt:variant>
      <vt:variant>
        <vt:i4>1179702</vt:i4>
      </vt:variant>
      <vt:variant>
        <vt:i4>299</vt:i4>
      </vt:variant>
      <vt:variant>
        <vt:i4>0</vt:i4>
      </vt:variant>
      <vt:variant>
        <vt:i4>5</vt:i4>
      </vt:variant>
      <vt:variant>
        <vt:lpwstr/>
      </vt:variant>
      <vt:variant>
        <vt:lpwstr>_Toc162534626</vt:lpwstr>
      </vt:variant>
      <vt:variant>
        <vt:i4>1179702</vt:i4>
      </vt:variant>
      <vt:variant>
        <vt:i4>293</vt:i4>
      </vt:variant>
      <vt:variant>
        <vt:i4>0</vt:i4>
      </vt:variant>
      <vt:variant>
        <vt:i4>5</vt:i4>
      </vt:variant>
      <vt:variant>
        <vt:lpwstr/>
      </vt:variant>
      <vt:variant>
        <vt:lpwstr>_Toc162534625</vt:lpwstr>
      </vt:variant>
      <vt:variant>
        <vt:i4>1179702</vt:i4>
      </vt:variant>
      <vt:variant>
        <vt:i4>287</vt:i4>
      </vt:variant>
      <vt:variant>
        <vt:i4>0</vt:i4>
      </vt:variant>
      <vt:variant>
        <vt:i4>5</vt:i4>
      </vt:variant>
      <vt:variant>
        <vt:lpwstr/>
      </vt:variant>
      <vt:variant>
        <vt:lpwstr>_Toc162534624</vt:lpwstr>
      </vt:variant>
      <vt:variant>
        <vt:i4>1179702</vt:i4>
      </vt:variant>
      <vt:variant>
        <vt:i4>281</vt:i4>
      </vt:variant>
      <vt:variant>
        <vt:i4>0</vt:i4>
      </vt:variant>
      <vt:variant>
        <vt:i4>5</vt:i4>
      </vt:variant>
      <vt:variant>
        <vt:lpwstr/>
      </vt:variant>
      <vt:variant>
        <vt:lpwstr>_Toc162534623</vt:lpwstr>
      </vt:variant>
      <vt:variant>
        <vt:i4>1179702</vt:i4>
      </vt:variant>
      <vt:variant>
        <vt:i4>275</vt:i4>
      </vt:variant>
      <vt:variant>
        <vt:i4>0</vt:i4>
      </vt:variant>
      <vt:variant>
        <vt:i4>5</vt:i4>
      </vt:variant>
      <vt:variant>
        <vt:lpwstr/>
      </vt:variant>
      <vt:variant>
        <vt:lpwstr>_Toc162534622</vt:lpwstr>
      </vt:variant>
      <vt:variant>
        <vt:i4>1179702</vt:i4>
      </vt:variant>
      <vt:variant>
        <vt:i4>269</vt:i4>
      </vt:variant>
      <vt:variant>
        <vt:i4>0</vt:i4>
      </vt:variant>
      <vt:variant>
        <vt:i4>5</vt:i4>
      </vt:variant>
      <vt:variant>
        <vt:lpwstr/>
      </vt:variant>
      <vt:variant>
        <vt:lpwstr>_Toc162534621</vt:lpwstr>
      </vt:variant>
      <vt:variant>
        <vt:i4>1179702</vt:i4>
      </vt:variant>
      <vt:variant>
        <vt:i4>263</vt:i4>
      </vt:variant>
      <vt:variant>
        <vt:i4>0</vt:i4>
      </vt:variant>
      <vt:variant>
        <vt:i4>5</vt:i4>
      </vt:variant>
      <vt:variant>
        <vt:lpwstr/>
      </vt:variant>
      <vt:variant>
        <vt:lpwstr>_Toc162534620</vt:lpwstr>
      </vt:variant>
      <vt:variant>
        <vt:i4>1114166</vt:i4>
      </vt:variant>
      <vt:variant>
        <vt:i4>257</vt:i4>
      </vt:variant>
      <vt:variant>
        <vt:i4>0</vt:i4>
      </vt:variant>
      <vt:variant>
        <vt:i4>5</vt:i4>
      </vt:variant>
      <vt:variant>
        <vt:lpwstr/>
      </vt:variant>
      <vt:variant>
        <vt:lpwstr>_Toc162534619</vt:lpwstr>
      </vt:variant>
      <vt:variant>
        <vt:i4>1114166</vt:i4>
      </vt:variant>
      <vt:variant>
        <vt:i4>251</vt:i4>
      </vt:variant>
      <vt:variant>
        <vt:i4>0</vt:i4>
      </vt:variant>
      <vt:variant>
        <vt:i4>5</vt:i4>
      </vt:variant>
      <vt:variant>
        <vt:lpwstr/>
      </vt:variant>
      <vt:variant>
        <vt:lpwstr>_Toc162534618</vt:lpwstr>
      </vt:variant>
      <vt:variant>
        <vt:i4>1114166</vt:i4>
      </vt:variant>
      <vt:variant>
        <vt:i4>245</vt:i4>
      </vt:variant>
      <vt:variant>
        <vt:i4>0</vt:i4>
      </vt:variant>
      <vt:variant>
        <vt:i4>5</vt:i4>
      </vt:variant>
      <vt:variant>
        <vt:lpwstr/>
      </vt:variant>
      <vt:variant>
        <vt:lpwstr>_Toc162534617</vt:lpwstr>
      </vt:variant>
      <vt:variant>
        <vt:i4>1114166</vt:i4>
      </vt:variant>
      <vt:variant>
        <vt:i4>239</vt:i4>
      </vt:variant>
      <vt:variant>
        <vt:i4>0</vt:i4>
      </vt:variant>
      <vt:variant>
        <vt:i4>5</vt:i4>
      </vt:variant>
      <vt:variant>
        <vt:lpwstr/>
      </vt:variant>
      <vt:variant>
        <vt:lpwstr>_Toc162534616</vt:lpwstr>
      </vt:variant>
      <vt:variant>
        <vt:i4>1114166</vt:i4>
      </vt:variant>
      <vt:variant>
        <vt:i4>233</vt:i4>
      </vt:variant>
      <vt:variant>
        <vt:i4>0</vt:i4>
      </vt:variant>
      <vt:variant>
        <vt:i4>5</vt:i4>
      </vt:variant>
      <vt:variant>
        <vt:lpwstr/>
      </vt:variant>
      <vt:variant>
        <vt:lpwstr>_Toc162534615</vt:lpwstr>
      </vt:variant>
      <vt:variant>
        <vt:i4>1114166</vt:i4>
      </vt:variant>
      <vt:variant>
        <vt:i4>227</vt:i4>
      </vt:variant>
      <vt:variant>
        <vt:i4>0</vt:i4>
      </vt:variant>
      <vt:variant>
        <vt:i4>5</vt:i4>
      </vt:variant>
      <vt:variant>
        <vt:lpwstr/>
      </vt:variant>
      <vt:variant>
        <vt:lpwstr>_Toc162534614</vt:lpwstr>
      </vt:variant>
      <vt:variant>
        <vt:i4>1114166</vt:i4>
      </vt:variant>
      <vt:variant>
        <vt:i4>221</vt:i4>
      </vt:variant>
      <vt:variant>
        <vt:i4>0</vt:i4>
      </vt:variant>
      <vt:variant>
        <vt:i4>5</vt:i4>
      </vt:variant>
      <vt:variant>
        <vt:lpwstr/>
      </vt:variant>
      <vt:variant>
        <vt:lpwstr>_Toc162534613</vt:lpwstr>
      </vt:variant>
      <vt:variant>
        <vt:i4>1114166</vt:i4>
      </vt:variant>
      <vt:variant>
        <vt:i4>215</vt:i4>
      </vt:variant>
      <vt:variant>
        <vt:i4>0</vt:i4>
      </vt:variant>
      <vt:variant>
        <vt:i4>5</vt:i4>
      </vt:variant>
      <vt:variant>
        <vt:lpwstr/>
      </vt:variant>
      <vt:variant>
        <vt:lpwstr>_Toc162534612</vt:lpwstr>
      </vt:variant>
      <vt:variant>
        <vt:i4>1114166</vt:i4>
      </vt:variant>
      <vt:variant>
        <vt:i4>209</vt:i4>
      </vt:variant>
      <vt:variant>
        <vt:i4>0</vt:i4>
      </vt:variant>
      <vt:variant>
        <vt:i4>5</vt:i4>
      </vt:variant>
      <vt:variant>
        <vt:lpwstr/>
      </vt:variant>
      <vt:variant>
        <vt:lpwstr>_Toc162534611</vt:lpwstr>
      </vt:variant>
      <vt:variant>
        <vt:i4>1114166</vt:i4>
      </vt:variant>
      <vt:variant>
        <vt:i4>203</vt:i4>
      </vt:variant>
      <vt:variant>
        <vt:i4>0</vt:i4>
      </vt:variant>
      <vt:variant>
        <vt:i4>5</vt:i4>
      </vt:variant>
      <vt:variant>
        <vt:lpwstr/>
      </vt:variant>
      <vt:variant>
        <vt:lpwstr>_Toc162534610</vt:lpwstr>
      </vt:variant>
      <vt:variant>
        <vt:i4>1048630</vt:i4>
      </vt:variant>
      <vt:variant>
        <vt:i4>197</vt:i4>
      </vt:variant>
      <vt:variant>
        <vt:i4>0</vt:i4>
      </vt:variant>
      <vt:variant>
        <vt:i4>5</vt:i4>
      </vt:variant>
      <vt:variant>
        <vt:lpwstr/>
      </vt:variant>
      <vt:variant>
        <vt:lpwstr>_Toc162534609</vt:lpwstr>
      </vt:variant>
      <vt:variant>
        <vt:i4>1048630</vt:i4>
      </vt:variant>
      <vt:variant>
        <vt:i4>191</vt:i4>
      </vt:variant>
      <vt:variant>
        <vt:i4>0</vt:i4>
      </vt:variant>
      <vt:variant>
        <vt:i4>5</vt:i4>
      </vt:variant>
      <vt:variant>
        <vt:lpwstr/>
      </vt:variant>
      <vt:variant>
        <vt:lpwstr>_Toc162534608</vt:lpwstr>
      </vt:variant>
      <vt:variant>
        <vt:i4>1048630</vt:i4>
      </vt:variant>
      <vt:variant>
        <vt:i4>185</vt:i4>
      </vt:variant>
      <vt:variant>
        <vt:i4>0</vt:i4>
      </vt:variant>
      <vt:variant>
        <vt:i4>5</vt:i4>
      </vt:variant>
      <vt:variant>
        <vt:lpwstr/>
      </vt:variant>
      <vt:variant>
        <vt:lpwstr>_Toc162534607</vt:lpwstr>
      </vt:variant>
      <vt:variant>
        <vt:i4>1048630</vt:i4>
      </vt:variant>
      <vt:variant>
        <vt:i4>179</vt:i4>
      </vt:variant>
      <vt:variant>
        <vt:i4>0</vt:i4>
      </vt:variant>
      <vt:variant>
        <vt:i4>5</vt:i4>
      </vt:variant>
      <vt:variant>
        <vt:lpwstr/>
      </vt:variant>
      <vt:variant>
        <vt:lpwstr>_Toc162534606</vt:lpwstr>
      </vt:variant>
      <vt:variant>
        <vt:i4>1048630</vt:i4>
      </vt:variant>
      <vt:variant>
        <vt:i4>173</vt:i4>
      </vt:variant>
      <vt:variant>
        <vt:i4>0</vt:i4>
      </vt:variant>
      <vt:variant>
        <vt:i4>5</vt:i4>
      </vt:variant>
      <vt:variant>
        <vt:lpwstr/>
      </vt:variant>
      <vt:variant>
        <vt:lpwstr>_Toc162534605</vt:lpwstr>
      </vt:variant>
      <vt:variant>
        <vt:i4>1048630</vt:i4>
      </vt:variant>
      <vt:variant>
        <vt:i4>167</vt:i4>
      </vt:variant>
      <vt:variant>
        <vt:i4>0</vt:i4>
      </vt:variant>
      <vt:variant>
        <vt:i4>5</vt:i4>
      </vt:variant>
      <vt:variant>
        <vt:lpwstr/>
      </vt:variant>
      <vt:variant>
        <vt:lpwstr>_Toc162534604</vt:lpwstr>
      </vt:variant>
      <vt:variant>
        <vt:i4>1048630</vt:i4>
      </vt:variant>
      <vt:variant>
        <vt:i4>161</vt:i4>
      </vt:variant>
      <vt:variant>
        <vt:i4>0</vt:i4>
      </vt:variant>
      <vt:variant>
        <vt:i4>5</vt:i4>
      </vt:variant>
      <vt:variant>
        <vt:lpwstr/>
      </vt:variant>
      <vt:variant>
        <vt:lpwstr>_Toc162534603</vt:lpwstr>
      </vt:variant>
      <vt:variant>
        <vt:i4>1048630</vt:i4>
      </vt:variant>
      <vt:variant>
        <vt:i4>155</vt:i4>
      </vt:variant>
      <vt:variant>
        <vt:i4>0</vt:i4>
      </vt:variant>
      <vt:variant>
        <vt:i4>5</vt:i4>
      </vt:variant>
      <vt:variant>
        <vt:lpwstr/>
      </vt:variant>
      <vt:variant>
        <vt:lpwstr>_Toc162534602</vt:lpwstr>
      </vt:variant>
      <vt:variant>
        <vt:i4>1048630</vt:i4>
      </vt:variant>
      <vt:variant>
        <vt:i4>149</vt:i4>
      </vt:variant>
      <vt:variant>
        <vt:i4>0</vt:i4>
      </vt:variant>
      <vt:variant>
        <vt:i4>5</vt:i4>
      </vt:variant>
      <vt:variant>
        <vt:lpwstr/>
      </vt:variant>
      <vt:variant>
        <vt:lpwstr>_Toc162534601</vt:lpwstr>
      </vt:variant>
      <vt:variant>
        <vt:i4>1048630</vt:i4>
      </vt:variant>
      <vt:variant>
        <vt:i4>143</vt:i4>
      </vt:variant>
      <vt:variant>
        <vt:i4>0</vt:i4>
      </vt:variant>
      <vt:variant>
        <vt:i4>5</vt:i4>
      </vt:variant>
      <vt:variant>
        <vt:lpwstr/>
      </vt:variant>
      <vt:variant>
        <vt:lpwstr>_Toc162534600</vt:lpwstr>
      </vt:variant>
      <vt:variant>
        <vt:i4>1638453</vt:i4>
      </vt:variant>
      <vt:variant>
        <vt:i4>137</vt:i4>
      </vt:variant>
      <vt:variant>
        <vt:i4>0</vt:i4>
      </vt:variant>
      <vt:variant>
        <vt:i4>5</vt:i4>
      </vt:variant>
      <vt:variant>
        <vt:lpwstr/>
      </vt:variant>
      <vt:variant>
        <vt:lpwstr>_Toc162534599</vt:lpwstr>
      </vt:variant>
      <vt:variant>
        <vt:i4>1638453</vt:i4>
      </vt:variant>
      <vt:variant>
        <vt:i4>131</vt:i4>
      </vt:variant>
      <vt:variant>
        <vt:i4>0</vt:i4>
      </vt:variant>
      <vt:variant>
        <vt:i4>5</vt:i4>
      </vt:variant>
      <vt:variant>
        <vt:lpwstr/>
      </vt:variant>
      <vt:variant>
        <vt:lpwstr>_Toc162534598</vt:lpwstr>
      </vt:variant>
      <vt:variant>
        <vt:i4>1638453</vt:i4>
      </vt:variant>
      <vt:variant>
        <vt:i4>125</vt:i4>
      </vt:variant>
      <vt:variant>
        <vt:i4>0</vt:i4>
      </vt:variant>
      <vt:variant>
        <vt:i4>5</vt:i4>
      </vt:variant>
      <vt:variant>
        <vt:lpwstr/>
      </vt:variant>
      <vt:variant>
        <vt:lpwstr>_Toc162534597</vt:lpwstr>
      </vt:variant>
      <vt:variant>
        <vt:i4>1638453</vt:i4>
      </vt:variant>
      <vt:variant>
        <vt:i4>119</vt:i4>
      </vt:variant>
      <vt:variant>
        <vt:i4>0</vt:i4>
      </vt:variant>
      <vt:variant>
        <vt:i4>5</vt:i4>
      </vt:variant>
      <vt:variant>
        <vt:lpwstr/>
      </vt:variant>
      <vt:variant>
        <vt:lpwstr>_Toc162534596</vt:lpwstr>
      </vt:variant>
      <vt:variant>
        <vt:i4>1638453</vt:i4>
      </vt:variant>
      <vt:variant>
        <vt:i4>113</vt:i4>
      </vt:variant>
      <vt:variant>
        <vt:i4>0</vt:i4>
      </vt:variant>
      <vt:variant>
        <vt:i4>5</vt:i4>
      </vt:variant>
      <vt:variant>
        <vt:lpwstr/>
      </vt:variant>
      <vt:variant>
        <vt:lpwstr>_Toc162534595</vt:lpwstr>
      </vt:variant>
      <vt:variant>
        <vt:i4>1638453</vt:i4>
      </vt:variant>
      <vt:variant>
        <vt:i4>107</vt:i4>
      </vt:variant>
      <vt:variant>
        <vt:i4>0</vt:i4>
      </vt:variant>
      <vt:variant>
        <vt:i4>5</vt:i4>
      </vt:variant>
      <vt:variant>
        <vt:lpwstr/>
      </vt:variant>
      <vt:variant>
        <vt:lpwstr>_Toc162534594</vt:lpwstr>
      </vt:variant>
      <vt:variant>
        <vt:i4>1638453</vt:i4>
      </vt:variant>
      <vt:variant>
        <vt:i4>101</vt:i4>
      </vt:variant>
      <vt:variant>
        <vt:i4>0</vt:i4>
      </vt:variant>
      <vt:variant>
        <vt:i4>5</vt:i4>
      </vt:variant>
      <vt:variant>
        <vt:lpwstr/>
      </vt:variant>
      <vt:variant>
        <vt:lpwstr>_Toc162534593</vt:lpwstr>
      </vt:variant>
      <vt:variant>
        <vt:i4>1638453</vt:i4>
      </vt:variant>
      <vt:variant>
        <vt:i4>95</vt:i4>
      </vt:variant>
      <vt:variant>
        <vt:i4>0</vt:i4>
      </vt:variant>
      <vt:variant>
        <vt:i4>5</vt:i4>
      </vt:variant>
      <vt:variant>
        <vt:lpwstr/>
      </vt:variant>
      <vt:variant>
        <vt:lpwstr>_Toc162534592</vt:lpwstr>
      </vt:variant>
      <vt:variant>
        <vt:i4>1638453</vt:i4>
      </vt:variant>
      <vt:variant>
        <vt:i4>89</vt:i4>
      </vt:variant>
      <vt:variant>
        <vt:i4>0</vt:i4>
      </vt:variant>
      <vt:variant>
        <vt:i4>5</vt:i4>
      </vt:variant>
      <vt:variant>
        <vt:lpwstr/>
      </vt:variant>
      <vt:variant>
        <vt:lpwstr>_Toc162534591</vt:lpwstr>
      </vt:variant>
      <vt:variant>
        <vt:i4>1638453</vt:i4>
      </vt:variant>
      <vt:variant>
        <vt:i4>83</vt:i4>
      </vt:variant>
      <vt:variant>
        <vt:i4>0</vt:i4>
      </vt:variant>
      <vt:variant>
        <vt:i4>5</vt:i4>
      </vt:variant>
      <vt:variant>
        <vt:lpwstr/>
      </vt:variant>
      <vt:variant>
        <vt:lpwstr>_Toc162534590</vt:lpwstr>
      </vt:variant>
      <vt:variant>
        <vt:i4>1572917</vt:i4>
      </vt:variant>
      <vt:variant>
        <vt:i4>77</vt:i4>
      </vt:variant>
      <vt:variant>
        <vt:i4>0</vt:i4>
      </vt:variant>
      <vt:variant>
        <vt:i4>5</vt:i4>
      </vt:variant>
      <vt:variant>
        <vt:lpwstr/>
      </vt:variant>
      <vt:variant>
        <vt:lpwstr>_Toc162534589</vt:lpwstr>
      </vt:variant>
      <vt:variant>
        <vt:i4>1572917</vt:i4>
      </vt:variant>
      <vt:variant>
        <vt:i4>71</vt:i4>
      </vt:variant>
      <vt:variant>
        <vt:i4>0</vt:i4>
      </vt:variant>
      <vt:variant>
        <vt:i4>5</vt:i4>
      </vt:variant>
      <vt:variant>
        <vt:lpwstr/>
      </vt:variant>
      <vt:variant>
        <vt:lpwstr>_Toc162534588</vt:lpwstr>
      </vt:variant>
      <vt:variant>
        <vt:i4>1572917</vt:i4>
      </vt:variant>
      <vt:variant>
        <vt:i4>65</vt:i4>
      </vt:variant>
      <vt:variant>
        <vt:i4>0</vt:i4>
      </vt:variant>
      <vt:variant>
        <vt:i4>5</vt:i4>
      </vt:variant>
      <vt:variant>
        <vt:lpwstr/>
      </vt:variant>
      <vt:variant>
        <vt:lpwstr>_Toc162534587</vt:lpwstr>
      </vt:variant>
      <vt:variant>
        <vt:i4>1572917</vt:i4>
      </vt:variant>
      <vt:variant>
        <vt:i4>59</vt:i4>
      </vt:variant>
      <vt:variant>
        <vt:i4>0</vt:i4>
      </vt:variant>
      <vt:variant>
        <vt:i4>5</vt:i4>
      </vt:variant>
      <vt:variant>
        <vt:lpwstr/>
      </vt:variant>
      <vt:variant>
        <vt:lpwstr>_Toc162534586</vt:lpwstr>
      </vt:variant>
      <vt:variant>
        <vt:i4>1572917</vt:i4>
      </vt:variant>
      <vt:variant>
        <vt:i4>53</vt:i4>
      </vt:variant>
      <vt:variant>
        <vt:i4>0</vt:i4>
      </vt:variant>
      <vt:variant>
        <vt:i4>5</vt:i4>
      </vt:variant>
      <vt:variant>
        <vt:lpwstr/>
      </vt:variant>
      <vt:variant>
        <vt:lpwstr>_Toc162534585</vt:lpwstr>
      </vt:variant>
      <vt:variant>
        <vt:i4>1572917</vt:i4>
      </vt:variant>
      <vt:variant>
        <vt:i4>47</vt:i4>
      </vt:variant>
      <vt:variant>
        <vt:i4>0</vt:i4>
      </vt:variant>
      <vt:variant>
        <vt:i4>5</vt:i4>
      </vt:variant>
      <vt:variant>
        <vt:lpwstr/>
      </vt:variant>
      <vt:variant>
        <vt:lpwstr>_Toc162534584</vt:lpwstr>
      </vt:variant>
      <vt:variant>
        <vt:i4>1572917</vt:i4>
      </vt:variant>
      <vt:variant>
        <vt:i4>41</vt:i4>
      </vt:variant>
      <vt:variant>
        <vt:i4>0</vt:i4>
      </vt:variant>
      <vt:variant>
        <vt:i4>5</vt:i4>
      </vt:variant>
      <vt:variant>
        <vt:lpwstr/>
      </vt:variant>
      <vt:variant>
        <vt:lpwstr>_Toc162534583</vt:lpwstr>
      </vt:variant>
      <vt:variant>
        <vt:i4>1572917</vt:i4>
      </vt:variant>
      <vt:variant>
        <vt:i4>35</vt:i4>
      </vt:variant>
      <vt:variant>
        <vt:i4>0</vt:i4>
      </vt:variant>
      <vt:variant>
        <vt:i4>5</vt:i4>
      </vt:variant>
      <vt:variant>
        <vt:lpwstr/>
      </vt:variant>
      <vt:variant>
        <vt:lpwstr>_Toc162534582</vt:lpwstr>
      </vt:variant>
      <vt:variant>
        <vt:i4>1572917</vt:i4>
      </vt:variant>
      <vt:variant>
        <vt:i4>29</vt:i4>
      </vt:variant>
      <vt:variant>
        <vt:i4>0</vt:i4>
      </vt:variant>
      <vt:variant>
        <vt:i4>5</vt:i4>
      </vt:variant>
      <vt:variant>
        <vt:lpwstr/>
      </vt:variant>
      <vt:variant>
        <vt:lpwstr>_Toc162534581</vt:lpwstr>
      </vt:variant>
      <vt:variant>
        <vt:i4>1572917</vt:i4>
      </vt:variant>
      <vt:variant>
        <vt:i4>23</vt:i4>
      </vt:variant>
      <vt:variant>
        <vt:i4>0</vt:i4>
      </vt:variant>
      <vt:variant>
        <vt:i4>5</vt:i4>
      </vt:variant>
      <vt:variant>
        <vt:lpwstr/>
      </vt:variant>
      <vt:variant>
        <vt:lpwstr>_Toc162534580</vt:lpwstr>
      </vt:variant>
      <vt:variant>
        <vt:i4>1507381</vt:i4>
      </vt:variant>
      <vt:variant>
        <vt:i4>17</vt:i4>
      </vt:variant>
      <vt:variant>
        <vt:i4>0</vt:i4>
      </vt:variant>
      <vt:variant>
        <vt:i4>5</vt:i4>
      </vt:variant>
      <vt:variant>
        <vt:lpwstr/>
      </vt:variant>
      <vt:variant>
        <vt:lpwstr>_Toc162534579</vt:lpwstr>
      </vt:variant>
      <vt:variant>
        <vt:i4>1507381</vt:i4>
      </vt:variant>
      <vt:variant>
        <vt:i4>11</vt:i4>
      </vt:variant>
      <vt:variant>
        <vt:i4>0</vt:i4>
      </vt:variant>
      <vt:variant>
        <vt:i4>5</vt:i4>
      </vt:variant>
      <vt:variant>
        <vt:lpwstr/>
      </vt:variant>
      <vt:variant>
        <vt:lpwstr>_Toc162534578</vt:lpwstr>
      </vt:variant>
      <vt:variant>
        <vt:i4>1507381</vt:i4>
      </vt:variant>
      <vt:variant>
        <vt:i4>5</vt:i4>
      </vt:variant>
      <vt:variant>
        <vt:i4>0</vt:i4>
      </vt:variant>
      <vt:variant>
        <vt:i4>5</vt:i4>
      </vt:variant>
      <vt:variant>
        <vt:lpwstr/>
      </vt:variant>
      <vt:variant>
        <vt:lpwstr>_Toc162534577</vt:lpwstr>
      </vt:variant>
      <vt:variant>
        <vt:i4>4194377</vt:i4>
      </vt:variant>
      <vt:variant>
        <vt:i4>0</vt:i4>
      </vt:variant>
      <vt:variant>
        <vt:i4>0</vt:i4>
      </vt:variant>
      <vt:variant>
        <vt:i4>5</vt:i4>
      </vt:variant>
      <vt:variant>
        <vt:lpwstr>https://www.cbd.int/doc/c/7dd8/8b09/f2e26fbd0b429324524f39a1/cop-15-08-en.pdf</vt:lpwstr>
      </vt:variant>
      <vt:variant>
        <vt:lpwstr/>
      </vt:variant>
      <vt:variant>
        <vt:i4>851990</vt:i4>
      </vt:variant>
      <vt:variant>
        <vt:i4>114</vt:i4>
      </vt:variant>
      <vt:variant>
        <vt:i4>0</vt:i4>
      </vt:variant>
      <vt:variant>
        <vt:i4>5</vt:i4>
      </vt:variant>
      <vt:variant>
        <vt:lpwstr>https://www.thegef.org/council-meeting-documents/gef-c-66-15</vt:lpwstr>
      </vt:variant>
      <vt:variant>
        <vt:lpwstr/>
      </vt:variant>
      <vt:variant>
        <vt:i4>4522065</vt:i4>
      </vt:variant>
      <vt:variant>
        <vt:i4>111</vt:i4>
      </vt:variant>
      <vt:variant>
        <vt:i4>0</vt:i4>
      </vt:variant>
      <vt:variant>
        <vt:i4>5</vt:i4>
      </vt:variant>
      <vt:variant>
        <vt:lpwstr>https://www.gefieo.org/sites/default/files/documents/council-documents/c-66-e-02.pdf</vt:lpwstr>
      </vt:variant>
      <vt:variant>
        <vt:lpwstr/>
      </vt:variant>
      <vt:variant>
        <vt:i4>786454</vt:i4>
      </vt:variant>
      <vt:variant>
        <vt:i4>108</vt:i4>
      </vt:variant>
      <vt:variant>
        <vt:i4>0</vt:i4>
      </vt:variant>
      <vt:variant>
        <vt:i4>5</vt:i4>
      </vt:variant>
      <vt:variant>
        <vt:lpwstr>https://www.thegef.org/council-meeting-documents/gef-c-66-14</vt:lpwstr>
      </vt:variant>
      <vt:variant>
        <vt:lpwstr/>
      </vt:variant>
      <vt:variant>
        <vt:i4>2556028</vt:i4>
      </vt:variant>
      <vt:variant>
        <vt:i4>105</vt:i4>
      </vt:variant>
      <vt:variant>
        <vt:i4>0</vt:i4>
      </vt:variant>
      <vt:variant>
        <vt:i4>5</vt:i4>
      </vt:variant>
      <vt:variant>
        <vt:lpwstr>https://www.gefieo.org/sites/default/files/documents/council-documents/c-66-e-01-a.pdf</vt:lpwstr>
      </vt:variant>
      <vt:variant>
        <vt:lpwstr/>
      </vt:variant>
      <vt:variant>
        <vt:i4>786452</vt:i4>
      </vt:variant>
      <vt:variant>
        <vt:i4>102</vt:i4>
      </vt:variant>
      <vt:variant>
        <vt:i4>0</vt:i4>
      </vt:variant>
      <vt:variant>
        <vt:i4>5</vt:i4>
      </vt:variant>
      <vt:variant>
        <vt:lpwstr>https://www.thegef.org/council-meeting-documents/gef-c-64-14</vt:lpwstr>
      </vt:variant>
      <vt:variant>
        <vt:lpwstr/>
      </vt:variant>
      <vt:variant>
        <vt:i4>2949181</vt:i4>
      </vt:variant>
      <vt:variant>
        <vt:i4>99</vt:i4>
      </vt:variant>
      <vt:variant>
        <vt:i4>0</vt:i4>
      </vt:variant>
      <vt:variant>
        <vt:i4>5</vt:i4>
      </vt:variant>
      <vt:variant>
        <vt:lpwstr>https://www.gefieo.org/sites/default/files/documents/council-documents/c-64-e-02-rev-01.pdf</vt:lpwstr>
      </vt:variant>
      <vt:variant>
        <vt:lpwstr/>
      </vt:variant>
      <vt:variant>
        <vt:i4>3670135</vt:i4>
      </vt:variant>
      <vt:variant>
        <vt:i4>96</vt:i4>
      </vt:variant>
      <vt:variant>
        <vt:i4>0</vt:i4>
      </vt:variant>
      <vt:variant>
        <vt:i4>5</vt:i4>
      </vt:variant>
      <vt:variant>
        <vt:lpwstr>https://www.thegef.org/council-meeting-documents/gef-c-62-14-rev-01</vt:lpwstr>
      </vt:variant>
      <vt:variant>
        <vt:lpwstr/>
      </vt:variant>
      <vt:variant>
        <vt:i4>4522069</vt:i4>
      </vt:variant>
      <vt:variant>
        <vt:i4>93</vt:i4>
      </vt:variant>
      <vt:variant>
        <vt:i4>0</vt:i4>
      </vt:variant>
      <vt:variant>
        <vt:i4>5</vt:i4>
      </vt:variant>
      <vt:variant>
        <vt:lpwstr>https://www.gefieo.org/sites/default/files/documents/council-documents/c-62-e-02.pdf</vt:lpwstr>
      </vt:variant>
      <vt:variant>
        <vt:lpwstr/>
      </vt:variant>
      <vt:variant>
        <vt:i4>4063318</vt:i4>
      </vt:variant>
      <vt:variant>
        <vt:i4>90</vt:i4>
      </vt:variant>
      <vt:variant>
        <vt:i4>0</vt:i4>
      </vt:variant>
      <vt:variant>
        <vt:i4>5</vt:i4>
      </vt:variant>
      <vt:variant>
        <vt:lpwstr>https://www.thegef.org/sites/default/files/documents/2024-02/GEFScorecard_FEB2024.pdf</vt:lpwstr>
      </vt:variant>
      <vt:variant>
        <vt:lpwstr/>
      </vt:variant>
      <vt:variant>
        <vt:i4>4063318</vt:i4>
      </vt:variant>
      <vt:variant>
        <vt:i4>87</vt:i4>
      </vt:variant>
      <vt:variant>
        <vt:i4>0</vt:i4>
      </vt:variant>
      <vt:variant>
        <vt:i4>5</vt:i4>
      </vt:variant>
      <vt:variant>
        <vt:lpwstr>https://www.thegef.org/sites/default/files/documents/2024-02/GEFScorecard_FEB2024.pdf</vt:lpwstr>
      </vt:variant>
      <vt:variant>
        <vt:lpwstr/>
      </vt:variant>
      <vt:variant>
        <vt:i4>7929866</vt:i4>
      </vt:variant>
      <vt:variant>
        <vt:i4>84</vt:i4>
      </vt:variant>
      <vt:variant>
        <vt:i4>0</vt:i4>
      </vt:variant>
      <vt:variant>
        <vt:i4>5</vt:i4>
      </vt:variant>
      <vt:variant>
        <vt:lpwstr>https://www.thegef.org/sites/default/files/documents/2022-06/EN_GEF.C.62.Inf_.04_GEF_Corporate_Scorecard_June_2020.pdf</vt:lpwstr>
      </vt:variant>
      <vt:variant>
        <vt:lpwstr/>
      </vt:variant>
      <vt:variant>
        <vt:i4>7209048</vt:i4>
      </vt:variant>
      <vt:variant>
        <vt:i4>81</vt:i4>
      </vt:variant>
      <vt:variant>
        <vt:i4>0</vt:i4>
      </vt:variant>
      <vt:variant>
        <vt:i4>5</vt:i4>
      </vt:variant>
      <vt:variant>
        <vt:lpwstr>http://www.thegef.org/sites/default/files/council-meeting-documents/EN_GEF.C.54.11.Rev_.02_Results.pdf</vt:lpwstr>
      </vt:variant>
      <vt:variant>
        <vt:lpwstr/>
      </vt:variant>
      <vt:variant>
        <vt:i4>5439587</vt:i4>
      </vt:variant>
      <vt:variant>
        <vt:i4>78</vt:i4>
      </vt:variant>
      <vt:variant>
        <vt:i4>0</vt:i4>
      </vt:variant>
      <vt:variant>
        <vt:i4>5</vt:i4>
      </vt:variant>
      <vt:variant>
        <vt:lpwstr>https://www.thegef.org/sites/default/files/council-meeting-documents/EN_GEF.C.56.03.Rev_.01_Policy_on_Monitoring.pdf</vt:lpwstr>
      </vt:variant>
      <vt:variant>
        <vt:lpwstr/>
      </vt:variant>
      <vt:variant>
        <vt:i4>6422582</vt:i4>
      </vt:variant>
      <vt:variant>
        <vt:i4>75</vt:i4>
      </vt:variant>
      <vt:variant>
        <vt:i4>0</vt:i4>
      </vt:variant>
      <vt:variant>
        <vt:i4>5</vt:i4>
      </vt:variant>
      <vt:variant>
        <vt:lpwstr>https://www.cbd.int/notifications/2023-062</vt:lpwstr>
      </vt:variant>
      <vt:variant>
        <vt:lpwstr/>
      </vt:variant>
      <vt:variant>
        <vt:i4>6684725</vt:i4>
      </vt:variant>
      <vt:variant>
        <vt:i4>72</vt:i4>
      </vt:variant>
      <vt:variant>
        <vt:i4>0</vt:i4>
      </vt:variant>
      <vt:variant>
        <vt:i4>5</vt:i4>
      </vt:variant>
      <vt:variant>
        <vt:lpwstr>https://www.cbd.int/notifications/2023-056</vt:lpwstr>
      </vt:variant>
      <vt:variant>
        <vt:lpwstr/>
      </vt:variant>
      <vt:variant>
        <vt:i4>6684725</vt:i4>
      </vt:variant>
      <vt:variant>
        <vt:i4>69</vt:i4>
      </vt:variant>
      <vt:variant>
        <vt:i4>0</vt:i4>
      </vt:variant>
      <vt:variant>
        <vt:i4>5</vt:i4>
      </vt:variant>
      <vt:variant>
        <vt:lpwstr>https://www.cbd.int/notifications/2023-056</vt:lpwstr>
      </vt:variant>
      <vt:variant>
        <vt:lpwstr/>
      </vt:variant>
      <vt:variant>
        <vt:i4>6357044</vt:i4>
      </vt:variant>
      <vt:variant>
        <vt:i4>66</vt:i4>
      </vt:variant>
      <vt:variant>
        <vt:i4>0</vt:i4>
      </vt:variant>
      <vt:variant>
        <vt:i4>5</vt:i4>
      </vt:variant>
      <vt:variant>
        <vt:lpwstr>https://www.cbd.int/notifications/2023-041</vt:lpwstr>
      </vt:variant>
      <vt:variant>
        <vt:lpwstr/>
      </vt:variant>
      <vt:variant>
        <vt:i4>6357044</vt:i4>
      </vt:variant>
      <vt:variant>
        <vt:i4>63</vt:i4>
      </vt:variant>
      <vt:variant>
        <vt:i4>0</vt:i4>
      </vt:variant>
      <vt:variant>
        <vt:i4>5</vt:i4>
      </vt:variant>
      <vt:variant>
        <vt:lpwstr>https://www.cbd.int/notifications/2023-041</vt:lpwstr>
      </vt:variant>
      <vt:variant>
        <vt:lpwstr/>
      </vt:variant>
      <vt:variant>
        <vt:i4>8257640</vt:i4>
      </vt:variant>
      <vt:variant>
        <vt:i4>60</vt:i4>
      </vt:variant>
      <vt:variant>
        <vt:i4>0</vt:i4>
      </vt:variant>
      <vt:variant>
        <vt:i4>5</vt:i4>
      </vt:variant>
      <vt:variant>
        <vt:lpwstr>https://www.thegef.org/sites/default/files/documents/2023-09/EN_GEF.C.64.06.Rev_.02_GBF_Fund_Programming_Directions.pdf</vt:lpwstr>
      </vt:variant>
      <vt:variant>
        <vt:lpwstr/>
      </vt:variant>
      <vt:variant>
        <vt:i4>4325487</vt:i4>
      </vt:variant>
      <vt:variant>
        <vt:i4>57</vt:i4>
      </vt:variant>
      <vt:variant>
        <vt:i4>0</vt:i4>
      </vt:variant>
      <vt:variant>
        <vt:i4>5</vt:i4>
      </vt:variant>
      <vt:variant>
        <vt:lpwstr>https://www.thegef.org/sites/default/files/documents/2023-07/EN_GEF.C.64.05.REV01_Global Biodiversity_Framework_Fund_Establishment final checked.pdf</vt:lpwstr>
      </vt:variant>
      <vt:variant>
        <vt:lpwstr/>
      </vt:variant>
      <vt:variant>
        <vt:i4>655384</vt:i4>
      </vt:variant>
      <vt:variant>
        <vt:i4>54</vt:i4>
      </vt:variant>
      <vt:variant>
        <vt:i4>0</vt:i4>
      </vt:variant>
      <vt:variant>
        <vt:i4>5</vt:i4>
      </vt:variant>
      <vt:variant>
        <vt:lpwstr>https://www.thegef.org/sites/default/files/documents/2024-02/EN_GEF.C.66.08.Rev_.03_Streamlining_GEF_Project_Cycle.pdf</vt:lpwstr>
      </vt:variant>
      <vt:variant>
        <vt:lpwstr/>
      </vt:variant>
      <vt:variant>
        <vt:i4>1900550</vt:i4>
      </vt:variant>
      <vt:variant>
        <vt:i4>51</vt:i4>
      </vt:variant>
      <vt:variant>
        <vt:i4>0</vt:i4>
      </vt:variant>
      <vt:variant>
        <vt:i4>5</vt:i4>
      </vt:variant>
      <vt:variant>
        <vt:lpwstr>https://ukcop26.org/mdb-joint-statement/</vt:lpwstr>
      </vt:variant>
      <vt:variant>
        <vt:lpwstr/>
      </vt:variant>
      <vt:variant>
        <vt:i4>4718598</vt:i4>
      </vt:variant>
      <vt:variant>
        <vt:i4>48</vt:i4>
      </vt:variant>
      <vt:variant>
        <vt:i4>0</vt:i4>
      </vt:variant>
      <vt:variant>
        <vt:i4>5</vt:i4>
      </vt:variant>
      <vt:variant>
        <vt:lpwstr>https://www.thegef.org/sites/default/files/documents/gef_environmental_social_safeguards_policy.pdf</vt:lpwstr>
      </vt:variant>
      <vt:variant>
        <vt:lpwstr/>
      </vt:variant>
      <vt:variant>
        <vt:i4>5636111</vt:i4>
      </vt:variant>
      <vt:variant>
        <vt:i4>45</vt:i4>
      </vt:variant>
      <vt:variant>
        <vt:i4>0</vt:i4>
      </vt:variant>
      <vt:variant>
        <vt:i4>5</vt:i4>
      </vt:variant>
      <vt:variant>
        <vt:lpwstr>https://www.thegef.org/sites/default/files/documents/Gender_Equality_Policy.pdf</vt:lpwstr>
      </vt:variant>
      <vt:variant>
        <vt:lpwstr/>
      </vt:variant>
      <vt:variant>
        <vt:i4>3866658</vt:i4>
      </vt:variant>
      <vt:variant>
        <vt:i4>42</vt:i4>
      </vt:variant>
      <vt:variant>
        <vt:i4>0</vt:i4>
      </vt:variant>
      <vt:variant>
        <vt:i4>5</vt:i4>
      </vt:variant>
      <vt:variant>
        <vt:lpwstr>https://www.thegef.org/council-meeting-documents/gef-gbff-01-03-rev-03</vt:lpwstr>
      </vt:variant>
      <vt:variant>
        <vt:lpwstr/>
      </vt:variant>
      <vt:variant>
        <vt:i4>8257640</vt:i4>
      </vt:variant>
      <vt:variant>
        <vt:i4>39</vt:i4>
      </vt:variant>
      <vt:variant>
        <vt:i4>0</vt:i4>
      </vt:variant>
      <vt:variant>
        <vt:i4>5</vt:i4>
      </vt:variant>
      <vt:variant>
        <vt:lpwstr>https://www.thegef.org/sites/default/files/documents/2023-09/EN_GEF.C.64.06.Rev_.02_GBF_Fund_Programming_Directions.pdf</vt:lpwstr>
      </vt:variant>
      <vt:variant>
        <vt:lpwstr/>
      </vt:variant>
      <vt:variant>
        <vt:i4>4325487</vt:i4>
      </vt:variant>
      <vt:variant>
        <vt:i4>36</vt:i4>
      </vt:variant>
      <vt:variant>
        <vt:i4>0</vt:i4>
      </vt:variant>
      <vt:variant>
        <vt:i4>5</vt:i4>
      </vt:variant>
      <vt:variant>
        <vt:lpwstr>https://www.thegef.org/sites/default/files/documents/2023-07/EN_GEF.C.64.05.REV01_Global Biodiversity_Framework_Fund_Establishment final checked.pdf</vt:lpwstr>
      </vt:variant>
      <vt:variant>
        <vt:lpwstr/>
      </vt:variant>
      <vt:variant>
        <vt:i4>6422582</vt:i4>
      </vt:variant>
      <vt:variant>
        <vt:i4>33</vt:i4>
      </vt:variant>
      <vt:variant>
        <vt:i4>0</vt:i4>
      </vt:variant>
      <vt:variant>
        <vt:i4>5</vt:i4>
      </vt:variant>
      <vt:variant>
        <vt:lpwstr>https://www.cbd.int/notifications/2023-062</vt:lpwstr>
      </vt:variant>
      <vt:variant>
        <vt:lpwstr/>
      </vt:variant>
      <vt:variant>
        <vt:i4>6684725</vt:i4>
      </vt:variant>
      <vt:variant>
        <vt:i4>30</vt:i4>
      </vt:variant>
      <vt:variant>
        <vt:i4>0</vt:i4>
      </vt:variant>
      <vt:variant>
        <vt:i4>5</vt:i4>
      </vt:variant>
      <vt:variant>
        <vt:lpwstr>https://www.cbd.int/notifications/2023-056</vt:lpwstr>
      </vt:variant>
      <vt:variant>
        <vt:lpwstr/>
      </vt:variant>
      <vt:variant>
        <vt:i4>6684725</vt:i4>
      </vt:variant>
      <vt:variant>
        <vt:i4>27</vt:i4>
      </vt:variant>
      <vt:variant>
        <vt:i4>0</vt:i4>
      </vt:variant>
      <vt:variant>
        <vt:i4>5</vt:i4>
      </vt:variant>
      <vt:variant>
        <vt:lpwstr>https://www.cbd.int/notifications/2023-056</vt:lpwstr>
      </vt:variant>
      <vt:variant>
        <vt:lpwstr/>
      </vt:variant>
      <vt:variant>
        <vt:i4>6357044</vt:i4>
      </vt:variant>
      <vt:variant>
        <vt:i4>24</vt:i4>
      </vt:variant>
      <vt:variant>
        <vt:i4>0</vt:i4>
      </vt:variant>
      <vt:variant>
        <vt:i4>5</vt:i4>
      </vt:variant>
      <vt:variant>
        <vt:lpwstr>https://www.cbd.int/notifications/2023-041</vt:lpwstr>
      </vt:variant>
      <vt:variant>
        <vt:lpwstr/>
      </vt:variant>
      <vt:variant>
        <vt:i4>6357044</vt:i4>
      </vt:variant>
      <vt:variant>
        <vt:i4>21</vt:i4>
      </vt:variant>
      <vt:variant>
        <vt:i4>0</vt:i4>
      </vt:variant>
      <vt:variant>
        <vt:i4>5</vt:i4>
      </vt:variant>
      <vt:variant>
        <vt:lpwstr>https://www.cbd.int/notifications/2023-041</vt:lpwstr>
      </vt:variant>
      <vt:variant>
        <vt:lpwstr/>
      </vt:variant>
      <vt:variant>
        <vt:i4>655384</vt:i4>
      </vt:variant>
      <vt:variant>
        <vt:i4>18</vt:i4>
      </vt:variant>
      <vt:variant>
        <vt:i4>0</vt:i4>
      </vt:variant>
      <vt:variant>
        <vt:i4>5</vt:i4>
      </vt:variant>
      <vt:variant>
        <vt:lpwstr>https://www.thegef.org/sites/default/files/documents/2024-02/EN_GEF.C.66.08.Rev_.03_Streamlining_GEF_Project_Cycle.pdf</vt:lpwstr>
      </vt:variant>
      <vt:variant>
        <vt:lpwstr/>
      </vt:variant>
      <vt:variant>
        <vt:i4>720970</vt:i4>
      </vt:variant>
      <vt:variant>
        <vt:i4>15</vt:i4>
      </vt:variant>
      <vt:variant>
        <vt:i4>0</vt:i4>
      </vt:variant>
      <vt:variant>
        <vt:i4>5</vt:i4>
      </vt:variant>
      <vt:variant>
        <vt:lpwstr>https://www.cbd.int/doc/decisions/cop-15/cop-15-dec-15-en.pdf</vt:lpwstr>
      </vt:variant>
      <vt:variant>
        <vt:lpwstr/>
      </vt:variant>
      <vt:variant>
        <vt:i4>5963790</vt:i4>
      </vt:variant>
      <vt:variant>
        <vt:i4>12</vt:i4>
      </vt:variant>
      <vt:variant>
        <vt:i4>0</vt:i4>
      </vt:variant>
      <vt:variant>
        <vt:i4>5</vt:i4>
      </vt:variant>
      <vt:variant>
        <vt:lpwstr>https://sgp.undp.org/innovation-library/item/2458-gef-small-grants-programme-annual-monitoring-report-2022---2023-(summary-infographic).html</vt:lpwstr>
      </vt:variant>
      <vt:variant>
        <vt:lpwstr/>
      </vt:variant>
      <vt:variant>
        <vt:i4>983063</vt:i4>
      </vt:variant>
      <vt:variant>
        <vt:i4>9</vt:i4>
      </vt:variant>
      <vt:variant>
        <vt:i4>0</vt:i4>
      </vt:variant>
      <vt:variant>
        <vt:i4>5</vt:i4>
      </vt:variant>
      <vt:variant>
        <vt:lpwstr>https://www.thegef.org/council-meeting-documents/gef-c-66-07</vt:lpwstr>
      </vt:variant>
      <vt:variant>
        <vt:lpwstr/>
      </vt:variant>
      <vt:variant>
        <vt:i4>7995448</vt:i4>
      </vt:variant>
      <vt:variant>
        <vt:i4>6</vt:i4>
      </vt:variant>
      <vt:variant>
        <vt:i4>0</vt:i4>
      </vt:variant>
      <vt:variant>
        <vt:i4>5</vt:i4>
      </vt:variant>
      <vt:variant>
        <vt:lpwstr>https://www.cbd.int/gbf/targets</vt:lpwstr>
      </vt:variant>
      <vt:variant>
        <vt:lpwstr/>
      </vt:variant>
      <vt:variant>
        <vt:i4>8257640</vt:i4>
      </vt:variant>
      <vt:variant>
        <vt:i4>3</vt:i4>
      </vt:variant>
      <vt:variant>
        <vt:i4>0</vt:i4>
      </vt:variant>
      <vt:variant>
        <vt:i4>5</vt:i4>
      </vt:variant>
      <vt:variant>
        <vt:lpwstr>https://www.thegef.org/sites/default/files/documents/2023-09/EN_GEF.C.64.06.Rev_.02_GBF_Fund_Programming_Directions.pdf</vt:lpwstr>
      </vt:variant>
      <vt:variant>
        <vt:lpwstr/>
      </vt:variant>
      <vt:variant>
        <vt:i4>4325487</vt:i4>
      </vt:variant>
      <vt:variant>
        <vt:i4>0</vt:i4>
      </vt:variant>
      <vt:variant>
        <vt:i4>0</vt:i4>
      </vt:variant>
      <vt:variant>
        <vt:i4>5</vt:i4>
      </vt:variant>
      <vt:variant>
        <vt:lpwstr>https://www.thegef.org/sites/default/files/documents/2023-07/EN_GEF.C.64.05.REV01_Global Biodiversity_Framework_Fund_Establishment final checked.pdf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Предварительный доклад Совета Глобального экологического фонда</dc:title>
  <dc:subject>CBD/COP/15/8</dc:subject>
  <dc:creator>Mark Thomas Zimsky</dc:creator>
  <cp:keywords>Subsidiary Body on Implementation, third meeting</cp:keywords>
  <dc:description/>
  <cp:lastModifiedBy>Anna Langrand</cp:lastModifiedBy>
  <cp:revision>182</cp:revision>
  <cp:lastPrinted>2024-04-18T20:32:00Z</cp:lastPrinted>
  <dcterms:created xsi:type="dcterms:W3CDTF">2024-05-06T07:44:00Z</dcterms:created>
  <dcterms:modified xsi:type="dcterms:W3CDTF">2024-05-06T14:23:00Z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