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Layout w:type="fixed"/>
        <w:tblLook w:val="00A0"/>
      </w:tblPr>
      <w:tblGrid>
        <w:gridCol w:w="976"/>
        <w:gridCol w:w="5141"/>
        <w:gridCol w:w="4090"/>
      </w:tblGrid>
      <w:tr w:rsidR="006C097D">
        <w:trPr>
          <w:trHeight w:val="844"/>
        </w:trPr>
        <w:tc>
          <w:tcPr>
            <w:tcW w:w="976" w:type="dxa"/>
            <w:tcBorders>
              <w:bottom w:val="single" w:sz="12" w:space="0" w:color="auto"/>
            </w:tcBorders>
          </w:tcPr>
          <w:p w:rsidR="006C097D" w:rsidRDefault="007835B8">
            <w:pPr>
              <w:suppressLineNumbers/>
              <w:suppressAutoHyphens/>
              <w:rPr>
                <w:rFonts w:eastAsia="Times New Roman"/>
                <w:kern w:val="22"/>
                <w:lang/>
              </w:rPr>
            </w:pPr>
            <w:r>
              <w:rPr>
                <w:noProof/>
                <w:snapToGrid/>
                <w:lang w:val="en-US" w:eastAsia="en-US"/>
              </w:rPr>
              <w:drawing>
                <wp:anchor distT="0" distB="0" distL="114300" distR="114300" simplePos="0" relativeHeight="251657728" behindDoc="0" locked="0" layoutInCell="1" allowOverlap="1">
                  <wp:simplePos x="0" y="0"/>
                  <wp:positionH relativeFrom="column">
                    <wp:posOffset>635</wp:posOffset>
                  </wp:positionH>
                  <wp:positionV relativeFrom="page">
                    <wp:posOffset>0</wp:posOffset>
                  </wp:positionV>
                  <wp:extent cx="476250" cy="402590"/>
                  <wp:effectExtent l="19050" t="0" r="0" b="0"/>
                  <wp:wrapNone/>
                  <wp:docPr id="3"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a:srcRect/>
                          <a:stretch>
                            <a:fillRect/>
                          </a:stretch>
                        </pic:blipFill>
                        <pic:spPr bwMode="auto">
                          <a:xfrm>
                            <a:off x="0" y="0"/>
                            <a:ext cx="476250" cy="402590"/>
                          </a:xfrm>
                          <a:prstGeom prst="rect">
                            <a:avLst/>
                          </a:prstGeom>
                          <a:noFill/>
                          <a:ln w="9525">
                            <a:noFill/>
                            <a:miter lim="800000"/>
                            <a:headEnd/>
                            <a:tailEnd/>
                          </a:ln>
                        </pic:spPr>
                      </pic:pic>
                    </a:graphicData>
                  </a:graphic>
                </wp:anchor>
              </w:drawing>
            </w:r>
          </w:p>
        </w:tc>
        <w:tc>
          <w:tcPr>
            <w:tcW w:w="5141" w:type="dxa"/>
            <w:tcBorders>
              <w:bottom w:val="single" w:sz="12" w:space="0" w:color="auto"/>
            </w:tcBorders>
            <w:tcFitText/>
          </w:tcPr>
          <w:p w:rsidR="006C097D" w:rsidRDefault="007835B8">
            <w:pPr>
              <w:suppressLineNumbers/>
              <w:suppressAutoHyphens/>
              <w:rPr>
                <w:rFonts w:eastAsia="Times New Roman"/>
                <w:kern w:val="22"/>
                <w:lang/>
              </w:rPr>
            </w:pPr>
            <w:r>
              <w:rPr>
                <w:rFonts w:eastAsia="Times New Roman"/>
                <w:noProof/>
                <w:snapToGrid/>
                <w:kern w:val="22"/>
                <w:lang w:val="en-US" w:eastAsia="en-US"/>
              </w:rPr>
              <w:drawing>
                <wp:inline distT="0" distB="0" distL="0" distR="0">
                  <wp:extent cx="701040" cy="401320"/>
                  <wp:effectExtent l="19050" t="0" r="381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701040" cy="40132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6C097D" w:rsidRDefault="006C097D">
            <w:pPr>
              <w:suppressLineNumbers/>
              <w:suppressAutoHyphens/>
              <w:jc w:val="right"/>
              <w:rPr>
                <w:rFonts w:ascii="Arial" w:eastAsia="Times New Roman" w:hAnsi="Arial" w:cs="Arial"/>
                <w:b/>
                <w:bCs/>
                <w:kern w:val="22"/>
                <w:sz w:val="32"/>
                <w:szCs w:val="32"/>
                <w:lang/>
              </w:rPr>
            </w:pPr>
            <w:r>
              <w:rPr>
                <w:rFonts w:ascii="Arial" w:eastAsia="Times New Roman" w:hAnsi="Arial" w:cs="Arial"/>
                <w:b/>
                <w:bCs/>
                <w:noProof/>
                <w:kern w:val="22"/>
                <w:sz w:val="32"/>
                <w:szCs w:val="32"/>
                <w:lang/>
              </w:rPr>
              <w:t>CBD</w:t>
            </w:r>
          </w:p>
        </w:tc>
      </w:tr>
      <w:tr w:rsidR="006C097D">
        <w:tc>
          <w:tcPr>
            <w:tcW w:w="6117" w:type="dxa"/>
            <w:gridSpan w:val="2"/>
            <w:tcBorders>
              <w:top w:val="single" w:sz="12" w:space="0" w:color="auto"/>
              <w:bottom w:val="single" w:sz="36" w:space="0" w:color="auto"/>
            </w:tcBorders>
            <w:vAlign w:val="center"/>
          </w:tcPr>
          <w:p w:rsidR="006C097D" w:rsidRDefault="007835B8">
            <w:pPr>
              <w:suppressLineNumbers/>
              <w:suppressAutoHyphens/>
              <w:rPr>
                <w:rFonts w:eastAsia="Times New Roman"/>
                <w:kern w:val="22"/>
                <w:lang/>
              </w:rPr>
            </w:pPr>
            <w:r>
              <w:rPr>
                <w:rFonts w:eastAsia="Times New Roman"/>
                <w:noProof/>
                <w:snapToGrid/>
                <w:kern w:val="22"/>
                <w:lang w:val="en-US" w:eastAsia="en-US"/>
              </w:rPr>
              <w:drawing>
                <wp:inline distT="0" distB="0" distL="0" distR="0">
                  <wp:extent cx="2900680" cy="1056640"/>
                  <wp:effectExtent l="1905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srcRect/>
                          <a:stretch>
                            <a:fillRect/>
                          </a:stretch>
                        </pic:blipFill>
                        <pic:spPr bwMode="auto">
                          <a:xfrm>
                            <a:off x="0" y="0"/>
                            <a:ext cx="2900680" cy="105664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6C097D" w:rsidRDefault="006C097D">
            <w:pPr>
              <w:suppressLineNumbers/>
              <w:suppressAutoHyphens/>
              <w:ind w:left="1215"/>
              <w:rPr>
                <w:rFonts w:eastAsia="Times New Roman"/>
                <w:kern w:val="22"/>
                <w:lang/>
              </w:rPr>
            </w:pPr>
            <w:r>
              <w:rPr>
                <w:rFonts w:eastAsia="Times New Roman"/>
                <w:noProof/>
                <w:kern w:val="22"/>
                <w:lang/>
              </w:rPr>
              <w:t>Distr.</w:t>
            </w:r>
          </w:p>
          <w:p w:rsidR="006C097D" w:rsidRDefault="006C097D">
            <w:pPr>
              <w:suppressLineNumbers/>
              <w:suppressAutoHyphens/>
              <w:ind w:left="1215"/>
              <w:jc w:val="left"/>
              <w:rPr>
                <w:rFonts w:eastAsia="Times New Roman"/>
                <w:kern w:val="22"/>
                <w:lang/>
              </w:rPr>
            </w:pPr>
            <w:r>
              <w:rPr>
                <w:rFonts w:eastAsia="Times New Roman"/>
                <w:noProof/>
                <w:kern w:val="22"/>
                <w:lang/>
              </w:rPr>
              <w:t>GENERAL</w:t>
            </w:r>
          </w:p>
          <w:p w:rsidR="006C097D" w:rsidRDefault="006C097D">
            <w:pPr>
              <w:suppressLineNumbers/>
              <w:suppressAutoHyphens/>
              <w:ind w:left="1215"/>
              <w:rPr>
                <w:rFonts w:eastAsia="Times New Roman"/>
                <w:kern w:val="22"/>
                <w:lang/>
              </w:rPr>
            </w:pPr>
          </w:p>
          <w:p w:rsidR="006C097D" w:rsidRDefault="006C097D">
            <w:pPr>
              <w:suppressLineNumbers/>
              <w:suppressAutoHyphens/>
              <w:ind w:left="1215"/>
              <w:rPr>
                <w:rFonts w:eastAsia="Times New Roman"/>
                <w:kern w:val="22"/>
                <w:lang/>
              </w:rPr>
            </w:pPr>
            <w:r>
              <w:rPr>
                <w:rFonts w:eastAsia="Times New Roman"/>
                <w:noProof/>
                <w:kern w:val="22"/>
                <w:lang/>
              </w:rPr>
              <w:t>CBD/WG2020/4/1</w:t>
            </w:r>
          </w:p>
          <w:p w:rsidR="006C097D" w:rsidRDefault="006C097D">
            <w:pPr>
              <w:suppressLineNumbers/>
              <w:suppressAutoHyphens/>
              <w:ind w:left="1215"/>
              <w:jc w:val="left"/>
              <w:rPr>
                <w:rFonts w:eastAsia="Times New Roman"/>
                <w:kern w:val="22"/>
                <w:lang/>
              </w:rPr>
            </w:pPr>
            <w:r>
              <w:rPr>
                <w:rFonts w:eastAsia="Times New Roman"/>
                <w:noProof/>
                <w:kern w:val="22"/>
                <w:lang/>
              </w:rPr>
              <w:t>2 de abril de 2022</w:t>
            </w:r>
          </w:p>
          <w:p w:rsidR="006C097D" w:rsidRDefault="006C097D">
            <w:pPr>
              <w:suppressLineNumbers/>
              <w:suppressAutoHyphens/>
              <w:ind w:left="1215"/>
              <w:rPr>
                <w:rFonts w:eastAsia="Times New Roman"/>
                <w:kern w:val="22"/>
                <w:lang/>
              </w:rPr>
            </w:pPr>
          </w:p>
          <w:p w:rsidR="006C097D" w:rsidRDefault="006C097D">
            <w:pPr>
              <w:suppressLineNumbers/>
              <w:suppressAutoHyphens/>
              <w:ind w:left="1215"/>
              <w:rPr>
                <w:rFonts w:eastAsia="Times New Roman"/>
                <w:kern w:val="22"/>
                <w:lang/>
              </w:rPr>
            </w:pPr>
            <w:r>
              <w:rPr>
                <w:rFonts w:eastAsia="Times New Roman"/>
                <w:noProof/>
                <w:kern w:val="22"/>
                <w:lang/>
              </w:rPr>
              <w:t>ESPAÑOL</w:t>
            </w:r>
          </w:p>
          <w:p w:rsidR="006C097D" w:rsidRDefault="006C097D">
            <w:pPr>
              <w:suppressLineNumbers/>
              <w:suppressAutoHyphens/>
              <w:ind w:left="1215"/>
              <w:rPr>
                <w:rFonts w:eastAsia="Times New Roman"/>
                <w:kern w:val="22"/>
                <w:lang/>
              </w:rPr>
            </w:pPr>
            <w:r>
              <w:rPr>
                <w:rFonts w:eastAsia="Times New Roman"/>
                <w:noProof/>
                <w:kern w:val="22"/>
                <w:lang/>
              </w:rPr>
              <w:t>ORIGINAL:</w:t>
            </w:r>
            <w:r>
              <w:rPr>
                <w:rFonts w:eastAsia="Times New Roman"/>
                <w:kern w:val="22"/>
                <w:lang/>
              </w:rPr>
              <w:t xml:space="preserve"> </w:t>
            </w:r>
            <w:r>
              <w:rPr>
                <w:rFonts w:eastAsia="Times New Roman"/>
                <w:noProof/>
                <w:kern w:val="22"/>
                <w:lang/>
              </w:rPr>
              <w:t>INGLÉS</w:t>
            </w:r>
          </w:p>
          <w:p w:rsidR="006C097D" w:rsidRDefault="006C097D">
            <w:pPr>
              <w:suppressLineNumbers/>
              <w:suppressAutoHyphens/>
              <w:rPr>
                <w:rFonts w:eastAsia="Times New Roman"/>
                <w:kern w:val="22"/>
                <w:lang/>
              </w:rPr>
            </w:pPr>
          </w:p>
        </w:tc>
      </w:tr>
    </w:tbl>
    <w:p w:rsidR="006C097D" w:rsidRDefault="006C097D">
      <w:pPr>
        <w:pStyle w:val="meetingname"/>
        <w:suppressLineNumbers/>
        <w:suppressAutoHyphens/>
        <w:ind w:right="5876"/>
        <w:jc w:val="left"/>
        <w:rPr>
          <w:rFonts w:eastAsia="Times New Roman"/>
          <w:caps w:val="0"/>
          <w:kern w:val="22"/>
          <w:lang/>
        </w:rPr>
      </w:pPr>
      <w:r>
        <w:rPr>
          <w:rFonts w:eastAsia="Times New Roman"/>
          <w:caps w:val="0"/>
          <w:noProof/>
        </w:rPr>
        <w:t>GRUPO DE TRABAJO DE COMPOSICIÓN ABIERTA SOBRE EL MARCO MUNDIAL DE LA DIVERSIDAD BIOLÓGICA POSTERIOR A 2020</w:t>
      </w:r>
    </w:p>
    <w:p w:rsidR="006C097D" w:rsidRDefault="006C097D">
      <w:pPr>
        <w:suppressLineNumbers/>
        <w:suppressAutoHyphens/>
        <w:ind w:left="142" w:right="4824" w:hanging="142"/>
        <w:jc w:val="left"/>
        <w:rPr>
          <w:rFonts w:eastAsia="Times New Roman"/>
          <w:kern w:val="22"/>
          <w:lang/>
        </w:rPr>
      </w:pPr>
      <w:r>
        <w:rPr>
          <w:rFonts w:eastAsia="Times New Roman"/>
          <w:noProof/>
          <w:kern w:val="22"/>
          <w:lang/>
        </w:rPr>
        <w:t>Cuarta reunión</w:t>
      </w:r>
    </w:p>
    <w:p w:rsidR="006C097D" w:rsidRDefault="006C097D">
      <w:pPr>
        <w:suppressLineNumbers/>
        <w:suppressAutoHyphens/>
        <w:ind w:left="142" w:right="4824" w:hanging="142"/>
        <w:jc w:val="left"/>
        <w:rPr>
          <w:rFonts w:eastAsia="Times New Roman"/>
          <w:kern w:val="22"/>
          <w:lang/>
        </w:rPr>
      </w:pPr>
      <w:r>
        <w:rPr>
          <w:rFonts w:eastAsia="Times New Roman"/>
          <w:noProof/>
          <w:kern w:val="22"/>
          <w:lang/>
        </w:rPr>
        <w:t>Nairobi, 21 a 26 de junio de 2022</w:t>
      </w:r>
    </w:p>
    <w:p w:rsidR="006C097D" w:rsidRDefault="006C097D">
      <w:pPr>
        <w:pStyle w:val="Heading1"/>
        <w:tabs>
          <w:tab w:val="clear" w:pos="720"/>
        </w:tabs>
        <w:rPr>
          <w:rFonts w:eastAsia="Times New Roman"/>
          <w:kern w:val="22"/>
          <w:lang/>
        </w:rPr>
      </w:pPr>
      <w:r>
        <w:rPr>
          <w:rFonts w:eastAsia="Times New Roman"/>
          <w:kern w:val="22"/>
          <w:lang w:val="es-ES"/>
        </w:rPr>
        <w:t>Programa provisional</w:t>
      </w:r>
    </w:p>
    <w:p w:rsidR="006C097D" w:rsidRDefault="006C097D">
      <w:pPr>
        <w:pStyle w:val="Para1"/>
        <w:numPr>
          <w:ilvl w:val="0"/>
          <w:numId w:val="23"/>
        </w:numPr>
        <w:tabs>
          <w:tab w:val="clear" w:pos="360"/>
          <w:tab w:val="num" w:pos="709"/>
        </w:tabs>
        <w:snapToGrid w:val="0"/>
        <w:ind w:left="709" w:hanging="709"/>
        <w:rPr>
          <w:rFonts w:eastAsia="Times New Roman"/>
          <w:kern w:val="22"/>
          <w:lang/>
        </w:rPr>
      </w:pPr>
      <w:r>
        <w:rPr>
          <w:rFonts w:eastAsia="Times New Roman"/>
          <w:kern w:val="22"/>
          <w:lang w:val="es-ES"/>
        </w:rPr>
        <w:t>Apertura de la reunión.</w:t>
      </w:r>
    </w:p>
    <w:p w:rsidR="006C097D" w:rsidRDefault="006C097D">
      <w:pPr>
        <w:pStyle w:val="Para1"/>
        <w:numPr>
          <w:ilvl w:val="0"/>
          <w:numId w:val="23"/>
        </w:numPr>
        <w:tabs>
          <w:tab w:val="clear" w:pos="360"/>
          <w:tab w:val="num" w:pos="709"/>
        </w:tabs>
        <w:snapToGrid w:val="0"/>
        <w:ind w:left="709" w:hanging="709"/>
        <w:rPr>
          <w:rFonts w:eastAsia="Times New Roman"/>
          <w:kern w:val="22"/>
          <w:lang/>
        </w:rPr>
      </w:pPr>
      <w:r>
        <w:rPr>
          <w:rFonts w:eastAsia="Times New Roman"/>
          <w:kern w:val="22"/>
          <w:lang w:val="es-ES"/>
        </w:rPr>
        <w:t>Organización de los trabajos.</w:t>
      </w:r>
    </w:p>
    <w:p w:rsidR="006C097D" w:rsidRDefault="006C097D">
      <w:pPr>
        <w:pStyle w:val="Para1"/>
        <w:numPr>
          <w:ilvl w:val="0"/>
          <w:numId w:val="23"/>
        </w:numPr>
        <w:tabs>
          <w:tab w:val="clear" w:pos="360"/>
          <w:tab w:val="num" w:pos="709"/>
        </w:tabs>
        <w:snapToGrid w:val="0"/>
        <w:ind w:left="709" w:hanging="709"/>
        <w:rPr>
          <w:rFonts w:eastAsia="Times New Roman"/>
          <w:kern w:val="22"/>
          <w:lang/>
        </w:rPr>
      </w:pPr>
      <w:r>
        <w:rPr>
          <w:rFonts w:eastAsia="Times New Roman"/>
          <w:kern w:val="22"/>
          <w:lang w:val="es-ES"/>
        </w:rPr>
        <w:t>Informes de los Órganos Subsidiarios del Convenio.</w:t>
      </w:r>
    </w:p>
    <w:p w:rsidR="006C097D" w:rsidRDefault="006C097D">
      <w:pPr>
        <w:pStyle w:val="Para1"/>
        <w:numPr>
          <w:ilvl w:val="0"/>
          <w:numId w:val="23"/>
        </w:numPr>
        <w:tabs>
          <w:tab w:val="clear" w:pos="360"/>
          <w:tab w:val="num" w:pos="709"/>
        </w:tabs>
        <w:snapToGrid w:val="0"/>
        <w:ind w:left="709" w:hanging="709"/>
        <w:rPr>
          <w:rFonts w:eastAsia="Times New Roman"/>
          <w:kern w:val="22"/>
          <w:lang/>
        </w:rPr>
      </w:pPr>
      <w:r>
        <w:rPr>
          <w:rFonts w:eastAsia="Times New Roman"/>
          <w:kern w:val="22"/>
          <w:lang w:val="es-ES"/>
        </w:rPr>
        <w:t>Marco mundial de la diversidad biológica posterior a 2020.</w:t>
      </w:r>
    </w:p>
    <w:p w:rsidR="006C097D" w:rsidRDefault="006C097D">
      <w:pPr>
        <w:pStyle w:val="Para1"/>
        <w:numPr>
          <w:ilvl w:val="0"/>
          <w:numId w:val="23"/>
        </w:numPr>
        <w:tabs>
          <w:tab w:val="clear" w:pos="360"/>
          <w:tab w:val="num" w:pos="709"/>
        </w:tabs>
        <w:snapToGrid w:val="0"/>
        <w:ind w:left="709" w:hanging="709"/>
        <w:rPr>
          <w:rFonts w:eastAsia="Times New Roman"/>
          <w:kern w:val="22"/>
          <w:lang/>
        </w:rPr>
      </w:pPr>
      <w:r>
        <w:rPr>
          <w:rFonts w:eastAsia="Times New Roman"/>
          <w:kern w:val="22"/>
          <w:lang w:val="es-ES"/>
        </w:rPr>
        <w:t>Información digital sobre secuencias de recursos genéticos.</w:t>
      </w:r>
    </w:p>
    <w:p w:rsidR="006C097D" w:rsidRDefault="006C097D">
      <w:pPr>
        <w:pStyle w:val="Para1"/>
        <w:numPr>
          <w:ilvl w:val="0"/>
          <w:numId w:val="23"/>
        </w:numPr>
        <w:tabs>
          <w:tab w:val="clear" w:pos="360"/>
          <w:tab w:val="num" w:pos="709"/>
        </w:tabs>
        <w:snapToGrid w:val="0"/>
        <w:ind w:left="709" w:hanging="709"/>
        <w:rPr>
          <w:rFonts w:eastAsia="Times New Roman"/>
          <w:kern w:val="22"/>
          <w:lang/>
        </w:rPr>
      </w:pPr>
      <w:r>
        <w:rPr>
          <w:rFonts w:eastAsia="Times New Roman"/>
          <w:kern w:val="22"/>
          <w:lang w:val="es-ES"/>
        </w:rPr>
        <w:t>Otros asuntos.</w:t>
      </w:r>
    </w:p>
    <w:p w:rsidR="006C097D" w:rsidRDefault="006C097D">
      <w:pPr>
        <w:pStyle w:val="Para1"/>
        <w:numPr>
          <w:ilvl w:val="0"/>
          <w:numId w:val="23"/>
        </w:numPr>
        <w:tabs>
          <w:tab w:val="clear" w:pos="360"/>
          <w:tab w:val="num" w:pos="709"/>
        </w:tabs>
        <w:snapToGrid w:val="0"/>
        <w:ind w:left="709" w:hanging="709"/>
        <w:rPr>
          <w:rFonts w:eastAsia="Times New Roman"/>
          <w:kern w:val="22"/>
          <w:lang/>
        </w:rPr>
      </w:pPr>
      <w:r>
        <w:rPr>
          <w:rFonts w:eastAsia="Times New Roman"/>
          <w:kern w:val="22"/>
          <w:lang w:val="es-ES"/>
        </w:rPr>
        <w:t>Adopción del informe.</w:t>
      </w:r>
    </w:p>
    <w:p w:rsidR="006C097D" w:rsidRDefault="006C097D">
      <w:pPr>
        <w:pStyle w:val="Para1"/>
        <w:numPr>
          <w:ilvl w:val="0"/>
          <w:numId w:val="23"/>
        </w:numPr>
        <w:tabs>
          <w:tab w:val="clear" w:pos="360"/>
          <w:tab w:val="num" w:pos="709"/>
        </w:tabs>
        <w:snapToGrid w:val="0"/>
        <w:ind w:left="709" w:hanging="709"/>
        <w:rPr>
          <w:rFonts w:eastAsia="Times New Roman"/>
          <w:kern w:val="22"/>
          <w:lang/>
        </w:rPr>
      </w:pPr>
      <w:r>
        <w:rPr>
          <w:rFonts w:eastAsia="Times New Roman"/>
          <w:kern w:val="22"/>
          <w:lang w:val="es-ES"/>
        </w:rPr>
        <w:t>Declaraciones de clausura.</w:t>
      </w:r>
    </w:p>
    <w:p w:rsidR="006C097D" w:rsidRDefault="006C097D">
      <w:pPr>
        <w:pStyle w:val="Para1"/>
        <w:numPr>
          <w:ilvl w:val="0"/>
          <w:numId w:val="0"/>
        </w:numPr>
        <w:suppressLineNumbers/>
        <w:suppressAutoHyphens/>
        <w:spacing w:before="0" w:after="0"/>
        <w:rPr>
          <w:rFonts w:eastAsia="Times New Roman"/>
          <w:kern w:val="22"/>
          <w:sz w:val="20"/>
          <w:szCs w:val="20"/>
          <w:lang/>
        </w:rPr>
      </w:pPr>
    </w:p>
    <w:p w:rsidR="006C097D" w:rsidRDefault="006C097D">
      <w:pPr>
        <w:suppressLineNumbers/>
        <w:suppressAutoHyphens/>
        <w:jc w:val="center"/>
        <w:rPr>
          <w:rFonts w:eastAsia="Times New Roman"/>
          <w:kern w:val="22"/>
          <w:lang/>
        </w:rPr>
      </w:pPr>
      <w:r>
        <w:rPr>
          <w:rFonts w:eastAsia="Times New Roman"/>
          <w:kern w:val="22"/>
          <w:lang/>
        </w:rPr>
        <w:t>__________</w:t>
      </w:r>
    </w:p>
    <w:sectPr w:rsidR="006C097D">
      <w:headerReference w:type="even" r:id="rId10"/>
      <w:headerReference w:type="default" r:id="rId11"/>
      <w:pgSz w:w="12240" w:h="15840" w:code="1"/>
      <w:pgMar w:top="562" w:right="1382" w:bottom="1138" w:left="1382"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213" w:rsidRDefault="005F5213">
      <w:pPr>
        <w:rPr>
          <w:rFonts w:eastAsia="Times New Roman"/>
        </w:rPr>
      </w:pPr>
      <w:r>
        <w:rPr>
          <w:rFonts w:eastAsia="Times New Roman"/>
        </w:rPr>
        <w:separator/>
      </w:r>
    </w:p>
  </w:endnote>
  <w:endnote w:type="continuationSeparator" w:id="1">
    <w:p w:rsidR="005F5213" w:rsidRDefault="005F5213">
      <w:pPr>
        <w:rPr>
          <w:rFonts w:eastAsia="Times New Roman"/>
        </w:rPr>
      </w:pPr>
      <w:r>
        <w:rPr>
          <w:rFonts w:eastAsia="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213" w:rsidRDefault="005F5213">
      <w:pPr>
        <w:rPr>
          <w:rFonts w:eastAsia="Times New Roman"/>
        </w:rPr>
      </w:pPr>
      <w:r>
        <w:rPr>
          <w:rFonts w:eastAsia="Times New Roman"/>
        </w:rPr>
        <w:separator/>
      </w:r>
    </w:p>
  </w:footnote>
  <w:footnote w:type="continuationSeparator" w:id="1">
    <w:p w:rsidR="005F5213" w:rsidRDefault="005F5213">
      <w:pPr>
        <w:rPr>
          <w:rFonts w:eastAsia="Times New Roman"/>
        </w:rPr>
      </w:pPr>
      <w:r>
        <w:rPr>
          <w:rFonts w:eastAsia="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97D" w:rsidRDefault="006C097D">
    <w:pPr>
      <w:pStyle w:val="Header"/>
      <w:suppressLineNumbers/>
      <w:tabs>
        <w:tab w:val="clear" w:pos="4320"/>
        <w:tab w:val="clear" w:pos="8640"/>
      </w:tabs>
      <w:suppressAutoHyphens/>
      <w:jc w:val="left"/>
      <w:rPr>
        <w:rFonts w:eastAsia="Times New Roman"/>
        <w:noProof/>
        <w:kern w:val="22"/>
        <w:lang w:val="en-US"/>
      </w:rPr>
    </w:pPr>
    <w:r>
      <w:rPr>
        <w:rFonts w:eastAsia="Times New Roman"/>
        <w:noProof/>
        <w:kern w:val="22"/>
        <w:lang w:val="en-US"/>
      </w:rPr>
      <w:t>CBD/WG2020/4/1</w:t>
    </w:r>
  </w:p>
  <w:p w:rsidR="006C097D" w:rsidRDefault="006C097D">
    <w:pPr>
      <w:pStyle w:val="Header"/>
      <w:suppressLineNumbers/>
      <w:tabs>
        <w:tab w:val="clear" w:pos="4320"/>
        <w:tab w:val="clear" w:pos="8640"/>
      </w:tabs>
      <w:suppressAutoHyphens/>
      <w:jc w:val="left"/>
      <w:rPr>
        <w:rFonts w:eastAsia="Times New Roman"/>
        <w:noProof/>
        <w:kern w:val="22"/>
        <w:lang w:val="en-US"/>
      </w:rPr>
    </w:pPr>
    <w:r>
      <w:rPr>
        <w:rFonts w:eastAsia="Times New Roman"/>
        <w:noProof/>
        <w:kern w:val="22"/>
        <w:lang w:val="en-US"/>
      </w:rPr>
      <w:t xml:space="preserve">Page </w:t>
    </w:r>
    <w:r>
      <w:rPr>
        <w:rFonts w:eastAsia="Times New Roman"/>
        <w:noProof/>
        <w:kern w:val="22"/>
        <w:lang w:val="en-US"/>
      </w:rPr>
      <w:fldChar w:fldCharType="begin"/>
    </w:r>
    <w:r>
      <w:rPr>
        <w:rFonts w:eastAsia="Times New Roman"/>
        <w:noProof/>
        <w:kern w:val="22"/>
        <w:lang w:val="en-US"/>
      </w:rPr>
      <w:instrText xml:space="preserve"> PAGE   \* MERGEFORMAT </w:instrText>
    </w:r>
    <w:r>
      <w:rPr>
        <w:rFonts w:eastAsia="Times New Roman"/>
        <w:noProof/>
        <w:kern w:val="22"/>
        <w:lang w:val="en-US"/>
      </w:rPr>
      <w:fldChar w:fldCharType="separate"/>
    </w:r>
    <w:r>
      <w:rPr>
        <w:rFonts w:eastAsia="Times New Roman"/>
        <w:noProof/>
        <w:kern w:val="22"/>
        <w:lang w:val="en-US"/>
      </w:rPr>
      <w:t>2</w:t>
    </w:r>
    <w:r>
      <w:rPr>
        <w:rFonts w:eastAsia="Times New Roman"/>
        <w:noProof/>
        <w:kern w:val="22"/>
        <w:lang w:val="en-US"/>
      </w:rPr>
      <w:fldChar w:fldCharType="end"/>
    </w:r>
  </w:p>
  <w:p w:rsidR="006C097D" w:rsidRDefault="006C097D">
    <w:pPr>
      <w:pStyle w:val="Header"/>
      <w:suppressLineNumbers/>
      <w:tabs>
        <w:tab w:val="clear" w:pos="4320"/>
        <w:tab w:val="clear" w:pos="8640"/>
      </w:tabs>
      <w:suppressAutoHyphens/>
      <w:jc w:val="left"/>
      <w:rPr>
        <w:rFonts w:eastAsia="Times New Roman"/>
        <w:noProof/>
        <w:kern w:val="22"/>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97D" w:rsidRDefault="006C097D">
    <w:pPr>
      <w:pStyle w:val="Header"/>
      <w:suppressLineNumbers/>
      <w:tabs>
        <w:tab w:val="clear" w:pos="4320"/>
        <w:tab w:val="clear" w:pos="8640"/>
      </w:tabs>
      <w:suppressAutoHyphens/>
      <w:jc w:val="right"/>
      <w:rPr>
        <w:rFonts w:eastAsia="Times New Roman"/>
        <w:noProof/>
        <w:kern w:val="22"/>
        <w:lang w:val="en-US"/>
      </w:rPr>
    </w:pPr>
    <w:r>
      <w:rPr>
        <w:rFonts w:eastAsia="Times New Roman"/>
        <w:noProof/>
        <w:kern w:val="22"/>
        <w:lang w:val="en-US"/>
      </w:rPr>
      <w:t>CBD/WG2020/4/1</w:t>
    </w:r>
  </w:p>
  <w:p w:rsidR="006C097D" w:rsidRDefault="006C097D">
    <w:pPr>
      <w:pStyle w:val="Header"/>
      <w:suppressLineNumbers/>
      <w:tabs>
        <w:tab w:val="clear" w:pos="4320"/>
        <w:tab w:val="clear" w:pos="8640"/>
      </w:tabs>
      <w:suppressAutoHyphens/>
      <w:jc w:val="right"/>
      <w:rPr>
        <w:rFonts w:eastAsia="Times New Roman"/>
        <w:noProof/>
        <w:kern w:val="22"/>
        <w:lang w:val="en-US"/>
      </w:rPr>
    </w:pPr>
    <w:r>
      <w:rPr>
        <w:rFonts w:eastAsia="Times New Roman"/>
        <w:noProof/>
        <w:kern w:val="22"/>
        <w:lang w:val="en-US"/>
      </w:rPr>
      <w:t xml:space="preserve">Page </w:t>
    </w:r>
    <w:r>
      <w:rPr>
        <w:rFonts w:eastAsia="Times New Roman"/>
        <w:noProof/>
        <w:kern w:val="22"/>
        <w:lang w:val="en-US"/>
      </w:rPr>
      <w:fldChar w:fldCharType="begin"/>
    </w:r>
    <w:r>
      <w:rPr>
        <w:rFonts w:eastAsia="Times New Roman"/>
        <w:noProof/>
        <w:kern w:val="22"/>
        <w:lang w:val="en-US"/>
      </w:rPr>
      <w:instrText xml:space="preserve"> PAGE   \* MERGEFORMAT </w:instrText>
    </w:r>
    <w:r>
      <w:rPr>
        <w:rFonts w:eastAsia="Times New Roman"/>
        <w:noProof/>
        <w:kern w:val="22"/>
        <w:lang w:val="en-US"/>
      </w:rPr>
      <w:fldChar w:fldCharType="separate"/>
    </w:r>
    <w:r>
      <w:rPr>
        <w:rFonts w:eastAsia="Times New Roman"/>
        <w:noProof/>
        <w:kern w:val="22"/>
        <w:lang w:val="en-US"/>
      </w:rPr>
      <w:t>3</w:t>
    </w:r>
    <w:r>
      <w:rPr>
        <w:rFonts w:eastAsia="Times New Roman"/>
        <w:noProof/>
        <w:kern w:val="22"/>
        <w:lang w:val="en-US"/>
      </w:rPr>
      <w:fldChar w:fldCharType="end"/>
    </w:r>
  </w:p>
  <w:p w:rsidR="006C097D" w:rsidRDefault="006C097D">
    <w:pPr>
      <w:pStyle w:val="Header"/>
      <w:suppressLineNumbers/>
      <w:tabs>
        <w:tab w:val="clear" w:pos="4320"/>
        <w:tab w:val="clear" w:pos="8640"/>
      </w:tabs>
      <w:suppressAutoHyphens/>
      <w:jc w:val="right"/>
      <w:rPr>
        <w:rFonts w:eastAsia="Times New Roman"/>
        <w:noProof/>
        <w:kern w:val="2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646"/>
    <w:multiLevelType w:val="hybridMultilevel"/>
    <w:tmpl w:val="41EEA96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C1E625D2">
      <w:start w:val="1"/>
      <w:numFmt w:val="lowerRoman"/>
      <w:lvlText w:val="(%3)"/>
      <w:lvlJc w:val="right"/>
      <w:pPr>
        <w:ind w:left="8280" w:hanging="180"/>
      </w:pPr>
      <w:rPr>
        <w:rFonts w:hint="default"/>
      </w:r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191"/>
        </w:tabs>
        <w:ind w:left="1191" w:hanging="471"/>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8510F5"/>
    <w:multiLevelType w:val="hybridMultilevel"/>
    <w:tmpl w:val="EA102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477FA5"/>
    <w:multiLevelType w:val="hybridMultilevel"/>
    <w:tmpl w:val="8512A1B4"/>
    <w:lvl w:ilvl="0" w:tplc="13F6269C">
      <w:start w:val="1"/>
      <w:numFmt w:val="decimal"/>
      <w:lvlText w:val="%1."/>
      <w:lvlJc w:val="left"/>
      <w:pPr>
        <w:tabs>
          <w:tab w:val="num" w:pos="720"/>
        </w:tabs>
      </w:pPr>
      <w:rPr>
        <w:rFonts w:hint="default"/>
      </w:rPr>
    </w:lvl>
    <w:lvl w:ilvl="1" w:tplc="561613B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E7D45E2"/>
    <w:multiLevelType w:val="multilevel"/>
    <w:tmpl w:val="C5CA635E"/>
    <w:lvl w:ilvl="0">
      <w:start w:val="1"/>
      <w:numFmt w:val="upperRoman"/>
      <w:lvlText w:val="%1."/>
      <w:lvlJc w:val="left"/>
      <w:pPr>
        <w:ind w:left="360" w:hanging="72"/>
      </w:pPr>
      <w:rPr>
        <w:rFonts w:hint="default"/>
        <w:b/>
        <w:bCs/>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FCB70DC"/>
    <w:multiLevelType w:val="hybridMultilevel"/>
    <w:tmpl w:val="0CD8208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6">
    <w:nsid w:val="2F0336B8"/>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7">
    <w:nsid w:val="3CA410CD"/>
    <w:multiLevelType w:val="hybridMultilevel"/>
    <w:tmpl w:val="FA427772"/>
    <w:lvl w:ilvl="0" w:tplc="6E482212">
      <w:start w:val="1"/>
      <w:numFmt w:val="decimal"/>
      <w:pStyle w:val="CBD-Para"/>
      <w:lvlText w:val="%1."/>
      <w:lvlJc w:val="left"/>
      <w:pPr>
        <w:tabs>
          <w:tab w:val="num" w:pos="720"/>
        </w:tabs>
      </w:pPr>
      <w:rPr>
        <w:b w:val="0"/>
        <w:bCs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44CC7FBB"/>
    <w:multiLevelType w:val="hybridMultilevel"/>
    <w:tmpl w:val="45E4BE68"/>
    <w:lvl w:ilvl="0" w:tplc="F89AE9DE">
      <w:start w:val="1"/>
      <w:numFmt w:val="lowerLetter"/>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nsid w:val="45B61A11"/>
    <w:multiLevelType w:val="hybridMultilevel"/>
    <w:tmpl w:val="7A72D4DA"/>
    <w:lvl w:ilvl="0" w:tplc="442EEA8C">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603078A"/>
    <w:multiLevelType w:val="hybridMultilevel"/>
    <w:tmpl w:val="9B5CB722"/>
    <w:lvl w:ilvl="0" w:tplc="37A4127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581151E5"/>
    <w:multiLevelType w:val="hybridMultilevel"/>
    <w:tmpl w:val="05FA9C00"/>
    <w:lvl w:ilvl="0" w:tplc="72F6D3AC">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85B521F"/>
    <w:multiLevelType w:val="hybridMultilevel"/>
    <w:tmpl w:val="A16A0180"/>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5">
    <w:nsid w:val="5C975246"/>
    <w:multiLevelType w:val="hybridMultilevel"/>
    <w:tmpl w:val="8CC0468E"/>
    <w:lvl w:ilvl="0" w:tplc="4342AD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0265376"/>
    <w:multiLevelType w:val="hybridMultilevel"/>
    <w:tmpl w:val="8766BC96"/>
    <w:lvl w:ilvl="0" w:tplc="56B2537C">
      <w:start w:val="1"/>
      <w:numFmt w:val="decimal"/>
      <w:lvlText w:val="%1."/>
      <w:lvlJc w:val="left"/>
      <w:pPr>
        <w:ind w:left="360" w:hanging="360"/>
      </w:pPr>
      <w:rPr>
        <w:b w:val="0"/>
        <w:bCs w:val="0"/>
        <w:i w:val="0"/>
        <w:iCs w:val="0"/>
      </w:rPr>
    </w:lvl>
    <w:lvl w:ilvl="1" w:tplc="10090019">
      <w:start w:val="1"/>
      <w:numFmt w:val="lowerLetter"/>
      <w:lvlText w:val="%2."/>
      <w:lvlJc w:val="left"/>
      <w:pPr>
        <w:ind w:left="1364" w:hanging="360"/>
      </w:pPr>
    </w:lvl>
    <w:lvl w:ilvl="2" w:tplc="1009001B">
      <w:start w:val="1"/>
      <w:numFmt w:val="lowerRoman"/>
      <w:lvlText w:val="%3."/>
      <w:lvlJc w:val="right"/>
      <w:pPr>
        <w:ind w:left="2084" w:hanging="180"/>
      </w:pPr>
    </w:lvl>
    <w:lvl w:ilvl="3" w:tplc="1009000F">
      <w:start w:val="1"/>
      <w:numFmt w:val="decimal"/>
      <w:lvlText w:val="%4."/>
      <w:lvlJc w:val="left"/>
      <w:pPr>
        <w:ind w:left="2804" w:hanging="360"/>
      </w:pPr>
    </w:lvl>
    <w:lvl w:ilvl="4" w:tplc="10090019">
      <w:start w:val="1"/>
      <w:numFmt w:val="lowerLetter"/>
      <w:lvlText w:val="%5."/>
      <w:lvlJc w:val="left"/>
      <w:pPr>
        <w:ind w:left="3524" w:hanging="360"/>
      </w:pPr>
    </w:lvl>
    <w:lvl w:ilvl="5" w:tplc="1009001B">
      <w:start w:val="1"/>
      <w:numFmt w:val="lowerRoman"/>
      <w:lvlText w:val="%6."/>
      <w:lvlJc w:val="right"/>
      <w:pPr>
        <w:ind w:left="4244" w:hanging="180"/>
      </w:pPr>
    </w:lvl>
    <w:lvl w:ilvl="6" w:tplc="1009000F">
      <w:start w:val="1"/>
      <w:numFmt w:val="decimal"/>
      <w:lvlText w:val="%7."/>
      <w:lvlJc w:val="left"/>
      <w:pPr>
        <w:ind w:left="4964" w:hanging="360"/>
      </w:pPr>
    </w:lvl>
    <w:lvl w:ilvl="7" w:tplc="10090019">
      <w:start w:val="1"/>
      <w:numFmt w:val="lowerLetter"/>
      <w:lvlText w:val="%8."/>
      <w:lvlJc w:val="left"/>
      <w:pPr>
        <w:ind w:left="5684" w:hanging="360"/>
      </w:pPr>
    </w:lvl>
    <w:lvl w:ilvl="8" w:tplc="1009001B">
      <w:start w:val="1"/>
      <w:numFmt w:val="lowerRoman"/>
      <w:lvlText w:val="%9."/>
      <w:lvlJc w:val="right"/>
      <w:pPr>
        <w:ind w:left="6404" w:hanging="180"/>
      </w:pPr>
    </w:lvl>
  </w:abstractNum>
  <w:abstractNum w:abstractNumId="17">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8">
    <w:nsid w:val="73D802DE"/>
    <w:multiLevelType w:val="hybridMultilevel"/>
    <w:tmpl w:val="33140710"/>
    <w:lvl w:ilvl="0" w:tplc="D30ACC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B617DFD"/>
    <w:multiLevelType w:val="hybridMultilevel"/>
    <w:tmpl w:val="0DFE41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1"/>
  </w:num>
  <w:num w:numId="3">
    <w:abstractNumId w:val="8"/>
  </w:num>
  <w:num w:numId="4">
    <w:abstractNumId w:val="11"/>
  </w:num>
  <w:num w:numId="5">
    <w:abstractNumId w:val="10"/>
  </w:num>
  <w:num w:numId="6">
    <w:abstractNumId w:val="1"/>
  </w:num>
  <w:num w:numId="7">
    <w:abstractNumId w:val="3"/>
  </w:num>
  <w:num w:numId="8">
    <w:abstractNumId w:val="8"/>
    <w:lvlOverride w:ilvl="0">
      <w:startOverride w:val="1"/>
    </w:lvlOverride>
  </w:num>
  <w:num w:numId="9">
    <w:abstractNumId w:val="17"/>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5"/>
  </w:num>
  <w:num w:numId="15">
    <w:abstractNumId w:val="13"/>
  </w:num>
  <w:num w:numId="16">
    <w:abstractNumId w:val="2"/>
  </w:num>
  <w:num w:numId="17">
    <w:abstractNumId w:val="18"/>
  </w:num>
  <w:num w:numId="18">
    <w:abstractNumId w:val="19"/>
  </w:num>
  <w:num w:numId="19">
    <w:abstractNumId w:val="16"/>
  </w:num>
  <w:num w:numId="20">
    <w:abstractNumId w:val="9"/>
  </w:num>
  <w:num w:numId="21">
    <w:abstractNumId w:val="7"/>
  </w:num>
  <w:num w:numId="22">
    <w:abstractNumId w:val="12"/>
  </w:num>
  <w:num w:numId="2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4"/>
  </w:num>
  <w:num w:numId="26">
    <w:abstractNumId w:val="14"/>
  </w:num>
  <w:num w:numId="27">
    <w:abstractNumId w:val="11"/>
  </w:num>
  <w:num w:numId="28">
    <w:abstractNumId w:val="5"/>
  </w:num>
  <w:num w:numId="29">
    <w:abstractNumId w:val="11"/>
  </w:num>
  <w:num w:numId="30">
    <w:abstractNumId w:val="11"/>
  </w:num>
  <w:num w:numId="31">
    <w:abstractNumId w:val="11"/>
  </w:num>
  <w:num w:numId="32">
    <w:abstractNumId w:val="11"/>
  </w:num>
  <w:num w:numId="33">
    <w:abstractNumId w:val="0"/>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evenAndOddHeaders/>
  <w:characterSpacingControl w:val="doNotCompress"/>
  <w:doNotValidateAgainstSchema/>
  <w:doNotDemarcateInvalidXml/>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E3ABKm5ubmhkbGFko6SsGpxcWZ+XkgBca1AMp5WkosAAAA"/>
  </w:docVars>
  <w:rsids>
    <w:rsidRoot w:val="00C9161D"/>
    <w:rsid w:val="000065F7"/>
    <w:rsid w:val="00032200"/>
    <w:rsid w:val="00052FDA"/>
    <w:rsid w:val="0005410E"/>
    <w:rsid w:val="00054A50"/>
    <w:rsid w:val="00070DA8"/>
    <w:rsid w:val="000715B3"/>
    <w:rsid w:val="0007171B"/>
    <w:rsid w:val="0007395D"/>
    <w:rsid w:val="00092D21"/>
    <w:rsid w:val="00092E93"/>
    <w:rsid w:val="000A72BA"/>
    <w:rsid w:val="000B61C9"/>
    <w:rsid w:val="000B6E78"/>
    <w:rsid w:val="000C2701"/>
    <w:rsid w:val="000C6D7F"/>
    <w:rsid w:val="000E673A"/>
    <w:rsid w:val="000E7787"/>
    <w:rsid w:val="000F3198"/>
    <w:rsid w:val="000F74F5"/>
    <w:rsid w:val="00105372"/>
    <w:rsid w:val="001135FB"/>
    <w:rsid w:val="00115DC3"/>
    <w:rsid w:val="00130B4E"/>
    <w:rsid w:val="001312AD"/>
    <w:rsid w:val="00131E7A"/>
    <w:rsid w:val="00134846"/>
    <w:rsid w:val="001462D9"/>
    <w:rsid w:val="00162CCB"/>
    <w:rsid w:val="00165834"/>
    <w:rsid w:val="00166D79"/>
    <w:rsid w:val="00167A47"/>
    <w:rsid w:val="00172AF6"/>
    <w:rsid w:val="00176CEE"/>
    <w:rsid w:val="001811A4"/>
    <w:rsid w:val="00181AF3"/>
    <w:rsid w:val="00186969"/>
    <w:rsid w:val="00186DD8"/>
    <w:rsid w:val="00194668"/>
    <w:rsid w:val="001A0BE9"/>
    <w:rsid w:val="001B13FE"/>
    <w:rsid w:val="001D0BDC"/>
    <w:rsid w:val="001D301C"/>
    <w:rsid w:val="001D3A4D"/>
    <w:rsid w:val="001D582F"/>
    <w:rsid w:val="001E1882"/>
    <w:rsid w:val="001E7C97"/>
    <w:rsid w:val="0020075F"/>
    <w:rsid w:val="00220BA9"/>
    <w:rsid w:val="002229C7"/>
    <w:rsid w:val="0022410B"/>
    <w:rsid w:val="00231DA2"/>
    <w:rsid w:val="00237D15"/>
    <w:rsid w:val="00261F4B"/>
    <w:rsid w:val="00263498"/>
    <w:rsid w:val="00287080"/>
    <w:rsid w:val="00292E0E"/>
    <w:rsid w:val="002A7AF0"/>
    <w:rsid w:val="002C1FA1"/>
    <w:rsid w:val="002C34FE"/>
    <w:rsid w:val="002D469D"/>
    <w:rsid w:val="002E3E82"/>
    <w:rsid w:val="0030169D"/>
    <w:rsid w:val="00304E69"/>
    <w:rsid w:val="003060EB"/>
    <w:rsid w:val="0030667E"/>
    <w:rsid w:val="00311F35"/>
    <w:rsid w:val="003153EB"/>
    <w:rsid w:val="00321985"/>
    <w:rsid w:val="00325AEE"/>
    <w:rsid w:val="00330714"/>
    <w:rsid w:val="0034158A"/>
    <w:rsid w:val="00351205"/>
    <w:rsid w:val="0035602F"/>
    <w:rsid w:val="00362AE0"/>
    <w:rsid w:val="00363016"/>
    <w:rsid w:val="00363EF7"/>
    <w:rsid w:val="0036742C"/>
    <w:rsid w:val="00372F74"/>
    <w:rsid w:val="003A1D0A"/>
    <w:rsid w:val="003A4837"/>
    <w:rsid w:val="003B5508"/>
    <w:rsid w:val="003C034F"/>
    <w:rsid w:val="003C0E5B"/>
    <w:rsid w:val="003C2C3C"/>
    <w:rsid w:val="003E0D78"/>
    <w:rsid w:val="003E4113"/>
    <w:rsid w:val="003F7224"/>
    <w:rsid w:val="00404C94"/>
    <w:rsid w:val="00426EC4"/>
    <w:rsid w:val="00427D21"/>
    <w:rsid w:val="00430AEE"/>
    <w:rsid w:val="00441045"/>
    <w:rsid w:val="004415E8"/>
    <w:rsid w:val="00454F39"/>
    <w:rsid w:val="004644C2"/>
    <w:rsid w:val="00467F9C"/>
    <w:rsid w:val="004740B0"/>
    <w:rsid w:val="00474D5D"/>
    <w:rsid w:val="004A2EA2"/>
    <w:rsid w:val="004B590C"/>
    <w:rsid w:val="004C6BF9"/>
    <w:rsid w:val="004E2CC3"/>
    <w:rsid w:val="00503F01"/>
    <w:rsid w:val="00514852"/>
    <w:rsid w:val="00516F9D"/>
    <w:rsid w:val="00521AA5"/>
    <w:rsid w:val="00525099"/>
    <w:rsid w:val="00530337"/>
    <w:rsid w:val="00533276"/>
    <w:rsid w:val="00534681"/>
    <w:rsid w:val="00536820"/>
    <w:rsid w:val="00546814"/>
    <w:rsid w:val="00551872"/>
    <w:rsid w:val="00563442"/>
    <w:rsid w:val="00565B42"/>
    <w:rsid w:val="00566264"/>
    <w:rsid w:val="005826CE"/>
    <w:rsid w:val="005A4CFA"/>
    <w:rsid w:val="005B5F5F"/>
    <w:rsid w:val="005C35E1"/>
    <w:rsid w:val="005C4CE6"/>
    <w:rsid w:val="005D0750"/>
    <w:rsid w:val="005D3FD3"/>
    <w:rsid w:val="005D5AE6"/>
    <w:rsid w:val="005F174A"/>
    <w:rsid w:val="005F5213"/>
    <w:rsid w:val="0061102D"/>
    <w:rsid w:val="006122BA"/>
    <w:rsid w:val="00622D64"/>
    <w:rsid w:val="006264AB"/>
    <w:rsid w:val="00644B89"/>
    <w:rsid w:val="00645CE2"/>
    <w:rsid w:val="00646980"/>
    <w:rsid w:val="0065227E"/>
    <w:rsid w:val="00656344"/>
    <w:rsid w:val="00662A05"/>
    <w:rsid w:val="00687BBF"/>
    <w:rsid w:val="006929F4"/>
    <w:rsid w:val="00696272"/>
    <w:rsid w:val="00697237"/>
    <w:rsid w:val="006A3878"/>
    <w:rsid w:val="006B2290"/>
    <w:rsid w:val="006B30A9"/>
    <w:rsid w:val="006C097D"/>
    <w:rsid w:val="006E0D3B"/>
    <w:rsid w:val="006E15A3"/>
    <w:rsid w:val="006E6DFB"/>
    <w:rsid w:val="006F3ABF"/>
    <w:rsid w:val="006F527B"/>
    <w:rsid w:val="006F5ABE"/>
    <w:rsid w:val="00705387"/>
    <w:rsid w:val="00705967"/>
    <w:rsid w:val="007119BE"/>
    <w:rsid w:val="007128F1"/>
    <w:rsid w:val="00714E1E"/>
    <w:rsid w:val="00717D88"/>
    <w:rsid w:val="00725CCB"/>
    <w:rsid w:val="00726834"/>
    <w:rsid w:val="00727096"/>
    <w:rsid w:val="00727739"/>
    <w:rsid w:val="0072778C"/>
    <w:rsid w:val="0074356D"/>
    <w:rsid w:val="007835B8"/>
    <w:rsid w:val="00786056"/>
    <w:rsid w:val="007942D3"/>
    <w:rsid w:val="007B2099"/>
    <w:rsid w:val="007B6C09"/>
    <w:rsid w:val="007B7741"/>
    <w:rsid w:val="007E05B3"/>
    <w:rsid w:val="007E09DA"/>
    <w:rsid w:val="007E2E2E"/>
    <w:rsid w:val="007E628C"/>
    <w:rsid w:val="007F6342"/>
    <w:rsid w:val="00806C8E"/>
    <w:rsid w:val="0081093C"/>
    <w:rsid w:val="008178B6"/>
    <w:rsid w:val="00824506"/>
    <w:rsid w:val="00824F27"/>
    <w:rsid w:val="00833C73"/>
    <w:rsid w:val="00847D76"/>
    <w:rsid w:val="00854C9D"/>
    <w:rsid w:val="00861472"/>
    <w:rsid w:val="00861A6C"/>
    <w:rsid w:val="00865B74"/>
    <w:rsid w:val="00871432"/>
    <w:rsid w:val="008813DC"/>
    <w:rsid w:val="00894815"/>
    <w:rsid w:val="008974F0"/>
    <w:rsid w:val="008B012A"/>
    <w:rsid w:val="008C03EB"/>
    <w:rsid w:val="008E410D"/>
    <w:rsid w:val="00906E17"/>
    <w:rsid w:val="0091280F"/>
    <w:rsid w:val="009222D2"/>
    <w:rsid w:val="00923C09"/>
    <w:rsid w:val="00930BA1"/>
    <w:rsid w:val="0093169E"/>
    <w:rsid w:val="0093461D"/>
    <w:rsid w:val="009505C9"/>
    <w:rsid w:val="00950752"/>
    <w:rsid w:val="00957954"/>
    <w:rsid w:val="009614C8"/>
    <w:rsid w:val="00966424"/>
    <w:rsid w:val="00980886"/>
    <w:rsid w:val="009813C1"/>
    <w:rsid w:val="0098166E"/>
    <w:rsid w:val="009953A4"/>
    <w:rsid w:val="009A3F46"/>
    <w:rsid w:val="009A7D0B"/>
    <w:rsid w:val="009B6B01"/>
    <w:rsid w:val="009C2DE6"/>
    <w:rsid w:val="009C72A8"/>
    <w:rsid w:val="00A11525"/>
    <w:rsid w:val="00A13E91"/>
    <w:rsid w:val="00A2016B"/>
    <w:rsid w:val="00A225D4"/>
    <w:rsid w:val="00A40419"/>
    <w:rsid w:val="00A53024"/>
    <w:rsid w:val="00A70ABE"/>
    <w:rsid w:val="00A80646"/>
    <w:rsid w:val="00A81175"/>
    <w:rsid w:val="00A900A7"/>
    <w:rsid w:val="00AA57BF"/>
    <w:rsid w:val="00AA6F92"/>
    <w:rsid w:val="00AB6934"/>
    <w:rsid w:val="00AC4C55"/>
    <w:rsid w:val="00AD04F5"/>
    <w:rsid w:val="00AD530A"/>
    <w:rsid w:val="00AF42DE"/>
    <w:rsid w:val="00B07380"/>
    <w:rsid w:val="00B2193A"/>
    <w:rsid w:val="00B25084"/>
    <w:rsid w:val="00B25155"/>
    <w:rsid w:val="00B3369F"/>
    <w:rsid w:val="00B3525D"/>
    <w:rsid w:val="00B435FA"/>
    <w:rsid w:val="00B94E6C"/>
    <w:rsid w:val="00B95ED6"/>
    <w:rsid w:val="00BA125C"/>
    <w:rsid w:val="00BA4E49"/>
    <w:rsid w:val="00BB365A"/>
    <w:rsid w:val="00BB4606"/>
    <w:rsid w:val="00BB517D"/>
    <w:rsid w:val="00BC0C45"/>
    <w:rsid w:val="00BD7BE7"/>
    <w:rsid w:val="00BE1C83"/>
    <w:rsid w:val="00BE6050"/>
    <w:rsid w:val="00BF024E"/>
    <w:rsid w:val="00BF61BE"/>
    <w:rsid w:val="00C03C82"/>
    <w:rsid w:val="00C22F4F"/>
    <w:rsid w:val="00C23D2F"/>
    <w:rsid w:val="00C2769D"/>
    <w:rsid w:val="00C37C9C"/>
    <w:rsid w:val="00C443BD"/>
    <w:rsid w:val="00C451C5"/>
    <w:rsid w:val="00C50F52"/>
    <w:rsid w:val="00C624B9"/>
    <w:rsid w:val="00C630C8"/>
    <w:rsid w:val="00C6457E"/>
    <w:rsid w:val="00C71B3E"/>
    <w:rsid w:val="00C737BD"/>
    <w:rsid w:val="00C8786E"/>
    <w:rsid w:val="00C90134"/>
    <w:rsid w:val="00C90D7F"/>
    <w:rsid w:val="00C9161D"/>
    <w:rsid w:val="00C918F6"/>
    <w:rsid w:val="00CA0C1D"/>
    <w:rsid w:val="00CB0040"/>
    <w:rsid w:val="00CB0A89"/>
    <w:rsid w:val="00CB27B3"/>
    <w:rsid w:val="00CC23CC"/>
    <w:rsid w:val="00CF1848"/>
    <w:rsid w:val="00D023F2"/>
    <w:rsid w:val="00D12044"/>
    <w:rsid w:val="00D14524"/>
    <w:rsid w:val="00D211A0"/>
    <w:rsid w:val="00D33EFC"/>
    <w:rsid w:val="00D37AE7"/>
    <w:rsid w:val="00D40DBC"/>
    <w:rsid w:val="00D40F72"/>
    <w:rsid w:val="00D47521"/>
    <w:rsid w:val="00D72067"/>
    <w:rsid w:val="00D7493C"/>
    <w:rsid w:val="00D76A18"/>
    <w:rsid w:val="00D80849"/>
    <w:rsid w:val="00D81B4C"/>
    <w:rsid w:val="00D82E8F"/>
    <w:rsid w:val="00D84136"/>
    <w:rsid w:val="00D93072"/>
    <w:rsid w:val="00DA5AE6"/>
    <w:rsid w:val="00DB1EA7"/>
    <w:rsid w:val="00DD118C"/>
    <w:rsid w:val="00DD6529"/>
    <w:rsid w:val="00DE24F6"/>
    <w:rsid w:val="00DF3B6B"/>
    <w:rsid w:val="00E16550"/>
    <w:rsid w:val="00E21739"/>
    <w:rsid w:val="00E52E90"/>
    <w:rsid w:val="00E644D2"/>
    <w:rsid w:val="00E66235"/>
    <w:rsid w:val="00E83C24"/>
    <w:rsid w:val="00E9318D"/>
    <w:rsid w:val="00EC4B8B"/>
    <w:rsid w:val="00EC6B28"/>
    <w:rsid w:val="00ED06B2"/>
    <w:rsid w:val="00F262E7"/>
    <w:rsid w:val="00F34805"/>
    <w:rsid w:val="00F53193"/>
    <w:rsid w:val="00F570A8"/>
    <w:rsid w:val="00F6586C"/>
    <w:rsid w:val="00F66369"/>
    <w:rsid w:val="00F675B6"/>
    <w:rsid w:val="00F75667"/>
    <w:rsid w:val="00F83AC7"/>
    <w:rsid w:val="00F9089E"/>
    <w:rsid w:val="00F94774"/>
    <w:rsid w:val="00FA5583"/>
    <w:rsid w:val="00FA663B"/>
    <w:rsid w:val="00FB692B"/>
    <w:rsid w:val="00FB72BF"/>
    <w:rsid w:val="00FC53DB"/>
    <w:rsid w:val="00FC70A3"/>
    <w:rsid w:val="00FD70B8"/>
    <w:rsid w:val="00FD7A62"/>
    <w:rsid w:val="00FF1AFD"/>
    <w:rsid w:val="00FF2CE6"/>
    <w:rsid w:val="00FF7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footnote reference" w:locked="1"/>
    <w:lsdException w:name="annotation reference" w:locked="1"/>
    <w:lsdException w:name="page number" w:locked="1"/>
    <w:lsdException w:name="endnote reference" w:locked="1"/>
    <w:lsdException w:name="endnote text" w:locked="1"/>
    <w:lsdException w:name="toa heading" w:locked="1"/>
    <w:lsdException w:name="Title" w:locked="1" w:qFormat="1"/>
    <w:lsdException w:name="Default Paragraph Font" w:locked="1"/>
    <w:lsdException w:name="Body Text" w:locked="1"/>
    <w:lsdException w:name="Body Text Indent" w:locked="1"/>
    <w:lsdException w:name="Subtitle" w:locked="1" w:qFormat="1"/>
    <w:lsdException w:name="Hyperlink" w:locked="1"/>
    <w:lsdException w:name="FollowedHyperlink" w:locked="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Heading8Char"/>
    <w:qFormat/>
    <w:pPr>
      <w:jc w:val="both"/>
    </w:pPr>
    <w:rPr>
      <w:rFonts w:eastAsia="MS Mincho" w:cs="Times New Roman"/>
      <w:snapToGrid w:val="0"/>
      <w:sz w:val="22"/>
      <w:szCs w:val="22"/>
      <w:lang w:val="en-GB" w:eastAsia="ko-KR"/>
    </w:rPr>
  </w:style>
  <w:style w:type="paragraph" w:styleId="Heading1">
    <w:name w:val="heading 1"/>
    <w:basedOn w:val="Normal"/>
    <w:next w:val="Heading2"/>
    <w:qFormat/>
    <w:pPr>
      <w:keepNext/>
      <w:tabs>
        <w:tab w:val="left" w:pos="720"/>
      </w:tabs>
      <w:spacing w:before="240" w:after="120"/>
      <w:jc w:val="center"/>
      <w:outlineLvl w:val="0"/>
    </w:pPr>
    <w:rPr>
      <w:b/>
      <w:bCs/>
      <w:caps/>
    </w:rPr>
  </w:style>
  <w:style w:type="paragraph" w:styleId="Heading2">
    <w:name w:val="heading 2"/>
    <w:basedOn w:val="Normal"/>
    <w:next w:val="Normal"/>
    <w:link w:val="PlaceholderText"/>
    <w:qFormat/>
    <w:pPr>
      <w:keepNext/>
      <w:tabs>
        <w:tab w:val="left" w:pos="720"/>
      </w:tabs>
      <w:spacing w:before="120" w:after="120"/>
      <w:jc w:val="center"/>
      <w:outlineLvl w:val="1"/>
    </w:pPr>
    <w:rPr>
      <w:b/>
      <w:b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eastAsia="Times New Roman"/>
      <w:b/>
      <w:bCs/>
      <w:i/>
      <w:iCs/>
    </w:rPr>
  </w:style>
  <w:style w:type="paragraph" w:styleId="Heading5">
    <w:name w:val="heading 5"/>
    <w:basedOn w:val="Normal"/>
    <w:next w:val="Normal"/>
    <w:qFormat/>
    <w:pPr>
      <w:keepNext/>
      <w:numPr>
        <w:ilvl w:val="4"/>
        <w:numId w:val="1"/>
      </w:numPr>
      <w:spacing w:before="120" w:after="120"/>
      <w:jc w:val="left"/>
      <w:outlineLvl w:val="4"/>
    </w:pPr>
    <w:rPr>
      <w:i/>
      <w:iCs/>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b/>
      <w:bCs/>
      <w:sz w:val="28"/>
      <w:szCs w:val="28"/>
    </w:rPr>
  </w:style>
  <w:style w:type="paragraph" w:styleId="Heading8">
    <w:name w:val="heading 8"/>
    <w:basedOn w:val="Normal"/>
    <w:next w:val="Normal"/>
    <w:qFormat/>
    <w:pPr>
      <w:keepNext/>
      <w:jc w:val="right"/>
      <w:outlineLvl w:val="7"/>
    </w:pPr>
    <w:rPr>
      <w:b/>
      <w:bCs/>
      <w:sz w:val="32"/>
      <w:szCs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Pr>
      <w:rFonts w:eastAsia="MS Mincho" w:cs="Times New Roman"/>
      <w:snapToGrid w:val="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semiHidden/>
    <w:rPr>
      <w:sz w:val="18"/>
      <w:szCs w:val="18"/>
    </w:rPr>
  </w:style>
  <w:style w:type="character" w:customStyle="1" w:styleId="BalloonTextChar">
    <w:name w:val="Balloon Text Char"/>
    <w:basedOn w:val="DefaultParagraphFont"/>
    <w:semiHidden/>
    <w:locked/>
    <w:rPr>
      <w:rFonts w:ascii="Times New Roman" w:hAnsi="Times New Roman" w:cs="Times New Roman"/>
      <w:sz w:val="18"/>
      <w:szCs w:val="18"/>
      <w:lang w:val="en-US"/>
    </w:rPr>
  </w:style>
  <w:style w:type="character" w:styleId="PlaceholderText">
    <w:name w:val="Placeholder Text"/>
    <w:aliases w:val="Heading 2 Char1"/>
    <w:basedOn w:val="DefaultParagraphFont"/>
    <w:link w:val="Heading2"/>
    <w:rPr>
      <w:color w:val="808080"/>
    </w:rPr>
  </w:style>
  <w:style w:type="paragraph" w:styleId="Header">
    <w:name w:val="header"/>
    <w:basedOn w:val="Normal"/>
    <w:pPr>
      <w:tabs>
        <w:tab w:val="center" w:pos="4320"/>
        <w:tab w:val="right" w:pos="8640"/>
      </w:tabs>
    </w:pPr>
  </w:style>
  <w:style w:type="character" w:customStyle="1" w:styleId="HeaderChar">
    <w:name w:val="Header Char"/>
    <w:basedOn w:val="DefaultParagraphFont"/>
    <w:locked/>
    <w:rPr>
      <w:rFonts w:ascii="Times New Roman" w:hAnsi="Times New Roman" w:cs="Times New Roman"/>
      <w:sz w:val="22"/>
      <w:szCs w:val="22"/>
      <w:lang w:val="en-GB"/>
    </w:rPr>
  </w:style>
  <w:style w:type="paragraph" w:styleId="Footer">
    <w:name w:val="footer"/>
    <w:basedOn w:val="Normal"/>
    <w:pPr>
      <w:tabs>
        <w:tab w:val="center" w:pos="4320"/>
        <w:tab w:val="right" w:pos="8640"/>
      </w:tabs>
      <w:ind w:firstLine="720"/>
      <w:jc w:val="right"/>
    </w:pPr>
  </w:style>
  <w:style w:type="character" w:customStyle="1" w:styleId="FooterChar">
    <w:name w:val="Footer Char"/>
    <w:basedOn w:val="DefaultParagraphFont"/>
    <w:locked/>
    <w:rPr>
      <w:rFonts w:ascii="Times New Roman" w:hAnsi="Times New Roman" w:cs="Times New Roman"/>
      <w:sz w:val="22"/>
      <w:szCs w:val="22"/>
      <w:lang w:val="en-GB"/>
    </w:rPr>
  </w:style>
  <w:style w:type="paragraph" w:customStyle="1" w:styleId="meetingname">
    <w:name w:val="meeting name"/>
    <w:basedOn w:val="Normal"/>
    <w:pPr>
      <w:ind w:left="142" w:right="4218" w:hanging="142"/>
    </w:pPr>
    <w:rPr>
      <w:caps/>
    </w:rPr>
  </w:style>
  <w:style w:type="paragraph" w:styleId="Title">
    <w:name w:val="Title"/>
    <w:basedOn w:val="Normal"/>
    <w:next w:val="Normal"/>
    <w:qFormat/>
    <w:pPr>
      <w:pBdr>
        <w:bottom w:val="single" w:sz="8" w:space="4" w:color="4F81BD"/>
      </w:pBdr>
      <w:spacing w:after="300"/>
    </w:pPr>
    <w:rPr>
      <w:rFonts w:eastAsia="Times New Roman"/>
      <w:color w:val="17365D"/>
      <w:spacing w:val="5"/>
      <w:kern w:val="28"/>
      <w:sz w:val="52"/>
      <w:szCs w:val="52"/>
    </w:rPr>
  </w:style>
  <w:style w:type="character" w:customStyle="1" w:styleId="TitleChar">
    <w:name w:val="Title Char"/>
    <w:basedOn w:val="DefaultParagraphFont"/>
    <w:locked/>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qFormat/>
    <w:pPr>
      <w:numPr>
        <w:ilvl w:val="1"/>
      </w:numPr>
    </w:pPr>
    <w:rPr>
      <w:rFonts w:eastAsia="Times New Roman"/>
      <w:i/>
      <w:iCs/>
      <w:color w:val="4F81BD"/>
      <w:spacing w:val="15"/>
      <w:sz w:val="24"/>
      <w:szCs w:val="24"/>
    </w:rPr>
  </w:style>
  <w:style w:type="character" w:customStyle="1" w:styleId="SubtitleChar">
    <w:name w:val="Subtitle Char"/>
    <w:basedOn w:val="DefaultParagraphFont"/>
    <w:locked/>
    <w:rPr>
      <w:rFonts w:ascii="Times New Roman" w:eastAsia="Times New Roman" w:hAnsi="Times New Roman" w:cs="Times New Roman"/>
      <w:i/>
      <w:iCs/>
      <w:color w:val="4F81BD"/>
      <w:spacing w:val="15"/>
      <w:lang w:val="en-US"/>
    </w:rPr>
  </w:style>
  <w:style w:type="character" w:customStyle="1" w:styleId="Heading1Char">
    <w:name w:val="Heading 1 Char"/>
    <w:basedOn w:val="DefaultParagraphFont"/>
    <w:locked/>
    <w:rPr>
      <w:rFonts w:ascii="Times New Roman" w:hAnsi="Times New Roman" w:cs="Times New Roman"/>
      <w:b/>
      <w:bCs/>
      <w:caps/>
      <w:sz w:val="22"/>
      <w:szCs w:val="22"/>
      <w:lang w:val="en-GB"/>
    </w:rPr>
  </w:style>
  <w:style w:type="paragraph" w:styleId="BodyText">
    <w:name w:val="Body Text"/>
    <w:basedOn w:val="Normal"/>
    <w:pPr>
      <w:spacing w:before="120" w:after="120"/>
      <w:ind w:firstLine="720"/>
    </w:pPr>
  </w:style>
  <w:style w:type="character" w:customStyle="1" w:styleId="BalloonTextChar1">
    <w:name w:val="Balloon Text Char1"/>
    <w:basedOn w:val="DefaultParagraphFont"/>
    <w:link w:val="BalloonText"/>
    <w:locked/>
    <w:rPr>
      <w:rFonts w:ascii="Times New Roman" w:hAnsi="Times New Roman" w:cs="Times New Roman"/>
      <w:sz w:val="22"/>
      <w:szCs w:val="22"/>
      <w:lang w:val="en-GB"/>
    </w:rPr>
  </w:style>
  <w:style w:type="paragraph" w:styleId="BodyTextIndent">
    <w:name w:val="Body Text Indent"/>
    <w:basedOn w:val="Normal"/>
    <w:pPr>
      <w:spacing w:before="120" w:after="120"/>
      <w:ind w:left="1440" w:hanging="720"/>
      <w:jc w:val="left"/>
    </w:pPr>
  </w:style>
  <w:style w:type="character" w:customStyle="1" w:styleId="BodyTextIndentChar">
    <w:name w:val="Body Text Indent Char"/>
    <w:basedOn w:val="DefaultParagraphFont"/>
    <w:locked/>
    <w:rPr>
      <w:rFonts w:ascii="Times New Roman" w:hAnsi="Times New Roman" w:cs="Times New Roman"/>
      <w:sz w:val="22"/>
      <w:szCs w:val="22"/>
      <w:lang w:val="en-GB"/>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after="120" w:line="240" w:lineRule="exact"/>
    </w:pPr>
  </w:style>
  <w:style w:type="character" w:customStyle="1" w:styleId="CommentTextChar">
    <w:name w:val="Comment Text Char"/>
    <w:basedOn w:val="DefaultParagraphFont"/>
    <w:semiHidden/>
    <w:locked/>
    <w:rPr>
      <w:rFonts w:ascii="Times New Roman" w:hAnsi="Times New Roman" w:cs="Times New Roman"/>
      <w:sz w:val="22"/>
      <w:szCs w:val="22"/>
      <w:lang w:val="en-GB"/>
    </w:rPr>
  </w:style>
  <w:style w:type="paragraph" w:customStyle="1" w:styleId="Cornernotation">
    <w:name w:val="Corner notation"/>
    <w:basedOn w:val="Normal"/>
    <w:pPr>
      <w:ind w:left="170" w:right="3119" w:hanging="170"/>
      <w:jc w:val="left"/>
    </w:pPr>
  </w:style>
  <w:style w:type="character" w:styleId="EndnoteReference">
    <w:name w:val="endnote reference"/>
    <w:basedOn w:val="DefaultParagraphFont"/>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semiHidden/>
    <w:locked/>
    <w:rPr>
      <w:rFonts w:ascii="Courier New" w:hAnsi="Courier New" w:cs="Courier New"/>
      <w:sz w:val="22"/>
      <w:szCs w:val="22"/>
      <w:lang w:val="en-GB"/>
    </w:rPr>
  </w:style>
  <w:style w:type="character" w:styleId="FollowedHyperlink">
    <w:name w:val="FollowedHyperlink"/>
    <w:basedOn w:val="DefaultParagraphFont"/>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semiHidden/>
    <w:locked/>
    <w:rPr>
      <w:sz w:val="22"/>
      <w:szCs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semiHidden/>
    <w:pPr>
      <w:keepLines/>
      <w:spacing w:after="60"/>
      <w:ind w:firstLine="720"/>
    </w:pPr>
    <w:rPr>
      <w:sz w:val="18"/>
      <w:szCs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
    <w:basedOn w:val="DefaultParagraphFont"/>
    <w:locked/>
    <w:rPr>
      <w:rFonts w:ascii="Times New Roman" w:hAnsi="Times New Roman" w:cs="Times New Roman"/>
      <w:sz w:val="18"/>
      <w:szCs w:val="18"/>
      <w:lang w:val="en-GB"/>
    </w:rPr>
  </w:style>
  <w:style w:type="paragraph" w:customStyle="1" w:styleId="HEADING">
    <w:name w:val="HEADING"/>
    <w:basedOn w:val="Normal"/>
    <w:pPr>
      <w:keepNext/>
      <w:spacing w:before="240" w:after="120"/>
      <w:jc w:val="center"/>
    </w:pPr>
    <w:rPr>
      <w:b/>
      <w:bCs/>
      <w:caps/>
    </w:rPr>
  </w:style>
  <w:style w:type="character" w:customStyle="1" w:styleId="Heading2Char">
    <w:name w:val="Heading 2 Char"/>
    <w:basedOn w:val="DefaultParagraphFont"/>
    <w:locked/>
    <w:rPr>
      <w:rFonts w:ascii="Times New Roman" w:hAnsi="Times New Roman" w:cs="Times New Roman"/>
      <w:b/>
      <w:bCs/>
      <w:sz w:val="22"/>
      <w:szCs w:val="22"/>
      <w:lang w:val="en-GB"/>
    </w:rPr>
  </w:style>
  <w:style w:type="paragraph" w:customStyle="1" w:styleId="HEADINGNOTFORTOC">
    <w:name w:val="HEADING (NOT FOR TOC)"/>
    <w:basedOn w:val="Heading1"/>
    <w:next w:val="Heading2"/>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character" w:customStyle="1" w:styleId="Heading3Char">
    <w:name w:val="Heading 3 Char"/>
    <w:basedOn w:val="DefaultParagraphFont"/>
    <w:locked/>
    <w:rPr>
      <w:rFonts w:ascii="Times New Roman" w:hAnsi="Times New Roman" w:cs="Times New Roman"/>
      <w:i/>
      <w:iCs/>
      <w:sz w:val="22"/>
      <w:szCs w:val="22"/>
      <w:lang w:val="en-GB"/>
    </w:rPr>
  </w:style>
  <w:style w:type="paragraph" w:customStyle="1" w:styleId="heading2notforTOC">
    <w:name w:val="heading 2 not for TOC"/>
    <w:basedOn w:val="Heading3"/>
  </w:style>
  <w:style w:type="paragraph" w:customStyle="1" w:styleId="Heading3multiline">
    <w:name w:val="Heading 3 (multiline)"/>
    <w:basedOn w:val="Heading3"/>
    <w:next w:val="Normal"/>
    <w:pPr>
      <w:ind w:left="1418" w:hanging="425"/>
      <w:jc w:val="left"/>
    </w:pPr>
  </w:style>
  <w:style w:type="character" w:customStyle="1" w:styleId="Heading4Char">
    <w:name w:val="Heading 4 Char"/>
    <w:basedOn w:val="DefaultParagraphFont"/>
    <w:locked/>
    <w:rPr>
      <w:rFonts w:ascii="Times New Roman" w:eastAsia="Times New Roman" w:hAnsi="Times New Roman" w:cs="Times New Roman"/>
      <w:b/>
      <w:bCs/>
      <w:i/>
      <w:iCs/>
      <w:sz w:val="22"/>
      <w:szCs w:val="22"/>
      <w:lang w:val="en-GB"/>
    </w:rPr>
  </w:style>
  <w:style w:type="paragraph" w:customStyle="1" w:styleId="Heading4indent">
    <w:name w:val="Heading 4 indent"/>
    <w:basedOn w:val="Heading4"/>
    <w:pPr>
      <w:ind w:left="720"/>
      <w:outlineLvl w:val="9"/>
    </w:pPr>
  </w:style>
  <w:style w:type="character" w:customStyle="1" w:styleId="Heading5Char">
    <w:name w:val="Heading 5 Char"/>
    <w:basedOn w:val="DefaultParagraphFont"/>
    <w:locked/>
    <w:rPr>
      <w:rFonts w:ascii="Times New Roman" w:hAnsi="Times New Roman" w:cs="Times New Roman"/>
      <w:i/>
      <w:iCs/>
      <w:sz w:val="26"/>
      <w:szCs w:val="26"/>
      <w:lang w:val="en-CA"/>
    </w:rPr>
  </w:style>
  <w:style w:type="character" w:customStyle="1" w:styleId="Heading6Char">
    <w:name w:val="Heading 6 Char"/>
    <w:basedOn w:val="DefaultParagraphFont"/>
    <w:locked/>
    <w:rPr>
      <w:rFonts w:ascii="Times New Roman" w:hAnsi="Times New Roman" w:cs="Times New Roman"/>
      <w:sz w:val="22"/>
      <w:szCs w:val="22"/>
      <w:u w:val="single"/>
      <w:lang w:val="en-GB"/>
    </w:rPr>
  </w:style>
  <w:style w:type="character" w:customStyle="1" w:styleId="Heading7Char">
    <w:name w:val="Heading 7 Char"/>
    <w:basedOn w:val="DefaultParagraphFont"/>
    <w:locked/>
    <w:rPr>
      <w:rFonts w:ascii="Times New Roman" w:hAnsi="Times New Roman" w:cs="Times New Roman"/>
      <w:b/>
      <w:bCs/>
      <w:sz w:val="28"/>
      <w:szCs w:val="28"/>
      <w:lang w:val="en-GB"/>
    </w:rPr>
  </w:style>
  <w:style w:type="character" w:customStyle="1" w:styleId="Heading8Char">
    <w:name w:val="Heading 8 Char"/>
    <w:basedOn w:val="DefaultParagraphFont"/>
    <w:locked/>
    <w:rPr>
      <w:rFonts w:ascii="Times New Roman" w:hAnsi="Times New Roman" w:cs="Times New Roman"/>
      <w:b/>
      <w:bCs/>
      <w:sz w:val="32"/>
      <w:szCs w:val="32"/>
      <w:lang w:val="en-GB"/>
    </w:rPr>
  </w:style>
  <w:style w:type="character" w:customStyle="1" w:styleId="Heading9Char">
    <w:name w:val="Heading 9 Char"/>
    <w:basedOn w:val="DefaultParagraphFont"/>
    <w:locked/>
    <w:rPr>
      <w:rFonts w:ascii="Times New Roman" w:hAnsi="Times New Roman" w:cs="Times New Roman"/>
      <w:i/>
      <w:iCs/>
      <w:sz w:val="22"/>
      <w:szCs w:val="22"/>
      <w:lang w:val="en-GB"/>
    </w:rPr>
  </w:style>
  <w:style w:type="character" w:styleId="PageNumber">
    <w:name w:val="page number"/>
    <w:basedOn w:val="DefaultParagraphFont"/>
    <w:rPr>
      <w:rFonts w:ascii="Times New Roman" w:hAnsi="Times New Roman" w:cs="Times New Roman"/>
      <w:sz w:val="22"/>
      <w:szCs w:val="22"/>
    </w:rPr>
  </w:style>
  <w:style w:type="paragraph" w:customStyle="1" w:styleId="Para1">
    <w:name w:val="Para1"/>
    <w:basedOn w:val="Normal"/>
    <w:pPr>
      <w:numPr>
        <w:numId w:val="4"/>
      </w:numPr>
      <w:spacing w:before="120" w:after="120"/>
    </w:pPr>
  </w:style>
  <w:style w:type="paragraph" w:customStyle="1" w:styleId="Para2">
    <w:name w:val="Para2"/>
    <w:basedOn w:val="Para1"/>
    <w:pPr>
      <w:numPr>
        <w:numId w:val="0"/>
      </w:numPr>
      <w:autoSpaceDE w:val="0"/>
      <w:autoSpaceDN w:val="0"/>
    </w:pPr>
  </w:style>
  <w:style w:type="paragraph" w:customStyle="1" w:styleId="Para3">
    <w:name w:val="Para3"/>
    <w:basedOn w:val="Normal"/>
    <w:pPr>
      <w:numPr>
        <w:ilvl w:val="3"/>
        <w:numId w:val="5"/>
      </w:numPr>
      <w:tabs>
        <w:tab w:val="left" w:pos="1980"/>
      </w:tabs>
      <w:spacing w:before="80" w:after="80"/>
    </w:pPr>
  </w:style>
  <w:style w:type="paragraph" w:customStyle="1" w:styleId="para4">
    <w:name w:val="para4"/>
    <w:basedOn w:val="Normal"/>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pPr>
      <w:spacing w:before="120" w:after="120"/>
      <w:ind w:left="720" w:right="720"/>
    </w:pPr>
  </w:style>
  <w:style w:type="paragraph" w:customStyle="1" w:styleId="recommendationheader">
    <w:name w:val="recommendation header"/>
    <w:basedOn w:val="Heading2"/>
  </w:style>
  <w:style w:type="paragraph" w:customStyle="1" w:styleId="recommendationheaderlong">
    <w:name w:val="recommendation header long"/>
    <w:basedOn w:val="Heading2longmultiline"/>
  </w:style>
  <w:style w:type="paragraph" w:customStyle="1" w:styleId="reference">
    <w:name w:val="reference"/>
    <w:basedOn w:val="Heading9"/>
    <w:rPr>
      <w:i w:val="0"/>
      <w:iCs w:val="0"/>
      <w:sz w:val="18"/>
      <w:szCs w:val="18"/>
    </w:rPr>
  </w:style>
  <w:style w:type="character" w:customStyle="1" w:styleId="StyleFootnoteReferenceNounderline">
    <w:name w:val="Style Footnote Reference + No underline"/>
    <w:rPr>
      <w:sz w:val="18"/>
      <w:szCs w:val="18"/>
      <w:u w:val="none"/>
      <w:vertAlign w:val="baseline"/>
    </w:rPr>
  </w:style>
  <w:style w:type="paragraph" w:customStyle="1" w:styleId="tabletitle">
    <w:name w:val="table title"/>
    <w:basedOn w:val="Heading2"/>
    <w:pPr>
      <w:jc w:val="left"/>
      <w:outlineLvl w:val="9"/>
    </w:pPr>
    <w:rPr>
      <w:i/>
      <w:iCs/>
    </w:rPr>
  </w:style>
  <w:style w:type="paragraph" w:styleId="TOAHeading">
    <w:name w:val="toa heading"/>
    <w:basedOn w:val="Normal"/>
    <w:next w:val="Normal"/>
    <w:semiHidden/>
    <w:pPr>
      <w:spacing w:before="120"/>
    </w:pPr>
    <w:rPr>
      <w:b/>
      <w:bCs/>
      <w:sz w:val="24"/>
      <w:szCs w:val="24"/>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lang w:val="en-US"/>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TOC9">
    <w:name w:val="toc 9"/>
    <w:basedOn w:val="Normal"/>
    <w:next w:val="Normal"/>
    <w:autoRedefine/>
    <w:semiHidden/>
    <w:pPr>
      <w:spacing w:before="120" w:after="120"/>
      <w:ind w:left="1760"/>
      <w:jc w:val="left"/>
    </w:pPr>
  </w:style>
  <w:style w:type="character" w:styleId="Hyperlink">
    <w:name w:val="Hyperlink"/>
    <w:basedOn w:val="DefaultParagraphFont"/>
    <w:rPr>
      <w:color w:val="0000FF"/>
      <w:sz w:val="18"/>
      <w:szCs w:val="18"/>
      <w:u w:val="single"/>
    </w:rPr>
  </w:style>
  <w:style w:type="character" w:customStyle="1" w:styleId="Para1Char">
    <w:name w:val="Para1 Char"/>
    <w:locked/>
    <w:rPr>
      <w:rFonts w:ascii="Times New Roman" w:hAnsi="Times New Roman" w:cs="Times New Roman"/>
      <w:snapToGrid w:val="0"/>
      <w:sz w:val="18"/>
      <w:szCs w:val="18"/>
      <w:lang w:val="en-GB"/>
    </w:rPr>
  </w:style>
  <w:style w:type="paragraph" w:customStyle="1" w:styleId="CBD-Doc-Type">
    <w:name w:val="CBD-Doc-Type"/>
    <w:basedOn w:val="Normal"/>
    <w:pPr>
      <w:keepLines/>
      <w:spacing w:before="240" w:after="120"/>
    </w:pPr>
    <w:rPr>
      <w:b/>
      <w:bCs/>
      <w:i/>
      <w:iCs/>
      <w:sz w:val="24"/>
      <w:szCs w:val="24"/>
    </w:rPr>
  </w:style>
  <w:style w:type="paragraph" w:customStyle="1" w:styleId="CBD-Doc">
    <w:name w:val="CBD-Doc"/>
    <w:basedOn w:val="Normal"/>
    <w:pPr>
      <w:keepLines/>
      <w:numPr>
        <w:numId w:val="9"/>
      </w:numPr>
      <w:spacing w:after="120"/>
    </w:pPr>
  </w:style>
  <w:style w:type="paragraph" w:styleId="ListParagraph">
    <w:name w:val="List Paragraph"/>
    <w:basedOn w:val="Normal"/>
    <w:qFormat/>
    <w:pPr>
      <w:ind w:left="720"/>
    </w:pPr>
  </w:style>
  <w:style w:type="paragraph" w:styleId="Caption">
    <w:name w:val="caption"/>
    <w:basedOn w:val="Normal"/>
    <w:next w:val="Normal"/>
    <w:qFormat/>
    <w:pPr>
      <w:keepNext/>
      <w:keepLines/>
      <w:spacing w:after="200"/>
    </w:pPr>
    <w:rPr>
      <w:b/>
      <w:bCs/>
    </w:rPr>
  </w:style>
  <w:style w:type="paragraph" w:customStyle="1" w:styleId="Style1">
    <w:name w:val="Style1"/>
    <w:basedOn w:val="Heading2"/>
    <w:rPr>
      <w:i/>
      <w:iC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CBD-ParaCharChar"/>
    <w:pPr>
      <w:spacing w:after="160" w:line="240" w:lineRule="exact"/>
      <w:jc w:val="left"/>
    </w:pPr>
    <w:rPr>
      <w:vertAlign w:val="superscript"/>
      <w:lang w:val="en-US"/>
    </w:rPr>
  </w:style>
  <w:style w:type="paragraph" w:customStyle="1" w:styleId="CBD-Para">
    <w:name w:val="CBD-Para"/>
    <w:basedOn w:val="Normal"/>
    <w:pPr>
      <w:keepLines/>
      <w:numPr>
        <w:numId w:val="21"/>
      </w:numPr>
      <w:spacing w:before="120" w:after="120"/>
    </w:pPr>
    <w:rPr>
      <w:lang w:val="en-US"/>
    </w:rPr>
  </w:style>
  <w:style w:type="character" w:customStyle="1" w:styleId="CBD-ParaCharChar">
    <w:name w:val="CBD-Para Char Char"/>
    <w:link w:val="BVIfnrChar"/>
    <w:locked/>
    <w:rPr>
      <w:rFonts w:ascii="Times New Roman" w:hAnsi="Times New Roman" w:cs="Times New Roman"/>
      <w:sz w:val="22"/>
      <w:szCs w:val="22"/>
      <w:lang w:val="en-US"/>
    </w:rPr>
  </w:style>
  <w:style w:type="character" w:customStyle="1" w:styleId="UnresolvedMention">
    <w:name w:val="Unresolved Mention"/>
    <w:basedOn w:val="DefaultParagraphFont"/>
    <w:semiHidden/>
    <w:rPr>
      <w:color w:val="auto"/>
      <w:shd w:val="clear" w:color="auto" w:fill="auto"/>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Words>
  <Characters>489</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Provisional agenda</vt:lpstr>
    </vt:vector>
  </TitlesOfParts>
  <Company>SCBD</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subject>CBD/WG2020/4/1</dc:subject>
  <dc:creator>SCBD</dc:creator>
  <cp:keywords>Open-ended Working Group on the Post-2020 Global Biodiversity Framework, third meeting, Convention on Biological Diversity</cp:keywords>
  <cp:lastModifiedBy>Laura Perez</cp:lastModifiedBy>
  <cp:revision>3</cp:revision>
  <cp:lastPrinted>2020-01-21T19:30:00Z</cp:lastPrinted>
  <dcterms:created xsi:type="dcterms:W3CDTF">2022-04-28T13:07:00Z</dcterms:created>
  <dcterms:modified xsi:type="dcterms:W3CDTF">2022-04-28T13:34:00Z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