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5C4BF9" w14:paraId="2EEA0756" w14:textId="77777777">
        <w:trPr>
          <w:trHeight w:val="850"/>
        </w:trPr>
        <w:tc>
          <w:tcPr>
            <w:tcW w:w="975" w:type="dxa"/>
            <w:vAlign w:val="bottom"/>
          </w:tcPr>
          <w:p w14:paraId="47496712" w14:textId="51C6CF59" w:rsidR="00FD2482" w:rsidRPr="005C4BF9" w:rsidRDefault="00C01D80">
            <w:pPr>
              <w:pStyle w:val="AASmallLogo"/>
            </w:pPr>
            <w:r>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604016B" w14:textId="77777777" w:rsidR="00FD2482" w:rsidRPr="005C4BF9" w:rsidRDefault="00FD2482">
            <w:pPr>
              <w:pStyle w:val="AASmallLogo"/>
            </w:pPr>
          </w:p>
        </w:tc>
        <w:tc>
          <w:tcPr>
            <w:tcW w:w="1434" w:type="dxa"/>
            <w:noWrap/>
            <w:vAlign w:val="bottom"/>
          </w:tcPr>
          <w:p w14:paraId="42B74495" w14:textId="328060E2" w:rsidR="00FD2482" w:rsidRPr="005C4BF9" w:rsidRDefault="00FB48B8">
            <w:pPr>
              <w:pStyle w:val="AASmallLogo"/>
            </w:pPr>
            <w:r w:rsidRPr="00360A23">
              <w:rPr>
                <w:noProof/>
                <w:lang w:eastAsia="ru-RU"/>
              </w:rPr>
              <w:drawing>
                <wp:inline distT="0" distB="0" distL="0" distR="0" wp14:anchorId="02119E5A" wp14:editId="78F48F29">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FD2482">
              <w:t xml:space="preserve"> </w:t>
            </w:r>
          </w:p>
          <w:p w14:paraId="0BCED263" w14:textId="77777777" w:rsidR="00FD2482" w:rsidRPr="005C4BF9" w:rsidRDefault="00FD2482">
            <w:pPr>
              <w:pStyle w:val="AASmallLogo"/>
            </w:pPr>
          </w:p>
        </w:tc>
        <w:tc>
          <w:tcPr>
            <w:tcW w:w="8073" w:type="dxa"/>
            <w:vAlign w:val="bottom"/>
          </w:tcPr>
          <w:p w14:paraId="1869D3AB" w14:textId="1ABDC0F0" w:rsidR="00FD2482" w:rsidRPr="00F038D3" w:rsidRDefault="00FD2482" w:rsidP="00090BD3">
            <w:pPr>
              <w:pStyle w:val="ABSymbol"/>
              <w:rPr>
                <w:lang w:val="en-US"/>
              </w:rPr>
            </w:pPr>
            <w:r>
              <w:rPr>
                <w:sz w:val="40"/>
              </w:rPr>
              <w:t>CBD</w:t>
            </w:r>
            <w:r>
              <w:t>/SBI/6/3</w:t>
            </w:r>
            <w:r w:rsidR="00F038D3">
              <w:t>/</w:t>
            </w:r>
            <w:r w:rsidR="00F038D3">
              <w:rPr>
                <w:lang w:val="en-US"/>
              </w:rPr>
              <w:t>Rev.1</w:t>
            </w:r>
          </w:p>
        </w:tc>
      </w:tr>
    </w:tbl>
    <w:p w14:paraId="63283B44" w14:textId="77777777" w:rsidR="00FD2482" w:rsidRPr="005C4BF9"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F038D3" w14:paraId="2016CA60" w14:textId="77777777">
        <w:trPr>
          <w:trHeight w:val="1814"/>
        </w:trPr>
        <w:tc>
          <w:tcPr>
            <w:tcW w:w="7370" w:type="dxa"/>
          </w:tcPr>
          <w:p w14:paraId="1976956B" w14:textId="101101AC" w:rsidR="00FD2482" w:rsidRPr="005C4BF9" w:rsidRDefault="00FB48B8">
            <w:pPr>
              <w:pStyle w:val="ACLargeLogo"/>
            </w:pPr>
            <w:r w:rsidRPr="001E2C8A">
              <w:rPr>
                <w:noProof/>
                <w:snapToGrid w:val="0"/>
                <w:kern w:val="22"/>
                <w:lang w:eastAsia="ru-RU"/>
              </w:rPr>
              <w:drawing>
                <wp:inline distT="0" distB="0" distL="0" distR="0" wp14:anchorId="7779E891" wp14:editId="1ADBEEA6">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FD2482">
              <w:t xml:space="preserve"> </w:t>
            </w:r>
          </w:p>
          <w:p w14:paraId="754EEB0E" w14:textId="77777777" w:rsidR="00FD2482" w:rsidRPr="005C4BF9" w:rsidRDefault="00FD2482">
            <w:pPr>
              <w:pStyle w:val="ACLargeLogo"/>
            </w:pPr>
          </w:p>
        </w:tc>
        <w:tc>
          <w:tcPr>
            <w:tcW w:w="3112" w:type="dxa"/>
          </w:tcPr>
          <w:p w14:paraId="6F9C7956" w14:textId="77777777" w:rsidR="00FD2482" w:rsidRPr="00AA693C" w:rsidRDefault="00FD2482">
            <w:pPr>
              <w:pStyle w:val="AEDistrNormal"/>
              <w:rPr>
                <w:lang w:val="en-US"/>
              </w:rPr>
            </w:pPr>
            <w:r w:rsidRPr="00AA693C">
              <w:rPr>
                <w:lang w:val="en-US"/>
              </w:rPr>
              <w:t xml:space="preserve">Distr.: General </w:t>
            </w:r>
          </w:p>
          <w:p w14:paraId="5B7E0DFB" w14:textId="3783E22B" w:rsidR="00FB48B8" w:rsidRPr="00F038D3" w:rsidRDefault="00F038D3" w:rsidP="00FB48B8">
            <w:pPr>
              <w:pStyle w:val="AEDistrNormal"/>
              <w:rPr>
                <w:lang w:val="en-US"/>
              </w:rPr>
            </w:pPr>
            <w:r>
              <w:rPr>
                <w:lang w:val="en-US"/>
              </w:rPr>
              <w:t>13</w:t>
            </w:r>
            <w:r w:rsidR="00E7303A" w:rsidRPr="00AA693C">
              <w:rPr>
                <w:lang w:val="en-US"/>
              </w:rPr>
              <w:t xml:space="preserve"> January 2026</w:t>
            </w:r>
          </w:p>
          <w:p w14:paraId="35904B64" w14:textId="0BA1DBE8" w:rsidR="00FD2482" w:rsidRPr="00AA693C" w:rsidRDefault="00FD2482" w:rsidP="00FB48B8">
            <w:pPr>
              <w:pStyle w:val="AEDistrNormal"/>
              <w:rPr>
                <w:lang w:val="en-US"/>
              </w:rPr>
            </w:pPr>
            <w:r w:rsidRPr="00AA693C">
              <w:rPr>
                <w:lang w:val="en-US"/>
              </w:rPr>
              <w:t>Russian</w:t>
            </w:r>
            <w:r w:rsidRPr="00AA693C">
              <w:rPr>
                <w:lang w:val="en-US"/>
              </w:rPr>
              <w:br/>
              <w:t xml:space="preserve">Original: English </w:t>
            </w:r>
          </w:p>
          <w:p w14:paraId="7BA911A4" w14:textId="77777777" w:rsidR="00FD2482" w:rsidRPr="00AA693C" w:rsidRDefault="00FD2482">
            <w:pPr>
              <w:pStyle w:val="AEDistrNormal6pt"/>
              <w:rPr>
                <w:lang w:val="en-US"/>
              </w:rPr>
            </w:pPr>
          </w:p>
        </w:tc>
      </w:tr>
    </w:tbl>
    <w:p w14:paraId="255E79DA" w14:textId="77777777" w:rsidR="00FD2482" w:rsidRPr="00AA693C" w:rsidRDefault="00FD2482" w:rsidP="00FD2482">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5C4BF9" w14:paraId="060D5541" w14:textId="77777777">
        <w:trPr>
          <w:trHeight w:val="57"/>
        </w:trPr>
        <w:tc>
          <w:tcPr>
            <w:tcW w:w="6094" w:type="dxa"/>
          </w:tcPr>
          <w:p w14:paraId="347563C8" w14:textId="77777777" w:rsidR="00FD2482" w:rsidRPr="005C4BF9" w:rsidRDefault="00FD2482">
            <w:pPr>
              <w:pStyle w:val="AFCorN12Bold"/>
            </w:pPr>
            <w:r>
              <w:t xml:space="preserve">Вспомогательный орган по осуществлению </w:t>
            </w:r>
          </w:p>
          <w:p w14:paraId="1681C35B" w14:textId="77777777" w:rsidR="00FD2482" w:rsidRPr="005C4BF9" w:rsidRDefault="00FD2482">
            <w:pPr>
              <w:pStyle w:val="AFCorNBold"/>
            </w:pPr>
            <w:r>
              <w:t xml:space="preserve">Шестое совещание </w:t>
            </w:r>
          </w:p>
          <w:p w14:paraId="0B30296B" w14:textId="77777777" w:rsidR="00FD2482" w:rsidRPr="005C4BF9" w:rsidRDefault="00FD2482">
            <w:pPr>
              <w:pStyle w:val="AFCorNNormal"/>
            </w:pPr>
            <w:r>
              <w:t xml:space="preserve">Рим, </w:t>
            </w:r>
            <w:r>
              <w:rPr>
                <w:snapToGrid w:val="0"/>
              </w:rPr>
              <w:t>16-19 февраля 2026 года</w:t>
            </w:r>
          </w:p>
          <w:p w14:paraId="51B1998E" w14:textId="410B931B" w:rsidR="00FD2482" w:rsidRPr="005C4BF9" w:rsidRDefault="00FD2482">
            <w:pPr>
              <w:pStyle w:val="AFCorNNormal"/>
            </w:pPr>
            <w:r>
              <w:t>Пункт 3 (b) предварительной повестки дня</w:t>
            </w:r>
            <w:r>
              <w:rPr>
                <w:rStyle w:val="afa"/>
              </w:rPr>
              <w:footnoteReference w:customMarkFollows="1" w:id="1"/>
              <w:t>*</w:t>
            </w:r>
            <w:r>
              <w:t xml:space="preserve"> </w:t>
            </w:r>
          </w:p>
          <w:p w14:paraId="255CB275" w14:textId="5A54CBDF" w:rsidR="00FD2482" w:rsidRPr="005C4BF9" w:rsidRDefault="00FD2482">
            <w:pPr>
              <w:pStyle w:val="AFCorNBold"/>
            </w:pPr>
            <w:r>
              <w:t>Механизм финансирования</w:t>
            </w:r>
          </w:p>
        </w:tc>
        <w:tc>
          <w:tcPr>
            <w:tcW w:w="4388" w:type="dxa"/>
          </w:tcPr>
          <w:p w14:paraId="7036EC1F" w14:textId="77777777" w:rsidR="00FD2482" w:rsidRPr="005C4BF9" w:rsidRDefault="00FD2482">
            <w:pPr>
              <w:pStyle w:val="CBDNormal"/>
              <w:jc w:val="left"/>
            </w:pPr>
          </w:p>
        </w:tc>
      </w:tr>
    </w:tbl>
    <w:sdt>
      <w:sdt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Content>
        <w:p w14:paraId="3E89CB4F" w14:textId="78CF2136" w:rsidR="00FD2482" w:rsidRPr="005C4BF9" w:rsidRDefault="00FB48B8" w:rsidP="00090BD3">
          <w:pPr>
            <w:pStyle w:val="CBDTitle"/>
          </w:pPr>
          <w:r>
            <w:t>Механизм финансирования</w:t>
          </w:r>
        </w:p>
      </w:sdtContent>
    </w:sdt>
    <w:p w14:paraId="34616F55" w14:textId="68D7EC1C" w:rsidR="00F6586C" w:rsidRPr="005C4BF9" w:rsidRDefault="0030169D" w:rsidP="00A111D1">
      <w:pPr>
        <w:pStyle w:val="CBDSubTitle"/>
      </w:pPr>
      <w:r>
        <w:t>Записка секретариата</w:t>
      </w:r>
    </w:p>
    <w:p w14:paraId="28EA5C48" w14:textId="1B958047" w:rsidR="003631E8" w:rsidRPr="005C4BF9" w:rsidRDefault="003631E8" w:rsidP="00A24279">
      <w:pPr>
        <w:pStyle w:val="CBDH1"/>
      </w:pPr>
      <w:r>
        <w:t>I.</w:t>
      </w:r>
      <w:r>
        <w:tab/>
        <w:t>Введение</w:t>
      </w:r>
    </w:p>
    <w:p w14:paraId="5EF858CA" w14:textId="3F8F7B40" w:rsidR="00B93EB8" w:rsidRPr="005C4BF9" w:rsidRDefault="001E786B" w:rsidP="00D26ABD">
      <w:pPr>
        <w:pStyle w:val="CBDNormalNumber"/>
      </w:pPr>
      <w:bookmarkStart w:id="0" w:name="_Hlk211857939"/>
      <w:r>
        <w:t xml:space="preserve">В пункте 24 решения </w:t>
      </w:r>
      <w:hyperlink r:id="rId15" w:history="1">
        <w:r>
          <w:rPr>
            <w:rStyle w:val="aff"/>
          </w:rPr>
          <w:t>16/33</w:t>
        </w:r>
      </w:hyperlink>
      <w:r>
        <w:t xml:space="preserve"> Конференция Сторон Конвенции о биологическом разнообразии поручила Исполнительному секретарю Конвенции в кратчайшие сроки обобщить и передать информацию о потребностях в финансовых ресурсах, полученную от всех имеющих право на получение помощи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секретариат Глобального экологического фонда (ГЭФ) и участникам переговоров о девятом пополнении Целевого фонда ГЭФ (июль 2026 года – июнь 2030 года). Резюме оценки потребностей в финансовых ресурсах представлена в разделе II настоящего документа.</w:t>
      </w:r>
    </w:p>
    <w:p w14:paraId="13B864B7" w14:textId="59F9A926" w:rsidR="00781873" w:rsidRPr="005C4BF9" w:rsidRDefault="00086B04" w:rsidP="00781873">
      <w:pPr>
        <w:pStyle w:val="CBDNormalNumber"/>
      </w:pPr>
      <w:r>
        <w:t xml:space="preserve">В пункте 23 этого же решения Конференция Сторон предложила секретариатам конвенций, связанных с биоразнообразием, участвовать и вносить вклад в ходе межсекретариатских консультаций, которые будут созваны Исполнительным секретарем Конвенции при подготовке материалов секретариата для разработки программных направлений и рекомендаций по вопросам политики для переговоров в целях девятого пополнения Целевого фонда ГЭФ, в котором ГЭФ будет участвовать в соответствии с пунктом 7 Меморандума о договоренности между Конференцией Сторон и Советом ГЭФ. </w:t>
      </w:r>
    </w:p>
    <w:bookmarkEnd w:id="0"/>
    <w:p w14:paraId="7FEF6E9F" w14:textId="439B381D" w:rsidR="00244878" w:rsidRPr="005C4BF9" w:rsidRDefault="000E71F2" w:rsidP="00781873">
      <w:pPr>
        <w:pStyle w:val="CBDNormalNumber"/>
      </w:pPr>
      <w:r>
        <w:t>В пункте 25 этого же решения Конференция Сторон поручила Исполнительному секретарю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ГЭФ (июль 2030 года – июнь 2034 года) для рассмотрения Вспомогательным органом по осуществлению на совещании, предшествующем 17-му совещанию Конференции Сторон, и Конференцией Сторон на ее 17-м совещании. Проект круга полномочий представлен в приложении I к проекту рекомендаций, содержащихся в разделе IV настоящего документа.</w:t>
      </w:r>
    </w:p>
    <w:p w14:paraId="73E65E53" w14:textId="646A0750" w:rsidR="009B6839" w:rsidRPr="005C4BF9" w:rsidRDefault="00FF375A" w:rsidP="009B6839">
      <w:pPr>
        <w:pStyle w:val="CBDNormalNumber"/>
      </w:pPr>
      <w:r>
        <w:t xml:space="preserve">В решении </w:t>
      </w:r>
      <w:hyperlink r:id="rId16" w:history="1">
        <w:r>
          <w:rPr>
            <w:rStyle w:val="aff"/>
          </w:rPr>
          <w:t>15/15</w:t>
        </w:r>
      </w:hyperlink>
      <w:r>
        <w:t xml:space="preserve"> Конференция Сторон приняла круг полномочий для проведения полной оценки объема фондов, необходимых для осуществления Конвенции и протоколов к ней в период девятого пополнения Целевого фонда ГЭФ. В круге полномочий указано, что группа экспертов подготовит рекомендации Исполнительному секретарю в отношении </w:t>
      </w:r>
      <w:r>
        <w:lastRenderedPageBreak/>
        <w:t xml:space="preserve">элементов и условий онлайновой системы, содействующей представлению соответствующими Сторонами оценок своих будущих потребностей. </w:t>
      </w:r>
    </w:p>
    <w:p w14:paraId="106C39BE" w14:textId="0204C5CE" w:rsidR="00BA09C5" w:rsidRPr="00CB486E" w:rsidRDefault="00BA603D" w:rsidP="00BA09C5">
      <w:pPr>
        <w:pStyle w:val="CBDNormalNumber"/>
      </w:pPr>
      <w:r>
        <w:t xml:space="preserve">В пункте 40 решения </w:t>
      </w:r>
      <w:hyperlink r:id="rId17" w:history="1">
        <w:r>
          <w:rPr>
            <w:rStyle w:val="aff"/>
          </w:rPr>
          <w:t>16/33</w:t>
        </w:r>
      </w:hyperlink>
      <w:r>
        <w:t xml:space="preserve"> Конференция Сторон поручила Исполнительному секретарю подготовить проект круга полномочий для седьмого четырехгодичного обзора эффективности механизма финансирования для рассмотрения Вспомогательным органом по осуществлению и Конференцией Сторон на ее 17-м совещании. Проект круга полномочий представлен ниже в приложении II к проекту рекомендаций.</w:t>
      </w:r>
    </w:p>
    <w:p w14:paraId="28DF76F6" w14:textId="28AA3E92" w:rsidR="00606853" w:rsidRPr="005C4BF9" w:rsidRDefault="00B358B0" w:rsidP="00606853">
      <w:pPr>
        <w:pStyle w:val="CBDNormalNumber"/>
      </w:pPr>
      <w:r>
        <w:t xml:space="preserve">В пункте 28 этого же решения Конференция Сторон поручила Вспомогательному органу рассмотреть проекты элементов для дальнейших руководящих указаний для ГЭФ, разработанные во исполнение рекомендации </w:t>
      </w:r>
      <w:hyperlink r:id="rId18" w:history="1">
        <w:r>
          <w:rPr>
            <w:rStyle w:val="aff"/>
          </w:rPr>
          <w:t>4/4</w:t>
        </w:r>
      </w:hyperlink>
      <w:r>
        <w:t xml:space="preserve">, содержащейся в приложении к документу </w:t>
      </w:r>
      <w:hyperlink r:id="rId19" w:history="1">
        <w:r>
          <w:rPr>
            <w:rStyle w:val="aff"/>
          </w:rPr>
          <w:t>CBD/COP/16/6/Rev.1</w:t>
        </w:r>
      </w:hyperlink>
      <w:r>
        <w:t>, а также дополнительные предложения по тексту</w:t>
      </w:r>
      <w:r w:rsidR="00606853" w:rsidRPr="005C4BF9">
        <w:rPr>
          <w:rStyle w:val="afa"/>
        </w:rPr>
        <w:footnoteReference w:id="2"/>
      </w:r>
      <w:r>
        <w:t>, представленные на 16-м совещании Конференции Сторон. Проект дополнительных руководящих указаний приводится ниже в приложении III к проекту рекомендаций.</w:t>
      </w:r>
    </w:p>
    <w:p w14:paraId="08F49EF5" w14:textId="50D0DD05" w:rsidR="00BA09C5" w:rsidRPr="005C4BF9" w:rsidRDefault="00BA09C5">
      <w:pPr>
        <w:pStyle w:val="CBDNormalNumber"/>
      </w:pPr>
      <w:r>
        <w:t>Настоящая записка подготовлена в целях содействия Вспомогательному органу по осуществлению в рассмотрении этих, а также смежных с ними вопросов.</w:t>
      </w:r>
    </w:p>
    <w:p w14:paraId="0D543C0B" w14:textId="3CA70999" w:rsidR="00B27D8A" w:rsidRPr="00EE7CD4" w:rsidRDefault="00B27D8A" w:rsidP="00D26ABD">
      <w:pPr>
        <w:pStyle w:val="CBDH1"/>
      </w:pPr>
      <w:r>
        <w:t>II.</w:t>
      </w:r>
      <w:r>
        <w:tab/>
        <w:t>Оценка потребностей в финансовых ресурсах для девятого пополнения Целевого фонда Глобального экологического фонда (июль 2026 года – июнь 2030 года)</w:t>
      </w:r>
    </w:p>
    <w:p w14:paraId="74482BBA" w14:textId="02A4C8B7" w:rsidR="009637C2" w:rsidRPr="001C2669" w:rsidRDefault="004936AF">
      <w:pPr>
        <w:pStyle w:val="CBDNormalNumber"/>
      </w:pPr>
      <w:r>
        <w:t xml:space="preserve">Во исполнение поручения, содержащегося в пункте 24 решения </w:t>
      </w:r>
      <w:hyperlink r:id="rId20" w:history="1">
        <w:r>
          <w:rPr>
            <w:rStyle w:val="aff"/>
          </w:rPr>
          <w:t>16/33</w:t>
        </w:r>
      </w:hyperlink>
      <w:r>
        <w:t xml:space="preserve">, секретариат направил уведомления </w:t>
      </w:r>
      <w:hyperlink r:id="rId21" w:history="1">
        <w:r>
          <w:rPr>
            <w:rStyle w:val="aff"/>
          </w:rPr>
          <w:t>2025-066</w:t>
        </w:r>
      </w:hyperlink>
      <w:r>
        <w:t xml:space="preserve">, </w:t>
      </w:r>
      <w:hyperlink r:id="rId22" w:history="1">
        <w:r>
          <w:rPr>
            <w:rStyle w:val="aff"/>
          </w:rPr>
          <w:t>2025-086</w:t>
        </w:r>
      </w:hyperlink>
      <w:r>
        <w:t xml:space="preserve"> и </w:t>
      </w:r>
      <w:hyperlink r:id="rId23" w:history="1">
        <w:r>
          <w:rPr>
            <w:rStyle w:val="aff"/>
          </w:rPr>
          <w:t>2025-110</w:t>
        </w:r>
      </w:hyperlink>
      <w:r>
        <w:t xml:space="preserve">, обобщил информацию о потребностях в финансовых ресурсах, полученную от всех имеющих право на получение помощи Сторон в ходе онлайнового обследования в соответствии с кругом полномочий, приведенном в решении </w:t>
      </w:r>
      <w:hyperlink r:id="rId24" w:history="1">
        <w:r>
          <w:rPr>
            <w:rStyle w:val="aff"/>
          </w:rPr>
          <w:t>15/15</w:t>
        </w:r>
      </w:hyperlink>
      <w:r>
        <w:t xml:space="preserve">, и направил результаты секретариату ГЭФ и участникам переговоров о девятом цикле пополнения Целевого фонда ГЭФ. </w:t>
      </w:r>
    </w:p>
    <w:p w14:paraId="32F614E3" w14:textId="4848FFE2" w:rsidR="00D97515" w:rsidRPr="005C4BF9" w:rsidRDefault="00B90F94" w:rsidP="00272636">
      <w:pPr>
        <w:pStyle w:val="CBDNormalNumber"/>
      </w:pPr>
      <w:r>
        <w:t xml:space="preserve">Согласно оценке, сделанной на основе обобщения и анализа представленной информации, для осуществления Конвенции и протоколов к ней в период девятого пополнения </w:t>
      </w:r>
      <w:r w:rsidR="009026F7">
        <w:t>Ц</w:t>
      </w:r>
      <w:r>
        <w:t xml:space="preserve">елевого фонда ГЭФ потребуется </w:t>
      </w:r>
      <w:r w:rsidR="00F038D3">
        <w:t>примерно</w:t>
      </w:r>
      <w:r>
        <w:t xml:space="preserve"> </w:t>
      </w:r>
      <w:r w:rsidR="00F038D3">
        <w:t>5</w:t>
      </w:r>
      <w:r>
        <w:t> млрд долл. США. Эта оценка была основана на данных, представленных 45 имеющими право на получение помощи Сторонами, об их потребностях в финансовых ресурсах</w:t>
      </w:r>
      <w:r w:rsidR="00AE775F" w:rsidRPr="005C4BF9">
        <w:rPr>
          <w:rStyle w:val="afa"/>
        </w:rPr>
        <w:footnoteReference w:id="3"/>
      </w:r>
      <w:r>
        <w:t xml:space="preserve"> и на результатах использования регрессионной модели. В методологии оценки сочетались два подхода: использование регрессионной модели, основанной на представленных данных, и альтернативной оценки соотношений, основанной на информации об ассигнованиях, выделенных ранее в рамках Системы прозрачного распределения ресурсов.</w:t>
      </w:r>
    </w:p>
    <w:p w14:paraId="22928445" w14:textId="48320DA3" w:rsidR="009637C2" w:rsidRPr="005C4BF9" w:rsidRDefault="009637C2" w:rsidP="003E5A2B">
      <w:pPr>
        <w:pStyle w:val="CBDNormalNumber"/>
      </w:pPr>
      <w:r>
        <w:t xml:space="preserve">Ряд Сторон Картахенского протокола по биобезопасности определили свои национальные приоритеты финансирования для биобезопасности, которые могут быть признаны имеющими право на получение помощи в рамках механизма финансирования на период с июля 2026 года по июнь 2030 года. Эти представленные сведения особенно важны в контексте предыдущих решений Конференции Сторон, выступающей в качестве совещания Сторон Протокола, в которых была выражена озабоченность по поводу низкого уровня осуществления проектов в области биобезопасности в периоды шестого, седьмого и восьмого пополнения Целевого фонда ГЭФ. Поэтому включение конкретных элементов, связанных с </w:t>
      </w:r>
      <w:r>
        <w:lastRenderedPageBreak/>
        <w:t>Протоколом, в предстоящую глобальную оценку потребностей в финансовых ресурсах будет значительным достижением.</w:t>
      </w:r>
    </w:p>
    <w:p w14:paraId="7A562929" w14:textId="4DF6307A" w:rsidR="004936AF" w:rsidRPr="005C4BF9" w:rsidRDefault="00567D22" w:rsidP="004936AF">
      <w:pPr>
        <w:pStyle w:val="CBDNormalNumber"/>
      </w:pPr>
      <w:r>
        <w:t xml:space="preserve">Обобщенная информация о потребностях в финансовых ресурсах будет представлена в документе </w:t>
      </w:r>
      <w:hyperlink r:id="rId25" w:history="1">
        <w:r>
          <w:rPr>
            <w:rStyle w:val="aff"/>
          </w:rPr>
          <w:t>CBD/SBI/6/INF/13</w:t>
        </w:r>
      </w:hyperlink>
      <w:r>
        <w:t>.</w:t>
      </w:r>
    </w:p>
    <w:p w14:paraId="26F374C8" w14:textId="65E773C9" w:rsidR="00722DAE" w:rsidRPr="005C4BF9" w:rsidRDefault="00D719A8" w:rsidP="006C672F">
      <w:pPr>
        <w:pStyle w:val="CBDH1"/>
      </w:pPr>
      <w:r>
        <w:t>III.</w:t>
      </w:r>
      <w:r>
        <w:tab/>
        <w:t xml:space="preserve">Проект элементов для дальнейших руководящих указаний Глобальному экологическому фонду, разработанный во исполнение рекомендации </w:t>
      </w:r>
      <w:hyperlink r:id="rId26" w:history="1">
        <w:r>
          <w:rPr>
            <w:rStyle w:val="aff"/>
          </w:rPr>
          <w:t>4/4</w:t>
        </w:r>
      </w:hyperlink>
      <w:r>
        <w:t xml:space="preserve"> Вспомогательного органа по </w:t>
      </w:r>
      <w:r w:rsidR="009026F7">
        <w:t>осуществлению</w:t>
      </w:r>
    </w:p>
    <w:p w14:paraId="02A7C8EA" w14:textId="291BAB62" w:rsidR="002317C3" w:rsidRPr="005C4BF9" w:rsidRDefault="004E26BD">
      <w:pPr>
        <w:pStyle w:val="CBDNormalNumber"/>
      </w:pPr>
      <w:r>
        <w:t>Согласно поручению, содержащемуся в пункте 28 решения 16/33, во исполнение рекомендации </w:t>
      </w:r>
      <w:hyperlink r:id="rId27" w:history="1">
        <w:r>
          <w:rPr>
            <w:rStyle w:val="aff"/>
          </w:rPr>
          <w:t>4/4</w:t>
        </w:r>
      </w:hyperlink>
      <w:r>
        <w:t xml:space="preserve"> Вспомогательного органа по осуществлению был разработан проект элементов для дальнейших руководящих указаний для ГЭФ. Как отмечалось выше, проект элементов содержится в приложении III к нижеизложенному проекту рекомендации.</w:t>
      </w:r>
    </w:p>
    <w:p w14:paraId="195F2B22" w14:textId="51487B5D" w:rsidR="00354E72" w:rsidRPr="005C4BF9" w:rsidRDefault="00354E72" w:rsidP="00AC698E">
      <w:pPr>
        <w:pStyle w:val="CBDNormalNumber"/>
      </w:pPr>
      <w:r>
        <w:t xml:space="preserve">В дополнение к соответствующим пунктам решений </w:t>
      </w:r>
      <w:hyperlink r:id="rId28" w:history="1">
        <w:r>
          <w:rPr>
            <w:rStyle w:val="aff"/>
          </w:rPr>
          <w:t>14/23</w:t>
        </w:r>
      </w:hyperlink>
      <w:r>
        <w:t xml:space="preserve"> и </w:t>
      </w:r>
      <w:hyperlink r:id="rId29" w:history="1">
        <w:r>
          <w:rPr>
            <w:rStyle w:val="aff"/>
          </w:rPr>
          <w:t>15/15</w:t>
        </w:r>
      </w:hyperlink>
      <w:r>
        <w:t xml:space="preserve"> секретариат взаимодействовал с многосторонними банками развития, аккредитованными при Совете ГЭФ, в ходе заседаний Ассамблеи и Совета ГЭФ для решения вопросов, представляющих общий интерес и соответствующих решениям Конференции Сторон Конвенции. Секретариат взаимодействует с другими многосторонними банками развития и прочими международными финансовыми учреждениями, которые не аккредитованы при Совете ГЭФ, такими как Зеленый климатический фонд, Фонд капитального развития Организации Объединенных Наций, Международный валютный фонд и другие финансовые учреждения, включенные в перечень международных организаций, имеющих право на получение официальной помощи в целях развития, Организации экономического сотрудничества и развития. Секретариат продолжает отслеживать список других государственных и частных финансовых учреждений, аккредитованных при Зеленом климатическом фонде, с точки зрения их потенциала вносить вклад в осуществление Конвенции, протоколы к ней и Куньминско-Монреальскую глобальную рамочную программу в области биоразнообразия.</w:t>
      </w:r>
    </w:p>
    <w:p w14:paraId="5DF8AD0F" w14:textId="6269EFDD" w:rsidR="00936CC7" w:rsidRPr="005C4BF9" w:rsidRDefault="002563D8" w:rsidP="0020136B">
      <w:pPr>
        <w:pStyle w:val="CBDH1"/>
      </w:pPr>
      <w:r>
        <w:t>IV.</w:t>
      </w:r>
      <w:r>
        <w:tab/>
        <w:t>Рекомендация</w:t>
      </w:r>
    </w:p>
    <w:p w14:paraId="697E0041" w14:textId="212886AD" w:rsidR="000073D4" w:rsidRPr="005C4BF9" w:rsidRDefault="000073D4" w:rsidP="000073D4">
      <w:pPr>
        <w:pStyle w:val="CBDNormalNumber"/>
      </w:pPr>
      <w:r>
        <w:t>Вспомогательному органу предлагается принять рекомендацию</w:t>
      </w:r>
      <w:r w:rsidR="00CC7A1E">
        <w:rPr>
          <w:rStyle w:val="afa"/>
        </w:rPr>
        <w:footnoteReference w:id="4"/>
      </w:r>
      <w:r>
        <w:t xml:space="preserve"> следующего содержания:</w:t>
      </w:r>
    </w:p>
    <w:p w14:paraId="21DCAEC2" w14:textId="12420AEA" w:rsidR="000073D4" w:rsidRPr="005C4BF9" w:rsidRDefault="000073D4" w:rsidP="000073D4">
      <w:pPr>
        <w:pStyle w:val="CBDNormalNumber"/>
        <w:numPr>
          <w:ilvl w:val="0"/>
          <w:numId w:val="0"/>
        </w:numPr>
        <w:ind w:left="567"/>
        <w:rPr>
          <w:i/>
          <w:iCs/>
        </w:rPr>
      </w:pPr>
      <w:r>
        <w:tab/>
      </w:r>
      <w:r>
        <w:rPr>
          <w:i/>
        </w:rPr>
        <w:t xml:space="preserve">Вспомогательный орган по осуществлению </w:t>
      </w:r>
    </w:p>
    <w:p w14:paraId="468708B3" w14:textId="1523ED4B" w:rsidR="002D6968" w:rsidRPr="005C4BF9" w:rsidRDefault="00A54F4D" w:rsidP="005B37FF">
      <w:pPr>
        <w:pStyle w:val="CBDNormalNumber"/>
        <w:numPr>
          <w:ilvl w:val="0"/>
          <w:numId w:val="0"/>
        </w:numPr>
        <w:ind w:left="567"/>
      </w:pPr>
      <w:r>
        <w:rPr>
          <w:i/>
        </w:rPr>
        <w:tab/>
      </w:r>
      <w:r>
        <w:rPr>
          <w:i/>
          <w:iCs/>
        </w:rPr>
        <w:t>рекомендует</w:t>
      </w:r>
      <w:r>
        <w:t xml:space="preserve"> Конференции Сторон на ее 17-м совещании принять решение следующего содержания:</w:t>
      </w:r>
    </w:p>
    <w:p w14:paraId="65905F9F" w14:textId="0BC6A417" w:rsidR="001A613B" w:rsidRPr="005C4BF9" w:rsidRDefault="002D6968" w:rsidP="00623ED1">
      <w:pPr>
        <w:pStyle w:val="CBDDesicionText"/>
      </w:pPr>
      <w:r>
        <w:rPr>
          <w:i/>
          <w:iCs/>
        </w:rPr>
        <w:t>Конференция Сторон</w:t>
      </w:r>
      <w:r>
        <w:t>,</w:t>
      </w:r>
    </w:p>
    <w:p w14:paraId="3A37B5C0" w14:textId="000109D8" w:rsidR="00F81491" w:rsidRPr="005C4BF9" w:rsidRDefault="00F81491" w:rsidP="00AA693C">
      <w:pPr>
        <w:pStyle w:val="CBDDesicionText"/>
      </w:pPr>
      <w:r>
        <w:rPr>
          <w:i/>
          <w:iCs/>
        </w:rPr>
        <w:t>ссылаясь</w:t>
      </w:r>
      <w:r>
        <w:t xml:space="preserve"> на свои решения </w:t>
      </w:r>
      <w:hyperlink r:id="rId30" w:history="1">
        <w:r>
          <w:rPr>
            <w:rStyle w:val="aff"/>
          </w:rPr>
          <w:t>15/15</w:t>
        </w:r>
      </w:hyperlink>
      <w:r>
        <w:t xml:space="preserve"> от 19 декабря 2022 года и </w:t>
      </w:r>
      <w:hyperlink r:id="rId31" w:history="1">
        <w:r>
          <w:rPr>
            <w:rStyle w:val="aff"/>
          </w:rPr>
          <w:t>16/33</w:t>
        </w:r>
      </w:hyperlink>
      <w:r>
        <w:t xml:space="preserve"> от 27 февраля 2025 года, касающиеся оценки потребностей в финансовых ресурсах, необходимых имеющим право на получение помощи Сторонам для осуществления Конвенции о биологическом разнообразии</w:t>
      </w:r>
      <w:r w:rsidR="00AA693C" w:rsidRPr="00AA693C">
        <w:rPr>
          <w:vertAlign w:val="superscript"/>
          <w:lang w:val="en-GB"/>
        </w:rPr>
        <w:footnoteReference w:id="5"/>
      </w:r>
      <w:r w:rsidR="00AA693C" w:rsidRPr="00AA693C">
        <w:t xml:space="preserve"> </w:t>
      </w:r>
      <w:r>
        <w:t>и протоколов к ней в период девятого пополнения средств Целевого фонда Глобального экологического фонда (июль 2026 года – июнь 2030 года),</w:t>
      </w:r>
    </w:p>
    <w:p w14:paraId="04AB1B87" w14:textId="095D5EC1" w:rsidR="00F81491" w:rsidRPr="005C4BF9" w:rsidRDefault="00935886" w:rsidP="00623ED1">
      <w:pPr>
        <w:pStyle w:val="CBDDesicionText"/>
      </w:pPr>
      <w:r>
        <w:rPr>
          <w:i/>
        </w:rPr>
        <w:t>ссылаясь также</w:t>
      </w:r>
      <w:r>
        <w:t xml:space="preserve"> 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 </w:t>
      </w:r>
      <w:hyperlink r:id="rId32" w:history="1">
        <w:r>
          <w:rPr>
            <w:rStyle w:val="aff"/>
          </w:rPr>
          <w:t>16/33</w:t>
        </w:r>
      </w:hyperlink>
      <w:r>
        <w:t>,</w:t>
      </w:r>
    </w:p>
    <w:p w14:paraId="334BBF18" w14:textId="0ABD9E96" w:rsidR="00F81491" w:rsidRPr="005C4BF9" w:rsidRDefault="00F81491" w:rsidP="00623ED1">
      <w:pPr>
        <w:pStyle w:val="CBDDesicionText"/>
      </w:pPr>
      <w:r>
        <w:rPr>
          <w:i/>
          <w:iCs/>
        </w:rPr>
        <w:lastRenderedPageBreak/>
        <w:t>признавая</w:t>
      </w:r>
      <w:r>
        <w:t>, что Куньминско-Монреальская глобальная рамочная программа в области биоразнообразия</w:t>
      </w:r>
      <w:r w:rsidR="00C23C12">
        <w:rPr>
          <w:rStyle w:val="afa"/>
        </w:rPr>
        <w:footnoteReference w:id="6"/>
      </w:r>
      <w:r>
        <w:t xml:space="preserve"> имеет отношение ко всем конвенциям, связанным с биоразнообразием, и другим многосторонним природоохранным соглашениям, а также к мандату Глобального экологического фонда,</w:t>
      </w:r>
    </w:p>
    <w:p w14:paraId="7BEEC645" w14:textId="07BDC918" w:rsidR="00F81491" w:rsidRPr="005C4BF9" w:rsidRDefault="00534579" w:rsidP="00091919">
      <w:pPr>
        <w:pStyle w:val="CBDDesicionText"/>
      </w:pPr>
      <w:r>
        <w:t>1.</w:t>
      </w:r>
      <w:r>
        <w:rPr>
          <w:i/>
        </w:rPr>
        <w:tab/>
      </w:r>
      <w:r>
        <w:rPr>
          <w:i/>
          <w:iCs/>
        </w:rPr>
        <w:t>с удовлетворением отмечает</w:t>
      </w:r>
      <w:r>
        <w:t xml:space="preserve"> информацию о потребностях в финансовых ресурсах, полученную от имеющих право на получение помощи Сторон из числа развивающихся стран, и передачу данной обобщенной и проанализированной информации секретариатом Конвенции о биологическом разнообразии</w:t>
      </w:r>
      <w:r w:rsidR="005853C8">
        <w:t xml:space="preserve">, заложившей информационную основу </w:t>
      </w:r>
      <w:r>
        <w:t xml:space="preserve">переговоров о девятом пополнении Целевого фонда Глобального экологического фонда (июль 2026 года – июнь 2030 года); </w:t>
      </w:r>
    </w:p>
    <w:p w14:paraId="12393B02" w14:textId="317ABA0C" w:rsidR="00F81491" w:rsidRPr="005C4BF9" w:rsidRDefault="00534579" w:rsidP="00091919">
      <w:pPr>
        <w:pStyle w:val="CBDDesicionText"/>
      </w:pPr>
      <w:r>
        <w:t>2.</w:t>
      </w:r>
      <w:r>
        <w:rPr>
          <w:i/>
        </w:rPr>
        <w:tab/>
      </w:r>
      <w:r w:rsidR="005853C8">
        <w:rPr>
          <w:i/>
          <w:iCs/>
        </w:rPr>
        <w:t>отмечает</w:t>
      </w:r>
      <w:r>
        <w:t xml:space="preserve">, что объем финансовых ресурсов, необходимых имеющим право на получение помощи Сторонам для выполнения своих обязательств по Конвенции и протоколам к ней, и в частности для осуществления Куньминско-Монреальской глобальной рамочной программы в области биоразнообразия, на период с июля 2026 года по июнь 2030 года </w:t>
      </w:r>
      <w:r w:rsidR="005853C8">
        <w:t>оценивается примерно в 5 </w:t>
      </w:r>
      <w:r>
        <w:t>млрд долл. США;</w:t>
      </w:r>
    </w:p>
    <w:p w14:paraId="38996B9B" w14:textId="0750EF58" w:rsidR="00F81491" w:rsidRPr="005C4BF9" w:rsidRDefault="00534579" w:rsidP="00091919">
      <w:pPr>
        <w:pStyle w:val="CBDDesicionText"/>
      </w:pPr>
      <w:r>
        <w:t>3.</w:t>
      </w:r>
      <w:r>
        <w:rPr>
          <w:i/>
        </w:rPr>
        <w:tab/>
      </w:r>
      <w:r>
        <w:rPr>
          <w:i/>
          <w:iCs/>
        </w:rPr>
        <w:t xml:space="preserve">вновь </w:t>
      </w:r>
      <w:r w:rsidR="005853C8">
        <w:rPr>
          <w:i/>
          <w:iCs/>
        </w:rPr>
        <w:t xml:space="preserve">выражает </w:t>
      </w:r>
      <w:r w:rsidR="00190F10" w:rsidRPr="001863ED">
        <w:rPr>
          <w:i/>
          <w:iCs/>
        </w:rPr>
        <w:t>признательность</w:t>
      </w:r>
      <w:r>
        <w:t xml:space="preserve"> Сторонам из числа развитых стран, другим Сторонам, которые добровольно принимают на себя обязательства Сторон из числа развитых стран, и другим странам</w:t>
      </w:r>
      <w:r w:rsidR="005853C8">
        <w:t>,</w:t>
      </w:r>
      <w:r>
        <w:t xml:space="preserve"> </w:t>
      </w:r>
      <w:r w:rsidR="005853C8">
        <w:t>принявшим</w:t>
      </w:r>
      <w:r>
        <w:t xml:space="preserve"> </w:t>
      </w:r>
      <w:r w:rsidR="007B09F8">
        <w:t xml:space="preserve">активное </w:t>
      </w:r>
      <w:r>
        <w:t>участие в девятом пополнении Целевого фонда Глобального экологического фонда для поддержки Сторон из числа развивающихся стран, имеющих право на получение помощи, в частности наименее развитых стран, малых островных развивающихся государств и Сторон с переходной экономикой;</w:t>
      </w:r>
    </w:p>
    <w:p w14:paraId="70C1F5C4" w14:textId="1DBB9C6D" w:rsidR="00F81491" w:rsidRPr="005C4BF9" w:rsidRDefault="00534579" w:rsidP="00091919">
      <w:pPr>
        <w:pStyle w:val="CBDDesicionText"/>
      </w:pPr>
      <w:r>
        <w:t>4.</w:t>
      </w:r>
      <w:r>
        <w:rPr>
          <w:i/>
        </w:rPr>
        <w:tab/>
      </w:r>
      <w:r>
        <w:rPr>
          <w:i/>
          <w:iCs/>
        </w:rPr>
        <w:t>призывает</w:t>
      </w:r>
      <w:r>
        <w:t xml:space="preserve"> Стороны из числа развитых стран и Стороны, которые добровольно принимают на себя обязательства Сторон из числа развитых стран, и предлагает правительствам других стран и несуверенным донорам, таким как организации частного сектора и благотворительные организации, сделать или увеличить взносы в Фонд Глобальной рамочной программы в области биоразнообразия;</w:t>
      </w:r>
    </w:p>
    <w:p w14:paraId="3E90BCEB" w14:textId="7957A6E8" w:rsidR="0050290F" w:rsidRPr="005C4BF9" w:rsidRDefault="00534579" w:rsidP="00091919">
      <w:pPr>
        <w:pStyle w:val="CBDDesicionText"/>
      </w:pPr>
      <w:r>
        <w:t>5.</w:t>
      </w:r>
      <w:r>
        <w:rPr>
          <w:i/>
        </w:rPr>
        <w:tab/>
        <w:t>утверждает</w:t>
      </w:r>
      <w:r>
        <w:t xml:space="preserve"> круг полномочий для проведения полной оценки объема фондов, необходимых для оказания помощи развивающимся странам и странам с переходной экономикой в соответствии с руководящими указаниями, предоставленными Конференцией Сторон, по выполнению их обязательств в рамках Конвенции в период десятого пополнения Целевого фонда Глобального экологического фонда (июль 2030 года – июнь 2034 года), приведенный в приложении I к настоящему решению;</w:t>
      </w:r>
    </w:p>
    <w:p w14:paraId="38C8C79D" w14:textId="03D2364B" w:rsidR="001D3F26" w:rsidRPr="005C4BF9" w:rsidRDefault="00534579" w:rsidP="00091919">
      <w:pPr>
        <w:pStyle w:val="CBDDesicionText"/>
      </w:pPr>
      <w:r>
        <w:t>6.</w:t>
      </w:r>
      <w:r>
        <w:rPr>
          <w:i/>
        </w:rPr>
        <w:tab/>
      </w:r>
      <w:r>
        <w:rPr>
          <w:i/>
          <w:iCs/>
        </w:rPr>
        <w:t>утверждает также</w:t>
      </w:r>
      <w:r>
        <w:t xml:space="preserve"> круг полномочий для проведения седьмого четырехгодичного обзора эффективности механизма финансирования, приведенный в приложении II к настоящему решению;</w:t>
      </w:r>
    </w:p>
    <w:p w14:paraId="04524B3A" w14:textId="32BFD640" w:rsidR="00FB5CC0" w:rsidRPr="005C4BF9" w:rsidRDefault="00534579" w:rsidP="00091919">
      <w:pPr>
        <w:pStyle w:val="CBDDesicionText"/>
      </w:pPr>
      <w:r>
        <w:t>7.</w:t>
      </w:r>
      <w:r>
        <w:rPr>
          <w:i/>
        </w:rPr>
        <w:tab/>
      </w:r>
      <w:r>
        <w:rPr>
          <w:i/>
          <w:iCs/>
        </w:rPr>
        <w:t>предлагает</w:t>
      </w:r>
      <w:r>
        <w:t xml:space="preserve"> Сторонам, правительствам других стран и соответствующим организациям, а также коренным народам и местным общинам, женщинам и молодежи вносить вклад в осуществление круга полномочий для проведения седьмого четырехгодичного обзора эффективности механизма финансирования и участвовать в этом осуществлении;</w:t>
      </w:r>
    </w:p>
    <w:p w14:paraId="1F52EA09" w14:textId="111F6ADD" w:rsidR="001E4236" w:rsidRPr="005C4BF9" w:rsidRDefault="00534579" w:rsidP="00091919">
      <w:pPr>
        <w:pStyle w:val="CBDDesicionText"/>
      </w:pPr>
      <w:r>
        <w:t>8.</w:t>
      </w:r>
      <w:r>
        <w:rPr>
          <w:i/>
        </w:rPr>
        <w:tab/>
      </w:r>
      <w:r>
        <w:rPr>
          <w:i/>
          <w:iCs/>
        </w:rPr>
        <w:t>поручает</w:t>
      </w:r>
      <w:r>
        <w:t xml:space="preserve"> Исполнительному секретарю при условии наличия ресурсов: </w:t>
      </w:r>
    </w:p>
    <w:p w14:paraId="2F341272" w14:textId="117137B8" w:rsidR="000073D4" w:rsidRPr="005C4BF9" w:rsidRDefault="00534579" w:rsidP="00091919">
      <w:pPr>
        <w:pStyle w:val="CBDDesicionText"/>
      </w:pPr>
      <w:r>
        <w:t>(a)</w:t>
      </w:r>
      <w:r>
        <w:tab/>
        <w:t xml:space="preserve"> подготовить доклад о проведении седьмого четырехгодичного обзора эффективности механизма финансирования и представить его на рассмотрение Конференции Сторон на ее 18-м совещании;</w:t>
      </w:r>
    </w:p>
    <w:p w14:paraId="2F02DE15" w14:textId="098C2EFB" w:rsidR="002C682D" w:rsidRPr="00AC1BB4" w:rsidRDefault="00534579" w:rsidP="00091919">
      <w:pPr>
        <w:pStyle w:val="CBDDesicionText"/>
      </w:pPr>
      <w:r>
        <w:lastRenderedPageBreak/>
        <w:t>(b)</w:t>
      </w:r>
      <w:r>
        <w:tab/>
        <w:t xml:space="preserve">подготовить доклад о полной оценке объема фондов, необходимых для осуществления Конвенции и протоколов к ней в период десятого пополнения Целевого фонда Глобального экологического фонда, для рассмотрения Вспомогательным органом по осуществлению до 18-го совещания Конференции Сторон и Конференцией Сторон на ее 18-м совещании; </w:t>
      </w:r>
    </w:p>
    <w:p w14:paraId="7EB5C62D" w14:textId="123E4708" w:rsidR="000073D4" w:rsidRPr="005C4BF9" w:rsidRDefault="00534579" w:rsidP="00091919">
      <w:pPr>
        <w:pStyle w:val="CBDDesicionText"/>
      </w:pPr>
      <w:r>
        <w:t>(c)</w:t>
      </w:r>
      <w:r>
        <w:tab/>
        <w:t>продолжить активизировать сотрудничество и взаимодействие с финансовыми учреждениями и заинтересованными сторонами, особенно с признанными Глобальным экологическим фондом, Зеленым климатическим фондом и Организацией экономического сотрудничества и развития, в целях ускорения осуществления Рамочной программы;</w:t>
      </w:r>
    </w:p>
    <w:p w14:paraId="1E80A895" w14:textId="72A15156" w:rsidR="000073D4" w:rsidRPr="005C4BF9" w:rsidRDefault="00534579" w:rsidP="00091919">
      <w:pPr>
        <w:pStyle w:val="CBDDesicionText"/>
      </w:pPr>
      <w:r>
        <w:t>(d)</w:t>
      </w:r>
      <w:r>
        <w:tab/>
        <w:t xml:space="preserve">разработать в консультации с соответствующими финансовыми учреждениями стратегические варианты укрепления существующих финансовых учреждений в соответствии с пунктом 4 статьи 21 Конвенции, включая потенциальные платформы действий, в целях предоставления финансовых ресурсов для сохранения и устойчивого использования биологического разнообразия, для рассмотрения Вспомогательным органом по осуществлению до 18-го совещания Конференции Сторон и Конференцией Сторон на ее 18-м совещании. </w:t>
      </w:r>
    </w:p>
    <w:p w14:paraId="56B7A486" w14:textId="030AAF72" w:rsidR="0093737F" w:rsidRPr="005C4BF9" w:rsidRDefault="0093737F" w:rsidP="00091919">
      <w:pPr>
        <w:pStyle w:val="CBDDesicionAnnex"/>
        <w:spacing w:before="120"/>
        <w:ind w:left="1134"/>
      </w:pPr>
      <w:r>
        <w:t>Приложение I</w:t>
      </w:r>
    </w:p>
    <w:p w14:paraId="5E2F86CA" w14:textId="29643509" w:rsidR="0093737F" w:rsidRPr="005C4BF9" w:rsidRDefault="0093737F" w:rsidP="00091919">
      <w:pPr>
        <w:pStyle w:val="CBDDesicionAnnex"/>
        <w:spacing w:before="120"/>
        <w:ind w:left="1134"/>
      </w:pPr>
      <w:r>
        <w:t>Круг полномочий для проведения полной оценки объема фондов, необходимых для осуществления Конвенции о биологическом разнообразии и протоколов к ней в период десятого пополнения Целевого фонда Глобального экологического фонда (июль 2030 года – июнь 2034 года)</w:t>
      </w:r>
    </w:p>
    <w:p w14:paraId="6052D29D" w14:textId="77777777" w:rsidR="0093737F" w:rsidRPr="005C4BF9" w:rsidRDefault="0093737F" w:rsidP="00091919">
      <w:pPr>
        <w:pStyle w:val="CBDH3"/>
        <w:tabs>
          <w:tab w:val="clear" w:pos="567"/>
        </w:tabs>
        <w:ind w:left="1134"/>
        <w:rPr>
          <w:snapToGrid w:val="0"/>
        </w:rPr>
      </w:pPr>
      <w:r>
        <w:rPr>
          <w:snapToGrid w:val="0"/>
        </w:rPr>
        <w:t>А.</w:t>
      </w:r>
      <w:r>
        <w:rPr>
          <w:snapToGrid w:val="0"/>
        </w:rPr>
        <w:tab/>
        <w:t>Цель</w:t>
      </w:r>
    </w:p>
    <w:p w14:paraId="6466CC11" w14:textId="2EF240B9" w:rsidR="0093737F" w:rsidRPr="00A5641B" w:rsidRDefault="00534579" w:rsidP="00464DFD">
      <w:pPr>
        <w:pStyle w:val="CBDNormalNoNumber"/>
        <w:tabs>
          <w:tab w:val="clear" w:pos="567"/>
        </w:tabs>
        <w:spacing w:before="120"/>
        <w:ind w:left="1134"/>
      </w:pPr>
      <w:r>
        <w:t>1.</w:t>
      </w:r>
      <w:r>
        <w:tab/>
        <w:t>Цель работы, подлежащей осуществлению в рамках настоящего круга полномочий, состоит в том, чтобы позволить Конференции Сторон Конвенции о биологическом разнообразии</w:t>
      </w:r>
      <w:r w:rsidR="00101A02">
        <w:rPr>
          <w:rStyle w:val="afa"/>
        </w:rPr>
        <w:footnoteReference w:id="7"/>
      </w:r>
      <w:r>
        <w:t xml:space="preserve"> провести оценку объема фондов, необходимых для оказания содействия развивающимся странам и странам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обязательства по осуществлению любого документа, который станет преемником Куньминско-Монреальской глобальной рамочной программы в области биоразнообразия</w:t>
      </w:r>
      <w:r w:rsidR="00704E3D">
        <w:rPr>
          <w:rStyle w:val="afa"/>
        </w:rPr>
        <w:footnoteReference w:id="8"/>
      </w:r>
      <w:r>
        <w:t xml:space="preserve">, в период десятого пополнения Целевого фонда Глобального экологического фонда (июль 2030 года – июнь 2034 года), и определить объем ресурсов, необходимых в соответствии с пунктом 1 статьи 21 Конвенции и с </w:t>
      </w:r>
      <w:hyperlink r:id="rId33" w:history="1">
        <w:r>
          <w:rPr>
            <w:rStyle w:val="aff"/>
          </w:rPr>
          <w:t>решением</w:t>
        </w:r>
        <w:r w:rsidR="007B09F8">
          <w:rPr>
            <w:rStyle w:val="aff"/>
          </w:rPr>
          <w:t> </w:t>
        </w:r>
        <w:r>
          <w:rPr>
            <w:rStyle w:val="aff"/>
          </w:rPr>
          <w:t>III/8</w:t>
        </w:r>
      </w:hyperlink>
      <w:r>
        <w:t xml:space="preserve"> Конференции Сторон.</w:t>
      </w:r>
    </w:p>
    <w:p w14:paraId="56AF8BC1" w14:textId="77777777" w:rsidR="0093737F" w:rsidRPr="005C4BF9" w:rsidRDefault="0093737F" w:rsidP="00464DFD">
      <w:pPr>
        <w:pStyle w:val="CBDH3"/>
        <w:tabs>
          <w:tab w:val="clear" w:pos="567"/>
        </w:tabs>
        <w:ind w:left="1134"/>
        <w:rPr>
          <w:b w:val="0"/>
          <w:iCs/>
          <w:snapToGrid w:val="0"/>
        </w:rPr>
      </w:pPr>
      <w:r>
        <w:rPr>
          <w:snapToGrid w:val="0"/>
        </w:rPr>
        <w:t>В.</w:t>
      </w:r>
      <w:r>
        <w:rPr>
          <w:snapToGrid w:val="0"/>
        </w:rPr>
        <w:tab/>
        <w:t>Сфера охвата</w:t>
      </w:r>
    </w:p>
    <w:p w14:paraId="27915450" w14:textId="3B42978F" w:rsidR="0093737F" w:rsidRPr="00464DFD" w:rsidRDefault="00534579" w:rsidP="00464DFD">
      <w:pPr>
        <w:pStyle w:val="CBDNormalNoNumber"/>
        <w:tabs>
          <w:tab w:val="clear" w:pos="567"/>
        </w:tabs>
        <w:spacing w:before="120"/>
        <w:ind w:left="1134"/>
        <w:rPr>
          <w:rFonts w:eastAsia="Malgun Gothic"/>
          <w:kern w:val="22"/>
        </w:rPr>
      </w:pPr>
      <w:r>
        <w:t>2.</w:t>
      </w:r>
      <w:r>
        <w:tab/>
        <w:t xml:space="preserve">Оценка потребностей в финансовых ресурсах для осуществления Конвенции и протоколов к ней должна носить комплексный характер и быть нацелена главным образом на определение совокупных потребностей в финансовых ресурсах для покрытия всех согласованных дополнительных расходов на меры, которые Стороны, являющиеся развивающимися странами, и Стороны с переходной экономикой, имеющие право на получение помощи от Глобального экологического фонда, могут </w:t>
      </w:r>
      <w:r w:rsidR="007B09F8">
        <w:t>принять</w:t>
      </w:r>
      <w:r>
        <w:t xml:space="preserve"> в соответствии с руководящими указаниями, подготовленными Конференцией Сторон, для выполнения своих обязательств в рамках Конвенции и протоколов к ней, в </w:t>
      </w:r>
      <w:r>
        <w:lastRenderedPageBreak/>
        <w:t>частности обязательства по осуществлению любого документа, который станет преемником Рамочной программы, в период с июля 2030 года по июнь 2034 года.</w:t>
      </w:r>
    </w:p>
    <w:p w14:paraId="0D5C5BCE" w14:textId="77777777" w:rsidR="0093737F" w:rsidRPr="005C4BF9" w:rsidRDefault="0093737F" w:rsidP="00464DFD">
      <w:pPr>
        <w:pStyle w:val="CBDH3"/>
        <w:tabs>
          <w:tab w:val="clear" w:pos="567"/>
        </w:tabs>
        <w:ind w:left="1134"/>
        <w:rPr>
          <w:b w:val="0"/>
          <w:iCs/>
          <w:snapToGrid w:val="0"/>
        </w:rPr>
      </w:pPr>
      <w:r>
        <w:rPr>
          <w:snapToGrid w:val="0"/>
        </w:rPr>
        <w:t>С.</w:t>
      </w:r>
      <w:r>
        <w:rPr>
          <w:snapToGrid w:val="0"/>
        </w:rPr>
        <w:tab/>
        <w:t>Методология</w:t>
      </w:r>
    </w:p>
    <w:p w14:paraId="2B3AA00A" w14:textId="742FF2B6" w:rsidR="0093737F" w:rsidRPr="00464DFD" w:rsidRDefault="00534579" w:rsidP="00464DFD">
      <w:pPr>
        <w:pStyle w:val="CBDNormalNoNumber"/>
        <w:tabs>
          <w:tab w:val="clear" w:pos="567"/>
        </w:tabs>
        <w:spacing w:before="120"/>
        <w:ind w:left="1134"/>
        <w:rPr>
          <w:rFonts w:eastAsia="Malgun Gothic"/>
          <w:kern w:val="22"/>
        </w:rPr>
      </w:pPr>
      <w:r>
        <w:t>3.</w:t>
      </w:r>
      <w:r>
        <w:tab/>
        <w:t>В процессе оценки потребностей в финансовых ресурсах следует учитывать:</w:t>
      </w:r>
    </w:p>
    <w:p w14:paraId="031A6DF0" w14:textId="5E302FB7" w:rsidR="0093737F" w:rsidRPr="005C4BF9" w:rsidRDefault="00534579" w:rsidP="00464DFD">
      <w:pPr>
        <w:pStyle w:val="CBDNormalNoNumber"/>
        <w:tabs>
          <w:tab w:val="clear" w:pos="567"/>
        </w:tabs>
        <w:spacing w:before="120"/>
        <w:ind w:left="1134" w:firstLine="567"/>
        <w:rPr>
          <w:rFonts w:eastAsia="Malgun Gothic"/>
          <w:kern w:val="22"/>
        </w:rPr>
      </w:pPr>
      <w:r>
        <w:t>(a)</w:t>
      </w:r>
      <w:r>
        <w:tab/>
        <w:t>пункт 2 статьи 20 и пункт 1 статьи 21 Конвенции, а также любой документ, который станет преемником Рамочной конвенции;</w:t>
      </w:r>
    </w:p>
    <w:p w14:paraId="27F83C8C" w14:textId="656B3246" w:rsidR="0093737F" w:rsidRPr="005C4BF9" w:rsidRDefault="00534579" w:rsidP="00464DFD">
      <w:pPr>
        <w:pStyle w:val="CBDNormalNoNumber"/>
        <w:tabs>
          <w:tab w:val="clear" w:pos="567"/>
        </w:tabs>
        <w:spacing w:before="120"/>
        <w:ind w:left="1134" w:firstLine="567"/>
        <w:rPr>
          <w:rFonts w:eastAsia="Malgun Gothic"/>
          <w:kern w:val="22"/>
        </w:rPr>
      </w:pPr>
      <w:r>
        <w:t>(b)</w:t>
      </w:r>
      <w:r>
        <w:tab/>
        <w:t>руководящие указания, даваемые механизму финансирования Конференцией Сторон, в которых говорится о будущих финансовых ресурсах;</w:t>
      </w:r>
    </w:p>
    <w:p w14:paraId="79378EB7" w14:textId="002CE65A" w:rsidR="0093737F" w:rsidRPr="005C4BF9" w:rsidRDefault="00534579" w:rsidP="00464DFD">
      <w:pPr>
        <w:pStyle w:val="CBDNormalNoNumber"/>
        <w:tabs>
          <w:tab w:val="clear" w:pos="567"/>
        </w:tabs>
        <w:spacing w:before="120"/>
        <w:ind w:left="1134" w:firstLine="567"/>
        <w:rPr>
          <w:rFonts w:eastAsia="Malgun Gothic"/>
          <w:kern w:val="22"/>
        </w:rPr>
      </w:pPr>
      <w:r>
        <w:t>(c)</w:t>
      </w:r>
      <w:r>
        <w:tab/>
        <w:t>все обязательства в рамках Конвенции и протоколов к ней и соответствующие решения, принятые Конференцией Сторон;</w:t>
      </w:r>
    </w:p>
    <w:p w14:paraId="636AFABD" w14:textId="2FD6BBD0" w:rsidR="0093737F" w:rsidRPr="005C4BF9" w:rsidRDefault="00534579" w:rsidP="00464DFD">
      <w:pPr>
        <w:pStyle w:val="CBDNormalNoNumber"/>
        <w:tabs>
          <w:tab w:val="clear" w:pos="567"/>
        </w:tabs>
        <w:spacing w:before="120"/>
        <w:ind w:left="1134" w:firstLine="567"/>
        <w:rPr>
          <w:rFonts w:eastAsia="Malgun Gothic"/>
          <w:kern w:val="22"/>
        </w:rPr>
      </w:pPr>
      <w:r>
        <w:t>(d)</w:t>
      </w:r>
      <w:r>
        <w:tab/>
        <w:t>информацию, предоставленную Конференции Сторон в национальных докладах, и данные, представленные Сторонами через механизм представления финансовой отчетности;</w:t>
      </w:r>
    </w:p>
    <w:p w14:paraId="1A221308" w14:textId="5BEFE7AA" w:rsidR="0093737F" w:rsidRPr="005C4BF9" w:rsidRDefault="00534579" w:rsidP="00464DFD">
      <w:pPr>
        <w:pStyle w:val="CBDNormalNoNumber"/>
        <w:tabs>
          <w:tab w:val="clear" w:pos="567"/>
        </w:tabs>
        <w:spacing w:before="120"/>
        <w:ind w:left="1134" w:firstLine="567"/>
        <w:rPr>
          <w:rFonts w:eastAsia="Malgun Gothic"/>
          <w:kern w:val="22"/>
        </w:rPr>
      </w:pPr>
      <w:r>
        <w:t>(e)</w:t>
      </w:r>
      <w:r>
        <w:tab/>
        <w:t>правила и руководящие указания, согласованные с Советом Глобального экологического фонда, в отношении определения критериев финансирования проектов;</w:t>
      </w:r>
    </w:p>
    <w:p w14:paraId="2840E2BD" w14:textId="4DC22B55" w:rsidR="0093737F" w:rsidRPr="005C4BF9" w:rsidRDefault="00534579" w:rsidP="00464DFD">
      <w:pPr>
        <w:pStyle w:val="CBDNormalNoNumber"/>
        <w:tabs>
          <w:tab w:val="clear" w:pos="567"/>
        </w:tabs>
        <w:spacing w:before="120"/>
        <w:ind w:left="1134" w:firstLine="567"/>
        <w:rPr>
          <w:rFonts w:eastAsia="Malgun Gothic"/>
          <w:kern w:val="22"/>
        </w:rPr>
      </w:pPr>
      <w:r>
        <w:t>(f)</w:t>
      </w:r>
      <w:r>
        <w:tab/>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инструменты, при их наличии;</w:t>
      </w:r>
    </w:p>
    <w:p w14:paraId="32D90BA9" w14:textId="3C21430F" w:rsidR="0093737F" w:rsidRPr="005C4BF9" w:rsidRDefault="00534579" w:rsidP="00464DFD">
      <w:pPr>
        <w:pStyle w:val="CBDNormalNoNumber"/>
        <w:tabs>
          <w:tab w:val="clear" w:pos="567"/>
        </w:tabs>
        <w:spacing w:before="120"/>
        <w:ind w:left="1134" w:firstLine="567"/>
        <w:rPr>
          <w:rFonts w:eastAsia="Malgun Gothic"/>
          <w:kern w:val="22"/>
        </w:rPr>
      </w:pPr>
      <w:r>
        <w:t>(g)</w:t>
      </w:r>
      <w:r>
        <w:tab/>
        <w:t>взаимодействие с другими конвенциями, связанными с биоразнообразием, и другими конвенциями, финансируемыми Глобальным экологическим фондом, в том числе в отношении функционирования и воздействия;</w:t>
      </w:r>
    </w:p>
    <w:p w14:paraId="1E98324B" w14:textId="740900DC" w:rsidR="00E9722C" w:rsidRPr="005C4BF9" w:rsidRDefault="00534579" w:rsidP="00464DFD">
      <w:pPr>
        <w:pStyle w:val="CBDNormalNoNumber"/>
        <w:tabs>
          <w:tab w:val="clear" w:pos="567"/>
        </w:tabs>
        <w:spacing w:before="120"/>
        <w:ind w:left="1134" w:firstLine="567"/>
        <w:rPr>
          <w:rFonts w:eastAsia="Malgun Gothic"/>
          <w:kern w:val="22"/>
        </w:rPr>
      </w:pPr>
      <w:r>
        <w:t>(h)</w:t>
      </w:r>
      <w:r>
        <w:tab/>
        <w:t>согласованность политики;</w:t>
      </w:r>
    </w:p>
    <w:p w14:paraId="7E2E2DDE" w14:textId="5A57C40D" w:rsidR="0093737F" w:rsidRPr="005C4BF9" w:rsidRDefault="00534579" w:rsidP="00464DFD">
      <w:pPr>
        <w:pStyle w:val="CBDNormalNoNumber"/>
        <w:tabs>
          <w:tab w:val="clear" w:pos="567"/>
        </w:tabs>
        <w:spacing w:before="120"/>
        <w:ind w:left="1134" w:firstLine="567"/>
        <w:rPr>
          <w:rFonts w:eastAsia="Malgun Gothic"/>
          <w:kern w:val="22"/>
        </w:rPr>
      </w:pPr>
      <w:r>
        <w:t>(i)</w:t>
      </w:r>
      <w:r>
        <w:tab/>
        <w:t>другие соответствующие оценки.</w:t>
      </w:r>
    </w:p>
    <w:p w14:paraId="4CD6573E" w14:textId="7948C7B8" w:rsidR="00FD4C80" w:rsidRPr="00464DFD" w:rsidRDefault="00534579" w:rsidP="00464DFD">
      <w:pPr>
        <w:pStyle w:val="CBDNormalNoNumber"/>
        <w:tabs>
          <w:tab w:val="clear" w:pos="567"/>
        </w:tabs>
        <w:spacing w:before="120"/>
        <w:ind w:left="1134"/>
        <w:rPr>
          <w:rFonts w:eastAsia="Malgun Gothic"/>
          <w:kern w:val="22"/>
        </w:rPr>
      </w:pPr>
      <w:r>
        <w:t>4.</w:t>
      </w:r>
      <w:r>
        <w:tab/>
        <w:t>В контексте оценки должны проводиться такие собеседования, обследования, количественные и качественные анализы и консультации, которые могут потребоваться для подготовки доклада, включая:</w:t>
      </w:r>
    </w:p>
    <w:p w14:paraId="55DDB3F9" w14:textId="7822C9E3" w:rsidR="00FD4C80" w:rsidRPr="005C4BF9" w:rsidRDefault="00534579" w:rsidP="00464DFD">
      <w:pPr>
        <w:pStyle w:val="CBDNormalNoNumber"/>
        <w:tabs>
          <w:tab w:val="clear" w:pos="567"/>
        </w:tabs>
        <w:spacing w:before="120"/>
        <w:ind w:left="1134" w:firstLine="567"/>
        <w:rPr>
          <w:rFonts w:eastAsia="Malgun Gothic"/>
          <w:kern w:val="22"/>
        </w:rPr>
      </w:pPr>
      <w:r>
        <w:t>(a)</w:t>
      </w:r>
      <w: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w:t>
      </w:r>
    </w:p>
    <w:p w14:paraId="354E381E" w14:textId="69A806F8" w:rsidR="00FD4C80" w:rsidRPr="005C4BF9" w:rsidRDefault="00534579" w:rsidP="00464DFD">
      <w:pPr>
        <w:pStyle w:val="CBDNormalNoNumber"/>
        <w:tabs>
          <w:tab w:val="clear" w:pos="567"/>
        </w:tabs>
        <w:spacing w:before="120"/>
        <w:ind w:left="1134" w:firstLine="567"/>
        <w:rPr>
          <w:rFonts w:eastAsia="Malgun Gothic"/>
          <w:kern w:val="22"/>
        </w:rPr>
      </w:pPr>
      <w:r>
        <w:t>(b)</w:t>
      </w:r>
      <w:r>
        <w:tab/>
        <w:t>обзор докладов, представленных Сторонами в соответствии со статьями 6 и 26 Конвенции, для выявления потребностей в финансовых ресурсах, связанных с выполнением их обязательств в рамках Конвенции и протоколов к ней;</w:t>
      </w:r>
    </w:p>
    <w:p w14:paraId="14CB9684" w14:textId="3BF2E706" w:rsidR="00FD4C80" w:rsidRPr="005C4BF9" w:rsidRDefault="00534579" w:rsidP="00464DFD">
      <w:pPr>
        <w:pStyle w:val="CBDNormalNoNumber"/>
        <w:tabs>
          <w:tab w:val="clear" w:pos="567"/>
        </w:tabs>
        <w:spacing w:before="120"/>
        <w:ind w:left="1134" w:firstLine="567"/>
        <w:rPr>
          <w:rFonts w:eastAsia="Malgun Gothic"/>
          <w:kern w:val="22"/>
        </w:rPr>
      </w:pPr>
      <w:r>
        <w:t>(c)</w:t>
      </w:r>
      <w:r>
        <w:tab/>
        <w:t xml:space="preserve">определение предполагаемых финансовых расходов в связи с выполнением руководящих указаний, подготовленных Конференцией Сторон для механизма финансирования, включая поддержку, оказываемую Фонду </w:t>
      </w:r>
      <w:r w:rsidR="00AE63DD">
        <w:t>Г</w:t>
      </w:r>
      <w:r>
        <w:t>лобальной рамочной программы в области биоразнообразия;</w:t>
      </w:r>
    </w:p>
    <w:p w14:paraId="54FC1489" w14:textId="65985EF1" w:rsidR="00FD4C80" w:rsidRPr="005C4BF9" w:rsidRDefault="00534579" w:rsidP="00464DFD">
      <w:pPr>
        <w:pStyle w:val="CBDNormalNoNumber"/>
        <w:tabs>
          <w:tab w:val="clear" w:pos="567"/>
        </w:tabs>
        <w:spacing w:before="120"/>
        <w:ind w:left="1134" w:firstLine="567"/>
        <w:rPr>
          <w:rFonts w:eastAsia="Malgun Gothic"/>
          <w:kern w:val="22"/>
        </w:rPr>
      </w:pPr>
      <w:r>
        <w:t>(d)</w:t>
      </w:r>
      <w:r>
        <w:tab/>
        <w:t>обобщение и анализ любой дополнительной информации, предоставленной Сторонами, имеющими право на получение помощи от Глобального экологического фонда, и другими соответствующими Сторонами, о потребностях в финансовых ресурсах для выполнения своих обязательств в рамках Конвенции и протоколов к ней.</w:t>
      </w:r>
    </w:p>
    <w:p w14:paraId="1A18A767" w14:textId="1F6784C6" w:rsidR="0093737F" w:rsidRPr="005C4BF9" w:rsidRDefault="0093737F" w:rsidP="00464DFD">
      <w:pPr>
        <w:pStyle w:val="CBDH3"/>
        <w:tabs>
          <w:tab w:val="clear" w:pos="567"/>
        </w:tabs>
        <w:ind w:left="1134"/>
        <w:rPr>
          <w:b w:val="0"/>
          <w:iCs/>
          <w:snapToGrid w:val="0"/>
        </w:rPr>
      </w:pPr>
      <w:r>
        <w:rPr>
          <w:snapToGrid w:val="0"/>
        </w:rPr>
        <w:lastRenderedPageBreak/>
        <w:t>D.</w:t>
      </w:r>
      <w:r>
        <w:rPr>
          <w:snapToGrid w:val="0"/>
        </w:rPr>
        <w:tab/>
        <w:t>Осуществление</w:t>
      </w:r>
    </w:p>
    <w:p w14:paraId="6E1A29F1" w14:textId="25FBC6F7" w:rsidR="000A47F9" w:rsidRPr="007D1063" w:rsidRDefault="00534579" w:rsidP="007D1063">
      <w:pPr>
        <w:pStyle w:val="CBDNormalNoNumber"/>
        <w:tabs>
          <w:tab w:val="clear" w:pos="567"/>
        </w:tabs>
        <w:spacing w:before="120"/>
        <w:ind w:left="1134"/>
        <w:rPr>
          <w:rFonts w:eastAsia="Malgun Gothic"/>
          <w:kern w:val="22"/>
        </w:rPr>
      </w:pPr>
      <w:r>
        <w:t>5.</w:t>
      </w:r>
      <w:r>
        <w:tab/>
        <w:t>Национальные координационные центры Конвенции и координационные центры механизма финансирования должны нести основную совместную ответственность за координацию оценки потребностей в финансовых ресурсах на национальном уровне в тесном сотрудничестве с соответствующими источниками финансирования и в консультации с другими координационными центрами в рамках Конвенции и связанных с ней конвенций, предпочтительно посредством межведомственного соглашения о согласованности действий для обеспечения общегосударственного подхода.</w:t>
      </w:r>
    </w:p>
    <w:p w14:paraId="10F7CD2B" w14:textId="0891B824" w:rsidR="006F0291" w:rsidRPr="00534579" w:rsidRDefault="00534579" w:rsidP="007D1063">
      <w:pPr>
        <w:pStyle w:val="CBDNormalNoNumber"/>
        <w:tabs>
          <w:tab w:val="clear" w:pos="567"/>
        </w:tabs>
        <w:spacing w:before="120"/>
        <w:ind w:left="1134"/>
        <w:rPr>
          <w:rFonts w:eastAsia="Malgun Gothic"/>
          <w:kern w:val="22"/>
        </w:rPr>
      </w:pPr>
      <w:r>
        <w:t>6.</w:t>
      </w:r>
      <w:r>
        <w:tab/>
        <w:t>Национальные координационные центры могут создать национальную платформу для текущего планирования проектов в области биоразнообразия в качестве единого центра управления потребностями, пробелами и приоритетами в области финансирования биоразнообразия. Следует установить тесные связи между национальной платформой и национальными инициативами по оказанию поддержки</w:t>
      </w:r>
      <w:r w:rsidR="00AE63DD">
        <w:t>, разработанными</w:t>
      </w:r>
      <w:r>
        <w:t xml:space="preserve"> соответствующи</w:t>
      </w:r>
      <w:r w:rsidR="00AE63DD">
        <w:t>ми</w:t>
      </w:r>
      <w:r>
        <w:t xml:space="preserve"> источник</w:t>
      </w:r>
      <w:r w:rsidR="00AE63DD">
        <w:t>ами</w:t>
      </w:r>
      <w:r>
        <w:t xml:space="preserve"> финансирования, в частности стратегией взаимодействия со странами</w:t>
      </w:r>
      <w:r w:rsidR="00AE63DD">
        <w:t>, разработанной</w:t>
      </w:r>
      <w:r>
        <w:t xml:space="preserve"> Глобальн</w:t>
      </w:r>
      <w:r w:rsidR="00AE63DD">
        <w:t>ым</w:t>
      </w:r>
      <w:r>
        <w:t xml:space="preserve"> экологическ</w:t>
      </w:r>
      <w:r w:rsidR="00AE63DD">
        <w:t>им</w:t>
      </w:r>
      <w:r>
        <w:t xml:space="preserve"> фонд</w:t>
      </w:r>
      <w:r w:rsidR="00AE63DD">
        <w:t>ом</w:t>
      </w:r>
      <w:r>
        <w:t>.</w:t>
      </w:r>
    </w:p>
    <w:p w14:paraId="6C7507D1" w14:textId="292002FC" w:rsidR="00F1628F" w:rsidRPr="00534579" w:rsidRDefault="00534579" w:rsidP="007D1063">
      <w:pPr>
        <w:pStyle w:val="CBDNormalNoNumber"/>
        <w:tabs>
          <w:tab w:val="clear" w:pos="567"/>
        </w:tabs>
        <w:spacing w:before="120"/>
        <w:ind w:left="1134"/>
        <w:rPr>
          <w:rFonts w:eastAsia="Malgun Gothic"/>
          <w:kern w:val="22"/>
        </w:rPr>
      </w:pPr>
      <w:r>
        <w:t>7.</w:t>
      </w:r>
      <w:r>
        <w:tab/>
        <w:t>Национальная платформа должна разрабатываться, контролироваться, пересматриваться и обновляться на регулярной основе, по крайней мере два раза в год, с четким указанием статуса и обновлений каждой концепции проекта в области биоразнообразия, предполагаемых целевых источников финансирования и необходимых объемов финансовых ресурсов.</w:t>
      </w:r>
    </w:p>
    <w:p w14:paraId="3751F74A" w14:textId="65073512" w:rsidR="00F1628F" w:rsidRPr="007D1063" w:rsidRDefault="00534579" w:rsidP="007D1063">
      <w:pPr>
        <w:pStyle w:val="CBDNormalNoNumber"/>
        <w:tabs>
          <w:tab w:val="clear" w:pos="567"/>
        </w:tabs>
        <w:spacing w:before="120"/>
        <w:ind w:left="1134"/>
        <w:rPr>
          <w:rFonts w:eastAsia="Malgun Gothic"/>
          <w:kern w:val="22"/>
        </w:rPr>
      </w:pPr>
      <w:r>
        <w:t>8.</w:t>
      </w:r>
      <w:r>
        <w:tab/>
        <w:t xml:space="preserve">Работа национальной платформы должна опираться на действия и сотрудничество правительства всех уровней и всех субъектов общественной деятельности, руководствуясь общегосударственным подходом с участием всего общества. </w:t>
      </w:r>
    </w:p>
    <w:p w14:paraId="3903F1DD" w14:textId="435FF132" w:rsidR="00AC14DA" w:rsidRPr="00534579" w:rsidRDefault="00534579" w:rsidP="007D1063">
      <w:pPr>
        <w:pStyle w:val="CBDNormalNoNumber"/>
        <w:tabs>
          <w:tab w:val="clear" w:pos="567"/>
        </w:tabs>
        <w:spacing w:before="120"/>
        <w:ind w:left="1134"/>
        <w:rPr>
          <w:rFonts w:eastAsia="Malgun Gothic"/>
          <w:kern w:val="22"/>
        </w:rPr>
      </w:pPr>
      <w:r>
        <w:t>9.</w:t>
      </w:r>
      <w:r>
        <w:tab/>
        <w:t>Исполнительному секретарю надлежит представлять полученную 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346A1098" w14:textId="1D584561" w:rsidR="0093737F" w:rsidRPr="007D1063" w:rsidRDefault="00534579" w:rsidP="007D1063">
      <w:pPr>
        <w:pStyle w:val="CBDNormalNoNumber"/>
        <w:tabs>
          <w:tab w:val="clear" w:pos="567"/>
        </w:tabs>
        <w:spacing w:before="120"/>
        <w:ind w:left="1134"/>
        <w:rPr>
          <w:rFonts w:eastAsia="Malgun Gothic"/>
          <w:kern w:val="22"/>
        </w:rPr>
      </w:pPr>
      <w:r>
        <w:t>10.</w:t>
      </w:r>
      <w:r>
        <w:tab/>
        <w:t>Исполнительному секретарю надлежит подготовить доклад о полной оценке финансовых ресурсов, необходимых и имеющихся для осуществления Конвенции и протоколов к ней, на период с июля 2030 года по июнь 2034 года. Доклад об оценке следует распространить среди всех Сторон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6F21DCEA" w14:textId="2A0182D4" w:rsidR="0093737F" w:rsidRPr="007D1063" w:rsidRDefault="00534579" w:rsidP="007D1063">
      <w:pPr>
        <w:pStyle w:val="CBDNormalNoNumber"/>
        <w:tabs>
          <w:tab w:val="clear" w:pos="567"/>
        </w:tabs>
        <w:spacing w:before="120"/>
        <w:ind w:left="1134"/>
        <w:rPr>
          <w:rFonts w:eastAsia="Malgun Gothic"/>
          <w:kern w:val="22"/>
        </w:rPr>
      </w:pPr>
      <w:r>
        <w:t>11.</w:t>
      </w:r>
      <w:r>
        <w:tab/>
        <w:t>Конференция Сторон на своем 18-м совещании примет решение в отношении данной оценки объема фондов, необходимых для осуществления Конвенции и протоколов к ней в период десятого пополнения Целевого фонда Глобального экологического фонда.</w:t>
      </w:r>
    </w:p>
    <w:p w14:paraId="032CC835" w14:textId="110BA26C" w:rsidR="0093737F" w:rsidRPr="005C4BF9" w:rsidRDefault="0093737F" w:rsidP="007D1063">
      <w:pPr>
        <w:pStyle w:val="CBDDesicionAnnex"/>
        <w:ind w:left="1134"/>
        <w:rPr>
          <w:snapToGrid w:val="0"/>
        </w:rPr>
      </w:pPr>
      <w:r>
        <w:rPr>
          <w:snapToGrid w:val="0"/>
        </w:rPr>
        <w:lastRenderedPageBreak/>
        <w:t>Приложение II</w:t>
      </w:r>
    </w:p>
    <w:p w14:paraId="68094B74" w14:textId="31DD8EDD" w:rsidR="0093737F" w:rsidRPr="005C4BF9" w:rsidRDefault="0093737F" w:rsidP="00AC1BB4">
      <w:pPr>
        <w:pStyle w:val="CBDDesicionAnnex"/>
        <w:spacing w:before="120"/>
        <w:ind w:left="1134"/>
      </w:pPr>
      <w:bookmarkStart w:id="1" w:name="_Toc118355001"/>
      <w:r>
        <w:t xml:space="preserve">Круг полномочий для проведения седьмого четырехгодичного </w:t>
      </w:r>
      <w:r w:rsidR="00D770B9">
        <w:br/>
      </w:r>
      <w:r>
        <w:t>обзора эффективности механизма финансирования</w:t>
      </w:r>
      <w:bookmarkEnd w:id="1"/>
    </w:p>
    <w:p w14:paraId="47A0A14E" w14:textId="77777777" w:rsidR="0093737F" w:rsidRPr="005C4BF9" w:rsidRDefault="0093737F" w:rsidP="007D1063">
      <w:pPr>
        <w:pStyle w:val="CBDH3"/>
        <w:tabs>
          <w:tab w:val="clear" w:pos="567"/>
        </w:tabs>
        <w:ind w:left="1134"/>
        <w:rPr>
          <w:snapToGrid w:val="0"/>
        </w:rPr>
      </w:pPr>
      <w:r>
        <w:rPr>
          <w:snapToGrid w:val="0"/>
        </w:rPr>
        <w:t>A.</w:t>
      </w:r>
      <w:r>
        <w:rPr>
          <w:snapToGrid w:val="0"/>
        </w:rPr>
        <w:tab/>
        <w:t>Цели</w:t>
      </w:r>
    </w:p>
    <w:p w14:paraId="7858F7BD" w14:textId="7C5B4B59" w:rsidR="0093737F" w:rsidRPr="005C4BF9" w:rsidRDefault="0093737F" w:rsidP="00BC7850">
      <w:pPr>
        <w:pStyle w:val="CBDNormalNoNumber"/>
        <w:tabs>
          <w:tab w:val="clear" w:pos="567"/>
        </w:tabs>
        <w:ind w:left="1134"/>
        <w:rPr>
          <w:snapToGrid w:val="0"/>
        </w:rPr>
      </w:pPr>
      <w:r>
        <w:rPr>
          <w:snapToGrid w:val="0"/>
        </w:rPr>
        <w:t>1.</w:t>
      </w:r>
      <w:r>
        <w:rPr>
          <w:snapToGrid w:val="0"/>
        </w:rPr>
        <w:tab/>
        <w:t>В соответствии с пунктом 3 статьи 21 Конвенции о биологическом разнообразии</w:t>
      </w:r>
      <w:r w:rsidR="00BC7850">
        <w:rPr>
          <w:rStyle w:val="afa"/>
        </w:rPr>
        <w:footnoteReference w:id="9"/>
      </w:r>
      <w:r>
        <w:rPr>
          <w:snapToGrid w:val="0"/>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этого механизма. В этом контексте под эффективностью понимается следующее:</w:t>
      </w:r>
    </w:p>
    <w:p w14:paraId="0824F5AA" w14:textId="55669FA6" w:rsidR="0093737F" w:rsidRPr="005C4BF9" w:rsidRDefault="0093737F" w:rsidP="007D1063">
      <w:pPr>
        <w:pStyle w:val="CBDNormalNoNumber"/>
        <w:tabs>
          <w:tab w:val="clear" w:pos="567"/>
        </w:tabs>
        <w:ind w:left="1134" w:firstLine="567"/>
        <w:rPr>
          <w:snapToGrid w:val="0"/>
        </w:rPr>
      </w:pPr>
      <w:r>
        <w:rPr>
          <w:snapToGrid w:val="0"/>
        </w:rPr>
        <w:t>(a)</w:t>
      </w:r>
      <w:r>
        <w:rPr>
          <w:snapToGrid w:val="0"/>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0CF132BC" w14:textId="3141CD5D" w:rsidR="0093737F" w:rsidRPr="005C4BF9" w:rsidRDefault="0093737F" w:rsidP="007D1063">
      <w:pPr>
        <w:pStyle w:val="CBDNormalNoNumber"/>
        <w:tabs>
          <w:tab w:val="clear" w:pos="567"/>
        </w:tabs>
        <w:ind w:left="1134" w:firstLine="567"/>
        <w:rPr>
          <w:snapToGrid w:val="0"/>
        </w:rPr>
      </w:pPr>
      <w:r>
        <w:rPr>
          <w:snapToGrid w:val="0"/>
        </w:rPr>
        <w:t>(b)</w:t>
      </w:r>
      <w:r>
        <w:rPr>
          <w:snapToGrid w:val="0"/>
        </w:rPr>
        <w:tab/>
        <w:t>эффективность механизма финансирования с точки зрения предоставления финансовых ресурсов с учетом необходимости обеспечения предсказуемости, достаточности и своевременности финансового потока, которые позволят всем Сторонам, являющимся странами-получателями, полностью покрывать согласованные дополнительные расходы по реализации проводимых ими мер в целях выполнения обязательств в рамках Конвенции и протоколов к ней и получать выгоды от осуществления ее положений;</w:t>
      </w:r>
    </w:p>
    <w:p w14:paraId="1C33FDB6" w14:textId="44704971" w:rsidR="0093737F" w:rsidRPr="005C4BF9" w:rsidRDefault="0093737F" w:rsidP="007D1063">
      <w:pPr>
        <w:pStyle w:val="CBDNormalNoNumber"/>
        <w:tabs>
          <w:tab w:val="clear" w:pos="567"/>
        </w:tabs>
        <w:ind w:left="1134" w:firstLine="567"/>
        <w:rPr>
          <w:snapToGrid w:val="0"/>
        </w:rPr>
      </w:pPr>
      <w:r>
        <w:rPr>
          <w:snapToGrid w:val="0"/>
        </w:rPr>
        <w:t>(c)</w:t>
      </w:r>
      <w:r>
        <w:rPr>
          <w:snapToGrid w:val="0"/>
        </w:rPr>
        <w:tab/>
        <w:t>эффективность механизма финансирования в плане предоставления финансовых ресурсов, а также контроля, мониторинга и оценки – в соответствующих случаях и согласно руководящим указаниям Конференции Сторон – мероприятий, финансируемых за счет его ресурсов;</w:t>
      </w:r>
    </w:p>
    <w:p w14:paraId="1198F76D" w14:textId="77777777" w:rsidR="0093737F" w:rsidRPr="005C4BF9" w:rsidRDefault="0093737F" w:rsidP="007D1063">
      <w:pPr>
        <w:pStyle w:val="CBDNormalNoNumber"/>
        <w:tabs>
          <w:tab w:val="clear" w:pos="567"/>
        </w:tabs>
        <w:ind w:left="1134" w:firstLine="567"/>
        <w:rPr>
          <w:snapToGrid w:val="0"/>
        </w:rPr>
      </w:pPr>
      <w:r>
        <w:rPr>
          <w:snapToGrid w:val="0"/>
        </w:rPr>
        <w:t>(d)</w:t>
      </w:r>
      <w:r>
        <w:rPr>
          <w:snapToGrid w:val="0"/>
        </w:rPr>
        <w:tab/>
        <w:t>эффективность активизации и оптимизации национальных мер в области осуществления для реализации глобальных целей и задач в области биоразнообразия, включая те из них, которые имеют отношение к протоколам;</w:t>
      </w:r>
    </w:p>
    <w:p w14:paraId="3458CEF0" w14:textId="7B90A08C" w:rsidR="0093737F" w:rsidRPr="005C4BF9" w:rsidRDefault="0093737F" w:rsidP="007D1063">
      <w:pPr>
        <w:pStyle w:val="CBDNormalNoNumber"/>
        <w:tabs>
          <w:tab w:val="clear" w:pos="567"/>
        </w:tabs>
        <w:ind w:left="1134" w:firstLine="567"/>
        <w:rPr>
          <w:snapToGrid w:val="0"/>
        </w:rPr>
      </w:pPr>
      <w:r>
        <w:rPr>
          <w:snapToGrid w:val="0"/>
        </w:rPr>
        <w:t>(e)</w:t>
      </w:r>
      <w:r>
        <w:rPr>
          <w:snapToGrid w:val="0"/>
        </w:rPr>
        <w:tab/>
        <w:t>эффективность и результативность мероприятий, финансируемых Глобальным экологическим фондом, по осуществлению Конвенции и достижению трех ее целей, а также, в соответствующих случаях, по осуществлению протоколов к ней с учетом руководящих указаний Конференции Сторон;</w:t>
      </w:r>
    </w:p>
    <w:p w14:paraId="175780F1" w14:textId="05A31F9B" w:rsidR="0093737F" w:rsidRPr="005C4BF9" w:rsidRDefault="0093737F" w:rsidP="007D1063">
      <w:pPr>
        <w:pStyle w:val="CBDNormalNoNumber"/>
        <w:tabs>
          <w:tab w:val="clear" w:pos="567"/>
        </w:tabs>
        <w:ind w:left="1134" w:firstLine="567"/>
        <w:rPr>
          <w:snapToGrid w:val="0"/>
        </w:rPr>
      </w:pPr>
      <w:r>
        <w:rPr>
          <w:snapToGrid w:val="0"/>
        </w:rPr>
        <w:t>(f)</w:t>
      </w:r>
      <w:r>
        <w:rPr>
          <w:snapToGrid w:val="0"/>
        </w:rPr>
        <w:tab/>
        <w:t>эффективность и результативность процессов и процедур распределения ресурсов для программ;</w:t>
      </w:r>
    </w:p>
    <w:p w14:paraId="12FA5560" w14:textId="4F53CB90" w:rsidR="0093737F" w:rsidRPr="005C4BF9" w:rsidRDefault="0093737F" w:rsidP="007D1063">
      <w:pPr>
        <w:pStyle w:val="CBDNormalNoNumber"/>
        <w:tabs>
          <w:tab w:val="clear" w:pos="567"/>
        </w:tabs>
        <w:ind w:left="1134" w:firstLine="567"/>
        <w:rPr>
          <w:b/>
          <w:snapToGrid w:val="0"/>
        </w:rPr>
      </w:pPr>
      <w:r>
        <w:rPr>
          <w:snapToGrid w:val="0"/>
        </w:rPr>
        <w:t>(g)</w:t>
      </w:r>
      <w:r>
        <w:rPr>
          <w:snapToGrid w:val="0"/>
        </w:rPr>
        <w:tab/>
        <w:t>эффективность и результативность оказания поддержки в достижении целей Конвенции и протоколов к ней на взаимодополняющей основе с осуществлением других актуальных с этой точки зрения многосторонних природоохранных соглашений в соответствии с мандатами таких многосторонних природоохранных соглашений.</w:t>
      </w:r>
    </w:p>
    <w:p w14:paraId="28AA03B7" w14:textId="77777777" w:rsidR="0093737F" w:rsidRPr="005C4BF9" w:rsidRDefault="0093737F" w:rsidP="007D1063">
      <w:pPr>
        <w:pStyle w:val="CBDH3"/>
        <w:tabs>
          <w:tab w:val="clear" w:pos="567"/>
        </w:tabs>
        <w:ind w:left="1134"/>
        <w:rPr>
          <w:b w:val="0"/>
          <w:snapToGrid w:val="0"/>
          <w:kern w:val="22"/>
        </w:rPr>
      </w:pPr>
      <w:r>
        <w:rPr>
          <w:snapToGrid w:val="0"/>
        </w:rPr>
        <w:t>B.</w:t>
      </w:r>
      <w:r>
        <w:rPr>
          <w:snapToGrid w:val="0"/>
        </w:rPr>
        <w:tab/>
        <w:t>Методология</w:t>
      </w:r>
    </w:p>
    <w:p w14:paraId="1D5D5408" w14:textId="5EC401E7" w:rsidR="0093737F" w:rsidRPr="005C4BF9" w:rsidRDefault="0093737F" w:rsidP="007D1063">
      <w:pPr>
        <w:pStyle w:val="CBDNormalNoNumber"/>
        <w:tabs>
          <w:tab w:val="clear" w:pos="567"/>
        </w:tabs>
        <w:ind w:left="1134"/>
        <w:rPr>
          <w:snapToGrid w:val="0"/>
          <w:kern w:val="22"/>
        </w:rPr>
      </w:pPr>
      <w:r>
        <w:rPr>
          <w:snapToGrid w:val="0"/>
        </w:rPr>
        <w:t>2.</w:t>
      </w:r>
      <w:r>
        <w:rPr>
          <w:snapToGrid w:val="0"/>
        </w:rPr>
        <w:tab/>
        <w:t>Обзор будет охватывать всю деятельность институциональной структуры, управляющей механизмом финансирования, и в частности период с 1 июля 2022 года по 30 июня 2026 года.</w:t>
      </w:r>
    </w:p>
    <w:p w14:paraId="206D7480" w14:textId="77777777" w:rsidR="0093737F" w:rsidRPr="005C4BF9" w:rsidRDefault="0093737F" w:rsidP="007D1063">
      <w:pPr>
        <w:pStyle w:val="CBDNormalNoNumber"/>
        <w:tabs>
          <w:tab w:val="clear" w:pos="567"/>
        </w:tabs>
        <w:ind w:left="1134"/>
        <w:rPr>
          <w:snapToGrid w:val="0"/>
          <w:kern w:val="22"/>
        </w:rPr>
      </w:pPr>
      <w:r>
        <w:rPr>
          <w:snapToGrid w:val="0"/>
        </w:rPr>
        <w:t>3.</w:t>
      </w:r>
      <w:r>
        <w:rPr>
          <w:snapToGrid w:val="0"/>
        </w:rPr>
        <w:tab/>
        <w:t xml:space="preserve">При проведении обзора должны использоваться в том числе следующие источники информации: </w:t>
      </w:r>
    </w:p>
    <w:p w14:paraId="76E39485" w14:textId="45097895" w:rsidR="00B65E95" w:rsidRPr="005C4BF9" w:rsidRDefault="00B65E95" w:rsidP="007D1063">
      <w:pPr>
        <w:suppressLineNumbers/>
        <w:suppressAutoHyphens/>
        <w:adjustRightInd w:val="0"/>
        <w:snapToGrid w:val="0"/>
        <w:spacing w:before="120" w:after="120"/>
        <w:ind w:left="1134" w:firstLine="567"/>
        <w:rPr>
          <w:snapToGrid w:val="0"/>
          <w:kern w:val="22"/>
        </w:rPr>
      </w:pPr>
      <w:r>
        <w:rPr>
          <w:snapToGrid w:val="0"/>
        </w:rPr>
        <w:lastRenderedPageBreak/>
        <w:t>(a)</w:t>
      </w:r>
      <w:r>
        <w:rPr>
          <w:snapToGrid w:val="0"/>
        </w:rPr>
        <w:tab/>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hyperlink r:id="rId34" w:history="1">
        <w:r>
          <w:rPr>
            <w:rStyle w:val="aff"/>
            <w:snapToGrid w:val="0"/>
          </w:rPr>
          <w:t>III/8</w:t>
        </w:r>
      </w:hyperlink>
      <w:r>
        <w:rPr>
          <w:snapToGrid w:val="0"/>
        </w:rPr>
        <w:t xml:space="preserve"> от 15 ноября 1996 года;</w:t>
      </w:r>
    </w:p>
    <w:p w14:paraId="13C5AA81" w14:textId="4386A657" w:rsidR="00B65E95" w:rsidRPr="005C4BF9" w:rsidRDefault="00B65E95" w:rsidP="007D1063">
      <w:pPr>
        <w:suppressLineNumbers/>
        <w:suppressAutoHyphens/>
        <w:adjustRightInd w:val="0"/>
        <w:snapToGrid w:val="0"/>
        <w:spacing w:before="120" w:after="120"/>
        <w:ind w:left="1134" w:firstLine="567"/>
        <w:rPr>
          <w:snapToGrid w:val="0"/>
          <w:kern w:val="22"/>
        </w:rPr>
      </w:pPr>
      <w:r>
        <w:rPr>
          <w:snapToGrid w:val="0"/>
        </w:rPr>
        <w:t>(b)</w:t>
      </w:r>
      <w:r>
        <w:rPr>
          <w:snapToGrid w:val="0"/>
        </w:rPr>
        <w:tab/>
        <w:t>доклады, подготовленные Глобальным экологическим фондом, включая его доклады, представленные на совещаниях Конференции Сторон;</w:t>
      </w:r>
    </w:p>
    <w:p w14:paraId="03874510" w14:textId="5729E192" w:rsidR="0093737F" w:rsidRPr="005C4BF9" w:rsidRDefault="0093737F" w:rsidP="007D1063">
      <w:pPr>
        <w:suppressLineNumbers/>
        <w:suppressAutoHyphens/>
        <w:adjustRightInd w:val="0"/>
        <w:snapToGrid w:val="0"/>
        <w:spacing w:before="120" w:after="120"/>
        <w:ind w:left="1134" w:firstLine="567"/>
        <w:rPr>
          <w:snapToGrid w:val="0"/>
          <w:kern w:val="22"/>
        </w:rPr>
      </w:pPr>
      <w:r>
        <w:t>(c)</w:t>
      </w:r>
      <w: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 а также соответствующие оценки, проведенные учреждениями, аккредитованными Советом Фонда, и другими партнерами;</w:t>
      </w:r>
    </w:p>
    <w:p w14:paraId="77712AE2" w14:textId="7CBF9240" w:rsidR="0093737F" w:rsidRPr="005C4BF9" w:rsidRDefault="0093737F" w:rsidP="007D1063">
      <w:pPr>
        <w:suppressLineNumbers/>
        <w:suppressAutoHyphens/>
        <w:adjustRightInd w:val="0"/>
        <w:snapToGrid w:val="0"/>
        <w:spacing w:before="120" w:after="120"/>
        <w:ind w:left="1134" w:firstLine="567"/>
        <w:rPr>
          <w:b/>
          <w:snapToGrid w:val="0"/>
          <w:kern w:val="22"/>
        </w:rPr>
      </w:pPr>
      <w:r>
        <w:rPr>
          <w:snapToGrid w:val="0"/>
        </w:rPr>
        <w:t>(d)</w:t>
      </w:r>
      <w:r>
        <w:rPr>
          <w:snapToGrid w:val="0"/>
        </w:rPr>
        <w:tab/>
        <w:t>информация о механизме финансирования, представленная Сторонами в их национальных докладах и других материалах, ответах на опросы и собеседования;</w:t>
      </w:r>
    </w:p>
    <w:p w14:paraId="4B872985" w14:textId="3EF9621C" w:rsidR="0093737F" w:rsidRPr="005C4BF9" w:rsidRDefault="0093737F" w:rsidP="007D1063">
      <w:pPr>
        <w:suppressLineNumbers/>
        <w:suppressAutoHyphens/>
        <w:adjustRightInd w:val="0"/>
        <w:snapToGrid w:val="0"/>
        <w:spacing w:before="120" w:after="120"/>
        <w:ind w:left="1134" w:firstLine="567"/>
        <w:rPr>
          <w:snapToGrid w:val="0"/>
          <w:kern w:val="22"/>
        </w:rPr>
      </w:pPr>
      <w:r>
        <w:t>(e)</w:t>
      </w:r>
      <w:r>
        <w:tab/>
        <w:t>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Глобальным экологическим фондом, а также их мнения о возможном воздействии на их права;</w:t>
      </w:r>
    </w:p>
    <w:p w14:paraId="0A730EB8" w14:textId="7A40FDB8" w:rsidR="00B65E95" w:rsidRPr="005C4BF9" w:rsidRDefault="00B65E95" w:rsidP="007D1063">
      <w:pPr>
        <w:suppressLineNumbers/>
        <w:suppressAutoHyphens/>
        <w:adjustRightInd w:val="0"/>
        <w:snapToGrid w:val="0"/>
        <w:spacing w:before="120" w:after="120"/>
        <w:ind w:left="1134" w:firstLine="567"/>
        <w:rPr>
          <w:snapToGrid w:val="0"/>
          <w:kern w:val="22"/>
        </w:rPr>
      </w:pPr>
      <w:r>
        <w:rPr>
          <w:snapToGrid w:val="0"/>
        </w:rPr>
        <w:t>(f)</w:t>
      </w:r>
      <w:r>
        <w:rPr>
          <w:snapToGrid w:val="0"/>
        </w:rPr>
        <w:tab/>
        <w:t>опыт работы и извлеченные уроки соответствующих международных механизмов финансирования.</w:t>
      </w:r>
    </w:p>
    <w:p w14:paraId="1B50B241" w14:textId="77777777" w:rsidR="0093737F" w:rsidRPr="005C4BF9" w:rsidRDefault="0093737F" w:rsidP="007D1063">
      <w:pPr>
        <w:pStyle w:val="CBDH3"/>
        <w:tabs>
          <w:tab w:val="clear" w:pos="567"/>
        </w:tabs>
        <w:ind w:left="1134"/>
        <w:rPr>
          <w:b w:val="0"/>
          <w:snapToGrid w:val="0"/>
          <w:kern w:val="22"/>
        </w:rPr>
      </w:pPr>
      <w:r>
        <w:rPr>
          <w:snapToGrid w:val="0"/>
        </w:rPr>
        <w:t>C.</w:t>
      </w:r>
      <w:r>
        <w:rPr>
          <w:snapToGrid w:val="0"/>
        </w:rPr>
        <w:tab/>
        <w:t>Критерии</w:t>
      </w:r>
    </w:p>
    <w:p w14:paraId="01D3206A" w14:textId="40FC83A3" w:rsidR="0093737F" w:rsidRPr="005C4BF9" w:rsidRDefault="0093737F" w:rsidP="007D1063">
      <w:pPr>
        <w:pStyle w:val="CBDNormalNoNumber"/>
        <w:tabs>
          <w:tab w:val="clear" w:pos="567"/>
        </w:tabs>
        <w:ind w:left="1134"/>
        <w:rPr>
          <w:snapToGrid w:val="0"/>
          <w:kern w:val="22"/>
        </w:rPr>
      </w:pPr>
      <w:r>
        <w:rPr>
          <w:snapToGrid w:val="0"/>
        </w:rPr>
        <w:t>4.</w:t>
      </w:r>
      <w:r>
        <w:rPr>
          <w:snapToGrid w:val="0"/>
        </w:rPr>
        <w:tab/>
      </w:r>
      <w:r w:rsidR="00801251">
        <w:rPr>
          <w:snapToGrid w:val="0"/>
        </w:rPr>
        <w:t>При оценке э</w:t>
      </w:r>
      <w:r>
        <w:rPr>
          <w:snapToGrid w:val="0"/>
        </w:rPr>
        <w:t>ффективност</w:t>
      </w:r>
      <w:r w:rsidR="00801251">
        <w:rPr>
          <w:snapToGrid w:val="0"/>
        </w:rPr>
        <w:t>и</w:t>
      </w:r>
      <w:r>
        <w:rPr>
          <w:snapToGrid w:val="0"/>
        </w:rPr>
        <w:t xml:space="preserve"> и результативност</w:t>
      </w:r>
      <w:r w:rsidR="00801251">
        <w:rPr>
          <w:snapToGrid w:val="0"/>
        </w:rPr>
        <w:t>и</w:t>
      </w:r>
      <w:r>
        <w:rPr>
          <w:snapToGrid w:val="0"/>
        </w:rPr>
        <w:t xml:space="preserve"> механизма финансирования следует </w:t>
      </w:r>
      <w:r w:rsidR="00801251">
        <w:rPr>
          <w:snapToGrid w:val="0"/>
        </w:rPr>
        <w:t>учитывать, в частности</w:t>
      </w:r>
      <w:r>
        <w:rPr>
          <w:snapToGrid w:val="0"/>
        </w:rPr>
        <w:t>:</w:t>
      </w:r>
    </w:p>
    <w:p w14:paraId="1B8F29D9" w14:textId="058A6000"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(a)</w:t>
      </w:r>
      <w:r>
        <w:rPr>
          <w:snapToGrid w:val="0"/>
        </w:rPr>
        <w:tab/>
        <w:t>мер</w:t>
      </w:r>
      <w:r w:rsidR="00801251">
        <w:rPr>
          <w:snapToGrid w:val="0"/>
        </w:rPr>
        <w:t>ы</w:t>
      </w:r>
      <w:r>
        <w:rPr>
          <w:snapToGrid w:val="0"/>
        </w:rPr>
        <w:t>, приняты</w:t>
      </w:r>
      <w:r w:rsidR="00801251">
        <w:rPr>
          <w:snapToGrid w:val="0"/>
        </w:rPr>
        <w:t>е</w:t>
      </w:r>
      <w:r>
        <w:rPr>
          <w:snapToGrid w:val="0"/>
        </w:rPr>
        <w:t xml:space="preserve"> Глобальным экологическим фондом во исполнение руководящих указаний Конференции Сторон;</w:t>
      </w:r>
    </w:p>
    <w:p w14:paraId="5E452B2C" w14:textId="75EA28EF"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(b)</w:t>
      </w:r>
      <w:r>
        <w:rPr>
          <w:snapToGrid w:val="0"/>
        </w:rPr>
        <w:tab/>
        <w:t>степен</w:t>
      </w:r>
      <w:r w:rsidR="00801251">
        <w:rPr>
          <w:snapToGrid w:val="0"/>
        </w:rPr>
        <w:t>ь</w:t>
      </w:r>
      <w:r>
        <w:rPr>
          <w:snapToGrid w:val="0"/>
        </w:rPr>
        <w:t xml:space="preserve">, в которой страны, имеющие право на получение помощи, получают своевременное, </w:t>
      </w:r>
      <w:r w:rsidR="00801251">
        <w:rPr>
          <w:snapToGrid w:val="0"/>
        </w:rPr>
        <w:t>достаточное</w:t>
      </w:r>
      <w:r>
        <w:rPr>
          <w:snapToGrid w:val="0"/>
        </w:rPr>
        <w:t xml:space="preserve"> и предсказуемое финансирование, позволяющее этим странам полностью покрывать согласованные дополнительные расходы по осуществлению ими мер, посредством которых они выполняют свои обязательства в рамках Конвенции и протоколов к ней, которые обеспечивают достижения глобальных экологических выгод;</w:t>
      </w:r>
    </w:p>
    <w:p w14:paraId="1E961073" w14:textId="076CC885"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(с)</w:t>
      </w:r>
      <w:r>
        <w:rPr>
          <w:snapToGrid w:val="0"/>
        </w:rPr>
        <w:tab/>
        <w:t>информаци</w:t>
      </w:r>
      <w:r w:rsidR="00801251">
        <w:rPr>
          <w:snapToGrid w:val="0"/>
        </w:rPr>
        <w:t>ю</w:t>
      </w:r>
      <w:r>
        <w:rPr>
          <w:snapToGrid w:val="0"/>
        </w:rPr>
        <w:t>, предоставленн</w:t>
      </w:r>
      <w:r w:rsidR="00801251">
        <w:rPr>
          <w:snapToGrid w:val="0"/>
        </w:rPr>
        <w:t>ую</w:t>
      </w:r>
      <w:r>
        <w:rPr>
          <w:snapToGrid w:val="0"/>
        </w:rPr>
        <w:t xml:space="preserve"> Сторонами, касающ</w:t>
      </w:r>
      <w:r w:rsidR="00801251">
        <w:rPr>
          <w:snapToGrid w:val="0"/>
        </w:rPr>
        <w:t>ую</w:t>
      </w:r>
      <w:r>
        <w:rPr>
          <w:snapToGrid w:val="0"/>
        </w:rPr>
        <w:t xml:space="preserve">ся результатов их деятельности по </w:t>
      </w:r>
      <w:r w:rsidR="00010737">
        <w:rPr>
          <w:snapToGrid w:val="0"/>
        </w:rPr>
        <w:t>осуществлению</w:t>
      </w:r>
      <w:r>
        <w:rPr>
          <w:snapToGrid w:val="0"/>
        </w:rPr>
        <w:t xml:space="preserve"> проектов Глобального экологического фонда, </w:t>
      </w:r>
      <w:r w:rsidR="00010737">
        <w:rPr>
          <w:snapToGrid w:val="0"/>
        </w:rPr>
        <w:t>в том числе информацию об</w:t>
      </w:r>
      <w:r>
        <w:rPr>
          <w:snapToGrid w:val="0"/>
        </w:rPr>
        <w:t xml:space="preserve"> эффективност</w:t>
      </w:r>
      <w:r w:rsidR="00010737">
        <w:rPr>
          <w:snapToGrid w:val="0"/>
        </w:rPr>
        <w:t>и</w:t>
      </w:r>
      <w:r>
        <w:rPr>
          <w:snapToGrid w:val="0"/>
        </w:rPr>
        <w:t xml:space="preserve"> и результативност</w:t>
      </w:r>
      <w:r w:rsidR="00010737">
        <w:rPr>
          <w:snapToGrid w:val="0"/>
        </w:rPr>
        <w:t>и</w:t>
      </w:r>
      <w:r>
        <w:rPr>
          <w:snapToGrid w:val="0"/>
        </w:rPr>
        <w:t xml:space="preserve"> механизмов обеспечения доступа, а также компетентност</w:t>
      </w:r>
      <w:r w:rsidR="00010737">
        <w:rPr>
          <w:snapToGrid w:val="0"/>
        </w:rPr>
        <w:t>и</w:t>
      </w:r>
      <w:r>
        <w:rPr>
          <w:snapToGrid w:val="0"/>
        </w:rPr>
        <w:t xml:space="preserve"> и потенциал</w:t>
      </w:r>
      <w:r w:rsidR="00010737">
        <w:rPr>
          <w:snapToGrid w:val="0"/>
        </w:rPr>
        <w:t>е</w:t>
      </w:r>
      <w:r>
        <w:rPr>
          <w:snapToGrid w:val="0"/>
        </w:rPr>
        <w:t>, необходимы</w:t>
      </w:r>
      <w:r w:rsidR="00010737">
        <w:rPr>
          <w:snapToGrid w:val="0"/>
        </w:rPr>
        <w:t>х</w:t>
      </w:r>
      <w:r>
        <w:rPr>
          <w:snapToGrid w:val="0"/>
        </w:rPr>
        <w:t xml:space="preserve"> для использования этих механизмов;</w:t>
      </w:r>
    </w:p>
    <w:p w14:paraId="7E01E0F8" w14:textId="0B98F84A"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(d)</w:t>
      </w:r>
      <w:r>
        <w:rPr>
          <w:snapToGrid w:val="0"/>
        </w:rPr>
        <w:tab/>
        <w:t>процентн</w:t>
      </w:r>
      <w:r w:rsidR="00010737">
        <w:rPr>
          <w:snapToGrid w:val="0"/>
        </w:rPr>
        <w:t>ую</w:t>
      </w:r>
      <w:r>
        <w:rPr>
          <w:snapToGrid w:val="0"/>
        </w:rPr>
        <w:t xml:space="preserve"> дол</w:t>
      </w:r>
      <w:r w:rsidR="00010737">
        <w:rPr>
          <w:snapToGrid w:val="0"/>
        </w:rPr>
        <w:t>ю</w:t>
      </w:r>
      <w:r>
        <w:rPr>
          <w:snapToGrid w:val="0"/>
        </w:rPr>
        <w:t xml:space="preserve"> стран-получателей, получивших финансовую поддержку от механизма финансирования для реализации глобальных целей и задач в области биоразнообразия, в том числе связанных с протоколами;</w:t>
      </w:r>
    </w:p>
    <w:p w14:paraId="29207817" w14:textId="7C78347D"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(e)</w:t>
      </w:r>
      <w:r>
        <w:rPr>
          <w:snapToGrid w:val="0"/>
        </w:rPr>
        <w:tab/>
        <w:t>процентн</w:t>
      </w:r>
      <w:r w:rsidR="00010737">
        <w:rPr>
          <w:snapToGrid w:val="0"/>
        </w:rPr>
        <w:t>ую</w:t>
      </w:r>
      <w:r>
        <w:rPr>
          <w:snapToGrid w:val="0"/>
        </w:rPr>
        <w:t xml:space="preserve"> дол</w:t>
      </w:r>
      <w:r w:rsidR="00010737">
        <w:rPr>
          <w:snapToGrid w:val="0"/>
        </w:rPr>
        <w:t>ю</w:t>
      </w:r>
      <w:r>
        <w:rPr>
          <w:snapToGrid w:val="0"/>
        </w:rPr>
        <w:t xml:space="preserve"> финансирования в области биоразнообразия, поступившего через механизм финансирования, для содействия реализации глобальных целей и задач;</w:t>
      </w:r>
    </w:p>
    <w:p w14:paraId="5DABD6B5" w14:textId="28E30F18"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(f)</w:t>
      </w:r>
      <w:r>
        <w:rPr>
          <w:snapToGrid w:val="0"/>
        </w:rPr>
        <w:tab/>
        <w:t>тенденци</w:t>
      </w:r>
      <w:r w:rsidR="00010737">
        <w:rPr>
          <w:snapToGrid w:val="0"/>
        </w:rPr>
        <w:t>ю</w:t>
      </w:r>
      <w:r>
        <w:rPr>
          <w:snapToGrid w:val="0"/>
        </w:rPr>
        <w:t xml:space="preserve"> в совместном финансировании и недотационном финансировании в области биоразнообразия, обеспеченном механизмом финансирования;</w:t>
      </w:r>
    </w:p>
    <w:p w14:paraId="2458BB1E" w14:textId="4B9890B2"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(g)</w:t>
      </w:r>
      <w:r>
        <w:rPr>
          <w:snapToGrid w:val="0"/>
        </w:rPr>
        <w:tab/>
        <w:t>тенденци</w:t>
      </w:r>
      <w:r w:rsidR="00010737">
        <w:rPr>
          <w:snapToGrid w:val="0"/>
        </w:rPr>
        <w:t>ю</w:t>
      </w:r>
      <w:r>
        <w:rPr>
          <w:snapToGrid w:val="0"/>
        </w:rPr>
        <w:t xml:space="preserve">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7B0F2DCF" w14:textId="4156BD1B" w:rsidR="0093737F" w:rsidRPr="005C4BF9" w:rsidRDefault="0093737F" w:rsidP="007D1063">
      <w:pPr>
        <w:suppressLineNumbers/>
        <w:suppressAutoHyphens/>
        <w:adjustRightInd w:val="0"/>
        <w:snapToGrid w:val="0"/>
        <w:spacing w:after="120"/>
        <w:ind w:left="1134" w:firstLine="567"/>
        <w:rPr>
          <w:snapToGrid w:val="0"/>
          <w:kern w:val="22"/>
        </w:rPr>
      </w:pPr>
      <w:r>
        <w:lastRenderedPageBreak/>
        <w:t>(h)</w:t>
      </w:r>
      <w:r>
        <w:tab/>
        <w:t>тенденци</w:t>
      </w:r>
      <w:r w:rsidR="00010737">
        <w:t>ю</w:t>
      </w:r>
      <w:r>
        <w:t xml:space="preserve"> в отношении финансирования проектов и программ с учетом взаимодействия между секретариатами конвенций, поручившими Глобальному экологическому фонду управление их механизмом финансирования;</w:t>
      </w:r>
    </w:p>
    <w:p w14:paraId="105D5C15" w14:textId="4E34AD98"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(i)</w:t>
      </w:r>
      <w:r>
        <w:rPr>
          <w:snapToGrid w:val="0"/>
        </w:rPr>
        <w:tab/>
        <w:t>тенденци</w:t>
      </w:r>
      <w:r w:rsidR="00010737">
        <w:rPr>
          <w:snapToGrid w:val="0"/>
        </w:rPr>
        <w:t>ю</w:t>
      </w:r>
      <w:r>
        <w:rPr>
          <w:snapToGrid w:val="0"/>
        </w:rPr>
        <w:t xml:space="preserve"> в отношении финансирования проектов, ориентированных на конвенции и соглашения, связанные с биоразнообразием, с учетом синергетического эффекта между ними;</w:t>
      </w:r>
    </w:p>
    <w:p w14:paraId="68A24B19" w14:textId="1F689E36"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(j)</w:t>
      </w:r>
      <w:r>
        <w:rPr>
          <w:snapToGrid w:val="0"/>
        </w:rPr>
        <w:tab/>
        <w:t>тенденци</w:t>
      </w:r>
      <w:r w:rsidR="00010737">
        <w:rPr>
          <w:snapToGrid w:val="0"/>
        </w:rPr>
        <w:t>ю</w:t>
      </w:r>
      <w:r>
        <w:rPr>
          <w:snapToGrid w:val="0"/>
        </w:rPr>
        <w:t xml:space="preserve"> в отношении сроков разработки проектов и выделения ресурсов, включая время между утверждением концептуальной записки (или бланка идентификации проектов) и произведением первой выплаты;</w:t>
      </w:r>
    </w:p>
    <w:p w14:paraId="3527E423" w14:textId="4F003D99"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(k)</w:t>
      </w:r>
      <w:r>
        <w:rPr>
          <w:snapToGrid w:val="0"/>
        </w:rPr>
        <w:tab/>
        <w:t>тенденци</w:t>
      </w:r>
      <w:r w:rsidR="00010737">
        <w:rPr>
          <w:snapToGrid w:val="0"/>
        </w:rPr>
        <w:t>ю</w:t>
      </w:r>
      <w:r>
        <w:rPr>
          <w:snapToGrid w:val="0"/>
        </w:rPr>
        <w:t xml:space="preserve"> в отношении финансирования проектов, ориентированных на коренные народы и местные общины, женщин и молодежь или осуществляемых под их руководством;</w:t>
      </w:r>
    </w:p>
    <w:p w14:paraId="5667D553" w14:textId="7EB3E755"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(l)</w:t>
      </w:r>
      <w:r>
        <w:rPr>
          <w:snapToGrid w:val="0"/>
        </w:rPr>
        <w:tab/>
        <w:t>тенденци</w:t>
      </w:r>
      <w:r w:rsidR="00010737">
        <w:rPr>
          <w:snapToGrid w:val="0"/>
        </w:rPr>
        <w:t>ю</w:t>
      </w:r>
      <w:r>
        <w:rPr>
          <w:snapToGrid w:val="0"/>
        </w:rPr>
        <w:t xml:space="preserve"> в отношении количества мероприятий в области создания потенциала, позволяющих Сторонам и субъектам деятельности получить доступ к финансированию Глобального экологического фонда, включая информационные мероприятия, касающиеся механизма финансирования, организованные для Сторон и субъектов деятельности Конвенции и протоколов к ней;</w:t>
      </w:r>
    </w:p>
    <w:p w14:paraId="686FBD59" w14:textId="1A82637C" w:rsidR="0093737F" w:rsidRPr="005C4BF9" w:rsidRDefault="0093737F" w:rsidP="007D1063">
      <w:pPr>
        <w:suppressLineNumbers/>
        <w:suppressAutoHyphens/>
        <w:adjustRightInd w:val="0"/>
        <w:snapToGrid w:val="0"/>
        <w:spacing w:after="120"/>
        <w:ind w:left="1134" w:firstLine="567"/>
        <w:rPr>
          <w:snapToGrid w:val="0"/>
          <w:kern w:val="22"/>
        </w:rPr>
      </w:pPr>
      <w:r>
        <w:rPr>
          <w:snapToGrid w:val="0"/>
        </w:rPr>
        <w:t>(m)</w:t>
      </w:r>
      <w:r>
        <w:rPr>
          <w:snapToGrid w:val="0"/>
        </w:rPr>
        <w:tab/>
        <w:t>тенденци</w:t>
      </w:r>
      <w:r w:rsidR="00010737">
        <w:rPr>
          <w:snapToGrid w:val="0"/>
        </w:rPr>
        <w:t>ю</w:t>
      </w:r>
      <w:r>
        <w:rPr>
          <w:snapToGrid w:val="0"/>
        </w:rPr>
        <w:t xml:space="preserve"> в отношении финансирования проектов с высокой оценкой в </w:t>
      </w:r>
      <w:r w:rsidR="00010737">
        <w:rPr>
          <w:snapToGrid w:val="0"/>
        </w:rPr>
        <w:t>плане</w:t>
      </w:r>
      <w:r>
        <w:rPr>
          <w:snapToGrid w:val="0"/>
        </w:rPr>
        <w:t xml:space="preserve"> устойчивости или стабильности и 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p>
    <w:p w14:paraId="1E0495AF" w14:textId="02902606" w:rsidR="00A27F92" w:rsidRPr="005C4BF9" w:rsidRDefault="00A27F92" w:rsidP="007D1063">
      <w:pPr>
        <w:pStyle w:val="CBDNormalNoNumber"/>
        <w:tabs>
          <w:tab w:val="clear" w:pos="567"/>
        </w:tabs>
        <w:ind w:left="1134"/>
        <w:rPr>
          <w:color w:val="000000" w:themeColor="text1"/>
        </w:rPr>
      </w:pPr>
      <w:r>
        <w:rPr>
          <w:snapToGrid w:val="0"/>
        </w:rPr>
        <w:t>5.</w:t>
      </w:r>
      <w:r>
        <w:rPr>
          <w:snapToGrid w:val="0"/>
        </w:rPr>
        <w:tab/>
      </w:r>
      <w:r>
        <w:rPr>
          <w:color w:val="000000" w:themeColor="text1"/>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Адаптационный фонд и Фонд для компенсации убытков и ущерба. Следует учитывать следующие элементы: база доноров; юридический статус; порядок финансирования и финансовые показатели; критерии и процесс финансирования, включая аспекты проектного цикла; механизмы обеспечения доступа и предоставления средств (например, прямое ассигнование средств или предоставление средств на проекты), в том числе для коренных народов и местных общин, женщин и молодежи; управление, включая состав совета и механизмы доверительного управления; взаимоотношения между руководящим органом фонда и конференцией сторон соответствующего многостороннего природоохранного соглашения; прозрачность, мониторинг, отчетность и оценка; процесс аккредитации и роль учреждений-исполнителей; эффективность работы с точки зрения затрат; и стоимость создания и функционирования инструмента финансирования.</w:t>
      </w:r>
    </w:p>
    <w:p w14:paraId="21BFE443" w14:textId="77777777" w:rsidR="0093737F" w:rsidRPr="005C4BF9" w:rsidRDefault="0093737F" w:rsidP="007D1063">
      <w:pPr>
        <w:pStyle w:val="CBDH3"/>
        <w:tabs>
          <w:tab w:val="clear" w:pos="567"/>
        </w:tabs>
        <w:ind w:left="1134"/>
        <w:rPr>
          <w:b w:val="0"/>
          <w:snapToGrid w:val="0"/>
          <w:kern w:val="22"/>
        </w:rPr>
      </w:pPr>
      <w:r>
        <w:rPr>
          <w:snapToGrid w:val="0"/>
        </w:rPr>
        <w:t>D.</w:t>
      </w:r>
      <w:r>
        <w:rPr>
          <w:snapToGrid w:val="0"/>
        </w:rPr>
        <w:tab/>
        <w:t>Процедуры проведения оценки</w:t>
      </w:r>
    </w:p>
    <w:p w14:paraId="59A4AB84" w14:textId="5E5B14AC" w:rsidR="0093737F" w:rsidRPr="005C4BF9" w:rsidRDefault="00DE0D32" w:rsidP="007D1063">
      <w:pPr>
        <w:pStyle w:val="CBDNormalNoNumber"/>
        <w:tabs>
          <w:tab w:val="clear" w:pos="567"/>
        </w:tabs>
        <w:ind w:left="1134"/>
        <w:rPr>
          <w:snapToGrid w:val="0"/>
          <w:kern w:val="22"/>
        </w:rPr>
      </w:pPr>
      <w:r>
        <w:rPr>
          <w:snapToGrid w:val="0"/>
        </w:rPr>
        <w:t>6.</w:t>
      </w:r>
      <w:r>
        <w:rPr>
          <w:snapToGrid w:val="0"/>
        </w:rPr>
        <w:tab/>
      </w:r>
      <w:r>
        <w:rPr>
          <w:snapToGrid w:val="0"/>
          <w:color w:val="000000"/>
        </w:rPr>
        <w:t xml:space="preserve">Исполнительный секретарь под руководством Конференции Сторон и в консультации с бюро Конференции Сторон при условии наличия ресурсов заключит договор с опытным независимым экспертом по оценке для проведения обзора в соответствии с </w:t>
      </w:r>
      <w:r w:rsidR="001863ED">
        <w:rPr>
          <w:snapToGrid w:val="0"/>
          <w:color w:val="000000"/>
        </w:rPr>
        <w:t>вышеупомянутыми</w:t>
      </w:r>
      <w:r>
        <w:rPr>
          <w:snapToGrid w:val="0"/>
          <w:color w:val="000000"/>
        </w:rPr>
        <w:t xml:space="preserve"> целями, методологией и критериями.</w:t>
      </w:r>
    </w:p>
    <w:p w14:paraId="1D54C43E" w14:textId="6FF1B188" w:rsidR="0093737F" w:rsidRPr="005C4BF9" w:rsidRDefault="00DE0D32" w:rsidP="007D1063">
      <w:pPr>
        <w:pStyle w:val="CBDNormalNoNumber"/>
        <w:tabs>
          <w:tab w:val="clear" w:pos="567"/>
        </w:tabs>
        <w:ind w:left="1134"/>
        <w:rPr>
          <w:snapToGrid w:val="0"/>
          <w:kern w:val="22"/>
        </w:rPr>
      </w:pPr>
      <w:r>
        <w:rPr>
          <w:snapToGrid w:val="0"/>
        </w:rPr>
        <w:t>7.</w:t>
      </w:r>
      <w:r>
        <w:rPr>
          <w:snapToGrid w:val="0"/>
        </w:rPr>
        <w:tab/>
        <w:t>Эксперт по оценке проведет такие аналитические исследования, опросы, собеседования и выезды на места, которые могут потребоваться для проведения обзора и, если необходимо, будет сотрудничать для этого с Глобальным экологическим фондом и его Управлением независимой оценки, после чего обработает и обобщит полученную информацию.</w:t>
      </w:r>
    </w:p>
    <w:p w14:paraId="757D494A" w14:textId="3824321A" w:rsidR="00DE0D32" w:rsidRPr="005C4BF9" w:rsidRDefault="00DE0D32" w:rsidP="007D1063">
      <w:pPr>
        <w:pStyle w:val="CBDNormalNoNumber"/>
        <w:tabs>
          <w:tab w:val="clear" w:pos="567"/>
        </w:tabs>
        <w:ind w:left="1134"/>
        <w:rPr>
          <w:snapToGrid w:val="0"/>
          <w:kern w:val="22"/>
        </w:rPr>
      </w:pPr>
      <w:r>
        <w:rPr>
          <w:snapToGrid w:val="0"/>
        </w:rPr>
        <w:lastRenderedPageBreak/>
        <w:t>8.</w:t>
      </w:r>
      <w:r>
        <w:rPr>
          <w:snapToGrid w:val="0"/>
        </w:rPr>
        <w:tab/>
        <w:t>Следует приложить особые усилия для сбора мнений коренных народов и местных общин, женщин и молодежи, а также информации о возможном воздействии на их права.</w:t>
      </w:r>
    </w:p>
    <w:p w14:paraId="57F93778" w14:textId="2634924A" w:rsidR="0093737F" w:rsidRDefault="00DE0D32" w:rsidP="007D1063">
      <w:pPr>
        <w:pStyle w:val="CBDNormalNoNumber"/>
        <w:tabs>
          <w:tab w:val="clear" w:pos="567"/>
        </w:tabs>
        <w:ind w:left="1134"/>
        <w:rPr>
          <w:snapToGrid w:val="0"/>
        </w:rPr>
      </w:pPr>
      <w:r>
        <w:rPr>
          <w:snapToGrid w:val="0"/>
        </w:rPr>
        <w:t>9.</w:t>
      </w:r>
      <w:r>
        <w:rPr>
          <w:snapToGrid w:val="0"/>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замечаний. Такие замечания будут включаться в документацию с указанием источника.</w:t>
      </w:r>
    </w:p>
    <w:p w14:paraId="2E0A09E3" w14:textId="1EEBBF7B" w:rsidR="005853C8" w:rsidRPr="005853C8" w:rsidRDefault="005853C8" w:rsidP="005853C8">
      <w:pPr>
        <w:pStyle w:val="CBDNormalNoNumber"/>
        <w:tabs>
          <w:tab w:val="clear" w:pos="567"/>
        </w:tabs>
        <w:ind w:left="1134"/>
        <w:rPr>
          <w:snapToGrid w:val="0"/>
        </w:rPr>
      </w:pPr>
      <w:r>
        <w:rPr>
          <w:snapToGrid w:val="0"/>
        </w:rPr>
        <w:t>10.</w:t>
      </w:r>
      <w:r>
        <w:rPr>
          <w:snapToGrid w:val="0"/>
        </w:rPr>
        <w:tab/>
      </w:r>
      <w:r w:rsidRPr="005853C8">
        <w:rPr>
          <w:snapToGrid w:val="0"/>
        </w:rPr>
        <w:t>В доклад следует включить исследование</w:t>
      </w:r>
      <w:r>
        <w:rPr>
          <w:snapToGrid w:val="0"/>
        </w:rPr>
        <w:t xml:space="preserve"> по сравнению </w:t>
      </w:r>
      <w:r w:rsidRPr="005853C8">
        <w:rPr>
          <w:snapToGrid w:val="0"/>
        </w:rPr>
        <w:t>Глобальн</w:t>
      </w:r>
      <w:r>
        <w:rPr>
          <w:snapToGrid w:val="0"/>
        </w:rPr>
        <w:t>ого</w:t>
      </w:r>
      <w:r w:rsidRPr="005853C8">
        <w:rPr>
          <w:snapToGrid w:val="0"/>
        </w:rPr>
        <w:t xml:space="preserve"> экологическ</w:t>
      </w:r>
      <w:r>
        <w:rPr>
          <w:snapToGrid w:val="0"/>
        </w:rPr>
        <w:t>ого</w:t>
      </w:r>
      <w:r w:rsidRPr="005853C8">
        <w:rPr>
          <w:snapToGrid w:val="0"/>
        </w:rPr>
        <w:t xml:space="preserve"> фонд</w:t>
      </w:r>
      <w:r>
        <w:rPr>
          <w:snapToGrid w:val="0"/>
        </w:rPr>
        <w:t>а</w:t>
      </w:r>
      <w:r w:rsidRPr="005853C8">
        <w:rPr>
          <w:snapToGrid w:val="0"/>
        </w:rPr>
        <w:t xml:space="preserve"> с механизмами </w:t>
      </w:r>
      <w:r w:rsidR="00AD7B82">
        <w:rPr>
          <w:snapToGrid w:val="0"/>
        </w:rPr>
        <w:t xml:space="preserve">финансирования </w:t>
      </w:r>
      <w:r w:rsidRPr="005853C8">
        <w:rPr>
          <w:snapToGrid w:val="0"/>
        </w:rPr>
        <w:t xml:space="preserve">или аналогичными инструментами других соответствующих многосторонних </w:t>
      </w:r>
      <w:r>
        <w:rPr>
          <w:snapToGrid w:val="0"/>
        </w:rPr>
        <w:t>природоохранных</w:t>
      </w:r>
      <w:r w:rsidRPr="005853C8">
        <w:rPr>
          <w:snapToGrid w:val="0"/>
        </w:rPr>
        <w:t xml:space="preserve"> соглашений, в том числе в отношении </w:t>
      </w:r>
      <w:r>
        <w:rPr>
          <w:snapToGrid w:val="0"/>
        </w:rPr>
        <w:t>порядка</w:t>
      </w:r>
      <w:r w:rsidRPr="005853C8">
        <w:rPr>
          <w:snapToGrid w:val="0"/>
        </w:rPr>
        <w:t xml:space="preserve"> финансирования и финансовых </w:t>
      </w:r>
      <w:r>
        <w:rPr>
          <w:snapToGrid w:val="0"/>
        </w:rPr>
        <w:t>показателей</w:t>
      </w:r>
      <w:r w:rsidRPr="005853C8">
        <w:rPr>
          <w:snapToGrid w:val="0"/>
        </w:rPr>
        <w:t xml:space="preserve">, критериев и процесса финансирования, </w:t>
      </w:r>
      <w:r>
        <w:rPr>
          <w:snapToGrid w:val="0"/>
        </w:rPr>
        <w:t>механизмов обеспечения</w:t>
      </w:r>
      <w:r w:rsidRPr="005853C8">
        <w:rPr>
          <w:snapToGrid w:val="0"/>
        </w:rPr>
        <w:t xml:space="preserve"> доступа и </w:t>
      </w:r>
      <w:r>
        <w:rPr>
          <w:snapToGrid w:val="0"/>
        </w:rPr>
        <w:t>предоставления</w:t>
      </w:r>
      <w:r w:rsidRPr="005853C8">
        <w:rPr>
          <w:snapToGrid w:val="0"/>
        </w:rPr>
        <w:t xml:space="preserve"> средств, мониторинга и оценки, управления, эффективности </w:t>
      </w:r>
      <w:r>
        <w:rPr>
          <w:snapToGrid w:val="0"/>
        </w:rPr>
        <w:t>работы</w:t>
      </w:r>
      <w:r w:rsidRPr="005853C8">
        <w:rPr>
          <w:snapToGrid w:val="0"/>
        </w:rPr>
        <w:t xml:space="preserve"> с точки зрения затрат и </w:t>
      </w:r>
      <w:r w:rsidR="008A2702">
        <w:rPr>
          <w:snapToGrid w:val="0"/>
        </w:rPr>
        <w:t xml:space="preserve">ее </w:t>
      </w:r>
      <w:r>
        <w:rPr>
          <w:snapToGrid w:val="0"/>
        </w:rPr>
        <w:t>юридического статуса.</w:t>
      </w:r>
    </w:p>
    <w:p w14:paraId="396E4772" w14:textId="26E57AB5" w:rsidR="0093737F" w:rsidRPr="005C4BF9" w:rsidRDefault="005853C8" w:rsidP="007D1063">
      <w:pPr>
        <w:pStyle w:val="CBDNormalNoNumber"/>
        <w:tabs>
          <w:tab w:val="clear" w:pos="567"/>
        </w:tabs>
        <w:ind w:left="1134"/>
        <w:rPr>
          <w:snapToGrid w:val="0"/>
          <w:kern w:val="22"/>
        </w:rPr>
      </w:pPr>
      <w:r>
        <w:rPr>
          <w:snapToGrid w:val="0"/>
        </w:rPr>
        <w:t>11</w:t>
      </w:r>
      <w:r w:rsidR="00DE0D32">
        <w:rPr>
          <w:snapToGrid w:val="0"/>
        </w:rPr>
        <w:t>.</w:t>
      </w:r>
      <w:r w:rsidR="00DE0D32">
        <w:rPr>
          <w:snapToGrid w:val="0"/>
        </w:rPr>
        <w:tab/>
      </w:r>
      <w:r w:rsidR="00DE0D32">
        <w:t>На основе сводного доклада и рекомендаций, подготовленных независимым экспертом по оценке, Исполнительный секретарь в консультации с Глобальным экологическим фондом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 если это потребуется, для рассмотрения Вспомогательным органом по осуществлению, чьи рекомендации будут представлены Конференции Сторон на ее 18-м совещании.</w:t>
      </w:r>
    </w:p>
    <w:p w14:paraId="06EF9A81" w14:textId="707B365C" w:rsidR="006B4009" w:rsidRPr="005C4BF9" w:rsidRDefault="006B4009" w:rsidP="007D1063">
      <w:pPr>
        <w:pStyle w:val="CBDDesicionAnnex"/>
        <w:ind w:left="1134"/>
        <w:rPr>
          <w:snapToGrid w:val="0"/>
        </w:rPr>
      </w:pPr>
      <w:r>
        <w:rPr>
          <w:snapToGrid w:val="0"/>
        </w:rPr>
        <w:t>Приложение III</w:t>
      </w:r>
    </w:p>
    <w:p w14:paraId="3106F133" w14:textId="7EE5EEC7" w:rsidR="006B4009" w:rsidRPr="005C4BF9" w:rsidRDefault="006B4009" w:rsidP="007D1063">
      <w:pPr>
        <w:pStyle w:val="CBDDesicionAnnex"/>
        <w:spacing w:before="120"/>
        <w:ind w:left="1134"/>
        <w:rPr>
          <w:snapToGrid w:val="0"/>
        </w:rPr>
      </w:pPr>
      <w:r>
        <w:rPr>
          <w:snapToGrid w:val="0"/>
        </w:rPr>
        <w:t>Дополнительные руководящие указания для Глобального экологического фонда в целях содействия осуществлению раздела С и задач Куньминско-Монреальской глобальной рамочной программы в области биоразнообразия, которые не были предметно или всесторонне освещены в каких-либо предыдущих руководящих указаниях для Фонда</w:t>
      </w:r>
    </w:p>
    <w:p w14:paraId="725FFD0D" w14:textId="35C3B7C0" w:rsidR="006B4009" w:rsidRPr="005C4BF9" w:rsidRDefault="006B4009" w:rsidP="007D1063">
      <w:pPr>
        <w:pStyle w:val="CBDNormalNoNumber"/>
        <w:tabs>
          <w:tab w:val="clear" w:pos="567"/>
        </w:tabs>
        <w:ind w:left="1134"/>
        <w:rPr>
          <w:snapToGrid w:val="0"/>
        </w:rPr>
      </w:pPr>
      <w:r>
        <w:rPr>
          <w:snapToGrid w:val="0"/>
        </w:rPr>
        <w:t>1.</w:t>
      </w:r>
      <w:r>
        <w:rPr>
          <w:snapToGrid w:val="0"/>
        </w:rPr>
        <w:tab/>
        <w:t>Следует признать, что, учитывая национальные обстоятельства, потребности и приоритеты, осуществление всех элементов Куньминско-Монреальской глобальной рамочной программы в области биоразнообразия</w:t>
      </w:r>
      <w:r w:rsidR="0020741B">
        <w:rPr>
          <w:rStyle w:val="afa"/>
          <w:snapToGrid w:val="0"/>
        </w:rPr>
        <w:footnoteReference w:id="10"/>
      </w:r>
      <w:r>
        <w:rPr>
          <w:snapToGrid w:val="0"/>
        </w:rPr>
        <w:t>, отраженных в национальных стратегиях и планах действий в области биоразнообразия, должно рассматриваться как соответствующее критериям получения помощи. В соответствии с этим ниже приводятся элементы руководящих указаний в поддержку осуществления тех разделов и задач Рамочной программы, которые не были предметно или всесторонне освещены в каких-либо предыдущих руководящих указаниях, предоставленных Глобальному экологическому фонду, а именно раздела C и задач 1, 2, 7, 9, 11, 16, 22 и 23. В этой связи к Фонду обращается просьба оказать помощь в отношении следующих элементов Рамочной программы согласно его установленным процедурам и на основе предложений стран о такой помощи.</w:t>
      </w:r>
    </w:p>
    <w:p w14:paraId="73EC1471" w14:textId="128B8F78" w:rsidR="00066752" w:rsidRPr="005C4BF9" w:rsidRDefault="006B4009" w:rsidP="00066752">
      <w:pPr>
        <w:pStyle w:val="CBDH4"/>
        <w:tabs>
          <w:tab w:val="clear" w:pos="567"/>
        </w:tabs>
        <w:ind w:left="1134" w:firstLine="0"/>
        <w:rPr>
          <w:snapToGrid w:val="0"/>
        </w:rPr>
      </w:pPr>
      <w:r>
        <w:rPr>
          <w:snapToGrid w:val="0"/>
        </w:rPr>
        <w:t xml:space="preserve">Раздел С. </w:t>
      </w:r>
      <w:r>
        <w:rPr>
          <w:snapToGrid w:val="0"/>
        </w:rPr>
        <w:tab/>
        <w:t>Соображения об осуществлении Куньминско-Монреальской глобальной рамочной программы в области биоразнообразия</w:t>
      </w:r>
    </w:p>
    <w:p w14:paraId="6B7BED93" w14:textId="2F2344A7" w:rsidR="006B4009" w:rsidRPr="005C4BF9" w:rsidRDefault="006B4009" w:rsidP="007D1063">
      <w:pPr>
        <w:pStyle w:val="CBDNormalNoNumber"/>
        <w:tabs>
          <w:tab w:val="clear" w:pos="567"/>
        </w:tabs>
        <w:ind w:left="1134"/>
        <w:rPr>
          <w:snapToGrid w:val="0"/>
          <w:kern w:val="22"/>
        </w:rPr>
      </w:pPr>
      <w:r>
        <w:rPr>
          <w:snapToGrid w:val="0"/>
        </w:rPr>
        <w:t>2.</w:t>
      </w:r>
      <w:r>
        <w:rPr>
          <w:snapToGrid w:val="0"/>
        </w:rPr>
        <w:tab/>
        <w:t>Глобальному экологическому фонду надлежит оказывать помощь имеющим на это право Сторонам, чтобы они могли осуществлять Рамочную программу и реализовывать ее цели и задачи таким образом, чтобы:</w:t>
      </w:r>
    </w:p>
    <w:p w14:paraId="0C5622DB" w14:textId="5C0A734C" w:rsidR="006B4009" w:rsidRPr="005C4BF9" w:rsidRDefault="006B4009" w:rsidP="007D1063">
      <w:pPr>
        <w:pStyle w:val="CBDNormalNoNumber"/>
        <w:tabs>
          <w:tab w:val="clear" w:pos="567"/>
        </w:tabs>
        <w:ind w:left="1134" w:firstLine="567"/>
        <w:rPr>
          <w:snapToGrid w:val="0"/>
          <w:kern w:val="22"/>
        </w:rPr>
      </w:pPr>
      <w:r>
        <w:rPr>
          <w:snapToGrid w:val="0"/>
        </w:rPr>
        <w:t>(a)</w:t>
      </w:r>
      <w:r>
        <w:rPr>
          <w:snapToGrid w:val="0"/>
        </w:rPr>
        <w:tab/>
        <w:t xml:space="preserve">обеспечить соблюдение, документирование и сохранение прав, знаний, включая традиционные знания, связанные с биоразнообразием, инновации, мировоззрение, ценности и практику коренных народов и местных общин с их </w:t>
      </w:r>
      <w:r>
        <w:rPr>
          <w:snapToGrid w:val="0"/>
        </w:rPr>
        <w:lastRenderedPageBreak/>
        <w:t>добровольного, предварительного и обоснованного согласия, в том числе посредством их всемерного и эффективного участия в принятии решений согласно соответствующему национальному законодательству, международным документам, включая Декларацию Организации Объединенных Наций о правах коренных народов</w:t>
      </w:r>
      <w:r w:rsidR="00C06C69">
        <w:rPr>
          <w:rStyle w:val="afa"/>
          <w:snapToGrid w:val="0"/>
          <w:kern w:val="22"/>
        </w:rPr>
        <w:footnoteReference w:id="11"/>
      </w:r>
      <w:r>
        <w:rPr>
          <w:snapToGrid w:val="0"/>
        </w:rPr>
        <w:t>, и законодательству в области прав человека;</w:t>
      </w:r>
    </w:p>
    <w:p w14:paraId="5F83E82D" w14:textId="339946F4" w:rsidR="006B4009" w:rsidRPr="005C4BF9" w:rsidRDefault="006B4009" w:rsidP="007D1063">
      <w:pPr>
        <w:pStyle w:val="CBDNormalNoNumber"/>
        <w:tabs>
          <w:tab w:val="clear" w:pos="567"/>
        </w:tabs>
        <w:ind w:left="1134" w:firstLine="567"/>
        <w:rPr>
          <w:snapToGrid w:val="0"/>
          <w:kern w:val="22"/>
        </w:rPr>
      </w:pPr>
      <w:r>
        <w:rPr>
          <w:snapToGrid w:val="0"/>
        </w:rPr>
        <w:t>(b)</w:t>
      </w:r>
      <w:r>
        <w:rPr>
          <w:snapToGrid w:val="0"/>
        </w:rPr>
        <w:tab/>
        <w:t>признавать и учитывать эти разнообразные системы ценностей и концепции, в том числе</w:t>
      </w:r>
      <w:r w:rsidR="00984973">
        <w:rPr>
          <w:snapToGrid w:val="0"/>
        </w:rPr>
        <w:t xml:space="preserve"> </w:t>
      </w:r>
      <w:r>
        <w:rPr>
          <w:snapToGrid w:val="0"/>
        </w:rPr>
        <w:t>права природы и права Матери-Земли</w:t>
      </w:r>
      <w:r w:rsidR="00984973">
        <w:rPr>
          <w:snapToGrid w:val="0"/>
        </w:rPr>
        <w:t xml:space="preserve"> (применительно к тем странам, которые признают их)</w:t>
      </w:r>
      <w:r>
        <w:rPr>
          <w:snapToGrid w:val="0"/>
        </w:rPr>
        <w:t>;</w:t>
      </w:r>
    </w:p>
    <w:p w14:paraId="626EDE29" w14:textId="77777777" w:rsidR="006B4009" w:rsidRPr="005C4BF9" w:rsidRDefault="006B4009" w:rsidP="007D1063">
      <w:pPr>
        <w:pStyle w:val="CBDNormalNoNumber"/>
        <w:tabs>
          <w:tab w:val="clear" w:pos="567"/>
        </w:tabs>
        <w:ind w:left="1134" w:firstLine="567"/>
        <w:rPr>
          <w:snapToGrid w:val="0"/>
          <w:kern w:val="22"/>
        </w:rPr>
      </w:pPr>
      <w:r>
        <w:rPr>
          <w:snapToGrid w:val="0"/>
        </w:rPr>
        <w:t>(c)</w:t>
      </w:r>
      <w:r>
        <w:rPr>
          <w:snapToGrid w:val="0"/>
        </w:rPr>
        <w:tab/>
        <w:t>привлекать к участию правительство всех уровней и все общество, включая всех субъектов деятельности, и мобилизовать широкую общественную поддержку;</w:t>
      </w:r>
    </w:p>
    <w:p w14:paraId="524DC69A" w14:textId="350618B0" w:rsidR="006B4009" w:rsidRPr="005C4BF9" w:rsidRDefault="006B4009" w:rsidP="007D1063">
      <w:pPr>
        <w:pStyle w:val="CBDNormalNoNumber"/>
        <w:tabs>
          <w:tab w:val="clear" w:pos="567"/>
        </w:tabs>
        <w:ind w:left="1134" w:firstLine="567"/>
        <w:rPr>
          <w:snapToGrid w:val="0"/>
          <w:kern w:val="22"/>
        </w:rPr>
      </w:pPr>
      <w:r>
        <w:rPr>
          <w:snapToGrid w:val="0"/>
        </w:rPr>
        <w:t>(d)</w:t>
      </w:r>
      <w:r>
        <w:rPr>
          <w:snapToGrid w:val="0"/>
        </w:rPr>
        <w:tab/>
        <w:t>соответствовать национальным обстоятельствам, приоритетам и возможностям и обеспечи</w:t>
      </w:r>
      <w:r w:rsidR="00984973">
        <w:rPr>
          <w:snapToGrid w:val="0"/>
        </w:rPr>
        <w:t>ва</w:t>
      </w:r>
      <w:r>
        <w:rPr>
          <w:snapToGrid w:val="0"/>
        </w:rPr>
        <w:t>ть ответственное и устойчивое социально-экономическое развитие, которое одновременно с этим способствует сохранению и устойчивому использованию биоразнообразия;</w:t>
      </w:r>
    </w:p>
    <w:p w14:paraId="0CC8D784" w14:textId="77777777" w:rsidR="006B4009" w:rsidRPr="005C4BF9" w:rsidRDefault="006B4009" w:rsidP="007D1063">
      <w:pPr>
        <w:pStyle w:val="CBDNormalNoNumber"/>
        <w:tabs>
          <w:tab w:val="clear" w:pos="567"/>
        </w:tabs>
        <w:ind w:left="1134" w:firstLine="567"/>
        <w:rPr>
          <w:snapToGrid w:val="0"/>
          <w:kern w:val="22"/>
        </w:rPr>
      </w:pPr>
      <w:r>
        <w:rPr>
          <w:snapToGrid w:val="0"/>
        </w:rPr>
        <w:t>(e)</w:t>
      </w:r>
      <w:r>
        <w:rPr>
          <w:snapToGrid w:val="0"/>
        </w:rPr>
        <w:tab/>
        <w:t>придерживаться основанного на правах человека подхода, предполагающего соблюдение, защиту, поощрение и реализацию прав человека, включая право человека на чистую, здоровую и устойчивую окружающую среду;</w:t>
      </w:r>
    </w:p>
    <w:p w14:paraId="1000A711" w14:textId="77777777" w:rsidR="006B4009" w:rsidRPr="005C4BF9" w:rsidRDefault="006B4009" w:rsidP="007D1063">
      <w:pPr>
        <w:pStyle w:val="CBDNormalNoNumber"/>
        <w:tabs>
          <w:tab w:val="clear" w:pos="567"/>
        </w:tabs>
        <w:ind w:left="1134" w:firstLine="567"/>
        <w:rPr>
          <w:snapToGrid w:val="0"/>
          <w:kern w:val="22"/>
        </w:rPr>
      </w:pPr>
      <w:r>
        <w:rPr>
          <w:snapToGrid w:val="0"/>
        </w:rPr>
        <w:t>(f)</w:t>
      </w:r>
      <w:r>
        <w:rPr>
          <w:snapToGrid w:val="0"/>
        </w:rPr>
        <w:tab/>
        <w:t>обеспечивать гендерное равенство, расширение прав и возможностей женщин и девочек и сокращение неравенства;</w:t>
      </w:r>
    </w:p>
    <w:p w14:paraId="0415EEED" w14:textId="08D5A783" w:rsidR="006B4009" w:rsidRPr="005C4BF9" w:rsidRDefault="006B4009" w:rsidP="007D1063">
      <w:pPr>
        <w:pStyle w:val="CBDNormalNoNumber"/>
        <w:tabs>
          <w:tab w:val="clear" w:pos="567"/>
        </w:tabs>
        <w:ind w:left="1134" w:firstLine="567"/>
        <w:rPr>
          <w:snapToGrid w:val="0"/>
          <w:kern w:val="22"/>
        </w:rPr>
      </w:pPr>
      <w:r>
        <w:rPr>
          <w:snapToGrid w:val="0"/>
        </w:rPr>
        <w:t>(g)</w:t>
      </w:r>
      <w:r>
        <w:rPr>
          <w:snapToGrid w:val="0"/>
        </w:rPr>
        <w:tab/>
        <w:t>соответствовать этим целям и положениям Конвенции о биологическом разнообразии</w:t>
      </w:r>
      <w:r w:rsidR="00061101">
        <w:rPr>
          <w:rStyle w:val="afa"/>
          <w:snapToGrid w:val="0"/>
          <w:kern w:val="22"/>
        </w:rPr>
        <w:footnoteReference w:id="12"/>
      </w:r>
      <w:r>
        <w:rPr>
          <w:snapToGrid w:val="0"/>
        </w:rPr>
        <w:t xml:space="preserve"> и протоколов к ней, в зависимости от обстоятельств, согласно соответствующим международным обязательствам, и руководствоваться принципами Рио-де-Жанейрской декларации по окружающей среде и развитию</w:t>
      </w:r>
      <w:r w:rsidR="00662E3E">
        <w:rPr>
          <w:rStyle w:val="afa"/>
          <w:snapToGrid w:val="0"/>
          <w:kern w:val="22"/>
        </w:rPr>
        <w:footnoteReference w:id="13"/>
      </w:r>
      <w:r>
        <w:rPr>
          <w:snapToGrid w:val="0"/>
        </w:rPr>
        <w:t xml:space="preserve">; </w:t>
      </w:r>
    </w:p>
    <w:p w14:paraId="587BB2F8" w14:textId="77777777" w:rsidR="006B4009" w:rsidRPr="005C4BF9" w:rsidRDefault="006B4009" w:rsidP="007D1063">
      <w:pPr>
        <w:pStyle w:val="CBDNormalNoNumber"/>
        <w:tabs>
          <w:tab w:val="clear" w:pos="567"/>
        </w:tabs>
        <w:ind w:left="1134" w:firstLine="567"/>
        <w:rPr>
          <w:snapToGrid w:val="0"/>
          <w:kern w:val="22"/>
        </w:rPr>
      </w:pPr>
      <w:r>
        <w:rPr>
          <w:snapToGrid w:val="0"/>
        </w:rPr>
        <w:t>(h)</w:t>
      </w:r>
      <w:r>
        <w:rPr>
          <w:snapToGrid w:val="0"/>
        </w:rPr>
        <w:tab/>
        <w:t>основываться на научных данных и традиционных знаниях и практике с признанием роли науки, технологий и инноваций;</w:t>
      </w:r>
    </w:p>
    <w:p w14:paraId="1C8DA8C4" w14:textId="17F61A08" w:rsidR="006B4009" w:rsidRPr="005C4BF9" w:rsidRDefault="006B4009" w:rsidP="007D1063">
      <w:pPr>
        <w:pStyle w:val="CBDNormalNoNumber"/>
        <w:tabs>
          <w:tab w:val="clear" w:pos="567"/>
        </w:tabs>
        <w:ind w:left="1134" w:firstLine="567"/>
        <w:rPr>
          <w:snapToGrid w:val="0"/>
          <w:kern w:val="22"/>
        </w:rPr>
      </w:pPr>
      <w:r>
        <w:rPr>
          <w:snapToGrid w:val="0"/>
        </w:rPr>
        <w:t>(i)</w:t>
      </w:r>
      <w:r>
        <w:rPr>
          <w:snapToGrid w:val="0"/>
        </w:rPr>
        <w:tab/>
        <w:t>руководствоваться экосистемным подходом Конвенции;</w:t>
      </w:r>
    </w:p>
    <w:p w14:paraId="0190246C" w14:textId="7CC3211E" w:rsidR="006B4009" w:rsidRPr="005C4BF9" w:rsidRDefault="006B4009" w:rsidP="007D1063">
      <w:pPr>
        <w:pStyle w:val="CBDNormalNoNumber"/>
        <w:tabs>
          <w:tab w:val="clear" w:pos="567"/>
        </w:tabs>
        <w:ind w:left="1134" w:firstLine="567"/>
        <w:rPr>
          <w:snapToGrid w:val="0"/>
          <w:kern w:val="22"/>
        </w:rPr>
      </w:pPr>
      <w:r>
        <w:rPr>
          <w:snapToGrid w:val="0"/>
        </w:rPr>
        <w:t>(j)</w:t>
      </w:r>
      <w:r>
        <w:rPr>
          <w:snapToGrid w:val="0"/>
        </w:rPr>
        <w:tab/>
        <w:t>руководствоваться принципом равенства между поколениями, который предполагает удовлетворение потребностей нынешнего поколения, не ставящее под угрозу способность будущих поколений удовлетворять их собственные потребности, а также обеспечение конструктивного участия молодых поколений в процессах принятия решений на всех уровнях</w:t>
      </w:r>
      <w:r w:rsidR="00AA693C">
        <w:rPr>
          <w:snapToGrid w:val="0"/>
        </w:rPr>
        <w:t>;</w:t>
      </w:r>
    </w:p>
    <w:p w14:paraId="11D20613" w14:textId="193B1485" w:rsidR="006B4009" w:rsidRPr="005C4BF9" w:rsidRDefault="006B4009" w:rsidP="007D1063">
      <w:pPr>
        <w:pStyle w:val="CBDNormalNoNumber"/>
        <w:tabs>
          <w:tab w:val="clear" w:pos="567"/>
        </w:tabs>
        <w:ind w:left="1134" w:firstLine="567"/>
        <w:rPr>
          <w:snapToGrid w:val="0"/>
          <w:kern w:val="22"/>
        </w:rPr>
      </w:pPr>
      <w:r>
        <w:rPr>
          <w:snapToGrid w:val="0"/>
        </w:rPr>
        <w:t>(k)</w:t>
      </w:r>
      <w:r>
        <w:rPr>
          <w:snapToGrid w:val="0"/>
        </w:rPr>
        <w:tab/>
        <w:t>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14:paraId="413FBB47" w14:textId="2AC04881" w:rsidR="006B4009" w:rsidRPr="005C4BF9" w:rsidRDefault="006B4009" w:rsidP="007D1063">
      <w:pPr>
        <w:pStyle w:val="CBDNormalNoNumber"/>
        <w:tabs>
          <w:tab w:val="clear" w:pos="567"/>
        </w:tabs>
        <w:ind w:left="1134" w:firstLine="567"/>
        <w:rPr>
          <w:snapToGrid w:val="0"/>
          <w:kern w:val="22"/>
        </w:rPr>
      </w:pPr>
      <w:r>
        <w:rPr>
          <w:snapToGrid w:val="0"/>
        </w:rPr>
        <w:t>(l)</w:t>
      </w:r>
      <w:r>
        <w:rPr>
          <w:snapToGrid w:val="0"/>
        </w:rPr>
        <w:tab/>
        <w:t xml:space="preserve">содействовать предоставлению </w:t>
      </w:r>
      <w:r w:rsidR="00801251">
        <w:rPr>
          <w:snapToGrid w:val="0"/>
        </w:rPr>
        <w:t>достаточных</w:t>
      </w:r>
      <w:r>
        <w:rPr>
          <w:snapToGrid w:val="0"/>
        </w:rPr>
        <w:t>, предсказуемых и легкодоступных финансовых ресурсов;</w:t>
      </w:r>
    </w:p>
    <w:p w14:paraId="450076DC" w14:textId="6C9D2AC8" w:rsidR="006B4009" w:rsidRPr="005C4BF9" w:rsidRDefault="006B4009" w:rsidP="007D1063">
      <w:pPr>
        <w:pStyle w:val="CBDNormalNoNumber"/>
        <w:tabs>
          <w:tab w:val="clear" w:pos="567"/>
        </w:tabs>
        <w:ind w:left="1134" w:firstLine="567"/>
        <w:rPr>
          <w:snapToGrid w:val="0"/>
          <w:kern w:val="22"/>
        </w:rPr>
      </w:pPr>
      <w:r>
        <w:rPr>
          <w:snapToGrid w:val="0"/>
        </w:rPr>
        <w:t>(m)</w:t>
      </w:r>
      <w:r>
        <w:rPr>
          <w:snapToGrid w:val="0"/>
        </w:rPr>
        <w:tab/>
        <w:t xml:space="preserve">укреплять взаимодействие, сотрудничество и синергетические связи между секретариатами Конвенции и протоколов к ней, других конвенций, связанных с биоразнообразием, других соответствующих многосторонних соглашений и </w:t>
      </w:r>
      <w:r>
        <w:rPr>
          <w:snapToGrid w:val="0"/>
        </w:rPr>
        <w:lastRenderedPageBreak/>
        <w:t>международных организаций и процессов с учетом их соответствующих мандатов, в том числе на глобальном, региональном, субрегиональном и национальном уровнях</w:t>
      </w:r>
      <w:r w:rsidR="00AA693C">
        <w:rPr>
          <w:snapToGrid w:val="0"/>
        </w:rPr>
        <w:t>;</w:t>
      </w:r>
    </w:p>
    <w:p w14:paraId="3DDCB2D5" w14:textId="1C8604A4" w:rsidR="006B4009" w:rsidRPr="005C4BF9" w:rsidRDefault="006B4009" w:rsidP="007D1063">
      <w:pPr>
        <w:pStyle w:val="CBDNormalNoNumber"/>
        <w:tabs>
          <w:tab w:val="clear" w:pos="567"/>
        </w:tabs>
        <w:ind w:left="1134" w:firstLine="567"/>
        <w:rPr>
          <w:snapToGrid w:val="0"/>
          <w:kern w:val="22"/>
        </w:rPr>
      </w:pPr>
      <w:r>
        <w:rPr>
          <w:snapToGrid w:val="0"/>
        </w:rPr>
        <w:t>(n)</w:t>
      </w:r>
      <w:r>
        <w:rPr>
          <w:snapToGrid w:val="0"/>
        </w:rPr>
        <w:tab/>
        <w:t xml:space="preserve">включить рассмотрение подхода «Единое здоровье» среди других комплексных подходов, основанных на научных данных, мобилизующих различные секторы, дисциплины и сообщества </w:t>
      </w:r>
      <w:r w:rsidR="00195E60">
        <w:rPr>
          <w:snapToGrid w:val="0"/>
        </w:rPr>
        <w:t>на</w:t>
      </w:r>
      <w:r>
        <w:rPr>
          <w:snapToGrid w:val="0"/>
        </w:rPr>
        <w:t xml:space="preserve"> совместн</w:t>
      </w:r>
      <w:r w:rsidR="00195E60">
        <w:rPr>
          <w:snapToGrid w:val="0"/>
        </w:rPr>
        <w:t>ую</w:t>
      </w:r>
      <w:r>
        <w:rPr>
          <w:snapToGrid w:val="0"/>
        </w:rPr>
        <w:t xml:space="preserve"> работ</w:t>
      </w:r>
      <w:r w:rsidR="00195E60">
        <w:rPr>
          <w:snapToGrid w:val="0"/>
        </w:rPr>
        <w:t>у</w:t>
      </w:r>
      <w:r>
        <w:rPr>
          <w:snapToGrid w:val="0"/>
        </w:rPr>
        <w:t xml:space="preserve"> и направленных на устойчивое сбалансирование и оптимизацию здоровья людей, животных, растений и экосистем.</w:t>
      </w:r>
    </w:p>
    <w:p w14:paraId="56C57835" w14:textId="77777777" w:rsidR="006B4009" w:rsidRPr="005C4BF9" w:rsidRDefault="006B4009" w:rsidP="00AC1BB4">
      <w:pPr>
        <w:pStyle w:val="CBDH4"/>
        <w:tabs>
          <w:tab w:val="clear" w:pos="567"/>
        </w:tabs>
        <w:ind w:left="1134" w:firstLine="0"/>
        <w:rPr>
          <w:snapToGrid w:val="0"/>
        </w:rPr>
      </w:pPr>
      <w:r>
        <w:rPr>
          <w:snapToGrid w:val="0"/>
        </w:rPr>
        <w:t>Задача 1</w:t>
      </w:r>
    </w:p>
    <w:p w14:paraId="70A1797E" w14:textId="5C6CB6C8" w:rsidR="006B4009" w:rsidRPr="005C4BF9" w:rsidRDefault="006B4009" w:rsidP="007D1063">
      <w:pPr>
        <w:pStyle w:val="CBDNormalNoNumber"/>
        <w:tabs>
          <w:tab w:val="clear" w:pos="567"/>
        </w:tabs>
        <w:ind w:left="1134"/>
        <w:rPr>
          <w:snapToGrid w:val="0"/>
          <w:kern w:val="22"/>
        </w:rPr>
      </w:pPr>
      <w:r>
        <w:rPr>
          <w:snapToGrid w:val="0"/>
        </w:rPr>
        <w:t>3.</w:t>
      </w:r>
      <w:r>
        <w:rPr>
          <w:snapToGrid w:val="0"/>
        </w:rPr>
        <w:tab/>
        <w:t>Глобальному экологическому фонду следует оказать помощь Сторонам, имеющим на это право, чтобы они могли проводить всеобъемлющее всеобщее комплексное пространственное планирование в интересах биоразнообразия и эффективные процессы управления, учитывающие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p w14:paraId="7DBEDAB8" w14:textId="77777777" w:rsidR="006B4009" w:rsidRPr="005C4BF9" w:rsidRDefault="006B4009" w:rsidP="00AC1BB4">
      <w:pPr>
        <w:pStyle w:val="CBDH4"/>
        <w:tabs>
          <w:tab w:val="clear" w:pos="567"/>
        </w:tabs>
        <w:ind w:left="1134" w:firstLine="0"/>
        <w:rPr>
          <w:snapToGrid w:val="0"/>
          <w:kern w:val="22"/>
        </w:rPr>
      </w:pPr>
      <w:r>
        <w:rPr>
          <w:snapToGrid w:val="0"/>
        </w:rPr>
        <w:t>Задача 2</w:t>
      </w:r>
    </w:p>
    <w:p w14:paraId="1DD9C01A" w14:textId="51AD0121" w:rsidR="006B4009" w:rsidRPr="005C4BF9" w:rsidRDefault="006B4009" w:rsidP="007D1063">
      <w:pPr>
        <w:pStyle w:val="CBDNormalNoNumber"/>
        <w:tabs>
          <w:tab w:val="clear" w:pos="567"/>
        </w:tabs>
        <w:ind w:left="1134"/>
        <w:rPr>
          <w:snapToGrid w:val="0"/>
          <w:kern w:val="22"/>
        </w:rPr>
      </w:pPr>
      <w:r>
        <w:rPr>
          <w:snapToGrid w:val="0"/>
        </w:rPr>
        <w:t>4.</w:t>
      </w:r>
      <w:r>
        <w:rPr>
          <w:snapToGrid w:val="0"/>
        </w:rPr>
        <w:tab/>
        <w:t>Глобальному экологическому фонду следует оказать помощь Сторонам, имеющим на это право, чтобы они могли восстанавливать деградированные районы наземных, внутренневодных, прибрежных и морских экосистем в целях улучшения состояния биоразнообразия и укрепления экосистемных функций и услуг, экологической целостности и связности.</w:t>
      </w:r>
    </w:p>
    <w:p w14:paraId="45AB77A4" w14:textId="77777777" w:rsidR="006B4009" w:rsidRPr="005C4BF9" w:rsidRDefault="006B4009" w:rsidP="00AC1BB4">
      <w:pPr>
        <w:pStyle w:val="CBDH4"/>
        <w:tabs>
          <w:tab w:val="clear" w:pos="567"/>
        </w:tabs>
        <w:ind w:left="1134" w:firstLine="0"/>
        <w:rPr>
          <w:snapToGrid w:val="0"/>
          <w:kern w:val="22"/>
        </w:rPr>
      </w:pPr>
      <w:r>
        <w:rPr>
          <w:snapToGrid w:val="0"/>
        </w:rPr>
        <w:t>Задача 7</w:t>
      </w:r>
    </w:p>
    <w:p w14:paraId="5E19B262" w14:textId="75112D18" w:rsidR="006B4009" w:rsidRPr="005C4BF9" w:rsidRDefault="006B4009" w:rsidP="007D1063">
      <w:pPr>
        <w:pStyle w:val="CBDNormalNoNumber"/>
        <w:tabs>
          <w:tab w:val="clear" w:pos="567"/>
        </w:tabs>
        <w:ind w:left="1134"/>
        <w:rPr>
          <w:snapToGrid w:val="0"/>
          <w:kern w:val="22"/>
        </w:rPr>
      </w:pPr>
      <w:r>
        <w:rPr>
          <w:snapToGrid w:val="0"/>
        </w:rPr>
        <w:t>5.</w:t>
      </w:r>
      <w:r>
        <w:rPr>
          <w:snapToGrid w:val="0"/>
        </w:rPr>
        <w:tab/>
        <w:t>Глобальному экологическому фонду следует оказать помощь Сторонам, имеющим на это право, чтобы они могли сократить риски загрязнения и негативное воздействие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посредством: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(c) предотвращения, сокращения объемов и принятия мер для прекращения пластикового загрязнения.</w:t>
      </w:r>
    </w:p>
    <w:p w14:paraId="1ADD3158" w14:textId="77777777" w:rsidR="006B4009" w:rsidRPr="005C4BF9" w:rsidRDefault="006B4009" w:rsidP="00AC1BB4">
      <w:pPr>
        <w:pStyle w:val="CBDH4"/>
        <w:tabs>
          <w:tab w:val="clear" w:pos="567"/>
        </w:tabs>
        <w:ind w:left="1134" w:firstLine="0"/>
        <w:rPr>
          <w:snapToGrid w:val="0"/>
          <w:kern w:val="22"/>
        </w:rPr>
      </w:pPr>
      <w:r>
        <w:rPr>
          <w:snapToGrid w:val="0"/>
        </w:rPr>
        <w:t>Задача 9</w:t>
      </w:r>
    </w:p>
    <w:p w14:paraId="32BACB58" w14:textId="200FE520" w:rsidR="006B4009" w:rsidRPr="005C4BF9" w:rsidRDefault="006B4009" w:rsidP="007D1063">
      <w:pPr>
        <w:pStyle w:val="CBDNormalNoNumber"/>
        <w:tabs>
          <w:tab w:val="clear" w:pos="567"/>
        </w:tabs>
        <w:ind w:left="1134"/>
        <w:rPr>
          <w:snapToGrid w:val="0"/>
          <w:kern w:val="22"/>
        </w:rPr>
      </w:pPr>
      <w:r>
        <w:rPr>
          <w:snapToGrid w:val="0"/>
        </w:rPr>
        <w:t>6.</w:t>
      </w:r>
      <w:r>
        <w:rPr>
          <w:snapToGrid w:val="0"/>
        </w:rPr>
        <w:tab/>
        <w:t>Глобальному экологическому фонду следует оказать помощь Сторонам, имеющим на это право, чтобы они могли обеспечить устойчивость всех способов регулирования и использования диких видов и создание тем самым социальных, экономических и экологических выгод для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p w14:paraId="4317C8A8" w14:textId="77777777" w:rsidR="006B4009" w:rsidRPr="005C4BF9" w:rsidRDefault="006B4009" w:rsidP="00AC1BB4">
      <w:pPr>
        <w:pStyle w:val="CBDH4"/>
        <w:tabs>
          <w:tab w:val="clear" w:pos="567"/>
        </w:tabs>
        <w:ind w:left="1134" w:firstLine="0"/>
        <w:rPr>
          <w:snapToGrid w:val="0"/>
          <w:kern w:val="22"/>
        </w:rPr>
      </w:pPr>
      <w:r>
        <w:rPr>
          <w:snapToGrid w:val="0"/>
        </w:rPr>
        <w:t>Задача 11</w:t>
      </w:r>
    </w:p>
    <w:p w14:paraId="0279BF22" w14:textId="134BB32C" w:rsidR="006B4009" w:rsidRPr="005C4BF9" w:rsidRDefault="006B4009" w:rsidP="007D1063">
      <w:pPr>
        <w:pStyle w:val="CBDNormalNoNumber"/>
        <w:tabs>
          <w:tab w:val="clear" w:pos="567"/>
        </w:tabs>
        <w:ind w:left="1134"/>
        <w:rPr>
          <w:snapToGrid w:val="0"/>
          <w:kern w:val="22"/>
        </w:rPr>
      </w:pPr>
      <w:r>
        <w:rPr>
          <w:snapToGrid w:val="0"/>
        </w:rPr>
        <w:t>7.</w:t>
      </w:r>
      <w:r>
        <w:rPr>
          <w:snapToGrid w:val="0"/>
        </w:rPr>
        <w:tab/>
        <w:t xml:space="preserve">Глобальному экологическому фонду следует оказать помощь Сторонам, имеющим на это право, чтобы они могли внедрить решения на основе природных </w:t>
      </w:r>
      <w:r>
        <w:rPr>
          <w:snapToGrid w:val="0"/>
        </w:rPr>
        <w:lastRenderedPageBreak/>
        <w:t xml:space="preserve">процессов и/или экосистемные подходы для восстановления, поддержания и укрепления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в интересах всех людей и природы. </w:t>
      </w:r>
    </w:p>
    <w:p w14:paraId="13A6369F" w14:textId="77777777" w:rsidR="006B4009" w:rsidRPr="005C4BF9" w:rsidRDefault="006B4009" w:rsidP="00AC1BB4">
      <w:pPr>
        <w:pStyle w:val="CBDH4"/>
        <w:tabs>
          <w:tab w:val="clear" w:pos="567"/>
        </w:tabs>
        <w:ind w:left="1134" w:firstLine="0"/>
        <w:rPr>
          <w:snapToGrid w:val="0"/>
          <w:kern w:val="22"/>
        </w:rPr>
      </w:pPr>
      <w:r>
        <w:rPr>
          <w:snapToGrid w:val="0"/>
        </w:rPr>
        <w:t>Задача 16</w:t>
      </w:r>
    </w:p>
    <w:p w14:paraId="6A8A3F3D" w14:textId="5A25632B" w:rsidR="006B4009" w:rsidRPr="005C4BF9" w:rsidRDefault="006B4009" w:rsidP="007D1063">
      <w:pPr>
        <w:pStyle w:val="CBDNormalNoNumber"/>
        <w:tabs>
          <w:tab w:val="clear" w:pos="567"/>
        </w:tabs>
        <w:ind w:left="1134"/>
        <w:rPr>
          <w:snapToGrid w:val="0"/>
          <w:kern w:val="22"/>
        </w:rPr>
      </w:pPr>
      <w:r>
        <w:rPr>
          <w:snapToGrid w:val="0"/>
        </w:rPr>
        <w:t>8.</w:t>
      </w:r>
      <w:r>
        <w:rPr>
          <w:snapToGrid w:val="0"/>
        </w:rPr>
        <w:tab/>
        <w:t>Глобальному экологическому фонду следует оказать помощь Сторонам, имеющим на это право, чтобы они могли сформировать поддерживающую политику, законодательную или нормативно-правовую базу, улучшить просветительскую работу и расширить доступ к актуальной и точной информации и альтернативам, а также предоставить людям стимулы и возможности для потребительского выбора в пользу устойчивости и сокращения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p>
    <w:p w14:paraId="54A8F0F5" w14:textId="77777777" w:rsidR="006B4009" w:rsidRPr="005C4BF9" w:rsidRDefault="006B4009" w:rsidP="00AC1BB4">
      <w:pPr>
        <w:pStyle w:val="CBDH4"/>
        <w:tabs>
          <w:tab w:val="clear" w:pos="567"/>
        </w:tabs>
        <w:ind w:left="1134" w:firstLine="0"/>
        <w:rPr>
          <w:snapToGrid w:val="0"/>
          <w:kern w:val="22"/>
        </w:rPr>
      </w:pPr>
      <w:r>
        <w:rPr>
          <w:snapToGrid w:val="0"/>
        </w:rPr>
        <w:t>Задача 22</w:t>
      </w:r>
    </w:p>
    <w:p w14:paraId="7030D31F" w14:textId="675A4DB3" w:rsidR="006B4009" w:rsidRPr="005C4BF9" w:rsidRDefault="006B4009" w:rsidP="007D1063">
      <w:pPr>
        <w:pStyle w:val="CBDNormalNoNumber"/>
        <w:tabs>
          <w:tab w:val="clear" w:pos="567"/>
        </w:tabs>
        <w:ind w:left="1134"/>
        <w:rPr>
          <w:snapToGrid w:val="0"/>
          <w:kern w:val="22"/>
        </w:rPr>
      </w:pPr>
      <w:r>
        <w:rPr>
          <w:snapToGrid w:val="0"/>
        </w:rPr>
        <w:t>9.</w:t>
      </w:r>
      <w:r>
        <w:rPr>
          <w:snapToGrid w:val="0"/>
        </w:rPr>
        <w:tab/>
        <w:t>Глобальному экологическому фонду следует оказать помощь Сторонам, имеющим на это право, чтобы они могли обеспечить с учетом гендерной проблематики всестороннее, равноправное, инклюзивное и эффективное представительство и участие коренных народов и местных общин в процессе принятия решений, касающихся биоразнообразия, а также доступ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обеспечить всестороннюю защиту экологических правозащитников.</w:t>
      </w:r>
    </w:p>
    <w:p w14:paraId="1C205096" w14:textId="77777777" w:rsidR="006B4009" w:rsidRPr="005C4BF9" w:rsidRDefault="006B4009" w:rsidP="00AC1BB4">
      <w:pPr>
        <w:pStyle w:val="CBDH4"/>
        <w:tabs>
          <w:tab w:val="clear" w:pos="567"/>
        </w:tabs>
        <w:ind w:left="1134" w:firstLine="0"/>
        <w:rPr>
          <w:snapToGrid w:val="0"/>
          <w:kern w:val="22"/>
        </w:rPr>
      </w:pPr>
      <w:r>
        <w:rPr>
          <w:snapToGrid w:val="0"/>
        </w:rPr>
        <w:t>Задача 23</w:t>
      </w:r>
    </w:p>
    <w:p w14:paraId="719D3D7C" w14:textId="0E63A725" w:rsidR="008A1499" w:rsidRPr="005C4BF9" w:rsidRDefault="006B4009" w:rsidP="007D1063">
      <w:pPr>
        <w:pStyle w:val="CBDNormalNoNumber"/>
        <w:tabs>
          <w:tab w:val="clear" w:pos="567"/>
        </w:tabs>
        <w:ind w:left="1134"/>
      </w:pPr>
      <w:r>
        <w:rPr>
          <w:snapToGrid w:val="0"/>
        </w:rPr>
        <w:t>10.</w:t>
      </w:r>
      <w:r>
        <w:rPr>
          <w:snapToGrid w:val="0"/>
        </w:rPr>
        <w:tab/>
        <w:t>Глобальному экологическому фонду следует оказать помощь Сторонам, имеющим на это право, чтобы они могли обеспечить осуществление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r>
        <w:t xml:space="preserve"> </w:t>
      </w:r>
    </w:p>
    <w:p w14:paraId="4C3CEEA1" w14:textId="77777777" w:rsidR="00D029D2" w:rsidRPr="005C4BF9" w:rsidRDefault="00D029D2" w:rsidP="00A111D1">
      <w:pPr>
        <w:pStyle w:val="Para1"/>
        <w:numPr>
          <w:ilvl w:val="0"/>
          <w:numId w:val="0"/>
        </w:numPr>
        <w:ind w:left="567"/>
        <w:jc w:val="center"/>
        <w:rPr>
          <w:szCs w:val="22"/>
        </w:rPr>
        <w:sectPr w:rsidR="00D029D2" w:rsidRPr="005C4BF9" w:rsidSect="00447F4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pPr>
    </w:p>
    <w:p w14:paraId="589B8741" w14:textId="77777777" w:rsidR="00D029D2" w:rsidRPr="005C4BF9" w:rsidRDefault="00D029D2" w:rsidP="00D029D2">
      <w:pPr>
        <w:pStyle w:val="CBDAnnex"/>
      </w:pPr>
      <w:r>
        <w:lastRenderedPageBreak/>
        <w:t>Приложение</w:t>
      </w:r>
    </w:p>
    <w:p w14:paraId="61A0B09D" w14:textId="77777777" w:rsidR="00D029D2" w:rsidRPr="005C4BF9" w:rsidRDefault="00D029D2" w:rsidP="00D029D2">
      <w:pPr>
        <w:pStyle w:val="CBDTitle"/>
      </w:pPr>
      <w:r>
        <w:t>Сметные потребности во внебюджетных ресурсах</w:t>
      </w:r>
    </w:p>
    <w:p w14:paraId="6CA4555E" w14:textId="5D8A20A4" w:rsidR="00D029D2" w:rsidRPr="005C4BF9" w:rsidRDefault="00D029D2" w:rsidP="00D029D2">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проектом рекомендации, и предназначена для содействия его рассмотрению.</w:t>
      </w:r>
      <w:bookmarkStart w:id="2" w:name="_Hlk216086750"/>
      <w:r>
        <w:t xml:space="preserve"> Настоящее приложение не является частью проекта рекомендации, представленного на рассмотрение Вспомогательного органа по осуществлению.</w:t>
      </w:r>
    </w:p>
    <w:p w14:paraId="776BEB49" w14:textId="21A47F05" w:rsidR="00D029D2" w:rsidRPr="005C4BF9" w:rsidRDefault="00B9312E" w:rsidP="00AC1BB4">
      <w:pPr>
        <w:pStyle w:val="CBDTableTitle"/>
        <w:ind w:left="0"/>
      </w:pPr>
      <w:r>
        <w:tab/>
        <w:t>Потребности во внебюджетных ресурсах</w:t>
      </w:r>
    </w:p>
    <w:p w14:paraId="022E3E58" w14:textId="5EE421B9" w:rsidR="00D029D2" w:rsidRPr="005C4BF9" w:rsidRDefault="00B9312E" w:rsidP="00D029D2">
      <w:pPr>
        <w:spacing w:before="120" w:after="120"/>
        <w:rPr>
          <w:iCs/>
        </w:rPr>
      </w:pPr>
      <w:r>
        <w:rPr>
          <w:sz w:val="18"/>
        </w:rPr>
        <w:tab/>
        <w:t>(в долл. США)</w:t>
      </w:r>
    </w:p>
    <w:tbl>
      <w:tblPr>
        <w:tblW w:w="9364" w:type="dxa"/>
        <w:tblLayout w:type="fixed"/>
        <w:tblCellMar>
          <w:left w:w="0" w:type="dxa"/>
          <w:right w:w="0" w:type="dxa"/>
        </w:tblCellMar>
        <w:tblLook w:val="04A0" w:firstRow="1" w:lastRow="0" w:firstColumn="1" w:lastColumn="0" w:noHBand="0" w:noVBand="1"/>
      </w:tblPr>
      <w:tblGrid>
        <w:gridCol w:w="430"/>
        <w:gridCol w:w="2551"/>
        <w:gridCol w:w="1276"/>
        <w:gridCol w:w="850"/>
        <w:gridCol w:w="993"/>
        <w:gridCol w:w="141"/>
        <w:gridCol w:w="993"/>
        <w:gridCol w:w="1134"/>
        <w:gridCol w:w="996"/>
      </w:tblGrid>
      <w:tr w:rsidR="00AA693C" w:rsidRPr="001E30B0" w14:paraId="32D78E76" w14:textId="77777777" w:rsidTr="00AA693C">
        <w:trPr>
          <w:trHeight w:val="290"/>
        </w:trPr>
        <w:tc>
          <w:tcPr>
            <w:tcW w:w="430" w:type="dxa"/>
            <w:tcBorders>
              <w:top w:val="single" w:sz="4" w:space="0" w:color="auto"/>
              <w:bottom w:val="single" w:sz="8" w:space="0" w:color="auto"/>
            </w:tcBorders>
            <w:vAlign w:val="bottom"/>
          </w:tcPr>
          <w:p w14:paraId="60C11A3C" w14:textId="77777777" w:rsidR="00AA693C" w:rsidRPr="001E30B0" w:rsidRDefault="00AA693C" w:rsidP="007216E3">
            <w:pPr>
              <w:ind w:left="57" w:right="57"/>
              <w:jc w:val="left"/>
              <w:rPr>
                <w:sz w:val="20"/>
                <w:szCs w:val="20"/>
              </w:rPr>
            </w:pPr>
            <w:r w:rsidRPr="001E30B0">
              <w:rPr>
                <w:i/>
                <w:sz w:val="20"/>
              </w:rPr>
              <w:t>ПП</w:t>
            </w:r>
          </w:p>
        </w:tc>
        <w:tc>
          <w:tcPr>
            <w:tcW w:w="2551" w:type="dxa"/>
            <w:tcBorders>
              <w:top w:val="single" w:sz="4" w:space="0" w:color="auto"/>
              <w:bottom w:val="single" w:sz="8" w:space="0" w:color="auto"/>
            </w:tcBorders>
            <w:noWrap/>
            <w:tcMar>
              <w:top w:w="0" w:type="dxa"/>
              <w:left w:w="108" w:type="dxa"/>
              <w:bottom w:w="0" w:type="dxa"/>
              <w:right w:w="108" w:type="dxa"/>
            </w:tcMar>
            <w:vAlign w:val="bottom"/>
          </w:tcPr>
          <w:p w14:paraId="6B18613C" w14:textId="77777777" w:rsidR="00AA693C" w:rsidRPr="001E30B0" w:rsidRDefault="00AA693C" w:rsidP="007216E3">
            <w:pPr>
              <w:jc w:val="left"/>
              <w:rPr>
                <w:sz w:val="20"/>
                <w:szCs w:val="20"/>
              </w:rPr>
            </w:pPr>
            <w:r w:rsidRPr="001E30B0">
              <w:rPr>
                <w:i/>
                <w:sz w:val="20"/>
              </w:rPr>
              <w:t>Мероприятие</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21573B27" w14:textId="4D50A052" w:rsidR="00AA693C" w:rsidRPr="001E30B0" w:rsidRDefault="00AA693C" w:rsidP="007216E3">
            <w:pPr>
              <w:jc w:val="center"/>
              <w:rPr>
                <w:sz w:val="20"/>
                <w:szCs w:val="20"/>
              </w:rPr>
            </w:pPr>
            <w:r w:rsidRPr="001E30B0">
              <w:rPr>
                <w:i/>
                <w:sz w:val="20"/>
              </w:rPr>
              <w:t>Расходы на проведение совещаний</w:t>
            </w:r>
          </w:p>
        </w:tc>
        <w:tc>
          <w:tcPr>
            <w:tcW w:w="850" w:type="dxa"/>
            <w:tcBorders>
              <w:top w:val="single" w:sz="4" w:space="0" w:color="auto"/>
              <w:bottom w:val="single" w:sz="8" w:space="0" w:color="auto"/>
            </w:tcBorders>
            <w:noWrap/>
            <w:tcMar>
              <w:top w:w="0" w:type="dxa"/>
              <w:left w:w="108" w:type="dxa"/>
              <w:bottom w:w="0" w:type="dxa"/>
              <w:right w:w="108" w:type="dxa"/>
            </w:tcMar>
            <w:vAlign w:val="bottom"/>
          </w:tcPr>
          <w:p w14:paraId="2A85007D" w14:textId="77777777" w:rsidR="00AA693C" w:rsidRPr="001E30B0" w:rsidRDefault="00AA693C" w:rsidP="007216E3">
            <w:pPr>
              <w:jc w:val="center"/>
              <w:rPr>
                <w:sz w:val="20"/>
                <w:szCs w:val="20"/>
              </w:rPr>
            </w:pPr>
            <w:r w:rsidRPr="001E30B0">
              <w:rPr>
                <w:i/>
                <w:sz w:val="20"/>
              </w:rPr>
              <w:t>Служебные командировки</w:t>
            </w:r>
          </w:p>
        </w:tc>
        <w:tc>
          <w:tcPr>
            <w:tcW w:w="1134" w:type="dxa"/>
            <w:gridSpan w:val="2"/>
            <w:tcBorders>
              <w:top w:val="single" w:sz="4" w:space="0" w:color="auto"/>
              <w:bottom w:val="single" w:sz="8" w:space="0" w:color="auto"/>
            </w:tcBorders>
            <w:noWrap/>
            <w:tcMar>
              <w:top w:w="0" w:type="dxa"/>
              <w:left w:w="108" w:type="dxa"/>
              <w:bottom w:w="0" w:type="dxa"/>
              <w:right w:w="108" w:type="dxa"/>
            </w:tcMar>
            <w:vAlign w:val="bottom"/>
          </w:tcPr>
          <w:p w14:paraId="4B709387" w14:textId="71EF57A7" w:rsidR="00AA693C" w:rsidRPr="00AA693C" w:rsidRDefault="00AA693C" w:rsidP="007216E3">
            <w:pPr>
              <w:jc w:val="center"/>
              <w:rPr>
                <w:sz w:val="20"/>
                <w:szCs w:val="20"/>
                <w:lang w:val="en-US"/>
              </w:rPr>
            </w:pPr>
            <w:r w:rsidRPr="001E30B0">
              <w:rPr>
                <w:i/>
                <w:sz w:val="20"/>
              </w:rPr>
              <w:t>Расходы на персонал</w:t>
            </w:r>
            <w:r>
              <w:rPr>
                <w:i/>
                <w:sz w:val="20"/>
                <w:vertAlign w:val="superscript"/>
                <w:lang w:val="en-US"/>
              </w:rPr>
              <w:t>a</w:t>
            </w:r>
          </w:p>
        </w:tc>
        <w:tc>
          <w:tcPr>
            <w:tcW w:w="993" w:type="dxa"/>
            <w:tcBorders>
              <w:top w:val="single" w:sz="4" w:space="0" w:color="auto"/>
              <w:bottom w:val="single" w:sz="8" w:space="0" w:color="auto"/>
            </w:tcBorders>
            <w:noWrap/>
            <w:tcMar>
              <w:top w:w="0" w:type="dxa"/>
              <w:left w:w="108" w:type="dxa"/>
              <w:bottom w:w="0" w:type="dxa"/>
              <w:right w:w="108" w:type="dxa"/>
            </w:tcMar>
            <w:vAlign w:val="bottom"/>
          </w:tcPr>
          <w:p w14:paraId="38D86CE6" w14:textId="77777777" w:rsidR="00AA693C" w:rsidRPr="001E30B0" w:rsidRDefault="00AA693C" w:rsidP="007216E3">
            <w:pPr>
              <w:jc w:val="center"/>
              <w:rPr>
                <w:sz w:val="20"/>
                <w:szCs w:val="20"/>
              </w:rPr>
            </w:pPr>
            <w:r w:rsidRPr="001E30B0">
              <w:rPr>
                <w:i/>
                <w:sz w:val="20"/>
              </w:rPr>
              <w:t>Промежуточный итог</w:t>
            </w:r>
          </w:p>
        </w:tc>
        <w:tc>
          <w:tcPr>
            <w:tcW w:w="1134" w:type="dxa"/>
            <w:tcBorders>
              <w:top w:val="single" w:sz="4" w:space="0" w:color="auto"/>
              <w:bottom w:val="single" w:sz="8" w:space="0" w:color="auto"/>
            </w:tcBorders>
            <w:noWrap/>
            <w:tcMar>
              <w:top w:w="0" w:type="dxa"/>
              <w:left w:w="108" w:type="dxa"/>
              <w:bottom w:w="0" w:type="dxa"/>
              <w:right w:w="108" w:type="dxa"/>
            </w:tcMar>
            <w:vAlign w:val="bottom"/>
          </w:tcPr>
          <w:p w14:paraId="61D678A3" w14:textId="77777777" w:rsidR="00AA693C" w:rsidRPr="001E30B0" w:rsidRDefault="00AA693C" w:rsidP="007216E3">
            <w:pPr>
              <w:jc w:val="center"/>
              <w:rPr>
                <w:sz w:val="20"/>
                <w:szCs w:val="20"/>
              </w:rPr>
            </w:pPr>
            <w:r w:rsidRPr="001E30B0">
              <w:rPr>
                <w:i/>
                <w:sz w:val="20"/>
              </w:rPr>
              <w:t>РПП</w:t>
            </w:r>
            <w:r w:rsidRPr="001E30B0">
              <w:rPr>
                <w:i/>
                <w:sz w:val="20"/>
              </w:rPr>
              <w:br/>
              <w:t>(13%)</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7BDEF12F" w14:textId="77777777" w:rsidR="00AA693C" w:rsidRPr="001E30B0" w:rsidRDefault="00AA693C" w:rsidP="007216E3">
            <w:pPr>
              <w:jc w:val="right"/>
              <w:rPr>
                <w:i/>
                <w:iCs/>
                <w:sz w:val="20"/>
                <w:szCs w:val="20"/>
              </w:rPr>
            </w:pPr>
            <w:r w:rsidRPr="001E30B0">
              <w:rPr>
                <w:i/>
                <w:sz w:val="20"/>
              </w:rPr>
              <w:t>Итого</w:t>
            </w:r>
          </w:p>
        </w:tc>
      </w:tr>
      <w:tr w:rsidR="00AA693C" w:rsidRPr="00427603" w14:paraId="020D37B8" w14:textId="77777777" w:rsidTr="00AA693C">
        <w:trPr>
          <w:trHeight w:val="290"/>
        </w:trPr>
        <w:tc>
          <w:tcPr>
            <w:tcW w:w="430" w:type="dxa"/>
            <w:tcBorders>
              <w:top w:val="single" w:sz="8" w:space="0" w:color="auto"/>
            </w:tcBorders>
          </w:tcPr>
          <w:p w14:paraId="12811E69" w14:textId="47DA239A" w:rsidR="00AA693C" w:rsidRPr="00427603" w:rsidRDefault="00AA693C" w:rsidP="00AA693C">
            <w:pPr>
              <w:ind w:left="-142" w:right="57"/>
              <w:jc w:val="right"/>
              <w:rPr>
                <w:sz w:val="20"/>
                <w:szCs w:val="20"/>
                <w:highlight w:val="yellow"/>
              </w:rPr>
            </w:pPr>
            <w:r>
              <w:rPr>
                <w:sz w:val="20"/>
              </w:rPr>
              <w:t>8 (b)</w:t>
            </w:r>
          </w:p>
        </w:tc>
        <w:tc>
          <w:tcPr>
            <w:tcW w:w="2551" w:type="dxa"/>
            <w:tcBorders>
              <w:top w:val="single" w:sz="8" w:space="0" w:color="auto"/>
            </w:tcBorders>
            <w:noWrap/>
            <w:tcMar>
              <w:top w:w="0" w:type="dxa"/>
              <w:left w:w="108" w:type="dxa"/>
              <w:bottom w:w="0" w:type="dxa"/>
              <w:right w:w="108" w:type="dxa"/>
            </w:tcMar>
            <w:vAlign w:val="center"/>
            <w:hideMark/>
          </w:tcPr>
          <w:p w14:paraId="7E7857F1" w14:textId="43BDC83C" w:rsidR="00AA693C" w:rsidRPr="00D90996" w:rsidRDefault="00AA693C" w:rsidP="00AA693C">
            <w:pPr>
              <w:jc w:val="left"/>
              <w:rPr>
                <w:sz w:val="20"/>
                <w:szCs w:val="20"/>
                <w:highlight w:val="yellow"/>
              </w:rPr>
            </w:pPr>
            <w:r>
              <w:rPr>
                <w:sz w:val="20"/>
              </w:rPr>
              <w:t xml:space="preserve">Подготовка доклада о полной оценке объема фондов, необходимых для осуществления Конвенции и протоколов к ней в период десятого пополнения Целевого фонда Глобального </w:t>
            </w:r>
            <w:r w:rsidR="000E551F">
              <w:rPr>
                <w:sz w:val="20"/>
              </w:rPr>
              <w:t>э</w:t>
            </w:r>
            <w:r>
              <w:rPr>
                <w:sz w:val="20"/>
              </w:rPr>
              <w:t xml:space="preserve">кологического </w:t>
            </w:r>
            <w:r w:rsidR="000E551F">
              <w:rPr>
                <w:sz w:val="20"/>
              </w:rPr>
              <w:t>ф</w:t>
            </w:r>
            <w:r>
              <w:rPr>
                <w:sz w:val="20"/>
              </w:rPr>
              <w:t>онда</w:t>
            </w:r>
          </w:p>
        </w:tc>
        <w:tc>
          <w:tcPr>
            <w:tcW w:w="1276" w:type="dxa"/>
            <w:tcBorders>
              <w:top w:val="single" w:sz="8" w:space="0" w:color="auto"/>
            </w:tcBorders>
            <w:noWrap/>
            <w:tcMar>
              <w:top w:w="0" w:type="dxa"/>
              <w:left w:w="108" w:type="dxa"/>
              <w:bottom w:w="0" w:type="dxa"/>
              <w:right w:w="108" w:type="dxa"/>
            </w:tcMar>
            <w:vAlign w:val="bottom"/>
          </w:tcPr>
          <w:p w14:paraId="69D2A26C" w14:textId="3DD31CC3" w:rsidR="00AA693C" w:rsidRPr="00427603" w:rsidRDefault="00AA693C" w:rsidP="00AA693C">
            <w:pPr>
              <w:jc w:val="right"/>
              <w:rPr>
                <w:sz w:val="20"/>
                <w:szCs w:val="20"/>
                <w:highlight w:val="yellow"/>
              </w:rPr>
            </w:pPr>
            <w:r>
              <w:rPr>
                <w:sz w:val="20"/>
              </w:rPr>
              <w:t>–</w:t>
            </w:r>
          </w:p>
        </w:tc>
        <w:tc>
          <w:tcPr>
            <w:tcW w:w="850" w:type="dxa"/>
            <w:tcBorders>
              <w:top w:val="single" w:sz="8" w:space="0" w:color="auto"/>
            </w:tcBorders>
            <w:noWrap/>
            <w:tcMar>
              <w:top w:w="0" w:type="dxa"/>
              <w:left w:w="108" w:type="dxa"/>
              <w:bottom w:w="0" w:type="dxa"/>
              <w:right w:w="108" w:type="dxa"/>
            </w:tcMar>
            <w:vAlign w:val="bottom"/>
          </w:tcPr>
          <w:p w14:paraId="50ADFC66" w14:textId="018E5623" w:rsidR="00AA693C" w:rsidRPr="00427603" w:rsidRDefault="00AA693C" w:rsidP="00AA693C">
            <w:pPr>
              <w:jc w:val="right"/>
              <w:rPr>
                <w:sz w:val="20"/>
                <w:szCs w:val="20"/>
                <w:highlight w:val="yellow"/>
              </w:rPr>
            </w:pPr>
            <w:r>
              <w:rPr>
                <w:sz w:val="20"/>
              </w:rPr>
              <w:t>20 000</w:t>
            </w:r>
          </w:p>
        </w:tc>
        <w:tc>
          <w:tcPr>
            <w:tcW w:w="993" w:type="dxa"/>
            <w:tcBorders>
              <w:top w:val="single" w:sz="8" w:space="0" w:color="auto"/>
            </w:tcBorders>
            <w:noWrap/>
            <w:tcMar>
              <w:top w:w="0" w:type="dxa"/>
              <w:left w:w="108" w:type="dxa"/>
              <w:bottom w:w="0" w:type="dxa"/>
              <w:right w:w="108" w:type="dxa"/>
            </w:tcMar>
            <w:vAlign w:val="bottom"/>
            <w:hideMark/>
          </w:tcPr>
          <w:p w14:paraId="3DB8B5DD" w14:textId="14B0235D" w:rsidR="00AA693C" w:rsidRPr="00427603" w:rsidRDefault="00AA693C" w:rsidP="00AA693C">
            <w:pPr>
              <w:jc w:val="right"/>
              <w:rPr>
                <w:sz w:val="20"/>
                <w:szCs w:val="20"/>
                <w:highlight w:val="yellow"/>
              </w:rPr>
            </w:pPr>
            <w:r>
              <w:rPr>
                <w:sz w:val="20"/>
              </w:rPr>
              <w:t>100 000</w:t>
            </w:r>
          </w:p>
        </w:tc>
        <w:tc>
          <w:tcPr>
            <w:tcW w:w="1134" w:type="dxa"/>
            <w:gridSpan w:val="2"/>
            <w:tcBorders>
              <w:top w:val="single" w:sz="8" w:space="0" w:color="auto"/>
            </w:tcBorders>
            <w:noWrap/>
            <w:tcMar>
              <w:top w:w="0" w:type="dxa"/>
              <w:left w:w="108" w:type="dxa"/>
              <w:bottom w:w="0" w:type="dxa"/>
              <w:right w:w="108" w:type="dxa"/>
            </w:tcMar>
            <w:vAlign w:val="bottom"/>
            <w:hideMark/>
          </w:tcPr>
          <w:p w14:paraId="7225ACD5" w14:textId="4C9FD371" w:rsidR="00AA693C" w:rsidRPr="00427603" w:rsidRDefault="00AA693C" w:rsidP="00AA693C">
            <w:pPr>
              <w:jc w:val="right"/>
              <w:rPr>
                <w:sz w:val="20"/>
                <w:szCs w:val="20"/>
                <w:highlight w:val="yellow"/>
              </w:rPr>
            </w:pPr>
            <w:r>
              <w:rPr>
                <w:sz w:val="20"/>
              </w:rPr>
              <w:t>120 000</w:t>
            </w:r>
          </w:p>
        </w:tc>
        <w:tc>
          <w:tcPr>
            <w:tcW w:w="1134" w:type="dxa"/>
            <w:tcBorders>
              <w:top w:val="single" w:sz="8" w:space="0" w:color="auto"/>
            </w:tcBorders>
            <w:noWrap/>
            <w:tcMar>
              <w:top w:w="0" w:type="dxa"/>
              <w:left w:w="108" w:type="dxa"/>
              <w:bottom w:w="0" w:type="dxa"/>
              <w:right w:w="108" w:type="dxa"/>
            </w:tcMar>
            <w:vAlign w:val="bottom"/>
            <w:hideMark/>
          </w:tcPr>
          <w:p w14:paraId="2A646782" w14:textId="78D42E64" w:rsidR="00AA693C" w:rsidRPr="00427603" w:rsidRDefault="00AA693C" w:rsidP="00AA693C">
            <w:pPr>
              <w:jc w:val="right"/>
              <w:rPr>
                <w:sz w:val="20"/>
                <w:szCs w:val="20"/>
                <w:highlight w:val="yellow"/>
              </w:rPr>
            </w:pPr>
            <w:r>
              <w:rPr>
                <w:sz w:val="20"/>
              </w:rPr>
              <w:t>15 600</w:t>
            </w:r>
          </w:p>
        </w:tc>
        <w:tc>
          <w:tcPr>
            <w:tcW w:w="996" w:type="dxa"/>
            <w:tcBorders>
              <w:top w:val="single" w:sz="8" w:space="0" w:color="auto"/>
            </w:tcBorders>
            <w:noWrap/>
            <w:tcMar>
              <w:top w:w="0" w:type="dxa"/>
              <w:left w:w="108" w:type="dxa"/>
              <w:bottom w:w="0" w:type="dxa"/>
              <w:right w:w="108" w:type="dxa"/>
            </w:tcMar>
            <w:vAlign w:val="bottom"/>
            <w:hideMark/>
          </w:tcPr>
          <w:p w14:paraId="68E3B114" w14:textId="6F50BF09" w:rsidR="00AA693C" w:rsidRPr="00427603" w:rsidRDefault="00AA693C" w:rsidP="00AA693C">
            <w:pPr>
              <w:jc w:val="right"/>
              <w:rPr>
                <w:sz w:val="20"/>
                <w:szCs w:val="20"/>
                <w:highlight w:val="yellow"/>
              </w:rPr>
            </w:pPr>
            <w:r>
              <w:rPr>
                <w:sz w:val="20"/>
              </w:rPr>
              <w:t>135 600</w:t>
            </w:r>
          </w:p>
        </w:tc>
      </w:tr>
      <w:tr w:rsidR="00AA693C" w:rsidRPr="00427603" w14:paraId="3C3A1B00" w14:textId="77777777" w:rsidTr="00AA693C">
        <w:trPr>
          <w:trHeight w:val="290"/>
        </w:trPr>
        <w:tc>
          <w:tcPr>
            <w:tcW w:w="430" w:type="dxa"/>
            <w:tcBorders>
              <w:bottom w:val="single" w:sz="4" w:space="0" w:color="auto"/>
            </w:tcBorders>
          </w:tcPr>
          <w:p w14:paraId="501F2D17" w14:textId="11062CF9" w:rsidR="00AA693C" w:rsidRPr="00427603" w:rsidRDefault="00AA693C" w:rsidP="00AA693C">
            <w:pPr>
              <w:ind w:left="-142" w:right="57"/>
              <w:jc w:val="right"/>
              <w:rPr>
                <w:sz w:val="20"/>
                <w:szCs w:val="20"/>
                <w:highlight w:val="yellow"/>
              </w:rPr>
            </w:pPr>
            <w:r>
              <w:rPr>
                <w:sz w:val="20"/>
              </w:rPr>
              <w:t>8 (d)</w:t>
            </w:r>
          </w:p>
        </w:tc>
        <w:tc>
          <w:tcPr>
            <w:tcW w:w="2551" w:type="dxa"/>
            <w:tcBorders>
              <w:bottom w:val="single" w:sz="4" w:space="0" w:color="auto"/>
            </w:tcBorders>
            <w:noWrap/>
            <w:tcMar>
              <w:top w:w="0" w:type="dxa"/>
              <w:left w:w="108" w:type="dxa"/>
              <w:bottom w:w="0" w:type="dxa"/>
              <w:right w:w="108" w:type="dxa"/>
            </w:tcMar>
            <w:vAlign w:val="bottom"/>
          </w:tcPr>
          <w:p w14:paraId="57119B61" w14:textId="27CC34E3" w:rsidR="00AA693C" w:rsidRPr="00427603" w:rsidRDefault="00AA693C" w:rsidP="00AA693C">
            <w:pPr>
              <w:jc w:val="left"/>
              <w:rPr>
                <w:sz w:val="20"/>
                <w:szCs w:val="20"/>
                <w:highlight w:val="yellow"/>
              </w:rPr>
            </w:pPr>
            <w:r>
              <w:rPr>
                <w:sz w:val="20"/>
              </w:rPr>
              <w:t>Разработка, в консультации с соответствующими финансовыми учреждениями, стратегических вариантов укрепления существующих финансовых учреждений</w:t>
            </w:r>
          </w:p>
        </w:tc>
        <w:tc>
          <w:tcPr>
            <w:tcW w:w="1276" w:type="dxa"/>
            <w:tcBorders>
              <w:bottom w:val="single" w:sz="4" w:space="0" w:color="auto"/>
            </w:tcBorders>
            <w:noWrap/>
            <w:tcMar>
              <w:top w:w="0" w:type="dxa"/>
              <w:left w:w="108" w:type="dxa"/>
              <w:bottom w:w="0" w:type="dxa"/>
              <w:right w:w="108" w:type="dxa"/>
            </w:tcMar>
            <w:vAlign w:val="bottom"/>
          </w:tcPr>
          <w:p w14:paraId="5982C8C8" w14:textId="3C7BAB24" w:rsidR="00AA693C" w:rsidRPr="00427603" w:rsidRDefault="00AA693C" w:rsidP="00AA693C">
            <w:pPr>
              <w:jc w:val="right"/>
              <w:rPr>
                <w:sz w:val="20"/>
                <w:szCs w:val="20"/>
                <w:highlight w:val="yellow"/>
              </w:rPr>
            </w:pPr>
            <w:r>
              <w:rPr>
                <w:sz w:val="20"/>
              </w:rPr>
              <w:t>–</w:t>
            </w:r>
          </w:p>
        </w:tc>
        <w:tc>
          <w:tcPr>
            <w:tcW w:w="850" w:type="dxa"/>
            <w:tcBorders>
              <w:bottom w:val="single" w:sz="4" w:space="0" w:color="auto"/>
            </w:tcBorders>
            <w:noWrap/>
            <w:tcMar>
              <w:top w:w="0" w:type="dxa"/>
              <w:left w:w="108" w:type="dxa"/>
              <w:bottom w:w="0" w:type="dxa"/>
              <w:right w:w="108" w:type="dxa"/>
            </w:tcMar>
            <w:vAlign w:val="bottom"/>
          </w:tcPr>
          <w:p w14:paraId="095D73C1" w14:textId="02D04F67" w:rsidR="00AA693C" w:rsidRPr="00427603" w:rsidRDefault="00AA693C" w:rsidP="00AA693C">
            <w:pPr>
              <w:jc w:val="right"/>
              <w:rPr>
                <w:sz w:val="20"/>
                <w:szCs w:val="20"/>
                <w:highlight w:val="yellow"/>
              </w:rPr>
            </w:pPr>
            <w:r>
              <w:rPr>
                <w:sz w:val="20"/>
              </w:rPr>
              <w:t>20 000</w:t>
            </w:r>
          </w:p>
        </w:tc>
        <w:tc>
          <w:tcPr>
            <w:tcW w:w="993" w:type="dxa"/>
            <w:tcBorders>
              <w:bottom w:val="single" w:sz="4" w:space="0" w:color="auto"/>
            </w:tcBorders>
            <w:noWrap/>
            <w:tcMar>
              <w:top w:w="0" w:type="dxa"/>
              <w:left w:w="108" w:type="dxa"/>
              <w:bottom w:w="0" w:type="dxa"/>
              <w:right w:w="108" w:type="dxa"/>
            </w:tcMar>
            <w:vAlign w:val="bottom"/>
          </w:tcPr>
          <w:p w14:paraId="612E7772" w14:textId="147C6B0A" w:rsidR="00AA693C" w:rsidRPr="00427603" w:rsidRDefault="00AA693C" w:rsidP="00AA693C">
            <w:pPr>
              <w:jc w:val="right"/>
              <w:rPr>
                <w:sz w:val="20"/>
                <w:szCs w:val="20"/>
                <w:highlight w:val="yellow"/>
              </w:rPr>
            </w:pPr>
            <w:r>
              <w:rPr>
                <w:sz w:val="20"/>
              </w:rPr>
              <w:t>50 000</w:t>
            </w:r>
          </w:p>
        </w:tc>
        <w:tc>
          <w:tcPr>
            <w:tcW w:w="1134" w:type="dxa"/>
            <w:gridSpan w:val="2"/>
            <w:tcBorders>
              <w:bottom w:val="single" w:sz="4" w:space="0" w:color="auto"/>
            </w:tcBorders>
            <w:noWrap/>
            <w:tcMar>
              <w:top w:w="0" w:type="dxa"/>
              <w:left w:w="108" w:type="dxa"/>
              <w:bottom w:w="0" w:type="dxa"/>
              <w:right w:w="108" w:type="dxa"/>
            </w:tcMar>
            <w:vAlign w:val="bottom"/>
          </w:tcPr>
          <w:p w14:paraId="4EA9436E" w14:textId="50439453" w:rsidR="00AA693C" w:rsidRPr="00427603" w:rsidRDefault="00AA693C" w:rsidP="00AA693C">
            <w:pPr>
              <w:jc w:val="right"/>
              <w:rPr>
                <w:sz w:val="20"/>
                <w:szCs w:val="20"/>
                <w:highlight w:val="yellow"/>
              </w:rPr>
            </w:pPr>
            <w:r>
              <w:rPr>
                <w:sz w:val="20"/>
              </w:rPr>
              <w:t>70 000</w:t>
            </w:r>
          </w:p>
        </w:tc>
        <w:tc>
          <w:tcPr>
            <w:tcW w:w="1134" w:type="dxa"/>
            <w:tcBorders>
              <w:bottom w:val="single" w:sz="4" w:space="0" w:color="auto"/>
            </w:tcBorders>
            <w:noWrap/>
            <w:tcMar>
              <w:top w:w="0" w:type="dxa"/>
              <w:left w:w="108" w:type="dxa"/>
              <w:bottom w:w="0" w:type="dxa"/>
              <w:right w:w="108" w:type="dxa"/>
            </w:tcMar>
            <w:vAlign w:val="bottom"/>
          </w:tcPr>
          <w:p w14:paraId="4E8CA5D5" w14:textId="0CCBC58C" w:rsidR="00AA693C" w:rsidRPr="00427603" w:rsidRDefault="00AA693C" w:rsidP="00AA693C">
            <w:pPr>
              <w:jc w:val="right"/>
              <w:rPr>
                <w:sz w:val="20"/>
                <w:szCs w:val="20"/>
                <w:highlight w:val="yellow"/>
              </w:rPr>
            </w:pPr>
            <w:r>
              <w:rPr>
                <w:sz w:val="20"/>
              </w:rPr>
              <w:t>9 100</w:t>
            </w:r>
          </w:p>
        </w:tc>
        <w:tc>
          <w:tcPr>
            <w:tcW w:w="996" w:type="dxa"/>
            <w:tcBorders>
              <w:bottom w:val="single" w:sz="4" w:space="0" w:color="auto"/>
            </w:tcBorders>
            <w:noWrap/>
            <w:tcMar>
              <w:top w:w="0" w:type="dxa"/>
              <w:left w:w="108" w:type="dxa"/>
              <w:bottom w:w="0" w:type="dxa"/>
              <w:right w:w="108" w:type="dxa"/>
            </w:tcMar>
            <w:vAlign w:val="bottom"/>
          </w:tcPr>
          <w:p w14:paraId="04C2B22D" w14:textId="6D7BD934" w:rsidR="00AA693C" w:rsidRPr="00427603" w:rsidRDefault="00AA693C" w:rsidP="00AA693C">
            <w:pPr>
              <w:jc w:val="right"/>
              <w:rPr>
                <w:sz w:val="20"/>
                <w:szCs w:val="20"/>
              </w:rPr>
            </w:pPr>
            <w:r>
              <w:rPr>
                <w:sz w:val="20"/>
              </w:rPr>
              <w:t>79 100</w:t>
            </w:r>
          </w:p>
        </w:tc>
      </w:tr>
      <w:tr w:rsidR="00AA693C" w:rsidRPr="001E30B0" w14:paraId="17E2697A" w14:textId="77777777" w:rsidTr="00AA693C">
        <w:trPr>
          <w:trHeight w:val="290"/>
        </w:trPr>
        <w:tc>
          <w:tcPr>
            <w:tcW w:w="430" w:type="dxa"/>
            <w:tcBorders>
              <w:top w:val="single" w:sz="4" w:space="0" w:color="auto"/>
              <w:bottom w:val="single" w:sz="8" w:space="0" w:color="auto"/>
            </w:tcBorders>
          </w:tcPr>
          <w:p w14:paraId="1C2AA0C0" w14:textId="77777777" w:rsidR="00AA693C" w:rsidRPr="001E30B0" w:rsidRDefault="00AA693C" w:rsidP="00AA693C">
            <w:pPr>
              <w:ind w:right="57"/>
              <w:jc w:val="left"/>
              <w:rPr>
                <w:sz w:val="20"/>
                <w:szCs w:val="20"/>
              </w:rPr>
            </w:pPr>
          </w:p>
        </w:tc>
        <w:tc>
          <w:tcPr>
            <w:tcW w:w="2551" w:type="dxa"/>
            <w:tcBorders>
              <w:top w:val="single" w:sz="4" w:space="0" w:color="auto"/>
              <w:bottom w:val="single" w:sz="8" w:space="0" w:color="auto"/>
            </w:tcBorders>
            <w:noWrap/>
            <w:tcMar>
              <w:top w:w="0" w:type="dxa"/>
              <w:left w:w="108" w:type="dxa"/>
              <w:bottom w:w="0" w:type="dxa"/>
              <w:right w:w="108" w:type="dxa"/>
            </w:tcMar>
            <w:vAlign w:val="bottom"/>
          </w:tcPr>
          <w:p w14:paraId="2A659FBF" w14:textId="548E94B6" w:rsidR="00AA693C" w:rsidRPr="001E30B0" w:rsidRDefault="00AA693C" w:rsidP="00AA693C">
            <w:pPr>
              <w:tabs>
                <w:tab w:val="clear" w:pos="567"/>
                <w:tab w:val="left" w:pos="220"/>
              </w:tabs>
              <w:jc w:val="left"/>
              <w:rPr>
                <w:sz w:val="20"/>
                <w:szCs w:val="20"/>
                <w:highlight w:val="yellow"/>
              </w:rPr>
            </w:pPr>
            <w:r>
              <w:rPr>
                <w:b/>
                <w:sz w:val="20"/>
              </w:rPr>
              <w:tab/>
              <w:t>Итого</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17AE2C7E" w14:textId="77777777" w:rsidR="00AA693C" w:rsidRPr="001E30B0" w:rsidRDefault="00AA693C" w:rsidP="00AA693C">
            <w:pPr>
              <w:jc w:val="right"/>
              <w:rPr>
                <w:sz w:val="20"/>
                <w:szCs w:val="20"/>
              </w:rPr>
            </w:pPr>
          </w:p>
        </w:tc>
        <w:tc>
          <w:tcPr>
            <w:tcW w:w="850" w:type="dxa"/>
            <w:tcBorders>
              <w:top w:val="single" w:sz="4" w:space="0" w:color="auto"/>
              <w:bottom w:val="single" w:sz="8" w:space="0" w:color="auto"/>
            </w:tcBorders>
            <w:noWrap/>
            <w:tcMar>
              <w:top w:w="0" w:type="dxa"/>
              <w:left w:w="108" w:type="dxa"/>
              <w:bottom w:w="0" w:type="dxa"/>
              <w:right w:w="108" w:type="dxa"/>
            </w:tcMar>
            <w:vAlign w:val="bottom"/>
          </w:tcPr>
          <w:p w14:paraId="0FEDA9E7" w14:textId="5DB853C1" w:rsidR="00AA693C" w:rsidRPr="001E30B0" w:rsidRDefault="00AA693C" w:rsidP="00AA693C">
            <w:pPr>
              <w:jc w:val="right"/>
              <w:rPr>
                <w:sz w:val="20"/>
                <w:szCs w:val="20"/>
              </w:rPr>
            </w:pPr>
          </w:p>
        </w:tc>
        <w:tc>
          <w:tcPr>
            <w:tcW w:w="993" w:type="dxa"/>
            <w:tcBorders>
              <w:top w:val="single" w:sz="4" w:space="0" w:color="auto"/>
              <w:bottom w:val="single" w:sz="8" w:space="0" w:color="auto"/>
            </w:tcBorders>
            <w:noWrap/>
            <w:tcMar>
              <w:top w:w="0" w:type="dxa"/>
              <w:left w:w="108" w:type="dxa"/>
              <w:bottom w:w="0" w:type="dxa"/>
              <w:right w:w="108" w:type="dxa"/>
            </w:tcMar>
            <w:vAlign w:val="bottom"/>
          </w:tcPr>
          <w:p w14:paraId="2B9BCB60" w14:textId="1C1AA3A3" w:rsidR="00AA693C" w:rsidRPr="001E30B0" w:rsidRDefault="00AA693C" w:rsidP="00AA693C">
            <w:pPr>
              <w:jc w:val="right"/>
              <w:rPr>
                <w:sz w:val="20"/>
                <w:szCs w:val="20"/>
              </w:rPr>
            </w:pPr>
          </w:p>
        </w:tc>
        <w:tc>
          <w:tcPr>
            <w:tcW w:w="1134" w:type="dxa"/>
            <w:gridSpan w:val="2"/>
            <w:tcBorders>
              <w:top w:val="single" w:sz="4" w:space="0" w:color="auto"/>
              <w:bottom w:val="single" w:sz="8" w:space="0" w:color="auto"/>
            </w:tcBorders>
            <w:noWrap/>
            <w:tcMar>
              <w:top w:w="0" w:type="dxa"/>
              <w:left w:w="108" w:type="dxa"/>
              <w:bottom w:w="0" w:type="dxa"/>
              <w:right w:w="108" w:type="dxa"/>
            </w:tcMar>
            <w:vAlign w:val="bottom"/>
          </w:tcPr>
          <w:p w14:paraId="12D5EE28" w14:textId="0371EB75" w:rsidR="00AA693C" w:rsidRPr="00427603" w:rsidRDefault="00AA693C" w:rsidP="00AA693C">
            <w:pPr>
              <w:jc w:val="right"/>
              <w:rPr>
                <w:sz w:val="20"/>
                <w:szCs w:val="20"/>
                <w:highlight w:val="yellow"/>
              </w:rPr>
            </w:pPr>
            <w:r>
              <w:rPr>
                <w:b/>
                <w:sz w:val="20"/>
              </w:rPr>
              <w:t>190 000</w:t>
            </w:r>
          </w:p>
        </w:tc>
        <w:tc>
          <w:tcPr>
            <w:tcW w:w="1134" w:type="dxa"/>
            <w:tcBorders>
              <w:top w:val="single" w:sz="4" w:space="0" w:color="auto"/>
              <w:bottom w:val="single" w:sz="8" w:space="0" w:color="auto"/>
            </w:tcBorders>
            <w:noWrap/>
            <w:tcMar>
              <w:top w:w="0" w:type="dxa"/>
              <w:left w:w="108" w:type="dxa"/>
              <w:bottom w:w="0" w:type="dxa"/>
              <w:right w:w="108" w:type="dxa"/>
            </w:tcMar>
          </w:tcPr>
          <w:p w14:paraId="551EA6EB" w14:textId="77777777" w:rsidR="00AA693C" w:rsidRDefault="00AA693C" w:rsidP="00AA693C">
            <w:pPr>
              <w:jc w:val="right"/>
              <w:rPr>
                <w:b/>
                <w:sz w:val="20"/>
                <w:lang w:val="en-US"/>
              </w:rPr>
            </w:pPr>
          </w:p>
          <w:p w14:paraId="341E2490" w14:textId="59EF8719" w:rsidR="00AA693C" w:rsidRPr="00427603" w:rsidRDefault="00AA693C" w:rsidP="00AA693C">
            <w:pPr>
              <w:jc w:val="right"/>
              <w:rPr>
                <w:sz w:val="20"/>
                <w:szCs w:val="20"/>
                <w:highlight w:val="yellow"/>
              </w:rPr>
            </w:pPr>
            <w:r>
              <w:rPr>
                <w:b/>
                <w:sz w:val="20"/>
              </w:rPr>
              <w:t>24 700</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036D6C5A" w14:textId="001CF8E5" w:rsidR="00AA693C" w:rsidRPr="00427603" w:rsidRDefault="00AA693C" w:rsidP="00AA693C">
            <w:pPr>
              <w:jc w:val="right"/>
              <w:rPr>
                <w:sz w:val="20"/>
                <w:szCs w:val="20"/>
                <w:highlight w:val="yellow"/>
              </w:rPr>
            </w:pPr>
            <w:r>
              <w:rPr>
                <w:b/>
                <w:sz w:val="20"/>
              </w:rPr>
              <w:t>214 700</w:t>
            </w:r>
          </w:p>
        </w:tc>
      </w:tr>
    </w:tbl>
    <w:p w14:paraId="7BD99F00" w14:textId="77777777" w:rsidR="00D029D2" w:rsidRPr="005C4BF9" w:rsidRDefault="00D029D2" w:rsidP="00D029D2">
      <w:pPr>
        <w:spacing w:before="120"/>
        <w:ind w:firstLine="567"/>
        <w:rPr>
          <w:sz w:val="18"/>
          <w:szCs w:val="18"/>
        </w:rPr>
      </w:pPr>
      <w:r>
        <w:rPr>
          <w:i/>
          <w:sz w:val="18"/>
        </w:rPr>
        <w:t>Сокращения:</w:t>
      </w:r>
      <w:r>
        <w:rPr>
          <w:sz w:val="18"/>
        </w:rPr>
        <w:t xml:space="preserve"> РПП – расходы на поддержку программ; ПП – пункт постановляющей части проекта решения.</w:t>
      </w:r>
    </w:p>
    <w:p w14:paraId="62C71966" w14:textId="6479D784" w:rsidR="00D029D2" w:rsidRPr="005C4BF9" w:rsidRDefault="0020741B" w:rsidP="00AC1BB4">
      <w:pPr>
        <w:tabs>
          <w:tab w:val="left" w:pos="851"/>
        </w:tabs>
        <w:ind w:firstLine="567"/>
      </w:pPr>
      <w:r>
        <w:rPr>
          <w:i/>
          <w:sz w:val="18"/>
          <w:vertAlign w:val="superscript"/>
        </w:rPr>
        <w:t>a</w:t>
      </w:r>
      <w:r>
        <w:rPr>
          <w:sz w:val="18"/>
        </w:rPr>
        <w:tab/>
        <w:t>Консультанты, партнеры и дополнительный персонал.</w:t>
      </w:r>
    </w:p>
    <w:bookmarkEnd w:id="2"/>
    <w:p w14:paraId="34B24C7C" w14:textId="39507E13" w:rsidR="00233301" w:rsidRPr="005C4BF9" w:rsidRDefault="00054726" w:rsidP="00AC1BB4">
      <w:pPr>
        <w:pStyle w:val="Para10"/>
        <w:tabs>
          <w:tab w:val="clear" w:pos="643"/>
        </w:tabs>
        <w:ind w:left="567" w:firstLine="0"/>
        <w:jc w:val="center"/>
      </w:pPr>
      <w:r>
        <w:t>__________</w:t>
      </w:r>
    </w:p>
    <w:sectPr w:rsidR="00233301" w:rsidRPr="005C4BF9" w:rsidSect="00AC1BB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622D9" w14:textId="77777777" w:rsidR="001A6543" w:rsidRPr="005C4BF9" w:rsidRDefault="001A6543" w:rsidP="00CF1848">
      <w:r w:rsidRPr="005C4BF9">
        <w:separator/>
      </w:r>
    </w:p>
  </w:endnote>
  <w:endnote w:type="continuationSeparator" w:id="0">
    <w:p w14:paraId="2889F9E0" w14:textId="77777777" w:rsidR="001A6543" w:rsidRPr="005C4BF9" w:rsidRDefault="001A6543"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t>/</w:t>
            </w:r>
            <w:fldSimple w:instr=" NUMPAGES  ">
              <w:r w:rsidRPr="005C4BF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t>/</w:t>
        </w:r>
        <w:fldSimple w:instr=" NUMPAGES  ">
          <w:r w:rsidRPr="005C4BF9">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A2B9" w14:textId="77777777" w:rsidR="001A6543" w:rsidRPr="005C4BF9" w:rsidRDefault="001A6543" w:rsidP="00CF1848">
      <w:r w:rsidRPr="005C4BF9">
        <w:separator/>
      </w:r>
    </w:p>
  </w:footnote>
  <w:footnote w:type="continuationSeparator" w:id="0">
    <w:p w14:paraId="1C091C05" w14:textId="77777777" w:rsidR="001A6543" w:rsidRPr="005C4BF9" w:rsidRDefault="001A6543" w:rsidP="00CF1848">
      <w:r w:rsidRPr="005C4BF9">
        <w:continuationSeparator/>
      </w:r>
    </w:p>
  </w:footnote>
  <w:footnote w:id="1">
    <w:p w14:paraId="79A1CAB3" w14:textId="63E24A9F" w:rsidR="00FD2482" w:rsidRPr="005C4BF9" w:rsidRDefault="00FD2482" w:rsidP="00FD2482">
      <w:pPr>
        <w:pStyle w:val="afb"/>
      </w:pPr>
      <w:r>
        <w:rPr>
          <w:rStyle w:val="afa"/>
        </w:rPr>
        <w:t>*</w:t>
      </w:r>
      <w:r>
        <w:t xml:space="preserve"> </w:t>
      </w:r>
      <w:hyperlink r:id="rId1" w:history="1">
        <w:r>
          <w:rPr>
            <w:rStyle w:val="aff"/>
          </w:rPr>
          <w:t>CBD/SBI/6/1</w:t>
        </w:r>
      </w:hyperlink>
      <w:r>
        <w:t>.</w:t>
      </w:r>
    </w:p>
  </w:footnote>
  <w:footnote w:id="2">
    <w:p w14:paraId="78F9C2C2" w14:textId="2255B6EE" w:rsidR="00606853" w:rsidRPr="005C4BF9" w:rsidRDefault="00606853" w:rsidP="00606853">
      <w:pPr>
        <w:pStyle w:val="afb"/>
      </w:pPr>
      <w:r>
        <w:rPr>
          <w:rStyle w:val="afa"/>
        </w:rPr>
        <w:footnoteRef/>
      </w:r>
      <w:r>
        <w:t xml:space="preserve"> Материалы Многонационального Государства Боливия представлены по адресу: </w:t>
      </w:r>
      <w:hyperlink r:id="rId2" w:history="1">
        <w:r>
          <w:rPr>
            <w:rStyle w:val="aff"/>
          </w:rPr>
          <w:t>https://www.cbd.int/doc/interventions/6717c9819a0ecc27c502d552/GEF%20Financial%20Mechanism.docx</w:t>
        </w:r>
      </w:hyperlink>
      <w:r>
        <w:t xml:space="preserve"> </w:t>
      </w:r>
    </w:p>
  </w:footnote>
  <w:footnote w:id="3">
    <w:p w14:paraId="3C371F6A" w14:textId="5283D1B7" w:rsidR="00AE775F" w:rsidRPr="00AF2E06" w:rsidRDefault="00AE775F">
      <w:pPr>
        <w:pStyle w:val="afb"/>
      </w:pPr>
      <w:r>
        <w:rPr>
          <w:rStyle w:val="afa"/>
        </w:rPr>
        <w:footnoteRef/>
      </w:r>
      <w:r>
        <w:t xml:space="preserve"> Информацию о потребностях представили почти 44 процента имеющих право на получение помощи Сторон из региональной группы стран Африки, 12 процентов – из региональной группы стран Азиатско-Тихоокеанского региона, 18 процентов – из региональной группы стран Восточной Европы и 39 процентов – из региональной группы стран Латинской Америки и Карибского бассейна.</w:t>
      </w:r>
    </w:p>
  </w:footnote>
  <w:footnote w:id="4">
    <w:p w14:paraId="2AC36C4C" w14:textId="58902B79" w:rsidR="00CC7A1E" w:rsidRPr="00AC1BB4" w:rsidRDefault="00CC7A1E">
      <w:pPr>
        <w:pStyle w:val="afb"/>
      </w:pPr>
      <w:r>
        <w:rPr>
          <w:rStyle w:val="afa"/>
        </w:rPr>
        <w:footnoteRef/>
      </w:r>
      <w:r>
        <w:t xml:space="preserve"> Сметные потребности во внебюджетных ресурсах на осуществление мероприятий, изложенных в проекте рекомендации, приводятся в приложении к настоящему документу.</w:t>
      </w:r>
    </w:p>
  </w:footnote>
  <w:footnote w:id="5">
    <w:p w14:paraId="3E54EC55" w14:textId="17683C04" w:rsidR="00AA693C" w:rsidRPr="00AA693C" w:rsidRDefault="00AA693C" w:rsidP="00AA693C">
      <w:pPr>
        <w:pStyle w:val="afb"/>
      </w:pPr>
      <w:r>
        <w:rPr>
          <w:rStyle w:val="afa"/>
        </w:rPr>
        <w:footnoteRef/>
      </w:r>
      <w:r w:rsidRPr="00AA693C">
        <w:t xml:space="preserve"> </w:t>
      </w:r>
      <w:r>
        <w:t>Сборник договоров Организации Объединенных Наций, том 1760, № 30619</w:t>
      </w:r>
      <w:r w:rsidRPr="00AA693C">
        <w:t>.</w:t>
      </w:r>
    </w:p>
  </w:footnote>
  <w:footnote w:id="6">
    <w:p w14:paraId="0346EF38" w14:textId="73CDF912" w:rsidR="00C23C12" w:rsidRPr="00091919" w:rsidRDefault="00C23C12">
      <w:pPr>
        <w:pStyle w:val="afb"/>
      </w:pPr>
      <w:r>
        <w:rPr>
          <w:rStyle w:val="afa"/>
        </w:rPr>
        <w:footnoteRef/>
      </w:r>
      <w:r>
        <w:t xml:space="preserve"> Решение </w:t>
      </w:r>
      <w:hyperlink r:id="rId3" w:history="1">
        <w:r>
          <w:rPr>
            <w:rStyle w:val="aff"/>
          </w:rPr>
          <w:t>15/4</w:t>
        </w:r>
      </w:hyperlink>
      <w:r>
        <w:t>, приложение.</w:t>
      </w:r>
    </w:p>
  </w:footnote>
  <w:footnote w:id="7">
    <w:p w14:paraId="74FE2121" w14:textId="77777777" w:rsidR="00101A02" w:rsidRPr="00091919" w:rsidRDefault="00101A02" w:rsidP="00101A02">
      <w:pPr>
        <w:pStyle w:val="afb"/>
      </w:pPr>
      <w:r>
        <w:rPr>
          <w:rStyle w:val="afa"/>
        </w:rPr>
        <w:footnoteRef/>
      </w:r>
      <w:r>
        <w:t xml:space="preserve"> Сборник договоров Организации Объединенных Наций, том 1760, № 30619.</w:t>
      </w:r>
    </w:p>
  </w:footnote>
  <w:footnote w:id="8">
    <w:p w14:paraId="2706C3F5" w14:textId="72E49D68" w:rsidR="00704E3D" w:rsidRPr="00704E3D" w:rsidRDefault="00704E3D">
      <w:pPr>
        <w:pStyle w:val="afb"/>
      </w:pPr>
      <w:r>
        <w:rPr>
          <w:rStyle w:val="afa"/>
        </w:rPr>
        <w:footnoteRef/>
      </w:r>
      <w:r>
        <w:t xml:space="preserve"> Решение </w:t>
      </w:r>
      <w:hyperlink r:id="rId4" w:history="1">
        <w:r>
          <w:rPr>
            <w:rStyle w:val="aff"/>
          </w:rPr>
          <w:t>15/4</w:t>
        </w:r>
      </w:hyperlink>
      <w:r>
        <w:t>, приложение.</w:t>
      </w:r>
    </w:p>
  </w:footnote>
  <w:footnote w:id="9">
    <w:p w14:paraId="47FF0288" w14:textId="77777777" w:rsidR="00BC7850" w:rsidRPr="00091919" w:rsidRDefault="00BC7850" w:rsidP="00BC7850">
      <w:pPr>
        <w:pStyle w:val="afb"/>
      </w:pPr>
      <w:r>
        <w:rPr>
          <w:rStyle w:val="afa"/>
        </w:rPr>
        <w:footnoteRef/>
      </w:r>
      <w:r>
        <w:t xml:space="preserve"> Сборник договоров Организации Объединенных Наций, том 1760, № 30619.</w:t>
      </w:r>
    </w:p>
  </w:footnote>
  <w:footnote w:id="10">
    <w:p w14:paraId="3FC47382" w14:textId="55B522A0" w:rsidR="0020741B" w:rsidRPr="00AC1BB4" w:rsidRDefault="0020741B">
      <w:pPr>
        <w:pStyle w:val="afb"/>
      </w:pPr>
      <w:r>
        <w:rPr>
          <w:rStyle w:val="afa"/>
        </w:rPr>
        <w:footnoteRef/>
      </w:r>
      <w:r>
        <w:t xml:space="preserve"> Решение </w:t>
      </w:r>
      <w:hyperlink r:id="rId5" w:history="1">
        <w:r>
          <w:rPr>
            <w:rStyle w:val="aff"/>
          </w:rPr>
          <w:t>15/4</w:t>
        </w:r>
      </w:hyperlink>
      <w:r>
        <w:t>, приложение.</w:t>
      </w:r>
    </w:p>
  </w:footnote>
  <w:footnote w:id="11">
    <w:p w14:paraId="23AFC482" w14:textId="3332981E" w:rsidR="00C06C69" w:rsidRPr="00AC1BB4" w:rsidRDefault="00C06C69">
      <w:pPr>
        <w:pStyle w:val="afb"/>
      </w:pPr>
      <w:r>
        <w:rPr>
          <w:rStyle w:val="afa"/>
        </w:rPr>
        <w:footnoteRef/>
      </w:r>
      <w:r>
        <w:t xml:space="preserve"> Резолюция 61/295 Генеральной Ассамблеи, приложение.</w:t>
      </w:r>
    </w:p>
  </w:footnote>
  <w:footnote w:id="12">
    <w:p w14:paraId="0787F3C8" w14:textId="41AE2968" w:rsidR="00061101" w:rsidRPr="00061101" w:rsidRDefault="00061101" w:rsidP="00061101">
      <w:pPr>
        <w:pStyle w:val="afb"/>
      </w:pPr>
      <w:r>
        <w:rPr>
          <w:rStyle w:val="afa"/>
        </w:rPr>
        <w:footnoteRef/>
      </w:r>
      <w:r>
        <w:t xml:space="preserve"> Сборник договоров Организации Объединенных Наций, том 1760, № 30619.</w:t>
      </w:r>
    </w:p>
  </w:footnote>
  <w:footnote w:id="13">
    <w:p w14:paraId="56DE55BA" w14:textId="2BE25C44" w:rsidR="00662E3E" w:rsidRPr="00AC1BB4" w:rsidRDefault="00662E3E">
      <w:pPr>
        <w:pStyle w:val="afb"/>
      </w:pPr>
      <w:r>
        <w:rPr>
          <w:rStyle w:val="afa"/>
        </w:rPr>
        <w:footnoteRef/>
      </w:r>
      <w:r>
        <w:t xml:space="preserve"> Доклад о работе Конференции Организации Объединенных Наций по окружающей среде и развитию, Рио-де-Жанейро, 3-14 июня 1992 года, том I, «Резолюции, принятые Конференцией» (</w:t>
      </w:r>
      <w:r w:rsidR="00984973">
        <w:t>и</w:t>
      </w:r>
      <w:r>
        <w:t>здание Организации Объединенных Наций, товарный № E.93.I.8 и исправление), резолюция 1, приложение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359FD2C" w:rsidR="00534681" w:rsidRPr="00AD7B82" w:rsidRDefault="005D5EF2" w:rsidP="007C4951">
    <w:pPr>
      <w:pStyle w:val="a7"/>
      <w:spacing w:after="240"/>
      <w:rPr>
        <w:szCs w:val="20"/>
        <w:lang w:val="en-US"/>
      </w:rPr>
    </w:pPr>
    <w:r>
      <w:t>CBD/SBI/6/3</w:t>
    </w:r>
    <w:r w:rsidR="00AD7B82">
      <w:rPr>
        <w:lang w:val="en-US"/>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567BCA4C" w:rsidR="009505C9" w:rsidRPr="00AD7B82" w:rsidRDefault="00163EA8" w:rsidP="007C4951">
    <w:pPr>
      <w:pStyle w:val="a7"/>
      <w:spacing w:after="240"/>
      <w:jc w:val="right"/>
      <w:rPr>
        <w:lang w:val="en-US"/>
      </w:rPr>
    </w:pPr>
    <w:r>
      <w:t>CBD/SBI/6/3</w:t>
    </w:r>
    <w:r w:rsidR="00AD7B82">
      <w:rPr>
        <w:lang w:val="en-US"/>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3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61A7"/>
    <w:rsid w:val="00026592"/>
    <w:rsid w:val="0002692A"/>
    <w:rsid w:val="00026A95"/>
    <w:rsid w:val="00027A37"/>
    <w:rsid w:val="00031D96"/>
    <w:rsid w:val="00031FAC"/>
    <w:rsid w:val="00032110"/>
    <w:rsid w:val="0003237A"/>
    <w:rsid w:val="000330C1"/>
    <w:rsid w:val="000335D9"/>
    <w:rsid w:val="00033F23"/>
    <w:rsid w:val="0003517F"/>
    <w:rsid w:val="00036280"/>
    <w:rsid w:val="00036CB4"/>
    <w:rsid w:val="00036FBE"/>
    <w:rsid w:val="00037372"/>
    <w:rsid w:val="000375F6"/>
    <w:rsid w:val="000376BC"/>
    <w:rsid w:val="0004054A"/>
    <w:rsid w:val="000407DC"/>
    <w:rsid w:val="000409C3"/>
    <w:rsid w:val="00040D92"/>
    <w:rsid w:val="0004105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70D4"/>
    <w:rsid w:val="00050567"/>
    <w:rsid w:val="00050BD3"/>
    <w:rsid w:val="00050C47"/>
    <w:rsid w:val="00051503"/>
    <w:rsid w:val="00051B1B"/>
    <w:rsid w:val="000529E5"/>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EC5"/>
    <w:rsid w:val="00076003"/>
    <w:rsid w:val="00076D14"/>
    <w:rsid w:val="00076DF2"/>
    <w:rsid w:val="00076E10"/>
    <w:rsid w:val="00076F68"/>
    <w:rsid w:val="000770F8"/>
    <w:rsid w:val="0008002B"/>
    <w:rsid w:val="00080632"/>
    <w:rsid w:val="00080B40"/>
    <w:rsid w:val="00081B5E"/>
    <w:rsid w:val="00081FD0"/>
    <w:rsid w:val="00082D72"/>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6E8E"/>
    <w:rsid w:val="00097429"/>
    <w:rsid w:val="000A0B93"/>
    <w:rsid w:val="000A0E43"/>
    <w:rsid w:val="000A1116"/>
    <w:rsid w:val="000A1145"/>
    <w:rsid w:val="000A1511"/>
    <w:rsid w:val="000A1949"/>
    <w:rsid w:val="000A28CF"/>
    <w:rsid w:val="000A34C3"/>
    <w:rsid w:val="000A43D3"/>
    <w:rsid w:val="000A47F9"/>
    <w:rsid w:val="000A51FD"/>
    <w:rsid w:val="000A632E"/>
    <w:rsid w:val="000A6D53"/>
    <w:rsid w:val="000A6F96"/>
    <w:rsid w:val="000B0F1F"/>
    <w:rsid w:val="000B0FF9"/>
    <w:rsid w:val="000B1067"/>
    <w:rsid w:val="000B1E34"/>
    <w:rsid w:val="000B1FCA"/>
    <w:rsid w:val="000B31A0"/>
    <w:rsid w:val="000B327E"/>
    <w:rsid w:val="000B41E6"/>
    <w:rsid w:val="000B4F9F"/>
    <w:rsid w:val="000B5BFC"/>
    <w:rsid w:val="000B6397"/>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51F"/>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E85"/>
    <w:rsid w:val="001012A6"/>
    <w:rsid w:val="00101A02"/>
    <w:rsid w:val="00102ECC"/>
    <w:rsid w:val="00102FB9"/>
    <w:rsid w:val="001033C5"/>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AB2"/>
    <w:rsid w:val="00121940"/>
    <w:rsid w:val="00121F7B"/>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ABE"/>
    <w:rsid w:val="00172AF6"/>
    <w:rsid w:val="00172F44"/>
    <w:rsid w:val="001731B7"/>
    <w:rsid w:val="00173DC2"/>
    <w:rsid w:val="0017421D"/>
    <w:rsid w:val="00174C3E"/>
    <w:rsid w:val="00175E77"/>
    <w:rsid w:val="00176CEE"/>
    <w:rsid w:val="00176E9E"/>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3ED"/>
    <w:rsid w:val="00186DD8"/>
    <w:rsid w:val="00187633"/>
    <w:rsid w:val="00187ACA"/>
    <w:rsid w:val="00187E4C"/>
    <w:rsid w:val="00190335"/>
    <w:rsid w:val="001905A3"/>
    <w:rsid w:val="00190657"/>
    <w:rsid w:val="00190F10"/>
    <w:rsid w:val="00192FB4"/>
    <w:rsid w:val="001930EF"/>
    <w:rsid w:val="001931D5"/>
    <w:rsid w:val="00193533"/>
    <w:rsid w:val="00193F98"/>
    <w:rsid w:val="00194AA9"/>
    <w:rsid w:val="00194C56"/>
    <w:rsid w:val="00194EED"/>
    <w:rsid w:val="00195AE2"/>
    <w:rsid w:val="00195E60"/>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543"/>
    <w:rsid w:val="001A66F9"/>
    <w:rsid w:val="001A6C85"/>
    <w:rsid w:val="001B0747"/>
    <w:rsid w:val="001B13FE"/>
    <w:rsid w:val="001B15B6"/>
    <w:rsid w:val="001B1C37"/>
    <w:rsid w:val="001B25AF"/>
    <w:rsid w:val="001B2662"/>
    <w:rsid w:val="001B27BC"/>
    <w:rsid w:val="001B3983"/>
    <w:rsid w:val="001B3EFD"/>
    <w:rsid w:val="001B4311"/>
    <w:rsid w:val="001B44AD"/>
    <w:rsid w:val="001B473D"/>
    <w:rsid w:val="001B4C37"/>
    <w:rsid w:val="001B53D2"/>
    <w:rsid w:val="001B5ADD"/>
    <w:rsid w:val="001B62CD"/>
    <w:rsid w:val="001B6E69"/>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73"/>
    <w:rsid w:val="001E2FAD"/>
    <w:rsid w:val="001E37FA"/>
    <w:rsid w:val="001E4236"/>
    <w:rsid w:val="001E4763"/>
    <w:rsid w:val="001E575F"/>
    <w:rsid w:val="001E6154"/>
    <w:rsid w:val="001E784C"/>
    <w:rsid w:val="001E786B"/>
    <w:rsid w:val="001E7B36"/>
    <w:rsid w:val="001E7DFF"/>
    <w:rsid w:val="001F0B25"/>
    <w:rsid w:val="001F0F44"/>
    <w:rsid w:val="001F2779"/>
    <w:rsid w:val="001F2D33"/>
    <w:rsid w:val="001F3101"/>
    <w:rsid w:val="001F34B1"/>
    <w:rsid w:val="001F384D"/>
    <w:rsid w:val="001F3DF8"/>
    <w:rsid w:val="001F455B"/>
    <w:rsid w:val="001F4E6B"/>
    <w:rsid w:val="001F50FA"/>
    <w:rsid w:val="001F548F"/>
    <w:rsid w:val="001F609E"/>
    <w:rsid w:val="001F61CA"/>
    <w:rsid w:val="002000CC"/>
    <w:rsid w:val="00200274"/>
    <w:rsid w:val="00200354"/>
    <w:rsid w:val="002012F2"/>
    <w:rsid w:val="0020136B"/>
    <w:rsid w:val="00201380"/>
    <w:rsid w:val="00202518"/>
    <w:rsid w:val="00202E10"/>
    <w:rsid w:val="00203158"/>
    <w:rsid w:val="00203359"/>
    <w:rsid w:val="002038C1"/>
    <w:rsid w:val="0020450A"/>
    <w:rsid w:val="002049DA"/>
    <w:rsid w:val="00204F51"/>
    <w:rsid w:val="00205331"/>
    <w:rsid w:val="00205DD6"/>
    <w:rsid w:val="00205E2D"/>
    <w:rsid w:val="00205FCA"/>
    <w:rsid w:val="00205FE0"/>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522D"/>
    <w:rsid w:val="00215F62"/>
    <w:rsid w:val="00216015"/>
    <w:rsid w:val="00216102"/>
    <w:rsid w:val="002167E4"/>
    <w:rsid w:val="0021743B"/>
    <w:rsid w:val="00217CB2"/>
    <w:rsid w:val="00217F54"/>
    <w:rsid w:val="00220B8A"/>
    <w:rsid w:val="00220BC5"/>
    <w:rsid w:val="002219D2"/>
    <w:rsid w:val="00221D7E"/>
    <w:rsid w:val="00221E88"/>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BA8"/>
    <w:rsid w:val="002A3C97"/>
    <w:rsid w:val="002A3CB0"/>
    <w:rsid w:val="002A4121"/>
    <w:rsid w:val="002A4655"/>
    <w:rsid w:val="002A6195"/>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6FE"/>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E14"/>
    <w:rsid w:val="002E3287"/>
    <w:rsid w:val="002E34E7"/>
    <w:rsid w:val="002E3C28"/>
    <w:rsid w:val="002E4C31"/>
    <w:rsid w:val="002E4F53"/>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339"/>
    <w:rsid w:val="0033442F"/>
    <w:rsid w:val="00334B1C"/>
    <w:rsid w:val="00335162"/>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381"/>
    <w:rsid w:val="00361446"/>
    <w:rsid w:val="003620E6"/>
    <w:rsid w:val="00362B67"/>
    <w:rsid w:val="003631E8"/>
    <w:rsid w:val="0036389F"/>
    <w:rsid w:val="00363A2F"/>
    <w:rsid w:val="00364033"/>
    <w:rsid w:val="00364446"/>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C0909"/>
    <w:rsid w:val="003C10AC"/>
    <w:rsid w:val="003C15A9"/>
    <w:rsid w:val="003C16BB"/>
    <w:rsid w:val="003C1B26"/>
    <w:rsid w:val="003C25D7"/>
    <w:rsid w:val="003C348F"/>
    <w:rsid w:val="003C4181"/>
    <w:rsid w:val="003C4E0B"/>
    <w:rsid w:val="003C5655"/>
    <w:rsid w:val="003C59BD"/>
    <w:rsid w:val="003C5D99"/>
    <w:rsid w:val="003C6284"/>
    <w:rsid w:val="003C69D9"/>
    <w:rsid w:val="003C6FA0"/>
    <w:rsid w:val="003C76C5"/>
    <w:rsid w:val="003C7A59"/>
    <w:rsid w:val="003D0866"/>
    <w:rsid w:val="003D1362"/>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1509"/>
    <w:rsid w:val="003E15BD"/>
    <w:rsid w:val="003E18C6"/>
    <w:rsid w:val="003E1ECE"/>
    <w:rsid w:val="003E251D"/>
    <w:rsid w:val="003E25E5"/>
    <w:rsid w:val="003E2826"/>
    <w:rsid w:val="003E2A48"/>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30FE"/>
    <w:rsid w:val="00433182"/>
    <w:rsid w:val="00434481"/>
    <w:rsid w:val="004349C7"/>
    <w:rsid w:val="00435246"/>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59D"/>
    <w:rsid w:val="00452758"/>
    <w:rsid w:val="00452802"/>
    <w:rsid w:val="004535B6"/>
    <w:rsid w:val="00453D95"/>
    <w:rsid w:val="00454341"/>
    <w:rsid w:val="00455AF2"/>
    <w:rsid w:val="00456109"/>
    <w:rsid w:val="00456466"/>
    <w:rsid w:val="00456F67"/>
    <w:rsid w:val="0045785D"/>
    <w:rsid w:val="00457DDC"/>
    <w:rsid w:val="00460190"/>
    <w:rsid w:val="0046219F"/>
    <w:rsid w:val="00462F6A"/>
    <w:rsid w:val="004632C8"/>
    <w:rsid w:val="00463417"/>
    <w:rsid w:val="00463AF6"/>
    <w:rsid w:val="00463C40"/>
    <w:rsid w:val="004644C2"/>
    <w:rsid w:val="00464DFD"/>
    <w:rsid w:val="00466018"/>
    <w:rsid w:val="00466642"/>
    <w:rsid w:val="00466B53"/>
    <w:rsid w:val="0046714B"/>
    <w:rsid w:val="00467201"/>
    <w:rsid w:val="00467F9C"/>
    <w:rsid w:val="0047055C"/>
    <w:rsid w:val="004713FA"/>
    <w:rsid w:val="004717B6"/>
    <w:rsid w:val="004719A9"/>
    <w:rsid w:val="00471D0A"/>
    <w:rsid w:val="00471D83"/>
    <w:rsid w:val="00472A18"/>
    <w:rsid w:val="00473538"/>
    <w:rsid w:val="004735E2"/>
    <w:rsid w:val="0047375A"/>
    <w:rsid w:val="00473F16"/>
    <w:rsid w:val="0047504E"/>
    <w:rsid w:val="00475C41"/>
    <w:rsid w:val="0047666D"/>
    <w:rsid w:val="0047714A"/>
    <w:rsid w:val="004776F5"/>
    <w:rsid w:val="00477875"/>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E2E"/>
    <w:rsid w:val="0049003B"/>
    <w:rsid w:val="004901BE"/>
    <w:rsid w:val="004903C7"/>
    <w:rsid w:val="0049077B"/>
    <w:rsid w:val="0049115A"/>
    <w:rsid w:val="0049125D"/>
    <w:rsid w:val="00491980"/>
    <w:rsid w:val="00491C32"/>
    <w:rsid w:val="004927DD"/>
    <w:rsid w:val="00492847"/>
    <w:rsid w:val="004936AF"/>
    <w:rsid w:val="00493B6A"/>
    <w:rsid w:val="004941B6"/>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2EC"/>
    <w:rsid w:val="004B251C"/>
    <w:rsid w:val="004B2C49"/>
    <w:rsid w:val="004B3028"/>
    <w:rsid w:val="004B31CB"/>
    <w:rsid w:val="004B3A4F"/>
    <w:rsid w:val="004B3CC8"/>
    <w:rsid w:val="004B414A"/>
    <w:rsid w:val="004B4440"/>
    <w:rsid w:val="004B4A04"/>
    <w:rsid w:val="004B4BD2"/>
    <w:rsid w:val="004B509B"/>
    <w:rsid w:val="004B55CA"/>
    <w:rsid w:val="004B59CA"/>
    <w:rsid w:val="004B7164"/>
    <w:rsid w:val="004B7561"/>
    <w:rsid w:val="004B757D"/>
    <w:rsid w:val="004C0316"/>
    <w:rsid w:val="004C05A2"/>
    <w:rsid w:val="004C1198"/>
    <w:rsid w:val="004C152A"/>
    <w:rsid w:val="004C1E71"/>
    <w:rsid w:val="004C23FB"/>
    <w:rsid w:val="004C3224"/>
    <w:rsid w:val="004C32B8"/>
    <w:rsid w:val="004C33D4"/>
    <w:rsid w:val="004C3962"/>
    <w:rsid w:val="004C49D1"/>
    <w:rsid w:val="004C4EB2"/>
    <w:rsid w:val="004C5084"/>
    <w:rsid w:val="004C5808"/>
    <w:rsid w:val="004C5826"/>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4"/>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32C"/>
    <w:rsid w:val="004E39EC"/>
    <w:rsid w:val="004E3BF6"/>
    <w:rsid w:val="004E3D4B"/>
    <w:rsid w:val="004E4152"/>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2E86"/>
    <w:rsid w:val="0051353F"/>
    <w:rsid w:val="00513890"/>
    <w:rsid w:val="00513F40"/>
    <w:rsid w:val="005141B0"/>
    <w:rsid w:val="00514770"/>
    <w:rsid w:val="00514EC3"/>
    <w:rsid w:val="00515270"/>
    <w:rsid w:val="00515D31"/>
    <w:rsid w:val="00516A52"/>
    <w:rsid w:val="00516BB6"/>
    <w:rsid w:val="00516C6A"/>
    <w:rsid w:val="005172ED"/>
    <w:rsid w:val="00517501"/>
    <w:rsid w:val="005203B0"/>
    <w:rsid w:val="0052064D"/>
    <w:rsid w:val="0052162B"/>
    <w:rsid w:val="00521BDF"/>
    <w:rsid w:val="005229EF"/>
    <w:rsid w:val="005230D8"/>
    <w:rsid w:val="005230FF"/>
    <w:rsid w:val="00523158"/>
    <w:rsid w:val="00523C01"/>
    <w:rsid w:val="00523D1B"/>
    <w:rsid w:val="00524153"/>
    <w:rsid w:val="00524627"/>
    <w:rsid w:val="00524996"/>
    <w:rsid w:val="00524E17"/>
    <w:rsid w:val="00524E5A"/>
    <w:rsid w:val="005253CD"/>
    <w:rsid w:val="005256DA"/>
    <w:rsid w:val="0052578E"/>
    <w:rsid w:val="005258DD"/>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EDE"/>
    <w:rsid w:val="00554434"/>
    <w:rsid w:val="00554883"/>
    <w:rsid w:val="00554FE9"/>
    <w:rsid w:val="0055510E"/>
    <w:rsid w:val="005602C5"/>
    <w:rsid w:val="0056068E"/>
    <w:rsid w:val="00560925"/>
    <w:rsid w:val="00560C78"/>
    <w:rsid w:val="00562D47"/>
    <w:rsid w:val="00563442"/>
    <w:rsid w:val="0056348E"/>
    <w:rsid w:val="005637E5"/>
    <w:rsid w:val="00564FBF"/>
    <w:rsid w:val="005653B9"/>
    <w:rsid w:val="0056565A"/>
    <w:rsid w:val="005656B8"/>
    <w:rsid w:val="00565B42"/>
    <w:rsid w:val="00566111"/>
    <w:rsid w:val="00566210"/>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3C8"/>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BBC"/>
    <w:rsid w:val="005A7C8B"/>
    <w:rsid w:val="005B04E7"/>
    <w:rsid w:val="005B0E74"/>
    <w:rsid w:val="005B10F2"/>
    <w:rsid w:val="005B2854"/>
    <w:rsid w:val="005B29B4"/>
    <w:rsid w:val="005B3139"/>
    <w:rsid w:val="005B35E2"/>
    <w:rsid w:val="005B37FF"/>
    <w:rsid w:val="005B47B0"/>
    <w:rsid w:val="005B5027"/>
    <w:rsid w:val="005B6D29"/>
    <w:rsid w:val="005B6E92"/>
    <w:rsid w:val="005B74C3"/>
    <w:rsid w:val="005B74FC"/>
    <w:rsid w:val="005B77D2"/>
    <w:rsid w:val="005B782D"/>
    <w:rsid w:val="005B79AD"/>
    <w:rsid w:val="005B7BB2"/>
    <w:rsid w:val="005B7E0A"/>
    <w:rsid w:val="005C0177"/>
    <w:rsid w:val="005C1986"/>
    <w:rsid w:val="005C2686"/>
    <w:rsid w:val="005C3617"/>
    <w:rsid w:val="005C40FD"/>
    <w:rsid w:val="005C4297"/>
    <w:rsid w:val="005C4555"/>
    <w:rsid w:val="005C45BC"/>
    <w:rsid w:val="005C4B16"/>
    <w:rsid w:val="005C4BA2"/>
    <w:rsid w:val="005C4BF9"/>
    <w:rsid w:val="005C4CE6"/>
    <w:rsid w:val="005C5A0C"/>
    <w:rsid w:val="005C5EF3"/>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D03"/>
    <w:rsid w:val="005E5295"/>
    <w:rsid w:val="005E559B"/>
    <w:rsid w:val="005E5601"/>
    <w:rsid w:val="005E6D69"/>
    <w:rsid w:val="005E6EDA"/>
    <w:rsid w:val="005E70C9"/>
    <w:rsid w:val="005E75F3"/>
    <w:rsid w:val="005E78DF"/>
    <w:rsid w:val="005F035C"/>
    <w:rsid w:val="005F04F9"/>
    <w:rsid w:val="005F11D5"/>
    <w:rsid w:val="005F1A3E"/>
    <w:rsid w:val="005F1DED"/>
    <w:rsid w:val="005F20CF"/>
    <w:rsid w:val="005F2DFB"/>
    <w:rsid w:val="005F2E95"/>
    <w:rsid w:val="005F3270"/>
    <w:rsid w:val="005F3A94"/>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2696"/>
    <w:rsid w:val="006037A7"/>
    <w:rsid w:val="00604318"/>
    <w:rsid w:val="00605D4C"/>
    <w:rsid w:val="00606853"/>
    <w:rsid w:val="00607620"/>
    <w:rsid w:val="006103C7"/>
    <w:rsid w:val="0061048A"/>
    <w:rsid w:val="00612240"/>
    <w:rsid w:val="006122BA"/>
    <w:rsid w:val="006127E0"/>
    <w:rsid w:val="00613571"/>
    <w:rsid w:val="00613FF9"/>
    <w:rsid w:val="00614761"/>
    <w:rsid w:val="00616642"/>
    <w:rsid w:val="0062054F"/>
    <w:rsid w:val="00620D89"/>
    <w:rsid w:val="00622413"/>
    <w:rsid w:val="00622E11"/>
    <w:rsid w:val="00623ED1"/>
    <w:rsid w:val="006241F2"/>
    <w:rsid w:val="0062430B"/>
    <w:rsid w:val="0062440D"/>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25C5"/>
    <w:rsid w:val="006626B2"/>
    <w:rsid w:val="006627A0"/>
    <w:rsid w:val="00662ADA"/>
    <w:rsid w:val="00662D5B"/>
    <w:rsid w:val="00662E3E"/>
    <w:rsid w:val="006631B2"/>
    <w:rsid w:val="00663572"/>
    <w:rsid w:val="00663E73"/>
    <w:rsid w:val="00665314"/>
    <w:rsid w:val="00665545"/>
    <w:rsid w:val="00665A0A"/>
    <w:rsid w:val="0066678E"/>
    <w:rsid w:val="006671F1"/>
    <w:rsid w:val="00667D54"/>
    <w:rsid w:val="0067020E"/>
    <w:rsid w:val="00670BB3"/>
    <w:rsid w:val="00671615"/>
    <w:rsid w:val="00672291"/>
    <w:rsid w:val="00672874"/>
    <w:rsid w:val="006735CF"/>
    <w:rsid w:val="006739DD"/>
    <w:rsid w:val="00673B87"/>
    <w:rsid w:val="006747F5"/>
    <w:rsid w:val="00675C1D"/>
    <w:rsid w:val="00676ABB"/>
    <w:rsid w:val="006775F3"/>
    <w:rsid w:val="00677C5E"/>
    <w:rsid w:val="006801FC"/>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32BD"/>
    <w:rsid w:val="006C35A4"/>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1005"/>
    <w:rsid w:val="006F11AE"/>
    <w:rsid w:val="006F1302"/>
    <w:rsid w:val="006F1328"/>
    <w:rsid w:val="006F240B"/>
    <w:rsid w:val="006F2888"/>
    <w:rsid w:val="006F2ACF"/>
    <w:rsid w:val="006F3487"/>
    <w:rsid w:val="006F3783"/>
    <w:rsid w:val="006F38C1"/>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DC0"/>
    <w:rsid w:val="00707E42"/>
    <w:rsid w:val="00710B0C"/>
    <w:rsid w:val="00710D92"/>
    <w:rsid w:val="00711945"/>
    <w:rsid w:val="00711BF0"/>
    <w:rsid w:val="00711BF2"/>
    <w:rsid w:val="00712140"/>
    <w:rsid w:val="00712309"/>
    <w:rsid w:val="0071390F"/>
    <w:rsid w:val="00714043"/>
    <w:rsid w:val="0071526D"/>
    <w:rsid w:val="00715AE4"/>
    <w:rsid w:val="0071617F"/>
    <w:rsid w:val="00716754"/>
    <w:rsid w:val="00717C39"/>
    <w:rsid w:val="00717D88"/>
    <w:rsid w:val="00720382"/>
    <w:rsid w:val="00720E81"/>
    <w:rsid w:val="00721694"/>
    <w:rsid w:val="00721781"/>
    <w:rsid w:val="00722DAE"/>
    <w:rsid w:val="0072380E"/>
    <w:rsid w:val="00723EC9"/>
    <w:rsid w:val="007242CC"/>
    <w:rsid w:val="00724F3D"/>
    <w:rsid w:val="00725247"/>
    <w:rsid w:val="0072528C"/>
    <w:rsid w:val="007263C8"/>
    <w:rsid w:val="00726A43"/>
    <w:rsid w:val="00726C99"/>
    <w:rsid w:val="007272AE"/>
    <w:rsid w:val="00727342"/>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44CD"/>
    <w:rsid w:val="0074534C"/>
    <w:rsid w:val="0074572D"/>
    <w:rsid w:val="007457B0"/>
    <w:rsid w:val="0074610E"/>
    <w:rsid w:val="007470B4"/>
    <w:rsid w:val="007470F5"/>
    <w:rsid w:val="007474F8"/>
    <w:rsid w:val="007477AA"/>
    <w:rsid w:val="00747E15"/>
    <w:rsid w:val="00750379"/>
    <w:rsid w:val="007509BA"/>
    <w:rsid w:val="007509DC"/>
    <w:rsid w:val="00750C1B"/>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228"/>
    <w:rsid w:val="00780458"/>
    <w:rsid w:val="007808B9"/>
    <w:rsid w:val="00780AE6"/>
    <w:rsid w:val="00781873"/>
    <w:rsid w:val="007821CE"/>
    <w:rsid w:val="00782604"/>
    <w:rsid w:val="00782C79"/>
    <w:rsid w:val="00782F10"/>
    <w:rsid w:val="007830C3"/>
    <w:rsid w:val="007831BE"/>
    <w:rsid w:val="00783286"/>
    <w:rsid w:val="00783F1C"/>
    <w:rsid w:val="00784093"/>
    <w:rsid w:val="007844D7"/>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42D3"/>
    <w:rsid w:val="007946D6"/>
    <w:rsid w:val="00794B04"/>
    <w:rsid w:val="007952F2"/>
    <w:rsid w:val="007A0F68"/>
    <w:rsid w:val="007A11A9"/>
    <w:rsid w:val="007A150F"/>
    <w:rsid w:val="007A17FD"/>
    <w:rsid w:val="007A1C24"/>
    <w:rsid w:val="007A1CF3"/>
    <w:rsid w:val="007A1FE8"/>
    <w:rsid w:val="007A2CCD"/>
    <w:rsid w:val="007A2FC4"/>
    <w:rsid w:val="007A34F1"/>
    <w:rsid w:val="007A3DE1"/>
    <w:rsid w:val="007A42B4"/>
    <w:rsid w:val="007A533E"/>
    <w:rsid w:val="007A68A6"/>
    <w:rsid w:val="007A6A0A"/>
    <w:rsid w:val="007A7877"/>
    <w:rsid w:val="007B03E1"/>
    <w:rsid w:val="007B08E8"/>
    <w:rsid w:val="007B09F8"/>
    <w:rsid w:val="007B0A3C"/>
    <w:rsid w:val="007B0F45"/>
    <w:rsid w:val="007B17D8"/>
    <w:rsid w:val="007B1D77"/>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F58"/>
    <w:rsid w:val="007C383B"/>
    <w:rsid w:val="007C4875"/>
    <w:rsid w:val="007C4951"/>
    <w:rsid w:val="007C547A"/>
    <w:rsid w:val="007C62CA"/>
    <w:rsid w:val="007C65C0"/>
    <w:rsid w:val="007C66C8"/>
    <w:rsid w:val="007C6734"/>
    <w:rsid w:val="007C6842"/>
    <w:rsid w:val="007C7858"/>
    <w:rsid w:val="007D0744"/>
    <w:rsid w:val="007D1063"/>
    <w:rsid w:val="007D1446"/>
    <w:rsid w:val="007D27C6"/>
    <w:rsid w:val="007D2861"/>
    <w:rsid w:val="007D2BC8"/>
    <w:rsid w:val="007D2D96"/>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251"/>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578"/>
    <w:rsid w:val="00820D32"/>
    <w:rsid w:val="00820DB6"/>
    <w:rsid w:val="00821051"/>
    <w:rsid w:val="00821541"/>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5EA"/>
    <w:rsid w:val="00834731"/>
    <w:rsid w:val="008349C5"/>
    <w:rsid w:val="00834FD7"/>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17C"/>
    <w:rsid w:val="008834B3"/>
    <w:rsid w:val="00883943"/>
    <w:rsid w:val="008846C1"/>
    <w:rsid w:val="00885280"/>
    <w:rsid w:val="00885931"/>
    <w:rsid w:val="00885CC1"/>
    <w:rsid w:val="008864AE"/>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6206"/>
    <w:rsid w:val="008963A1"/>
    <w:rsid w:val="00896AA6"/>
    <w:rsid w:val="00896CFA"/>
    <w:rsid w:val="00896EB3"/>
    <w:rsid w:val="008970AE"/>
    <w:rsid w:val="008974F0"/>
    <w:rsid w:val="0089793D"/>
    <w:rsid w:val="008979C9"/>
    <w:rsid w:val="008A08CD"/>
    <w:rsid w:val="008A1499"/>
    <w:rsid w:val="008A1C9C"/>
    <w:rsid w:val="008A2702"/>
    <w:rsid w:val="008A341A"/>
    <w:rsid w:val="008A3484"/>
    <w:rsid w:val="008A3690"/>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6D1"/>
    <w:rsid w:val="008E3779"/>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6A51"/>
    <w:rsid w:val="008F6AA2"/>
    <w:rsid w:val="008F6F49"/>
    <w:rsid w:val="008F7081"/>
    <w:rsid w:val="008F73D6"/>
    <w:rsid w:val="00900986"/>
    <w:rsid w:val="00901511"/>
    <w:rsid w:val="00901824"/>
    <w:rsid w:val="009026F7"/>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234A"/>
    <w:rsid w:val="009128D0"/>
    <w:rsid w:val="00912C43"/>
    <w:rsid w:val="00912E94"/>
    <w:rsid w:val="009136A5"/>
    <w:rsid w:val="00913FBB"/>
    <w:rsid w:val="0091421E"/>
    <w:rsid w:val="0091688F"/>
    <w:rsid w:val="00916B80"/>
    <w:rsid w:val="00917E77"/>
    <w:rsid w:val="00920013"/>
    <w:rsid w:val="00920870"/>
    <w:rsid w:val="00920B21"/>
    <w:rsid w:val="00921165"/>
    <w:rsid w:val="009221AB"/>
    <w:rsid w:val="0092221A"/>
    <w:rsid w:val="00922A43"/>
    <w:rsid w:val="009230ED"/>
    <w:rsid w:val="009231A6"/>
    <w:rsid w:val="00923459"/>
    <w:rsid w:val="00923B24"/>
    <w:rsid w:val="00923DFD"/>
    <w:rsid w:val="00923E05"/>
    <w:rsid w:val="009243AE"/>
    <w:rsid w:val="009246EB"/>
    <w:rsid w:val="00925446"/>
    <w:rsid w:val="0092562E"/>
    <w:rsid w:val="00926167"/>
    <w:rsid w:val="00927387"/>
    <w:rsid w:val="009273C6"/>
    <w:rsid w:val="00927ECD"/>
    <w:rsid w:val="00930400"/>
    <w:rsid w:val="0093090B"/>
    <w:rsid w:val="00930BA1"/>
    <w:rsid w:val="00931285"/>
    <w:rsid w:val="0093169E"/>
    <w:rsid w:val="0093200A"/>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4472"/>
    <w:rsid w:val="00974FB7"/>
    <w:rsid w:val="00975AA8"/>
    <w:rsid w:val="00976048"/>
    <w:rsid w:val="009762E1"/>
    <w:rsid w:val="00976C57"/>
    <w:rsid w:val="00976D0B"/>
    <w:rsid w:val="00977574"/>
    <w:rsid w:val="00977CD2"/>
    <w:rsid w:val="00980EA2"/>
    <w:rsid w:val="00981A72"/>
    <w:rsid w:val="0098398A"/>
    <w:rsid w:val="00983C34"/>
    <w:rsid w:val="00984973"/>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80B"/>
    <w:rsid w:val="00993A9F"/>
    <w:rsid w:val="0099403E"/>
    <w:rsid w:val="009944F5"/>
    <w:rsid w:val="009955B9"/>
    <w:rsid w:val="009967C2"/>
    <w:rsid w:val="009967E7"/>
    <w:rsid w:val="00997242"/>
    <w:rsid w:val="0099754F"/>
    <w:rsid w:val="00997B1A"/>
    <w:rsid w:val="009A03DF"/>
    <w:rsid w:val="009A042C"/>
    <w:rsid w:val="009A0B87"/>
    <w:rsid w:val="009A0CAB"/>
    <w:rsid w:val="009A0EF8"/>
    <w:rsid w:val="009A1819"/>
    <w:rsid w:val="009A4637"/>
    <w:rsid w:val="009A4FE1"/>
    <w:rsid w:val="009A537A"/>
    <w:rsid w:val="009A5C7A"/>
    <w:rsid w:val="009A611F"/>
    <w:rsid w:val="009A74FF"/>
    <w:rsid w:val="009A75B8"/>
    <w:rsid w:val="009A7853"/>
    <w:rsid w:val="009A7D9D"/>
    <w:rsid w:val="009B0515"/>
    <w:rsid w:val="009B05E9"/>
    <w:rsid w:val="009B064D"/>
    <w:rsid w:val="009B2D5A"/>
    <w:rsid w:val="009B3DB9"/>
    <w:rsid w:val="009B43DC"/>
    <w:rsid w:val="009B54BD"/>
    <w:rsid w:val="009B5990"/>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400C"/>
    <w:rsid w:val="009E547C"/>
    <w:rsid w:val="009E59BB"/>
    <w:rsid w:val="009E5BFC"/>
    <w:rsid w:val="009E5C45"/>
    <w:rsid w:val="009E62A6"/>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E14"/>
    <w:rsid w:val="009F6161"/>
    <w:rsid w:val="009F61E4"/>
    <w:rsid w:val="009F7539"/>
    <w:rsid w:val="009F7B19"/>
    <w:rsid w:val="00A0012B"/>
    <w:rsid w:val="00A002CF"/>
    <w:rsid w:val="00A007D7"/>
    <w:rsid w:val="00A00A63"/>
    <w:rsid w:val="00A00AFD"/>
    <w:rsid w:val="00A00B36"/>
    <w:rsid w:val="00A01A16"/>
    <w:rsid w:val="00A01B01"/>
    <w:rsid w:val="00A025B9"/>
    <w:rsid w:val="00A03BD8"/>
    <w:rsid w:val="00A03F34"/>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4300"/>
    <w:rsid w:val="00A14EAE"/>
    <w:rsid w:val="00A15981"/>
    <w:rsid w:val="00A15A78"/>
    <w:rsid w:val="00A17628"/>
    <w:rsid w:val="00A1790D"/>
    <w:rsid w:val="00A17AC5"/>
    <w:rsid w:val="00A20510"/>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ECC"/>
    <w:rsid w:val="00A34B94"/>
    <w:rsid w:val="00A34FA0"/>
    <w:rsid w:val="00A36501"/>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F26"/>
    <w:rsid w:val="00A534C1"/>
    <w:rsid w:val="00A53B79"/>
    <w:rsid w:val="00A53D3B"/>
    <w:rsid w:val="00A54B59"/>
    <w:rsid w:val="00A54D26"/>
    <w:rsid w:val="00A54F4D"/>
    <w:rsid w:val="00A553A1"/>
    <w:rsid w:val="00A55BD0"/>
    <w:rsid w:val="00A55DA7"/>
    <w:rsid w:val="00A5641B"/>
    <w:rsid w:val="00A567B3"/>
    <w:rsid w:val="00A56AF3"/>
    <w:rsid w:val="00A56F7D"/>
    <w:rsid w:val="00A57F74"/>
    <w:rsid w:val="00A603B2"/>
    <w:rsid w:val="00A606E1"/>
    <w:rsid w:val="00A6197C"/>
    <w:rsid w:val="00A620ED"/>
    <w:rsid w:val="00A6212A"/>
    <w:rsid w:val="00A62E40"/>
    <w:rsid w:val="00A63C71"/>
    <w:rsid w:val="00A643D9"/>
    <w:rsid w:val="00A65012"/>
    <w:rsid w:val="00A6685A"/>
    <w:rsid w:val="00A66A7D"/>
    <w:rsid w:val="00A66FF9"/>
    <w:rsid w:val="00A67B46"/>
    <w:rsid w:val="00A71286"/>
    <w:rsid w:val="00A7173A"/>
    <w:rsid w:val="00A71C77"/>
    <w:rsid w:val="00A73B1F"/>
    <w:rsid w:val="00A73F36"/>
    <w:rsid w:val="00A73FD0"/>
    <w:rsid w:val="00A7411C"/>
    <w:rsid w:val="00A74226"/>
    <w:rsid w:val="00A74ADE"/>
    <w:rsid w:val="00A74D1E"/>
    <w:rsid w:val="00A75582"/>
    <w:rsid w:val="00A755FF"/>
    <w:rsid w:val="00A773E7"/>
    <w:rsid w:val="00A77BD4"/>
    <w:rsid w:val="00A77BDF"/>
    <w:rsid w:val="00A77F12"/>
    <w:rsid w:val="00A80015"/>
    <w:rsid w:val="00A809A7"/>
    <w:rsid w:val="00A80ADB"/>
    <w:rsid w:val="00A8155A"/>
    <w:rsid w:val="00A81648"/>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1307"/>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B8D"/>
    <w:rsid w:val="00AA3D6E"/>
    <w:rsid w:val="00AA5AB7"/>
    <w:rsid w:val="00AA693C"/>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698E"/>
    <w:rsid w:val="00AC6B31"/>
    <w:rsid w:val="00AC6CB6"/>
    <w:rsid w:val="00AC6D48"/>
    <w:rsid w:val="00AC7BCA"/>
    <w:rsid w:val="00AD00AC"/>
    <w:rsid w:val="00AD0540"/>
    <w:rsid w:val="00AD0583"/>
    <w:rsid w:val="00AD18CE"/>
    <w:rsid w:val="00AD19B1"/>
    <w:rsid w:val="00AD1C70"/>
    <w:rsid w:val="00AD27A8"/>
    <w:rsid w:val="00AD3296"/>
    <w:rsid w:val="00AD60D4"/>
    <w:rsid w:val="00AD614D"/>
    <w:rsid w:val="00AD6A71"/>
    <w:rsid w:val="00AD6AE1"/>
    <w:rsid w:val="00AD6D52"/>
    <w:rsid w:val="00AD7859"/>
    <w:rsid w:val="00AD7B8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3DD"/>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0A"/>
    <w:rsid w:val="00B02298"/>
    <w:rsid w:val="00B03180"/>
    <w:rsid w:val="00B0378E"/>
    <w:rsid w:val="00B03CD3"/>
    <w:rsid w:val="00B03EF2"/>
    <w:rsid w:val="00B04577"/>
    <w:rsid w:val="00B049E4"/>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90A"/>
    <w:rsid w:val="00B54067"/>
    <w:rsid w:val="00B54740"/>
    <w:rsid w:val="00B547A4"/>
    <w:rsid w:val="00B55093"/>
    <w:rsid w:val="00B55DA4"/>
    <w:rsid w:val="00B56015"/>
    <w:rsid w:val="00B5768A"/>
    <w:rsid w:val="00B57D70"/>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FCB"/>
    <w:rsid w:val="00B766C6"/>
    <w:rsid w:val="00B77283"/>
    <w:rsid w:val="00B77A08"/>
    <w:rsid w:val="00B77FD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1E36"/>
    <w:rsid w:val="00BD1F53"/>
    <w:rsid w:val="00BD2B03"/>
    <w:rsid w:val="00BD391F"/>
    <w:rsid w:val="00BD3C71"/>
    <w:rsid w:val="00BD4479"/>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3C9B"/>
    <w:rsid w:val="00BF3F8C"/>
    <w:rsid w:val="00BF5A6F"/>
    <w:rsid w:val="00BF657C"/>
    <w:rsid w:val="00BF698F"/>
    <w:rsid w:val="00BF6A6C"/>
    <w:rsid w:val="00BF6B1D"/>
    <w:rsid w:val="00BF7080"/>
    <w:rsid w:val="00BF7778"/>
    <w:rsid w:val="00BF79E2"/>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25A6"/>
    <w:rsid w:val="00C127F1"/>
    <w:rsid w:val="00C13868"/>
    <w:rsid w:val="00C13937"/>
    <w:rsid w:val="00C13EEC"/>
    <w:rsid w:val="00C14A1F"/>
    <w:rsid w:val="00C14A51"/>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C5"/>
    <w:rsid w:val="00C26F6A"/>
    <w:rsid w:val="00C27D14"/>
    <w:rsid w:val="00C30466"/>
    <w:rsid w:val="00C310A4"/>
    <w:rsid w:val="00C310E1"/>
    <w:rsid w:val="00C31D35"/>
    <w:rsid w:val="00C3219E"/>
    <w:rsid w:val="00C33B4F"/>
    <w:rsid w:val="00C33F5F"/>
    <w:rsid w:val="00C34125"/>
    <w:rsid w:val="00C34143"/>
    <w:rsid w:val="00C34B2C"/>
    <w:rsid w:val="00C35357"/>
    <w:rsid w:val="00C35EA6"/>
    <w:rsid w:val="00C35FD7"/>
    <w:rsid w:val="00C36642"/>
    <w:rsid w:val="00C36F01"/>
    <w:rsid w:val="00C37FC7"/>
    <w:rsid w:val="00C40014"/>
    <w:rsid w:val="00C41000"/>
    <w:rsid w:val="00C4348A"/>
    <w:rsid w:val="00C441D9"/>
    <w:rsid w:val="00C443BD"/>
    <w:rsid w:val="00C44E4B"/>
    <w:rsid w:val="00C44E87"/>
    <w:rsid w:val="00C451C5"/>
    <w:rsid w:val="00C45594"/>
    <w:rsid w:val="00C476C4"/>
    <w:rsid w:val="00C50209"/>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DD4"/>
    <w:rsid w:val="00C710BF"/>
    <w:rsid w:val="00C72A26"/>
    <w:rsid w:val="00C72F21"/>
    <w:rsid w:val="00C73108"/>
    <w:rsid w:val="00C73522"/>
    <w:rsid w:val="00C73C68"/>
    <w:rsid w:val="00C74C9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5DF6"/>
    <w:rsid w:val="00CA6157"/>
    <w:rsid w:val="00CA67CD"/>
    <w:rsid w:val="00CA6CF0"/>
    <w:rsid w:val="00CA7A20"/>
    <w:rsid w:val="00CA7F8D"/>
    <w:rsid w:val="00CB01DB"/>
    <w:rsid w:val="00CB0A56"/>
    <w:rsid w:val="00CB0D3E"/>
    <w:rsid w:val="00CB0E87"/>
    <w:rsid w:val="00CB0FCC"/>
    <w:rsid w:val="00CB1120"/>
    <w:rsid w:val="00CB14FE"/>
    <w:rsid w:val="00CB180B"/>
    <w:rsid w:val="00CB2700"/>
    <w:rsid w:val="00CB3780"/>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5707"/>
    <w:rsid w:val="00CD66B7"/>
    <w:rsid w:val="00CD7686"/>
    <w:rsid w:val="00CD78EE"/>
    <w:rsid w:val="00CE0447"/>
    <w:rsid w:val="00CE0ABC"/>
    <w:rsid w:val="00CE0ACD"/>
    <w:rsid w:val="00CE0BBB"/>
    <w:rsid w:val="00CE1060"/>
    <w:rsid w:val="00CE16CA"/>
    <w:rsid w:val="00CE1A7C"/>
    <w:rsid w:val="00CE23A6"/>
    <w:rsid w:val="00CE2806"/>
    <w:rsid w:val="00CE3C25"/>
    <w:rsid w:val="00CE3E63"/>
    <w:rsid w:val="00CE51DE"/>
    <w:rsid w:val="00CE5286"/>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100B"/>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20223"/>
    <w:rsid w:val="00D205A5"/>
    <w:rsid w:val="00D21FAB"/>
    <w:rsid w:val="00D222C3"/>
    <w:rsid w:val="00D22B3C"/>
    <w:rsid w:val="00D242FF"/>
    <w:rsid w:val="00D2447E"/>
    <w:rsid w:val="00D24C44"/>
    <w:rsid w:val="00D24E85"/>
    <w:rsid w:val="00D25AFC"/>
    <w:rsid w:val="00D26239"/>
    <w:rsid w:val="00D268F7"/>
    <w:rsid w:val="00D26ABD"/>
    <w:rsid w:val="00D27FCD"/>
    <w:rsid w:val="00D305D5"/>
    <w:rsid w:val="00D3098B"/>
    <w:rsid w:val="00D31152"/>
    <w:rsid w:val="00D31266"/>
    <w:rsid w:val="00D31724"/>
    <w:rsid w:val="00D31B6E"/>
    <w:rsid w:val="00D321A7"/>
    <w:rsid w:val="00D3258C"/>
    <w:rsid w:val="00D33EFC"/>
    <w:rsid w:val="00D34319"/>
    <w:rsid w:val="00D34346"/>
    <w:rsid w:val="00D34FE1"/>
    <w:rsid w:val="00D35485"/>
    <w:rsid w:val="00D35C1E"/>
    <w:rsid w:val="00D4012E"/>
    <w:rsid w:val="00D40B15"/>
    <w:rsid w:val="00D40DBC"/>
    <w:rsid w:val="00D418F3"/>
    <w:rsid w:val="00D42781"/>
    <w:rsid w:val="00D42C54"/>
    <w:rsid w:val="00D43883"/>
    <w:rsid w:val="00D44462"/>
    <w:rsid w:val="00D447BD"/>
    <w:rsid w:val="00D44F09"/>
    <w:rsid w:val="00D457A5"/>
    <w:rsid w:val="00D45B19"/>
    <w:rsid w:val="00D45B65"/>
    <w:rsid w:val="00D45B8C"/>
    <w:rsid w:val="00D463F2"/>
    <w:rsid w:val="00D46530"/>
    <w:rsid w:val="00D471E2"/>
    <w:rsid w:val="00D4734F"/>
    <w:rsid w:val="00D47BE5"/>
    <w:rsid w:val="00D526F5"/>
    <w:rsid w:val="00D53394"/>
    <w:rsid w:val="00D5376B"/>
    <w:rsid w:val="00D542C2"/>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27B"/>
    <w:rsid w:val="00D74772"/>
    <w:rsid w:val="00D7502A"/>
    <w:rsid w:val="00D75CA6"/>
    <w:rsid w:val="00D765F2"/>
    <w:rsid w:val="00D76A18"/>
    <w:rsid w:val="00D76A8B"/>
    <w:rsid w:val="00D76D96"/>
    <w:rsid w:val="00D76F7B"/>
    <w:rsid w:val="00D770B9"/>
    <w:rsid w:val="00D772F4"/>
    <w:rsid w:val="00D77848"/>
    <w:rsid w:val="00D77BCD"/>
    <w:rsid w:val="00D77F34"/>
    <w:rsid w:val="00D8013A"/>
    <w:rsid w:val="00D801A2"/>
    <w:rsid w:val="00D80849"/>
    <w:rsid w:val="00D81AC5"/>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BDD"/>
    <w:rsid w:val="00DB0C64"/>
    <w:rsid w:val="00DB11F6"/>
    <w:rsid w:val="00DB1686"/>
    <w:rsid w:val="00DB1723"/>
    <w:rsid w:val="00DB1E52"/>
    <w:rsid w:val="00DB1F08"/>
    <w:rsid w:val="00DB2C1A"/>
    <w:rsid w:val="00DB3A46"/>
    <w:rsid w:val="00DB3FF2"/>
    <w:rsid w:val="00DB455A"/>
    <w:rsid w:val="00DB5E0F"/>
    <w:rsid w:val="00DB62D4"/>
    <w:rsid w:val="00DB69B9"/>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33EC"/>
    <w:rsid w:val="00DE3668"/>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92C"/>
    <w:rsid w:val="00E1720A"/>
    <w:rsid w:val="00E20C33"/>
    <w:rsid w:val="00E21BAC"/>
    <w:rsid w:val="00E221C5"/>
    <w:rsid w:val="00E222BC"/>
    <w:rsid w:val="00E22AC6"/>
    <w:rsid w:val="00E22C4F"/>
    <w:rsid w:val="00E23DC7"/>
    <w:rsid w:val="00E23F9B"/>
    <w:rsid w:val="00E244ED"/>
    <w:rsid w:val="00E24DC0"/>
    <w:rsid w:val="00E2554D"/>
    <w:rsid w:val="00E2581C"/>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D06"/>
    <w:rsid w:val="00E74E7D"/>
    <w:rsid w:val="00E75170"/>
    <w:rsid w:val="00E75E31"/>
    <w:rsid w:val="00E76C9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2F1"/>
    <w:rsid w:val="00E87307"/>
    <w:rsid w:val="00E87700"/>
    <w:rsid w:val="00E87DC9"/>
    <w:rsid w:val="00E87F6B"/>
    <w:rsid w:val="00E9031A"/>
    <w:rsid w:val="00E906E8"/>
    <w:rsid w:val="00E90747"/>
    <w:rsid w:val="00E90860"/>
    <w:rsid w:val="00E9096F"/>
    <w:rsid w:val="00E90E64"/>
    <w:rsid w:val="00E922B1"/>
    <w:rsid w:val="00E92B23"/>
    <w:rsid w:val="00E92C34"/>
    <w:rsid w:val="00E93021"/>
    <w:rsid w:val="00E9318D"/>
    <w:rsid w:val="00E93F3E"/>
    <w:rsid w:val="00E95662"/>
    <w:rsid w:val="00E958AF"/>
    <w:rsid w:val="00E96035"/>
    <w:rsid w:val="00E967F5"/>
    <w:rsid w:val="00E96EAC"/>
    <w:rsid w:val="00E9722C"/>
    <w:rsid w:val="00E97C9A"/>
    <w:rsid w:val="00E97FC0"/>
    <w:rsid w:val="00EA0185"/>
    <w:rsid w:val="00EA0CC6"/>
    <w:rsid w:val="00EA21C1"/>
    <w:rsid w:val="00EA2538"/>
    <w:rsid w:val="00EA2940"/>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4EC3"/>
    <w:rsid w:val="00EC56AE"/>
    <w:rsid w:val="00EC5792"/>
    <w:rsid w:val="00EC79C5"/>
    <w:rsid w:val="00EC7B63"/>
    <w:rsid w:val="00ED0169"/>
    <w:rsid w:val="00ED0FF6"/>
    <w:rsid w:val="00ED190C"/>
    <w:rsid w:val="00ED1B64"/>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713"/>
    <w:rsid w:val="00EE3FEC"/>
    <w:rsid w:val="00EE42CA"/>
    <w:rsid w:val="00EE4B58"/>
    <w:rsid w:val="00EE4E42"/>
    <w:rsid w:val="00EE6146"/>
    <w:rsid w:val="00EE68B1"/>
    <w:rsid w:val="00EE7248"/>
    <w:rsid w:val="00EE7596"/>
    <w:rsid w:val="00EE7C0E"/>
    <w:rsid w:val="00EE7CD4"/>
    <w:rsid w:val="00EE7EDB"/>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8D3"/>
    <w:rsid w:val="00F03B2F"/>
    <w:rsid w:val="00F05529"/>
    <w:rsid w:val="00F05C5A"/>
    <w:rsid w:val="00F05CFB"/>
    <w:rsid w:val="00F063C2"/>
    <w:rsid w:val="00F064CE"/>
    <w:rsid w:val="00F06DA6"/>
    <w:rsid w:val="00F06F5F"/>
    <w:rsid w:val="00F07B4C"/>
    <w:rsid w:val="00F07CE2"/>
    <w:rsid w:val="00F106BA"/>
    <w:rsid w:val="00F10CE6"/>
    <w:rsid w:val="00F119DE"/>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5F1C"/>
    <w:rsid w:val="00F26098"/>
    <w:rsid w:val="00F260CC"/>
    <w:rsid w:val="00F2692D"/>
    <w:rsid w:val="00F26AE5"/>
    <w:rsid w:val="00F26D6F"/>
    <w:rsid w:val="00F27165"/>
    <w:rsid w:val="00F27747"/>
    <w:rsid w:val="00F27CA7"/>
    <w:rsid w:val="00F27D9D"/>
    <w:rsid w:val="00F30100"/>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E8F"/>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11A7"/>
    <w:rsid w:val="00F91A8D"/>
    <w:rsid w:val="00F91FA7"/>
    <w:rsid w:val="00F9237B"/>
    <w:rsid w:val="00F92543"/>
    <w:rsid w:val="00F92692"/>
    <w:rsid w:val="00F926F8"/>
    <w:rsid w:val="00F93A58"/>
    <w:rsid w:val="00F9401F"/>
    <w:rsid w:val="00F946E1"/>
    <w:rsid w:val="00F94774"/>
    <w:rsid w:val="00F9490F"/>
    <w:rsid w:val="00F94B76"/>
    <w:rsid w:val="00F94B7B"/>
    <w:rsid w:val="00F9559F"/>
    <w:rsid w:val="00F96542"/>
    <w:rsid w:val="00F96544"/>
    <w:rsid w:val="00F969A7"/>
    <w:rsid w:val="00F977C7"/>
    <w:rsid w:val="00F97A11"/>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B028F"/>
    <w:rsid w:val="00FB0807"/>
    <w:rsid w:val="00FB2191"/>
    <w:rsid w:val="00FB28DC"/>
    <w:rsid w:val="00FB2CCF"/>
    <w:rsid w:val="00FB3037"/>
    <w:rsid w:val="00FB38AC"/>
    <w:rsid w:val="00FB39DF"/>
    <w:rsid w:val="00FB3E12"/>
    <w:rsid w:val="00FB4396"/>
    <w:rsid w:val="00FB48B8"/>
    <w:rsid w:val="00FB4C8A"/>
    <w:rsid w:val="00FB5134"/>
    <w:rsid w:val="00FB5CB8"/>
    <w:rsid w:val="00FB5CC0"/>
    <w:rsid w:val="00FB662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55413AD6-23DE-4353-841F-1E28D520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1">
    <w:name w:val="heading 1"/>
    <w:basedOn w:val="a"/>
    <w:next w:val="2"/>
    <w:link w:val="10"/>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5C4BF9"/>
    <w:pPr>
      <w:keepNext/>
      <w:keepLines/>
      <w:numPr>
        <w:ilvl w:val="2"/>
        <w:numId w:val="5"/>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5C4BF9"/>
    <w:pPr>
      <w:keepNext/>
      <w:numPr>
        <w:ilvl w:val="3"/>
        <w:numId w:val="5"/>
      </w:numPr>
      <w:spacing w:before="120" w:after="120"/>
      <w:jc w:val="left"/>
      <w:outlineLvl w:val="3"/>
    </w:pPr>
    <w:rPr>
      <w:rFonts w:eastAsiaTheme="majorEastAsia"/>
      <w:b/>
      <w:bCs/>
    </w:rPr>
  </w:style>
  <w:style w:type="paragraph" w:styleId="5">
    <w:name w:val="heading 5"/>
    <w:basedOn w:val="a"/>
    <w:next w:val="a"/>
    <w:link w:val="50"/>
    <w:uiPriority w:val="9"/>
    <w:qFormat/>
    <w:rsid w:val="005C4BF9"/>
    <w:pPr>
      <w:keepNext/>
      <w:numPr>
        <w:ilvl w:val="4"/>
        <w:numId w:val="5"/>
      </w:numPr>
      <w:spacing w:before="120" w:after="120"/>
      <w:jc w:val="left"/>
      <w:outlineLvl w:val="4"/>
    </w:pPr>
    <w:rPr>
      <w:rFonts w:eastAsiaTheme="majorEastAsia"/>
      <w:i/>
      <w:iCs/>
    </w:rPr>
  </w:style>
  <w:style w:type="paragraph" w:styleId="6">
    <w:name w:val="heading 6"/>
    <w:basedOn w:val="a"/>
    <w:next w:val="a"/>
    <w:link w:val="60"/>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5C4BF9"/>
    <w:pPr>
      <w:keepNext/>
      <w:widowControl w:val="0"/>
      <w:numPr>
        <w:ilvl w:val="8"/>
        <w:numId w:val="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ru-RU"/>
    </w:rPr>
  </w:style>
  <w:style w:type="character" w:styleId="a6">
    <w:name w:val="Placeholder Text"/>
    <w:basedOn w:val="a0"/>
    <w:uiPriority w:val="99"/>
    <w:semiHidden/>
    <w:rsid w:val="00105372"/>
    <w:rPr>
      <w:color w:val="808080"/>
      <w:lang w:val="ru-RU"/>
    </w:rPr>
  </w:style>
  <w:style w:type="paragraph" w:styleId="a7">
    <w:name w:val="header"/>
    <w:basedOn w:val="a"/>
    <w:link w:val="a8"/>
    <w:rsid w:val="005C4BF9"/>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5C4BF9"/>
    <w:rPr>
      <w:rFonts w:ascii="Times New Roman" w:eastAsia="SimSun" w:hAnsi="Times New Roman" w:cs="Times New Roman"/>
      <w:sz w:val="20"/>
      <w:szCs w:val="22"/>
      <w:lang w:val="ru-RU"/>
    </w:rPr>
  </w:style>
  <w:style w:type="paragraph" w:styleId="a9">
    <w:name w:val="footer"/>
    <w:basedOn w:val="a"/>
    <w:link w:val="aa"/>
    <w:uiPriority w:val="99"/>
    <w:rsid w:val="005C4BF9"/>
    <w:pPr>
      <w:tabs>
        <w:tab w:val="center" w:pos="4680"/>
        <w:tab w:val="right" w:pos="9360"/>
      </w:tabs>
    </w:pPr>
    <w:rPr>
      <w:sz w:val="20"/>
    </w:rPr>
  </w:style>
  <w:style w:type="character" w:customStyle="1" w:styleId="aa">
    <w:name w:val="Нижний колонтитул Знак"/>
    <w:basedOn w:val="a0"/>
    <w:link w:val="a9"/>
    <w:uiPriority w:val="99"/>
    <w:rsid w:val="005C4BF9"/>
    <w:rPr>
      <w:rFonts w:ascii="Times New Roman" w:eastAsia="SimSun" w:hAnsi="Times New Roman" w:cs="Times New Roman"/>
      <w:sz w:val="20"/>
      <w:szCs w:val="22"/>
      <w:lang w:val="ru-RU"/>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10">
    <w:name w:val="Заголовок 1 Знак"/>
    <w:basedOn w:val="a0"/>
    <w:link w:val="1"/>
    <w:uiPriority w:val="9"/>
    <w:rsid w:val="005C4BF9"/>
    <w:rPr>
      <w:rFonts w:ascii="Times New Roman" w:eastAsiaTheme="majorEastAsia" w:hAnsi="Times New Roman" w:cstheme="majorBidi"/>
      <w:b/>
      <w:bCs/>
      <w:kern w:val="2"/>
      <w:sz w:val="28"/>
      <w:szCs w:val="32"/>
      <w:lang w:val="ru-RU"/>
      <w14:ligatures w14:val="standardContextual"/>
    </w:rPr>
  </w:style>
  <w:style w:type="paragraph" w:styleId="af">
    <w:name w:val="Body Text"/>
    <w:basedOn w:val="a"/>
    <w:link w:val="af0"/>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5C4BF9"/>
    <w:rPr>
      <w:rFonts w:eastAsiaTheme="minorHAnsi"/>
      <w:kern w:val="2"/>
      <w:sz w:val="22"/>
      <w:szCs w:val="22"/>
      <w:lang w:val="ru-RU"/>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ru-RU"/>
    </w:rPr>
  </w:style>
  <w:style w:type="character" w:styleId="af3">
    <w:name w:val="annotation reference"/>
    <w:basedOn w:val="a0"/>
    <w:uiPriority w:val="99"/>
    <w:semiHidden/>
    <w:unhideWhenUsed/>
    <w:rsid w:val="005C4BF9"/>
    <w:rPr>
      <w:sz w:val="16"/>
      <w:szCs w:val="16"/>
      <w:lang w:val="ru-RU"/>
    </w:rPr>
  </w:style>
  <w:style w:type="paragraph" w:styleId="af4">
    <w:name w:val="annotation text"/>
    <w:basedOn w:val="a"/>
    <w:link w:val="af5"/>
    <w:uiPriority w:val="99"/>
    <w:semiHidden/>
    <w:rsid w:val="005C4BF9"/>
    <w:rPr>
      <w:sz w:val="20"/>
      <w:szCs w:val="20"/>
    </w:rPr>
  </w:style>
  <w:style w:type="character" w:customStyle="1" w:styleId="af5">
    <w:name w:val="Текст примечания Знак"/>
    <w:basedOn w:val="a0"/>
    <w:link w:val="af4"/>
    <w:uiPriority w:val="99"/>
    <w:semiHidden/>
    <w:rsid w:val="005C4BF9"/>
    <w:rPr>
      <w:rFonts w:ascii="Times New Roman" w:eastAsia="SimSun" w:hAnsi="Times New Roman" w:cs="Times New Roman"/>
      <w:sz w:val="20"/>
      <w:szCs w:val="20"/>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ru-RU"/>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ru-RU"/>
    </w:rPr>
  </w:style>
  <w:style w:type="character" w:styleId="af9">
    <w:name w:val="FollowedHyperlink"/>
    <w:rsid w:val="007E09DA"/>
    <w:rPr>
      <w:color w:val="800080"/>
      <w:u w:val="single"/>
      <w:lang w:val="ru-RU"/>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5C4BF9"/>
    <w:rPr>
      <w:vertAlign w:val="superscript"/>
      <w:lang w:val="ru-RU"/>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uiPriority w:val="99"/>
    <w:unhideWhenUsed/>
    <w:rsid w:val="005C4BF9"/>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rsid w:val="005C4BF9"/>
    <w:rPr>
      <w:rFonts w:ascii="Times New Roman" w:eastAsia="SimSun" w:hAnsi="Times New Roman" w:cs="Times New Roman"/>
      <w:sz w:val="18"/>
      <w:szCs w:val="20"/>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5C4BF9"/>
    <w:rPr>
      <w:rFonts w:ascii="Times New Roman Bold" w:eastAsiaTheme="majorEastAsia" w:hAnsi="Times New Roman Bold" w:cstheme="majorBidi"/>
      <w:b/>
      <w:szCs w:val="26"/>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5C4BF9"/>
    <w:rPr>
      <w:rFonts w:ascii="Times New Roman" w:eastAsiaTheme="majorEastAsia" w:hAnsi="Times New Roman" w:cs="Times New Roman"/>
      <w:b/>
      <w:bCs/>
      <w:sz w:val="22"/>
      <w:szCs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5C4BF9"/>
    <w:rPr>
      <w:rFonts w:ascii="Times New Roman" w:eastAsiaTheme="majorEastAsia" w:hAnsi="Times New Roman" w:cs="Times New Roman"/>
      <w:b/>
      <w:bCs/>
      <w:sz w:val="22"/>
      <w:szCs w:val="22"/>
      <w:lang w:val="ru-RU"/>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5C4BF9"/>
    <w:rPr>
      <w:rFonts w:ascii="Times New Roman" w:eastAsiaTheme="majorEastAsia" w:hAnsi="Times New Roman" w:cs="Times New Roman"/>
      <w:i/>
      <w:iCs/>
      <w:sz w:val="22"/>
      <w:szCs w:val="22"/>
      <w:lang w:val="ru-RU"/>
    </w:rPr>
  </w:style>
  <w:style w:type="character" w:customStyle="1" w:styleId="60">
    <w:name w:val="Заголовок 6 Знак"/>
    <w:basedOn w:val="a0"/>
    <w:link w:val="6"/>
    <w:rsid w:val="005C4BF9"/>
    <w:rPr>
      <w:rFonts w:ascii="Times New Roman" w:eastAsia="SimSun" w:hAnsi="Times New Roman" w:cs="Times New Roman"/>
      <w:bCs/>
      <w:szCs w:val="22"/>
      <w:lang w:val="ru-RU"/>
    </w:rPr>
  </w:style>
  <w:style w:type="character" w:customStyle="1" w:styleId="70">
    <w:name w:val="Заголовок 7 Знак"/>
    <w:basedOn w:val="a0"/>
    <w:link w:val="7"/>
    <w:rsid w:val="005C4BF9"/>
    <w:rPr>
      <w:rFonts w:ascii="Times New Roman" w:eastAsia="SimSun" w:hAnsi="Times New Roman" w:cs="Times New Roman"/>
      <w:b/>
      <w:snapToGrid w:val="0"/>
      <w:sz w:val="22"/>
      <w:szCs w:val="22"/>
      <w:u w:val="single"/>
      <w:lang w:val="ru-RU"/>
    </w:rPr>
  </w:style>
  <w:style w:type="character" w:customStyle="1" w:styleId="80">
    <w:name w:val="Заголовок 8 Знак"/>
    <w:basedOn w:val="a0"/>
    <w:link w:val="8"/>
    <w:rsid w:val="005C4BF9"/>
    <w:rPr>
      <w:rFonts w:ascii="Times New Roman" w:eastAsia="SimSun" w:hAnsi="Times New Roman" w:cs="Times New Roman"/>
      <w:b/>
      <w:snapToGrid w:val="0"/>
      <w:sz w:val="22"/>
      <w:szCs w:val="22"/>
      <w:u w:val="single"/>
      <w:lang w:val="ru-RU"/>
    </w:rPr>
  </w:style>
  <w:style w:type="character" w:customStyle="1" w:styleId="90">
    <w:name w:val="Заголовок 9 Знак"/>
    <w:basedOn w:val="a0"/>
    <w:link w:val="9"/>
    <w:rsid w:val="005C4BF9"/>
    <w:rPr>
      <w:rFonts w:ascii="Times New Roman" w:eastAsia="SimSun" w:hAnsi="Times New Roman" w:cs="Times New Roman"/>
      <w:snapToGrid w:val="0"/>
      <w:sz w:val="22"/>
      <w:szCs w:val="22"/>
      <w:u w:val="single"/>
      <w:lang w:val="ru-RU"/>
    </w:rPr>
  </w:style>
  <w:style w:type="character" w:styleId="afd">
    <w:name w:val="page number"/>
    <w:rsid w:val="007E09DA"/>
    <w:rPr>
      <w:rFonts w:ascii="Times New Roman" w:hAnsi="Times New Roman"/>
      <w:sz w:val="22"/>
      <w:lang w:val="ru-RU"/>
    </w:rPr>
  </w:style>
  <w:style w:type="paragraph" w:customStyle="1" w:styleId="Para1">
    <w:name w:val="Para1"/>
    <w:basedOn w:val="a"/>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5C4BF9"/>
    <w:rPr>
      <w:rFonts w:ascii="Times New Roman" w:hAnsi="Times New Roman"/>
      <w:color w:val="0000FF" w:themeColor="hyperlink"/>
      <w:u w:val="single"/>
      <w:lang w:val="ru-RU"/>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5C4BF9"/>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5C4BF9"/>
    <w:rPr>
      <w:rFonts w:ascii="Simplified Arabic" w:eastAsia="Times New Roman" w:hAnsi="Simplified Arabic" w:cs="Simplified Arabic"/>
      <w:noProof/>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afb"/>
    <w:semiHidden/>
    <w:qFormat/>
    <w:rsid w:val="005C4BF9"/>
    <w:rPr>
      <w:szCs w:val="18"/>
    </w:rPr>
  </w:style>
  <w:style w:type="paragraph" w:customStyle="1" w:styleId="Annex">
    <w:name w:val="Annex"/>
    <w:basedOn w:val="a"/>
    <w:semiHidden/>
    <w:qFormat/>
    <w:rsid w:val="005C4BF9"/>
    <w:pPr>
      <w:spacing w:after="240"/>
    </w:pPr>
    <w:rPr>
      <w:b/>
      <w:sz w:val="28"/>
    </w:rPr>
  </w:style>
  <w:style w:type="paragraph" w:customStyle="1" w:styleId="ABSymbol">
    <w:name w:val="AB_Symbol"/>
    <w:basedOn w:val="a"/>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a"/>
    <w:unhideWhenUsed/>
    <w:rsid w:val="005C4BF9"/>
    <w:pPr>
      <w:jc w:val="left"/>
    </w:pPr>
  </w:style>
  <w:style w:type="paragraph" w:customStyle="1" w:styleId="AEDistrNormal">
    <w:name w:val="AE_DistrNormal"/>
    <w:basedOn w:val="a"/>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aff3">
    <w:name w:val="annotation subject"/>
    <w:basedOn w:val="af4"/>
    <w:next w:val="af4"/>
    <w:link w:val="aff4"/>
    <w:uiPriority w:val="99"/>
    <w:semiHidden/>
    <w:unhideWhenUsed/>
    <w:rsid w:val="005C4BF9"/>
    <w:rPr>
      <w:b/>
      <w:bCs/>
    </w:rPr>
  </w:style>
  <w:style w:type="character" w:customStyle="1" w:styleId="aff4">
    <w:name w:val="Тема примечания Знак"/>
    <w:basedOn w:val="af5"/>
    <w:link w:val="aff3"/>
    <w:uiPriority w:val="99"/>
    <w:semiHidden/>
    <w:rsid w:val="005C4BF9"/>
    <w:rPr>
      <w:rFonts w:ascii="Times New Roman" w:eastAsia="SimSun" w:hAnsi="Times New Roman" w:cs="Times New Roman"/>
      <w:b/>
      <w:bCs/>
      <w:sz w:val="20"/>
      <w:szCs w:val="20"/>
      <w:lang w:val="ru-RU"/>
    </w:rPr>
  </w:style>
  <w:style w:type="paragraph" w:customStyle="1" w:styleId="Item">
    <w:name w:val="Item"/>
    <w:basedOn w:val="a"/>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aff5">
    <w:name w:val="List"/>
    <w:basedOn w:val="a"/>
    <w:semiHidden/>
    <w:rsid w:val="005C4BF9"/>
    <w:pPr>
      <w:contextualSpacing/>
    </w:pPr>
  </w:style>
  <w:style w:type="numbering" w:customStyle="1" w:styleId="ListCBD">
    <w:name w:val="ListCBD"/>
    <w:basedOn w:val="a2"/>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a"/>
    <w:unhideWhenUsed/>
    <w:qFormat/>
    <w:rsid w:val="005C4BF9"/>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a"/>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a"/>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ru-RU"/>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ru-RU"/>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ru-RU"/>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ru-RU"/>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ru-RU"/>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ru-RU"/>
    </w:rPr>
  </w:style>
  <w:style w:type="character" w:styleId="affa">
    <w:name w:val="Book Title"/>
    <w:basedOn w:val="a0"/>
    <w:uiPriority w:val="33"/>
    <w:qFormat/>
    <w:rsid w:val="00A111D1"/>
    <w:rPr>
      <w:b/>
      <w:bCs/>
      <w:i/>
      <w:iCs/>
      <w:spacing w:val="5"/>
      <w:lang w:val="ru-RU"/>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ru-RU"/>
    </w:rPr>
  </w:style>
  <w:style w:type="table" w:styleId="affd">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ru-RU"/>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ru-RU"/>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ru-RU"/>
    </w:rPr>
  </w:style>
  <w:style w:type="character" w:styleId="afff7">
    <w:name w:val="Emphasis"/>
    <w:basedOn w:val="a0"/>
    <w:uiPriority w:val="20"/>
    <w:qFormat/>
    <w:rsid w:val="00A111D1"/>
    <w:rPr>
      <w:i/>
      <w:iCs/>
      <w:lang w:val="ru-RU"/>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styleId="-13">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3">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3">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9">
    <w:name w:val="Hashtag"/>
    <w:basedOn w:val="a0"/>
    <w:uiPriority w:val="99"/>
    <w:semiHidden/>
    <w:unhideWhenUsed/>
    <w:rsid w:val="00A111D1"/>
    <w:rPr>
      <w:color w:val="2B579A"/>
      <w:shd w:val="clear" w:color="auto" w:fill="E1DFDD"/>
      <w:lang w:val="ru-RU"/>
    </w:rPr>
  </w:style>
  <w:style w:type="character" w:styleId="HTML">
    <w:name w:val="HTML Acronym"/>
    <w:basedOn w:val="a0"/>
    <w:uiPriority w:val="99"/>
    <w:semiHidden/>
    <w:unhideWhenUsed/>
    <w:rsid w:val="00A111D1"/>
    <w:rPr>
      <w:lang w:val="ru-RU"/>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ru-RU"/>
    </w:rPr>
  </w:style>
  <w:style w:type="character" w:styleId="HTML2">
    <w:name w:val="HTML Cite"/>
    <w:basedOn w:val="a0"/>
    <w:uiPriority w:val="99"/>
    <w:semiHidden/>
    <w:unhideWhenUsed/>
    <w:rsid w:val="00A111D1"/>
    <w:rPr>
      <w:i/>
      <w:iCs/>
      <w:lang w:val="ru-RU"/>
    </w:rPr>
  </w:style>
  <w:style w:type="character" w:styleId="HTML3">
    <w:name w:val="HTML Code"/>
    <w:basedOn w:val="a0"/>
    <w:uiPriority w:val="99"/>
    <w:semiHidden/>
    <w:unhideWhenUsed/>
    <w:rsid w:val="00A111D1"/>
    <w:rPr>
      <w:rFonts w:ascii="Consolas" w:hAnsi="Consolas"/>
      <w:sz w:val="20"/>
      <w:szCs w:val="20"/>
      <w:lang w:val="ru-RU"/>
    </w:rPr>
  </w:style>
  <w:style w:type="character" w:styleId="HTML4">
    <w:name w:val="HTML Definition"/>
    <w:basedOn w:val="a0"/>
    <w:uiPriority w:val="99"/>
    <w:semiHidden/>
    <w:unhideWhenUsed/>
    <w:rsid w:val="00A111D1"/>
    <w:rPr>
      <w:i/>
      <w:iCs/>
      <w:lang w:val="ru-RU"/>
    </w:rPr>
  </w:style>
  <w:style w:type="character" w:styleId="HTML5">
    <w:name w:val="HTML Keyboard"/>
    <w:basedOn w:val="a0"/>
    <w:uiPriority w:val="99"/>
    <w:semiHidden/>
    <w:unhideWhenUsed/>
    <w:rsid w:val="00A111D1"/>
    <w:rPr>
      <w:rFonts w:ascii="Consolas" w:hAnsi="Consolas"/>
      <w:sz w:val="20"/>
      <w:szCs w:val="20"/>
      <w:lang w:val="ru-RU"/>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ru-RU"/>
    </w:rPr>
  </w:style>
  <w:style w:type="character" w:styleId="HTML8">
    <w:name w:val="HTML Sample"/>
    <w:basedOn w:val="a0"/>
    <w:uiPriority w:val="99"/>
    <w:semiHidden/>
    <w:unhideWhenUsed/>
    <w:rsid w:val="00A111D1"/>
    <w:rPr>
      <w:rFonts w:ascii="Consolas" w:hAnsi="Consolas"/>
      <w:sz w:val="24"/>
      <w:szCs w:val="24"/>
      <w:lang w:val="ru-RU"/>
    </w:rPr>
  </w:style>
  <w:style w:type="character" w:styleId="HTML9">
    <w:name w:val="HTML Typewriter"/>
    <w:basedOn w:val="a0"/>
    <w:uiPriority w:val="99"/>
    <w:semiHidden/>
    <w:unhideWhenUsed/>
    <w:rsid w:val="00A111D1"/>
    <w:rPr>
      <w:rFonts w:ascii="Consolas" w:hAnsi="Consolas"/>
      <w:sz w:val="20"/>
      <w:szCs w:val="20"/>
      <w:lang w:val="ru-RU"/>
    </w:rPr>
  </w:style>
  <w:style w:type="character" w:styleId="HTMLa">
    <w:name w:val="HTML Variable"/>
    <w:basedOn w:val="a0"/>
    <w:uiPriority w:val="99"/>
    <w:semiHidden/>
    <w:unhideWhenUsed/>
    <w:rsid w:val="00A111D1"/>
    <w:rPr>
      <w:i/>
      <w:iCs/>
      <w:lang w:val="ru-RU"/>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a">
    <w:name w:val="index heading"/>
    <w:basedOn w:val="a"/>
    <w:next w:val="12"/>
    <w:uiPriority w:val="99"/>
    <w:semiHidden/>
    <w:unhideWhenUsed/>
    <w:rsid w:val="00A111D1"/>
    <w:rPr>
      <w:rFonts w:asciiTheme="majorHAnsi" w:eastAsiaTheme="majorEastAsia" w:hAnsiTheme="majorHAnsi" w:cstheme="majorBidi"/>
      <w:b/>
      <w:bCs/>
    </w:rPr>
  </w:style>
  <w:style w:type="character" w:styleId="afffb">
    <w:name w:val="Intense Emphasis"/>
    <w:basedOn w:val="a0"/>
    <w:uiPriority w:val="21"/>
    <w:qFormat/>
    <w:rsid w:val="00A111D1"/>
    <w:rPr>
      <w:i/>
      <w:iCs/>
      <w:color w:val="4F81BD" w:themeColor="accent1"/>
      <w:lang w:val="ru-RU"/>
    </w:rPr>
  </w:style>
  <w:style w:type="paragraph" w:styleId="afffc">
    <w:name w:val="Intense Quote"/>
    <w:basedOn w:val="a"/>
    <w:next w:val="a"/>
    <w:link w:val="afffd"/>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Выделенная цитата Знак"/>
    <w:basedOn w:val="a0"/>
    <w:link w:val="afffc"/>
    <w:uiPriority w:val="30"/>
    <w:rsid w:val="00A111D1"/>
    <w:rPr>
      <w:rFonts w:ascii="Times New Roman" w:eastAsia="SimSun" w:hAnsi="Times New Roman" w:cs="Times New Roman"/>
      <w:i/>
      <w:iCs/>
      <w:color w:val="4F81BD" w:themeColor="accent1"/>
      <w:sz w:val="22"/>
      <w:szCs w:val="22"/>
      <w:lang w:val="ru-RU"/>
    </w:rPr>
  </w:style>
  <w:style w:type="character" w:styleId="afffe">
    <w:name w:val="Intense Reference"/>
    <w:basedOn w:val="a0"/>
    <w:uiPriority w:val="32"/>
    <w:qFormat/>
    <w:rsid w:val="00A111D1"/>
    <w:rPr>
      <w:b/>
      <w:bCs/>
      <w:smallCaps/>
      <w:color w:val="4F81BD" w:themeColor="accent1"/>
      <w:spacing w:val="5"/>
      <w:lang w:val="ru-RU"/>
    </w:rPr>
  </w:style>
  <w:style w:type="table" w:styleId="affff">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7">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7">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7">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7">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8">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8">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8">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9">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9">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9">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9">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9">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0"/>
    <w:uiPriority w:val="99"/>
    <w:semiHidden/>
    <w:unhideWhenUsed/>
    <w:rsid w:val="00A111D1"/>
    <w:rPr>
      <w:lang w:val="ru-RU"/>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3">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4">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5">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styleId="-1a">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1">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1">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a">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a">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1">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1">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a">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1">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1">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a">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1">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1">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0">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affff7">
    <w:name w:val="Текст макроса Знак"/>
    <w:basedOn w:val="a0"/>
    <w:link w:val="affff6"/>
    <w:uiPriority w:val="99"/>
    <w:semiHidden/>
    <w:rsid w:val="00A111D1"/>
    <w:rPr>
      <w:rFonts w:ascii="Consolas" w:eastAsia="SimSun" w:hAnsi="Consolas" w:cs="Times New Roman"/>
      <w:sz w:val="20"/>
      <w:szCs w:val="20"/>
      <w:lang w:val="ru-RU"/>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8">
    <w:name w:val="Mention"/>
    <w:basedOn w:val="a0"/>
    <w:uiPriority w:val="99"/>
    <w:semiHidden/>
    <w:unhideWhenUsed/>
    <w:rsid w:val="00A111D1"/>
    <w:rPr>
      <w:color w:val="2B579A"/>
      <w:shd w:val="clear" w:color="auto" w:fill="E1DFDD"/>
      <w:lang w:val="ru-RU"/>
    </w:rPr>
  </w:style>
  <w:style w:type="paragraph" w:styleId="affff9">
    <w:name w:val="Message Header"/>
    <w:basedOn w:val="a"/>
    <w:link w:val="affffa"/>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a">
    <w:name w:val="Шапка Знак"/>
    <w:basedOn w:val="a0"/>
    <w:link w:val="affff9"/>
    <w:uiPriority w:val="99"/>
    <w:semiHidden/>
    <w:rsid w:val="00A111D1"/>
    <w:rPr>
      <w:rFonts w:asciiTheme="majorHAnsi" w:eastAsiaTheme="majorEastAsia" w:hAnsiTheme="majorHAnsi" w:cstheme="majorBidi"/>
      <w:shd w:val="pct20" w:color="auto" w:fill="auto"/>
      <w:lang w:val="ru-RU"/>
    </w:rPr>
  </w:style>
  <w:style w:type="paragraph" w:styleId="affffb">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affffc">
    <w:name w:val="Normal (Web)"/>
    <w:basedOn w:val="a"/>
    <w:uiPriority w:val="99"/>
    <w:unhideWhenUsed/>
    <w:rsid w:val="00A111D1"/>
    <w:rPr>
      <w:sz w:val="24"/>
      <w:szCs w:val="24"/>
    </w:rPr>
  </w:style>
  <w:style w:type="paragraph" w:styleId="affffd">
    <w:name w:val="Normal Indent"/>
    <w:basedOn w:val="a"/>
    <w:uiPriority w:val="99"/>
    <w:semiHidden/>
    <w:unhideWhenUsed/>
    <w:rsid w:val="00A111D1"/>
    <w:pPr>
      <w:ind w:left="720"/>
    </w:pPr>
  </w:style>
  <w:style w:type="paragraph" w:styleId="affffe">
    <w:name w:val="Note Heading"/>
    <w:basedOn w:val="a"/>
    <w:next w:val="a"/>
    <w:link w:val="afffff"/>
    <w:uiPriority w:val="99"/>
    <w:semiHidden/>
    <w:unhideWhenUsed/>
    <w:rsid w:val="00A111D1"/>
  </w:style>
  <w:style w:type="character" w:customStyle="1" w:styleId="afffff">
    <w:name w:val="Заголовок записки Знак"/>
    <w:basedOn w:val="a0"/>
    <w:link w:val="affffe"/>
    <w:uiPriority w:val="99"/>
    <w:semiHidden/>
    <w:rsid w:val="00A111D1"/>
    <w:rPr>
      <w:rFonts w:ascii="Times New Roman" w:eastAsia="SimSun" w:hAnsi="Times New Roman" w:cs="Times New Roman"/>
      <w:sz w:val="22"/>
      <w:szCs w:val="22"/>
      <w:lang w:val="ru-RU"/>
    </w:rPr>
  </w:style>
  <w:style w:type="table" w:styleId="16">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
    <w:link w:val="afffff1"/>
    <w:uiPriority w:val="99"/>
    <w:semiHidden/>
    <w:unhideWhenUsed/>
    <w:rsid w:val="00A111D1"/>
    <w:rPr>
      <w:rFonts w:ascii="Consolas" w:hAnsi="Consolas"/>
      <w:sz w:val="21"/>
      <w:szCs w:val="21"/>
    </w:rPr>
  </w:style>
  <w:style w:type="character" w:customStyle="1" w:styleId="afffff1">
    <w:name w:val="Текст Знак"/>
    <w:basedOn w:val="a0"/>
    <w:link w:val="afffff0"/>
    <w:uiPriority w:val="99"/>
    <w:semiHidden/>
    <w:rsid w:val="00A111D1"/>
    <w:rPr>
      <w:rFonts w:ascii="Consolas" w:eastAsia="SimSun" w:hAnsi="Consolas" w:cs="Times New Roman"/>
      <w:sz w:val="21"/>
      <w:szCs w:val="21"/>
      <w:lang w:val="ru-RU"/>
    </w:rPr>
  </w:style>
  <w:style w:type="paragraph" w:styleId="2f2">
    <w:name w:val="Quote"/>
    <w:basedOn w:val="a"/>
    <w:next w:val="a"/>
    <w:link w:val="2f3"/>
    <w:uiPriority w:val="29"/>
    <w:qFormat/>
    <w:rsid w:val="00A111D1"/>
    <w:pPr>
      <w:spacing w:before="200" w:after="160"/>
      <w:ind w:left="864" w:right="864"/>
      <w:jc w:val="center"/>
    </w:pPr>
    <w:rPr>
      <w:i/>
      <w:iCs/>
      <w:color w:val="404040" w:themeColor="text1" w:themeTint="BF"/>
    </w:rPr>
  </w:style>
  <w:style w:type="character" w:customStyle="1" w:styleId="2f3">
    <w:name w:val="Цитата 2 Знак"/>
    <w:basedOn w:val="a0"/>
    <w:link w:val="2f2"/>
    <w:uiPriority w:val="29"/>
    <w:rsid w:val="00A111D1"/>
    <w:rPr>
      <w:rFonts w:ascii="Times New Roman" w:eastAsia="SimSun" w:hAnsi="Times New Roman" w:cs="Times New Roman"/>
      <w:i/>
      <w:iCs/>
      <w:color w:val="404040" w:themeColor="text1" w:themeTint="BF"/>
      <w:sz w:val="22"/>
      <w:szCs w:val="22"/>
      <w:lang w:val="ru-RU"/>
    </w:rPr>
  </w:style>
  <w:style w:type="paragraph" w:styleId="afffff2">
    <w:name w:val="Salutation"/>
    <w:basedOn w:val="a"/>
    <w:next w:val="a"/>
    <w:link w:val="afffff3"/>
    <w:uiPriority w:val="99"/>
    <w:semiHidden/>
    <w:unhideWhenUsed/>
    <w:rsid w:val="00A111D1"/>
  </w:style>
  <w:style w:type="character" w:customStyle="1" w:styleId="afffff3">
    <w:name w:val="Приветствие Знак"/>
    <w:basedOn w:val="a0"/>
    <w:link w:val="afffff2"/>
    <w:uiPriority w:val="99"/>
    <w:semiHidden/>
    <w:rsid w:val="00A111D1"/>
    <w:rPr>
      <w:rFonts w:ascii="Times New Roman" w:eastAsia="SimSun" w:hAnsi="Times New Roman" w:cs="Times New Roman"/>
      <w:sz w:val="22"/>
      <w:szCs w:val="22"/>
      <w:lang w:val="ru-RU"/>
    </w:rPr>
  </w:style>
  <w:style w:type="paragraph" w:styleId="afffff4">
    <w:name w:val="Signature"/>
    <w:basedOn w:val="a"/>
    <w:link w:val="afffff5"/>
    <w:uiPriority w:val="99"/>
    <w:semiHidden/>
    <w:unhideWhenUsed/>
    <w:rsid w:val="00A111D1"/>
    <w:pPr>
      <w:ind w:left="4252"/>
    </w:pPr>
  </w:style>
  <w:style w:type="character" w:customStyle="1" w:styleId="afffff5">
    <w:name w:val="Подпись Знак"/>
    <w:basedOn w:val="a0"/>
    <w:link w:val="afffff4"/>
    <w:uiPriority w:val="99"/>
    <w:semiHidden/>
    <w:rsid w:val="00A111D1"/>
    <w:rPr>
      <w:rFonts w:ascii="Times New Roman" w:eastAsia="SimSun" w:hAnsi="Times New Roman" w:cs="Times New Roman"/>
      <w:sz w:val="22"/>
      <w:szCs w:val="22"/>
      <w:lang w:val="ru-RU"/>
    </w:rPr>
  </w:style>
  <w:style w:type="character" w:styleId="-">
    <w:name w:val="Smart Hyperlink"/>
    <w:basedOn w:val="a0"/>
    <w:uiPriority w:val="99"/>
    <w:semiHidden/>
    <w:unhideWhenUsed/>
    <w:rsid w:val="00A111D1"/>
    <w:rPr>
      <w:u w:val="dotted"/>
      <w:lang w:val="ru-RU"/>
    </w:rPr>
  </w:style>
  <w:style w:type="character" w:styleId="-0">
    <w:name w:val="Smart Link"/>
    <w:basedOn w:val="a0"/>
    <w:uiPriority w:val="99"/>
    <w:semiHidden/>
    <w:unhideWhenUsed/>
    <w:rsid w:val="00A111D1"/>
    <w:rPr>
      <w:color w:val="0000FF"/>
      <w:u w:val="single"/>
      <w:shd w:val="clear" w:color="auto" w:fill="F3F2F1"/>
      <w:lang w:val="ru-RU"/>
    </w:rPr>
  </w:style>
  <w:style w:type="character" w:styleId="afffff6">
    <w:name w:val="Strong"/>
    <w:basedOn w:val="a0"/>
    <w:uiPriority w:val="22"/>
    <w:qFormat/>
    <w:rsid w:val="00A111D1"/>
    <w:rPr>
      <w:b/>
      <w:bCs/>
      <w:lang w:val="ru-RU"/>
    </w:rPr>
  </w:style>
  <w:style w:type="character" w:styleId="afffff7">
    <w:name w:val="Subtle Emphasis"/>
    <w:basedOn w:val="a0"/>
    <w:uiPriority w:val="19"/>
    <w:qFormat/>
    <w:rsid w:val="00A111D1"/>
    <w:rPr>
      <w:i/>
      <w:iCs/>
      <w:color w:val="404040" w:themeColor="text1" w:themeTint="BF"/>
      <w:lang w:val="ru-RU"/>
    </w:rPr>
  </w:style>
  <w:style w:type="character" w:styleId="afffff8">
    <w:name w:val="Subtle Reference"/>
    <w:basedOn w:val="a0"/>
    <w:uiPriority w:val="31"/>
    <w:qFormat/>
    <w:rsid w:val="00A111D1"/>
    <w:rPr>
      <w:smallCaps/>
      <w:color w:val="5A5A5A" w:themeColor="text1" w:themeTint="A5"/>
      <w:lang w:val="ru-RU"/>
    </w:rPr>
  </w:style>
  <w:style w:type="table" w:styleId="17">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9">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a">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c">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d">
    <w:name w:val="table of figures"/>
    <w:basedOn w:val="a"/>
    <w:next w:val="a"/>
    <w:uiPriority w:val="99"/>
    <w:semiHidden/>
    <w:unhideWhenUsed/>
    <w:rsid w:val="00A111D1"/>
    <w:pPr>
      <w:tabs>
        <w:tab w:val="clear" w:pos="567"/>
        <w:tab w:val="clear" w:pos="1134"/>
        <w:tab w:val="clear" w:pos="1701"/>
        <w:tab w:val="clear" w:pos="2268"/>
      </w:tabs>
    </w:pPr>
  </w:style>
  <w:style w:type="table" w:styleId="afffffe">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0">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affffff1">
    <w:name w:val="Unresolved Mention"/>
    <w:basedOn w:val="a0"/>
    <w:uiPriority w:val="99"/>
    <w:semiHidden/>
    <w:unhideWhenUsed/>
    <w:rsid w:val="00A111D1"/>
    <w:rPr>
      <w:color w:val="605E5C"/>
      <w:shd w:val="clear" w:color="auto" w:fill="E1DFDD"/>
      <w:lang w:val="ru-RU"/>
    </w:rPr>
  </w:style>
  <w:style w:type="paragraph" w:customStyle="1" w:styleId="CBDAgendaItemReport">
    <w:name w:val="CBD_AgendaItem_Report"/>
    <w:basedOn w:val="a"/>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rPr>
  </w:style>
  <w:style w:type="paragraph" w:customStyle="1" w:styleId="CBDpara-item">
    <w:name w:val="CBD_para-item"/>
    <w:basedOn w:val="a"/>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a"/>
    <w:qFormat/>
    <w:rsid w:val="005C4BF9"/>
    <w:pPr>
      <w:spacing w:after="120"/>
      <w:ind w:left="567"/>
    </w:pPr>
  </w:style>
  <w:style w:type="paragraph" w:customStyle="1" w:styleId="Para10">
    <w:name w:val="Para 1"/>
    <w:basedOn w:val="a"/>
    <w:qFormat/>
    <w:rsid w:val="00054726"/>
    <w:pPr>
      <w:tabs>
        <w:tab w:val="num" w:pos="643"/>
      </w:tabs>
      <w:spacing w:before="120" w:after="120"/>
      <w:ind w:left="643"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recommendations/sbi/?m=sbi-04" TargetMode="External"/><Relationship Id="rId26" Type="http://schemas.openxmlformats.org/officeDocument/2006/relationships/hyperlink" Target="https://www.cbd.int/recommendations/sbi/?m=sbi-04" TargetMode="External"/><Relationship Id="rId39" Type="http://schemas.openxmlformats.org/officeDocument/2006/relationships/fontTable" Target="fontTable.xml"/><Relationship Id="rId21" Type="http://schemas.openxmlformats.org/officeDocument/2006/relationships/hyperlink" Target="https://www.cbd.int/doc/notifications/2025/ntf-2025-066-fm-en.pdf" TargetMode="External"/><Relationship Id="rId34" Type="http://schemas.openxmlformats.org/officeDocument/2006/relationships/hyperlink" Target="https://www.cbd.int/doc/decisions/cop-03/full/cop-03-dec-ru.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10-fm-en.pdf" TargetMode="External"/><Relationship Id="rId28" Type="http://schemas.openxmlformats.org/officeDocument/2006/relationships/hyperlink" Target="https://www.cbd.int/decisions/cop?m=cop-14"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uments/CBD/COP/16/6/REV1"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86-fm-en.pdf" TargetMode="External"/><Relationship Id="rId27" Type="http://schemas.openxmlformats.org/officeDocument/2006/relationships/hyperlink" Target="https://www.cbd.int/recommendations/sbi/?m=sbi-04"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6/INF/13" TargetMode="External"/><Relationship Id="rId33" Type="http://schemas.openxmlformats.org/officeDocument/2006/relationships/hyperlink" Target="https://www.cbd.int/doc/decisions/cop-03/full/cop-03-dec-ru.pdf"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www.cbd.int/doc/interventions/6717c9819a0ecc27c502d552/GEF%20Financial%20Mechanism.docx" TargetMode="External"/><Relationship Id="rId1" Type="http://schemas.openxmlformats.org/officeDocument/2006/relationships/hyperlink" Target="https://www.cbd.int/documents/CBD/SBI/6/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34173"/>
    <w:rsid w:val="000B6397"/>
    <w:rsid w:val="00183C7F"/>
    <w:rsid w:val="00192339"/>
    <w:rsid w:val="002012F2"/>
    <w:rsid w:val="00290BF7"/>
    <w:rsid w:val="002C57DD"/>
    <w:rsid w:val="00390FA0"/>
    <w:rsid w:val="004B22EC"/>
    <w:rsid w:val="005F3270"/>
    <w:rsid w:val="005F68DD"/>
    <w:rsid w:val="0062440D"/>
    <w:rsid w:val="00636C6B"/>
    <w:rsid w:val="0074349B"/>
    <w:rsid w:val="007D540B"/>
    <w:rsid w:val="00804EFB"/>
    <w:rsid w:val="00855BE1"/>
    <w:rsid w:val="008B6132"/>
    <w:rsid w:val="009455ED"/>
    <w:rsid w:val="00986D50"/>
    <w:rsid w:val="009A042C"/>
    <w:rsid w:val="009B3DB9"/>
    <w:rsid w:val="00A56AF3"/>
    <w:rsid w:val="00A71656"/>
    <w:rsid w:val="00A91917"/>
    <w:rsid w:val="00B249DE"/>
    <w:rsid w:val="00BA7097"/>
    <w:rsid w:val="00C43AF3"/>
    <w:rsid w:val="00DB0951"/>
    <w:rsid w:val="00E61933"/>
    <w:rsid w:val="00EA64F9"/>
    <w:rsid w:val="00F80E13"/>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4552DD-7EF7-4335-96F3-97F33143DD15}">
  <we:reference id="wa200007708" version="1.3.0.0" store="ru-RU" storeType="OMEX"/>
  <we:alternateReferences>
    <we:reference id="wa200007708" version="1.3.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5F66D888-8C65-44B6-8A18-4DA20BA76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E96366-1A12-4C0D-9E65-84880EFE360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15</Pages>
  <Words>6257</Words>
  <Characters>35665</Characters>
  <Application>Microsoft Office Word</Application>
  <DocSecurity>0</DocSecurity>
  <Lines>297</Lines>
  <Paragraphs>83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vt:lpstr>
      <vt:lpstr>Financial mechanism</vt:lpstr>
    </vt:vector>
  </TitlesOfParts>
  <Company/>
  <LinksUpToDate>false</LinksUpToDate>
  <CharactersWithSpaces>41839</CharactersWithSpaces>
  <SharedDoc>false</SharedDoc>
  <HLinks>
    <vt:vector size="156" baseType="variant">
      <vt:variant>
        <vt:i4>3145838</vt:i4>
      </vt:variant>
      <vt:variant>
        <vt:i4>66</vt:i4>
      </vt:variant>
      <vt:variant>
        <vt:i4>0</vt:i4>
      </vt:variant>
      <vt:variant>
        <vt:i4>5</vt:i4>
      </vt:variant>
      <vt:variant>
        <vt:lpwstr>https://www.cbd.int/decisions/?id=7104</vt:lpwstr>
      </vt:variant>
      <vt:variant>
        <vt:lpwstr/>
      </vt:variant>
      <vt:variant>
        <vt:i4>7602220</vt:i4>
      </vt:variant>
      <vt:variant>
        <vt:i4>63</vt:i4>
      </vt:variant>
      <vt:variant>
        <vt:i4>0</vt:i4>
      </vt:variant>
      <vt:variant>
        <vt:i4>5</vt:i4>
      </vt:variant>
      <vt:variant>
        <vt:lpwstr>http://www.cbd.int/decisions/?m=cop-03&amp;n=08</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3342446</vt:i4>
      </vt:variant>
      <vt:variant>
        <vt:i4>48</vt:i4>
      </vt:variant>
      <vt:variant>
        <vt:i4>0</vt:i4>
      </vt:variant>
      <vt:variant>
        <vt:i4>5</vt:i4>
      </vt:variant>
      <vt:variant>
        <vt:lpwstr>https://www.cbd.int/decisions/?id=13659</vt:lpwstr>
      </vt:variant>
      <vt:variant>
        <vt:lpwstr/>
      </vt:variant>
      <vt:variant>
        <vt:i4>983064</vt:i4>
      </vt:variant>
      <vt:variant>
        <vt:i4>45</vt:i4>
      </vt:variant>
      <vt:variant>
        <vt:i4>0</vt:i4>
      </vt:variant>
      <vt:variant>
        <vt:i4>5</vt:i4>
      </vt:variant>
      <vt:variant>
        <vt:lpwstr>https://www.cbd.int/recommendations/sbi/?m=sbi-04</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3932216</vt:i4>
      </vt:variant>
      <vt:variant>
        <vt:i4>30</vt:i4>
      </vt:variant>
      <vt:variant>
        <vt:i4>0</vt:i4>
      </vt:variant>
      <vt:variant>
        <vt:i4>5</vt:i4>
      </vt:variant>
      <vt:variant>
        <vt:lpwstr>https://www.cbd.int/documents/CBD/SBI/6/INF/13</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6094861</vt:i4>
      </vt:variant>
      <vt:variant>
        <vt:i4>24</vt:i4>
      </vt:variant>
      <vt:variant>
        <vt:i4>0</vt:i4>
      </vt:variant>
      <vt:variant>
        <vt:i4>5</vt:i4>
      </vt:variant>
      <vt:variant>
        <vt:lpwstr>https://www.cbd.int/doc/notifications/2025/ntf-2025-110-fm-en.pdf</vt:lpwstr>
      </vt:variant>
      <vt:variant>
        <vt:lpwstr/>
      </vt:variant>
      <vt:variant>
        <vt:i4>5505034</vt:i4>
      </vt:variant>
      <vt:variant>
        <vt:i4>21</vt:i4>
      </vt:variant>
      <vt:variant>
        <vt:i4>0</vt:i4>
      </vt:variant>
      <vt:variant>
        <vt:i4>5</vt:i4>
      </vt:variant>
      <vt:variant>
        <vt:lpwstr>https://www.cbd.int/doc/notifications/2025/ntf-2025-086-fm-en.pdf</vt:lpwstr>
      </vt:variant>
      <vt:variant>
        <vt:lpwstr/>
      </vt:variant>
      <vt:variant>
        <vt:i4>5898250</vt:i4>
      </vt:variant>
      <vt:variant>
        <vt:i4>18</vt:i4>
      </vt:variant>
      <vt:variant>
        <vt:i4>0</vt:i4>
      </vt:variant>
      <vt:variant>
        <vt:i4>5</vt:i4>
      </vt:variant>
      <vt:variant>
        <vt:lpwstr>https://www.cbd.int/doc/notifications/2025/ntf-2025-066-fm-en.pdf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6815853</vt:i4>
      </vt:variant>
      <vt:variant>
        <vt:i4>12</vt:i4>
      </vt:variant>
      <vt:variant>
        <vt:i4>0</vt:i4>
      </vt:variant>
      <vt:variant>
        <vt:i4>5</vt:i4>
      </vt:variant>
      <vt:variant>
        <vt:lpwstr>https://www.cbd.int/documents/CBD/COP/16/6/REV1</vt:lpwstr>
      </vt:variant>
      <vt:variant>
        <vt:lpwstr/>
      </vt:variant>
      <vt:variant>
        <vt:i4>983064</vt:i4>
      </vt:variant>
      <vt:variant>
        <vt:i4>9</vt:i4>
      </vt:variant>
      <vt:variant>
        <vt:i4>0</vt:i4>
      </vt:variant>
      <vt:variant>
        <vt:i4>5</vt:i4>
      </vt:variant>
      <vt:variant>
        <vt:lpwstr>https://www.cbd.int/recommendations/sbi/?m=sbi-04</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3866736</vt:i4>
      </vt:variant>
      <vt:variant>
        <vt:i4>3</vt:i4>
      </vt:variant>
      <vt:variant>
        <vt:i4>0</vt:i4>
      </vt:variant>
      <vt:variant>
        <vt:i4>5</vt:i4>
      </vt:variant>
      <vt:variant>
        <vt:lpwstr>http://www.cbd.int/doc/interventions/6717c9819a0ecc27c502d552/GEF Financial Mechanism.docx</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
  <dc:creator>Jihyun Lee</dc:creator>
  <cp:keywords/>
  <cp:lastModifiedBy>Sergey Leonov</cp:lastModifiedBy>
  <cp:revision>7</cp:revision>
  <dcterms:created xsi:type="dcterms:W3CDTF">2026-01-14T09:04:00Z</dcterms:created>
  <dcterms:modified xsi:type="dcterms:W3CDTF">2026-01-14T09:25:00Z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