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825801" w:rsidRPr="00374B10" w14:paraId="6881E035" w14:textId="77777777" w:rsidTr="007D4E00">
        <w:trPr>
          <w:trHeight w:val="851"/>
        </w:trPr>
        <w:tc>
          <w:tcPr>
            <w:tcW w:w="472" w:type="pct"/>
            <w:tcBorders>
              <w:bottom w:val="single" w:sz="8" w:space="0" w:color="auto"/>
            </w:tcBorders>
            <w:vAlign w:val="bottom"/>
          </w:tcPr>
          <w:p w14:paraId="0D8FF319" w14:textId="77777777" w:rsidR="00825801" w:rsidRPr="00C507AE" w:rsidRDefault="00825801" w:rsidP="00EB3A32">
            <w:pPr>
              <w:spacing w:after="120"/>
              <w:jc w:val="left"/>
              <w:rPr>
                <w:lang w:val="en-GB"/>
              </w:rPr>
            </w:pPr>
            <w:bookmarkStart w:id="0" w:name="_Hlk137651738"/>
            <w:r w:rsidRPr="00C507AE">
              <w:rPr>
                <w:noProof/>
                <w:lang w:val="en-GB"/>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66DCEC3" w14:textId="32CA91CC" w:rsidR="00825801" w:rsidRPr="00C507AE" w:rsidRDefault="00084920" w:rsidP="00EB3A32">
            <w:pPr>
              <w:spacing w:after="120"/>
              <w:jc w:val="left"/>
              <w:rPr>
                <w:lang w:val="en-GB"/>
              </w:rPr>
            </w:pPr>
            <w:r w:rsidRPr="00084920">
              <w:rPr>
                <w:noProof/>
                <w:lang w:eastAsia="fr-FR"/>
              </w:rPr>
              <w:drawing>
                <wp:inline distT="0" distB="0" distL="0" distR="0" wp14:anchorId="2048010C" wp14:editId="055CFD35">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71" w:type="pct"/>
            <w:tcBorders>
              <w:bottom w:val="single" w:sz="8" w:space="0" w:color="auto"/>
            </w:tcBorders>
            <w:vAlign w:val="bottom"/>
          </w:tcPr>
          <w:p w14:paraId="1DA1F006" w14:textId="3B5FB8DF" w:rsidR="00825801" w:rsidRPr="00C507AE" w:rsidRDefault="00825801" w:rsidP="00EB3A32">
            <w:pPr>
              <w:spacing w:after="120"/>
              <w:ind w:left="2021"/>
              <w:jc w:val="right"/>
              <w:rPr>
                <w:szCs w:val="22"/>
                <w:lang w:val="en-GB"/>
              </w:rPr>
            </w:pPr>
            <w:r w:rsidRPr="00C507AE">
              <w:rPr>
                <w:sz w:val="40"/>
                <w:szCs w:val="40"/>
                <w:lang w:val="en-GB"/>
              </w:rPr>
              <w:t>CBD</w:t>
            </w:r>
            <w:r w:rsidRPr="00C507AE">
              <w:rPr>
                <w:lang w:val="en-GB"/>
              </w:rPr>
              <w:t>/NP/MOP/5/</w:t>
            </w:r>
            <w:r w:rsidR="007D7B28" w:rsidRPr="00C507AE">
              <w:rPr>
                <w:lang w:val="en-GB"/>
              </w:rPr>
              <w:t>2</w:t>
            </w:r>
          </w:p>
        </w:tc>
      </w:tr>
      <w:tr w:rsidR="00825801" w:rsidRPr="00084920" w14:paraId="773EE20A" w14:textId="77777777" w:rsidTr="007D4E00">
        <w:tc>
          <w:tcPr>
            <w:tcW w:w="2329" w:type="pct"/>
            <w:gridSpan w:val="2"/>
            <w:tcBorders>
              <w:top w:val="single" w:sz="8" w:space="0" w:color="auto"/>
              <w:bottom w:val="single" w:sz="12" w:space="0" w:color="auto"/>
            </w:tcBorders>
          </w:tcPr>
          <w:p w14:paraId="59833CC6" w14:textId="125CC28B" w:rsidR="00825801" w:rsidRPr="00084920" w:rsidRDefault="00084920" w:rsidP="00EB3A32">
            <w:pPr>
              <w:pStyle w:val="Cornernotation"/>
              <w:suppressLineNumbers/>
              <w:suppressAutoHyphens/>
              <w:spacing w:before="120" w:after="120"/>
              <w:ind w:right="0"/>
              <w:rPr>
                <w:lang w:val="fr-FR"/>
              </w:rPr>
            </w:pPr>
            <w:r w:rsidRPr="00084920">
              <w:rPr>
                <w:bCs/>
                <w:noProof/>
                <w:lang w:val="fr-FR" w:eastAsia="fr-FR"/>
              </w:rPr>
              <w:drawing>
                <wp:inline distT="0" distB="0" distL="0" distR="0" wp14:anchorId="0BA00A5E" wp14:editId="15BA70A6">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1ABF6ADF" w14:textId="6C237B03" w:rsidR="00825801" w:rsidRPr="00084920" w:rsidRDefault="00825801" w:rsidP="000217E9">
            <w:pPr>
              <w:ind w:left="2584"/>
              <w:jc w:val="left"/>
              <w:rPr>
                <w:sz w:val="22"/>
                <w:szCs w:val="22"/>
                <w:lang w:val="fr-FR"/>
              </w:rPr>
            </w:pPr>
            <w:r w:rsidRPr="00084920">
              <w:rPr>
                <w:lang w:val="fr-FR"/>
              </w:rPr>
              <w:t xml:space="preserve">Distr. </w:t>
            </w:r>
            <w:r w:rsidR="00084920" w:rsidRPr="00084920">
              <w:rPr>
                <w:lang w:val="fr-FR"/>
              </w:rPr>
              <w:t>générale</w:t>
            </w:r>
          </w:p>
          <w:p w14:paraId="3C73B8EA" w14:textId="3F0A1F8B" w:rsidR="00825801" w:rsidRPr="00084920" w:rsidRDefault="00E603C8" w:rsidP="00EB3A32">
            <w:pPr>
              <w:ind w:left="2584"/>
              <w:rPr>
                <w:sz w:val="22"/>
                <w:szCs w:val="22"/>
                <w:lang w:val="fr-FR"/>
              </w:rPr>
            </w:pPr>
            <w:r w:rsidRPr="00084920">
              <w:rPr>
                <w:lang w:val="fr-FR"/>
              </w:rPr>
              <w:t>30</w:t>
            </w:r>
            <w:r w:rsidR="00084920" w:rsidRPr="00084920">
              <w:rPr>
                <w:lang w:val="fr-FR"/>
              </w:rPr>
              <w:t> juillet </w:t>
            </w:r>
            <w:r w:rsidR="00825801" w:rsidRPr="00084920">
              <w:rPr>
                <w:lang w:val="fr-FR"/>
              </w:rPr>
              <w:t>2024</w:t>
            </w:r>
          </w:p>
          <w:p w14:paraId="3E89C2EC" w14:textId="05A7BE49" w:rsidR="00825801" w:rsidRPr="00084920" w:rsidRDefault="00084920" w:rsidP="00EB3A32">
            <w:pPr>
              <w:ind w:left="2584"/>
              <w:rPr>
                <w:lang w:val="fr-FR"/>
              </w:rPr>
            </w:pPr>
            <w:r w:rsidRPr="00084920">
              <w:rPr>
                <w:lang w:val="fr-FR"/>
              </w:rPr>
              <w:t>Français</w:t>
            </w:r>
          </w:p>
          <w:p w14:paraId="4607B060" w14:textId="1B0A3A66" w:rsidR="00825801" w:rsidRPr="00084920" w:rsidRDefault="00825801" w:rsidP="00EB3A32">
            <w:pPr>
              <w:ind w:left="2584"/>
              <w:rPr>
                <w:sz w:val="22"/>
                <w:szCs w:val="22"/>
                <w:lang w:val="fr-FR"/>
              </w:rPr>
            </w:pPr>
            <w:r w:rsidRPr="00084920">
              <w:rPr>
                <w:lang w:val="fr-FR"/>
              </w:rPr>
              <w:t>Original</w:t>
            </w:r>
            <w:r w:rsidR="00084920" w:rsidRPr="00084920">
              <w:rPr>
                <w:lang w:val="fr-FR"/>
              </w:rPr>
              <w:t> </w:t>
            </w:r>
            <w:r w:rsidRPr="00084920">
              <w:rPr>
                <w:lang w:val="fr-FR"/>
              </w:rPr>
              <w:t xml:space="preserve">: </w:t>
            </w:r>
            <w:r w:rsidR="00084920" w:rsidRPr="00084920">
              <w:rPr>
                <w:lang w:val="fr-FR"/>
              </w:rPr>
              <w:t>anglais</w:t>
            </w:r>
          </w:p>
          <w:p w14:paraId="30062825" w14:textId="77777777" w:rsidR="00825801" w:rsidRPr="00084920" w:rsidRDefault="00825801" w:rsidP="00EB3A32">
            <w:pPr>
              <w:rPr>
                <w:lang w:val="fr-FR"/>
              </w:rPr>
            </w:pPr>
          </w:p>
        </w:tc>
      </w:tr>
    </w:tbl>
    <w:p w14:paraId="59867A12" w14:textId="77777777" w:rsidR="00084920" w:rsidRDefault="00084920" w:rsidP="00010496">
      <w:pPr>
        <w:pStyle w:val="AFCorNot12Bold"/>
        <w:rPr>
          <w:lang w:val="fr-FR"/>
        </w:rPr>
      </w:pPr>
      <w:bookmarkStart w:id="1" w:name="_Hlk175557954"/>
      <w:r>
        <w:rPr>
          <w:lang w:val="fr-FR"/>
        </w:rPr>
        <w:t>Conférence des Parties à la Convention</w:t>
      </w:r>
    </w:p>
    <w:p w14:paraId="59C6232A" w14:textId="213FE6E4" w:rsidR="00084920" w:rsidRDefault="00084920" w:rsidP="00010496">
      <w:pPr>
        <w:pStyle w:val="AFCorNot12Bold"/>
        <w:rPr>
          <w:lang w:val="fr-FR"/>
        </w:rPr>
      </w:pPr>
      <w:r>
        <w:rPr>
          <w:lang w:val="fr-FR"/>
        </w:rPr>
        <w:t xml:space="preserve">sur la diversité biologique siégeant en tant que </w:t>
      </w:r>
    </w:p>
    <w:p w14:paraId="51B961C2" w14:textId="77777777" w:rsidR="00084920" w:rsidRDefault="00084920" w:rsidP="00010496">
      <w:pPr>
        <w:pStyle w:val="AFCorNot12Bold"/>
        <w:rPr>
          <w:lang w:val="fr-FR"/>
        </w:rPr>
      </w:pPr>
      <w:r>
        <w:rPr>
          <w:lang w:val="fr-FR"/>
        </w:rPr>
        <w:t xml:space="preserve">réunion des Parties au Protocole de Nagoya </w:t>
      </w:r>
      <w:bookmarkStart w:id="2" w:name="_Hlk178504099"/>
      <w:r>
        <w:rPr>
          <w:lang w:val="fr-FR"/>
        </w:rPr>
        <w:t xml:space="preserve">sur </w:t>
      </w:r>
    </w:p>
    <w:p w14:paraId="191E333F" w14:textId="77777777" w:rsidR="00084920" w:rsidRDefault="00084920" w:rsidP="00010496">
      <w:pPr>
        <w:pStyle w:val="AFCorNot12Bold"/>
        <w:rPr>
          <w:lang w:val="fr-FR"/>
        </w:rPr>
      </w:pPr>
      <w:r>
        <w:rPr>
          <w:lang w:val="fr-FR"/>
        </w:rPr>
        <w:t xml:space="preserve">l’accès aux ressources génétiques et le partage </w:t>
      </w:r>
    </w:p>
    <w:p w14:paraId="4E8CECEE" w14:textId="77777777" w:rsidR="00084920" w:rsidRDefault="00084920" w:rsidP="00010496">
      <w:pPr>
        <w:pStyle w:val="AFCorNot12Bold"/>
        <w:rPr>
          <w:lang w:val="fr-FR"/>
        </w:rPr>
      </w:pPr>
      <w:r>
        <w:rPr>
          <w:lang w:val="fr-FR"/>
        </w:rPr>
        <w:t xml:space="preserve">juste et équitable des avantages découlant de </w:t>
      </w:r>
    </w:p>
    <w:p w14:paraId="198EB01E" w14:textId="78DB8B08" w:rsidR="00874541" w:rsidRPr="00084920" w:rsidRDefault="00084920" w:rsidP="00010496">
      <w:pPr>
        <w:pStyle w:val="AFCorNot12Bold"/>
        <w:rPr>
          <w:lang w:val="fr-FR"/>
        </w:rPr>
      </w:pPr>
      <w:r>
        <w:rPr>
          <w:lang w:val="fr-FR"/>
        </w:rPr>
        <w:t>leur utilisation</w:t>
      </w:r>
    </w:p>
    <w:bookmarkEnd w:id="1"/>
    <w:bookmarkEnd w:id="2"/>
    <w:p w14:paraId="12071E08" w14:textId="2B532133" w:rsidR="00A96B21" w:rsidRPr="00084920" w:rsidRDefault="00084920" w:rsidP="00A96B21">
      <w:pPr>
        <w:pStyle w:val="Cornernotation"/>
        <w:rPr>
          <w:bCs/>
          <w:sz w:val="22"/>
          <w:lang w:val="fr-FR"/>
        </w:rPr>
      </w:pPr>
      <w:r>
        <w:rPr>
          <w:bCs/>
          <w:sz w:val="22"/>
          <w:lang w:val="fr-FR"/>
        </w:rPr>
        <w:t>Cinquième réunion</w:t>
      </w:r>
      <w:r w:rsidR="00A96B21" w:rsidRPr="00084920">
        <w:rPr>
          <w:bCs/>
          <w:sz w:val="22"/>
          <w:lang w:val="fr-FR"/>
        </w:rPr>
        <w:t xml:space="preserve"> </w:t>
      </w:r>
    </w:p>
    <w:p w14:paraId="3617D60C" w14:textId="439CF6B0" w:rsidR="00A96B21" w:rsidRPr="00084920" w:rsidRDefault="00D23F1E" w:rsidP="00A96B21">
      <w:pPr>
        <w:pStyle w:val="Venuedate"/>
        <w:rPr>
          <w:lang w:val="fr-FR"/>
        </w:rPr>
      </w:pPr>
      <w:r w:rsidRPr="00084920">
        <w:rPr>
          <w:lang w:val="fr-FR"/>
        </w:rPr>
        <w:t>Cali, Colombi</w:t>
      </w:r>
      <w:r w:rsidR="00084920">
        <w:rPr>
          <w:lang w:val="fr-FR"/>
        </w:rPr>
        <w:t>e</w:t>
      </w:r>
      <w:r w:rsidRPr="00084920">
        <w:rPr>
          <w:lang w:val="fr-FR"/>
        </w:rPr>
        <w:t>, 2</w:t>
      </w:r>
      <w:r w:rsidR="00084920">
        <w:rPr>
          <w:lang w:val="fr-FR"/>
        </w:rPr>
        <w:t>1 octobre</w:t>
      </w:r>
      <w:r w:rsidRPr="00084920">
        <w:rPr>
          <w:lang w:val="fr-FR"/>
        </w:rPr>
        <w:t>–1</w:t>
      </w:r>
      <w:r w:rsidR="00084920">
        <w:rPr>
          <w:vertAlign w:val="superscript"/>
          <w:lang w:val="fr-FR"/>
        </w:rPr>
        <w:t>er</w:t>
      </w:r>
      <w:r w:rsidR="00084920">
        <w:rPr>
          <w:lang w:val="fr-FR"/>
        </w:rPr>
        <w:t> novembre </w:t>
      </w:r>
      <w:r w:rsidRPr="00084920">
        <w:rPr>
          <w:lang w:val="fr-FR"/>
        </w:rPr>
        <w:t>2024</w:t>
      </w:r>
    </w:p>
    <w:p w14:paraId="06D93648" w14:textId="7C2239BE" w:rsidR="003363D9" w:rsidRPr="00084920" w:rsidRDefault="00084920" w:rsidP="00D705EB">
      <w:pPr>
        <w:pStyle w:val="Venuedate"/>
        <w:spacing w:after="120"/>
        <w:rPr>
          <w:lang w:val="fr-FR"/>
        </w:rPr>
      </w:pPr>
      <w:r>
        <w:rPr>
          <w:lang w:val="fr-FR"/>
        </w:rPr>
        <w:t>Points</w:t>
      </w:r>
      <w:r w:rsidR="00EE54EF">
        <w:rPr>
          <w:lang w:val="fr-FR"/>
        </w:rPr>
        <w:t> </w:t>
      </w:r>
      <w:r w:rsidR="00C90336" w:rsidRPr="00084920">
        <w:rPr>
          <w:lang w:val="fr-FR"/>
        </w:rPr>
        <w:t>5</w:t>
      </w:r>
      <w:r w:rsidR="00D705EB" w:rsidRPr="00084920">
        <w:rPr>
          <w:lang w:val="fr-FR"/>
        </w:rPr>
        <w:t>,</w:t>
      </w:r>
      <w:r w:rsidR="00922691" w:rsidRPr="00084920">
        <w:rPr>
          <w:lang w:val="fr-FR"/>
        </w:rPr>
        <w:t xml:space="preserve"> </w:t>
      </w:r>
      <w:r w:rsidR="000B1A2D" w:rsidRPr="00084920">
        <w:rPr>
          <w:lang w:val="fr-FR"/>
        </w:rPr>
        <w:t>7</w:t>
      </w:r>
      <w:r w:rsidR="00CE134B" w:rsidRPr="00084920">
        <w:rPr>
          <w:lang w:val="fr-FR"/>
        </w:rPr>
        <w:t>–</w:t>
      </w:r>
      <w:r w:rsidR="00D705EB" w:rsidRPr="00084920">
        <w:rPr>
          <w:lang w:val="fr-FR"/>
        </w:rPr>
        <w:t>10</w:t>
      </w:r>
      <w:r w:rsidR="00AB1B7A" w:rsidRPr="00084920">
        <w:rPr>
          <w:lang w:val="fr-FR"/>
        </w:rPr>
        <w:t>,</w:t>
      </w:r>
      <w:r w:rsidR="00D705EB" w:rsidRPr="00084920">
        <w:rPr>
          <w:lang w:val="fr-FR"/>
        </w:rPr>
        <w:t xml:space="preserve"> 12</w:t>
      </w:r>
      <w:r w:rsidR="000C1A66" w:rsidRPr="00084920">
        <w:rPr>
          <w:lang w:val="fr-FR"/>
        </w:rPr>
        <w:t>, 13</w:t>
      </w:r>
      <w:r w:rsidR="00AB1B7A" w:rsidRPr="00084920">
        <w:rPr>
          <w:lang w:val="fr-FR"/>
        </w:rPr>
        <w:t xml:space="preserve">, 15 </w:t>
      </w:r>
      <w:r>
        <w:rPr>
          <w:lang w:val="fr-FR"/>
        </w:rPr>
        <w:t>et</w:t>
      </w:r>
      <w:r w:rsidR="00AB1B7A" w:rsidRPr="00084920">
        <w:rPr>
          <w:lang w:val="fr-FR"/>
        </w:rPr>
        <w:t xml:space="preserve"> </w:t>
      </w:r>
      <w:r w:rsidR="008952D6" w:rsidRPr="00084920">
        <w:rPr>
          <w:lang w:val="fr-FR"/>
        </w:rPr>
        <w:t>16</w:t>
      </w:r>
      <w:r w:rsidR="003363D9" w:rsidRPr="00084920">
        <w:rPr>
          <w:lang w:val="fr-FR"/>
        </w:rPr>
        <w:t xml:space="preserve"> </w:t>
      </w:r>
      <w:r>
        <w:rPr>
          <w:lang w:val="fr-FR"/>
        </w:rPr>
        <w:t>de l’ordre du jour provisoire</w:t>
      </w:r>
      <w:r w:rsidR="00DF6600" w:rsidRPr="00084920">
        <w:rPr>
          <w:rStyle w:val="Appelnotedebasdep"/>
          <w:lang w:val="fr-FR"/>
        </w:rPr>
        <w:footnoteReference w:customMarkFollows="1" w:id="2"/>
        <w:t>*</w:t>
      </w:r>
    </w:p>
    <w:p w14:paraId="39281186" w14:textId="77777777" w:rsidR="00592D2B" w:rsidRPr="00084920" w:rsidRDefault="00592D2B" w:rsidP="00592D2B">
      <w:pPr>
        <w:pStyle w:val="Venuedate"/>
        <w:spacing w:before="60" w:after="60"/>
        <w:ind w:left="0" w:firstLine="0"/>
        <w:rPr>
          <w:b/>
          <w:bCs w:val="0"/>
          <w:sz w:val="20"/>
          <w:szCs w:val="20"/>
          <w:lang w:val="fr-FR"/>
        </w:rPr>
        <w:sectPr w:rsidR="00592D2B" w:rsidRPr="00084920" w:rsidSect="00AF103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EA75721" w14:textId="4EFA8DAD" w:rsidR="00625ED1" w:rsidRPr="00084920" w:rsidRDefault="00084920" w:rsidP="00F111AC">
      <w:pPr>
        <w:pStyle w:val="Venuedate"/>
        <w:spacing w:before="60" w:after="60"/>
        <w:ind w:left="0" w:right="73" w:firstLine="0"/>
        <w:rPr>
          <w:b/>
          <w:bCs w:val="0"/>
          <w:sz w:val="20"/>
          <w:szCs w:val="20"/>
          <w:lang w:val="fr-FR"/>
        </w:rPr>
      </w:pPr>
      <w:r>
        <w:rPr>
          <w:b/>
          <w:bCs w:val="0"/>
          <w:sz w:val="20"/>
          <w:szCs w:val="20"/>
          <w:lang w:val="fr-FR"/>
        </w:rPr>
        <w:t>Rapport du Comité chargé du respect des obligations</w:t>
      </w:r>
    </w:p>
    <w:p w14:paraId="010F17F2" w14:textId="6B1D03A0" w:rsidR="00625ED1" w:rsidRPr="00084920" w:rsidRDefault="00084920" w:rsidP="00F111AC">
      <w:pPr>
        <w:pStyle w:val="Venuedate"/>
        <w:spacing w:before="60" w:after="60"/>
        <w:ind w:left="0" w:right="73" w:firstLine="0"/>
        <w:rPr>
          <w:b/>
          <w:bCs w:val="0"/>
          <w:sz w:val="20"/>
          <w:szCs w:val="20"/>
          <w:lang w:val="fr-FR"/>
        </w:rPr>
      </w:pPr>
      <w:r>
        <w:rPr>
          <w:b/>
          <w:bCs w:val="0"/>
          <w:sz w:val="20"/>
          <w:szCs w:val="20"/>
          <w:lang w:val="fr-FR"/>
        </w:rPr>
        <w:t>Mécanisme de financement et ressources financières</w:t>
      </w:r>
    </w:p>
    <w:p w14:paraId="3B166054" w14:textId="25DB869B" w:rsidR="00625ED1" w:rsidRPr="00084920" w:rsidRDefault="00084920" w:rsidP="00F111AC">
      <w:pPr>
        <w:pStyle w:val="Venuedate"/>
        <w:spacing w:before="60" w:after="60"/>
        <w:ind w:left="0" w:right="73" w:firstLine="0"/>
        <w:rPr>
          <w:b/>
          <w:bCs w:val="0"/>
          <w:sz w:val="20"/>
          <w:szCs w:val="20"/>
          <w:lang w:val="fr-FR"/>
        </w:rPr>
      </w:pPr>
      <w:r>
        <w:rPr>
          <w:b/>
          <w:bCs w:val="0"/>
          <w:sz w:val="20"/>
          <w:szCs w:val="20"/>
          <w:lang w:val="fr-FR"/>
        </w:rPr>
        <w:t>Renforcement et création des capacités et sensibilisation</w:t>
      </w:r>
    </w:p>
    <w:p w14:paraId="647A3FF2" w14:textId="7B83F18A" w:rsidR="00625ED1" w:rsidRPr="00084920" w:rsidRDefault="00D67399" w:rsidP="00F111AC">
      <w:pPr>
        <w:pStyle w:val="Venuedate"/>
        <w:spacing w:before="60" w:after="60"/>
        <w:ind w:left="0" w:right="73" w:firstLine="0"/>
        <w:rPr>
          <w:b/>
          <w:bCs w:val="0"/>
          <w:sz w:val="20"/>
          <w:szCs w:val="20"/>
          <w:lang w:val="fr-FR"/>
        </w:rPr>
      </w:pPr>
      <w:r>
        <w:rPr>
          <w:b/>
          <w:bCs w:val="0"/>
          <w:sz w:val="20"/>
          <w:szCs w:val="20"/>
          <w:lang w:val="fr-FR"/>
        </w:rPr>
        <w:t>Centre d’échange sur l’accès et le partage de</w:t>
      </w:r>
      <w:r w:rsidR="001B5295">
        <w:rPr>
          <w:b/>
          <w:bCs w:val="0"/>
          <w:sz w:val="20"/>
          <w:szCs w:val="20"/>
          <w:lang w:val="fr-FR"/>
        </w:rPr>
        <w:t>s</w:t>
      </w:r>
      <w:r>
        <w:rPr>
          <w:b/>
          <w:bCs w:val="0"/>
          <w:sz w:val="20"/>
          <w:szCs w:val="20"/>
          <w:lang w:val="fr-FR"/>
        </w:rPr>
        <w:t xml:space="preserve"> avantages et partage d’informations</w:t>
      </w:r>
    </w:p>
    <w:p w14:paraId="40F40C84" w14:textId="2DB1348C" w:rsidR="00625ED1" w:rsidRPr="00084920" w:rsidRDefault="00D67399" w:rsidP="00F111AC">
      <w:pPr>
        <w:pStyle w:val="Venuedate"/>
        <w:spacing w:before="60" w:after="60"/>
        <w:ind w:left="0" w:right="73" w:firstLine="0"/>
        <w:rPr>
          <w:b/>
          <w:bCs w:val="0"/>
          <w:sz w:val="20"/>
          <w:szCs w:val="20"/>
          <w:lang w:val="fr-FR"/>
        </w:rPr>
      </w:pPr>
      <w:r>
        <w:rPr>
          <w:b/>
          <w:bCs w:val="0"/>
          <w:sz w:val="20"/>
          <w:szCs w:val="20"/>
          <w:lang w:val="fr-FR"/>
        </w:rPr>
        <w:t>Évaluation et examen de l’efficacité du Protocole</w:t>
      </w:r>
    </w:p>
    <w:p w14:paraId="7025923E" w14:textId="2E20ABE9" w:rsidR="00625ED1" w:rsidRPr="00084920" w:rsidRDefault="00D67399" w:rsidP="00F111AC">
      <w:pPr>
        <w:pStyle w:val="Venuedate"/>
        <w:spacing w:before="60" w:after="60"/>
        <w:ind w:left="0" w:right="73" w:firstLine="0"/>
        <w:rPr>
          <w:b/>
          <w:bCs w:val="0"/>
          <w:sz w:val="20"/>
          <w:szCs w:val="20"/>
          <w:lang w:val="fr-FR"/>
        </w:rPr>
      </w:pPr>
      <w:r>
        <w:rPr>
          <w:b/>
          <w:bCs w:val="0"/>
          <w:sz w:val="20"/>
          <w:szCs w:val="20"/>
          <w:lang w:val="fr-FR"/>
        </w:rPr>
        <w:t>Examen de l’efficacité des processus relevant de la Convention et de ses Protocoles</w:t>
      </w:r>
    </w:p>
    <w:p w14:paraId="6C68375A" w14:textId="7BBBA70B" w:rsidR="00625ED1" w:rsidRPr="00084920" w:rsidRDefault="00D67399" w:rsidP="00F111AC">
      <w:pPr>
        <w:pStyle w:val="Venuedate"/>
        <w:spacing w:before="60" w:after="60"/>
        <w:ind w:left="0" w:right="73" w:firstLine="0"/>
        <w:rPr>
          <w:b/>
          <w:bCs w:val="0"/>
          <w:sz w:val="20"/>
          <w:szCs w:val="20"/>
          <w:lang w:val="fr-FR"/>
        </w:rPr>
      </w:pPr>
      <w:r>
        <w:rPr>
          <w:b/>
          <w:bCs w:val="0"/>
          <w:sz w:val="20"/>
          <w:szCs w:val="20"/>
          <w:lang w:val="fr-FR"/>
        </w:rPr>
        <w:t>Renforcer l’application du Protocole de Nagoya dans le contexte du Cadre mondial de la biodiversité de Kunming-Montréal</w:t>
      </w:r>
    </w:p>
    <w:p w14:paraId="77431FB7" w14:textId="6483080F" w:rsidR="00625ED1" w:rsidRPr="00084920" w:rsidRDefault="00D67399" w:rsidP="00F111AC">
      <w:pPr>
        <w:pStyle w:val="Venuedate"/>
        <w:spacing w:before="60" w:after="60"/>
        <w:ind w:left="0" w:right="73" w:firstLine="0"/>
        <w:rPr>
          <w:b/>
          <w:bCs w:val="0"/>
          <w:sz w:val="20"/>
          <w:szCs w:val="20"/>
          <w:lang w:val="fr-FR"/>
        </w:rPr>
      </w:pPr>
      <w:r>
        <w:rPr>
          <w:b/>
          <w:bCs w:val="0"/>
          <w:sz w:val="20"/>
          <w:szCs w:val="20"/>
          <w:lang w:val="fr-FR"/>
        </w:rPr>
        <w:t>Instruments internationaux spécialisés d’accès et de partage des avantages dans le contexte du paragraphe 4 de l’article</w:t>
      </w:r>
      <w:r w:rsidR="00EE54EF">
        <w:rPr>
          <w:b/>
          <w:bCs w:val="0"/>
          <w:sz w:val="20"/>
          <w:szCs w:val="20"/>
          <w:lang w:val="fr-FR"/>
        </w:rPr>
        <w:t> </w:t>
      </w:r>
      <w:r>
        <w:rPr>
          <w:b/>
          <w:bCs w:val="0"/>
          <w:sz w:val="20"/>
          <w:szCs w:val="20"/>
          <w:lang w:val="fr-FR"/>
        </w:rPr>
        <w:t>4 du Protocole de Nagoya</w:t>
      </w:r>
    </w:p>
    <w:p w14:paraId="2EC77ADE" w14:textId="57DA2301" w:rsidR="003363D9" w:rsidRPr="00084920" w:rsidRDefault="00D67399" w:rsidP="0052734F">
      <w:pPr>
        <w:pStyle w:val="Venuedate"/>
        <w:spacing w:before="60" w:after="120"/>
        <w:ind w:left="0" w:right="73" w:firstLine="0"/>
        <w:rPr>
          <w:b/>
          <w:bCs w:val="0"/>
          <w:sz w:val="20"/>
          <w:szCs w:val="20"/>
          <w:lang w:val="fr-FR"/>
        </w:rPr>
      </w:pPr>
      <w:r>
        <w:rPr>
          <w:b/>
          <w:bCs w:val="0"/>
          <w:sz w:val="20"/>
          <w:szCs w:val="20"/>
          <w:lang w:val="fr-FR"/>
        </w:rPr>
        <w:t xml:space="preserve">Mécanisme multilatéral mondial de partage des avantages </w:t>
      </w:r>
    </w:p>
    <w:bookmarkEnd w:id="0"/>
    <w:p w14:paraId="513518BF" w14:textId="77777777" w:rsidR="00592D2B" w:rsidRPr="00084920" w:rsidRDefault="00592D2B" w:rsidP="00926ADC">
      <w:pPr>
        <w:pStyle w:val="CBDTitle"/>
        <w:rPr>
          <w:lang w:val="fr-FR"/>
        </w:rPr>
        <w:sectPr w:rsidR="00592D2B" w:rsidRPr="00084920" w:rsidSect="00592D2B">
          <w:type w:val="continuous"/>
          <w:pgSz w:w="12240" w:h="15840"/>
          <w:pgMar w:top="1134" w:right="1440" w:bottom="1134" w:left="1440" w:header="709" w:footer="709" w:gutter="0"/>
          <w:cols w:num="2" w:space="708"/>
          <w:titlePg/>
          <w:docGrid w:linePitch="360"/>
        </w:sectPr>
      </w:pPr>
    </w:p>
    <w:p w14:paraId="328B33AC" w14:textId="08C70FC7" w:rsidR="00A96B21" w:rsidRPr="00084920" w:rsidRDefault="00000000" w:rsidP="00926ADC">
      <w:pPr>
        <w:pStyle w:val="CBDTitle"/>
        <w:rPr>
          <w:lang w:val="fr-FR"/>
        </w:rPr>
      </w:pPr>
      <w:sdt>
        <w:sdtPr>
          <w:rPr>
            <w:lang w:val="fr-FR"/>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Content>
          <w:r w:rsidR="00D67399">
            <w:rPr>
              <w:lang w:val="fr-FR"/>
            </w:rPr>
            <w:t>Compilation de projets de décisions à destination de la Conférence des Parties à la Convention sur la diversité biologique siégeant en tant que réunion des Parties au Protocole de Nagoya sur l’accès aux ressources génétiques et le partage juste et équitable des avantages découlant de leur utilisation</w:t>
          </w:r>
        </w:sdtContent>
      </w:sdt>
    </w:p>
    <w:p w14:paraId="4D2D526D" w14:textId="51A4CD5B" w:rsidR="00B42E7C" w:rsidRPr="00084920" w:rsidRDefault="00B42E7C" w:rsidP="00B42E7C">
      <w:pPr>
        <w:pStyle w:val="Para10"/>
        <w:numPr>
          <w:ilvl w:val="0"/>
          <w:numId w:val="0"/>
        </w:numPr>
        <w:ind w:left="567"/>
        <w:rPr>
          <w:rFonts w:ascii="Times New Roman Bold" w:eastAsiaTheme="majorEastAsia" w:hAnsi="Times New Roman Bold" w:hint="eastAsia"/>
          <w:b/>
          <w:bCs/>
          <w:spacing w:val="5"/>
          <w:kern w:val="28"/>
          <w:sz w:val="28"/>
          <w:szCs w:val="28"/>
          <w:lang w:val="fr-FR"/>
          <w14:ligatures w14:val="standardContextual"/>
        </w:rPr>
      </w:pPr>
      <w:r w:rsidRPr="00084920">
        <w:rPr>
          <w:rFonts w:ascii="Times New Roman Bold" w:eastAsiaTheme="majorEastAsia" w:hAnsi="Times New Roman Bold"/>
          <w:b/>
          <w:bCs/>
          <w:spacing w:val="5"/>
          <w:kern w:val="28"/>
          <w:sz w:val="28"/>
          <w:szCs w:val="28"/>
          <w:lang w:val="fr-FR"/>
          <w14:ligatures w14:val="standardContextual"/>
        </w:rPr>
        <w:t>Introduction</w:t>
      </w:r>
    </w:p>
    <w:p w14:paraId="455E7931" w14:textId="4D40D869" w:rsidR="0045367D" w:rsidRPr="00084920" w:rsidRDefault="00D67399" w:rsidP="0052734F">
      <w:pPr>
        <w:pStyle w:val="CBDNormalNoNumber"/>
        <w:ind w:firstLine="567"/>
        <w:rPr>
          <w:lang w:val="fr-FR"/>
        </w:rPr>
      </w:pPr>
      <w:r>
        <w:rPr>
          <w:lang w:val="fr-FR"/>
        </w:rPr>
        <w:t xml:space="preserve">La présente note </w:t>
      </w:r>
      <w:r w:rsidR="00CF4AC3">
        <w:rPr>
          <w:lang w:val="fr-FR"/>
        </w:rPr>
        <w:t xml:space="preserve">consiste en </w:t>
      </w:r>
      <w:r>
        <w:rPr>
          <w:lang w:val="fr-FR"/>
        </w:rPr>
        <w:t>une compilation de projets de décisions pour examen par la Conférence des Parties siégeant en tant que réunion des Parties au Protocole de Nagoya sur l’acc</w:t>
      </w:r>
      <w:r w:rsidR="001B5295">
        <w:rPr>
          <w:lang w:val="fr-FR"/>
        </w:rPr>
        <w:t>è</w:t>
      </w:r>
      <w:r>
        <w:rPr>
          <w:lang w:val="fr-FR"/>
        </w:rPr>
        <w:t xml:space="preserve">s aux ressources génétiques et le partage juste et équitable des avantages découlant de leur utilisation à sa cinquième réunion. Les projets de décisions sont organisés selon l’ordre du jour provisoire de la réunion. La compilation comprend les projets de décisions contenus dans les diverses recommandations issues de la quatrième réunion de l’Organe subsidiaire chargé de l’application, ainsi que d’éléments supplémentaires élaborés par le Secrétariat à la lumière, entre autres, de </w:t>
      </w:r>
      <w:r w:rsidR="00D52509">
        <w:rPr>
          <w:lang w:val="fr-FR"/>
        </w:rPr>
        <w:t xml:space="preserve">décisions antérieures de la Conférence des Parties siégeant en tant que réunion des Parties au Protocole et de recommandations de </w:t>
      </w:r>
      <w:r w:rsidR="00CF4AC3">
        <w:rPr>
          <w:lang w:val="fr-FR"/>
        </w:rPr>
        <w:t>ses</w:t>
      </w:r>
      <w:r w:rsidR="00D52509">
        <w:rPr>
          <w:lang w:val="fr-FR"/>
        </w:rPr>
        <w:t xml:space="preserve"> organes subsidiaires. Les </w:t>
      </w:r>
      <w:r w:rsidR="00D52509" w:rsidRPr="00400894">
        <w:rPr>
          <w:lang w:val="fr-FR"/>
        </w:rPr>
        <w:t>mandats</w:t>
      </w:r>
      <w:r w:rsidR="00D52509">
        <w:rPr>
          <w:lang w:val="fr-FR"/>
        </w:rPr>
        <w:t xml:space="preserve"> de ces éléments supplémentaires sont indiqués dans les documents préparés sous chaque point de l’ordre du jour </w:t>
      </w:r>
      <w:r w:rsidR="00B116E0">
        <w:rPr>
          <w:lang w:val="fr-FR"/>
        </w:rPr>
        <w:lastRenderedPageBreak/>
        <w:t>concerné</w:t>
      </w:r>
      <w:r w:rsidR="00D52509">
        <w:rPr>
          <w:lang w:val="fr-FR"/>
        </w:rPr>
        <w:t xml:space="preserve"> de la présente réunion. Les points pour lesquels aucune décision n’est envisagée ou n</w:t>
      </w:r>
      <w:r w:rsidR="00EE54EF">
        <w:rPr>
          <w:lang w:val="fr-FR"/>
        </w:rPr>
        <w:t>’</w:t>
      </w:r>
      <w:r w:rsidR="00D52509">
        <w:rPr>
          <w:lang w:val="fr-FR"/>
        </w:rPr>
        <w:t>a été préparée (p. ex. points</w:t>
      </w:r>
      <w:r w:rsidR="00EE54EF">
        <w:rPr>
          <w:lang w:val="fr-FR"/>
        </w:rPr>
        <w:t> </w:t>
      </w:r>
      <w:r w:rsidR="00A271DE" w:rsidRPr="00084920">
        <w:rPr>
          <w:lang w:val="fr-FR"/>
        </w:rPr>
        <w:t>1–4</w:t>
      </w:r>
      <w:r w:rsidR="00223F07" w:rsidRPr="00084920">
        <w:rPr>
          <w:lang w:val="fr-FR"/>
        </w:rPr>
        <w:t>, 11</w:t>
      </w:r>
      <w:r w:rsidR="0045706F" w:rsidRPr="00084920">
        <w:rPr>
          <w:lang w:val="fr-FR"/>
        </w:rPr>
        <w:t>, 14</w:t>
      </w:r>
      <w:r w:rsidR="00A271DE" w:rsidRPr="00084920">
        <w:rPr>
          <w:lang w:val="fr-FR"/>
        </w:rPr>
        <w:t xml:space="preserve"> </w:t>
      </w:r>
      <w:r w:rsidR="00D52509">
        <w:rPr>
          <w:lang w:val="fr-FR"/>
        </w:rPr>
        <w:t>et</w:t>
      </w:r>
      <w:r w:rsidR="00A271DE" w:rsidRPr="00084920">
        <w:rPr>
          <w:lang w:val="fr-FR"/>
        </w:rPr>
        <w:t xml:space="preserve"> 1</w:t>
      </w:r>
      <w:r w:rsidR="00E80300" w:rsidRPr="00084920">
        <w:rPr>
          <w:lang w:val="fr-FR"/>
        </w:rPr>
        <w:t>7</w:t>
      </w:r>
      <w:r w:rsidR="00A271DE" w:rsidRPr="00084920">
        <w:rPr>
          <w:lang w:val="fr-FR"/>
        </w:rPr>
        <w:t>–1</w:t>
      </w:r>
      <w:r w:rsidR="00615A38" w:rsidRPr="00084920">
        <w:rPr>
          <w:lang w:val="fr-FR"/>
        </w:rPr>
        <w:t>9</w:t>
      </w:r>
      <w:r w:rsidR="00A271DE" w:rsidRPr="00084920">
        <w:rPr>
          <w:lang w:val="fr-FR"/>
        </w:rPr>
        <w:t>)</w:t>
      </w:r>
      <w:r w:rsidR="00D52509">
        <w:rPr>
          <w:lang w:val="fr-FR"/>
        </w:rPr>
        <w:t xml:space="preserve"> ou pour lesquels une décision est fournie séparément (point 6) sont également indiqués dans la compilation, avec une note explicative, dans l’optique de fournir une liste exhaustive des points.</w:t>
      </w:r>
    </w:p>
    <w:p w14:paraId="32F790BD" w14:textId="77777777" w:rsidR="00A61D5E" w:rsidRPr="00084920" w:rsidRDefault="00A61D5E" w:rsidP="00010496">
      <w:pPr>
        <w:pStyle w:val="CBDAgendaItem"/>
        <w:rPr>
          <w:bCs/>
          <w:lang w:val="fr-FR"/>
        </w:rPr>
        <w:sectPr w:rsidR="00A61D5E" w:rsidRPr="00084920" w:rsidSect="00592D2B">
          <w:type w:val="continuous"/>
          <w:pgSz w:w="12240" w:h="15840"/>
          <w:pgMar w:top="1134" w:right="1440" w:bottom="1134" w:left="1440" w:header="709" w:footer="709" w:gutter="0"/>
          <w:cols w:space="708"/>
          <w:titlePg/>
          <w:docGrid w:linePitch="360"/>
        </w:sectPr>
      </w:pPr>
    </w:p>
    <w:p w14:paraId="1B84F30A" w14:textId="0CF6F0B9" w:rsidR="00C55A70" w:rsidRPr="00084920" w:rsidRDefault="00D52509" w:rsidP="00D56117">
      <w:pPr>
        <w:pStyle w:val="CBDAnnex"/>
        <w:outlineLvl w:val="0"/>
        <w:rPr>
          <w:b w:val="0"/>
          <w:bCs/>
          <w:i/>
          <w:iCs/>
          <w:sz w:val="24"/>
          <w:szCs w:val="24"/>
          <w:lang w:val="fr-FR"/>
        </w:rPr>
      </w:pPr>
      <w:r>
        <w:rPr>
          <w:b w:val="0"/>
          <w:bCs/>
          <w:i/>
          <w:iCs/>
          <w:sz w:val="24"/>
          <w:szCs w:val="24"/>
          <w:lang w:val="fr-FR"/>
        </w:rPr>
        <w:lastRenderedPageBreak/>
        <w:t>Contenu</w:t>
      </w:r>
    </w:p>
    <w:p w14:paraId="4E479FC6" w14:textId="11E396BE" w:rsidR="00A15D81" w:rsidRPr="00084920" w:rsidRDefault="00565097"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r w:rsidRPr="00084920">
        <w:rPr>
          <w:lang w:val="fr-FR" w:bidi="ar-SY"/>
        </w:rPr>
        <w:fldChar w:fldCharType="begin"/>
      </w:r>
      <w:r w:rsidRPr="00084920">
        <w:rPr>
          <w:lang w:val="fr-FR" w:bidi="ar-SY"/>
        </w:rPr>
        <w:instrText xml:space="preserve"> TOC \h \z \t "CBD_Annex,1" </w:instrText>
      </w:r>
      <w:r w:rsidRPr="00084920">
        <w:rPr>
          <w:lang w:val="fr-FR" w:bidi="ar-SY"/>
        </w:rPr>
        <w:fldChar w:fldCharType="separate"/>
      </w:r>
      <w:hyperlink w:anchor="_Toc178159937" w:history="1">
        <w:r w:rsidR="00F67804">
          <w:rPr>
            <w:rStyle w:val="Lienhypertexte"/>
            <w:caps w:val="0"/>
            <w:noProof/>
            <w:lang w:val="fr-FR" w:bidi="ar-SY"/>
          </w:rPr>
          <w:t>Points</w:t>
        </w:r>
        <w:r w:rsidR="00A15D81" w:rsidRPr="00084920">
          <w:rPr>
            <w:rStyle w:val="Lienhypertexte"/>
            <w:caps w:val="0"/>
            <w:noProof/>
            <w:lang w:val="fr-FR" w:bidi="ar-SY"/>
          </w:rPr>
          <w:t xml:space="preserve"> 1 </w:t>
        </w:r>
        <w:r w:rsidR="00E055A9">
          <w:rPr>
            <w:rStyle w:val="Lienhypertexte"/>
            <w:caps w:val="0"/>
            <w:noProof/>
            <w:lang w:val="fr-FR" w:bidi="ar-SY"/>
          </w:rPr>
          <w:t>à</w:t>
        </w:r>
        <w:r w:rsidR="00A15D81" w:rsidRPr="00084920">
          <w:rPr>
            <w:rStyle w:val="Lienhypertexte"/>
            <w:caps w:val="0"/>
            <w:noProof/>
            <w:lang w:val="fr-FR" w:bidi="ar-SY"/>
          </w:rPr>
          <w:t xml:space="preserve"> 4</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_Toc178159937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w:t>
        </w:r>
        <w:r w:rsidR="00A15D81" w:rsidRPr="00084920">
          <w:rPr>
            <w:caps w:val="0"/>
            <w:noProof/>
            <w:webHidden/>
            <w:lang w:val="fr-FR"/>
          </w:rPr>
          <w:fldChar w:fldCharType="end"/>
        </w:r>
      </w:hyperlink>
    </w:p>
    <w:p w14:paraId="2CC952D0" w14:textId="14D196B9"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38" w:history="1">
        <w:r w:rsidR="00F67804">
          <w:rPr>
            <w:rStyle w:val="Lienhypertexte"/>
            <w:caps w:val="0"/>
            <w:noProof/>
            <w:lang w:val="fr-FR" w:bidi="ar-SY"/>
          </w:rPr>
          <w:t>Point</w:t>
        </w:r>
        <w:r w:rsidR="00A15D81" w:rsidRPr="00084920">
          <w:rPr>
            <w:rStyle w:val="Lienhypertexte"/>
            <w:caps w:val="0"/>
            <w:noProof/>
            <w:lang w:val="fr-FR" w:bidi="ar-SY"/>
          </w:rPr>
          <w:t xml:space="preserve"> 5</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Rapport du Comité chargé du respect des obligations</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_Toc178159938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5</w:t>
        </w:r>
        <w:r w:rsidR="00A15D81" w:rsidRPr="00084920">
          <w:rPr>
            <w:caps w:val="0"/>
            <w:noProof/>
            <w:webHidden/>
            <w:lang w:val="fr-FR"/>
          </w:rPr>
          <w:fldChar w:fldCharType="end"/>
        </w:r>
      </w:hyperlink>
    </w:p>
    <w:p w14:paraId="427AADE9" w14:textId="768FD43A"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39" w:history="1">
        <w:r w:rsidR="00C56754">
          <w:rPr>
            <w:rStyle w:val="Lienhypertexte"/>
            <w:caps w:val="0"/>
            <w:noProof/>
            <w:lang w:val="fr-FR" w:bidi="ar-SY"/>
          </w:rPr>
          <w:t>Point</w:t>
        </w:r>
        <w:r w:rsidR="00A15D81" w:rsidRPr="00084920">
          <w:rPr>
            <w:rStyle w:val="Lienhypertexte"/>
            <w:caps w:val="0"/>
            <w:noProof/>
            <w:lang w:val="fr-FR" w:bidi="ar-SY"/>
          </w:rPr>
          <w:t xml:space="preserve"> 6</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5" w:name="_Hlk178501332"/>
        <w:r w:rsidR="00C56754">
          <w:rPr>
            <w:rStyle w:val="Lienhypertexte"/>
            <w:caps w:val="0"/>
            <w:noProof/>
            <w:lang w:val="fr-FR" w:bidi="ar-SY"/>
          </w:rPr>
          <w:t>Administration du Protocole et budget des fonds d’affectation spéciale</w:t>
        </w:r>
        <w:bookmarkEnd w:id="5"/>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_Toc178159939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6</w:t>
        </w:r>
        <w:r w:rsidR="00A15D81" w:rsidRPr="00084920">
          <w:rPr>
            <w:caps w:val="0"/>
            <w:noProof/>
            <w:webHidden/>
            <w:lang w:val="fr-FR"/>
          </w:rPr>
          <w:fldChar w:fldCharType="end"/>
        </w:r>
      </w:hyperlink>
    </w:p>
    <w:p w14:paraId="776E8DE5" w14:textId="1B799E25"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0" w:history="1">
        <w:r w:rsidR="00C56754">
          <w:rPr>
            <w:rStyle w:val="Lienhypertexte"/>
            <w:caps w:val="0"/>
            <w:noProof/>
            <w:lang w:val="fr-FR" w:bidi="ar-SY"/>
          </w:rPr>
          <w:t>Point</w:t>
        </w:r>
        <w:r w:rsidR="00A15D81" w:rsidRPr="00084920">
          <w:rPr>
            <w:rStyle w:val="Lienhypertexte"/>
            <w:caps w:val="0"/>
            <w:noProof/>
            <w:lang w:val="fr-FR" w:bidi="ar-SY"/>
          </w:rPr>
          <w:t xml:space="preserve"> 7</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Mécanisme de financement et ressources financières</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_Toc178159940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7</w:t>
        </w:r>
        <w:r w:rsidR="00A15D81" w:rsidRPr="00084920">
          <w:rPr>
            <w:caps w:val="0"/>
            <w:noProof/>
            <w:webHidden/>
            <w:lang w:val="fr-FR"/>
          </w:rPr>
          <w:fldChar w:fldCharType="end"/>
        </w:r>
      </w:hyperlink>
    </w:p>
    <w:p w14:paraId="67468A9E" w14:textId="689709F5"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1" w:history="1">
        <w:r w:rsidR="00C56754">
          <w:rPr>
            <w:rStyle w:val="Lienhypertexte"/>
            <w:caps w:val="0"/>
            <w:noProof/>
            <w:lang w:val="fr-FR" w:bidi="ar-SY"/>
          </w:rPr>
          <w:t>Point</w:t>
        </w:r>
        <w:r w:rsidR="00A15D81" w:rsidRPr="00084920">
          <w:rPr>
            <w:rStyle w:val="Lienhypertexte"/>
            <w:caps w:val="0"/>
            <w:noProof/>
            <w:lang w:val="fr-FR" w:bidi="ar-SY"/>
          </w:rPr>
          <w:t xml:space="preserve"> 8</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Renforcement et création des capacités et sensibilisation</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_Toc178159941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9</w:t>
        </w:r>
        <w:r w:rsidR="00A15D81" w:rsidRPr="00084920">
          <w:rPr>
            <w:caps w:val="0"/>
            <w:noProof/>
            <w:webHidden/>
            <w:lang w:val="fr-FR"/>
          </w:rPr>
          <w:fldChar w:fldCharType="end"/>
        </w:r>
      </w:hyperlink>
    </w:p>
    <w:p w14:paraId="1840B621" w14:textId="31FCCC49"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2" w:history="1">
        <w:r w:rsidR="00C56754">
          <w:rPr>
            <w:rStyle w:val="Lienhypertexte"/>
            <w:caps w:val="0"/>
            <w:noProof/>
            <w:lang w:val="fr-FR" w:bidi="ar-SY"/>
          </w:rPr>
          <w:t>Point</w:t>
        </w:r>
        <w:r w:rsidR="00A15D81" w:rsidRPr="00084920">
          <w:rPr>
            <w:rStyle w:val="Lienhypertexte"/>
            <w:caps w:val="0"/>
            <w:noProof/>
            <w:lang w:val="fr-FR" w:bidi="ar-SY"/>
          </w:rPr>
          <w:t xml:space="preserve"> 9</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6" w:name="_Hlk178502119"/>
        <w:r w:rsidR="00C56754">
          <w:rPr>
            <w:rStyle w:val="Lienhypertexte"/>
            <w:caps w:val="0"/>
            <w:noProof/>
            <w:lang w:val="fr-FR" w:bidi="ar-SY"/>
          </w:rPr>
          <w:t>Centre d’échange sur l’accès et le partage des avantages et partage d’informations</w:t>
        </w:r>
        <w:bookmarkEnd w:id="6"/>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_Toc178159942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27</w:t>
        </w:r>
        <w:r w:rsidR="00A15D81" w:rsidRPr="00084920">
          <w:rPr>
            <w:caps w:val="0"/>
            <w:noProof/>
            <w:webHidden/>
            <w:lang w:val="fr-FR"/>
          </w:rPr>
          <w:fldChar w:fldCharType="end"/>
        </w:r>
      </w:hyperlink>
    </w:p>
    <w:p w14:paraId="0597C498" w14:textId="0D38729C"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3" w:history="1">
        <w:r w:rsidR="00C56754">
          <w:rPr>
            <w:rStyle w:val="Lienhypertexte"/>
            <w:caps w:val="0"/>
            <w:noProof/>
            <w:lang w:val="fr-FR" w:bidi="ar-SY"/>
          </w:rPr>
          <w:t>Point</w:t>
        </w:r>
        <w:r w:rsidR="00A15D81" w:rsidRPr="00084920">
          <w:rPr>
            <w:rStyle w:val="Lienhypertexte"/>
            <w:caps w:val="0"/>
            <w:noProof/>
            <w:lang w:val="fr-FR" w:bidi="ar-SY"/>
          </w:rPr>
          <w:t xml:space="preserve"> 10</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7" w:name="_Hlk178502359"/>
        <w:r w:rsidR="00C56754">
          <w:rPr>
            <w:rStyle w:val="Lienhypertexte"/>
            <w:caps w:val="0"/>
            <w:noProof/>
            <w:lang w:val="fr-FR" w:bidi="ar-SY"/>
          </w:rPr>
          <w:t>Évaluation et examen de l’efficacité du Protocole</w:t>
        </w:r>
        <w:bookmarkEnd w:id="7"/>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_Toc178159943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29</w:t>
        </w:r>
        <w:r w:rsidR="00A15D81" w:rsidRPr="00084920">
          <w:rPr>
            <w:caps w:val="0"/>
            <w:noProof/>
            <w:webHidden/>
            <w:lang w:val="fr-FR"/>
          </w:rPr>
          <w:fldChar w:fldCharType="end"/>
        </w:r>
      </w:hyperlink>
    </w:p>
    <w:p w14:paraId="2A5D9BF7" w14:textId="70560A4E"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4" w:history="1">
        <w:r w:rsidR="00C56754">
          <w:rPr>
            <w:rStyle w:val="Lienhypertexte"/>
            <w:caps w:val="0"/>
            <w:noProof/>
            <w:lang w:val="fr-FR" w:bidi="ar-SY"/>
          </w:rPr>
          <w:t>Point</w:t>
        </w:r>
        <w:r w:rsidR="00A15D81" w:rsidRPr="00084920">
          <w:rPr>
            <w:rStyle w:val="Lienhypertexte"/>
            <w:caps w:val="0"/>
            <w:noProof/>
            <w:lang w:val="fr-FR" w:bidi="ar-SY"/>
          </w:rPr>
          <w:t xml:space="preserve"> 11</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8" w:name="_Hlk178502756"/>
        <w:r w:rsidR="00C56754">
          <w:rPr>
            <w:rStyle w:val="Lienhypertexte"/>
            <w:caps w:val="0"/>
            <w:noProof/>
            <w:lang w:val="fr-FR" w:bidi="ar-SY"/>
          </w:rPr>
          <w:t>Coopération avec des organisations internationales, des organismes créés en vertu d’autres conventions, et des initiatives</w:t>
        </w:r>
        <w:bookmarkEnd w:id="8"/>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_Toc178159944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33</w:t>
        </w:r>
        <w:r w:rsidR="00A15D81" w:rsidRPr="00084920">
          <w:rPr>
            <w:caps w:val="0"/>
            <w:noProof/>
            <w:webHidden/>
            <w:lang w:val="fr-FR"/>
          </w:rPr>
          <w:fldChar w:fldCharType="end"/>
        </w:r>
      </w:hyperlink>
    </w:p>
    <w:p w14:paraId="643514AA" w14:textId="4CBBE35C"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5" w:history="1">
        <w:r w:rsidR="00C56754">
          <w:rPr>
            <w:rStyle w:val="Lienhypertexte"/>
            <w:caps w:val="0"/>
            <w:noProof/>
            <w:lang w:val="fr-FR" w:bidi="ar-SY"/>
          </w:rPr>
          <w:t>Point</w:t>
        </w:r>
        <w:r w:rsidR="00A15D81" w:rsidRPr="00084920">
          <w:rPr>
            <w:rStyle w:val="Lienhypertexte"/>
            <w:caps w:val="0"/>
            <w:noProof/>
            <w:lang w:val="fr-FR" w:bidi="ar-SY"/>
          </w:rPr>
          <w:t xml:space="preserve"> 12</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9" w:name="_Hlk178502906"/>
        <w:r w:rsidR="00C56754">
          <w:rPr>
            <w:rStyle w:val="Lienhypertexte"/>
            <w:caps w:val="0"/>
            <w:noProof/>
            <w:lang w:val="fr-FR" w:bidi="ar-SY"/>
          </w:rPr>
          <w:t>Examen de l’efficacité des processus relev</w:t>
        </w:r>
        <w:r w:rsidR="00595B7B">
          <w:rPr>
            <w:rStyle w:val="Lienhypertexte"/>
            <w:caps w:val="0"/>
            <w:noProof/>
            <w:lang w:val="fr-FR" w:bidi="ar-SY"/>
          </w:rPr>
          <w:t>a</w:t>
        </w:r>
        <w:r w:rsidR="00C56754">
          <w:rPr>
            <w:rStyle w:val="Lienhypertexte"/>
            <w:caps w:val="0"/>
            <w:noProof/>
            <w:lang w:val="fr-FR" w:bidi="ar-SY"/>
          </w:rPr>
          <w:t>nt de la Convention et de ses Protocoles</w:t>
        </w:r>
        <w:bookmarkEnd w:id="9"/>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_Toc178159945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34</w:t>
        </w:r>
        <w:r w:rsidR="00A15D81" w:rsidRPr="00084920">
          <w:rPr>
            <w:caps w:val="0"/>
            <w:noProof/>
            <w:webHidden/>
            <w:lang w:val="fr-FR"/>
          </w:rPr>
          <w:fldChar w:fldCharType="end"/>
        </w:r>
      </w:hyperlink>
    </w:p>
    <w:p w14:paraId="6366B7F7" w14:textId="3A57766B"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6" w:history="1">
        <w:r w:rsidR="00C56754">
          <w:rPr>
            <w:rStyle w:val="Lienhypertexte"/>
            <w:caps w:val="0"/>
            <w:noProof/>
            <w:lang w:val="fr-FR" w:bidi="ar-SY"/>
          </w:rPr>
          <w:t>Point</w:t>
        </w:r>
        <w:r w:rsidR="00A15D81" w:rsidRPr="00084920">
          <w:rPr>
            <w:rStyle w:val="Lienhypertexte"/>
            <w:caps w:val="0"/>
            <w:noProof/>
            <w:lang w:val="fr-FR" w:bidi="ar-SY"/>
          </w:rPr>
          <w:t xml:space="preserve"> 13</w:t>
        </w:r>
        <w:r w:rsidR="002808A5" w:rsidRPr="00084920">
          <w:rPr>
            <w:rStyle w:val="Lienhypertexte"/>
            <w:caps w:val="0"/>
            <w:noProof/>
            <w:lang w:val="fr-FR" w:bidi="ar-SY"/>
          </w:rPr>
          <w:t>.</w:t>
        </w:r>
        <w:r w:rsidR="00A15D81" w:rsidRPr="00084920">
          <w:rPr>
            <w:rStyle w:val="Lienhypertexte"/>
            <w:caps w:val="0"/>
            <w:noProof/>
            <w:lang w:val="fr-FR" w:bidi="ar-SY"/>
          </w:rPr>
          <w:t xml:space="preserve"> </w:t>
        </w:r>
        <w:bookmarkStart w:id="10" w:name="_Hlk178503313"/>
        <w:r w:rsidR="00C56754">
          <w:rPr>
            <w:rStyle w:val="Lienhypertexte"/>
            <w:caps w:val="0"/>
            <w:noProof/>
            <w:lang w:val="fr-FR" w:bidi="ar-SY"/>
          </w:rPr>
          <w:t>Renforcer l’application du Protocole de Nagoya dans le contexte du Cadre mondial de biodiversité de Kunming-Montréal</w:t>
        </w:r>
        <w:bookmarkEnd w:id="10"/>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_Toc178159946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41</w:t>
        </w:r>
        <w:r w:rsidR="00A15D81" w:rsidRPr="00084920">
          <w:rPr>
            <w:caps w:val="0"/>
            <w:noProof/>
            <w:webHidden/>
            <w:lang w:val="fr-FR"/>
          </w:rPr>
          <w:fldChar w:fldCharType="end"/>
        </w:r>
      </w:hyperlink>
    </w:p>
    <w:p w14:paraId="76AC6262" w14:textId="28D0B9BB"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7" w:history="1">
        <w:r w:rsidR="00C56754">
          <w:rPr>
            <w:rStyle w:val="Lienhypertexte"/>
            <w:caps w:val="0"/>
            <w:noProof/>
            <w:lang w:val="fr-FR" w:bidi="ar-SY"/>
          </w:rPr>
          <w:t>Point</w:t>
        </w:r>
        <w:r w:rsidR="00A15D81" w:rsidRPr="00084920">
          <w:rPr>
            <w:rStyle w:val="Lienhypertexte"/>
            <w:caps w:val="0"/>
            <w:noProof/>
            <w:lang w:val="fr-FR" w:bidi="ar-SY"/>
          </w:rPr>
          <w:t xml:space="preserve"> 14</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Information de séquençage numérique sur les ressources génétiques</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_Toc178159947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43</w:t>
        </w:r>
        <w:r w:rsidR="00A15D81" w:rsidRPr="00084920">
          <w:rPr>
            <w:caps w:val="0"/>
            <w:noProof/>
            <w:webHidden/>
            <w:lang w:val="fr-FR"/>
          </w:rPr>
          <w:fldChar w:fldCharType="end"/>
        </w:r>
      </w:hyperlink>
    </w:p>
    <w:p w14:paraId="4E4739C5" w14:textId="33467C1D"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8" w:history="1">
        <w:r w:rsidR="00C56754">
          <w:rPr>
            <w:rStyle w:val="Lienhypertexte"/>
            <w:caps w:val="0"/>
            <w:noProof/>
            <w:lang w:val="fr-FR" w:bidi="ar-SY"/>
          </w:rPr>
          <w:t>Point</w:t>
        </w:r>
        <w:r w:rsidR="00A15D81" w:rsidRPr="00084920">
          <w:rPr>
            <w:rStyle w:val="Lienhypertexte"/>
            <w:caps w:val="0"/>
            <w:noProof/>
            <w:lang w:val="fr-FR" w:bidi="ar-SY"/>
          </w:rPr>
          <w:t xml:space="preserve"> 15</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Instruments internationaux spécialisés d’accès et de partage des avantages dans le contex</w:t>
        </w:r>
        <w:r w:rsidR="00595B7B">
          <w:rPr>
            <w:rStyle w:val="Lienhypertexte"/>
            <w:caps w:val="0"/>
            <w:noProof/>
            <w:lang w:val="fr-FR" w:bidi="ar-SY"/>
          </w:rPr>
          <w:t>t</w:t>
        </w:r>
        <w:r w:rsidR="00C56754">
          <w:rPr>
            <w:rStyle w:val="Lienhypertexte"/>
            <w:caps w:val="0"/>
            <w:noProof/>
            <w:lang w:val="fr-FR" w:bidi="ar-SY"/>
          </w:rPr>
          <w:t>e du paragraphe 4 de l’article 4 du Protocole de Nagoya</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_Toc178159948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44</w:t>
        </w:r>
        <w:r w:rsidR="00A15D81" w:rsidRPr="00084920">
          <w:rPr>
            <w:caps w:val="0"/>
            <w:noProof/>
            <w:webHidden/>
            <w:lang w:val="fr-FR"/>
          </w:rPr>
          <w:fldChar w:fldCharType="end"/>
        </w:r>
      </w:hyperlink>
    </w:p>
    <w:p w14:paraId="1D801143" w14:textId="4DB819E6"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49" w:history="1">
        <w:r w:rsidR="00C56754">
          <w:rPr>
            <w:rStyle w:val="Lienhypertexte"/>
            <w:caps w:val="0"/>
            <w:noProof/>
            <w:lang w:val="fr-FR" w:bidi="ar-SY"/>
          </w:rPr>
          <w:t>Point</w:t>
        </w:r>
        <w:r w:rsidR="00A15D81" w:rsidRPr="00084920">
          <w:rPr>
            <w:rStyle w:val="Lienhypertexte"/>
            <w:caps w:val="0"/>
            <w:noProof/>
            <w:lang w:val="fr-FR" w:bidi="ar-SY"/>
          </w:rPr>
          <w:t xml:space="preserve"> 16</w:t>
        </w:r>
        <w:r w:rsidR="002808A5" w:rsidRPr="00084920">
          <w:rPr>
            <w:rStyle w:val="Lienhypertexte"/>
            <w:caps w:val="0"/>
            <w:noProof/>
            <w:lang w:val="fr-FR" w:bidi="ar-SY"/>
          </w:rPr>
          <w:t>.</w:t>
        </w:r>
        <w:r w:rsidR="00A15D81" w:rsidRPr="00084920">
          <w:rPr>
            <w:rStyle w:val="Lienhypertexte"/>
            <w:caps w:val="0"/>
            <w:noProof/>
            <w:lang w:val="fr-FR" w:bidi="ar-SY"/>
          </w:rPr>
          <w:t xml:space="preserve"> </w:t>
        </w:r>
        <w:r w:rsidR="00C56754">
          <w:rPr>
            <w:rStyle w:val="Lienhypertexte"/>
            <w:caps w:val="0"/>
            <w:noProof/>
            <w:lang w:val="fr-FR" w:bidi="ar-SY"/>
          </w:rPr>
          <w:t>Mécanisme multilatéral mondial de partage des avantages</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_Toc178159949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46</w:t>
        </w:r>
        <w:r w:rsidR="00A15D81" w:rsidRPr="00084920">
          <w:rPr>
            <w:caps w:val="0"/>
            <w:noProof/>
            <w:webHidden/>
            <w:lang w:val="fr-FR"/>
          </w:rPr>
          <w:fldChar w:fldCharType="end"/>
        </w:r>
      </w:hyperlink>
    </w:p>
    <w:p w14:paraId="5522F0E2" w14:textId="1AEB047E" w:rsidR="00A15D81" w:rsidRPr="00084920" w:rsidRDefault="00000000" w:rsidP="00374B10">
      <w:pPr>
        <w:pStyle w:val="TM1"/>
        <w:tabs>
          <w:tab w:val="right" w:leader="dot" w:pos="9466"/>
        </w:tabs>
        <w:spacing w:after="120"/>
        <w:jc w:val="left"/>
        <w:rPr>
          <w:rFonts w:asciiTheme="minorHAnsi" w:eastAsiaTheme="minorEastAsia" w:hAnsiTheme="minorHAnsi" w:cstheme="minorBidi"/>
          <w:caps w:val="0"/>
          <w:noProof/>
          <w:kern w:val="2"/>
          <w:sz w:val="24"/>
          <w:lang w:val="fr-FR" w:eastAsia="en-CA"/>
          <w14:ligatures w14:val="standardContextual"/>
        </w:rPr>
      </w:pPr>
      <w:hyperlink w:anchor="_Toc178159950" w:history="1">
        <w:r w:rsidR="00C56754">
          <w:rPr>
            <w:rStyle w:val="Lienhypertexte"/>
            <w:caps w:val="0"/>
            <w:noProof/>
            <w:lang w:val="fr-FR" w:bidi="ar-SY"/>
          </w:rPr>
          <w:t>Point</w:t>
        </w:r>
        <w:r w:rsidR="00A15D81" w:rsidRPr="00084920">
          <w:rPr>
            <w:rStyle w:val="Lienhypertexte"/>
            <w:caps w:val="0"/>
            <w:noProof/>
            <w:lang w:val="fr-FR" w:bidi="ar-SY"/>
          </w:rPr>
          <w:t xml:space="preserve">s 17 </w:t>
        </w:r>
        <w:r w:rsidR="00C56754">
          <w:rPr>
            <w:rStyle w:val="Lienhypertexte"/>
            <w:caps w:val="0"/>
            <w:noProof/>
            <w:lang w:val="fr-FR" w:bidi="ar-SY"/>
          </w:rPr>
          <w:t>à</w:t>
        </w:r>
        <w:r w:rsidR="00A15D81" w:rsidRPr="00084920">
          <w:rPr>
            <w:rStyle w:val="Lienhypertexte"/>
            <w:caps w:val="0"/>
            <w:noProof/>
            <w:lang w:val="fr-FR" w:bidi="ar-SY"/>
          </w:rPr>
          <w:t xml:space="preserve"> 19</w:t>
        </w:r>
        <w:r w:rsidR="00A15D81" w:rsidRPr="00084920">
          <w:rPr>
            <w:caps w:val="0"/>
            <w:noProof/>
            <w:webHidden/>
            <w:lang w:val="fr-FR"/>
          </w:rPr>
          <w:tab/>
        </w:r>
        <w:r w:rsidR="00A15D81" w:rsidRPr="00084920">
          <w:rPr>
            <w:caps w:val="0"/>
            <w:noProof/>
            <w:webHidden/>
            <w:lang w:val="fr-FR"/>
          </w:rPr>
          <w:fldChar w:fldCharType="begin"/>
        </w:r>
        <w:r w:rsidR="00A15D81" w:rsidRPr="00084920">
          <w:rPr>
            <w:caps w:val="0"/>
            <w:noProof/>
            <w:webHidden/>
            <w:lang w:val="fr-FR"/>
          </w:rPr>
          <w:instrText xml:space="preserve"> PAGEREF _Toc178159950 \h </w:instrText>
        </w:r>
        <w:r w:rsidR="00A15D81" w:rsidRPr="00084920">
          <w:rPr>
            <w:caps w:val="0"/>
            <w:noProof/>
            <w:webHidden/>
            <w:lang w:val="fr-FR"/>
          </w:rPr>
        </w:r>
        <w:r w:rsidR="00A15D81" w:rsidRPr="00084920">
          <w:rPr>
            <w:caps w:val="0"/>
            <w:noProof/>
            <w:webHidden/>
            <w:lang w:val="fr-FR"/>
          </w:rPr>
          <w:fldChar w:fldCharType="separate"/>
        </w:r>
        <w:r w:rsidR="001B5295">
          <w:rPr>
            <w:caps w:val="0"/>
            <w:noProof/>
            <w:webHidden/>
            <w:lang w:val="fr-FR"/>
          </w:rPr>
          <w:t>47</w:t>
        </w:r>
        <w:r w:rsidR="00A15D81" w:rsidRPr="00084920">
          <w:rPr>
            <w:caps w:val="0"/>
            <w:noProof/>
            <w:webHidden/>
            <w:lang w:val="fr-FR"/>
          </w:rPr>
          <w:fldChar w:fldCharType="end"/>
        </w:r>
      </w:hyperlink>
    </w:p>
    <w:p w14:paraId="6ECB1442" w14:textId="1D4686B9" w:rsidR="00C55A70" w:rsidRPr="00084920" w:rsidRDefault="00565097" w:rsidP="00C55A70">
      <w:pPr>
        <w:pStyle w:val="CBDTitle"/>
        <w:rPr>
          <w:lang w:val="fr-FR" w:bidi="ar-SY"/>
        </w:rPr>
      </w:pPr>
      <w:r w:rsidRPr="00084920">
        <w:rPr>
          <w:lang w:val="fr-FR" w:bidi="ar-SY"/>
        </w:rPr>
        <w:fldChar w:fldCharType="end"/>
      </w:r>
    </w:p>
    <w:p w14:paraId="25BC6D57" w14:textId="77777777" w:rsidR="00C55A70" w:rsidRPr="00084920" w:rsidRDefault="00C55A70" w:rsidP="00C55A70">
      <w:pPr>
        <w:pStyle w:val="CBDSubTitle"/>
        <w:rPr>
          <w:lang w:val="fr-FR" w:bidi="ar-SY"/>
        </w:rPr>
      </w:pPr>
    </w:p>
    <w:p w14:paraId="38583FD4" w14:textId="77777777" w:rsidR="00C55A70" w:rsidRPr="00084920" w:rsidRDefault="00C55A70" w:rsidP="00C55A70">
      <w:pPr>
        <w:pStyle w:val="CBDTitle"/>
        <w:rPr>
          <w:lang w:val="fr-FR" w:bidi="ar-SY"/>
        </w:rPr>
        <w:sectPr w:rsidR="00C55A70" w:rsidRPr="00084920" w:rsidSect="005549D8">
          <w:headerReference w:type="even" r:id="rId18"/>
          <w:headerReference w:type="default" r:id="rId19"/>
          <w:footerReference w:type="even" r:id="rId20"/>
          <w:footerReference w:type="default" r:id="rId21"/>
          <w:pgSz w:w="12240" w:h="15840" w:code="1"/>
          <w:pgMar w:top="562" w:right="1382" w:bottom="1138" w:left="1382" w:header="706" w:footer="706" w:gutter="0"/>
          <w:cols w:space="708"/>
          <w:docGrid w:linePitch="360"/>
        </w:sectPr>
      </w:pPr>
    </w:p>
    <w:p w14:paraId="73795572" w14:textId="1D630FA2" w:rsidR="006A3380" w:rsidRPr="00084920" w:rsidRDefault="00D52509" w:rsidP="00D56117">
      <w:pPr>
        <w:pStyle w:val="CBDAnnex"/>
        <w:outlineLvl w:val="0"/>
        <w:rPr>
          <w:iCs/>
          <w:lang w:val="fr-FR"/>
        </w:rPr>
      </w:pPr>
      <w:bookmarkStart w:id="11" w:name="_Toc178159937"/>
      <w:r>
        <w:rPr>
          <w:lang w:val="fr-FR"/>
        </w:rPr>
        <w:lastRenderedPageBreak/>
        <w:t>Points</w:t>
      </w:r>
      <w:r w:rsidR="00EE54EF">
        <w:rPr>
          <w:lang w:val="fr-FR"/>
        </w:rPr>
        <w:t> </w:t>
      </w:r>
      <w:r w:rsidR="007F5E6B" w:rsidRPr="00084920">
        <w:rPr>
          <w:lang w:val="fr-FR"/>
        </w:rPr>
        <w:t>1</w:t>
      </w:r>
      <w:r w:rsidR="00D74140" w:rsidRPr="00084920">
        <w:rPr>
          <w:lang w:val="fr-FR"/>
        </w:rPr>
        <w:t xml:space="preserve"> </w:t>
      </w:r>
      <w:r w:rsidR="00221DCA">
        <w:rPr>
          <w:lang w:val="fr-FR"/>
        </w:rPr>
        <w:t xml:space="preserve">à </w:t>
      </w:r>
      <w:r w:rsidR="0039099C" w:rsidRPr="00084920">
        <w:rPr>
          <w:lang w:val="fr-FR"/>
        </w:rPr>
        <w:t>4</w:t>
      </w:r>
      <w:bookmarkEnd w:id="11"/>
    </w:p>
    <w:p w14:paraId="7828A73B" w14:textId="69519461" w:rsidR="00A61D5E" w:rsidRPr="00084920" w:rsidRDefault="00585D02" w:rsidP="00374B10">
      <w:pPr>
        <w:pStyle w:val="CBDNormalNoNumber"/>
        <w:ind w:firstLine="567"/>
        <w:rPr>
          <w:lang w:val="fr-FR"/>
        </w:rPr>
      </w:pPr>
      <w:r>
        <w:rPr>
          <w:lang w:val="fr-FR"/>
        </w:rPr>
        <w:t>Aucun projet de décision relatif aux points de l’ordre du jour 1 à 4 n’est envisagé, en raison de la nature de ces points. Les actions requises de la part de la Conférence des Partes siégeant en tant que Parties au Protocole de Nagoya pour ces points sont reflétées dans l’ordre du jour provisoire annoté.</w:t>
      </w:r>
    </w:p>
    <w:p w14:paraId="0827F23E" w14:textId="77777777" w:rsidR="00C55A70" w:rsidRPr="00084920" w:rsidRDefault="00C55A70" w:rsidP="00A61D5E">
      <w:pPr>
        <w:pStyle w:val="CBDNormalNoNumber"/>
        <w:rPr>
          <w:lang w:val="fr-FR"/>
        </w:rPr>
      </w:pPr>
    </w:p>
    <w:p w14:paraId="1A2F9A48" w14:textId="77777777" w:rsidR="005549D8" w:rsidRPr="00084920" w:rsidRDefault="005549D8" w:rsidP="00D56117">
      <w:pPr>
        <w:pStyle w:val="CBDAnnex"/>
        <w:spacing w:before="240"/>
        <w:outlineLvl w:val="0"/>
        <w:rPr>
          <w:lang w:val="fr-FR"/>
        </w:rPr>
        <w:sectPr w:rsidR="005549D8" w:rsidRPr="00084920" w:rsidSect="005549D8">
          <w:pgSz w:w="12240" w:h="15840" w:code="1"/>
          <w:pgMar w:top="562" w:right="1382" w:bottom="1138" w:left="1382" w:header="706" w:footer="706" w:gutter="0"/>
          <w:cols w:space="708"/>
          <w:docGrid w:linePitch="360"/>
        </w:sectPr>
      </w:pPr>
    </w:p>
    <w:p w14:paraId="6A54D999" w14:textId="5D44013E" w:rsidR="006A3380" w:rsidRPr="00084920" w:rsidRDefault="00F67804" w:rsidP="00D56117">
      <w:pPr>
        <w:pStyle w:val="CBDAnnex"/>
        <w:spacing w:before="240"/>
        <w:outlineLvl w:val="0"/>
        <w:rPr>
          <w:lang w:val="fr-FR"/>
        </w:rPr>
      </w:pPr>
      <w:bookmarkStart w:id="12" w:name="_Toc178159938"/>
      <w:r>
        <w:rPr>
          <w:lang w:val="fr-FR"/>
        </w:rPr>
        <w:lastRenderedPageBreak/>
        <w:t>Point</w:t>
      </w:r>
      <w:r w:rsidR="00EE54EF">
        <w:rPr>
          <w:lang w:val="fr-FR"/>
        </w:rPr>
        <w:t> </w:t>
      </w:r>
      <w:r w:rsidR="00611606" w:rsidRPr="00084920">
        <w:rPr>
          <w:lang w:val="fr-FR"/>
        </w:rPr>
        <w:t>5</w:t>
      </w:r>
      <w:r w:rsidR="00D74140" w:rsidRPr="00084920">
        <w:rPr>
          <w:lang w:val="fr-FR"/>
        </w:rPr>
        <w:t xml:space="preserve"> </w:t>
      </w:r>
      <w:r w:rsidR="00D74140" w:rsidRPr="00084920">
        <w:rPr>
          <w:lang w:val="fr-FR"/>
        </w:rPr>
        <w:br/>
      </w:r>
      <w:bookmarkEnd w:id="12"/>
      <w:r w:rsidR="001F3B07" w:rsidRPr="001F3B07">
        <w:rPr>
          <w:lang w:val="fr-FR"/>
        </w:rPr>
        <w:t>Rapport du Comité chargé du respect des obligations</w:t>
      </w:r>
    </w:p>
    <w:tbl>
      <w:tblPr>
        <w:tblStyle w:val="Grilledutableau"/>
        <w:tblW w:w="0" w:type="auto"/>
        <w:tblLook w:val="04A0" w:firstRow="1" w:lastRow="0" w:firstColumn="1" w:lastColumn="0" w:noHBand="0" w:noVBand="1"/>
      </w:tblPr>
      <w:tblGrid>
        <w:gridCol w:w="9350"/>
      </w:tblGrid>
      <w:tr w:rsidR="00B8584D" w:rsidRPr="00084920" w14:paraId="12ACA0A2" w14:textId="77777777" w:rsidTr="00557F83">
        <w:tc>
          <w:tcPr>
            <w:tcW w:w="9350" w:type="dxa"/>
            <w:tcBorders>
              <w:left w:val="nil"/>
              <w:right w:val="nil"/>
            </w:tcBorders>
          </w:tcPr>
          <w:p w14:paraId="5C145278" w14:textId="25ACC6A6" w:rsidR="00B8584D" w:rsidRPr="00084920" w:rsidRDefault="00926FDA" w:rsidP="00374B10">
            <w:pPr>
              <w:pStyle w:val="CBDNormalNoNumber"/>
              <w:tabs>
                <w:tab w:val="clear" w:pos="567"/>
              </w:tabs>
              <w:spacing w:before="60" w:after="60"/>
              <w:ind w:left="0" w:firstLine="596"/>
              <w:rPr>
                <w:i/>
                <w:iCs/>
                <w:lang w:val="fr-FR"/>
              </w:rPr>
            </w:pPr>
            <w:r>
              <w:rPr>
                <w:i/>
                <w:iCs/>
                <w:lang w:val="fr-FR"/>
              </w:rPr>
              <w:t>Les éléments suivants de projet de décision ont été reproduit</w:t>
            </w:r>
            <w:r w:rsidR="001B5295">
              <w:rPr>
                <w:i/>
                <w:iCs/>
                <w:lang w:val="fr-FR"/>
              </w:rPr>
              <w:t>s</w:t>
            </w:r>
            <w:r>
              <w:rPr>
                <w:i/>
                <w:iCs/>
                <w:lang w:val="fr-FR"/>
              </w:rPr>
              <w:t xml:space="preserve"> à partir du rapport du Comité chargé du respect des obligations sur les travaux de sa quatrième réunion</w:t>
            </w:r>
            <w:r w:rsidR="00B8584D" w:rsidRPr="00084920">
              <w:rPr>
                <w:i/>
                <w:iCs/>
                <w:lang w:val="fr-FR"/>
              </w:rPr>
              <w:t xml:space="preserve"> </w:t>
            </w:r>
            <w:r w:rsidR="000514EA" w:rsidRPr="00084920">
              <w:rPr>
                <w:i/>
                <w:iCs/>
                <w:lang w:val="fr-FR"/>
              </w:rPr>
              <w:t>(CBD/NP/MOP/</w:t>
            </w:r>
            <w:r w:rsidR="00E718E3" w:rsidRPr="00084920">
              <w:rPr>
                <w:i/>
                <w:iCs/>
                <w:lang w:val="fr-FR"/>
              </w:rPr>
              <w:t>5/3</w:t>
            </w:r>
            <w:r w:rsidR="00573B83" w:rsidRPr="00084920">
              <w:rPr>
                <w:i/>
                <w:iCs/>
                <w:lang w:val="fr-FR"/>
              </w:rPr>
              <w:t>, annex</w:t>
            </w:r>
            <w:r>
              <w:rPr>
                <w:i/>
                <w:iCs/>
                <w:lang w:val="fr-FR"/>
              </w:rPr>
              <w:t>e</w:t>
            </w:r>
            <w:r w:rsidR="00E718E3" w:rsidRPr="00084920">
              <w:rPr>
                <w:i/>
                <w:iCs/>
                <w:lang w:val="fr-FR"/>
              </w:rPr>
              <w:t>)</w:t>
            </w:r>
            <w:r w:rsidR="00DF2628" w:rsidRPr="00084920">
              <w:rPr>
                <w:i/>
                <w:iCs/>
                <w:lang w:val="fr-FR"/>
              </w:rPr>
              <w:t>.</w:t>
            </w:r>
          </w:p>
        </w:tc>
      </w:tr>
    </w:tbl>
    <w:p w14:paraId="4F3D5921" w14:textId="3A69460B" w:rsidR="001B331D" w:rsidRPr="00084920" w:rsidRDefault="00926FDA" w:rsidP="001B331D">
      <w:pPr>
        <w:pStyle w:val="Para10"/>
        <w:numPr>
          <w:ilvl w:val="0"/>
          <w:numId w:val="0"/>
        </w:numPr>
        <w:tabs>
          <w:tab w:val="clear" w:pos="1134"/>
        </w:tabs>
        <w:ind w:left="567" w:firstLine="567"/>
        <w:rPr>
          <w:i/>
          <w:iCs/>
          <w:lang w:val="fr-FR"/>
        </w:rPr>
      </w:pPr>
      <w:r>
        <w:rPr>
          <w:i/>
          <w:iCs/>
          <w:lang w:val="fr-FR"/>
        </w:rPr>
        <w:t>La Conférence des Parties siégeant en tant que réunion des Parties au Protocole de Nagoya</w:t>
      </w:r>
    </w:p>
    <w:p w14:paraId="6D16DBEC" w14:textId="6E6B5653" w:rsidR="001B331D" w:rsidRPr="00084920" w:rsidRDefault="001B331D" w:rsidP="001B331D">
      <w:pPr>
        <w:pStyle w:val="Para10"/>
        <w:numPr>
          <w:ilvl w:val="0"/>
          <w:numId w:val="0"/>
        </w:numPr>
        <w:tabs>
          <w:tab w:val="clear" w:pos="1134"/>
        </w:tabs>
        <w:ind w:left="567" w:firstLine="567"/>
        <w:rPr>
          <w:lang w:val="fr-FR"/>
        </w:rPr>
      </w:pPr>
      <w:r w:rsidRPr="00084920">
        <w:rPr>
          <w:lang w:val="fr-FR"/>
        </w:rPr>
        <w:t>1.</w:t>
      </w:r>
      <w:r w:rsidRPr="00084920">
        <w:rPr>
          <w:lang w:val="fr-FR"/>
        </w:rPr>
        <w:tab/>
      </w:r>
      <w:r w:rsidR="00926FDA">
        <w:rPr>
          <w:i/>
          <w:iCs/>
          <w:lang w:val="fr-FR"/>
        </w:rPr>
        <w:t>Exhorte</w:t>
      </w:r>
      <w:r w:rsidRPr="00084920">
        <w:rPr>
          <w:lang w:val="fr-FR"/>
        </w:rPr>
        <w:t xml:space="preserve"> </w:t>
      </w:r>
      <w:r w:rsidR="00926FDA" w:rsidRPr="00926FDA">
        <w:rPr>
          <w:lang w:val="fr-FR"/>
        </w:rPr>
        <w:t xml:space="preserve">les </w:t>
      </w:r>
      <w:r w:rsidR="00926FDA">
        <w:rPr>
          <w:lang w:val="fr-FR"/>
        </w:rPr>
        <w:t>P</w:t>
      </w:r>
      <w:r w:rsidR="00926FDA" w:rsidRPr="00926FDA">
        <w:rPr>
          <w:lang w:val="fr-FR"/>
        </w:rPr>
        <w:t>arties à respecter leurs obligations au titre du Protocole</w:t>
      </w:r>
      <w:r w:rsidR="00862610">
        <w:rPr>
          <w:lang w:val="fr-FR"/>
        </w:rPr>
        <w:t> </w:t>
      </w:r>
      <w:r w:rsidRPr="00084920">
        <w:rPr>
          <w:lang w:val="fr-FR"/>
        </w:rPr>
        <w:t>;</w:t>
      </w:r>
    </w:p>
    <w:p w14:paraId="20FFD2CA" w14:textId="56D6A48A" w:rsidR="001B331D" w:rsidRPr="00084920" w:rsidRDefault="001B331D" w:rsidP="001B331D">
      <w:pPr>
        <w:pStyle w:val="Para10"/>
        <w:numPr>
          <w:ilvl w:val="0"/>
          <w:numId w:val="0"/>
        </w:numPr>
        <w:tabs>
          <w:tab w:val="clear" w:pos="1134"/>
        </w:tabs>
        <w:ind w:left="567" w:firstLine="567"/>
        <w:rPr>
          <w:lang w:val="fr-FR"/>
        </w:rPr>
      </w:pPr>
      <w:r w:rsidRPr="00084920">
        <w:rPr>
          <w:lang w:val="fr-FR"/>
        </w:rPr>
        <w:t>2.</w:t>
      </w:r>
      <w:r w:rsidRPr="00084920">
        <w:rPr>
          <w:lang w:val="fr-FR"/>
        </w:rPr>
        <w:tab/>
      </w:r>
      <w:r w:rsidR="00F33FC9" w:rsidRPr="00084920">
        <w:rPr>
          <w:i/>
          <w:iCs/>
          <w:lang w:val="fr-FR"/>
        </w:rPr>
        <w:t>E</w:t>
      </w:r>
      <w:r w:rsidRPr="00084920">
        <w:rPr>
          <w:i/>
          <w:iCs/>
          <w:lang w:val="fr-FR"/>
        </w:rPr>
        <w:t>ncourage</w:t>
      </w:r>
      <w:r w:rsidR="00862610">
        <w:rPr>
          <w:i/>
          <w:iCs/>
          <w:lang w:val="fr-FR"/>
        </w:rPr>
        <w:t xml:space="preserve"> </w:t>
      </w:r>
      <w:r w:rsidR="00862610" w:rsidRPr="00692685">
        <w:rPr>
          <w:lang w:val="fr-FR"/>
        </w:rPr>
        <w:t>les Parties à inclure l</w:t>
      </w:r>
      <w:r w:rsidR="00EE54EF">
        <w:rPr>
          <w:lang w:val="fr-FR"/>
        </w:rPr>
        <w:t>’</w:t>
      </w:r>
      <w:r w:rsidR="00862610" w:rsidRPr="00692685">
        <w:rPr>
          <w:lang w:val="fr-FR"/>
        </w:rPr>
        <w:t>accès et le partage des avantages dans la révision ou la mise à jour de leurs stratégies et plans d</w:t>
      </w:r>
      <w:r w:rsidR="00EE54EF">
        <w:rPr>
          <w:lang w:val="fr-FR"/>
        </w:rPr>
        <w:t>’</w:t>
      </w:r>
      <w:r w:rsidR="00862610" w:rsidRPr="00692685">
        <w:rPr>
          <w:lang w:val="fr-FR"/>
        </w:rPr>
        <w:t>action nationaux pour la biodiversité comme moyen de sensibilisation et de soutien à la mise en œuvre du Protocole</w:t>
      </w:r>
      <w:r w:rsidR="00862610">
        <w:rPr>
          <w:lang w:val="fr-FR"/>
        </w:rPr>
        <w:t> </w:t>
      </w:r>
      <w:r w:rsidRPr="00084920">
        <w:rPr>
          <w:lang w:val="fr-FR"/>
        </w:rPr>
        <w:t>;</w:t>
      </w:r>
    </w:p>
    <w:p w14:paraId="11465226" w14:textId="0B2D590E" w:rsidR="001B331D" w:rsidRPr="00084920" w:rsidRDefault="001B331D" w:rsidP="001B331D">
      <w:pPr>
        <w:pStyle w:val="Para10"/>
        <w:numPr>
          <w:ilvl w:val="0"/>
          <w:numId w:val="0"/>
        </w:numPr>
        <w:tabs>
          <w:tab w:val="clear" w:pos="1134"/>
        </w:tabs>
        <w:ind w:left="567" w:firstLine="567"/>
        <w:rPr>
          <w:lang w:val="fr-FR"/>
        </w:rPr>
      </w:pPr>
      <w:r w:rsidRPr="00084920">
        <w:rPr>
          <w:lang w:val="fr-FR"/>
        </w:rPr>
        <w:t>3.</w:t>
      </w:r>
      <w:r w:rsidRPr="00084920">
        <w:rPr>
          <w:lang w:val="fr-FR"/>
        </w:rPr>
        <w:tab/>
      </w:r>
      <w:r w:rsidR="00862610">
        <w:rPr>
          <w:i/>
          <w:iCs/>
          <w:lang w:val="fr-FR"/>
        </w:rPr>
        <w:t>Demande</w:t>
      </w:r>
      <w:r w:rsidRPr="00084920">
        <w:rPr>
          <w:lang w:val="fr-FR"/>
        </w:rPr>
        <w:t xml:space="preserve"> </w:t>
      </w:r>
      <w:r w:rsidR="00862610" w:rsidRPr="00692685">
        <w:rPr>
          <w:lang w:val="fr-FR"/>
        </w:rPr>
        <w:t>aux Parties qui n</w:t>
      </w:r>
      <w:r w:rsidR="00EE54EF">
        <w:rPr>
          <w:lang w:val="fr-FR"/>
        </w:rPr>
        <w:t>’</w:t>
      </w:r>
      <w:r w:rsidR="00862610" w:rsidRPr="00692685">
        <w:rPr>
          <w:lang w:val="fr-FR"/>
        </w:rPr>
        <w:t>ont pas encore complètement mis en place les mesures législatives, administratives ou de politique générale nécessaires à la mise en œuvre du Protocole d</w:t>
      </w:r>
      <w:r w:rsidR="00EE54EF">
        <w:rPr>
          <w:lang w:val="fr-FR"/>
        </w:rPr>
        <w:t>’</w:t>
      </w:r>
      <w:r w:rsidR="00862610" w:rsidRPr="00692685">
        <w:rPr>
          <w:lang w:val="fr-FR"/>
        </w:rPr>
        <w:t>accélérer l</w:t>
      </w:r>
      <w:r w:rsidR="00EE54EF">
        <w:rPr>
          <w:lang w:val="fr-FR"/>
        </w:rPr>
        <w:t>’</w:t>
      </w:r>
      <w:r w:rsidR="00862610" w:rsidRPr="00692685">
        <w:rPr>
          <w:lang w:val="fr-FR"/>
        </w:rPr>
        <w:t>adoption de ces mesures et d</w:t>
      </w:r>
      <w:r w:rsidR="00EE54EF">
        <w:rPr>
          <w:lang w:val="fr-FR"/>
        </w:rPr>
        <w:t>’</w:t>
      </w:r>
      <w:r w:rsidR="00862610" w:rsidRPr="00692685">
        <w:rPr>
          <w:lang w:val="fr-FR"/>
        </w:rPr>
        <w:t>y inclure la désignation d</w:t>
      </w:r>
      <w:r w:rsidR="00EE54EF">
        <w:rPr>
          <w:lang w:val="fr-FR"/>
        </w:rPr>
        <w:t>’</w:t>
      </w:r>
      <w:r w:rsidR="00862610" w:rsidRPr="00692685">
        <w:rPr>
          <w:lang w:val="fr-FR"/>
        </w:rPr>
        <w:t>une ou plusieurs autorités nationales compétentes et d</w:t>
      </w:r>
      <w:r w:rsidR="00EE54EF">
        <w:rPr>
          <w:lang w:val="fr-FR"/>
        </w:rPr>
        <w:t>’</w:t>
      </w:r>
      <w:r w:rsidR="00862610" w:rsidRPr="00692685">
        <w:rPr>
          <w:lang w:val="fr-FR"/>
        </w:rPr>
        <w:t>un ou plusieurs points de contrôle</w:t>
      </w:r>
      <w:r w:rsidR="00862610">
        <w:rPr>
          <w:lang w:val="fr-FR"/>
        </w:rPr>
        <w:t> </w:t>
      </w:r>
      <w:r w:rsidRPr="00084920">
        <w:rPr>
          <w:lang w:val="fr-FR"/>
        </w:rPr>
        <w:t>;</w:t>
      </w:r>
    </w:p>
    <w:p w14:paraId="51CA2936" w14:textId="2358B9F1" w:rsidR="001B331D" w:rsidRPr="00084920" w:rsidRDefault="001B331D" w:rsidP="001B331D">
      <w:pPr>
        <w:pStyle w:val="Para10"/>
        <w:numPr>
          <w:ilvl w:val="0"/>
          <w:numId w:val="0"/>
        </w:numPr>
        <w:tabs>
          <w:tab w:val="clear" w:pos="1134"/>
        </w:tabs>
        <w:ind w:left="567" w:firstLine="567"/>
        <w:rPr>
          <w:lang w:val="fr-FR"/>
        </w:rPr>
      </w:pPr>
      <w:r w:rsidRPr="00084920">
        <w:rPr>
          <w:lang w:val="fr-FR"/>
        </w:rPr>
        <w:t>4.</w:t>
      </w:r>
      <w:r w:rsidRPr="00084920">
        <w:rPr>
          <w:lang w:val="fr-FR"/>
        </w:rPr>
        <w:tab/>
      </w:r>
      <w:r w:rsidR="00862610">
        <w:rPr>
          <w:i/>
          <w:iCs/>
          <w:lang w:val="fr-FR"/>
        </w:rPr>
        <w:t>Exhorte</w:t>
      </w:r>
      <w:r w:rsidRPr="00084920">
        <w:rPr>
          <w:lang w:val="fr-FR"/>
        </w:rPr>
        <w:t xml:space="preserve"> </w:t>
      </w:r>
      <w:r w:rsidR="00862610" w:rsidRPr="00692685">
        <w:rPr>
          <w:lang w:val="fr-FR"/>
        </w:rPr>
        <w:t>les Parties à mettre à disposition les informations nécessaires sur le Centre d</w:t>
      </w:r>
      <w:r w:rsidR="00EE54EF">
        <w:rPr>
          <w:lang w:val="fr-FR"/>
        </w:rPr>
        <w:t>’</w:t>
      </w:r>
      <w:r w:rsidR="00862610" w:rsidRPr="00692685">
        <w:rPr>
          <w:lang w:val="fr-FR"/>
        </w:rPr>
        <w:t>échange sur l</w:t>
      </w:r>
      <w:r w:rsidR="00EE54EF">
        <w:rPr>
          <w:lang w:val="fr-FR"/>
        </w:rPr>
        <w:t>’</w:t>
      </w:r>
      <w:r w:rsidR="00862610" w:rsidRPr="00692685">
        <w:rPr>
          <w:lang w:val="fr-FR"/>
        </w:rPr>
        <w:t>accès et le partage des avantages, comme le prévoit l</w:t>
      </w:r>
      <w:r w:rsidR="00EE54EF">
        <w:rPr>
          <w:lang w:val="fr-FR"/>
        </w:rPr>
        <w:t>’</w:t>
      </w:r>
      <w:r w:rsidR="00862610" w:rsidRPr="00692685">
        <w:rPr>
          <w:lang w:val="fr-FR"/>
        </w:rPr>
        <w:t>article</w:t>
      </w:r>
      <w:r w:rsidR="00EE54EF">
        <w:rPr>
          <w:lang w:val="fr-FR"/>
        </w:rPr>
        <w:t> </w:t>
      </w:r>
      <w:r w:rsidR="00862610" w:rsidRPr="00692685">
        <w:rPr>
          <w:lang w:val="fr-FR"/>
        </w:rPr>
        <w:t>14, paragraphe</w:t>
      </w:r>
      <w:r w:rsidR="00EE54EF">
        <w:rPr>
          <w:lang w:val="fr-FR"/>
        </w:rPr>
        <w:t> </w:t>
      </w:r>
      <w:r w:rsidR="00862610" w:rsidRPr="00692685">
        <w:rPr>
          <w:lang w:val="fr-FR"/>
        </w:rPr>
        <w:t>2, du Protocole</w:t>
      </w:r>
      <w:r w:rsidR="00862610">
        <w:rPr>
          <w:lang w:val="fr-FR"/>
        </w:rPr>
        <w:t> </w:t>
      </w:r>
      <w:r w:rsidRPr="00084920">
        <w:rPr>
          <w:lang w:val="fr-FR"/>
        </w:rPr>
        <w:t>;</w:t>
      </w:r>
    </w:p>
    <w:p w14:paraId="539BD94D" w14:textId="0066DD9B" w:rsidR="001B331D" w:rsidRPr="00084920" w:rsidRDefault="001B331D" w:rsidP="001B331D">
      <w:pPr>
        <w:pStyle w:val="Para10"/>
        <w:numPr>
          <w:ilvl w:val="0"/>
          <w:numId w:val="0"/>
        </w:numPr>
        <w:tabs>
          <w:tab w:val="clear" w:pos="1134"/>
        </w:tabs>
        <w:ind w:left="567" w:firstLine="567"/>
        <w:rPr>
          <w:lang w:val="fr-FR"/>
        </w:rPr>
      </w:pPr>
      <w:r w:rsidRPr="00084920">
        <w:rPr>
          <w:lang w:val="fr-FR"/>
        </w:rPr>
        <w:t>5.</w:t>
      </w:r>
      <w:r w:rsidRPr="00084920">
        <w:rPr>
          <w:lang w:val="fr-FR"/>
        </w:rPr>
        <w:tab/>
      </w:r>
      <w:r w:rsidR="00862610">
        <w:rPr>
          <w:i/>
          <w:iCs/>
          <w:lang w:val="fr-FR"/>
        </w:rPr>
        <w:t>Demande</w:t>
      </w:r>
      <w:r w:rsidRPr="00084920">
        <w:rPr>
          <w:lang w:val="fr-FR"/>
        </w:rPr>
        <w:t xml:space="preserve"> </w:t>
      </w:r>
      <w:r w:rsidR="00862610" w:rsidRPr="000E22D0">
        <w:rPr>
          <w:lang w:val="fr-FR"/>
        </w:rPr>
        <w:t>aux Parties de collaborer pleinement lorsqu</w:t>
      </w:r>
      <w:r w:rsidR="00EE54EF">
        <w:rPr>
          <w:lang w:val="fr-FR"/>
        </w:rPr>
        <w:t>’</w:t>
      </w:r>
      <w:r w:rsidR="00862610" w:rsidRPr="000E22D0">
        <w:rPr>
          <w:lang w:val="fr-FR"/>
        </w:rPr>
        <w:t>elles sont contactées par le Secrétariat pour fournir des informations relatives au respect de leurs obligations au titre du Protocole</w:t>
      </w:r>
      <w:r w:rsidR="00862610">
        <w:rPr>
          <w:lang w:val="fr-FR"/>
        </w:rPr>
        <w:t> </w:t>
      </w:r>
      <w:r w:rsidRPr="00084920">
        <w:rPr>
          <w:lang w:val="fr-FR"/>
        </w:rPr>
        <w:t>;</w:t>
      </w:r>
    </w:p>
    <w:p w14:paraId="1CEC5344" w14:textId="18480AE7" w:rsidR="001B331D" w:rsidRPr="00084920" w:rsidRDefault="001B331D" w:rsidP="001B331D">
      <w:pPr>
        <w:pStyle w:val="Para10"/>
        <w:numPr>
          <w:ilvl w:val="0"/>
          <w:numId w:val="0"/>
        </w:numPr>
        <w:tabs>
          <w:tab w:val="clear" w:pos="1134"/>
        </w:tabs>
        <w:ind w:left="567" w:firstLine="567"/>
        <w:rPr>
          <w:lang w:val="fr-FR"/>
        </w:rPr>
      </w:pPr>
      <w:r w:rsidRPr="00084920">
        <w:rPr>
          <w:lang w:val="fr-FR"/>
        </w:rPr>
        <w:t>6.</w:t>
      </w:r>
      <w:r w:rsidRPr="00084920">
        <w:rPr>
          <w:lang w:val="fr-FR"/>
        </w:rPr>
        <w:tab/>
      </w:r>
      <w:r w:rsidR="00862610">
        <w:rPr>
          <w:i/>
          <w:iCs/>
          <w:lang w:val="fr-FR"/>
        </w:rPr>
        <w:t>Se félicite</w:t>
      </w:r>
      <w:r w:rsidRPr="00084920">
        <w:rPr>
          <w:lang w:val="fr-FR"/>
        </w:rPr>
        <w:t xml:space="preserve"> </w:t>
      </w:r>
      <w:r w:rsidR="00862610" w:rsidRPr="000E22D0">
        <w:rPr>
          <w:lang w:val="fr-FR"/>
        </w:rPr>
        <w:t xml:space="preserve">du taux élevé de présentation des rapports nationaux intérimaires sur la mise en œuvre du </w:t>
      </w:r>
      <w:r w:rsidR="00862610">
        <w:rPr>
          <w:lang w:val="fr-FR"/>
        </w:rPr>
        <w:t>P</w:t>
      </w:r>
      <w:r w:rsidR="00862610" w:rsidRPr="000E22D0">
        <w:rPr>
          <w:lang w:val="fr-FR"/>
        </w:rPr>
        <w:t>rotocole</w:t>
      </w:r>
      <w:r w:rsidR="00862610">
        <w:rPr>
          <w:lang w:val="fr-FR"/>
        </w:rPr>
        <w:t> </w:t>
      </w:r>
      <w:r w:rsidRPr="00084920">
        <w:rPr>
          <w:lang w:val="fr-FR"/>
        </w:rPr>
        <w:t>;</w:t>
      </w:r>
    </w:p>
    <w:p w14:paraId="31430795" w14:textId="2511E9EF" w:rsidR="001B331D" w:rsidRPr="00084920" w:rsidRDefault="001B331D" w:rsidP="001B331D">
      <w:pPr>
        <w:pStyle w:val="Para10"/>
        <w:numPr>
          <w:ilvl w:val="0"/>
          <w:numId w:val="0"/>
        </w:numPr>
        <w:tabs>
          <w:tab w:val="clear" w:pos="1134"/>
        </w:tabs>
        <w:ind w:left="567" w:firstLine="567"/>
        <w:rPr>
          <w:lang w:val="fr-FR"/>
        </w:rPr>
      </w:pPr>
      <w:r w:rsidRPr="00084920">
        <w:rPr>
          <w:lang w:val="fr-FR"/>
        </w:rPr>
        <w:t>7.</w:t>
      </w:r>
      <w:r w:rsidRPr="00084920">
        <w:rPr>
          <w:lang w:val="fr-FR"/>
        </w:rPr>
        <w:tab/>
      </w:r>
      <w:r w:rsidR="00862610">
        <w:rPr>
          <w:i/>
          <w:iCs/>
          <w:lang w:val="fr-FR"/>
        </w:rPr>
        <w:t>Rappelle</w:t>
      </w:r>
      <w:r w:rsidRPr="00084920">
        <w:rPr>
          <w:lang w:val="fr-FR"/>
        </w:rPr>
        <w:t xml:space="preserve"> </w:t>
      </w:r>
      <w:r w:rsidR="00862610" w:rsidRPr="00932320">
        <w:rPr>
          <w:lang w:val="fr-FR"/>
        </w:rPr>
        <w:t>aux Parties la date limite du 28</w:t>
      </w:r>
      <w:r w:rsidR="00EE54EF">
        <w:rPr>
          <w:lang w:val="fr-FR"/>
        </w:rPr>
        <w:t> </w:t>
      </w:r>
      <w:r w:rsidR="00862610" w:rsidRPr="00932320">
        <w:rPr>
          <w:lang w:val="fr-FR"/>
        </w:rPr>
        <w:t>février</w:t>
      </w:r>
      <w:r w:rsidR="00EE54EF">
        <w:rPr>
          <w:lang w:val="fr-FR"/>
        </w:rPr>
        <w:t> </w:t>
      </w:r>
      <w:r w:rsidR="00862610" w:rsidRPr="00932320">
        <w:rPr>
          <w:lang w:val="fr-FR"/>
        </w:rPr>
        <w:t>2026 pour la soumission de leur</w:t>
      </w:r>
      <w:r w:rsidR="00400894">
        <w:rPr>
          <w:lang w:val="fr-FR"/>
        </w:rPr>
        <w:t>s</w:t>
      </w:r>
      <w:r w:rsidR="00862610" w:rsidRPr="00932320">
        <w:rPr>
          <w:lang w:val="fr-FR"/>
        </w:rPr>
        <w:t xml:space="preserve"> premier</w:t>
      </w:r>
      <w:r w:rsidR="00400894">
        <w:rPr>
          <w:lang w:val="fr-FR"/>
        </w:rPr>
        <w:t>s</w:t>
      </w:r>
      <w:r w:rsidR="00862610" w:rsidRPr="00932320">
        <w:rPr>
          <w:lang w:val="fr-FR"/>
        </w:rPr>
        <w:t xml:space="preserve"> rapport</w:t>
      </w:r>
      <w:r w:rsidR="00400894">
        <w:rPr>
          <w:lang w:val="fr-FR"/>
        </w:rPr>
        <w:t>s</w:t>
      </w:r>
      <w:r w:rsidR="00862610" w:rsidRPr="00932320">
        <w:rPr>
          <w:lang w:val="fr-FR"/>
        </w:rPr>
        <w:t xml:space="preserve"> nationa</w:t>
      </w:r>
      <w:r w:rsidR="00400894">
        <w:rPr>
          <w:lang w:val="fr-FR"/>
        </w:rPr>
        <w:t>ux</w:t>
      </w:r>
      <w:r w:rsidR="00862610" w:rsidRPr="00932320">
        <w:rPr>
          <w:lang w:val="fr-FR"/>
        </w:rPr>
        <w:t xml:space="preserve"> sur la mise en œuvre du Protocole et les encourager à achever rapidement le processus de notification et à soumettre leur rapport bien avant la date limite, en vue de garantir une analyse précise et représentative pour la deuxième évaluation et le deuxième examen de l</w:t>
      </w:r>
      <w:r w:rsidR="00EE54EF">
        <w:rPr>
          <w:lang w:val="fr-FR"/>
        </w:rPr>
        <w:t>’</w:t>
      </w:r>
      <w:r w:rsidR="00862610" w:rsidRPr="00932320">
        <w:rPr>
          <w:lang w:val="fr-FR"/>
        </w:rPr>
        <w:t>efficacité du Protocole</w:t>
      </w:r>
      <w:r w:rsidR="00862610">
        <w:rPr>
          <w:lang w:val="fr-FR"/>
        </w:rPr>
        <w:t> </w:t>
      </w:r>
      <w:r w:rsidRPr="00084920">
        <w:rPr>
          <w:lang w:val="fr-FR"/>
        </w:rPr>
        <w:t>;</w:t>
      </w:r>
    </w:p>
    <w:p w14:paraId="7386BB96" w14:textId="598957FA" w:rsidR="001B331D" w:rsidRPr="00084920" w:rsidRDefault="001B331D" w:rsidP="001B331D">
      <w:pPr>
        <w:pStyle w:val="Para10"/>
        <w:numPr>
          <w:ilvl w:val="0"/>
          <w:numId w:val="0"/>
        </w:numPr>
        <w:tabs>
          <w:tab w:val="clear" w:pos="1134"/>
        </w:tabs>
        <w:ind w:left="567" w:firstLine="567"/>
        <w:rPr>
          <w:lang w:val="fr-FR"/>
        </w:rPr>
      </w:pPr>
      <w:r w:rsidRPr="00084920">
        <w:rPr>
          <w:lang w:val="fr-FR"/>
        </w:rPr>
        <w:t>8.</w:t>
      </w:r>
      <w:r w:rsidRPr="00084920">
        <w:rPr>
          <w:lang w:val="fr-FR"/>
        </w:rPr>
        <w:tab/>
      </w:r>
      <w:r w:rsidR="00862610">
        <w:rPr>
          <w:i/>
          <w:iCs/>
          <w:lang w:val="fr-FR"/>
        </w:rPr>
        <w:t>Exhorte</w:t>
      </w:r>
      <w:r w:rsidRPr="00084920">
        <w:rPr>
          <w:lang w:val="fr-FR"/>
        </w:rPr>
        <w:t xml:space="preserve"> </w:t>
      </w:r>
      <w:r w:rsidR="00862610" w:rsidRPr="003D60B9">
        <w:rPr>
          <w:lang w:val="fr-FR"/>
        </w:rPr>
        <w:t>les Parties remplissant les conditions requises à soumettre leurs lettres d</w:t>
      </w:r>
      <w:r w:rsidR="00EE54EF">
        <w:rPr>
          <w:lang w:val="fr-FR"/>
        </w:rPr>
        <w:t>’</w:t>
      </w:r>
      <w:r w:rsidR="00862610" w:rsidRPr="003D60B9">
        <w:rPr>
          <w:lang w:val="fr-FR"/>
        </w:rPr>
        <w:t>engagement à l</w:t>
      </w:r>
      <w:r w:rsidR="00EE54EF">
        <w:rPr>
          <w:lang w:val="fr-FR"/>
        </w:rPr>
        <w:t>’</w:t>
      </w:r>
      <w:r w:rsidR="00862610" w:rsidRPr="003D60B9">
        <w:rPr>
          <w:lang w:val="fr-FR"/>
        </w:rPr>
        <w:t>agence d</w:t>
      </w:r>
      <w:r w:rsidR="00EE54EF">
        <w:rPr>
          <w:lang w:val="fr-FR"/>
        </w:rPr>
        <w:t>’</w:t>
      </w:r>
      <w:r w:rsidR="00862610" w:rsidRPr="003D60B9">
        <w:rPr>
          <w:lang w:val="fr-FR"/>
        </w:rPr>
        <w:t>exécution en temps voulu afin de garantir que les projets visant à soutenir la préparation de</w:t>
      </w:r>
      <w:r w:rsidR="00400894">
        <w:rPr>
          <w:lang w:val="fr-FR"/>
        </w:rPr>
        <w:t xml:space="preserve"> leurs</w:t>
      </w:r>
      <w:r w:rsidR="00862610" w:rsidRPr="003D60B9">
        <w:rPr>
          <w:lang w:val="fr-FR"/>
        </w:rPr>
        <w:t xml:space="preserve"> premiers rapports nationaux soient soumis à l</w:t>
      </w:r>
      <w:r w:rsidR="00EE54EF">
        <w:rPr>
          <w:lang w:val="fr-FR"/>
        </w:rPr>
        <w:t>’</w:t>
      </w:r>
      <w:r w:rsidR="00862610" w:rsidRPr="003D60B9">
        <w:rPr>
          <w:lang w:val="fr-FR"/>
        </w:rPr>
        <w:t>approbation du Fonds pour l</w:t>
      </w:r>
      <w:r w:rsidR="00EE54EF">
        <w:rPr>
          <w:lang w:val="fr-FR"/>
        </w:rPr>
        <w:t>’</w:t>
      </w:r>
      <w:r w:rsidR="00862610" w:rsidRPr="003D60B9">
        <w:rPr>
          <w:lang w:val="fr-FR"/>
        </w:rPr>
        <w:t>environnement mondial bien avant la date limite de soumission de ces rapports</w:t>
      </w:r>
      <w:r w:rsidR="00862610">
        <w:rPr>
          <w:lang w:val="fr-FR"/>
        </w:rPr>
        <w:t> </w:t>
      </w:r>
      <w:r w:rsidRPr="00084920">
        <w:rPr>
          <w:lang w:val="fr-FR"/>
        </w:rPr>
        <w:t xml:space="preserve">; </w:t>
      </w:r>
    </w:p>
    <w:p w14:paraId="12D76F3E" w14:textId="5CA146E8" w:rsidR="001B331D" w:rsidRPr="00084920" w:rsidRDefault="001B331D" w:rsidP="001B331D">
      <w:pPr>
        <w:pStyle w:val="Para10"/>
        <w:numPr>
          <w:ilvl w:val="0"/>
          <w:numId w:val="0"/>
        </w:numPr>
        <w:tabs>
          <w:tab w:val="clear" w:pos="1134"/>
        </w:tabs>
        <w:ind w:left="567" w:firstLine="567"/>
        <w:rPr>
          <w:lang w:val="fr-FR"/>
        </w:rPr>
      </w:pPr>
      <w:r w:rsidRPr="00084920">
        <w:rPr>
          <w:lang w:val="fr-FR"/>
        </w:rPr>
        <w:t>9.</w:t>
      </w:r>
      <w:r w:rsidRPr="00084920">
        <w:rPr>
          <w:lang w:val="fr-FR"/>
        </w:rPr>
        <w:tab/>
      </w:r>
      <w:r w:rsidR="00862610">
        <w:rPr>
          <w:i/>
          <w:iCs/>
          <w:lang w:val="fr-FR"/>
        </w:rPr>
        <w:t>Prend</w:t>
      </w:r>
      <w:r w:rsidRPr="00084920">
        <w:rPr>
          <w:i/>
          <w:iCs/>
          <w:lang w:val="fr-FR"/>
        </w:rPr>
        <w:t xml:space="preserve"> note</w:t>
      </w:r>
      <w:r w:rsidRPr="00084920">
        <w:rPr>
          <w:lang w:val="fr-FR"/>
        </w:rPr>
        <w:t xml:space="preserve"> </w:t>
      </w:r>
      <w:r w:rsidR="00862610" w:rsidRPr="00AB7E75">
        <w:rPr>
          <w:lang w:val="fr-FR"/>
        </w:rPr>
        <w:t>des décisions</w:t>
      </w:r>
      <w:r w:rsidR="00EE54EF">
        <w:rPr>
          <w:lang w:val="fr-FR"/>
        </w:rPr>
        <w:t> </w:t>
      </w:r>
      <w:hyperlink r:id="rId22" w:history="1">
        <w:r w:rsidR="00862610" w:rsidRPr="000C5AE4">
          <w:rPr>
            <w:rStyle w:val="Lienhypertexte"/>
            <w:lang w:val="fr-FR"/>
          </w:rPr>
          <w:t>15/4</w:t>
        </w:r>
      </w:hyperlink>
      <w:r w:rsidR="00862610" w:rsidRPr="000C5AE4">
        <w:rPr>
          <w:rStyle w:val="Lienhypertexte"/>
          <w:color w:val="auto"/>
          <w:u w:val="none"/>
          <w:lang w:val="fr-FR"/>
        </w:rPr>
        <w:t xml:space="preserve"> </w:t>
      </w:r>
      <w:r w:rsidR="00862610">
        <w:rPr>
          <w:rStyle w:val="Lienhypertexte"/>
          <w:color w:val="auto"/>
          <w:u w:val="none"/>
          <w:lang w:val="fr-FR"/>
        </w:rPr>
        <w:t>et</w:t>
      </w:r>
      <w:r w:rsidR="00862610" w:rsidRPr="000C5AE4">
        <w:rPr>
          <w:rStyle w:val="Lienhypertexte"/>
          <w:color w:val="auto"/>
          <w:u w:val="none"/>
          <w:lang w:val="fr-FR"/>
        </w:rPr>
        <w:t xml:space="preserve"> </w:t>
      </w:r>
      <w:hyperlink r:id="rId23" w:history="1">
        <w:r w:rsidR="00862610" w:rsidRPr="000C5AE4">
          <w:rPr>
            <w:rStyle w:val="Lienhypertexte"/>
            <w:lang w:val="fr-FR"/>
          </w:rPr>
          <w:t>15/6</w:t>
        </w:r>
      </w:hyperlink>
      <w:r w:rsidR="00862610" w:rsidRPr="000C5AE4">
        <w:rPr>
          <w:lang w:val="fr-FR"/>
        </w:rPr>
        <w:t xml:space="preserve"> </w:t>
      </w:r>
      <w:r w:rsidR="00862610" w:rsidRPr="00AB7E75">
        <w:rPr>
          <w:lang w:val="fr-FR"/>
        </w:rPr>
        <w:t>du 19</w:t>
      </w:r>
      <w:r w:rsidR="00EE54EF">
        <w:rPr>
          <w:lang w:val="fr-FR"/>
        </w:rPr>
        <w:t> </w:t>
      </w:r>
      <w:r w:rsidR="00862610" w:rsidRPr="00AB7E75">
        <w:rPr>
          <w:lang w:val="fr-FR"/>
        </w:rPr>
        <w:t>décembre</w:t>
      </w:r>
      <w:r w:rsidR="00EE54EF">
        <w:rPr>
          <w:lang w:val="fr-FR"/>
        </w:rPr>
        <w:t> </w:t>
      </w:r>
      <w:r w:rsidR="00862610" w:rsidRPr="00AB7E75">
        <w:rPr>
          <w:lang w:val="fr-FR"/>
        </w:rPr>
        <w:t>2022 de la Conférence des Parties à la Convention et encourage les Parties au Protocole de Nagoya à contribuer aux processus nationaux de préparation des septièmes rapports nationaux au titre de la Convention, y compris en fournissant des informations relatives à l</w:t>
      </w:r>
      <w:r w:rsidR="00EE54EF">
        <w:rPr>
          <w:lang w:val="fr-FR"/>
        </w:rPr>
        <w:t>’</w:t>
      </w:r>
      <w:r w:rsidR="00862610" w:rsidRPr="00AB7E75">
        <w:rPr>
          <w:lang w:val="fr-FR"/>
        </w:rPr>
        <w:t>accès et au partage des avantages</w:t>
      </w:r>
      <w:r w:rsidR="00862610">
        <w:rPr>
          <w:lang w:val="fr-FR"/>
        </w:rPr>
        <w:t> </w:t>
      </w:r>
      <w:r w:rsidRPr="00084920">
        <w:rPr>
          <w:lang w:val="fr-FR"/>
        </w:rPr>
        <w:t>;</w:t>
      </w:r>
    </w:p>
    <w:p w14:paraId="6DD359D7" w14:textId="36FDA2F4" w:rsidR="001B331D" w:rsidRPr="00084920" w:rsidRDefault="001B331D" w:rsidP="001B331D">
      <w:pPr>
        <w:pStyle w:val="Para10"/>
        <w:numPr>
          <w:ilvl w:val="0"/>
          <w:numId w:val="0"/>
        </w:numPr>
        <w:tabs>
          <w:tab w:val="clear" w:pos="1134"/>
        </w:tabs>
        <w:ind w:left="567" w:firstLine="567"/>
        <w:rPr>
          <w:lang w:val="fr-FR"/>
        </w:rPr>
      </w:pPr>
      <w:r w:rsidRPr="00084920">
        <w:rPr>
          <w:lang w:val="fr-FR"/>
        </w:rPr>
        <w:t>10.</w:t>
      </w:r>
      <w:r w:rsidRPr="00084920">
        <w:rPr>
          <w:lang w:val="fr-FR"/>
        </w:rPr>
        <w:tab/>
      </w:r>
      <w:r w:rsidR="00F33FC9" w:rsidRPr="00084920">
        <w:rPr>
          <w:i/>
          <w:iCs/>
          <w:lang w:val="fr-FR"/>
        </w:rPr>
        <w:t>E</w:t>
      </w:r>
      <w:r w:rsidRPr="00084920">
        <w:rPr>
          <w:i/>
          <w:iCs/>
          <w:lang w:val="fr-FR"/>
        </w:rPr>
        <w:t>ncourage</w:t>
      </w:r>
      <w:r w:rsidRPr="00084920">
        <w:rPr>
          <w:lang w:val="fr-FR"/>
        </w:rPr>
        <w:t xml:space="preserve"> </w:t>
      </w:r>
      <w:r w:rsidR="00862610" w:rsidRPr="00AB7E75">
        <w:rPr>
          <w:lang w:val="fr-FR"/>
        </w:rPr>
        <w:t>les Parties à inclure les priorités des peuples autochtones et des communautés locales dans leurs propositions de financement par le Fonds pour l</w:t>
      </w:r>
      <w:r w:rsidR="00EE54EF">
        <w:rPr>
          <w:lang w:val="fr-FR"/>
        </w:rPr>
        <w:t>’</w:t>
      </w:r>
      <w:r w:rsidR="00862610" w:rsidRPr="00AB7E75">
        <w:rPr>
          <w:lang w:val="fr-FR"/>
        </w:rPr>
        <w:t>environnement mondial, y compris le Fonds du Cadre mondial pour la diversité biologique, afin de permettre au développement des capacités d</w:t>
      </w:r>
      <w:r w:rsidR="00EE54EF">
        <w:rPr>
          <w:lang w:val="fr-FR"/>
        </w:rPr>
        <w:t>’</w:t>
      </w:r>
      <w:r w:rsidR="00862610" w:rsidRPr="00AB7E75">
        <w:rPr>
          <w:lang w:val="fr-FR"/>
        </w:rPr>
        <w:t>atteindre les peuples autochtones et les communautés locales</w:t>
      </w:r>
      <w:r w:rsidRPr="00084920">
        <w:rPr>
          <w:lang w:val="fr-FR"/>
        </w:rPr>
        <w:t>.</w:t>
      </w:r>
    </w:p>
    <w:p w14:paraId="0E254015" w14:textId="77777777" w:rsidR="001B331D" w:rsidRPr="00084920" w:rsidRDefault="001B331D" w:rsidP="0058034B">
      <w:pPr>
        <w:pStyle w:val="CBDNormalNoNumber"/>
        <w:rPr>
          <w:snapToGrid w:val="0"/>
          <w:lang w:val="fr-FR"/>
        </w:rPr>
      </w:pPr>
    </w:p>
    <w:p w14:paraId="27651D04" w14:textId="77777777" w:rsidR="001B331D" w:rsidRPr="00084920" w:rsidRDefault="001B331D" w:rsidP="0058034B">
      <w:pPr>
        <w:pStyle w:val="CBDNormalNoNumber"/>
        <w:rPr>
          <w:snapToGrid w:val="0"/>
          <w:lang w:val="fr-FR"/>
        </w:rPr>
      </w:pPr>
    </w:p>
    <w:p w14:paraId="507AE302" w14:textId="3BCE24CD" w:rsidR="00892C48" w:rsidRPr="00084920" w:rsidRDefault="00892C48" w:rsidP="0058034B">
      <w:pPr>
        <w:pStyle w:val="CBDNormalNoNumber"/>
        <w:rPr>
          <w:snapToGrid w:val="0"/>
          <w:lang w:val="fr-FR"/>
        </w:rPr>
      </w:pPr>
    </w:p>
    <w:p w14:paraId="2F3E794D" w14:textId="77777777" w:rsidR="005549D8" w:rsidRPr="00084920" w:rsidRDefault="005549D8" w:rsidP="00D56117">
      <w:pPr>
        <w:pStyle w:val="CBDAnnex"/>
        <w:spacing w:before="240"/>
        <w:outlineLvl w:val="0"/>
        <w:rPr>
          <w:lang w:val="fr-FR"/>
        </w:rPr>
        <w:sectPr w:rsidR="005549D8" w:rsidRPr="00084920" w:rsidSect="005549D8">
          <w:pgSz w:w="12240" w:h="15840" w:code="1"/>
          <w:pgMar w:top="562" w:right="1382" w:bottom="1138" w:left="1382" w:header="706" w:footer="706" w:gutter="0"/>
          <w:cols w:space="708"/>
          <w:docGrid w:linePitch="360"/>
        </w:sectPr>
      </w:pPr>
    </w:p>
    <w:p w14:paraId="2AB53E51" w14:textId="02281845" w:rsidR="00345F2A" w:rsidRPr="00084920" w:rsidRDefault="00862610" w:rsidP="00D56117">
      <w:pPr>
        <w:pStyle w:val="CBDAnnex"/>
        <w:spacing w:before="240"/>
        <w:outlineLvl w:val="0"/>
        <w:rPr>
          <w:lang w:val="fr-FR"/>
        </w:rPr>
      </w:pPr>
      <w:bookmarkStart w:id="13" w:name="_Toc178159939"/>
      <w:r>
        <w:rPr>
          <w:lang w:val="fr-FR"/>
        </w:rPr>
        <w:lastRenderedPageBreak/>
        <w:t>Point</w:t>
      </w:r>
      <w:r w:rsidR="00EE54EF">
        <w:rPr>
          <w:lang w:val="fr-FR"/>
        </w:rPr>
        <w:t> </w:t>
      </w:r>
      <w:r w:rsidR="00671A3C" w:rsidRPr="00084920">
        <w:rPr>
          <w:lang w:val="fr-FR"/>
        </w:rPr>
        <w:t>6</w:t>
      </w:r>
      <w:r w:rsidR="00D74140" w:rsidRPr="00084920">
        <w:rPr>
          <w:lang w:val="fr-FR"/>
        </w:rPr>
        <w:t xml:space="preserve"> </w:t>
      </w:r>
      <w:r w:rsidR="00D74140" w:rsidRPr="00084920">
        <w:rPr>
          <w:lang w:val="fr-FR"/>
        </w:rPr>
        <w:br/>
      </w:r>
      <w:bookmarkEnd w:id="13"/>
      <w:r w:rsidRPr="00862610">
        <w:rPr>
          <w:lang w:val="fr-FR"/>
        </w:rPr>
        <w:t>Administration du Protocole et budget des fonds d’affectation spéciale</w:t>
      </w:r>
    </w:p>
    <w:p w14:paraId="1763DA1B" w14:textId="0A4E13AA" w:rsidR="002A02AD" w:rsidRPr="00084920" w:rsidRDefault="00862610" w:rsidP="00374B10">
      <w:pPr>
        <w:pStyle w:val="CBDNormalNoNumber"/>
        <w:ind w:firstLine="567"/>
        <w:rPr>
          <w:snapToGrid w:val="0"/>
          <w:lang w:val="fr-FR"/>
        </w:rPr>
      </w:pPr>
      <w:r>
        <w:rPr>
          <w:lang w:val="fr-FR"/>
        </w:rPr>
        <w:t>Le projet de décision relatif au point 6 sera mis à disposition dans le document</w:t>
      </w:r>
      <w:r w:rsidR="00EE54EF">
        <w:rPr>
          <w:lang w:val="fr-FR"/>
        </w:rPr>
        <w:t> </w:t>
      </w:r>
      <w:r w:rsidR="007B2AAE" w:rsidRPr="00084920">
        <w:rPr>
          <w:lang w:val="fr-FR"/>
        </w:rPr>
        <w:t>CBD/</w:t>
      </w:r>
      <w:r w:rsidR="007C53FE" w:rsidRPr="00084920">
        <w:rPr>
          <w:lang w:val="fr-FR"/>
        </w:rPr>
        <w:t>N</w:t>
      </w:r>
      <w:r w:rsidR="007B2AAE" w:rsidRPr="00084920">
        <w:rPr>
          <w:lang w:val="fr-FR"/>
        </w:rPr>
        <w:t>P/MOP/</w:t>
      </w:r>
      <w:r w:rsidR="00C639FE" w:rsidRPr="00084920">
        <w:rPr>
          <w:lang w:val="fr-FR"/>
        </w:rPr>
        <w:t>5</w:t>
      </w:r>
      <w:r w:rsidR="007B2AAE" w:rsidRPr="00084920">
        <w:rPr>
          <w:lang w:val="fr-FR"/>
        </w:rPr>
        <w:t>/</w:t>
      </w:r>
      <w:r w:rsidR="007C53FE" w:rsidRPr="00084920">
        <w:rPr>
          <w:lang w:val="fr-FR"/>
        </w:rPr>
        <w:t>5</w:t>
      </w:r>
      <w:r w:rsidR="007B2AAE" w:rsidRPr="00084920">
        <w:rPr>
          <w:lang w:val="fr-FR"/>
        </w:rPr>
        <w:t>.</w:t>
      </w:r>
    </w:p>
    <w:p w14:paraId="54ECC05B" w14:textId="77777777" w:rsidR="007C1283" w:rsidRPr="00084920" w:rsidRDefault="007C1283" w:rsidP="000E51CB">
      <w:pPr>
        <w:pStyle w:val="CBDNormalNoNumber"/>
        <w:rPr>
          <w:snapToGrid w:val="0"/>
          <w:lang w:val="fr-FR"/>
        </w:rPr>
      </w:pPr>
    </w:p>
    <w:p w14:paraId="0AC03AD8" w14:textId="77777777" w:rsidR="005549D8" w:rsidRPr="00084920" w:rsidRDefault="005549D8" w:rsidP="004B4FCB">
      <w:pPr>
        <w:pStyle w:val="CBDAnnex"/>
        <w:spacing w:before="240"/>
        <w:outlineLvl w:val="0"/>
        <w:rPr>
          <w:lang w:val="fr-FR"/>
        </w:rPr>
        <w:sectPr w:rsidR="005549D8" w:rsidRPr="00084920" w:rsidSect="005549D8">
          <w:pgSz w:w="12240" w:h="15840" w:code="1"/>
          <w:pgMar w:top="562" w:right="1382" w:bottom="1138" w:left="1382" w:header="706" w:footer="706" w:gutter="0"/>
          <w:cols w:space="708"/>
          <w:docGrid w:linePitch="360"/>
        </w:sectPr>
      </w:pPr>
    </w:p>
    <w:p w14:paraId="3CCB5732" w14:textId="139EE41C" w:rsidR="006A3380" w:rsidRPr="00084920" w:rsidRDefault="002A1538" w:rsidP="004B4FCB">
      <w:pPr>
        <w:pStyle w:val="CBDAnnex"/>
        <w:spacing w:before="240"/>
        <w:outlineLvl w:val="0"/>
        <w:rPr>
          <w:lang w:val="fr-FR"/>
        </w:rPr>
      </w:pPr>
      <w:bookmarkStart w:id="14" w:name="_Toc178159940"/>
      <w:r w:rsidRPr="00084920">
        <w:rPr>
          <w:lang w:val="fr-FR"/>
        </w:rPr>
        <w:lastRenderedPageBreak/>
        <w:t>Item</w:t>
      </w:r>
      <w:r w:rsidR="00EE54EF">
        <w:rPr>
          <w:lang w:val="fr-FR"/>
        </w:rPr>
        <w:t> </w:t>
      </w:r>
      <w:r w:rsidRPr="00084920">
        <w:rPr>
          <w:lang w:val="fr-FR"/>
        </w:rPr>
        <w:t>7</w:t>
      </w:r>
      <w:r w:rsidR="00125526" w:rsidRPr="00084920">
        <w:rPr>
          <w:lang w:val="fr-FR"/>
        </w:rPr>
        <w:t xml:space="preserve"> </w:t>
      </w:r>
      <w:r w:rsidR="00125526" w:rsidRPr="00084920">
        <w:rPr>
          <w:lang w:val="fr-FR"/>
        </w:rPr>
        <w:br/>
      </w:r>
      <w:bookmarkEnd w:id="14"/>
      <w:r w:rsidR="00085F29" w:rsidRPr="00085F29">
        <w:rPr>
          <w:lang w:val="fr-FR"/>
        </w:rPr>
        <w:t>Mécanisme de financement et ressources financières</w:t>
      </w:r>
    </w:p>
    <w:tbl>
      <w:tblPr>
        <w:tblStyle w:val="Grilledutableau"/>
        <w:tblW w:w="0" w:type="auto"/>
        <w:tblLook w:val="04A0" w:firstRow="1" w:lastRow="0" w:firstColumn="1" w:lastColumn="0" w:noHBand="0" w:noVBand="1"/>
      </w:tblPr>
      <w:tblGrid>
        <w:gridCol w:w="9350"/>
      </w:tblGrid>
      <w:tr w:rsidR="00AE5C92" w:rsidRPr="00084920" w14:paraId="0BA7739C" w14:textId="77777777" w:rsidTr="00557F83">
        <w:tc>
          <w:tcPr>
            <w:tcW w:w="9350" w:type="dxa"/>
            <w:tcBorders>
              <w:left w:val="nil"/>
              <w:right w:val="nil"/>
            </w:tcBorders>
          </w:tcPr>
          <w:p w14:paraId="1E966B84" w14:textId="0DD032A0" w:rsidR="00AE5C92" w:rsidRPr="00084920" w:rsidRDefault="00085F29" w:rsidP="002700FD">
            <w:pPr>
              <w:pStyle w:val="CBDNormalNoNumber"/>
              <w:rPr>
                <w:snapToGrid w:val="0"/>
                <w:lang w:val="fr-FR"/>
              </w:rPr>
            </w:pPr>
            <w:r>
              <w:rPr>
                <w:i/>
                <w:iCs/>
                <w:lang w:val="fr-FR"/>
              </w:rPr>
              <w:t>Les éléments suivants de projet de décision ont été reproduit</w:t>
            </w:r>
            <w:r w:rsidR="00BC50D3">
              <w:rPr>
                <w:i/>
                <w:iCs/>
                <w:lang w:val="fr-FR"/>
              </w:rPr>
              <w:t>s</w:t>
            </w:r>
            <w:r>
              <w:rPr>
                <w:i/>
                <w:iCs/>
                <w:lang w:val="fr-FR"/>
              </w:rPr>
              <w:t xml:space="preserve"> à partir du </w:t>
            </w:r>
            <w:r w:rsidR="00A7531B" w:rsidRPr="00084920">
              <w:rPr>
                <w:i/>
                <w:iCs/>
                <w:lang w:val="fr-FR"/>
              </w:rPr>
              <w:t>document</w:t>
            </w:r>
            <w:r w:rsidR="00EE54EF">
              <w:rPr>
                <w:i/>
                <w:iCs/>
                <w:lang w:val="fr-FR"/>
              </w:rPr>
              <w:t> </w:t>
            </w:r>
            <w:r w:rsidR="00A7531B" w:rsidRPr="00084920">
              <w:rPr>
                <w:i/>
                <w:iCs/>
                <w:lang w:val="fr-FR"/>
              </w:rPr>
              <w:t>CBD/NP/MOP/5/6.</w:t>
            </w:r>
          </w:p>
        </w:tc>
      </w:tr>
    </w:tbl>
    <w:p w14:paraId="29D5E8EC" w14:textId="77777777" w:rsidR="006E187A" w:rsidRPr="006E187A" w:rsidRDefault="006E187A" w:rsidP="006E187A">
      <w:pPr>
        <w:spacing w:before="120" w:after="120"/>
        <w:ind w:left="567" w:firstLine="567"/>
        <w:rPr>
          <w:i/>
          <w:iCs/>
          <w:lang w:val="fr-FR"/>
        </w:rPr>
      </w:pPr>
      <w:r w:rsidRPr="006E187A">
        <w:rPr>
          <w:i/>
          <w:iCs/>
          <w:lang w:val="fr-FR"/>
        </w:rPr>
        <w:t>La Conférence des Parties siégeant en tant que réunion des Parties au Protocole de Nagoya</w:t>
      </w:r>
      <w:r w:rsidRPr="006E187A">
        <w:rPr>
          <w:lang w:val="fr-FR"/>
        </w:rPr>
        <w:t xml:space="preserve">, </w:t>
      </w:r>
    </w:p>
    <w:p w14:paraId="0E555CBC" w14:textId="77777777" w:rsidR="006E187A" w:rsidRPr="006E187A" w:rsidRDefault="006E187A" w:rsidP="006E187A">
      <w:pPr>
        <w:spacing w:before="120" w:after="120"/>
        <w:ind w:left="567" w:firstLine="567"/>
        <w:rPr>
          <w:snapToGrid w:val="0"/>
          <w:lang w:val="fr-FR"/>
        </w:rPr>
      </w:pPr>
      <w:r w:rsidRPr="006E187A">
        <w:rPr>
          <w:i/>
          <w:iCs/>
          <w:lang w:val="fr-FR"/>
        </w:rPr>
        <w:t xml:space="preserve">Prenant note </w:t>
      </w:r>
      <w:r w:rsidRPr="006E187A">
        <w:rPr>
          <w:lang w:val="fr-FR"/>
        </w:rPr>
        <w:t xml:space="preserve">du rapport du Conseil du Fonds pour l’environnement mondial présenté à la seizième réunion de la Conférence des Parties à la Convention sur </w:t>
      </w:r>
      <w:r w:rsidRPr="006E187A">
        <w:rPr>
          <w:snapToGrid w:val="0"/>
          <w:lang w:val="fr-FR"/>
        </w:rPr>
        <w:t>la diversité biologique</w:t>
      </w:r>
      <w:r w:rsidRPr="006E187A">
        <w:rPr>
          <w:snapToGrid w:val="0"/>
          <w:vertAlign w:val="superscript"/>
          <w:lang w:val="fr-FR"/>
        </w:rPr>
        <w:footnoteReference w:id="3"/>
      </w:r>
      <w:r w:rsidRPr="006E187A">
        <w:rPr>
          <w:snapToGrid w:val="0"/>
          <w:vertAlign w:val="superscript"/>
          <w:lang w:val="fr-FR"/>
        </w:rPr>
        <w:t>,</w:t>
      </w:r>
      <w:r w:rsidRPr="006E187A">
        <w:rPr>
          <w:vertAlign w:val="superscript"/>
          <w:lang w:val="fr-FR"/>
        </w:rPr>
        <w:footnoteReference w:id="4"/>
      </w:r>
      <w:r w:rsidRPr="006E187A">
        <w:rPr>
          <w:lang w:val="fr-FR"/>
        </w:rPr>
        <w:t xml:space="preserve"> ainsi que du rapport sur le </w:t>
      </w:r>
      <w:r w:rsidRPr="006E187A">
        <w:rPr>
          <w:snapToGrid w:val="0"/>
          <w:lang w:val="fr-FR"/>
        </w:rPr>
        <w:t>sixième examen de l’efficacité du mécanisme de financement pour l’application de la Convention et de ses Protocoles</w:t>
      </w:r>
      <w:r w:rsidRPr="006E187A">
        <w:rPr>
          <w:snapToGrid w:val="0"/>
          <w:vertAlign w:val="superscript"/>
          <w:lang w:val="fr-FR"/>
        </w:rPr>
        <w:footnoteReference w:id="5"/>
      </w:r>
      <w:r w:rsidRPr="006E187A">
        <w:rPr>
          <w:snapToGrid w:val="0"/>
          <w:lang w:val="fr-FR"/>
        </w:rPr>
        <w:t xml:space="preserve">, </w:t>
      </w:r>
    </w:p>
    <w:p w14:paraId="7BD35835" w14:textId="77777777" w:rsidR="006E187A" w:rsidRPr="006E187A" w:rsidRDefault="006E187A" w:rsidP="006E187A">
      <w:pPr>
        <w:spacing w:before="120" w:after="120"/>
        <w:ind w:left="567" w:firstLine="567"/>
        <w:rPr>
          <w:lang w:val="fr-FR"/>
        </w:rPr>
      </w:pPr>
      <w:r w:rsidRPr="006E187A">
        <w:rPr>
          <w:i/>
          <w:iCs/>
          <w:lang w:val="fr-FR"/>
        </w:rPr>
        <w:t xml:space="preserve">Se félicite </w:t>
      </w:r>
      <w:r w:rsidRPr="006E187A">
        <w:rPr>
          <w:lang w:val="fr-FR"/>
        </w:rPr>
        <w:t xml:space="preserve">de la création et de la mise en œuvre du </w:t>
      </w:r>
      <w:r w:rsidRPr="006E187A">
        <w:rPr>
          <w:iCs/>
          <w:lang w:val="fr-FR"/>
        </w:rPr>
        <w:t xml:space="preserve">Fonds pour l’application du Cadre mondial de la biodiversité </w:t>
      </w:r>
      <w:r w:rsidRPr="006E187A">
        <w:rPr>
          <w:lang w:val="fr-FR"/>
        </w:rPr>
        <w:t>et de ses orientations de programme, qui comprennent des domaines d’intervention visant à soutenir l’application du Protocole de Nagoya sur l’accès aux ressources génétiques et le partage juste et équitable des avantages découlant de leur utilisation</w:t>
      </w:r>
      <w:r w:rsidRPr="006E187A">
        <w:rPr>
          <w:vertAlign w:val="superscript"/>
          <w:lang w:val="fr-FR"/>
        </w:rPr>
        <w:footnoteReference w:id="6"/>
      </w:r>
      <w:r w:rsidRPr="006E187A">
        <w:rPr>
          <w:lang w:val="fr-FR"/>
        </w:rPr>
        <w:t>,</w:t>
      </w:r>
    </w:p>
    <w:p w14:paraId="75EBE721" w14:textId="77777777" w:rsidR="006E187A" w:rsidRPr="006E187A" w:rsidRDefault="006E187A" w:rsidP="006E187A">
      <w:pPr>
        <w:spacing w:before="120" w:after="120"/>
        <w:ind w:left="567" w:firstLine="567"/>
        <w:rPr>
          <w:lang w:val="fr-FR"/>
        </w:rPr>
      </w:pPr>
      <w:r w:rsidRPr="006E187A">
        <w:rPr>
          <w:i/>
          <w:iCs/>
          <w:lang w:val="fr-FR"/>
        </w:rPr>
        <w:t xml:space="preserve">Notant avec satisfaction </w:t>
      </w:r>
      <w:r w:rsidRPr="006E187A">
        <w:rPr>
          <w:lang w:val="fr-FR"/>
        </w:rPr>
        <w:t xml:space="preserve">les </w:t>
      </w:r>
      <w:r w:rsidRPr="006E187A">
        <w:rPr>
          <w:lang w:val="fr-FR" w:eastAsia="en-GB"/>
        </w:rPr>
        <w:t xml:space="preserve">projets visant à appuyer l’application </w:t>
      </w:r>
      <w:r w:rsidRPr="006E187A">
        <w:rPr>
          <w:lang w:val="fr-FR"/>
        </w:rPr>
        <w:t>du Protocole de Nagoya qui ont déjà été approuvés au cours de la période de la huitième reconstitution de la Caisse du Fonds pour l’environnement mondial, et au titre du Fonds pour l’application du Cadre mondial de la biodiversité,</w:t>
      </w:r>
    </w:p>
    <w:p w14:paraId="760EE32F" w14:textId="77777777" w:rsidR="006E187A" w:rsidRPr="006E187A" w:rsidRDefault="006E187A" w:rsidP="006E187A">
      <w:pPr>
        <w:spacing w:before="120" w:after="120"/>
        <w:ind w:left="567" w:firstLine="567"/>
        <w:rPr>
          <w:lang w:val="fr-FR"/>
        </w:rPr>
      </w:pPr>
      <w:r w:rsidRPr="006E187A">
        <w:rPr>
          <w:i/>
          <w:iCs/>
          <w:lang w:val="fr-FR"/>
        </w:rPr>
        <w:t xml:space="preserve">Notant </w:t>
      </w:r>
      <w:r w:rsidRPr="006E187A">
        <w:rPr>
          <w:lang w:val="fr-FR"/>
        </w:rPr>
        <w:t xml:space="preserve">toutefois </w:t>
      </w:r>
      <w:r w:rsidRPr="006E187A">
        <w:rPr>
          <w:i/>
          <w:iCs/>
          <w:lang w:val="fr-FR"/>
        </w:rPr>
        <w:t xml:space="preserve">avec inquiétude </w:t>
      </w:r>
      <w:r w:rsidRPr="006E187A">
        <w:rPr>
          <w:lang w:val="fr-FR"/>
        </w:rPr>
        <w:t xml:space="preserve">le faible </w:t>
      </w:r>
      <w:r w:rsidRPr="006E187A">
        <w:rPr>
          <w:lang w:val="fr-FR" w:eastAsia="en-GB"/>
        </w:rPr>
        <w:t xml:space="preserve">nombre de </w:t>
      </w:r>
      <w:r w:rsidRPr="006E187A">
        <w:rPr>
          <w:lang w:val="fr-FR"/>
        </w:rPr>
        <w:t xml:space="preserve">projets approuvés à l’appui de l’application du Protocole de Nagoya au cours de la période de la huitième reconstitution de la Caisse du Fonds pour l’environnement mondial,  </w:t>
      </w:r>
    </w:p>
    <w:p w14:paraId="4D1E692A" w14:textId="45F4149D" w:rsidR="006E187A" w:rsidRPr="006E187A" w:rsidRDefault="006E187A" w:rsidP="006E187A">
      <w:pPr>
        <w:tabs>
          <w:tab w:val="left" w:pos="2835"/>
          <w:tab w:val="left" w:pos="3402"/>
        </w:tabs>
        <w:spacing w:after="120"/>
        <w:ind w:left="567" w:firstLine="567"/>
        <w:rPr>
          <w:i/>
          <w:iCs/>
          <w:lang w:val="fr-FR"/>
        </w:rPr>
      </w:pPr>
      <w:r w:rsidRPr="006E187A">
        <w:rPr>
          <w:i/>
          <w:iCs/>
          <w:lang w:val="fr-FR"/>
        </w:rPr>
        <w:t xml:space="preserve">Se félicite </w:t>
      </w:r>
      <w:r w:rsidRPr="006E187A">
        <w:rPr>
          <w:lang w:val="fr-FR"/>
        </w:rPr>
        <w:t xml:space="preserve">de la </w:t>
      </w:r>
      <w:r w:rsidRPr="006E187A">
        <w:rPr>
          <w:lang w:val="fr-FR" w:eastAsia="en-GB"/>
        </w:rPr>
        <w:t xml:space="preserve">stratégie de </w:t>
      </w:r>
      <w:r w:rsidRPr="006E187A">
        <w:rPr>
          <w:lang w:val="fr-FR"/>
        </w:rPr>
        <w:t>mobilisation des ressources pour le Cadre mondial de la biodiversité de Kunming-Montréal</w:t>
      </w:r>
      <w:r w:rsidRPr="006E187A">
        <w:rPr>
          <w:vertAlign w:val="superscript"/>
          <w:lang w:val="fr-FR"/>
        </w:rPr>
        <w:footnoteReference w:id="7"/>
      </w:r>
      <w:r w:rsidRPr="006E187A">
        <w:rPr>
          <w:lang w:val="fr-FR"/>
        </w:rPr>
        <w:t>, telle que révisée et figurant dans l’annexe I de la décision</w:t>
      </w:r>
      <w:r w:rsidR="00EE54EF">
        <w:rPr>
          <w:lang w:val="fr-FR"/>
        </w:rPr>
        <w:t> </w:t>
      </w:r>
      <w:r w:rsidRPr="006E187A">
        <w:rPr>
          <w:lang w:val="fr-FR"/>
        </w:rPr>
        <w:t>16/--, pour la période 2025-2030, et note sa pertinence pour la mobilisation des ressources à l’appui de l’application du Protocole de Nagoya sur l’accès aux ressources génétiques et le partage juste et équitable des avantages découlant de leur utilisation ;</w:t>
      </w:r>
    </w:p>
    <w:p w14:paraId="22B5539D" w14:textId="77777777" w:rsidR="006E187A" w:rsidRPr="006E187A" w:rsidRDefault="006E187A" w:rsidP="006E187A">
      <w:pPr>
        <w:tabs>
          <w:tab w:val="left" w:pos="2835"/>
          <w:tab w:val="left" w:pos="3402"/>
        </w:tabs>
        <w:spacing w:after="120"/>
        <w:ind w:left="567" w:firstLine="567"/>
        <w:rPr>
          <w:lang w:val="fr-FR"/>
        </w:rPr>
      </w:pPr>
      <w:r w:rsidRPr="006E187A">
        <w:rPr>
          <w:lang w:val="fr-FR"/>
        </w:rPr>
        <w:t>2.</w:t>
      </w:r>
      <w:r w:rsidRPr="006E187A">
        <w:rPr>
          <w:i/>
          <w:iCs/>
          <w:lang w:val="fr-FR"/>
        </w:rPr>
        <w:tab/>
        <w:t xml:space="preserve">Encourage les </w:t>
      </w:r>
      <w:r w:rsidRPr="006E187A">
        <w:rPr>
          <w:lang w:val="fr-FR"/>
        </w:rPr>
        <w:t>Parties à veiller à ce que leurs besoins et priorités de financement nationaux pour l’application du Protocole de Nagoya et la réalisation de l’</w:t>
      </w:r>
      <w:r w:rsidRPr="006E187A">
        <w:rPr>
          <w:lang w:val="fr-FR" w:eastAsia="en-GB"/>
        </w:rPr>
        <w:t xml:space="preserve">objectif </w:t>
      </w:r>
      <w:r w:rsidRPr="006E187A">
        <w:rPr>
          <w:lang w:val="fr-FR"/>
        </w:rPr>
        <w:t xml:space="preserve">C et de la cible 13 du Cadre soient dûment pris en compte dans leurs plans nationaux de financement en faveur de la biodiversité ; </w:t>
      </w:r>
    </w:p>
    <w:p w14:paraId="21558255" w14:textId="77777777" w:rsidR="006E187A" w:rsidRPr="006E187A" w:rsidRDefault="006E187A" w:rsidP="006E187A">
      <w:pPr>
        <w:shd w:val="clear" w:color="auto" w:fill="FFFFFF" w:themeFill="background1"/>
        <w:spacing w:before="120" w:after="120"/>
        <w:ind w:left="567" w:firstLine="567"/>
        <w:rPr>
          <w:lang w:val="fr-FR" w:eastAsia="en-GB"/>
        </w:rPr>
      </w:pPr>
      <w:r w:rsidRPr="006E187A">
        <w:rPr>
          <w:lang w:val="fr-FR" w:eastAsia="en-GB"/>
        </w:rPr>
        <w:t>3.</w:t>
      </w:r>
      <w:r w:rsidRPr="006E187A">
        <w:rPr>
          <w:i/>
          <w:iCs/>
          <w:lang w:val="fr-FR" w:eastAsia="en-GB"/>
        </w:rPr>
        <w:tab/>
        <w:t xml:space="preserve">Recommande </w:t>
      </w:r>
      <w:r w:rsidRPr="006E187A">
        <w:rPr>
          <w:lang w:val="fr-FR" w:eastAsia="en-GB"/>
        </w:rPr>
        <w:t xml:space="preserve">que la Conférence des Parties à la Convention, lorsqu’elle adoptera ses orientations destinées au Fonds pour l’environnement mondial aux fins de l’appui à l’application du Protocole de Nagoya, inclue les demandes suivantes à l’intention du Fonds pour l’environnement mondial : </w:t>
      </w:r>
    </w:p>
    <w:p w14:paraId="6875B79D" w14:textId="77777777" w:rsidR="006E187A" w:rsidRPr="006E187A" w:rsidRDefault="006E187A" w:rsidP="006E187A">
      <w:pPr>
        <w:tabs>
          <w:tab w:val="clear" w:pos="1134"/>
        </w:tabs>
        <w:spacing w:before="120" w:after="120"/>
        <w:ind w:left="567" w:firstLine="567"/>
        <w:rPr>
          <w:snapToGrid w:val="0"/>
          <w:lang w:val="fr-FR"/>
        </w:rPr>
      </w:pPr>
      <w:r w:rsidRPr="006E187A">
        <w:rPr>
          <w:snapToGrid w:val="0"/>
          <w:lang w:val="fr-FR"/>
        </w:rPr>
        <w:t>a)</w:t>
      </w:r>
      <w:r w:rsidRPr="006E187A">
        <w:rPr>
          <w:snapToGrid w:val="0"/>
          <w:lang w:val="fr-FR"/>
        </w:rPr>
        <w:tab/>
        <w:t xml:space="preserve">Mettre à disposition des fonds en temps voulu pour aider les Parties admissibles à préparer et à soumettre leur premier rapport national au titre du Protocole de Nagoya ; </w:t>
      </w:r>
    </w:p>
    <w:p w14:paraId="0711FFD8" w14:textId="77777777" w:rsidR="006E187A" w:rsidRPr="006E187A" w:rsidRDefault="006E187A" w:rsidP="006E187A">
      <w:pPr>
        <w:tabs>
          <w:tab w:val="clear" w:pos="1134"/>
        </w:tabs>
        <w:spacing w:before="120" w:after="120"/>
        <w:ind w:left="567" w:firstLine="567"/>
        <w:rPr>
          <w:snapToGrid w:val="0"/>
          <w:lang w:val="fr-FR"/>
        </w:rPr>
      </w:pPr>
      <w:r w:rsidRPr="006E187A">
        <w:rPr>
          <w:snapToGrid w:val="0"/>
          <w:lang w:val="fr-FR"/>
        </w:rPr>
        <w:t>b)</w:t>
      </w:r>
      <w:r w:rsidRPr="006E187A">
        <w:rPr>
          <w:snapToGrid w:val="0"/>
          <w:lang w:val="fr-FR"/>
        </w:rPr>
        <w:tab/>
        <w:t>Renforcer son programme de financement destiné à aider les Parties admissibles à appliquer le Protocole de Nagoya ;</w:t>
      </w:r>
    </w:p>
    <w:p w14:paraId="5890B3F8" w14:textId="77777777" w:rsidR="006E187A" w:rsidRPr="006E187A" w:rsidRDefault="006E187A" w:rsidP="006E187A">
      <w:pPr>
        <w:tabs>
          <w:tab w:val="clear" w:pos="1134"/>
        </w:tabs>
        <w:spacing w:before="120" w:after="120"/>
        <w:ind w:left="567" w:firstLine="567"/>
        <w:rPr>
          <w:snapToGrid w:val="0"/>
          <w:lang w:val="fr-FR"/>
        </w:rPr>
      </w:pPr>
      <w:r w:rsidRPr="006E187A">
        <w:rPr>
          <w:snapToGrid w:val="0"/>
          <w:lang w:val="fr-FR"/>
        </w:rPr>
        <w:t>c)</w:t>
      </w:r>
      <w:r w:rsidRPr="006E187A">
        <w:rPr>
          <w:snapToGrid w:val="0"/>
          <w:lang w:val="fr-FR"/>
        </w:rPr>
        <w:tab/>
        <w:t>Soutenir la mise en œuvre du plan d’action pour la création et le renforcement des capacités à l’appui de l’application du Protocole de Nagoya</w:t>
      </w:r>
      <w:r w:rsidRPr="006E187A">
        <w:rPr>
          <w:snapToGrid w:val="0"/>
          <w:vertAlign w:val="superscript"/>
          <w:lang w:val="fr-FR"/>
        </w:rPr>
        <w:footnoteReference w:id="8"/>
      </w:r>
      <w:r w:rsidRPr="006E187A">
        <w:rPr>
          <w:snapToGrid w:val="0"/>
          <w:lang w:val="fr-FR"/>
        </w:rPr>
        <w:t> ;</w:t>
      </w:r>
    </w:p>
    <w:p w14:paraId="42551B44" w14:textId="77777777" w:rsidR="006E187A" w:rsidRPr="006E187A" w:rsidRDefault="006E187A" w:rsidP="006E187A">
      <w:pPr>
        <w:tabs>
          <w:tab w:val="clear" w:pos="1134"/>
        </w:tabs>
        <w:spacing w:before="120" w:after="120"/>
        <w:ind w:left="567" w:firstLine="567"/>
        <w:rPr>
          <w:snapToGrid w:val="0"/>
          <w:lang w:val="fr-FR"/>
        </w:rPr>
      </w:pPr>
      <w:r w:rsidRPr="006E187A">
        <w:rPr>
          <w:snapToGrid w:val="0"/>
          <w:lang w:val="fr-FR"/>
        </w:rPr>
        <w:lastRenderedPageBreak/>
        <w:t>d)</w:t>
      </w:r>
      <w:r w:rsidRPr="006E187A">
        <w:rPr>
          <w:snapToGrid w:val="0"/>
          <w:lang w:val="fr-FR"/>
        </w:rPr>
        <w:tab/>
        <w:t>Continuer à soutenir les Parties admissibles en vue de la réalisation d’activités dans les domaines suivants</w:t>
      </w:r>
      <w:r w:rsidRPr="006E187A">
        <w:rPr>
          <w:lang w:val="fr-FR"/>
        </w:rPr>
        <w:t> </w:t>
      </w:r>
      <w:r w:rsidRPr="006E187A">
        <w:rPr>
          <w:snapToGrid w:val="0"/>
          <w:lang w:val="fr-FR"/>
        </w:rPr>
        <w:t xml:space="preserve">: </w:t>
      </w:r>
    </w:p>
    <w:p w14:paraId="5603E84D" w14:textId="77777777" w:rsidR="006E187A" w:rsidRPr="006E187A" w:rsidRDefault="006E187A" w:rsidP="006E187A">
      <w:pPr>
        <w:spacing w:before="120" w:after="120"/>
        <w:ind w:left="1701" w:hanging="567"/>
        <w:rPr>
          <w:snapToGrid w:val="0"/>
          <w:kern w:val="22"/>
          <w:lang w:val="fr-FR"/>
        </w:rPr>
      </w:pPr>
      <w:r w:rsidRPr="006E187A">
        <w:rPr>
          <w:snapToGrid w:val="0"/>
          <w:lang w:val="fr-FR"/>
        </w:rPr>
        <w:t>i)</w:t>
      </w:r>
      <w:r w:rsidRPr="006E187A">
        <w:rPr>
          <w:snapToGrid w:val="0"/>
          <w:lang w:val="fr-FR"/>
        </w:rPr>
        <w:tab/>
        <w:t>Priorités spécifiques pour la poursuite de la création et du renforcement des capacités à l’appui de l’application du Protocole de Nagoya</w:t>
      </w:r>
      <w:r w:rsidRPr="006E187A">
        <w:rPr>
          <w:snapToGrid w:val="0"/>
          <w:vertAlign w:val="superscript"/>
          <w:lang w:val="fr-FR"/>
        </w:rPr>
        <w:footnoteReference w:id="9"/>
      </w:r>
      <w:r w:rsidRPr="006E187A">
        <w:rPr>
          <w:snapToGrid w:val="0"/>
          <w:lang w:val="fr-FR"/>
        </w:rPr>
        <w:t> ;</w:t>
      </w:r>
      <w:r w:rsidRPr="006E187A">
        <w:rPr>
          <w:snapToGrid w:val="0"/>
          <w:highlight w:val="yellow"/>
          <w:vertAlign w:val="superscript"/>
          <w:lang w:val="fr-FR"/>
        </w:rPr>
        <w:t xml:space="preserve"> </w:t>
      </w:r>
    </w:p>
    <w:p w14:paraId="6EF3C1B0" w14:textId="77777777" w:rsidR="006E187A" w:rsidRPr="006E187A" w:rsidRDefault="006E187A" w:rsidP="006E187A">
      <w:pPr>
        <w:spacing w:before="120" w:after="120"/>
        <w:ind w:left="1701" w:hanging="567"/>
        <w:rPr>
          <w:snapToGrid w:val="0"/>
          <w:lang w:val="fr-FR"/>
        </w:rPr>
      </w:pPr>
      <w:r w:rsidRPr="006E187A">
        <w:rPr>
          <w:snapToGrid w:val="0"/>
          <w:lang w:val="fr-FR"/>
        </w:rPr>
        <w:t>ii)</w:t>
      </w:r>
      <w:r w:rsidRPr="006E187A">
        <w:rPr>
          <w:snapToGrid w:val="0"/>
          <w:lang w:val="fr-FR"/>
        </w:rPr>
        <w:tab/>
        <w:t>Intégration et prise en compte de l’accès aux ressources génétiques et aux connaissances traditionnelles connexes, ainsi que du partage des avantages découlant de leur utilisation, dans les politiques et activités liées à la biodiversité et au développement durable ;</w:t>
      </w:r>
    </w:p>
    <w:p w14:paraId="185A7679" w14:textId="77777777" w:rsidR="006E187A" w:rsidRPr="006E187A" w:rsidRDefault="006E187A" w:rsidP="006E187A">
      <w:pPr>
        <w:spacing w:before="120" w:after="120"/>
        <w:ind w:left="1701" w:hanging="567"/>
        <w:rPr>
          <w:snapToGrid w:val="0"/>
          <w:lang w:val="fr-FR"/>
        </w:rPr>
      </w:pPr>
      <w:r w:rsidRPr="006E187A">
        <w:rPr>
          <w:snapToGrid w:val="0"/>
          <w:lang w:val="fr-FR"/>
        </w:rPr>
        <w:t>iii)</w:t>
      </w:r>
      <w:r w:rsidRPr="006E187A">
        <w:rPr>
          <w:snapToGrid w:val="0"/>
          <w:lang w:val="fr-FR"/>
        </w:rPr>
        <w:tab/>
        <w:t>Création et maintien de capacités institutionnelles à long terme en matière de gestion, de suivi et d’évaluation des cadres nationaux d’accès et de partage des avantages ;</w:t>
      </w:r>
    </w:p>
    <w:p w14:paraId="617FCB68" w14:textId="77777777" w:rsidR="006E187A" w:rsidRPr="006E187A" w:rsidRDefault="006E187A" w:rsidP="006E187A">
      <w:pPr>
        <w:tabs>
          <w:tab w:val="clear" w:pos="1134"/>
        </w:tabs>
        <w:spacing w:before="120" w:after="120"/>
        <w:ind w:left="567" w:firstLine="567"/>
        <w:rPr>
          <w:snapToGrid w:val="0"/>
          <w:kern w:val="22"/>
          <w:lang w:val="fr-FR"/>
        </w:rPr>
      </w:pPr>
      <w:r w:rsidRPr="006E187A">
        <w:rPr>
          <w:snapToGrid w:val="0"/>
          <w:lang w:val="fr-FR"/>
        </w:rPr>
        <w:t>e)</w:t>
      </w:r>
      <w:r w:rsidRPr="006E187A">
        <w:rPr>
          <w:snapToGrid w:val="0"/>
          <w:lang w:val="fr-FR"/>
        </w:rPr>
        <w:tab/>
      </w:r>
      <w:bookmarkStart w:id="15" w:name="_Hlk178080578"/>
      <w:r w:rsidRPr="006E187A">
        <w:rPr>
          <w:snapToGrid w:val="0"/>
          <w:lang w:val="fr-FR"/>
        </w:rPr>
        <w:t xml:space="preserve">Examiner les mesures qui pourraient être prises, par exemple </w:t>
      </w:r>
      <w:r w:rsidRPr="006E187A">
        <w:rPr>
          <w:rFonts w:eastAsia="Times New Roman"/>
          <w:snapToGrid w:val="0"/>
          <w:lang w:val="fr-FR"/>
        </w:rPr>
        <w:t xml:space="preserve">la mise en réserve de ressources </w:t>
      </w:r>
      <w:r w:rsidRPr="006E187A">
        <w:rPr>
          <w:snapToGrid w:val="0"/>
          <w:lang w:val="fr-FR"/>
        </w:rPr>
        <w:t xml:space="preserve">et la réalisation de projets régionaux, </w:t>
      </w:r>
      <w:r w:rsidRPr="006E187A">
        <w:rPr>
          <w:rFonts w:eastAsia="Times New Roman"/>
          <w:szCs w:val="24"/>
          <w:lang w:val="fr-FR"/>
        </w:rPr>
        <w:t xml:space="preserve">pour </w:t>
      </w:r>
      <w:r w:rsidRPr="006E187A">
        <w:rPr>
          <w:rFonts w:eastAsia="Times New Roman"/>
          <w:snapToGrid w:val="0"/>
          <w:lang w:val="fr-FR"/>
        </w:rPr>
        <w:t>appuyer l’application du Protocole</w:t>
      </w:r>
      <w:r w:rsidRPr="006E187A">
        <w:rPr>
          <w:snapToGrid w:val="0"/>
          <w:lang w:val="fr-FR"/>
        </w:rPr>
        <w:t xml:space="preserve">, en vue de </w:t>
      </w:r>
      <w:r w:rsidRPr="006E187A">
        <w:rPr>
          <w:snapToGrid w:val="0"/>
          <w:kern w:val="22"/>
          <w:lang w:val="fr-FR"/>
        </w:rPr>
        <w:t xml:space="preserve">permettre au Fonds pour l’environnement mondial de </w:t>
      </w:r>
      <w:r w:rsidRPr="006E187A">
        <w:rPr>
          <w:snapToGrid w:val="0"/>
          <w:lang w:val="fr-FR"/>
        </w:rPr>
        <w:t xml:space="preserve">s’acquitter le </w:t>
      </w:r>
      <w:r w:rsidRPr="006E187A">
        <w:rPr>
          <w:snapToGrid w:val="0"/>
          <w:kern w:val="22"/>
          <w:lang w:val="fr-FR"/>
        </w:rPr>
        <w:t>plus efficacement possible de ses responsabilités eu égard au fonctionnement du mécanisme de financement de l’application du Protocole, et faire rapport sur ces questions à la Conférence des Parties à sa dix-septième réunion </w:t>
      </w:r>
      <w:r w:rsidRPr="006E187A">
        <w:rPr>
          <w:lang w:val="fr-FR"/>
        </w:rPr>
        <w:t>;</w:t>
      </w:r>
      <w:bookmarkEnd w:id="15"/>
      <w:r w:rsidRPr="006E187A">
        <w:rPr>
          <w:lang w:val="fr-FR"/>
        </w:rPr>
        <w:t xml:space="preserve"> </w:t>
      </w:r>
    </w:p>
    <w:p w14:paraId="7EAB519C" w14:textId="77777777" w:rsidR="006E187A" w:rsidRPr="006E187A" w:rsidRDefault="006E187A" w:rsidP="006E187A">
      <w:pPr>
        <w:tabs>
          <w:tab w:val="left" w:pos="2835"/>
          <w:tab w:val="left" w:pos="3402"/>
        </w:tabs>
        <w:spacing w:after="120"/>
        <w:ind w:left="567" w:firstLine="567"/>
        <w:rPr>
          <w:lang w:val="fr-FR" w:eastAsia="en-GB"/>
        </w:rPr>
      </w:pPr>
      <w:r w:rsidRPr="006E187A">
        <w:rPr>
          <w:lang w:val="fr-FR" w:eastAsia="en-GB"/>
        </w:rPr>
        <w:t>4.</w:t>
      </w:r>
      <w:r w:rsidRPr="006E187A">
        <w:rPr>
          <w:i/>
          <w:iCs/>
          <w:lang w:val="fr-FR" w:eastAsia="en-GB"/>
        </w:rPr>
        <w:tab/>
        <w:t xml:space="preserve">Recommande également </w:t>
      </w:r>
      <w:r w:rsidRPr="006E187A">
        <w:rPr>
          <w:lang w:val="fr-FR" w:eastAsia="en-GB"/>
        </w:rPr>
        <w:t xml:space="preserve">à la Conférence des Parties d’inclure les éléments énoncés aux alinéas c) et d) du paragraphe 3 ci-dessus dans le cadre quadriennal des priorités de programme en faveur de la biodiversité axé sur les résultats pour la période de la neuvième reconstitution de la Caisse </w:t>
      </w:r>
      <w:r w:rsidRPr="006E187A">
        <w:rPr>
          <w:lang w:val="fr-FR"/>
        </w:rPr>
        <w:t>du Fonds pour l’environnement mondial (2026-2030)</w:t>
      </w:r>
      <w:r w:rsidRPr="006E187A">
        <w:rPr>
          <w:vertAlign w:val="superscript"/>
          <w:lang w:val="fr-FR"/>
        </w:rPr>
        <w:footnoteReference w:id="10"/>
      </w:r>
      <w:r w:rsidRPr="006E187A">
        <w:rPr>
          <w:lang w:val="fr-FR"/>
        </w:rPr>
        <w:t> ;</w:t>
      </w:r>
    </w:p>
    <w:p w14:paraId="0D66BF0B" w14:textId="77777777" w:rsidR="006E187A" w:rsidRPr="006E187A" w:rsidRDefault="006E187A" w:rsidP="006E187A">
      <w:pPr>
        <w:tabs>
          <w:tab w:val="left" w:pos="2835"/>
          <w:tab w:val="left" w:pos="3402"/>
        </w:tabs>
        <w:spacing w:after="120"/>
        <w:ind w:left="567" w:firstLine="567"/>
        <w:rPr>
          <w:lang w:val="fr-FR"/>
        </w:rPr>
      </w:pPr>
      <w:r w:rsidRPr="006E187A">
        <w:rPr>
          <w:lang w:val="fr-FR"/>
        </w:rPr>
        <w:t>5</w:t>
      </w:r>
      <w:r w:rsidRPr="006E187A">
        <w:rPr>
          <w:i/>
          <w:iCs/>
          <w:lang w:val="fr-FR"/>
        </w:rPr>
        <w:t>.</w:t>
      </w:r>
      <w:r w:rsidRPr="006E187A">
        <w:rPr>
          <w:i/>
          <w:iCs/>
          <w:lang w:val="fr-FR"/>
        </w:rPr>
        <w:tab/>
        <w:t xml:space="preserve">Encourage </w:t>
      </w:r>
      <w:r w:rsidRPr="006E187A">
        <w:rPr>
          <w:lang w:val="fr-FR"/>
        </w:rPr>
        <w:t>les</w:t>
      </w:r>
      <w:r w:rsidRPr="006E187A">
        <w:rPr>
          <w:i/>
          <w:iCs/>
          <w:lang w:val="fr-FR"/>
        </w:rPr>
        <w:t xml:space="preserve"> </w:t>
      </w:r>
      <w:r w:rsidRPr="006E187A">
        <w:rPr>
          <w:lang w:val="fr-FR"/>
        </w:rPr>
        <w:t xml:space="preserve">Parties admissibles à accorder la priorité nécessaire aux projets relatifs à l’accès et au partage des avantages réalisés lors de l’élaboration des programmes financés par leurs allocations </w:t>
      </w:r>
      <w:r w:rsidRPr="006E187A">
        <w:rPr>
          <w:lang w:val="fr-FR" w:eastAsia="en-GB"/>
        </w:rPr>
        <w:t xml:space="preserve">nationales </w:t>
      </w:r>
      <w:r w:rsidRPr="006E187A">
        <w:rPr>
          <w:lang w:val="fr-FR"/>
        </w:rPr>
        <w:t xml:space="preserve">au titre de la huitième reconstitution dans le cadre du Système d’allocation transparente des ressources, en utilisant l’allocation théorique pour l’application du Protocole de Nagoya mise à disposition en vertu des orientations de programme de la huitième reconstitution de la Caisse du Fonds pour l’environnement mondial et en tenant compte des résultats du sixième examen de l’efficacité du mécanisme de financement. </w:t>
      </w:r>
    </w:p>
    <w:p w14:paraId="5C5D44FF" w14:textId="5EB618FB" w:rsidR="00871E78" w:rsidRPr="00084920" w:rsidRDefault="00871E78" w:rsidP="003313FD">
      <w:pPr>
        <w:pStyle w:val="CBDNormalNoNumber"/>
        <w:rPr>
          <w:lang w:val="fr-FR"/>
        </w:rPr>
      </w:pPr>
    </w:p>
    <w:p w14:paraId="0B9E28F8" w14:textId="77777777" w:rsidR="005549D8" w:rsidRPr="00084920" w:rsidRDefault="005549D8" w:rsidP="004B4FCB">
      <w:pPr>
        <w:pStyle w:val="CBDAnnex"/>
        <w:spacing w:before="240"/>
        <w:outlineLvl w:val="0"/>
        <w:rPr>
          <w:lang w:val="fr-FR"/>
        </w:rPr>
        <w:sectPr w:rsidR="005549D8" w:rsidRPr="00084920" w:rsidSect="005549D8">
          <w:pgSz w:w="12240" w:h="15840" w:code="1"/>
          <w:pgMar w:top="562" w:right="1382" w:bottom="1138" w:left="1382" w:header="706" w:footer="706" w:gutter="0"/>
          <w:cols w:space="708"/>
          <w:docGrid w:linePitch="360"/>
        </w:sectPr>
      </w:pPr>
    </w:p>
    <w:p w14:paraId="25FB7C52" w14:textId="678608A2" w:rsidR="006A3380" w:rsidRPr="00084920" w:rsidRDefault="006E187A" w:rsidP="004B4FCB">
      <w:pPr>
        <w:pStyle w:val="CBDAnnex"/>
        <w:spacing w:before="240"/>
        <w:outlineLvl w:val="0"/>
        <w:rPr>
          <w:lang w:val="fr-FR"/>
        </w:rPr>
      </w:pPr>
      <w:bookmarkStart w:id="16" w:name="_Toc178159941"/>
      <w:r>
        <w:rPr>
          <w:lang w:val="fr-FR"/>
        </w:rPr>
        <w:lastRenderedPageBreak/>
        <w:t>Point</w:t>
      </w:r>
      <w:r w:rsidR="00EE54EF">
        <w:rPr>
          <w:lang w:val="fr-FR"/>
        </w:rPr>
        <w:t> </w:t>
      </w:r>
      <w:r w:rsidR="00B17FE6" w:rsidRPr="00084920">
        <w:rPr>
          <w:lang w:val="fr-FR"/>
        </w:rPr>
        <w:t>8</w:t>
      </w:r>
      <w:r w:rsidR="00125526" w:rsidRPr="00084920">
        <w:rPr>
          <w:lang w:val="fr-FR"/>
        </w:rPr>
        <w:t xml:space="preserve"> </w:t>
      </w:r>
      <w:r w:rsidR="00125526" w:rsidRPr="00084920">
        <w:rPr>
          <w:lang w:val="fr-FR"/>
        </w:rPr>
        <w:br/>
      </w:r>
      <w:bookmarkEnd w:id="16"/>
      <w:r w:rsidR="00343CE7" w:rsidRPr="00343CE7">
        <w:rPr>
          <w:lang w:val="fr-FR"/>
        </w:rPr>
        <w:t>Renforcement et création des capacités et sensibilisation</w:t>
      </w:r>
    </w:p>
    <w:tbl>
      <w:tblPr>
        <w:tblStyle w:val="Grilledutableau"/>
        <w:tblW w:w="0" w:type="auto"/>
        <w:tblLook w:val="04A0" w:firstRow="1" w:lastRow="0" w:firstColumn="1" w:lastColumn="0" w:noHBand="0" w:noVBand="1"/>
      </w:tblPr>
      <w:tblGrid>
        <w:gridCol w:w="9350"/>
      </w:tblGrid>
      <w:tr w:rsidR="006E6CCC" w:rsidRPr="00084920" w14:paraId="5DAA6E10" w14:textId="77777777" w:rsidTr="00557F83">
        <w:tc>
          <w:tcPr>
            <w:tcW w:w="9350" w:type="dxa"/>
            <w:tcBorders>
              <w:left w:val="nil"/>
              <w:right w:val="nil"/>
            </w:tcBorders>
          </w:tcPr>
          <w:p w14:paraId="49AF1AF8" w14:textId="4BAA811A" w:rsidR="006E6CCC" w:rsidRPr="00084920" w:rsidRDefault="00343CE7" w:rsidP="00520B1C">
            <w:pPr>
              <w:pStyle w:val="CBDNormalNoNumber"/>
              <w:keepNext/>
              <w:keepLines/>
              <w:tabs>
                <w:tab w:val="clear" w:pos="567"/>
              </w:tabs>
              <w:spacing w:before="60" w:after="60"/>
              <w:ind w:left="0" w:firstLine="596"/>
              <w:rPr>
                <w:i/>
                <w:iCs/>
                <w:lang w:val="fr-FR"/>
              </w:rPr>
            </w:pPr>
            <w:r>
              <w:rPr>
                <w:i/>
                <w:iCs/>
                <w:lang w:val="fr-FR"/>
              </w:rPr>
              <w:t>Le projet de décision suivant est tiré de la recommandation 4/7 de l’Organe subsidiaire chargé de l’application.</w:t>
            </w:r>
          </w:p>
        </w:tc>
      </w:tr>
    </w:tbl>
    <w:p w14:paraId="0C634EA7" w14:textId="77777777" w:rsidR="00343CE7" w:rsidRPr="00343CE7" w:rsidRDefault="00343CE7" w:rsidP="00343CE7">
      <w:pPr>
        <w:tabs>
          <w:tab w:val="clear" w:pos="567"/>
          <w:tab w:val="clear" w:pos="1134"/>
          <w:tab w:val="clear" w:pos="2268"/>
        </w:tabs>
        <w:spacing w:before="120" w:after="120"/>
        <w:ind w:left="567" w:firstLine="567"/>
        <w:rPr>
          <w:rFonts w:eastAsia="Times New Roman"/>
          <w:i/>
          <w:iCs/>
          <w:szCs w:val="24"/>
          <w:lang w:val="fr-FR"/>
        </w:rPr>
      </w:pPr>
      <w:r w:rsidRPr="00343CE7">
        <w:rPr>
          <w:rFonts w:eastAsia="Times New Roman"/>
          <w:i/>
          <w:iCs/>
          <w:szCs w:val="24"/>
          <w:lang w:val="fr-FR"/>
        </w:rPr>
        <w:t>La Conférence des Parties siégeant en tant que réunion des Parties au Protocole de Nagoya,</w:t>
      </w:r>
    </w:p>
    <w:p w14:paraId="58CD0EF2" w14:textId="31F7D866"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i/>
          <w:iCs/>
          <w:szCs w:val="24"/>
          <w:lang w:val="fr-FR"/>
        </w:rPr>
        <w:t>Rappelant</w:t>
      </w:r>
      <w:r w:rsidRPr="00343CE7">
        <w:rPr>
          <w:rFonts w:eastAsia="Times New Roman"/>
          <w:szCs w:val="24"/>
          <w:lang w:val="fr-FR"/>
        </w:rPr>
        <w:t xml:space="preserve"> les </w:t>
      </w:r>
      <w:hyperlink r:id="rId24" w:history="1">
        <w:r w:rsidRPr="00343CE7">
          <w:rPr>
            <w:rFonts w:eastAsia="Times New Roman"/>
            <w:color w:val="0563C1" w:themeColor="hyperlink"/>
            <w:szCs w:val="24"/>
            <w:u w:val="single"/>
            <w:lang w:val="fr-FR"/>
          </w:rPr>
          <w:t>articles</w:t>
        </w:r>
        <w:r w:rsidR="00EE54EF">
          <w:rPr>
            <w:rFonts w:eastAsia="Times New Roman"/>
            <w:color w:val="0563C1" w:themeColor="hyperlink"/>
            <w:szCs w:val="24"/>
            <w:u w:val="single"/>
            <w:lang w:val="fr-FR"/>
          </w:rPr>
          <w:t> </w:t>
        </w:r>
        <w:r w:rsidRPr="00343CE7">
          <w:rPr>
            <w:rFonts w:eastAsia="Times New Roman"/>
            <w:color w:val="0563C1" w:themeColor="hyperlink"/>
            <w:szCs w:val="24"/>
            <w:u w:val="single"/>
            <w:lang w:val="fr-FR"/>
          </w:rPr>
          <w:t>21</w:t>
        </w:r>
      </w:hyperlink>
      <w:r w:rsidRPr="00343CE7">
        <w:rPr>
          <w:rFonts w:eastAsia="Times New Roman"/>
          <w:szCs w:val="24"/>
          <w:lang w:val="fr-FR"/>
        </w:rPr>
        <w:t xml:space="preserve"> et </w:t>
      </w:r>
      <w:hyperlink r:id="rId25" w:history="1">
        <w:r w:rsidRPr="00343CE7">
          <w:rPr>
            <w:rFonts w:eastAsia="Times New Roman"/>
            <w:color w:val="0563C1" w:themeColor="hyperlink"/>
            <w:szCs w:val="24"/>
            <w:u w:val="single"/>
            <w:lang w:val="fr-FR"/>
          </w:rPr>
          <w:t>22</w:t>
        </w:r>
      </w:hyperlink>
      <w:r w:rsidRPr="00343CE7">
        <w:rPr>
          <w:rFonts w:eastAsia="Times New Roman"/>
          <w:szCs w:val="24"/>
          <w:lang w:val="fr-FR"/>
        </w:rPr>
        <w:t xml:space="preserve"> du Protocole de Nagoya sur l’accès aux ressources génétiques et le partage juste et équitable des avantages découlant de leur utilisation à la Convention sur la diversité biologique,</w:t>
      </w:r>
      <w:r w:rsidRPr="00343CE7">
        <w:rPr>
          <w:rFonts w:eastAsia="Times New Roman"/>
          <w:szCs w:val="24"/>
          <w:vertAlign w:val="superscript"/>
          <w:lang w:val="fr-FR"/>
        </w:rPr>
        <w:footnoteReference w:id="11"/>
      </w:r>
      <w:r w:rsidRPr="00343CE7">
        <w:rPr>
          <w:rFonts w:eastAsia="Times New Roman"/>
          <w:szCs w:val="24"/>
          <w:lang w:val="fr-FR"/>
        </w:rPr>
        <w:t xml:space="preserve"> </w:t>
      </w:r>
    </w:p>
    <w:p w14:paraId="4DC32F2F"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i/>
          <w:iCs/>
          <w:szCs w:val="24"/>
          <w:lang w:val="fr-FR"/>
        </w:rPr>
        <w:t xml:space="preserve">Rappelant également </w:t>
      </w:r>
      <w:r w:rsidRPr="00343CE7">
        <w:rPr>
          <w:rFonts w:eastAsia="Times New Roman"/>
          <w:szCs w:val="24"/>
          <w:lang w:val="fr-FR"/>
        </w:rPr>
        <w:t>les dispositions de la décision </w:t>
      </w:r>
      <w:hyperlink r:id="rId26" w:history="1">
        <w:r w:rsidRPr="00343CE7">
          <w:rPr>
            <w:rFonts w:eastAsia="Times New Roman"/>
            <w:color w:val="0563C1" w:themeColor="hyperlink"/>
            <w:szCs w:val="24"/>
            <w:u w:val="single"/>
            <w:lang w:val="fr-FR"/>
          </w:rPr>
          <w:t>NP-4/7</w:t>
        </w:r>
      </w:hyperlink>
      <w:r w:rsidRPr="00343CE7">
        <w:rPr>
          <w:rFonts w:eastAsia="Times New Roman"/>
          <w:szCs w:val="24"/>
          <w:lang w:val="fr-FR"/>
        </w:rPr>
        <w:t xml:space="preserve"> A du 10 décembre 2022 de la Conférence des Parties siégeant en tant que réunion des Parties au Protocole relatif à la révision du cadre stratégique pour la création et le renforcement des capacités à l’appui de la mise en œuvre effective du Protocole,</w:t>
      </w:r>
      <w:r w:rsidRPr="00343CE7">
        <w:rPr>
          <w:rFonts w:eastAsia="Times New Roman"/>
          <w:szCs w:val="24"/>
          <w:vertAlign w:val="superscript"/>
          <w:lang w:val="fr-FR"/>
        </w:rPr>
        <w:footnoteReference w:id="12"/>
      </w:r>
    </w:p>
    <w:p w14:paraId="53F5ECAC"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i/>
          <w:iCs/>
          <w:szCs w:val="24"/>
          <w:lang w:val="fr-FR"/>
        </w:rPr>
        <w:t>Rappelant</w:t>
      </w:r>
      <w:r w:rsidRPr="00343CE7">
        <w:rPr>
          <w:rFonts w:eastAsia="Times New Roman"/>
          <w:szCs w:val="24"/>
          <w:lang w:val="fr-FR"/>
        </w:rPr>
        <w:t xml:space="preserve"> </w:t>
      </w:r>
      <w:r w:rsidRPr="00343CE7">
        <w:rPr>
          <w:rFonts w:eastAsia="Times New Roman"/>
          <w:i/>
          <w:iCs/>
          <w:szCs w:val="24"/>
          <w:lang w:val="fr-FR"/>
        </w:rPr>
        <w:t xml:space="preserve">de plus </w:t>
      </w:r>
      <w:r w:rsidRPr="00343CE7">
        <w:rPr>
          <w:rFonts w:eastAsia="Times New Roman"/>
          <w:szCs w:val="24"/>
          <w:lang w:val="fr-FR"/>
        </w:rPr>
        <w:t>la décision </w:t>
      </w:r>
      <w:hyperlink r:id="rId27">
        <w:r w:rsidRPr="00343CE7">
          <w:rPr>
            <w:rFonts w:eastAsia="Times New Roman"/>
            <w:color w:val="0563C1" w:themeColor="hyperlink"/>
            <w:szCs w:val="24"/>
            <w:u w:val="single"/>
            <w:lang w:val="fr-FR"/>
          </w:rPr>
          <w:t>15/4</w:t>
        </w:r>
      </w:hyperlink>
      <w:r w:rsidRPr="00343CE7">
        <w:rPr>
          <w:rFonts w:eastAsia="Times New Roman"/>
          <w:szCs w:val="24"/>
          <w:lang w:val="fr-FR"/>
        </w:rPr>
        <w:t xml:space="preserve"> du 19 décembre 2022 de la Conférence des Parties à la Convention sur la diversité biologique</w:t>
      </w:r>
      <w:r w:rsidRPr="00343CE7">
        <w:rPr>
          <w:rFonts w:eastAsia="Times New Roman"/>
          <w:szCs w:val="24"/>
          <w:vertAlign w:val="superscript"/>
          <w:lang w:val="fr-FR"/>
        </w:rPr>
        <w:footnoteReference w:id="13"/>
      </w:r>
      <w:r w:rsidRPr="00343CE7">
        <w:rPr>
          <w:rFonts w:eastAsia="Times New Roman"/>
          <w:szCs w:val="24"/>
          <w:lang w:val="fr-FR"/>
        </w:rPr>
        <w:t>, dans laquelle la Conférence des Parties a adopté le Cadre mondial de la biodiversité de Kunming-Montréal, et en particulier l’objectif C et la cible 13 du Cadre, ainsi que la décision </w:t>
      </w:r>
      <w:hyperlink r:id="rId28">
        <w:r w:rsidRPr="00343CE7">
          <w:rPr>
            <w:rFonts w:eastAsia="Times New Roman"/>
            <w:color w:val="0563C1" w:themeColor="hyperlink"/>
            <w:szCs w:val="24"/>
            <w:u w:val="single"/>
            <w:lang w:val="fr-FR"/>
          </w:rPr>
          <w:t>15/8</w:t>
        </w:r>
      </w:hyperlink>
      <w:r w:rsidRPr="00343CE7">
        <w:rPr>
          <w:rFonts w:eastAsia="Times New Roman"/>
          <w:szCs w:val="24"/>
          <w:lang w:val="fr-FR"/>
        </w:rPr>
        <w:t xml:space="preserve"> du 19 décembre 2022, en particulier le cadre stratégique à long terme de création et de renforcement des capacités,</w:t>
      </w:r>
      <w:r w:rsidRPr="00343CE7">
        <w:rPr>
          <w:rFonts w:eastAsia="Times New Roman"/>
          <w:szCs w:val="24"/>
          <w:vertAlign w:val="superscript"/>
          <w:lang w:val="fr-FR"/>
        </w:rPr>
        <w:footnoteReference w:id="14"/>
      </w:r>
      <w:r w:rsidRPr="00343CE7">
        <w:rPr>
          <w:rFonts w:eastAsia="Times New Roman"/>
          <w:szCs w:val="24"/>
          <w:lang w:val="fr-FR"/>
        </w:rPr>
        <w:t xml:space="preserve"> </w:t>
      </w:r>
    </w:p>
    <w:p w14:paraId="1C857115"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i/>
          <w:iCs/>
          <w:szCs w:val="24"/>
          <w:lang w:val="fr-FR"/>
        </w:rPr>
        <w:t>Rappelant</w:t>
      </w:r>
      <w:r w:rsidRPr="00343CE7">
        <w:rPr>
          <w:rFonts w:eastAsia="Times New Roman"/>
          <w:szCs w:val="24"/>
          <w:lang w:val="fr-FR"/>
        </w:rPr>
        <w:t xml:space="preserve"> la décision </w:t>
      </w:r>
      <w:hyperlink r:id="rId29" w:history="1">
        <w:r w:rsidRPr="00343CE7">
          <w:rPr>
            <w:rFonts w:eastAsia="Times New Roman"/>
            <w:color w:val="0563C1" w:themeColor="hyperlink"/>
            <w:szCs w:val="24"/>
            <w:u w:val="single"/>
            <w:lang w:val="fr-FR"/>
          </w:rPr>
          <w:t>15/11</w:t>
        </w:r>
      </w:hyperlink>
      <w:r w:rsidRPr="00343CE7">
        <w:rPr>
          <w:rFonts w:eastAsia="Times New Roman"/>
          <w:szCs w:val="24"/>
          <w:lang w:val="fr-FR"/>
        </w:rPr>
        <w:t xml:space="preserve"> du 19 décembre 2022 de la Conférence des Parties à la Convention, dans laquelle la Conférence des Parties a invité les Parties à contribuer à l’élaboration, à la mise en essai et à la promotion des méthodes pertinentes pour intégrer des perspectives liées à l’égalité des sexes dans le régime d’accès et de partage des avantages, selon qu’il convient,</w:t>
      </w:r>
    </w:p>
    <w:p w14:paraId="464FEA00" w14:textId="77777777" w:rsidR="00343CE7" w:rsidRPr="00343CE7" w:rsidRDefault="00343CE7" w:rsidP="00343CE7">
      <w:pPr>
        <w:tabs>
          <w:tab w:val="clear" w:pos="567"/>
          <w:tab w:val="clear" w:pos="1134"/>
          <w:tab w:val="clear" w:pos="2268"/>
        </w:tabs>
        <w:spacing w:before="120" w:after="120"/>
        <w:ind w:left="540" w:firstLine="630"/>
        <w:rPr>
          <w:rFonts w:eastAsia="Times New Roman"/>
          <w:szCs w:val="24"/>
          <w:lang w:val="fr-FR"/>
        </w:rPr>
      </w:pPr>
      <w:r w:rsidRPr="00343CE7">
        <w:rPr>
          <w:rFonts w:eastAsia="Times New Roman"/>
          <w:i/>
          <w:szCs w:val="24"/>
          <w:lang w:val="fr-FR"/>
        </w:rPr>
        <w:t xml:space="preserve">Soulignant </w:t>
      </w:r>
      <w:r w:rsidRPr="00343CE7">
        <w:rPr>
          <w:rFonts w:eastAsia="Times New Roman"/>
          <w:szCs w:val="24"/>
          <w:lang w:val="fr-FR"/>
        </w:rPr>
        <w:t>l’importance de la création et du renforcement des capacités, de la coopération technique et scientifique, du transfert de technologies, ainsi que du soutien financier pour la mise en œuvre effective du Protocole,</w:t>
      </w:r>
    </w:p>
    <w:p w14:paraId="02D0E4C2" w14:textId="77777777" w:rsidR="00343CE7" w:rsidRPr="00343CE7" w:rsidRDefault="00343CE7" w:rsidP="00343CE7">
      <w:pPr>
        <w:tabs>
          <w:tab w:val="clear" w:pos="567"/>
          <w:tab w:val="clear" w:pos="1134"/>
          <w:tab w:val="clear" w:pos="2268"/>
        </w:tabs>
        <w:spacing w:before="120" w:after="120"/>
        <w:ind w:left="540" w:firstLine="630"/>
        <w:rPr>
          <w:rFonts w:eastAsia="Times New Roman"/>
          <w:szCs w:val="24"/>
          <w:lang w:val="fr-FR"/>
        </w:rPr>
      </w:pPr>
      <w:r w:rsidRPr="00343CE7">
        <w:rPr>
          <w:rFonts w:eastAsia="Times New Roman"/>
          <w:i/>
          <w:szCs w:val="24"/>
          <w:lang w:val="fr-FR"/>
        </w:rPr>
        <w:t xml:space="preserve">Reconnaissant </w:t>
      </w:r>
      <w:r w:rsidRPr="00343CE7">
        <w:rPr>
          <w:rFonts w:eastAsia="Times New Roman"/>
          <w:szCs w:val="24"/>
          <w:lang w:val="fr-FR"/>
        </w:rPr>
        <w:t>que nombre de Parties, en particulier les pays en développement Parties, n’ont peut-être pas encore les capacités nécessaires mettre en œuvre le Protocole de manière efficace et dépendent de la mise à disposition de moyens rapides, appropriés et prévisibles à l’appui de la mise en œuvre, y compris des ressources financières,</w:t>
      </w:r>
    </w:p>
    <w:p w14:paraId="22E4A964" w14:textId="77777777" w:rsidR="00343CE7" w:rsidRPr="00343CE7" w:rsidRDefault="00343CE7" w:rsidP="00343CE7">
      <w:pPr>
        <w:tabs>
          <w:tab w:val="clear" w:pos="567"/>
          <w:tab w:val="clear" w:pos="1134"/>
          <w:tab w:val="clear" w:pos="2268"/>
        </w:tabs>
        <w:spacing w:before="120" w:after="120"/>
        <w:ind w:left="540" w:firstLine="630"/>
        <w:rPr>
          <w:rFonts w:eastAsia="Times New Roman"/>
          <w:iCs/>
          <w:szCs w:val="24"/>
          <w:lang w:val="fr-FR"/>
        </w:rPr>
      </w:pPr>
      <w:r w:rsidRPr="00343CE7">
        <w:rPr>
          <w:rFonts w:eastAsia="Times New Roman"/>
          <w:i/>
          <w:szCs w:val="24"/>
          <w:lang w:val="fr-FR"/>
        </w:rPr>
        <w:t>Notant</w:t>
      </w:r>
      <w:r w:rsidRPr="00343CE7">
        <w:rPr>
          <w:rFonts w:eastAsia="Times New Roman"/>
          <w:iCs/>
          <w:szCs w:val="24"/>
          <w:lang w:val="fr-FR"/>
        </w:rPr>
        <w:t xml:space="preserve"> le petit nombre de propositions de projet soumises par des pays admissibles pour demander un appui à la mise en œuvre du Protocole, et encourageant les pays admissibles à soumettre leurs propositions, conformément aux circonstances et aux priorités nationales.</w:t>
      </w:r>
    </w:p>
    <w:p w14:paraId="39431CAD"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1.</w:t>
      </w:r>
      <w:r w:rsidRPr="00343CE7">
        <w:rPr>
          <w:rFonts w:eastAsia="Times New Roman"/>
          <w:szCs w:val="24"/>
          <w:lang w:val="fr-FR"/>
        </w:rPr>
        <w:tab/>
      </w:r>
      <w:r w:rsidRPr="00343CE7">
        <w:rPr>
          <w:rFonts w:eastAsia="Times New Roman"/>
          <w:i/>
          <w:iCs/>
          <w:szCs w:val="24"/>
          <w:lang w:val="fr-FR"/>
        </w:rPr>
        <w:t>Prend note</w:t>
      </w:r>
      <w:r w:rsidRPr="00343CE7">
        <w:rPr>
          <w:rFonts w:eastAsia="Times New Roman"/>
          <w:szCs w:val="24"/>
          <w:lang w:val="fr-FR"/>
        </w:rPr>
        <w:t xml:space="preserve"> du rapport du Comité consultatif informel sur la création des capacités pour la mise en œuvre du Protocole de Nagoya sur sa cinquième réunion ;</w:t>
      </w:r>
      <w:r w:rsidRPr="00343CE7">
        <w:rPr>
          <w:rFonts w:eastAsia="Times New Roman"/>
          <w:szCs w:val="24"/>
          <w:vertAlign w:val="superscript"/>
          <w:lang w:val="fr-FR"/>
        </w:rPr>
        <w:footnoteReference w:id="15"/>
      </w:r>
      <w:r w:rsidRPr="00343CE7">
        <w:rPr>
          <w:rFonts w:eastAsia="Times New Roman"/>
          <w:szCs w:val="24"/>
          <w:lang w:val="fr-FR"/>
        </w:rPr>
        <w:t> </w:t>
      </w:r>
    </w:p>
    <w:p w14:paraId="5EAFDDEE" w14:textId="77777777" w:rsidR="00343CE7" w:rsidRPr="00343CE7" w:rsidRDefault="00343CE7" w:rsidP="00343CE7">
      <w:pPr>
        <w:tabs>
          <w:tab w:val="clear" w:pos="567"/>
          <w:tab w:val="clear" w:pos="1134"/>
          <w:tab w:val="clear" w:pos="2268"/>
        </w:tabs>
        <w:ind w:left="540" w:firstLine="630"/>
        <w:rPr>
          <w:rFonts w:eastAsia="Times New Roman"/>
          <w:szCs w:val="24"/>
          <w:lang w:val="fr-FR"/>
        </w:rPr>
      </w:pPr>
      <w:r w:rsidRPr="00343CE7">
        <w:rPr>
          <w:rFonts w:eastAsia="Times New Roman"/>
          <w:szCs w:val="24"/>
          <w:lang w:val="fr-FR"/>
        </w:rPr>
        <w:t>2.</w:t>
      </w:r>
      <w:r w:rsidRPr="00343CE7">
        <w:rPr>
          <w:rFonts w:eastAsia="Times New Roman"/>
          <w:szCs w:val="24"/>
          <w:lang w:val="fr-FR"/>
        </w:rPr>
        <w:tab/>
        <w:t>[</w:t>
      </w:r>
      <w:r w:rsidRPr="00343CE7">
        <w:rPr>
          <w:rFonts w:eastAsia="Times New Roman"/>
          <w:i/>
          <w:iCs/>
          <w:szCs w:val="24"/>
          <w:lang w:val="fr-FR"/>
        </w:rPr>
        <w:t>Salue</w:t>
      </w:r>
      <w:r w:rsidRPr="00343CE7">
        <w:rPr>
          <w:rFonts w:eastAsia="Times New Roman"/>
          <w:szCs w:val="24"/>
          <w:lang w:val="fr-FR"/>
        </w:rPr>
        <w:t xml:space="preserve"> la décision 16/-- [relative à la création et au renforcement des capacités], la décision 16/-- [relative à la planification, au suivi, à la rédaction de rapports et à l’examen], la décision 16/-- [relative à la stratégie de gestion des connaissances à l’appui de la mise en œuvre du Cadre mondial de la biodiversité de Kunming-Montréal] et la décision 16/-- [relative au mécanisme de financement] de la Conférence des Parties à la Convention sur la diversité biologique ;]</w:t>
      </w:r>
      <w:r w:rsidRPr="00343CE7">
        <w:rPr>
          <w:rFonts w:eastAsia="Times New Roman"/>
          <w:szCs w:val="24"/>
          <w:vertAlign w:val="superscript"/>
          <w:lang w:val="fr-FR"/>
        </w:rPr>
        <w:footnoteReference w:id="16"/>
      </w:r>
    </w:p>
    <w:p w14:paraId="1BE1DF6F"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lastRenderedPageBreak/>
        <w:t>3.</w:t>
      </w:r>
      <w:r w:rsidRPr="00343CE7">
        <w:rPr>
          <w:rFonts w:eastAsia="Times New Roman"/>
          <w:szCs w:val="24"/>
          <w:lang w:val="fr-FR"/>
        </w:rPr>
        <w:tab/>
        <w:t>[</w:t>
      </w:r>
      <w:r w:rsidRPr="00343CE7">
        <w:rPr>
          <w:rFonts w:eastAsia="Times New Roman"/>
          <w:i/>
          <w:iCs/>
          <w:szCs w:val="24"/>
          <w:lang w:val="fr-FR"/>
        </w:rPr>
        <w:t>Adopte</w:t>
      </w:r>
      <w:r w:rsidRPr="00343CE7">
        <w:rPr>
          <w:rFonts w:eastAsia="Times New Roman"/>
          <w:szCs w:val="24"/>
          <w:lang w:val="fr-FR"/>
        </w:rPr>
        <w:t>] le plan d’action pour la création et le renforcement des capacités pour le Protocole de Nagoya sur l’accès aux ressources génétiques et le partage juste et équitable des avantages découlant de leur utilisation, qui figure à l’annexe de la présente décision ;</w:t>
      </w:r>
    </w:p>
    <w:p w14:paraId="43457559"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4.</w:t>
      </w:r>
      <w:r w:rsidRPr="00343CE7">
        <w:rPr>
          <w:rFonts w:eastAsia="Times New Roman"/>
          <w:szCs w:val="24"/>
          <w:lang w:val="fr-FR"/>
        </w:rPr>
        <w:tab/>
      </w:r>
      <w:r w:rsidRPr="00343CE7">
        <w:rPr>
          <w:rFonts w:eastAsia="Times New Roman"/>
          <w:i/>
          <w:iCs/>
          <w:szCs w:val="24"/>
          <w:lang w:val="fr-FR"/>
        </w:rPr>
        <w:t xml:space="preserve">Invite </w:t>
      </w:r>
      <w:r w:rsidRPr="00343CE7">
        <w:rPr>
          <w:rFonts w:eastAsia="Times New Roman"/>
          <w:szCs w:val="24"/>
          <w:lang w:val="fr-FR"/>
        </w:rPr>
        <w:t>les Parties et les autres gouvernements à se servir du plan d’action pour évaluer les besoins et les priorités en matière de création et de renforcement des capacités, [y compris[, le cas échéant], ceux des peuples autochtones et des communautés locales, des femmes et des jeunes, ainsi que des parties prenantes concernées,] dans le cadre de l’élaboration de plans relatifs à la création et au renforcement des capacités en matière d’accès et de partage des avantages[, en envisageant la protection des droits humains dans son sens le plus large,] en tant qu’éléments de leurs stratégies et plans d’action nationaux pour la biodiversité, ainsi que de leurs plans de financement nationaux pour la mise en œuvre le Cadre ;</w:t>
      </w:r>
    </w:p>
    <w:p w14:paraId="5AB3B0DF"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5</w:t>
      </w:r>
      <w:r w:rsidRPr="00343CE7">
        <w:rPr>
          <w:rFonts w:eastAsia="Times New Roman"/>
          <w:i/>
          <w:szCs w:val="24"/>
          <w:lang w:val="fr-FR"/>
        </w:rPr>
        <w:t>.</w:t>
      </w:r>
      <w:r w:rsidRPr="00343CE7">
        <w:rPr>
          <w:rFonts w:eastAsia="Times New Roman"/>
          <w:szCs w:val="24"/>
          <w:lang w:val="fr-FR"/>
        </w:rPr>
        <w:tab/>
      </w:r>
      <w:r w:rsidRPr="00343CE7">
        <w:rPr>
          <w:rFonts w:eastAsia="Times New Roman"/>
          <w:i/>
          <w:szCs w:val="24"/>
          <w:lang w:val="fr-FR"/>
        </w:rPr>
        <w:t>Invite</w:t>
      </w:r>
      <w:r w:rsidRPr="00343CE7">
        <w:rPr>
          <w:rFonts w:eastAsia="Times New Roman"/>
          <w:szCs w:val="24"/>
          <w:lang w:val="fr-FR"/>
        </w:rPr>
        <w:t xml:space="preserve"> les Parties, les autres gouvernements, en fonction des circonstances et des priorités nationales et, le cas échéant, les peuples autochtones et les communautés locales, les représentants des femmes et des jeunes, ainsi que les parties prenantes et les organisations concernées, [y compris, selon les besoins, les centres d’appui de coopération technique et scientifique régionaux et/ou infrarégionaux,] :</w:t>
      </w:r>
    </w:p>
    <w:p w14:paraId="3A95372D"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a)</w:t>
      </w:r>
      <w:r w:rsidRPr="00343CE7">
        <w:rPr>
          <w:rFonts w:eastAsia="Times New Roman"/>
          <w:szCs w:val="24"/>
          <w:lang w:val="fr-FR"/>
        </w:rPr>
        <w:tab/>
        <w:t>À élaborer et à mettre en œuvre des activités de création et de renforcement des capacités d’une manière qui soutienne le plan d’action et conforme aux dispositions de la Convention et du Protocole de Nagoya, et à publier des informations et des ressources pertinentes dans le centre d’échange sur l’accès et le partage des avantages ;</w:t>
      </w:r>
    </w:p>
    <w:p w14:paraId="09727CDD"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b)</w:t>
      </w:r>
      <w:r w:rsidRPr="00343CE7">
        <w:rPr>
          <w:rFonts w:eastAsia="Times New Roman"/>
          <w:szCs w:val="24"/>
          <w:lang w:val="fr-FR"/>
        </w:rPr>
        <w:tab/>
        <w:t xml:space="preserve">À continuer d’utiliser et de promouvoir la </w:t>
      </w:r>
      <w:r w:rsidRPr="00343CE7">
        <w:rPr>
          <w:rFonts w:eastAsia="Times New Roman"/>
          <w:i/>
          <w:iCs/>
          <w:szCs w:val="24"/>
          <w:lang w:val="fr-FR"/>
        </w:rPr>
        <w:t>Boîte à outils CESP, incluant les considérations relatives à l’accès et au partage des avantages,</w:t>
      </w:r>
      <w:r w:rsidRPr="00343CE7">
        <w:rPr>
          <w:rFonts w:eastAsia="Times New Roman"/>
          <w:szCs w:val="24"/>
          <w:vertAlign w:val="superscript"/>
          <w:lang w:val="fr-FR"/>
        </w:rPr>
        <w:footnoteReference w:id="17"/>
      </w:r>
      <w:r w:rsidRPr="00343CE7">
        <w:rPr>
          <w:rFonts w:eastAsia="Times New Roman"/>
          <w:szCs w:val="24"/>
          <w:lang w:val="fr-FR"/>
        </w:rPr>
        <w:t xml:space="preserve"> dans le cadre de leurs activités de sensibilisation, ainsi que de création et de renforcement des capacités ;</w:t>
      </w:r>
    </w:p>
    <w:p w14:paraId="082CD0A7"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6.</w:t>
      </w:r>
      <w:r w:rsidRPr="00343CE7">
        <w:rPr>
          <w:rFonts w:eastAsia="Times New Roman"/>
          <w:szCs w:val="24"/>
          <w:lang w:val="fr-FR"/>
        </w:rPr>
        <w:tab/>
      </w:r>
      <w:r w:rsidRPr="00343CE7">
        <w:rPr>
          <w:rFonts w:eastAsia="Times New Roman"/>
          <w:i/>
          <w:iCs/>
          <w:szCs w:val="24"/>
          <w:lang w:val="fr-FR"/>
        </w:rPr>
        <w:t xml:space="preserve">Prie instamment </w:t>
      </w:r>
      <w:r w:rsidRPr="00343CE7">
        <w:rPr>
          <w:rFonts w:eastAsia="Times New Roman"/>
          <w:szCs w:val="24"/>
          <w:lang w:val="fr-FR"/>
        </w:rPr>
        <w:t>les Parties, conformément aux articles 22 et 25 du Protocole, les organisations internationales, les institutions financières et le secteur privé, selon le cas, de fournir des ressources financières rapides appropriées et prévisibles pour appuyer la mise en œuvre du plan d’action, en tenant compte des besoins, des circonstances et des priorités des pays en développement Parties, en particulier des pays les moins avancés et des petits États insulaires en développement, des Parties à économie en transition, [[et en envisageant, selon le cas,] [ainsi que] des capacités, des besoins et des priorités en matière de capacités des peuples autochtones et des communautés locales, des femmes et des jeunes] ;</w:t>
      </w:r>
    </w:p>
    <w:p w14:paraId="3A4D4A25"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7.</w:t>
      </w:r>
      <w:r w:rsidRPr="00343CE7">
        <w:rPr>
          <w:rFonts w:eastAsia="Times New Roman"/>
          <w:szCs w:val="24"/>
          <w:lang w:val="fr-FR"/>
        </w:rPr>
        <w:tab/>
      </w:r>
      <w:r w:rsidRPr="00343CE7">
        <w:rPr>
          <w:rFonts w:eastAsia="Times New Roman"/>
          <w:i/>
          <w:szCs w:val="24"/>
          <w:lang w:val="fr-FR"/>
        </w:rPr>
        <w:t xml:space="preserve">Recommande </w:t>
      </w:r>
      <w:r w:rsidRPr="00343CE7">
        <w:rPr>
          <w:rFonts w:eastAsia="Times New Roman"/>
          <w:szCs w:val="24"/>
          <w:lang w:val="fr-FR"/>
        </w:rPr>
        <w:t>à la Conférence des Parties, au moment d’adopter ses orientations concernant le mécanisme financier pour appuyer la mise en œuvre du Protocole de Nagoya, d’inviter le Fonds pour l’environnement mondial à fournir des ressources financières adéquates en vue de la mise en œuvre du plan d’action ;</w:t>
      </w:r>
    </w:p>
    <w:p w14:paraId="42223F1D"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8.</w:t>
      </w:r>
      <w:r w:rsidRPr="00343CE7">
        <w:rPr>
          <w:rFonts w:eastAsia="Times New Roman"/>
          <w:szCs w:val="24"/>
          <w:lang w:val="fr-FR"/>
        </w:rPr>
        <w:tab/>
      </w:r>
      <w:r w:rsidRPr="00343CE7">
        <w:rPr>
          <w:rFonts w:eastAsia="Times New Roman"/>
          <w:i/>
          <w:iCs/>
          <w:szCs w:val="24"/>
          <w:lang w:val="fr-FR"/>
        </w:rPr>
        <w:t>Décide</w:t>
      </w:r>
      <w:r w:rsidRPr="00343CE7">
        <w:rPr>
          <w:rFonts w:eastAsia="Times New Roman"/>
          <w:szCs w:val="24"/>
          <w:lang w:val="fr-FR"/>
        </w:rPr>
        <w:t xml:space="preserve"> d’évaluer la mise en œuvre du plan d’action dans le cadre de la troisième évaluation et de l’examen de l’efficacité du Protocole de Nagoya, en tenant également compte des informations pertinentes contenues dans les huitièmes rapports nationaux au titre de la Convention relatifs à l’objectif C et aux cibles 13 et 20 du Cadre, et de se demander, à sa huitième réunion, s’il y a lieu d’examiner ou de réviser le plan d’action ;</w:t>
      </w:r>
    </w:p>
    <w:p w14:paraId="36DC14ED" w14:textId="77777777" w:rsidR="00343CE7" w:rsidRPr="00343CE7" w:rsidRDefault="00343CE7" w:rsidP="00343CE7">
      <w:pPr>
        <w:tabs>
          <w:tab w:val="clear" w:pos="567"/>
          <w:tab w:val="clear" w:pos="1134"/>
          <w:tab w:val="clear" w:pos="2268"/>
        </w:tabs>
        <w:spacing w:before="120" w:after="120"/>
        <w:ind w:left="567" w:firstLine="567"/>
        <w:rPr>
          <w:rFonts w:eastAsia="Times New Roman"/>
          <w:bCs/>
          <w:szCs w:val="24"/>
          <w:lang w:val="fr-FR"/>
        </w:rPr>
      </w:pPr>
      <w:r w:rsidRPr="00343CE7">
        <w:rPr>
          <w:rFonts w:eastAsia="Times New Roman"/>
          <w:szCs w:val="24"/>
          <w:lang w:val="fr-FR"/>
        </w:rPr>
        <w:t>9.</w:t>
      </w:r>
      <w:r w:rsidRPr="00343CE7">
        <w:rPr>
          <w:rFonts w:eastAsia="Times New Roman"/>
          <w:szCs w:val="24"/>
          <w:lang w:val="fr-FR"/>
        </w:rPr>
        <w:tab/>
      </w:r>
      <w:r w:rsidRPr="00343CE7">
        <w:rPr>
          <w:rFonts w:eastAsia="Times New Roman"/>
          <w:i/>
          <w:iCs/>
          <w:szCs w:val="24"/>
          <w:lang w:val="fr-FR"/>
        </w:rPr>
        <w:t>Décide également</w:t>
      </w:r>
      <w:r w:rsidRPr="00343CE7">
        <w:rPr>
          <w:rFonts w:eastAsia="Times New Roman"/>
          <w:szCs w:val="24"/>
          <w:lang w:val="fr-FR"/>
        </w:rPr>
        <w:t>, sous réserve que des ressources soient disponibles :</w:t>
      </w:r>
    </w:p>
    <w:p w14:paraId="341B9653"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bCs/>
          <w:szCs w:val="24"/>
          <w:lang w:val="fr-FR"/>
        </w:rPr>
        <w:t>a)</w:t>
      </w:r>
      <w:r w:rsidRPr="00343CE7">
        <w:rPr>
          <w:rFonts w:eastAsia="Times New Roman"/>
          <w:bCs/>
          <w:szCs w:val="24"/>
          <w:lang w:val="fr-FR"/>
        </w:rPr>
        <w:tab/>
        <w:t xml:space="preserve">De proroger le mandat du Comité consultatif informel </w:t>
      </w:r>
      <w:r w:rsidRPr="00343CE7">
        <w:rPr>
          <w:rFonts w:eastAsia="Times New Roman"/>
          <w:szCs w:val="24"/>
          <w:lang w:val="fr-FR"/>
        </w:rPr>
        <w:t xml:space="preserve">sur la création des capacités pour la mise en œuvre du Protocole de Nagoya </w:t>
      </w:r>
      <w:r w:rsidRPr="00343CE7">
        <w:rPr>
          <w:rFonts w:eastAsia="Times New Roman"/>
          <w:bCs/>
          <w:szCs w:val="24"/>
          <w:lang w:val="fr-FR"/>
        </w:rPr>
        <w:t>jusqu’à la huitième réunion de la Conférence des Parties siégeant en tant que réunion des Parties au Protocole ;</w:t>
      </w:r>
    </w:p>
    <w:p w14:paraId="2162B9E8"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b)</w:t>
      </w:r>
      <w:r w:rsidRPr="00343CE7">
        <w:rPr>
          <w:rFonts w:eastAsia="Times New Roman"/>
          <w:szCs w:val="24"/>
          <w:lang w:val="fr-FR"/>
        </w:rPr>
        <w:tab/>
        <w:t xml:space="preserve">D’élargir le mandat du Comité consultatif informel afin d’y inclure la fourniture d’avis sur des questions plus généralement liées à la mise en œuvre du Protocole, y compris, le cas échéant, </w:t>
      </w:r>
      <w:r w:rsidRPr="00343CE7">
        <w:rPr>
          <w:rFonts w:eastAsia="Times New Roman"/>
          <w:szCs w:val="24"/>
          <w:lang w:val="fr-FR"/>
        </w:rPr>
        <w:lastRenderedPageBreak/>
        <w:t>des conseils sur des questions liées à la sensibilisation, à l’évaluation et à l’examen au titre du Protocole, avec la souplesse nécessaire pour adapter ses tâches en fonction des besoins ;</w:t>
      </w:r>
    </w:p>
    <w:p w14:paraId="6382C542"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c)</w:t>
      </w:r>
      <w:r w:rsidRPr="00343CE7">
        <w:rPr>
          <w:rFonts w:eastAsia="Times New Roman"/>
          <w:szCs w:val="24"/>
          <w:lang w:val="fr-FR"/>
        </w:rPr>
        <w:tab/>
        <w:t>De maintenir la composition élargie du Comité consultatif informel, avec l’expertise pertinente, pour y inclure des représentants des peuples autochtones et des communautés locales, des femmes, des jeunes, du monde des affaires, de la communauté des chercheurs et des organisations concernées ;</w:t>
      </w:r>
    </w:p>
    <w:p w14:paraId="2AD655DC"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10.</w:t>
      </w:r>
      <w:r w:rsidRPr="00343CE7">
        <w:rPr>
          <w:rFonts w:eastAsia="Times New Roman"/>
          <w:szCs w:val="24"/>
          <w:lang w:val="fr-FR"/>
        </w:rPr>
        <w:tab/>
      </w:r>
      <w:r w:rsidRPr="00343CE7">
        <w:rPr>
          <w:rFonts w:eastAsia="Times New Roman"/>
          <w:i/>
          <w:iCs/>
          <w:szCs w:val="24"/>
          <w:lang w:val="fr-FR"/>
        </w:rPr>
        <w:t>Prie</w:t>
      </w:r>
      <w:r w:rsidRPr="00343CE7">
        <w:rPr>
          <w:rFonts w:eastAsia="Times New Roman"/>
          <w:szCs w:val="24"/>
          <w:lang w:val="fr-FR"/>
        </w:rPr>
        <w:t xml:space="preserve"> la Secrétaire exécutive, sous réserve que des ressources soient disponibles :</w:t>
      </w:r>
    </w:p>
    <w:p w14:paraId="7BA8AD70"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a)</w:t>
      </w:r>
      <w:r w:rsidRPr="00343CE7">
        <w:rPr>
          <w:rFonts w:eastAsia="Times New Roman"/>
          <w:szCs w:val="24"/>
          <w:lang w:val="fr-FR"/>
        </w:rPr>
        <w:tab/>
        <w:t>De diffuser et promouvoir le plan d’action auprès du public cible identifié dans le plan d’action ;</w:t>
      </w:r>
    </w:p>
    <w:p w14:paraId="11129DB2"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b)</w:t>
      </w:r>
      <w:r w:rsidRPr="00343CE7">
        <w:rPr>
          <w:rFonts w:eastAsia="Times New Roman"/>
          <w:szCs w:val="24"/>
          <w:lang w:val="fr-FR"/>
        </w:rPr>
        <w:tab/>
        <w:t>De continuer à faciliter les activités de création et de renforcement des capacités, ainsi que la coordination et la coopération entre les Parties, les peuples autochtones et les communautés locales, les femmes, les jeunes, les parties prenantes et les organisations concernées, en vue d’appuyer la mise en œuvre effective du Protocole de Nagoya ;</w:t>
      </w:r>
    </w:p>
    <w:p w14:paraId="123880D2"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c)</w:t>
      </w:r>
      <w:r w:rsidRPr="00343CE7">
        <w:rPr>
          <w:rFonts w:eastAsia="Times New Roman"/>
          <w:szCs w:val="24"/>
          <w:lang w:val="fr-FR"/>
        </w:rPr>
        <w:tab/>
        <w:t>De soutenir les initiatives visant à rassembler les expériences, les enseignements tirés et les bonnes pratiques, à les partager et à les diffuser entre les Parties, les peuples autochtones et les communautés locales, les femmes, les jeunes, ainsi que les parties prenantes et les organisations concernées au niveau mondial, et de les publier dans le centre d’échange sur l’accès aux ressources et le partage des avantages ;</w:t>
      </w:r>
    </w:p>
    <w:p w14:paraId="1CB2B2E3"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d)</w:t>
      </w:r>
      <w:r w:rsidRPr="00343CE7">
        <w:rPr>
          <w:rFonts w:eastAsia="Times New Roman"/>
          <w:szCs w:val="24"/>
          <w:lang w:val="fr-FR"/>
        </w:rPr>
        <w:tab/>
        <w:t>De mettre à disposition des documents d’orientation en rapport avec le plan d’action</w:t>
      </w:r>
      <w:r w:rsidRPr="00343CE7">
        <w:rPr>
          <w:rFonts w:eastAsia="Times New Roman"/>
          <w:szCs w:val="24"/>
          <w:vertAlign w:val="superscript"/>
          <w:lang w:val="fr-FR"/>
        </w:rPr>
        <w:footnoteReference w:id="18"/>
      </w:r>
      <w:r w:rsidRPr="00343CE7">
        <w:rPr>
          <w:rFonts w:eastAsia="Times New Roman"/>
          <w:szCs w:val="24"/>
          <w:lang w:val="fr-FR"/>
        </w:rPr>
        <w:t>, notamment un aperçu des sources de financement internationales disponibles pour appuyer la création et le renforcement des capacités en vue de la mise en œuvre du Protocole de Nagoya, un aperçu des rôles et des contributions des différentes parties prenantes et une chaîne de résultats pour le plan d’action, et d’examiner et de mettre à jour ces documents le cas échéant ;</w:t>
      </w:r>
    </w:p>
    <w:p w14:paraId="0E856398"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e)</w:t>
      </w:r>
      <w:r w:rsidRPr="00343CE7">
        <w:rPr>
          <w:rFonts w:eastAsia="Times New Roman"/>
          <w:szCs w:val="24"/>
          <w:lang w:val="fr-FR"/>
        </w:rPr>
        <w:tab/>
        <w:t>De préparer un rapport sur les progrès réalisés en matière de mise en œuvre du plan d’action, dans le cadre de la troisième évaluation et de l’examen de l’efficacité du Protocole, comme suite au paragraphe 8 ci-dessus.</w:t>
      </w:r>
    </w:p>
    <w:p w14:paraId="5149DA50" w14:textId="77777777" w:rsidR="00343CE7" w:rsidRPr="00343CE7" w:rsidRDefault="00343CE7" w:rsidP="00343CE7">
      <w:pPr>
        <w:keepNext/>
        <w:suppressLineNumbers/>
        <w:tabs>
          <w:tab w:val="clear" w:pos="567"/>
          <w:tab w:val="clear" w:pos="1134"/>
          <w:tab w:val="clear" w:pos="1701"/>
          <w:tab w:val="clear" w:pos="2268"/>
          <w:tab w:val="left" w:pos="720"/>
        </w:tabs>
        <w:suppressAutoHyphens/>
        <w:snapToGrid w:val="0"/>
        <w:spacing w:before="360"/>
        <w:ind w:left="720" w:hanging="360"/>
        <w:jc w:val="left"/>
        <w:rPr>
          <w:rFonts w:eastAsia="Times New Roman"/>
          <w:b/>
          <w:bCs/>
          <w:snapToGrid w:val="0"/>
          <w:sz w:val="24"/>
          <w:szCs w:val="24"/>
          <w:lang w:val="fr-FR"/>
        </w:rPr>
      </w:pPr>
      <w:r w:rsidRPr="00343CE7">
        <w:rPr>
          <w:rFonts w:eastAsia="Times New Roman"/>
          <w:b/>
          <w:bCs/>
          <w:snapToGrid w:val="0"/>
          <w:sz w:val="24"/>
          <w:szCs w:val="24"/>
          <w:lang w:val="fr-FR"/>
        </w:rPr>
        <w:t>Annexe</w:t>
      </w:r>
    </w:p>
    <w:p w14:paraId="19491A96" w14:textId="1B169976" w:rsidR="00343CE7" w:rsidRPr="00343CE7" w:rsidRDefault="00343CE7" w:rsidP="00BB442A">
      <w:pPr>
        <w:suppressLineNumbers/>
        <w:tabs>
          <w:tab w:val="clear" w:pos="567"/>
          <w:tab w:val="clear" w:pos="1134"/>
          <w:tab w:val="clear" w:pos="1701"/>
          <w:tab w:val="clear" w:pos="2268"/>
          <w:tab w:val="left" w:pos="720"/>
        </w:tabs>
        <w:suppressAutoHyphens/>
        <w:snapToGrid w:val="0"/>
        <w:spacing w:after="120"/>
        <w:ind w:left="357"/>
        <w:jc w:val="left"/>
        <w:rPr>
          <w:rFonts w:eastAsia="Times New Roman"/>
          <w:b/>
          <w:bCs/>
          <w:snapToGrid w:val="0"/>
          <w:kern w:val="22"/>
          <w:sz w:val="24"/>
          <w:szCs w:val="24"/>
          <w:lang w:val="fr-FR"/>
        </w:rPr>
      </w:pPr>
      <w:r w:rsidRPr="00343CE7">
        <w:rPr>
          <w:rFonts w:eastAsia="Times New Roman"/>
          <w:b/>
          <w:bCs/>
          <w:snapToGrid w:val="0"/>
          <w:sz w:val="24"/>
          <w:szCs w:val="24"/>
          <w:lang w:val="fr-FR"/>
        </w:rPr>
        <w:t>Projet de plan d’action pour la création et le renforcement des capacités pour le</w:t>
      </w:r>
      <w:r w:rsidR="00BB442A">
        <w:rPr>
          <w:rFonts w:eastAsia="Times New Roman"/>
          <w:b/>
          <w:bCs/>
          <w:snapToGrid w:val="0"/>
          <w:sz w:val="24"/>
          <w:szCs w:val="24"/>
          <w:lang w:val="fr-FR"/>
        </w:rPr>
        <w:t xml:space="preserve"> </w:t>
      </w:r>
      <w:r w:rsidRPr="00343CE7">
        <w:rPr>
          <w:rFonts w:eastAsia="Times New Roman"/>
          <w:b/>
          <w:bCs/>
          <w:snapToGrid w:val="0"/>
          <w:sz w:val="24"/>
          <w:szCs w:val="24"/>
          <w:lang w:val="fr-FR"/>
        </w:rPr>
        <w:t xml:space="preserve">Protocole de Nagoya </w:t>
      </w:r>
      <w:bookmarkStart w:id="17" w:name="_Hlk167552025"/>
      <w:r w:rsidRPr="00343CE7">
        <w:rPr>
          <w:rFonts w:eastAsia="Times New Roman"/>
          <w:b/>
          <w:bCs/>
          <w:snapToGrid w:val="0"/>
          <w:sz w:val="24"/>
          <w:szCs w:val="24"/>
          <w:lang w:val="fr-FR"/>
        </w:rPr>
        <w:t>sur l’accès aux ressources génétiques et le partage juste et équitable des avantages découlant de leur utilisation</w:t>
      </w:r>
      <w:bookmarkEnd w:id="17"/>
    </w:p>
    <w:p w14:paraId="248DB912" w14:textId="08C534C5" w:rsidR="00343CE7" w:rsidRPr="00343CE7" w:rsidRDefault="00343CE7" w:rsidP="00BB442A">
      <w:pPr>
        <w:keepNext/>
        <w:keepLines/>
        <w:tabs>
          <w:tab w:val="clear" w:pos="567"/>
          <w:tab w:val="clear" w:pos="1134"/>
          <w:tab w:val="clear" w:pos="1701"/>
          <w:tab w:val="clear" w:pos="2268"/>
        </w:tabs>
        <w:spacing w:before="240" w:after="120"/>
        <w:ind w:left="567" w:hanging="567"/>
        <w:jc w:val="left"/>
        <w:rPr>
          <w:rFonts w:eastAsiaTheme="majorEastAsia" w:cstheme="majorBidi"/>
          <w:b/>
          <w:bCs/>
          <w:kern w:val="2"/>
          <w:sz w:val="24"/>
          <w:szCs w:val="24"/>
          <w:lang w:val="fr-FR"/>
          <w14:ligatures w14:val="standardContextual"/>
        </w:rPr>
      </w:pPr>
      <w:r w:rsidRPr="00343CE7">
        <w:rPr>
          <w:rFonts w:eastAsiaTheme="majorEastAsia" w:cstheme="majorBidi"/>
          <w:b/>
          <w:bCs/>
          <w:kern w:val="2"/>
          <w:sz w:val="24"/>
          <w:szCs w:val="24"/>
          <w:lang w:val="fr-FR"/>
          <w14:ligatures w14:val="standardContextual"/>
        </w:rPr>
        <w:t>I.</w:t>
      </w:r>
      <w:r w:rsidR="00BB442A">
        <w:rPr>
          <w:rFonts w:eastAsiaTheme="majorEastAsia" w:cstheme="majorBidi"/>
          <w:b/>
          <w:bCs/>
          <w:kern w:val="2"/>
          <w:sz w:val="24"/>
          <w:szCs w:val="24"/>
          <w:lang w:val="fr-FR"/>
          <w14:ligatures w14:val="standardContextual"/>
        </w:rPr>
        <w:t xml:space="preserve">    </w:t>
      </w:r>
      <w:r w:rsidRPr="00343CE7">
        <w:rPr>
          <w:rFonts w:eastAsiaTheme="majorEastAsia" w:cstheme="majorBidi"/>
          <w:b/>
          <w:bCs/>
          <w:kern w:val="2"/>
          <w:sz w:val="24"/>
          <w:szCs w:val="24"/>
          <w:lang w:val="fr-FR"/>
          <w14:ligatures w14:val="standardContextual"/>
        </w:rPr>
        <w:t>Introduction</w:t>
      </w:r>
    </w:p>
    <w:p w14:paraId="6C01B370" w14:textId="5DD79C99" w:rsidR="00343CE7" w:rsidRPr="00343CE7" w:rsidRDefault="00343CE7" w:rsidP="00BB442A">
      <w:pPr>
        <w:keepNext/>
        <w:keepLines/>
        <w:tabs>
          <w:tab w:val="clear" w:pos="567"/>
          <w:tab w:val="clear" w:pos="1134"/>
          <w:tab w:val="clear" w:pos="1701"/>
          <w:tab w:val="clear" w:pos="2268"/>
        </w:tabs>
        <w:spacing w:before="120" w:after="120"/>
        <w:ind w:left="567" w:hanging="567"/>
        <w:jc w:val="left"/>
        <w:rPr>
          <w:rFonts w:eastAsiaTheme="majorEastAsia" w:cstheme="majorBidi"/>
          <w:b/>
          <w:lang w:val="fr-FR"/>
        </w:rPr>
      </w:pPr>
      <w:r w:rsidRPr="00343CE7">
        <w:rPr>
          <w:rFonts w:eastAsiaTheme="majorEastAsia" w:cstheme="majorBidi"/>
          <w:b/>
          <w:lang w:val="fr-FR"/>
        </w:rPr>
        <w:t>A.</w:t>
      </w:r>
      <w:r w:rsidR="00BB442A">
        <w:rPr>
          <w:rFonts w:eastAsiaTheme="majorEastAsia" w:cstheme="majorBidi"/>
          <w:b/>
          <w:lang w:val="fr-FR"/>
        </w:rPr>
        <w:t xml:space="preserve">    </w:t>
      </w:r>
      <w:r w:rsidRPr="00343CE7">
        <w:rPr>
          <w:rFonts w:eastAsiaTheme="majorEastAsia" w:cstheme="majorBidi"/>
          <w:b/>
          <w:lang w:val="fr-FR"/>
        </w:rPr>
        <w:t xml:space="preserve">Objet </w:t>
      </w:r>
    </w:p>
    <w:p w14:paraId="184DCFF8" w14:textId="61872E5D"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snapToGrid w:val="0"/>
          <w:lang w:val="fr-FR"/>
        </w:rPr>
      </w:pPr>
      <w:r w:rsidRPr="00343CE7">
        <w:rPr>
          <w:rFonts w:eastAsia="Times New Roman"/>
          <w:snapToGrid w:val="0"/>
          <w:lang w:val="fr-FR"/>
        </w:rPr>
        <w:t>1.</w:t>
      </w:r>
      <w:r w:rsidRPr="00343CE7">
        <w:rPr>
          <w:rFonts w:eastAsia="Times New Roman"/>
          <w:snapToGrid w:val="0"/>
          <w:lang w:val="fr-FR"/>
        </w:rPr>
        <w:tab/>
      </w:r>
      <w:r w:rsidRPr="00343CE7">
        <w:rPr>
          <w:rFonts w:eastAsia="Times New Roman"/>
          <w:snapToGrid w:val="0"/>
          <w:szCs w:val="18"/>
          <w:lang w:val="fr-FR"/>
        </w:rPr>
        <w:t>Dans sa décision</w:t>
      </w:r>
      <w:r w:rsidR="00EE54EF">
        <w:rPr>
          <w:rFonts w:eastAsia="Times New Roman"/>
          <w:snapToGrid w:val="0"/>
          <w:szCs w:val="18"/>
          <w:lang w:val="fr-FR"/>
        </w:rPr>
        <w:t> </w:t>
      </w:r>
      <w:hyperlink r:id="rId30" w:history="1">
        <w:r w:rsidRPr="00343CE7">
          <w:rPr>
            <w:rFonts w:eastAsia="Times New Roman"/>
            <w:snapToGrid w:val="0"/>
            <w:color w:val="0563C1" w:themeColor="hyperlink"/>
            <w:szCs w:val="18"/>
            <w:u w:val="single"/>
            <w:lang w:val="fr-FR"/>
          </w:rPr>
          <w:t>15/8</w:t>
        </w:r>
      </w:hyperlink>
      <w:r w:rsidRPr="00343CE7">
        <w:rPr>
          <w:rFonts w:eastAsia="Times New Roman"/>
          <w:snapToGrid w:val="0"/>
          <w:szCs w:val="18"/>
          <w:lang w:val="fr-FR"/>
        </w:rPr>
        <w:t>, la Conférence des Parties à la Convention sur la diversité biologique</w:t>
      </w:r>
      <w:r w:rsidRPr="00343CE7">
        <w:rPr>
          <w:rFonts w:eastAsia="Times New Roman"/>
          <w:snapToGrid w:val="0"/>
          <w:szCs w:val="18"/>
          <w:vertAlign w:val="superscript"/>
          <w:lang w:val="fr-FR"/>
        </w:rPr>
        <w:footnoteReference w:id="19"/>
      </w:r>
      <w:r w:rsidRPr="00343CE7">
        <w:rPr>
          <w:rFonts w:eastAsia="Times New Roman"/>
          <w:snapToGrid w:val="0"/>
          <w:szCs w:val="18"/>
          <w:lang w:val="fr-FR"/>
        </w:rPr>
        <w:t xml:space="preserve"> a adopté un cadre stratégique à long terme pour la création et le renforcement des capacités en vue d’appuyer les priorités déterminées au niveau national pour la mise en œuvre du Cadre mondial de la biodiversité de Kunming-Montréal.</w:t>
      </w:r>
      <w:r w:rsidRPr="00343CE7">
        <w:rPr>
          <w:rFonts w:eastAsia="Times New Roman"/>
          <w:snapToGrid w:val="0"/>
          <w:szCs w:val="18"/>
          <w:vertAlign w:val="superscript"/>
          <w:lang w:val="en-GB"/>
        </w:rPr>
        <w:footnoteReference w:id="20"/>
      </w:r>
      <w:r w:rsidRPr="00343CE7">
        <w:rPr>
          <w:rFonts w:eastAsia="Times New Roman"/>
          <w:snapToGrid w:val="0"/>
          <w:szCs w:val="18"/>
          <w:lang w:val="fr-FR"/>
        </w:rPr>
        <w:t xml:space="preserve"> Le plan d’action pour la création et le renforcement des capacités pour le Protocole de Nagoya sur l’accès aux ressources génétiques et le partage juste et équitable des avantages découlant de leur utilisation est un plan d’action thématique visant à appuyer la mise en œuvre effective du Protocole de Nagoya dans le contexte de son </w:t>
      </w:r>
      <w:hyperlink r:id="rId31" w:history="1">
        <w:r w:rsidRPr="00343CE7">
          <w:rPr>
            <w:rFonts w:eastAsia="Times New Roman"/>
            <w:snapToGrid w:val="0"/>
            <w:color w:val="0563C1" w:themeColor="hyperlink"/>
            <w:szCs w:val="18"/>
            <w:u w:val="single"/>
            <w:lang w:val="fr-FR"/>
          </w:rPr>
          <w:t>article</w:t>
        </w:r>
        <w:r w:rsidR="00EE54EF">
          <w:rPr>
            <w:rFonts w:eastAsia="Times New Roman"/>
            <w:snapToGrid w:val="0"/>
            <w:color w:val="0563C1" w:themeColor="hyperlink"/>
            <w:szCs w:val="18"/>
            <w:u w:val="single"/>
            <w:lang w:val="fr-FR"/>
          </w:rPr>
          <w:t> </w:t>
        </w:r>
        <w:r w:rsidRPr="00343CE7">
          <w:rPr>
            <w:rFonts w:eastAsia="Times New Roman"/>
            <w:snapToGrid w:val="0"/>
            <w:color w:val="0563C1" w:themeColor="hyperlink"/>
            <w:szCs w:val="18"/>
            <w:u w:val="single"/>
            <w:lang w:val="fr-FR"/>
          </w:rPr>
          <w:t>22</w:t>
        </w:r>
      </w:hyperlink>
      <w:r w:rsidRPr="00343CE7">
        <w:rPr>
          <w:rFonts w:eastAsia="Times New Roman"/>
          <w:snapToGrid w:val="0"/>
          <w:szCs w:val="18"/>
          <w:lang w:val="fr-FR"/>
        </w:rPr>
        <w:t>. En tant que tel, il contribue à la mise en œuvre des cibles</w:t>
      </w:r>
      <w:r w:rsidR="00EE54EF">
        <w:rPr>
          <w:rFonts w:eastAsia="Times New Roman"/>
          <w:snapToGrid w:val="0"/>
          <w:szCs w:val="18"/>
          <w:lang w:val="fr-FR"/>
        </w:rPr>
        <w:t> </w:t>
      </w:r>
      <w:r w:rsidRPr="00343CE7">
        <w:rPr>
          <w:rFonts w:eastAsia="Times New Roman"/>
          <w:snapToGrid w:val="0"/>
          <w:szCs w:val="18"/>
          <w:lang w:val="fr-FR"/>
        </w:rPr>
        <w:t>13 et 20 du Cadre,</w:t>
      </w:r>
      <w:r w:rsidRPr="00343CE7">
        <w:rPr>
          <w:rFonts w:eastAsia="Times New Roman"/>
          <w:snapToGrid w:val="0"/>
          <w:szCs w:val="18"/>
          <w:vertAlign w:val="superscript"/>
          <w:lang w:val="fr-FR"/>
        </w:rPr>
        <w:footnoteReference w:id="21"/>
      </w:r>
      <w:r w:rsidRPr="00343CE7">
        <w:rPr>
          <w:rFonts w:eastAsia="Times New Roman"/>
          <w:snapToGrid w:val="0"/>
          <w:szCs w:val="18"/>
          <w:lang w:val="fr-FR"/>
        </w:rPr>
        <w:t xml:space="preserve"> à la réalisation de l’objectif C du Cadre et à la vision </w:t>
      </w:r>
      <w:r w:rsidRPr="00343CE7">
        <w:rPr>
          <w:rFonts w:eastAsia="Times New Roman"/>
          <w:snapToGrid w:val="0"/>
          <w:szCs w:val="18"/>
          <w:lang w:val="fr-FR"/>
        </w:rPr>
        <w:lastRenderedPageBreak/>
        <w:t>présentée dans le Cadre de vivre en harmonie avec la nature d’ici 2050. En outre, le plan d’action appuie la mise en œuvre de l’</w:t>
      </w:r>
      <w:hyperlink r:id="rId32" w:history="1">
        <w:r w:rsidRPr="00343CE7">
          <w:rPr>
            <w:rFonts w:eastAsia="Times New Roman"/>
            <w:snapToGrid w:val="0"/>
            <w:color w:val="0563C1" w:themeColor="hyperlink"/>
            <w:szCs w:val="18"/>
            <w:u w:val="single"/>
            <w:lang w:val="fr-FR"/>
          </w:rPr>
          <w:t>article</w:t>
        </w:r>
        <w:r w:rsidR="00EE54EF">
          <w:rPr>
            <w:rFonts w:eastAsia="Times New Roman"/>
            <w:snapToGrid w:val="0"/>
            <w:color w:val="0563C1" w:themeColor="hyperlink"/>
            <w:szCs w:val="18"/>
            <w:u w:val="single"/>
            <w:lang w:val="fr-FR"/>
          </w:rPr>
          <w:t> </w:t>
        </w:r>
        <w:r w:rsidRPr="00343CE7">
          <w:rPr>
            <w:rFonts w:eastAsia="Times New Roman"/>
            <w:snapToGrid w:val="0"/>
            <w:color w:val="0563C1" w:themeColor="hyperlink"/>
            <w:szCs w:val="18"/>
            <w:u w:val="single"/>
            <w:lang w:val="fr-FR"/>
          </w:rPr>
          <w:t>21</w:t>
        </w:r>
      </w:hyperlink>
      <w:r w:rsidRPr="00343CE7">
        <w:rPr>
          <w:rFonts w:eastAsia="Times New Roman"/>
          <w:snapToGrid w:val="0"/>
          <w:szCs w:val="18"/>
          <w:lang w:val="fr-FR"/>
        </w:rPr>
        <w:t xml:space="preserve"> du Protocole relatif à la sensibilisation.</w:t>
      </w:r>
    </w:p>
    <w:p w14:paraId="7C300F5E" w14:textId="14343FC6"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rPr>
      </w:pPr>
      <w:r w:rsidRPr="00343CE7">
        <w:rPr>
          <w:rFonts w:eastAsia="Times New Roman"/>
          <w:snapToGrid w:val="0"/>
          <w:kern w:val="22"/>
          <w:lang w:val="fr-FR"/>
        </w:rPr>
        <w:t>2.</w:t>
      </w:r>
      <w:r w:rsidRPr="00343CE7">
        <w:rPr>
          <w:rFonts w:eastAsia="Times New Roman"/>
          <w:snapToGrid w:val="0"/>
          <w:kern w:val="22"/>
          <w:lang w:val="fr-FR"/>
        </w:rPr>
        <w:tab/>
      </w:r>
      <w:r w:rsidRPr="00343CE7">
        <w:rPr>
          <w:rFonts w:eastAsia="Times New Roman"/>
          <w:snapToGrid w:val="0"/>
          <w:kern w:val="22"/>
          <w:szCs w:val="18"/>
          <w:lang w:val="fr-FR"/>
        </w:rPr>
        <w:t>Le plan d’action vise à appuyer les Parties dans la réalisation des objectifs de développement durable et contribue à la réalisation de la cible</w:t>
      </w:r>
      <w:r w:rsidR="00EE54EF">
        <w:rPr>
          <w:rFonts w:eastAsia="Times New Roman"/>
          <w:snapToGrid w:val="0"/>
          <w:kern w:val="22"/>
          <w:szCs w:val="18"/>
          <w:lang w:val="fr-FR"/>
        </w:rPr>
        <w:t> </w:t>
      </w:r>
      <w:r w:rsidRPr="00343CE7">
        <w:rPr>
          <w:rFonts w:eastAsia="Times New Roman"/>
          <w:snapToGrid w:val="0"/>
          <w:kern w:val="22"/>
          <w:szCs w:val="18"/>
          <w:lang w:val="fr-FR"/>
        </w:rPr>
        <w:t>15.6 de ceux-ci.</w:t>
      </w:r>
      <w:r w:rsidRPr="00343CE7">
        <w:rPr>
          <w:rFonts w:eastAsia="Times New Roman"/>
          <w:snapToGrid w:val="0"/>
          <w:kern w:val="22"/>
          <w:szCs w:val="18"/>
          <w:vertAlign w:val="superscript"/>
          <w:lang w:val="fr-FR"/>
        </w:rPr>
        <w:footnoteReference w:id="22"/>
      </w:r>
    </w:p>
    <w:p w14:paraId="5ACA84C7"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3.</w:t>
      </w:r>
      <w:r w:rsidRPr="00343CE7">
        <w:rPr>
          <w:rFonts w:eastAsia="Times New Roman"/>
          <w:snapToGrid w:val="0"/>
          <w:szCs w:val="18"/>
          <w:lang w:val="fr-FR"/>
        </w:rPr>
        <w:tab/>
        <w:t>Les fondements du présent plan d’action sont les principaux domaines et mesures de création et de renforcement des capacités pour la mise en œuvre du Protocole, notamment son article 22 et les concepts clés présentés dans le cadre stratégique à long terme, notamment la définition de la création et du renforcement des capacités, les [considérations] [principes directeurs] et les approches et stratégies pertinentes. Le plan d’action</w:t>
      </w:r>
      <w:r w:rsidRPr="00343CE7">
        <w:rPr>
          <w:rFonts w:eastAsia="Times New Roman"/>
          <w:kern w:val="22"/>
          <w:szCs w:val="18"/>
          <w:lang w:val="fr-FR"/>
        </w:rPr>
        <w:t> :</w:t>
      </w:r>
    </w:p>
    <w:p w14:paraId="2654BB68"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szCs w:val="18"/>
          <w:lang w:val="fr-FR"/>
        </w:rPr>
      </w:pPr>
      <w:r w:rsidRPr="00343CE7">
        <w:rPr>
          <w:rFonts w:eastAsia="Times New Roman"/>
          <w:kern w:val="22"/>
          <w:szCs w:val="18"/>
          <w:lang w:val="fr-FR"/>
        </w:rPr>
        <w:t>a)</w:t>
      </w:r>
      <w:r w:rsidRPr="00343CE7">
        <w:rPr>
          <w:rFonts w:eastAsia="Times New Roman"/>
          <w:kern w:val="22"/>
          <w:lang w:val="fr-FR"/>
        </w:rPr>
        <w:tab/>
        <w:t>Souligne l’importance d’intégrer l’accès et le partage des avantages dans le cadre de mesures plus larges de création et de renforcement des capacités en matière de biodiversité, telles que celles qui ont été incorporées dans les stratégies et plans d’action nationaux pour la biodiversité ;</w:t>
      </w:r>
    </w:p>
    <w:p w14:paraId="1BA65AF4" w14:textId="34851D0F"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lang w:val="fr-FR"/>
        </w:rPr>
      </w:pPr>
      <w:r w:rsidRPr="00343CE7">
        <w:rPr>
          <w:rFonts w:eastAsia="Times New Roman"/>
          <w:kern w:val="22"/>
          <w:szCs w:val="18"/>
          <w:lang w:val="fr-FR"/>
        </w:rPr>
        <w:t>b)</w:t>
      </w:r>
      <w:r w:rsidRPr="00343CE7">
        <w:rPr>
          <w:rFonts w:eastAsia="Times New Roman"/>
          <w:kern w:val="22"/>
          <w:szCs w:val="18"/>
          <w:lang w:val="fr-FR"/>
        </w:rPr>
        <w:tab/>
        <w:t>Promeut un ensemble de concepts et de [considérations] [principes] qui favorisent la création et le renforcement des capacités stratégiques et à plus long terme sur la base de la théorie du changement (partie</w:t>
      </w:r>
      <w:r w:rsidR="00EE54EF">
        <w:rPr>
          <w:rFonts w:eastAsia="Times New Roman"/>
          <w:kern w:val="22"/>
          <w:szCs w:val="18"/>
          <w:lang w:val="fr-FR"/>
        </w:rPr>
        <w:t> </w:t>
      </w:r>
      <w:r w:rsidRPr="00343CE7">
        <w:rPr>
          <w:rFonts w:eastAsia="Times New Roman"/>
          <w:kern w:val="22"/>
          <w:szCs w:val="18"/>
          <w:lang w:val="fr-FR"/>
        </w:rPr>
        <w:t>II) ;</w:t>
      </w:r>
    </w:p>
    <w:p w14:paraId="57FBF1C5" w14:textId="4F656E86"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snapToGrid w:val="0"/>
          <w:szCs w:val="18"/>
          <w:lang w:val="fr-FR"/>
        </w:rPr>
      </w:pPr>
      <w:r w:rsidRPr="00343CE7">
        <w:rPr>
          <w:rFonts w:eastAsia="Times New Roman"/>
          <w:kern w:val="22"/>
          <w:szCs w:val="18"/>
          <w:lang w:val="fr-FR"/>
        </w:rPr>
        <w:t>c)</w:t>
      </w:r>
      <w:r w:rsidRPr="00343CE7">
        <w:rPr>
          <w:rFonts w:eastAsia="Times New Roman"/>
          <w:kern w:val="22"/>
          <w:szCs w:val="18"/>
          <w:lang w:val="fr-FR"/>
        </w:rPr>
        <w:tab/>
        <w:t>Favorise la coopération, les synergies et la coordination aux niveaux international, régional, infrarégional et national, ainsi que le partage entre les parties prenantes des bonnes pratiques et des enseignements tirés (partie</w:t>
      </w:r>
      <w:r w:rsidR="00EE54EF">
        <w:rPr>
          <w:rFonts w:eastAsia="Times New Roman"/>
          <w:kern w:val="22"/>
          <w:szCs w:val="18"/>
          <w:lang w:val="fr-FR"/>
        </w:rPr>
        <w:t> </w:t>
      </w:r>
      <w:r w:rsidRPr="00343CE7">
        <w:rPr>
          <w:rFonts w:eastAsia="Times New Roman"/>
          <w:kern w:val="22"/>
          <w:szCs w:val="18"/>
          <w:lang w:val="fr-FR"/>
        </w:rPr>
        <w:t>III) ;</w:t>
      </w:r>
    </w:p>
    <w:p w14:paraId="7776F611"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szCs w:val="18"/>
          <w:lang w:val="fr-FR"/>
        </w:rPr>
      </w:pPr>
      <w:r w:rsidRPr="00343CE7">
        <w:rPr>
          <w:rFonts w:eastAsia="Times New Roman"/>
          <w:kern w:val="22"/>
          <w:szCs w:val="18"/>
          <w:lang w:val="fr-FR"/>
        </w:rPr>
        <w:t>d)</w:t>
      </w:r>
      <w:r w:rsidRPr="00343CE7">
        <w:rPr>
          <w:rFonts w:eastAsia="Times New Roman"/>
          <w:kern w:val="22"/>
          <w:szCs w:val="18"/>
          <w:lang w:val="fr-FR"/>
        </w:rPr>
        <w:tab/>
        <w:t>Détermine les principaux domaines de création et de renforcement des capacités, ainsi que le principal groupe cible, et que les résultats et activités prioritaires indicatifs (voir le tableau ci-dessous).</w:t>
      </w:r>
    </w:p>
    <w:p w14:paraId="29CAF2C6" w14:textId="77777777" w:rsidR="00343CE7" w:rsidRPr="00343CE7" w:rsidRDefault="00343CE7" w:rsidP="000932C0">
      <w:pPr>
        <w:keepNext/>
        <w:keepLines/>
        <w:tabs>
          <w:tab w:val="clear" w:pos="567"/>
          <w:tab w:val="clear" w:pos="1134"/>
          <w:tab w:val="clear" w:pos="1701"/>
          <w:tab w:val="clear" w:pos="2268"/>
        </w:tabs>
        <w:spacing w:before="120" w:after="120"/>
        <w:ind w:left="567" w:hanging="567"/>
        <w:jc w:val="left"/>
        <w:rPr>
          <w:rFonts w:eastAsiaTheme="majorEastAsia" w:cstheme="majorBidi"/>
          <w:b/>
          <w:sz w:val="24"/>
          <w:lang w:val="fr-FR"/>
        </w:rPr>
      </w:pPr>
      <w:r w:rsidRPr="00343CE7">
        <w:rPr>
          <w:rFonts w:eastAsiaTheme="majorEastAsia" w:cstheme="majorBidi"/>
          <w:b/>
          <w:lang w:val="fr-FR"/>
        </w:rPr>
        <w:t>B.</w:t>
      </w:r>
      <w:r w:rsidRPr="00343CE7">
        <w:rPr>
          <w:rFonts w:eastAsiaTheme="majorEastAsia" w:cstheme="majorBidi"/>
          <w:b/>
          <w:lang w:val="fr-FR"/>
        </w:rPr>
        <w:tab/>
        <w:t>Public cible du plan d’action</w:t>
      </w:r>
    </w:p>
    <w:p w14:paraId="69D04E80"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kern w:val="22"/>
          <w:szCs w:val="18"/>
          <w:lang w:val="fr-FR"/>
        </w:rPr>
      </w:pPr>
      <w:r w:rsidRPr="00343CE7">
        <w:rPr>
          <w:rFonts w:eastAsia="Times New Roman"/>
          <w:kern w:val="22"/>
          <w:szCs w:val="18"/>
          <w:lang w:val="fr-FR"/>
        </w:rPr>
        <w:t>4.</w:t>
      </w:r>
      <w:r w:rsidRPr="00343CE7">
        <w:rPr>
          <w:rFonts w:eastAsia="Times New Roman"/>
          <w:kern w:val="22"/>
          <w:szCs w:val="18"/>
          <w:lang w:val="fr-FR"/>
        </w:rPr>
        <w:tab/>
        <w:t>Le public cible du présent plan d’action regroupe tous les acteurs impliqués dans la conception, la création, le financement, la mise en œuvre ou l’examen d’initiatives de création et de renforcement des capacités qui appuient la mise en œuvre du Protocole, y compris les Parties et les autres gouvernements à tous les niveaux, dont les ministères, les administrations infranationales et les agences des secteurs concernés, le cas échéant, les peuples autochtones et les communautés locales, les femmes et les jeunes, les parties prenantes concernées, ainsi que le secteur des affaires, la communauté des chercheurs ; les organisations internationales, nationales et régionales concernées[ ; [y compris, selon le cas,] les centres</w:t>
      </w:r>
      <w:r w:rsidRPr="00343CE7">
        <w:rPr>
          <w:rFonts w:eastAsia="Times New Roman"/>
          <w:snapToGrid w:val="0"/>
          <w:szCs w:val="18"/>
          <w:lang w:val="fr-FR"/>
        </w:rPr>
        <w:t xml:space="preserve"> régionaux et/ou infrarégionaux d’appui de coopération technique et scientifique</w:t>
      </w:r>
      <w:r w:rsidRPr="00343CE7">
        <w:rPr>
          <w:rFonts w:eastAsia="Times New Roman"/>
          <w:kern w:val="22"/>
          <w:szCs w:val="18"/>
          <w:lang w:val="fr-FR"/>
        </w:rPr>
        <w:t>] ; et les donateurs et les agences de financement, y compris les banques régionales de développement.</w:t>
      </w:r>
      <w:r w:rsidRPr="00343CE7">
        <w:rPr>
          <w:rFonts w:eastAsia="Times New Roman"/>
          <w:kern w:val="22"/>
          <w:szCs w:val="18"/>
          <w:vertAlign w:val="superscript"/>
          <w:lang w:val="fr-FR"/>
        </w:rPr>
        <w:footnoteReference w:id="23"/>
      </w:r>
    </w:p>
    <w:p w14:paraId="776063A8" w14:textId="273B71D9"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kern w:val="22"/>
          <w:szCs w:val="18"/>
          <w:lang w:val="fr-FR"/>
        </w:rPr>
      </w:pPr>
      <w:r w:rsidRPr="00343CE7">
        <w:rPr>
          <w:rFonts w:eastAsia="Times New Roman"/>
          <w:kern w:val="22"/>
          <w:szCs w:val="18"/>
          <w:lang w:val="fr-FR"/>
        </w:rPr>
        <w:t>5.</w:t>
      </w:r>
      <w:r w:rsidRPr="00343CE7">
        <w:rPr>
          <w:rFonts w:eastAsia="Times New Roman"/>
          <w:kern w:val="22"/>
          <w:szCs w:val="18"/>
          <w:lang w:val="fr-FR"/>
        </w:rPr>
        <w:tab/>
        <w:t>Dans chaque pays, le groupe cible variera en fonction de la situation nationale, des besoins en matière de capacités et des cibles. Conformément à l’article</w:t>
      </w:r>
      <w:r w:rsidR="00EE54EF">
        <w:rPr>
          <w:rFonts w:eastAsia="Times New Roman"/>
          <w:kern w:val="22"/>
          <w:szCs w:val="18"/>
          <w:lang w:val="fr-FR"/>
        </w:rPr>
        <w:t> </w:t>
      </w:r>
      <w:r w:rsidRPr="00343CE7">
        <w:rPr>
          <w:rFonts w:eastAsia="Times New Roman"/>
          <w:kern w:val="22"/>
          <w:szCs w:val="18"/>
          <w:lang w:val="fr-FR"/>
        </w:rPr>
        <w:t>22 du Protocole, les besoins des pays en développement Parties, en particulier des pays les moins avancés et des petits États insulaires en développement parmi eux, ainsi que des Parties à économie en transition sont pleinement pris en compte. Les acteurs devraient promouvoir la participation pleine et effective des peuples autochtones et des communautés locales, ainsi que des parties prenantes concernées, y compris les organisations non gouvernementales, le secteur des entreprises, la communauté des chercheurs, les femmes et les jeunes, aux initiatives de création et de renforcement des capacités.</w:t>
      </w:r>
      <w:r w:rsidRPr="00343CE7">
        <w:rPr>
          <w:rFonts w:eastAsia="Times New Roman"/>
          <w:kern w:val="22"/>
          <w:szCs w:val="18"/>
          <w:vertAlign w:val="superscript"/>
          <w:lang w:val="fr-FR"/>
        </w:rPr>
        <w:footnoteReference w:id="24"/>
      </w:r>
    </w:p>
    <w:p w14:paraId="47DC1818" w14:textId="77777777" w:rsidR="00343CE7" w:rsidRPr="00343CE7" w:rsidRDefault="00343CE7" w:rsidP="000932C0">
      <w:pPr>
        <w:keepNext/>
        <w:keepLines/>
        <w:tabs>
          <w:tab w:val="clear" w:pos="567"/>
          <w:tab w:val="clear" w:pos="1134"/>
          <w:tab w:val="clear" w:pos="1701"/>
          <w:tab w:val="clear" w:pos="2268"/>
        </w:tabs>
        <w:spacing w:before="120" w:after="120"/>
        <w:ind w:left="567" w:hanging="567"/>
        <w:jc w:val="left"/>
        <w:rPr>
          <w:rFonts w:eastAsiaTheme="majorEastAsia" w:cstheme="majorBidi"/>
          <w:b/>
          <w:sz w:val="20"/>
          <w:lang w:val="fr-FR"/>
        </w:rPr>
      </w:pPr>
      <w:r w:rsidRPr="00343CE7">
        <w:rPr>
          <w:rFonts w:eastAsiaTheme="majorEastAsia" w:cstheme="majorBidi"/>
          <w:b/>
          <w:sz w:val="20"/>
          <w:lang w:val="fr-FR"/>
        </w:rPr>
        <w:lastRenderedPageBreak/>
        <w:t>C.</w:t>
      </w:r>
      <w:r w:rsidRPr="00343CE7">
        <w:rPr>
          <w:rFonts w:eastAsiaTheme="majorEastAsia" w:cstheme="majorBidi"/>
          <w:b/>
          <w:sz w:val="20"/>
          <w:lang w:val="fr-FR"/>
        </w:rPr>
        <w:tab/>
        <w:t>C</w:t>
      </w:r>
      <w:r w:rsidRPr="00343CE7">
        <w:rPr>
          <w:rFonts w:eastAsiaTheme="majorEastAsia" w:cstheme="majorBidi"/>
          <w:b/>
          <w:szCs w:val="26"/>
          <w:lang w:val="fr-FR"/>
        </w:rPr>
        <w:t>omment utiliser le plan d’action pour la création et le renforcement des capacités</w:t>
      </w:r>
    </w:p>
    <w:p w14:paraId="6195387E" w14:textId="2ED15BE4"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6.</w:t>
      </w:r>
      <w:r w:rsidRPr="00343CE7">
        <w:rPr>
          <w:rFonts w:eastAsia="Times New Roman"/>
          <w:snapToGrid w:val="0"/>
          <w:szCs w:val="18"/>
          <w:lang w:val="fr-FR"/>
        </w:rPr>
        <w:tab/>
      </w:r>
      <w:r w:rsidRPr="00343CE7">
        <w:rPr>
          <w:rFonts w:eastAsia="Times New Roman"/>
          <w:kern w:val="22"/>
          <w:szCs w:val="18"/>
          <w:lang w:val="fr-FR"/>
        </w:rPr>
        <w:t>Le plan d’action peut être utilisé à diverses fins, notamment</w:t>
      </w:r>
      <w:r w:rsidR="00EE54EF">
        <w:rPr>
          <w:rFonts w:eastAsia="Times New Roman"/>
          <w:kern w:val="22"/>
          <w:szCs w:val="18"/>
          <w:lang w:val="fr-FR"/>
        </w:rPr>
        <w:t> </w:t>
      </w:r>
      <w:r w:rsidRPr="00343CE7">
        <w:rPr>
          <w:rFonts w:eastAsia="Times New Roman"/>
          <w:kern w:val="22"/>
          <w:szCs w:val="18"/>
          <w:lang w:val="fr-FR"/>
        </w:rPr>
        <w:t xml:space="preserve">: </w:t>
      </w:r>
    </w:p>
    <w:p w14:paraId="34A52991" w14:textId="6C3FBEC0"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szCs w:val="18"/>
          <w:lang w:val="fr-FR"/>
        </w:rPr>
      </w:pPr>
      <w:r w:rsidRPr="00343CE7">
        <w:rPr>
          <w:rFonts w:eastAsia="Times New Roman"/>
          <w:kern w:val="22"/>
          <w:szCs w:val="18"/>
          <w:lang w:val="fr-FR"/>
        </w:rPr>
        <w:t>a)</w:t>
      </w:r>
      <w:r w:rsidRPr="00343CE7">
        <w:rPr>
          <w:rFonts w:eastAsia="Times New Roman"/>
          <w:kern w:val="22"/>
          <w:szCs w:val="18"/>
          <w:lang w:val="fr-FR"/>
        </w:rPr>
        <w:tab/>
        <w:t>Appuyer l’évaluation des besoins et des priorités en matière de création et de renforcement des capacités</w:t>
      </w:r>
      <w:r w:rsidR="00EE54EF">
        <w:rPr>
          <w:rFonts w:eastAsia="Times New Roman"/>
          <w:kern w:val="22"/>
          <w:szCs w:val="18"/>
          <w:lang w:val="fr-FR"/>
        </w:rPr>
        <w:t> </w:t>
      </w:r>
      <w:r w:rsidRPr="00343CE7">
        <w:rPr>
          <w:rFonts w:eastAsia="Times New Roman"/>
          <w:kern w:val="22"/>
          <w:szCs w:val="18"/>
          <w:lang w:val="fr-FR"/>
        </w:rPr>
        <w:t xml:space="preserve">; </w:t>
      </w:r>
    </w:p>
    <w:p w14:paraId="3F3879D1" w14:textId="79D1B9B3"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szCs w:val="18"/>
          <w:lang w:val="fr-FR"/>
        </w:rPr>
      </w:pPr>
      <w:r w:rsidRPr="00343CE7">
        <w:rPr>
          <w:rFonts w:eastAsia="Times New Roman"/>
          <w:kern w:val="22"/>
          <w:szCs w:val="18"/>
          <w:lang w:val="fr-FR"/>
        </w:rPr>
        <w:t>b)</w:t>
      </w:r>
      <w:r w:rsidRPr="00343CE7">
        <w:rPr>
          <w:rFonts w:eastAsia="Times New Roman"/>
          <w:kern w:val="22"/>
          <w:szCs w:val="18"/>
          <w:lang w:val="fr-FR"/>
        </w:rPr>
        <w:tab/>
        <w:t>Contribuer à la conception d’initiatives de création et de renforcement des capacités aux niveaux mondial, régional, infrarégional et national afin d’appuyer la mise en œuvre effective du Protocole, y compris l’élaboration de plans de création et de renforcement des capacités sur l’accès et le partage des avantages dans le cadre des stratégies et plans d’action nationaux pour la biodiversité</w:t>
      </w:r>
      <w:r w:rsidR="00EE54EF">
        <w:rPr>
          <w:rFonts w:eastAsia="Times New Roman"/>
          <w:kern w:val="22"/>
          <w:szCs w:val="18"/>
          <w:lang w:val="fr-FR"/>
        </w:rPr>
        <w:t> </w:t>
      </w:r>
      <w:r w:rsidRPr="00343CE7">
        <w:rPr>
          <w:rFonts w:eastAsia="Times New Roman"/>
          <w:kern w:val="22"/>
          <w:szCs w:val="18"/>
          <w:lang w:val="fr-FR"/>
        </w:rPr>
        <w:t xml:space="preserve">; </w:t>
      </w:r>
    </w:p>
    <w:p w14:paraId="74A60E1B" w14:textId="60785B49"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kern w:val="22"/>
          <w:szCs w:val="18"/>
          <w:lang w:val="fr-FR"/>
        </w:rPr>
      </w:pPr>
      <w:r w:rsidRPr="00343CE7">
        <w:rPr>
          <w:rFonts w:eastAsia="Times New Roman"/>
          <w:kern w:val="22"/>
          <w:szCs w:val="18"/>
          <w:lang w:val="fr-FR"/>
        </w:rPr>
        <w:t>c</w:t>
      </w:r>
      <w:r w:rsidRPr="00343CE7" w:rsidDel="006D106F">
        <w:rPr>
          <w:rFonts w:eastAsia="Times New Roman"/>
          <w:kern w:val="22"/>
          <w:szCs w:val="18"/>
          <w:lang w:val="fr-FR"/>
        </w:rPr>
        <w:t>)</w:t>
      </w:r>
      <w:r w:rsidRPr="00343CE7">
        <w:rPr>
          <w:rFonts w:eastAsia="Times New Roman"/>
          <w:kern w:val="22"/>
          <w:szCs w:val="18"/>
          <w:lang w:val="fr-FR"/>
        </w:rPr>
        <w:tab/>
        <w:t>En tant que référence pour orienter les programmes de création et de renforcement des capacités du mécanisme de financement de la Convention et de ses Protocoles, du Fonds pour l’environnement mondial, du Cadre mondial de la biodiversité et d’autres donateurs</w:t>
      </w:r>
      <w:r w:rsidR="00EE54EF">
        <w:rPr>
          <w:rFonts w:eastAsia="Times New Roman"/>
          <w:kern w:val="22"/>
          <w:szCs w:val="18"/>
          <w:lang w:val="fr-FR"/>
        </w:rPr>
        <w:t> </w:t>
      </w:r>
      <w:r w:rsidRPr="00343CE7">
        <w:rPr>
          <w:rFonts w:eastAsia="Times New Roman"/>
          <w:kern w:val="22"/>
          <w:szCs w:val="18"/>
          <w:lang w:val="fr-FR"/>
        </w:rPr>
        <w:t xml:space="preserve">; </w:t>
      </w:r>
    </w:p>
    <w:p w14:paraId="21781114"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firstLine="567"/>
        <w:rPr>
          <w:rFonts w:eastAsia="Times New Roman"/>
          <w:snapToGrid w:val="0"/>
          <w:szCs w:val="18"/>
          <w:lang w:val="fr-FR"/>
        </w:rPr>
      </w:pPr>
      <w:r w:rsidRPr="00343CE7">
        <w:rPr>
          <w:rFonts w:eastAsia="Times New Roman"/>
          <w:kern w:val="22"/>
          <w:szCs w:val="18"/>
          <w:lang w:val="fr-FR"/>
        </w:rPr>
        <w:t>d)</w:t>
      </w:r>
      <w:r w:rsidRPr="00343CE7">
        <w:rPr>
          <w:rFonts w:eastAsia="Times New Roman"/>
          <w:kern w:val="22"/>
          <w:szCs w:val="18"/>
          <w:lang w:val="fr-FR"/>
        </w:rPr>
        <w:tab/>
        <w:t xml:space="preserve">Comme outil pour veiller à la participation des peuples autochtones et des communautés locales ainsi que des parties prenantes concernées, telles que le secteur des entreprises, la communauté des chercheurs et les organisations représentant les femmes et les jeunes. </w:t>
      </w:r>
    </w:p>
    <w:p w14:paraId="1633FC11" w14:textId="77777777" w:rsidR="00343CE7" w:rsidRPr="00343CE7" w:rsidRDefault="00343CE7" w:rsidP="000932C0">
      <w:pPr>
        <w:suppressLineNumbers/>
        <w:tabs>
          <w:tab w:val="clear" w:pos="567"/>
          <w:tab w:val="clear" w:pos="1134"/>
          <w:tab w:val="clear" w:pos="1701"/>
          <w:tab w:val="clear" w:pos="2268"/>
        </w:tabs>
        <w:suppressAutoHyphens/>
        <w:snapToGrid w:val="0"/>
        <w:spacing w:before="120" w:after="120"/>
        <w:ind w:left="567"/>
        <w:rPr>
          <w:rFonts w:eastAsia="Times New Roman"/>
          <w:kern w:val="22"/>
          <w:szCs w:val="18"/>
          <w:lang w:val="fr-FR"/>
        </w:rPr>
      </w:pPr>
      <w:r w:rsidRPr="00343CE7">
        <w:rPr>
          <w:rFonts w:eastAsia="Times New Roman"/>
          <w:kern w:val="22"/>
          <w:szCs w:val="18"/>
          <w:lang w:val="fr-FR"/>
        </w:rPr>
        <w:t>7.</w:t>
      </w:r>
      <w:r w:rsidRPr="00343CE7">
        <w:rPr>
          <w:rFonts w:eastAsia="Times New Roman"/>
          <w:kern w:val="22"/>
          <w:szCs w:val="18"/>
          <w:lang w:val="fr-FR"/>
        </w:rPr>
        <w:tab/>
        <w:t>Le plan d’action s’articule autour de six grands résultats en matière de création et de renforcement des capacités</w:t>
      </w:r>
      <w:r w:rsidRPr="00343CE7">
        <w:rPr>
          <w:rFonts w:eastAsia="Times New Roman"/>
          <w:kern w:val="22"/>
          <w:szCs w:val="18"/>
          <w:vertAlign w:val="superscript"/>
          <w:lang w:val="fr-FR"/>
        </w:rPr>
        <w:footnoteReference w:id="25"/>
      </w:r>
      <w:r w:rsidRPr="00343CE7">
        <w:rPr>
          <w:rFonts w:eastAsia="Times New Roman"/>
          <w:kern w:val="22"/>
          <w:szCs w:val="18"/>
          <w:lang w:val="fr-FR"/>
        </w:rPr>
        <w:t>. Pour chaque résultat, le champ d’application et le groupe cible sont expliqués. Une liste de produits et d’activités indicatifs à prendre en compte dans la conception des initiatives de création et de renforcement des capacités a été élaborée sur la base des principes de la gestion axée sur les résultats. Étant donné que la pertinence de ces produits et activités dépendra du contexte national, des capacités et des besoins actuels, il conviendra d’adopter une approche souple et adaptative.</w:t>
      </w:r>
    </w:p>
    <w:p w14:paraId="6359DCCF" w14:textId="77777777" w:rsidR="00343CE7" w:rsidRPr="00343CE7" w:rsidRDefault="00343CE7" w:rsidP="000932C0">
      <w:pPr>
        <w:keepNext/>
        <w:keepLines/>
        <w:tabs>
          <w:tab w:val="clear" w:pos="567"/>
          <w:tab w:val="clear" w:pos="1134"/>
          <w:tab w:val="clear" w:pos="1701"/>
          <w:tab w:val="clear" w:pos="2268"/>
        </w:tabs>
        <w:spacing w:before="240" w:after="120"/>
        <w:ind w:left="567" w:hanging="567"/>
        <w:jc w:val="left"/>
        <w:rPr>
          <w:rFonts w:eastAsiaTheme="majorEastAsia" w:cstheme="majorBidi"/>
          <w:b/>
          <w:bCs/>
          <w:kern w:val="2"/>
          <w:sz w:val="24"/>
          <w:szCs w:val="24"/>
          <w:lang w:val="fr-FR"/>
          <w14:ligatures w14:val="standardContextual"/>
        </w:rPr>
      </w:pPr>
      <w:r w:rsidRPr="00343CE7">
        <w:rPr>
          <w:rFonts w:eastAsiaTheme="majorEastAsia" w:cstheme="majorBidi"/>
          <w:b/>
          <w:bCs/>
          <w:kern w:val="2"/>
          <w:sz w:val="24"/>
          <w:szCs w:val="24"/>
          <w:lang w:val="fr-FR"/>
          <w14:ligatures w14:val="standardContextual"/>
        </w:rPr>
        <w:t>II.</w:t>
      </w:r>
      <w:r w:rsidRPr="00343CE7">
        <w:rPr>
          <w:rFonts w:eastAsiaTheme="majorEastAsia" w:cstheme="majorBidi"/>
          <w:b/>
          <w:bCs/>
          <w:kern w:val="2"/>
          <w:sz w:val="24"/>
          <w:szCs w:val="24"/>
          <w:lang w:val="fr-FR"/>
          <w14:ligatures w14:val="standardContextual"/>
        </w:rPr>
        <w:tab/>
        <w:t xml:space="preserve">Concepts clés[, considérations] [et principes directeurs] [et théorie du changement] </w:t>
      </w:r>
    </w:p>
    <w:p w14:paraId="0978D9BA" w14:textId="61564C9D" w:rsidR="00343CE7" w:rsidRPr="00343CE7" w:rsidRDefault="00343CE7" w:rsidP="009D5C00">
      <w:pPr>
        <w:keepNext/>
        <w:keepLines/>
        <w:tabs>
          <w:tab w:val="clear" w:pos="567"/>
          <w:tab w:val="clear" w:pos="1134"/>
          <w:tab w:val="clear" w:pos="1701"/>
          <w:tab w:val="clear" w:pos="2268"/>
        </w:tabs>
        <w:spacing w:before="120" w:after="120"/>
        <w:ind w:left="567" w:hanging="567"/>
        <w:jc w:val="left"/>
        <w:rPr>
          <w:rFonts w:eastAsiaTheme="majorEastAsia" w:cstheme="majorBidi"/>
          <w:b/>
          <w:lang w:val="fr-FR"/>
        </w:rPr>
      </w:pPr>
      <w:r w:rsidRPr="00343CE7">
        <w:rPr>
          <w:rFonts w:eastAsiaTheme="majorEastAsia" w:cstheme="majorBidi"/>
          <w:b/>
          <w:lang w:val="fr-FR"/>
        </w:rPr>
        <w:t>A.</w:t>
      </w:r>
      <w:r w:rsidR="000932C0">
        <w:rPr>
          <w:rFonts w:eastAsiaTheme="majorEastAsia" w:cstheme="majorBidi"/>
          <w:b/>
          <w:lang w:val="fr-FR"/>
        </w:rPr>
        <w:t xml:space="preserve">       </w:t>
      </w:r>
      <w:r w:rsidRPr="00343CE7">
        <w:rPr>
          <w:rFonts w:eastAsiaTheme="majorEastAsia" w:cstheme="majorBidi"/>
          <w:b/>
          <w:lang w:val="fr-FR"/>
        </w:rPr>
        <w:t>Concepts clés</w:t>
      </w:r>
    </w:p>
    <w:p w14:paraId="7C4576F4" w14:textId="338C5B3B"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8.</w:t>
      </w:r>
      <w:r w:rsidRPr="00343CE7">
        <w:rPr>
          <w:rFonts w:eastAsia="Times New Roman"/>
          <w:snapToGrid w:val="0"/>
          <w:szCs w:val="18"/>
          <w:lang w:val="fr-FR"/>
        </w:rPr>
        <w:tab/>
      </w:r>
      <w:r w:rsidRPr="00343CE7">
        <w:rPr>
          <w:rFonts w:eastAsia="Times New Roman"/>
          <w:kern w:val="22"/>
          <w:szCs w:val="18"/>
          <w:lang w:val="fr-FR"/>
        </w:rPr>
        <w:t>Conformément à la décision</w:t>
      </w:r>
      <w:r w:rsidR="00EE54EF">
        <w:rPr>
          <w:rFonts w:eastAsia="Times New Roman"/>
          <w:kern w:val="22"/>
          <w:szCs w:val="18"/>
          <w:lang w:val="fr-FR"/>
        </w:rPr>
        <w:t> </w:t>
      </w:r>
      <w:r w:rsidRPr="00343CE7">
        <w:rPr>
          <w:rFonts w:eastAsia="Times New Roman"/>
          <w:kern w:val="22"/>
          <w:szCs w:val="18"/>
          <w:lang w:val="fr-FR"/>
        </w:rPr>
        <w:t>15/8, la création et le renforcement des capacités sont compris comme le processus par lequel les personnes, les organisations et la société dans son ensemble encouragent, créent, renforcent, adaptent et soutiennent les capacités au fil du temps afin d’obtenir des résultats positifs en matière de biodiversité. Dans le contexte de la création et le renforcement, trois niveaux sont pris en compte : le niveau des conditions favorables, le niveau de l’organisation et le niveau de l’individu.</w:t>
      </w:r>
      <w:r w:rsidRPr="00343CE7">
        <w:rPr>
          <w:rFonts w:eastAsia="Times New Roman"/>
          <w:snapToGrid w:val="0"/>
          <w:szCs w:val="18"/>
          <w:vertAlign w:val="superscript"/>
          <w:lang w:val="fr-FR"/>
        </w:rPr>
        <w:footnoteReference w:id="26"/>
      </w:r>
    </w:p>
    <w:p w14:paraId="0FF16C4C" w14:textId="77777777"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9.</w:t>
      </w:r>
      <w:r w:rsidRPr="00343CE7">
        <w:rPr>
          <w:rFonts w:eastAsia="Times New Roman"/>
          <w:snapToGrid w:val="0"/>
          <w:szCs w:val="18"/>
          <w:lang w:val="fr-FR"/>
        </w:rPr>
        <w:tab/>
        <w:t xml:space="preserve">Il est important de prendre en compte </w:t>
      </w:r>
      <w:r w:rsidRPr="00343CE7">
        <w:rPr>
          <w:rFonts w:eastAsia="Times New Roman"/>
          <w:kern w:val="22"/>
          <w:szCs w:val="18"/>
          <w:lang w:val="fr-FR"/>
        </w:rPr>
        <w:t>les différents types de capacités, notamment les capacités techniques, technologiques et fonctionnelles, que les individus et les organisations doivent posséder pour fonctionner de manière efficace et efficiente</w:t>
      </w:r>
      <w:r w:rsidRPr="00343CE7">
        <w:rPr>
          <w:rFonts w:eastAsia="Times New Roman"/>
          <w:kern w:val="22"/>
          <w:szCs w:val="18"/>
          <w:vertAlign w:val="superscript"/>
          <w:lang w:val="fr-FR"/>
        </w:rPr>
        <w:footnoteReference w:id="27"/>
      </w:r>
      <w:r w:rsidRPr="00343CE7">
        <w:rPr>
          <w:rFonts w:eastAsia="Times New Roman"/>
          <w:kern w:val="22"/>
          <w:szCs w:val="18"/>
          <w:lang w:val="fr-FR"/>
        </w:rPr>
        <w:t xml:space="preserve"> et pour créer des conditions favorables.</w:t>
      </w:r>
    </w:p>
    <w:p w14:paraId="3BD46A9D" w14:textId="77777777"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10.</w:t>
      </w:r>
      <w:r w:rsidRPr="00343CE7">
        <w:rPr>
          <w:rFonts w:eastAsia="Times New Roman"/>
          <w:snapToGrid w:val="0"/>
          <w:szCs w:val="18"/>
          <w:lang w:val="fr-FR"/>
        </w:rPr>
        <w:tab/>
      </w:r>
      <w:r w:rsidRPr="00343CE7">
        <w:rPr>
          <w:rFonts w:eastAsia="Times New Roman"/>
          <w:kern w:val="22"/>
          <w:szCs w:val="18"/>
          <w:lang w:val="fr-FR"/>
        </w:rPr>
        <w:t xml:space="preserve">La création et le renforcement des capacités constituent un processus itératif permanent qui exige de la cohérence et des boucles de rétroaction continues, ainsi que de la souplesse pour réviser, mettre à jour et adapter les stratégies. Le processus comprend des interventions non seulement en matière d’analyse des capacités (analyse des capacités existantes et identification des besoins, des lacunes et des priorités) et de développement (renforcement des capacités ou création de nouvelles </w:t>
      </w:r>
      <w:r w:rsidRPr="00343CE7">
        <w:rPr>
          <w:rFonts w:eastAsia="Times New Roman"/>
          <w:kern w:val="22"/>
          <w:szCs w:val="18"/>
          <w:lang w:val="fr-FR"/>
        </w:rPr>
        <w:lastRenderedPageBreak/>
        <w:t>capacités), mais aussi en matière d’utilisation des capacités (mobilisation, déploiement et utilisation des capacités existantes) et de rétention (entretien, maintien et pérennisation des capacités créées au fil du temps).</w:t>
      </w:r>
      <w:r w:rsidRPr="00343CE7">
        <w:rPr>
          <w:rFonts w:eastAsia="Times New Roman"/>
          <w:kern w:val="22"/>
          <w:szCs w:val="18"/>
          <w:vertAlign w:val="superscript"/>
          <w:lang w:val="fr-FR"/>
        </w:rPr>
        <w:footnoteReference w:id="28"/>
      </w:r>
    </w:p>
    <w:p w14:paraId="5F0ADC0E" w14:textId="77777777" w:rsidR="00343CE7" w:rsidRPr="00343CE7" w:rsidRDefault="00343CE7" w:rsidP="009D5C00">
      <w:pPr>
        <w:keepNext/>
        <w:keepLines/>
        <w:tabs>
          <w:tab w:val="clear" w:pos="567"/>
          <w:tab w:val="clear" w:pos="1134"/>
          <w:tab w:val="clear" w:pos="1701"/>
          <w:tab w:val="clear" w:pos="2268"/>
        </w:tabs>
        <w:spacing w:before="120" w:after="120"/>
        <w:ind w:left="567" w:hanging="567"/>
        <w:jc w:val="left"/>
        <w:rPr>
          <w:rFonts w:eastAsiaTheme="majorEastAsia" w:cstheme="majorBidi"/>
          <w:b/>
          <w:lang w:val="fr-FR"/>
        </w:rPr>
      </w:pPr>
      <w:r w:rsidRPr="00343CE7">
        <w:rPr>
          <w:rFonts w:eastAsiaTheme="majorEastAsia" w:cstheme="majorBidi"/>
          <w:b/>
          <w:lang w:val="fr-FR"/>
        </w:rPr>
        <w:t>B.</w:t>
      </w:r>
      <w:r w:rsidRPr="00343CE7">
        <w:rPr>
          <w:rFonts w:eastAsiaTheme="majorEastAsia" w:cstheme="majorBidi"/>
          <w:b/>
          <w:lang w:val="fr-FR"/>
        </w:rPr>
        <w:tab/>
        <w:t>[Principes directeurs][Considérations]</w:t>
      </w:r>
    </w:p>
    <w:p w14:paraId="3EA8E8D1" w14:textId="09CB94A8"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rPr>
      </w:pPr>
      <w:r w:rsidRPr="00343CE7">
        <w:rPr>
          <w:rFonts w:eastAsia="Times New Roman"/>
          <w:snapToGrid w:val="0"/>
          <w:kern w:val="22"/>
          <w:lang w:val="fr-FR"/>
        </w:rPr>
        <w:t>11.</w:t>
      </w:r>
      <w:r w:rsidR="009D5C00">
        <w:rPr>
          <w:rFonts w:eastAsia="Times New Roman"/>
          <w:snapToGrid w:val="0"/>
          <w:kern w:val="22"/>
          <w:lang w:val="fr-FR"/>
        </w:rPr>
        <w:tab/>
      </w:r>
      <w:r w:rsidRPr="00343CE7">
        <w:rPr>
          <w:rFonts w:eastAsia="Times New Roman"/>
          <w:snapToGrid w:val="0"/>
          <w:kern w:val="22"/>
          <w:szCs w:val="18"/>
          <w:lang w:val="fr-FR"/>
        </w:rPr>
        <w:t>Pour garantir la pertinence et l’efficacité des interventions, la conception et la mise en œuvre des initiatives de création et de renforcement des capacités à l’appui de la mise en œuvre du Protocole devraient être guidées, le cas échéant, par les [principes directeurs][considérations] suivant[e]s :</w:t>
      </w:r>
      <w:r w:rsidRPr="00343CE7">
        <w:rPr>
          <w:rFonts w:eastAsia="Times New Roman"/>
          <w:snapToGrid w:val="0"/>
          <w:kern w:val="22"/>
          <w:szCs w:val="18"/>
          <w:vertAlign w:val="superscript"/>
          <w:lang w:val="fr-FR"/>
        </w:rPr>
        <w:footnoteReference w:id="29"/>
      </w:r>
      <w:r w:rsidRPr="00343CE7">
        <w:rPr>
          <w:rFonts w:eastAsia="Times New Roman"/>
          <w:snapToGrid w:val="0"/>
          <w:kern w:val="22"/>
          <w:szCs w:val="18"/>
          <w:lang w:val="fr-FR"/>
        </w:rPr>
        <w:t> </w:t>
      </w:r>
    </w:p>
    <w:p w14:paraId="70F86AB2"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a)</w:t>
      </w:r>
      <w:r w:rsidRPr="00343CE7">
        <w:rPr>
          <w:rFonts w:eastAsia="Times New Roman"/>
          <w:szCs w:val="24"/>
          <w:lang w:val="fr-FR"/>
        </w:rPr>
        <w:tab/>
        <w:t>La conception et la mise en œuvre devraient se fonder sur une analyse et une évaluation globales du contexte national, des acteurs, des capacités existantes et des besoins ;</w:t>
      </w:r>
    </w:p>
    <w:p w14:paraId="05222787"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b)</w:t>
      </w:r>
      <w:r w:rsidRPr="00343CE7">
        <w:rPr>
          <w:rFonts w:eastAsia="Times New Roman"/>
          <w:szCs w:val="24"/>
          <w:lang w:val="fr-FR"/>
        </w:rPr>
        <w:tab/>
        <w:t>La conception et la mise en œuvre d’initiatives devraient tenir compte [du système gouvernemental et des cadres nationaux] [des circonstances et des priorités nationales] ;</w:t>
      </w:r>
    </w:p>
    <w:p w14:paraId="0A531913"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c)</w:t>
      </w:r>
      <w:r w:rsidRPr="00343CE7">
        <w:rPr>
          <w:rFonts w:eastAsia="Times New Roman"/>
          <w:szCs w:val="24"/>
          <w:lang w:val="fr-FR"/>
        </w:rPr>
        <w:tab/>
        <w:t xml:space="preserve">Les moyens permettant la mise en œuvre, y compris les ressources financières, destinés aux pays en développement Parties devraient être fournis de manière rapide, adaptée et prévisible ; </w:t>
      </w:r>
    </w:p>
    <w:p w14:paraId="30F595C4" w14:textId="7AF05E81"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d)</w:t>
      </w:r>
      <w:r w:rsidRPr="00343CE7">
        <w:rPr>
          <w:rFonts w:eastAsia="Times New Roman"/>
          <w:szCs w:val="24"/>
          <w:lang w:val="fr-FR"/>
        </w:rPr>
        <w:tab/>
        <w:t>Les pays devraient faire preuve d’une volonté politique et technique suffisante, et s’approprier et appuyer le processus</w:t>
      </w:r>
      <w:r w:rsidR="00EE54EF">
        <w:rPr>
          <w:rFonts w:eastAsia="Times New Roman"/>
          <w:szCs w:val="24"/>
          <w:lang w:val="fr-FR"/>
        </w:rPr>
        <w:t> </w:t>
      </w:r>
      <w:r w:rsidRPr="00343CE7">
        <w:rPr>
          <w:rFonts w:eastAsia="Times New Roman"/>
          <w:szCs w:val="24"/>
          <w:lang w:val="fr-FR"/>
        </w:rPr>
        <w:t>;</w:t>
      </w:r>
    </w:p>
    <w:p w14:paraId="587F4BF4" w14:textId="5CF9F60C"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e)</w:t>
      </w:r>
      <w:r w:rsidRPr="00343CE7">
        <w:rPr>
          <w:rFonts w:eastAsia="Times New Roman"/>
          <w:szCs w:val="24"/>
          <w:lang w:val="fr-FR"/>
        </w:rPr>
        <w:tab/>
        <w:t>Une approche programmatique et itérative à long terme devrait être adoptée, en mettant l’accent sur la durabilité et le maintien des capacités</w:t>
      </w:r>
      <w:r w:rsidR="00EE54EF">
        <w:rPr>
          <w:rFonts w:eastAsia="Times New Roman"/>
          <w:szCs w:val="24"/>
          <w:lang w:val="fr-FR"/>
        </w:rPr>
        <w:t> </w:t>
      </w:r>
      <w:r w:rsidRPr="00343CE7">
        <w:rPr>
          <w:rFonts w:eastAsia="Times New Roman"/>
          <w:szCs w:val="24"/>
          <w:lang w:val="fr-FR"/>
        </w:rPr>
        <w:t>;</w:t>
      </w:r>
    </w:p>
    <w:p w14:paraId="2691C1FC" w14:textId="32D3943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f)</w:t>
      </w:r>
      <w:r w:rsidRPr="00343CE7">
        <w:rPr>
          <w:rFonts w:eastAsia="Times New Roman"/>
          <w:szCs w:val="24"/>
          <w:lang w:val="fr-FR"/>
        </w:rPr>
        <w:tab/>
        <w:t>Des approches stratégiques et intégrées à l’échelle du système en matière de création et de renforcement des capacités devraient être encouragées</w:t>
      </w:r>
      <w:r w:rsidR="00EE54EF">
        <w:rPr>
          <w:rFonts w:eastAsia="Times New Roman"/>
          <w:szCs w:val="24"/>
          <w:lang w:val="fr-FR"/>
        </w:rPr>
        <w:t> </w:t>
      </w:r>
      <w:r w:rsidRPr="00343CE7">
        <w:rPr>
          <w:rFonts w:eastAsia="Times New Roman"/>
          <w:szCs w:val="24"/>
          <w:lang w:val="fr-FR"/>
        </w:rPr>
        <w:t>;</w:t>
      </w:r>
    </w:p>
    <w:p w14:paraId="40CB9B11"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g)</w:t>
      </w:r>
      <w:r w:rsidRPr="00343CE7">
        <w:rPr>
          <w:rFonts w:eastAsia="Times New Roman"/>
          <w:szCs w:val="24"/>
          <w:lang w:val="fr-FR"/>
        </w:rPr>
        <w:tab/>
        <w:t>La conception et la mise en œuvre devraient s’appuyer sur les bonnes pratiques reconnues et les enseignements tirés de l’expérience et être adaptées à la culture ;</w:t>
      </w:r>
    </w:p>
    <w:p w14:paraId="5E08AFB2"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h)</w:t>
      </w:r>
      <w:r w:rsidRPr="00343CE7">
        <w:rPr>
          <w:rFonts w:eastAsia="Times New Roman"/>
          <w:szCs w:val="24"/>
          <w:lang w:val="fr-FR"/>
        </w:rPr>
        <w:tab/>
        <w:t>Les vues et les systèmes de connaissances des peuples autochtones et des communautés locales devraient être intégrés à la conception et la mise en œuvre ;</w:t>
      </w:r>
    </w:p>
    <w:p w14:paraId="0E49154F"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i)</w:t>
      </w:r>
      <w:r w:rsidRPr="00343CE7">
        <w:rPr>
          <w:rFonts w:eastAsia="Times New Roman"/>
          <w:szCs w:val="24"/>
          <w:lang w:val="fr-FR"/>
        </w:rPr>
        <w:tab/>
        <w:t>[La mise en œuvre d’activités de création et de renforcement des capacités devrait correspondre aux approches fondées sur les droits de la personne, et respecter, protéger, promouvoir et honorer les droits de la personne, y compris les droits des peuples autochtones ;]</w:t>
      </w:r>
    </w:p>
    <w:p w14:paraId="24C342C8"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j)</w:t>
      </w:r>
      <w:r w:rsidRPr="00343CE7">
        <w:rPr>
          <w:rFonts w:eastAsia="Times New Roman"/>
          <w:szCs w:val="24"/>
          <w:lang w:val="fr-FR"/>
        </w:rPr>
        <w:tab/>
        <w:t>Le consentement préalable et éclairé des peuples autochtones et des communautés locales devrait être respecté, et leur participation pleine et effective assurée, lorsqu’il y a lieu ;</w:t>
      </w:r>
    </w:p>
    <w:p w14:paraId="71E5A647"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k)</w:t>
      </w:r>
      <w:r w:rsidRPr="00343CE7">
        <w:rPr>
          <w:rFonts w:eastAsia="Times New Roman"/>
          <w:szCs w:val="24"/>
          <w:lang w:val="fr-FR"/>
        </w:rPr>
        <w:tab/>
        <w:t>Les points de vue des femmes et des jeunes devraient être intégrés à la conception et la mise en œuvre, et l’utilisation du plan d’action pour l’égalité entre les hommes et les femmes (2023-2030)</w:t>
      </w:r>
      <w:r w:rsidRPr="00343CE7">
        <w:rPr>
          <w:rFonts w:eastAsia="Times New Roman"/>
          <w:szCs w:val="24"/>
          <w:vertAlign w:val="superscript"/>
          <w:lang w:val="fr-FR"/>
        </w:rPr>
        <w:footnoteReference w:id="30"/>
      </w:r>
      <w:r w:rsidRPr="00343CE7">
        <w:rPr>
          <w:rFonts w:eastAsia="Times New Roman"/>
          <w:szCs w:val="24"/>
          <w:lang w:val="fr-FR"/>
        </w:rPr>
        <w:t xml:space="preserve"> en tant qu’orientation devrait être appuyée ;</w:t>
      </w:r>
    </w:p>
    <w:p w14:paraId="1228F7C5" w14:textId="1A106B12"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l)</w:t>
      </w:r>
      <w:r w:rsidRPr="00343CE7">
        <w:rPr>
          <w:rFonts w:eastAsia="Times New Roman"/>
          <w:szCs w:val="24"/>
          <w:lang w:val="fr-FR"/>
        </w:rPr>
        <w:tab/>
        <w:t>Le suivi, l’examen, l’évaluation, la gestion adaptative et l’apprentissage doivent faire partie intégrante de la conception et de la mise en œuvre</w:t>
      </w:r>
      <w:r w:rsidR="00EE54EF">
        <w:rPr>
          <w:rFonts w:eastAsia="Times New Roman"/>
          <w:szCs w:val="24"/>
          <w:lang w:val="fr-FR"/>
        </w:rPr>
        <w:t> </w:t>
      </w:r>
      <w:r w:rsidRPr="00343CE7">
        <w:rPr>
          <w:rFonts w:eastAsia="Times New Roman"/>
          <w:szCs w:val="24"/>
          <w:lang w:val="fr-FR"/>
        </w:rPr>
        <w:t>;</w:t>
      </w:r>
    </w:p>
    <w:p w14:paraId="48B5EB5A" w14:textId="77777777" w:rsidR="00343CE7" w:rsidRPr="00343CE7" w:rsidRDefault="00343CE7" w:rsidP="00343CE7">
      <w:pPr>
        <w:tabs>
          <w:tab w:val="clear" w:pos="567"/>
          <w:tab w:val="clear" w:pos="1134"/>
          <w:tab w:val="clear" w:pos="2268"/>
        </w:tabs>
        <w:spacing w:before="120" w:after="120"/>
        <w:ind w:left="567" w:firstLine="567"/>
        <w:rPr>
          <w:rFonts w:eastAsia="Times New Roman"/>
          <w:szCs w:val="24"/>
          <w:lang w:val="fr-FR"/>
        </w:rPr>
      </w:pPr>
      <w:r w:rsidRPr="00343CE7">
        <w:rPr>
          <w:rFonts w:eastAsia="Times New Roman"/>
          <w:szCs w:val="24"/>
          <w:lang w:val="fr-FR"/>
        </w:rPr>
        <w:t>m)</w:t>
      </w:r>
      <w:r w:rsidRPr="00343CE7">
        <w:rPr>
          <w:rFonts w:eastAsia="Times New Roman"/>
          <w:szCs w:val="24"/>
          <w:lang w:val="fr-FR"/>
        </w:rPr>
        <w:tab/>
        <w:t>La mise en œuvre mutuellement appuyée d’autres instruments applicables relatifs à l’accès et au partage des avantages devrait être encouragée.</w:t>
      </w:r>
    </w:p>
    <w:p w14:paraId="0612AAAC" w14:textId="77777777" w:rsidR="00343CE7" w:rsidRPr="00343CE7" w:rsidRDefault="00343CE7" w:rsidP="009D5C00">
      <w:pPr>
        <w:keepNext/>
        <w:keepLines/>
        <w:tabs>
          <w:tab w:val="clear" w:pos="567"/>
          <w:tab w:val="clear" w:pos="1134"/>
          <w:tab w:val="clear" w:pos="1701"/>
          <w:tab w:val="clear" w:pos="2268"/>
        </w:tabs>
        <w:spacing w:before="120" w:after="120"/>
        <w:ind w:left="567" w:hanging="567"/>
        <w:jc w:val="left"/>
        <w:rPr>
          <w:rFonts w:eastAsiaTheme="majorEastAsia" w:cstheme="majorBidi"/>
          <w:b/>
          <w:szCs w:val="26"/>
          <w:lang w:val="fr-FR"/>
        </w:rPr>
      </w:pPr>
      <w:r w:rsidRPr="00343CE7">
        <w:rPr>
          <w:rFonts w:eastAsiaTheme="majorEastAsia" w:cstheme="majorBidi"/>
          <w:b/>
          <w:szCs w:val="26"/>
          <w:lang w:val="fr-FR"/>
        </w:rPr>
        <w:t>[C.</w:t>
      </w:r>
      <w:r w:rsidRPr="00343CE7">
        <w:rPr>
          <w:rFonts w:eastAsiaTheme="majorEastAsia" w:cstheme="majorBidi"/>
          <w:b/>
          <w:szCs w:val="26"/>
          <w:lang w:val="fr-FR"/>
        </w:rPr>
        <w:tab/>
        <w:t>Théorie du changement</w:t>
      </w:r>
    </w:p>
    <w:p w14:paraId="152A4D32" w14:textId="77777777" w:rsidR="00343CE7" w:rsidRPr="00343CE7" w:rsidRDefault="00343CE7" w:rsidP="009D5C00">
      <w:pPr>
        <w:tabs>
          <w:tab w:val="clear" w:pos="567"/>
          <w:tab w:val="clear" w:pos="1701"/>
          <w:tab w:val="clear" w:pos="2268"/>
        </w:tabs>
        <w:spacing w:before="120" w:after="120"/>
        <w:ind w:left="567"/>
        <w:rPr>
          <w:rFonts w:eastAsia="Times New Roman"/>
          <w:szCs w:val="24"/>
          <w:lang w:val="fr-FR"/>
        </w:rPr>
      </w:pPr>
      <w:r w:rsidRPr="00343CE7">
        <w:rPr>
          <w:rFonts w:eastAsia="Times New Roman"/>
          <w:szCs w:val="24"/>
          <w:lang w:val="fr-FR"/>
        </w:rPr>
        <w:t>12.</w:t>
      </w:r>
      <w:r w:rsidRPr="00343CE7">
        <w:rPr>
          <w:rFonts w:eastAsia="Times New Roman"/>
          <w:szCs w:val="24"/>
          <w:lang w:val="fr-FR"/>
        </w:rPr>
        <w:tab/>
        <w:t xml:space="preserve">Selon la théorie du changement qui sous-tend le plan d’action, en cas d’investissement de ressources humaines, financières, matérielles et technologiques adéquates, il est possible d’entreprendre des activités englobant l’analyse du contexte et des besoins, la cartographie et l’engagement des parties prenantes, la conception d’interventions efficaces en matière de développement et de renforcement des capacités et le renforcement des mécanismes de coordination </w:t>
      </w:r>
      <w:r w:rsidRPr="00343CE7">
        <w:rPr>
          <w:rFonts w:eastAsia="Times New Roman"/>
          <w:szCs w:val="24"/>
          <w:lang w:val="fr-FR"/>
        </w:rPr>
        <w:lastRenderedPageBreak/>
        <w:t>multipartites au niveau national. En entreprenant ces activités, il sera possible de créer des plans ou des programmes à long terme de grande qualité et des partenariats stratégiques consacrés à la création et au renforcement des capacités aux fins du Protocole. La production de ces résultats permettra de développer, d’utiliser et de conserver les connaissances et les capacités à tous les niveaux afin d’effectuer la mise en œuvre du Protocole de manière efficace. Si les capacités sont développées, utilisées et préservées aux niveaux individuel, organisationnel et de l’environnement pour la mise en œuvre efficace du Protocole, les avantages découlant de l’utilisation des ressources génétiques et des connaissances traditionnelles associées aux ressources génétiques seront partagés de manière juste et équitable, ce qui contribuera à la conservation et à l’utilisation durable de la diversité biologique.]</w:t>
      </w:r>
    </w:p>
    <w:p w14:paraId="12E0404C" w14:textId="77777777" w:rsidR="00343CE7" w:rsidRPr="00343CE7" w:rsidRDefault="00343CE7" w:rsidP="00343CE7">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fr-FR"/>
          <w14:ligatures w14:val="standardContextual"/>
        </w:rPr>
      </w:pPr>
      <w:r w:rsidRPr="00343CE7">
        <w:rPr>
          <w:rFonts w:eastAsiaTheme="majorEastAsia" w:cstheme="majorBidi"/>
          <w:b/>
          <w:bCs/>
          <w:kern w:val="2"/>
          <w:sz w:val="24"/>
          <w:szCs w:val="24"/>
          <w:lang w:val="fr-FR"/>
          <w14:ligatures w14:val="standardContextual"/>
        </w:rPr>
        <w:t>III.</w:t>
      </w:r>
      <w:r w:rsidRPr="00343CE7">
        <w:rPr>
          <w:rFonts w:eastAsiaTheme="majorEastAsia" w:cstheme="majorBidi"/>
          <w:b/>
          <w:bCs/>
          <w:kern w:val="2"/>
          <w:sz w:val="24"/>
          <w:szCs w:val="24"/>
          <w:lang w:val="fr-FR"/>
          <w14:ligatures w14:val="standardContextual"/>
        </w:rPr>
        <w:tab/>
        <w:t>Coopération et coordination</w:t>
      </w:r>
    </w:p>
    <w:p w14:paraId="400F61E0" w14:textId="2D1D5BE6"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asciiTheme="majorBidi" w:eastAsia="Times New Roman" w:hAnsiTheme="majorBidi" w:cstheme="majorBidi"/>
          <w:snapToGrid w:val="0"/>
          <w:szCs w:val="18"/>
          <w:lang w:val="fr-FR"/>
        </w:rPr>
      </w:pPr>
      <w:r w:rsidRPr="00343CE7">
        <w:rPr>
          <w:rFonts w:asciiTheme="majorBidi" w:eastAsia="Times New Roman" w:hAnsiTheme="majorBidi" w:cstheme="majorBidi"/>
          <w:snapToGrid w:val="0"/>
          <w:szCs w:val="18"/>
          <w:lang w:val="fr-FR"/>
        </w:rPr>
        <w:t>13.</w:t>
      </w:r>
      <w:r w:rsidRPr="00343CE7">
        <w:rPr>
          <w:rFonts w:asciiTheme="majorBidi" w:eastAsia="Times New Roman" w:hAnsiTheme="majorBidi" w:cstheme="majorBidi"/>
          <w:snapToGrid w:val="0"/>
          <w:szCs w:val="18"/>
          <w:lang w:val="fr-FR"/>
        </w:rPr>
        <w:tab/>
        <w:t>Le renforcement de la coopération et de la coordination entre les acteurs impliqués dans les initiatives de création et de renforcement des capacités est un facteur déterminant de leur succès. Des mécanismes spécifiques sont disponibles à différents niveaux. En particulier</w:t>
      </w:r>
      <w:r w:rsidR="00EE54EF">
        <w:rPr>
          <w:rFonts w:asciiTheme="majorBidi" w:eastAsia="Times New Roman" w:hAnsiTheme="majorBidi" w:cstheme="majorBidi"/>
          <w:snapToGrid w:val="0"/>
          <w:szCs w:val="18"/>
          <w:lang w:val="fr-FR"/>
        </w:rPr>
        <w:t> </w:t>
      </w:r>
      <w:r w:rsidRPr="00343CE7">
        <w:rPr>
          <w:rFonts w:asciiTheme="majorBidi" w:eastAsia="Times New Roman" w:hAnsiTheme="majorBidi" w:cstheme="majorBidi"/>
          <w:snapToGrid w:val="0"/>
          <w:szCs w:val="18"/>
          <w:lang w:val="fr-FR"/>
        </w:rPr>
        <w:t>:</w:t>
      </w:r>
    </w:p>
    <w:p w14:paraId="292AA60B" w14:textId="77777777" w:rsidR="00343CE7" w:rsidRPr="00343CE7" w:rsidRDefault="00343CE7" w:rsidP="00343CE7">
      <w:pPr>
        <w:suppressLineNumbers/>
        <w:tabs>
          <w:tab w:val="clear" w:pos="567"/>
          <w:tab w:val="clear" w:pos="1134"/>
          <w:tab w:val="clear" w:pos="1701"/>
          <w:tab w:val="clear" w:pos="2268"/>
        </w:tabs>
        <w:suppressAutoHyphens/>
        <w:snapToGrid w:val="0"/>
        <w:spacing w:before="120" w:after="120"/>
        <w:ind w:left="720" w:firstLine="567"/>
        <w:rPr>
          <w:rFonts w:asciiTheme="majorBidi" w:eastAsia="Times New Roman" w:hAnsiTheme="majorBidi" w:cstheme="majorBidi"/>
          <w:snapToGrid w:val="0"/>
          <w:szCs w:val="18"/>
          <w:lang w:val="fr-FR"/>
        </w:rPr>
      </w:pPr>
      <w:r w:rsidRPr="00343CE7">
        <w:rPr>
          <w:rFonts w:asciiTheme="majorBidi" w:eastAsia="Times New Roman" w:hAnsiTheme="majorBidi" w:cstheme="majorBidi"/>
          <w:snapToGrid w:val="0"/>
          <w:szCs w:val="18"/>
          <w:lang w:val="fr-FR"/>
        </w:rPr>
        <w:t>a)</w:t>
      </w:r>
      <w:r w:rsidRPr="00343CE7">
        <w:rPr>
          <w:rFonts w:asciiTheme="majorBidi" w:eastAsia="Times New Roman" w:hAnsiTheme="majorBidi" w:cstheme="majorBidi"/>
          <w:snapToGrid w:val="0"/>
          <w:szCs w:val="18"/>
          <w:lang w:val="fr-FR"/>
        </w:rPr>
        <w:tab/>
        <w:t>Au niveau national, la coordination peut être favorisée, le cas échéant, par les dispositifs interinstitutionnels et intersectoriels mis en place pour la révision et la mise en œuvre des stratégies et plans d’action nationaux pour la biodiversité et des cibles nationales pour évaluer les contributions au Cadre. D’autres arrangements institutionnels nationaux peuvent être envisagés pour la coordination au niveau national, selon les circonstances nationales et la législation. En outre, le bureau du coordinateur résident des Nations Unies pourrait également jouer un rôle en appuyant les institutions nationales dans la mise en place et la coordination des processus multipartites et en renforçant l’expertise locale ;</w:t>
      </w:r>
    </w:p>
    <w:p w14:paraId="6430BB67" w14:textId="77777777" w:rsidR="00343CE7" w:rsidRPr="00343CE7" w:rsidRDefault="00343CE7" w:rsidP="00343CE7">
      <w:pPr>
        <w:suppressLineNumbers/>
        <w:tabs>
          <w:tab w:val="clear" w:pos="567"/>
          <w:tab w:val="clear" w:pos="1134"/>
          <w:tab w:val="clear" w:pos="1701"/>
          <w:tab w:val="clear" w:pos="2268"/>
        </w:tabs>
        <w:suppressAutoHyphens/>
        <w:snapToGrid w:val="0"/>
        <w:spacing w:before="120" w:after="120"/>
        <w:ind w:left="720" w:firstLine="567"/>
        <w:rPr>
          <w:rFonts w:asciiTheme="majorBidi" w:eastAsia="Times New Roman" w:hAnsiTheme="majorBidi" w:cstheme="majorBidi"/>
          <w:snapToGrid w:val="0"/>
          <w:szCs w:val="18"/>
          <w:lang w:val="fr-FR"/>
        </w:rPr>
      </w:pPr>
      <w:r w:rsidRPr="00343CE7">
        <w:rPr>
          <w:rFonts w:asciiTheme="majorBidi" w:eastAsia="Times New Roman" w:hAnsiTheme="majorBidi" w:cstheme="majorBidi"/>
          <w:snapToGrid w:val="0"/>
          <w:szCs w:val="18"/>
          <w:lang w:val="fr-FR"/>
        </w:rPr>
        <w:t>b)</w:t>
      </w:r>
      <w:r w:rsidRPr="00343CE7">
        <w:rPr>
          <w:rFonts w:asciiTheme="majorBidi" w:eastAsia="Times New Roman" w:hAnsiTheme="majorBidi" w:cstheme="majorBidi"/>
          <w:snapToGrid w:val="0"/>
          <w:szCs w:val="18"/>
          <w:lang w:val="fr-FR"/>
        </w:rPr>
        <w:tab/>
        <w:t>Aux niveaux régional et infrarégional, les organisations, [y compris[, le cas échéant] les centres d’appui régionaux et/ou infrarégionaux]</w:t>
      </w:r>
      <w:r w:rsidRPr="00343CE7">
        <w:rPr>
          <w:rFonts w:asciiTheme="majorBidi" w:eastAsia="Times New Roman" w:hAnsiTheme="majorBidi" w:cstheme="majorBidi"/>
          <w:snapToGrid w:val="0"/>
          <w:szCs w:val="18"/>
          <w:vertAlign w:val="superscript"/>
          <w:lang w:val="fr-FR"/>
        </w:rPr>
        <w:footnoteReference w:id="31"/>
      </w:r>
      <w:r w:rsidRPr="00343CE7">
        <w:rPr>
          <w:rFonts w:asciiTheme="majorBidi" w:eastAsia="Times New Roman" w:hAnsiTheme="majorBidi" w:cstheme="majorBidi"/>
          <w:snapToGrid w:val="0"/>
          <w:szCs w:val="18"/>
          <w:lang w:val="fr-FR"/>
        </w:rPr>
        <w:t>, peuvent jouer un rôle en réunissant divers acteurs afin de déterminer les besoins et les possibilités de coopération, de synergie et de collaboration, le cas échéant, et de favoriser le partage des meilleures pratiques et des enseignements tirés de l’expérience. Par exemple, le futur mécanisme de renforcement de la coopération technique et scientifique à l’appui du Cadre</w:t>
      </w:r>
      <w:r w:rsidRPr="00343CE7">
        <w:rPr>
          <w:rFonts w:asciiTheme="majorBidi" w:eastAsia="Times New Roman" w:hAnsiTheme="majorBidi" w:cstheme="majorBidi"/>
          <w:snapToGrid w:val="0"/>
          <w:szCs w:val="18"/>
          <w:vertAlign w:val="superscript"/>
          <w:lang w:val="fr-FR"/>
        </w:rPr>
        <w:footnoteReference w:id="32"/>
      </w:r>
      <w:r w:rsidRPr="00343CE7">
        <w:rPr>
          <w:rFonts w:asciiTheme="majorBidi" w:eastAsia="Times New Roman" w:hAnsiTheme="majorBidi" w:cstheme="majorBidi"/>
          <w:snapToGrid w:val="0"/>
          <w:szCs w:val="18"/>
          <w:lang w:val="fr-FR"/>
        </w:rPr>
        <w:t xml:space="preserve"> pourrait jouer un tel rôle. De plus, la collaboration et la coopération aux niveaux régional et infrarégional peuvent également contribuer à l’harmonisation des approches et des cadres relatifs à l’accès et au partage des avantages ;</w:t>
      </w:r>
    </w:p>
    <w:p w14:paraId="3C923C3B" w14:textId="77777777" w:rsidR="00343CE7" w:rsidRPr="00343CE7" w:rsidRDefault="00343CE7" w:rsidP="00343CE7">
      <w:pPr>
        <w:suppressLineNumbers/>
        <w:tabs>
          <w:tab w:val="clear" w:pos="567"/>
          <w:tab w:val="clear" w:pos="1134"/>
          <w:tab w:val="clear" w:pos="1701"/>
          <w:tab w:val="clear" w:pos="2268"/>
        </w:tabs>
        <w:suppressAutoHyphens/>
        <w:snapToGrid w:val="0"/>
        <w:spacing w:before="120" w:after="120"/>
        <w:ind w:left="720" w:firstLine="567"/>
        <w:rPr>
          <w:rFonts w:eastAsia="Times New Roman"/>
          <w:snapToGrid w:val="0"/>
          <w:lang w:val="fr-FR"/>
        </w:rPr>
      </w:pPr>
      <w:r w:rsidRPr="00343CE7">
        <w:rPr>
          <w:rFonts w:eastAsia="Times New Roman"/>
          <w:snapToGrid w:val="0"/>
          <w:lang w:val="fr-FR"/>
        </w:rPr>
        <w:t>c)</w:t>
      </w:r>
      <w:r w:rsidRPr="00343CE7">
        <w:rPr>
          <w:rFonts w:eastAsia="Times New Roman"/>
          <w:snapToGrid w:val="0"/>
          <w:lang w:val="fr-FR"/>
        </w:rPr>
        <w:tab/>
        <w:t>A</w:t>
      </w:r>
      <w:r w:rsidRPr="00343CE7">
        <w:rPr>
          <w:rFonts w:asciiTheme="majorBidi" w:eastAsia="Times New Roman" w:hAnsiTheme="majorBidi" w:cstheme="majorBidi"/>
          <w:snapToGrid w:val="0"/>
          <w:szCs w:val="18"/>
          <w:lang w:val="fr-FR"/>
        </w:rPr>
        <w:t>u niveau mondial, la coordination peut être favorisée par les processus au titre de la Convention et du Protocole, y compris les réunions des comités consultatifs informels créés pour conseiller la Secrétaire exécutive sur les questions liées à la mise en œuvre du Protocole et le forum sur la création et le renforcement des capacités</w:t>
      </w:r>
      <w:r w:rsidRPr="00343CE7">
        <w:rPr>
          <w:rFonts w:asciiTheme="majorBidi" w:eastAsia="Times New Roman" w:hAnsiTheme="majorBidi" w:cstheme="majorBidi"/>
          <w:snapToGrid w:val="0"/>
          <w:szCs w:val="18"/>
          <w:vertAlign w:val="superscript"/>
          <w:lang w:val="fr-FR"/>
        </w:rPr>
        <w:footnoteReference w:id="33"/>
      </w:r>
      <w:r w:rsidRPr="00343CE7">
        <w:rPr>
          <w:rFonts w:asciiTheme="majorBidi" w:eastAsia="Times New Roman" w:hAnsiTheme="majorBidi" w:cstheme="majorBidi"/>
          <w:snapToGrid w:val="0"/>
          <w:szCs w:val="18"/>
          <w:lang w:val="fr-FR"/>
        </w:rPr>
        <w:t xml:space="preserve"> pour faciliter la mise en réseau et le partage d’expériences.</w:t>
      </w:r>
    </w:p>
    <w:p w14:paraId="511D66CB" w14:textId="77777777" w:rsidR="00343CE7" w:rsidRPr="00343CE7" w:rsidRDefault="00343CE7" w:rsidP="00343CE7">
      <w:pPr>
        <w:keepNext/>
        <w:keepLines/>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fr-FR"/>
          <w14:ligatures w14:val="standardContextual"/>
        </w:rPr>
      </w:pPr>
      <w:r w:rsidRPr="00343CE7">
        <w:rPr>
          <w:rFonts w:eastAsiaTheme="majorEastAsia" w:cstheme="majorBidi"/>
          <w:b/>
          <w:bCs/>
          <w:kern w:val="2"/>
          <w:sz w:val="24"/>
          <w:szCs w:val="24"/>
          <w:lang w:val="fr-FR"/>
          <w14:ligatures w14:val="standardContextual"/>
        </w:rPr>
        <w:t>IV.</w:t>
      </w:r>
      <w:r w:rsidRPr="00343CE7">
        <w:rPr>
          <w:rFonts w:eastAsiaTheme="majorEastAsia" w:cstheme="majorBidi"/>
          <w:b/>
          <w:bCs/>
          <w:kern w:val="2"/>
          <w:sz w:val="24"/>
          <w:szCs w:val="24"/>
          <w:lang w:val="fr-FR"/>
          <w14:ligatures w14:val="standardContextual"/>
        </w:rPr>
        <w:tab/>
        <w:t>Examen de la mise en œuvre du plan d’action</w:t>
      </w:r>
    </w:p>
    <w:p w14:paraId="6FFD5EE6" w14:textId="265DADA7" w:rsidR="00343CE7" w:rsidRPr="00343CE7" w:rsidRDefault="00343CE7" w:rsidP="009D5C00">
      <w:pPr>
        <w:suppressLineNumbers/>
        <w:tabs>
          <w:tab w:val="clear" w:pos="567"/>
          <w:tab w:val="clear" w:pos="1134"/>
          <w:tab w:val="clear" w:pos="1701"/>
          <w:tab w:val="clear" w:pos="2268"/>
        </w:tabs>
        <w:suppressAutoHyphens/>
        <w:snapToGrid w:val="0"/>
        <w:spacing w:before="120" w:after="120"/>
        <w:ind w:left="567"/>
        <w:rPr>
          <w:rFonts w:eastAsia="Times New Roman"/>
          <w:snapToGrid w:val="0"/>
          <w:szCs w:val="18"/>
          <w:lang w:val="fr-FR"/>
        </w:rPr>
      </w:pPr>
      <w:r w:rsidRPr="00343CE7">
        <w:rPr>
          <w:rFonts w:eastAsia="Times New Roman"/>
          <w:snapToGrid w:val="0"/>
          <w:szCs w:val="18"/>
          <w:lang w:val="fr-FR"/>
        </w:rPr>
        <w:t>14.</w:t>
      </w:r>
      <w:r w:rsidRPr="00343CE7">
        <w:rPr>
          <w:rFonts w:eastAsia="Times New Roman"/>
          <w:snapToGrid w:val="0"/>
          <w:szCs w:val="18"/>
          <w:lang w:val="fr-FR"/>
        </w:rPr>
        <w:tab/>
        <w:t>La Conférence des Parties siégeant en tant que Réunion des Parties au Protocole entreprendra un examen de la mise en œuvre du plan d’action dans le cadre du processus d’évaluation et d’examen prévu par le Protocole conformément à l’article</w:t>
      </w:r>
      <w:r w:rsidR="00EE54EF">
        <w:rPr>
          <w:rFonts w:eastAsia="Times New Roman"/>
          <w:snapToGrid w:val="0"/>
          <w:szCs w:val="18"/>
          <w:lang w:val="fr-FR"/>
        </w:rPr>
        <w:t> </w:t>
      </w:r>
      <w:r w:rsidRPr="00343CE7">
        <w:rPr>
          <w:rFonts w:eastAsia="Times New Roman"/>
          <w:snapToGrid w:val="0"/>
          <w:szCs w:val="18"/>
          <w:lang w:val="fr-FR"/>
        </w:rPr>
        <w:t>31 et sur la base des informations communiquées dans les rapports nationaux et dans le centre d’échange sur l’accès et le partage des avantages en 2030 et, par la suite, à des intervalles à déterminer.</w:t>
      </w:r>
    </w:p>
    <w:p w14:paraId="34EADD6C" w14:textId="77777777" w:rsidR="00D72810" w:rsidRPr="00084920" w:rsidRDefault="00D72810" w:rsidP="00D72810">
      <w:pPr>
        <w:rPr>
          <w:i/>
          <w:iCs/>
          <w:lang w:val="fr-FR"/>
        </w:rPr>
      </w:pPr>
    </w:p>
    <w:p w14:paraId="313D50BA" w14:textId="77777777" w:rsidR="00D72810" w:rsidRPr="00084920" w:rsidRDefault="00D72810" w:rsidP="00D72810">
      <w:pPr>
        <w:rPr>
          <w:lang w:val="fr-FR"/>
        </w:rPr>
        <w:sectPr w:rsidR="00D72810" w:rsidRPr="00084920" w:rsidSect="005549D8">
          <w:pgSz w:w="12240" w:h="15840" w:code="1"/>
          <w:pgMar w:top="562" w:right="1382" w:bottom="1138" w:left="1382" w:header="706" w:footer="706" w:gutter="0"/>
          <w:cols w:space="708"/>
          <w:docGrid w:linePitch="360"/>
        </w:sectPr>
      </w:pPr>
    </w:p>
    <w:p w14:paraId="03B86C36" w14:textId="77777777" w:rsidR="00343CE7" w:rsidRPr="00343CE7" w:rsidRDefault="00343CE7" w:rsidP="00343CE7">
      <w:pPr>
        <w:tabs>
          <w:tab w:val="clear" w:pos="567"/>
          <w:tab w:val="clear" w:pos="1134"/>
          <w:tab w:val="clear" w:pos="1701"/>
          <w:tab w:val="clear" w:pos="2268"/>
        </w:tabs>
        <w:ind w:left="720" w:hanging="360"/>
        <w:jc w:val="left"/>
        <w:rPr>
          <w:rFonts w:eastAsia="Times New Roman"/>
          <w:b/>
          <w:bCs/>
          <w:snapToGrid w:val="0"/>
          <w:sz w:val="24"/>
          <w:szCs w:val="24"/>
          <w:lang w:val="fr-FR"/>
        </w:rPr>
      </w:pPr>
      <w:r w:rsidRPr="00343CE7">
        <w:rPr>
          <w:rFonts w:eastAsia="Times New Roman"/>
          <w:b/>
          <w:bCs/>
          <w:snapToGrid w:val="0"/>
          <w:sz w:val="24"/>
          <w:szCs w:val="24"/>
          <w:lang w:val="fr-FR"/>
        </w:rPr>
        <w:lastRenderedPageBreak/>
        <w:t>Pièce jointe</w:t>
      </w:r>
    </w:p>
    <w:p w14:paraId="551BFBA1" w14:textId="77777777" w:rsidR="00343CE7" w:rsidRPr="00343CE7" w:rsidRDefault="00343CE7" w:rsidP="00343CE7">
      <w:pPr>
        <w:keepNext/>
        <w:tabs>
          <w:tab w:val="clear" w:pos="567"/>
          <w:tab w:val="clear" w:pos="1134"/>
          <w:tab w:val="clear" w:pos="1701"/>
          <w:tab w:val="clear" w:pos="2268"/>
        </w:tabs>
        <w:spacing w:after="120"/>
        <w:ind w:left="567"/>
        <w:jc w:val="left"/>
        <w:rPr>
          <w:rFonts w:ascii="Times New Roman Bold" w:eastAsiaTheme="majorEastAsia" w:hAnsi="Times New Roman Bold" w:hint="eastAsia"/>
          <w:b/>
          <w:bCs/>
          <w:spacing w:val="5"/>
          <w:kern w:val="28"/>
          <w:sz w:val="24"/>
          <w:szCs w:val="24"/>
          <w:lang w:val="fr-FR"/>
          <w14:ligatures w14:val="standardContextual"/>
        </w:rPr>
      </w:pPr>
      <w:r w:rsidRPr="00343CE7">
        <w:rPr>
          <w:rFonts w:ascii="Times New Roman Bold" w:eastAsiaTheme="majorEastAsia" w:hAnsi="Times New Roman Bold"/>
          <w:b/>
          <w:bCs/>
          <w:spacing w:val="5"/>
          <w:kern w:val="28"/>
          <w:sz w:val="24"/>
          <w:szCs w:val="24"/>
          <w:lang w:val="fr-FR"/>
          <w14:ligatures w14:val="standardContextual"/>
        </w:rPr>
        <w:t>Résultats et activités de création et de renforcement des capacités en appui à la mise en œuvre effective du Protocole de Nagoya</w:t>
      </w:r>
    </w:p>
    <w:p w14:paraId="2D91292E" w14:textId="77777777" w:rsidR="00343CE7" w:rsidRPr="00343CE7" w:rsidRDefault="00343CE7" w:rsidP="00343CE7">
      <w:pPr>
        <w:tabs>
          <w:tab w:val="clear" w:pos="567"/>
          <w:tab w:val="clear" w:pos="1134"/>
          <w:tab w:val="clear" w:pos="1701"/>
          <w:tab w:val="clear" w:pos="2268"/>
        </w:tabs>
        <w:spacing w:after="120"/>
        <w:ind w:left="567"/>
        <w:rPr>
          <w:rFonts w:eastAsia="Times New Roman"/>
          <w:szCs w:val="24"/>
          <w:lang w:val="fr-FR"/>
        </w:rPr>
      </w:pPr>
      <w:r w:rsidRPr="00343CE7">
        <w:rPr>
          <w:rFonts w:eastAsia="Times New Roman"/>
          <w:szCs w:val="24"/>
          <w:lang w:val="fr-FR"/>
        </w:rPr>
        <w:t>1.</w:t>
      </w:r>
      <w:r w:rsidRPr="00343CE7">
        <w:rPr>
          <w:rFonts w:eastAsia="Times New Roman"/>
          <w:szCs w:val="24"/>
          <w:lang w:val="fr-FR"/>
        </w:rPr>
        <w:tab/>
        <w:t>La matrice ci-dessous fournit une liste indicative de résultats et d’activités pour chaque résultat clé, conformément aux principes de la gestion axée sur les résultats,</w:t>
      </w:r>
      <w:r w:rsidRPr="00343CE7">
        <w:rPr>
          <w:rFonts w:eastAsia="Times New Roman"/>
          <w:szCs w:val="24"/>
          <w:vertAlign w:val="superscript"/>
          <w:lang w:val="fr-FR"/>
        </w:rPr>
        <w:footnoteReference w:id="34"/>
      </w:r>
      <w:r w:rsidRPr="00343CE7">
        <w:rPr>
          <w:rFonts w:eastAsia="Times New Roman"/>
          <w:szCs w:val="24"/>
          <w:lang w:val="fr-FR"/>
        </w:rPr>
        <w:t xml:space="preserve"> qui peuvent être inclus dans les initiatives de création et de renforcement des capacités pour une mise en œuvre efficace du Protocole de Nagoya.</w:t>
      </w:r>
    </w:p>
    <w:p w14:paraId="34E58D72" w14:textId="77777777" w:rsidR="00343CE7" w:rsidRPr="00343CE7" w:rsidRDefault="00343CE7" w:rsidP="00343CE7">
      <w:pPr>
        <w:tabs>
          <w:tab w:val="clear" w:pos="567"/>
          <w:tab w:val="clear" w:pos="1134"/>
          <w:tab w:val="clear" w:pos="1701"/>
          <w:tab w:val="clear" w:pos="2268"/>
        </w:tabs>
        <w:spacing w:after="240"/>
        <w:ind w:left="567"/>
        <w:rPr>
          <w:rFonts w:eastAsia="Times New Roman"/>
          <w:szCs w:val="24"/>
          <w:lang w:val="fr-FR"/>
        </w:rPr>
      </w:pPr>
      <w:r w:rsidRPr="00343CE7">
        <w:rPr>
          <w:rFonts w:eastAsia="Times New Roman"/>
          <w:szCs w:val="24"/>
          <w:lang w:val="fr-FR"/>
        </w:rPr>
        <w:t>2.</w:t>
      </w:r>
      <w:r w:rsidRPr="00343CE7">
        <w:rPr>
          <w:rFonts w:eastAsia="Times New Roman"/>
          <w:szCs w:val="24"/>
          <w:lang w:val="fr-FR"/>
        </w:rPr>
        <w:tab/>
        <w:t>Le public cible du présent plan d’action (voir la partie I.B de l’annexe ci-dessus) pourrait se servir de la matrice ci-dessous de manière souple et dynamique, selon les besoins, les circonstances et les priorités. Différents résultats ont différents groupes cibles, qui sont identifiés dans le texte explicatif de chaque résultat. Les résultats et les activités énumérés dans le plan d’action sont présentés de manière générale afin de permettre aux Parties, aux peuples autochtones et aux communautés locales, aux organisations de femmes et de jeunes, aux parties prenantes et aux organisations concernées de les adapter à leurs besoins, priorités et circonstances particuliers. La présentation a également pour but d’éviter la répétition et la redondance des informations.</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343CE7" w:rsidRPr="00343CE7" w14:paraId="62B62989" w14:textId="77777777" w:rsidTr="00621B49">
        <w:trPr>
          <w:jc w:val="center"/>
        </w:trPr>
        <w:tc>
          <w:tcPr>
            <w:tcW w:w="13320" w:type="dxa"/>
            <w:gridSpan w:val="2"/>
          </w:tcPr>
          <w:p w14:paraId="6570300B" w14:textId="7C0FB112" w:rsidR="00343CE7" w:rsidRPr="00343CE7" w:rsidRDefault="00343CE7" w:rsidP="00343CE7">
            <w:pPr>
              <w:tabs>
                <w:tab w:val="clear" w:pos="567"/>
                <w:tab w:val="clear" w:pos="1134"/>
                <w:tab w:val="clear" w:pos="1701"/>
                <w:tab w:val="clear" w:pos="2268"/>
              </w:tabs>
              <w:jc w:val="left"/>
              <w:rPr>
                <w:rFonts w:eastAsia="Times New Roman"/>
                <w:b/>
                <w:bCs/>
                <w:kern w:val="22"/>
                <w:lang w:val="fr-FR"/>
              </w:rPr>
            </w:pPr>
            <w:r w:rsidRPr="00343CE7">
              <w:rPr>
                <w:rFonts w:eastAsia="Times New Roman"/>
                <w:b/>
                <w:bCs/>
                <w:kern w:val="22"/>
                <w:lang w:val="fr-FR"/>
              </w:rPr>
              <w:t>Résultat</w:t>
            </w:r>
            <w:r w:rsidR="00EE54EF">
              <w:rPr>
                <w:rFonts w:eastAsia="Times New Roman"/>
                <w:b/>
                <w:bCs/>
                <w:kern w:val="22"/>
                <w:lang w:val="fr-FR"/>
              </w:rPr>
              <w:t> </w:t>
            </w:r>
            <w:r w:rsidRPr="00343CE7">
              <w:rPr>
                <w:rFonts w:eastAsia="Times New Roman"/>
                <w:b/>
                <w:bCs/>
                <w:kern w:val="22"/>
                <w:lang w:val="fr-FR"/>
              </w:rPr>
              <w:t>1</w:t>
            </w:r>
            <w:r w:rsidR="00EE54EF">
              <w:rPr>
                <w:rFonts w:eastAsia="Times New Roman"/>
                <w:b/>
                <w:bCs/>
                <w:kern w:val="22"/>
                <w:lang w:val="fr-FR"/>
              </w:rPr>
              <w:t> </w:t>
            </w:r>
            <w:r w:rsidRPr="00343CE7">
              <w:rPr>
                <w:rFonts w:eastAsia="Times New Roman"/>
                <w:b/>
                <w:bCs/>
                <w:kern w:val="22"/>
                <w:lang w:val="fr-FR"/>
              </w:rPr>
              <w:t>: Renforcement de la capacité à appliquer le Protocole de Nagoya et à remplir les obligations qui en découlent.</w:t>
            </w:r>
          </w:p>
          <w:p w14:paraId="1BF009D6" w14:textId="2AEA66D9" w:rsidR="00343CE7" w:rsidRPr="00343CE7" w:rsidRDefault="00343CE7" w:rsidP="00343CE7">
            <w:pPr>
              <w:tabs>
                <w:tab w:val="clear" w:pos="567"/>
                <w:tab w:val="clear" w:pos="1134"/>
                <w:tab w:val="clear" w:pos="1701"/>
                <w:tab w:val="clear" w:pos="2268"/>
              </w:tabs>
              <w:jc w:val="left"/>
              <w:rPr>
                <w:rFonts w:eastAsia="Times New Roman"/>
                <w:b/>
                <w:bCs/>
                <w:kern w:val="22"/>
                <w:lang w:val="fr-FR"/>
              </w:rPr>
            </w:pPr>
            <w:r w:rsidRPr="00343CE7">
              <w:rPr>
                <w:rFonts w:eastAsia="Times New Roman"/>
                <w:i/>
                <w:kern w:val="22"/>
                <w:lang w:val="fr-FR"/>
              </w:rPr>
              <w:t>Le résultat</w:t>
            </w:r>
            <w:r w:rsidR="00EE54EF">
              <w:rPr>
                <w:rFonts w:eastAsia="Times New Roman"/>
                <w:i/>
                <w:kern w:val="22"/>
                <w:lang w:val="fr-FR"/>
              </w:rPr>
              <w:t> </w:t>
            </w:r>
            <w:r w:rsidRPr="00343CE7">
              <w:rPr>
                <w:rFonts w:eastAsia="Times New Roman"/>
                <w:i/>
                <w:kern w:val="22"/>
                <w:lang w:val="fr-FR"/>
              </w:rPr>
              <w:t>1 concerne la création d’un environnement propice à la mise en œuvre et au respect des obligations découlant du Protocole par les Parties. Les réalisations attendues concernent la ratification, la coopération entre les parties prenantes et les agences, l’évaluation des besoins, les ressources financières et les exigences relatives à l’établissement de rapports.</w:t>
            </w:r>
          </w:p>
        </w:tc>
      </w:tr>
      <w:tr w:rsidR="00343CE7" w:rsidRPr="00343CE7" w14:paraId="6A7A2373" w14:textId="77777777" w:rsidTr="00621B49">
        <w:trPr>
          <w:tblHeader/>
          <w:jc w:val="center"/>
        </w:trPr>
        <w:tc>
          <w:tcPr>
            <w:tcW w:w="3360" w:type="dxa"/>
          </w:tcPr>
          <w:p w14:paraId="016461F6" w14:textId="77777777" w:rsidR="00343CE7" w:rsidRPr="00343CE7" w:rsidRDefault="00343CE7" w:rsidP="00343CE7">
            <w:pPr>
              <w:tabs>
                <w:tab w:val="clear" w:pos="567"/>
                <w:tab w:val="clear" w:pos="1134"/>
                <w:tab w:val="clear" w:pos="1701"/>
                <w:tab w:val="clear" w:pos="2268"/>
              </w:tabs>
              <w:rPr>
                <w:rFonts w:eastAsia="Times New Roman"/>
                <w:b/>
                <w:bCs/>
                <w:kern w:val="22"/>
                <w:lang w:val="fr-FR"/>
              </w:rPr>
            </w:pPr>
            <w:r w:rsidRPr="00343CE7">
              <w:rPr>
                <w:rFonts w:eastAsia="Times New Roman"/>
                <w:b/>
                <w:bCs/>
                <w:kern w:val="22"/>
                <w:lang w:val="fr-FR"/>
              </w:rPr>
              <w:t>Réalisations</w:t>
            </w:r>
          </w:p>
        </w:tc>
        <w:tc>
          <w:tcPr>
            <w:tcW w:w="9960" w:type="dxa"/>
          </w:tcPr>
          <w:p w14:paraId="030ED125" w14:textId="77777777" w:rsidR="00343CE7" w:rsidRPr="00343CE7" w:rsidRDefault="00343CE7" w:rsidP="00343CE7">
            <w:pPr>
              <w:tabs>
                <w:tab w:val="clear" w:pos="567"/>
                <w:tab w:val="clear" w:pos="1134"/>
                <w:tab w:val="clear" w:pos="1701"/>
                <w:tab w:val="clear" w:pos="2268"/>
              </w:tabs>
              <w:rPr>
                <w:rFonts w:eastAsia="Times New Roman"/>
                <w:b/>
                <w:bCs/>
                <w:kern w:val="22"/>
                <w:lang w:val="fr-FR"/>
              </w:rPr>
            </w:pPr>
            <w:r w:rsidRPr="00343CE7">
              <w:rPr>
                <w:rFonts w:eastAsia="Times New Roman"/>
                <w:b/>
                <w:bCs/>
                <w:kern w:val="22"/>
                <w:lang w:val="fr-FR"/>
              </w:rPr>
              <w:t>Activités indicatives de création et renforcement des capacités</w:t>
            </w:r>
          </w:p>
        </w:tc>
      </w:tr>
      <w:tr w:rsidR="00343CE7" w:rsidRPr="00343CE7" w14:paraId="7692F57D" w14:textId="77777777" w:rsidTr="00621B49">
        <w:trPr>
          <w:jc w:val="center"/>
        </w:trPr>
        <w:tc>
          <w:tcPr>
            <w:tcW w:w="3360" w:type="dxa"/>
          </w:tcPr>
          <w:p w14:paraId="6AAEE227"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kern w:val="22"/>
                <w:lang w:val="fr-FR"/>
              </w:rPr>
              <w:t>1.1. La ratification du Protocole ou l’adhésion à celui-ci est possible.</w:t>
            </w:r>
          </w:p>
        </w:tc>
        <w:tc>
          <w:tcPr>
            <w:tcW w:w="9960" w:type="dxa"/>
          </w:tcPr>
          <w:p w14:paraId="5226EEEC" w14:textId="23DA7A0F" w:rsidR="00343CE7" w:rsidRPr="00343CE7" w:rsidRDefault="00343CE7" w:rsidP="00343CE7">
            <w:pPr>
              <w:numPr>
                <w:ilvl w:val="0"/>
                <w:numId w:val="33"/>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aux ressources humaines désignées pour faire avancer le processus de ratification/adhésion et faciliter la coordination au sein du Gouvernement et entre les ministères concernés</w:t>
            </w:r>
            <w:r w:rsidR="00EE54EF">
              <w:rPr>
                <w:rFonts w:eastAsia="Times New Roman"/>
                <w:kern w:val="22"/>
                <w:lang w:val="fr-FR"/>
              </w:rPr>
              <w:t> </w:t>
            </w:r>
            <w:r w:rsidRPr="00343CE7">
              <w:rPr>
                <w:rFonts w:eastAsia="Times New Roman"/>
                <w:kern w:val="22"/>
                <w:lang w:val="fr-FR"/>
              </w:rPr>
              <w:t>;</w:t>
            </w:r>
          </w:p>
          <w:p w14:paraId="3AA8BE22" w14:textId="6F994E8C" w:rsidR="00343CE7" w:rsidRPr="00343CE7" w:rsidRDefault="00343CE7" w:rsidP="00343CE7">
            <w:pPr>
              <w:numPr>
                <w:ilvl w:val="0"/>
                <w:numId w:val="33"/>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Organiser des ateliers, des séances d</w:t>
            </w:r>
            <w:r w:rsidR="00BC50D3">
              <w:rPr>
                <w:rFonts w:eastAsia="Times New Roman"/>
                <w:kern w:val="22"/>
                <w:lang w:val="fr-FR"/>
              </w:rPr>
              <w:t>e</w:t>
            </w:r>
            <w:r w:rsidRPr="00343CE7">
              <w:rPr>
                <w:rFonts w:eastAsia="Times New Roman"/>
                <w:kern w:val="22"/>
                <w:lang w:val="fr-FR"/>
              </w:rPr>
              <w:t xml:space="preserve"> formation et des activités de sensibilisation aux dispositions du Protocole et à l’importance des ressources génétiques, des connaissances traditionnelles associées et des questions connexes d’accès et de partage des avantages.</w:t>
            </w:r>
          </w:p>
        </w:tc>
      </w:tr>
      <w:tr w:rsidR="00343CE7" w:rsidRPr="00343CE7" w14:paraId="7A7B5807" w14:textId="77777777" w:rsidTr="00621B49">
        <w:trPr>
          <w:jc w:val="center"/>
        </w:trPr>
        <w:tc>
          <w:tcPr>
            <w:tcW w:w="3360" w:type="dxa"/>
          </w:tcPr>
          <w:p w14:paraId="7EE0C620"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kern w:val="22"/>
                <w:lang w:val="fr-FR"/>
              </w:rPr>
              <w:t>1.2. Des mécanismes de coordination multipartite et interinstitutionnelle au niveau national sont établis.</w:t>
            </w:r>
          </w:p>
        </w:tc>
        <w:tc>
          <w:tcPr>
            <w:tcW w:w="9960" w:type="dxa"/>
          </w:tcPr>
          <w:p w14:paraId="101DB470" w14:textId="21B2CEED" w:rsidR="00343CE7" w:rsidRPr="00343CE7" w:rsidRDefault="00343CE7" w:rsidP="00343CE7">
            <w:pPr>
              <w:numPr>
                <w:ilvl w:val="2"/>
                <w:numId w:val="25"/>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Recenser les acteurs concernés</w:t>
            </w:r>
            <w:r w:rsidR="00EE54EF">
              <w:rPr>
                <w:rFonts w:eastAsia="Times New Roman"/>
                <w:kern w:val="22"/>
                <w:lang w:val="fr-FR"/>
              </w:rPr>
              <w:t> </w:t>
            </w:r>
            <w:r w:rsidRPr="00343CE7">
              <w:rPr>
                <w:rFonts w:eastAsia="Times New Roman"/>
                <w:kern w:val="22"/>
                <w:lang w:val="fr-FR"/>
              </w:rPr>
              <w:t>;</w:t>
            </w:r>
          </w:p>
          <w:p w14:paraId="5E9FD513" w14:textId="529FF4A5" w:rsidR="00343CE7" w:rsidRPr="00343CE7" w:rsidRDefault="00343CE7" w:rsidP="00343CE7">
            <w:pPr>
              <w:numPr>
                <w:ilvl w:val="2"/>
                <w:numId w:val="25"/>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orientations, une formation ou une assistance technique sur la facilitation et la mise en place de mécanismes multipartites et interinstitutions relatifs à l’accès et au partage des avantages et à la mise en œuvre mutuellement appuyée du Protocole et d’autres instruments internationaux applicables relatifs à l’accès et au partage des avantages</w:t>
            </w:r>
            <w:r w:rsidR="00EE54EF">
              <w:rPr>
                <w:rFonts w:eastAsia="Times New Roman"/>
                <w:kern w:val="22"/>
                <w:lang w:val="fr-FR"/>
              </w:rPr>
              <w:t> </w:t>
            </w:r>
            <w:r w:rsidRPr="00343CE7">
              <w:rPr>
                <w:rFonts w:eastAsia="Times New Roman"/>
                <w:kern w:val="22"/>
                <w:lang w:val="fr-FR"/>
              </w:rPr>
              <w:t>;</w:t>
            </w:r>
          </w:p>
          <w:p w14:paraId="34BE1012" w14:textId="77777777" w:rsidR="00343CE7" w:rsidRPr="00343CE7" w:rsidRDefault="00343CE7" w:rsidP="00343CE7">
            <w:pPr>
              <w:numPr>
                <w:ilvl w:val="2"/>
                <w:numId w:val="25"/>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 xml:space="preserve">Appuyer l’élaboration de mécanismes nationaux favorisant la participation pleine et effective des peuples autochtones et des communautés locales à la mise en œuvre des dispositions du Protocole relatives aux </w:t>
            </w:r>
            <w:r w:rsidRPr="00343CE7">
              <w:rPr>
                <w:rFonts w:eastAsia="Times New Roman"/>
                <w:kern w:val="22"/>
                <w:lang w:val="fr-FR"/>
              </w:rPr>
              <w:lastRenderedPageBreak/>
              <w:t>peuples autochtones et aux communautés locales et aux connaissances traditionnelles associées aux ressources génétiques, y compris des orientations facultatives</w:t>
            </w:r>
            <w:r w:rsidRPr="00343CE7" w:rsidDel="00A64F2E">
              <w:rPr>
                <w:rFonts w:eastAsia="Times New Roman"/>
                <w:kern w:val="22"/>
                <w:lang w:val="fr-FR"/>
              </w:rPr>
              <w:t>.</w:t>
            </w:r>
          </w:p>
        </w:tc>
      </w:tr>
      <w:tr w:rsidR="00343CE7" w:rsidRPr="00343CE7" w14:paraId="1564F57E" w14:textId="77777777" w:rsidTr="00621B49">
        <w:trPr>
          <w:jc w:val="center"/>
        </w:trPr>
        <w:tc>
          <w:tcPr>
            <w:tcW w:w="3360" w:type="dxa"/>
          </w:tcPr>
          <w:p w14:paraId="68ED0E69"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kern w:val="22"/>
                <w:lang w:val="fr-FR"/>
              </w:rPr>
              <w:lastRenderedPageBreak/>
              <w:t>1.3. Les besoins en capacités et les priorités pour la mise en œuvre du Protocole sont évalués.</w:t>
            </w:r>
          </w:p>
        </w:tc>
        <w:tc>
          <w:tcPr>
            <w:tcW w:w="9960" w:type="dxa"/>
          </w:tcPr>
          <w:p w14:paraId="694EB460" w14:textId="5D79365B" w:rsidR="00343CE7" w:rsidRPr="00343CE7" w:rsidRDefault="00343CE7" w:rsidP="00343CE7">
            <w:pPr>
              <w:numPr>
                <w:ilvl w:val="0"/>
                <w:numId w:val="34"/>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Faire le point et évaluer l’expertise et les besoins des acteurs pour la mise en œuvre du Protocole</w:t>
            </w:r>
            <w:r w:rsidR="00EE54EF">
              <w:rPr>
                <w:rFonts w:eastAsia="Times New Roman"/>
                <w:kern w:val="22"/>
                <w:lang w:val="fr-FR"/>
              </w:rPr>
              <w:t> </w:t>
            </w:r>
            <w:r w:rsidRPr="00343CE7">
              <w:rPr>
                <w:rFonts w:eastAsia="Times New Roman"/>
                <w:kern w:val="22"/>
                <w:lang w:val="fr-FR"/>
              </w:rPr>
              <w:t>;</w:t>
            </w:r>
          </w:p>
          <w:p w14:paraId="0B6AA5BD" w14:textId="77777777" w:rsidR="00343CE7" w:rsidRPr="00343CE7" w:rsidRDefault="00343CE7" w:rsidP="00343CE7">
            <w:pPr>
              <w:numPr>
                <w:ilvl w:val="0"/>
                <w:numId w:val="34"/>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orientations, une formation ou une assistance technique adaptées à la culture pour l’évaluation des besoins et des priorités en matière de capacités, y compris ceux des peuples autochtones, des communautés locales et des parties prenantes concernées, tels qu’ils les ont déterminés, tout en mettant l’accent sur les besoins et les priorités des femmes et des jeunes en matière de capacités.</w:t>
            </w:r>
          </w:p>
        </w:tc>
      </w:tr>
      <w:tr w:rsidR="00343CE7" w:rsidRPr="00343CE7" w14:paraId="633EA527" w14:textId="77777777" w:rsidTr="00621B49">
        <w:trPr>
          <w:jc w:val="center"/>
        </w:trPr>
        <w:tc>
          <w:tcPr>
            <w:tcW w:w="3360" w:type="dxa"/>
          </w:tcPr>
          <w:p w14:paraId="5D2A8E3B"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kern w:val="22"/>
                <w:lang w:val="fr-FR"/>
              </w:rPr>
              <w:t>1.4</w:t>
            </w:r>
            <w:r w:rsidRPr="00343CE7" w:rsidDel="004A4B62">
              <w:rPr>
                <w:rFonts w:eastAsia="Times New Roman"/>
                <w:kern w:val="22"/>
                <w:lang w:val="fr-FR"/>
              </w:rPr>
              <w:t>.</w:t>
            </w:r>
            <w:r w:rsidRPr="00343CE7">
              <w:rPr>
                <w:rFonts w:eastAsia="Times New Roman"/>
                <w:kern w:val="22"/>
                <w:lang w:val="fr-FR"/>
              </w:rPr>
              <w:t xml:space="preserve"> Des ressources financières nouvelles et innovantes sont mobilisées pour la mise en œuvre du Protocole.</w:t>
            </w:r>
          </w:p>
        </w:tc>
        <w:tc>
          <w:tcPr>
            <w:tcW w:w="9960" w:type="dxa"/>
            <w:shd w:val="clear" w:color="auto" w:fill="auto"/>
          </w:tcPr>
          <w:p w14:paraId="449F54C2" w14:textId="0F2E24FC" w:rsidR="00343CE7" w:rsidRPr="00343CE7" w:rsidRDefault="00343CE7" w:rsidP="00343CE7">
            <w:pPr>
              <w:numPr>
                <w:ilvl w:val="0"/>
                <w:numId w:val="35"/>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et une formation sur les compétences en matière de mobilisation des ressources (par exemple, le développement de projets, la collecte de fonds et la récupération de ressources)</w:t>
            </w:r>
            <w:r w:rsidR="00EE54EF">
              <w:rPr>
                <w:rFonts w:eastAsia="Times New Roman"/>
                <w:kern w:val="22"/>
                <w:lang w:val="fr-FR"/>
              </w:rPr>
              <w:t> </w:t>
            </w:r>
            <w:r w:rsidRPr="00343CE7">
              <w:rPr>
                <w:rFonts w:eastAsia="Times New Roman"/>
                <w:kern w:val="22"/>
                <w:lang w:val="fr-FR"/>
              </w:rPr>
              <w:t>;</w:t>
            </w:r>
          </w:p>
          <w:p w14:paraId="2F8382D3" w14:textId="77777777" w:rsidR="00343CE7" w:rsidRPr="00343CE7" w:rsidRDefault="00343CE7" w:rsidP="00343CE7">
            <w:pPr>
              <w:numPr>
                <w:ilvl w:val="0"/>
                <w:numId w:val="35"/>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pour l’élaboration de stratégies nationales de mobilisation des ressources.</w:t>
            </w:r>
          </w:p>
        </w:tc>
      </w:tr>
      <w:tr w:rsidR="00343CE7" w:rsidRPr="00343CE7" w14:paraId="304BABBD" w14:textId="77777777" w:rsidTr="00621B49">
        <w:trPr>
          <w:jc w:val="center"/>
        </w:trPr>
        <w:tc>
          <w:tcPr>
            <w:tcW w:w="3360" w:type="dxa"/>
          </w:tcPr>
          <w:p w14:paraId="7552B476"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lang w:val="fr-FR"/>
              </w:rPr>
              <w:t>1.5. Les obligations en matière d’établissement de rapports au titre du Protocole et du Cadre mondial de la biodiversité de Kunming-Montréal sont remplies.</w:t>
            </w:r>
          </w:p>
        </w:tc>
        <w:tc>
          <w:tcPr>
            <w:tcW w:w="9960" w:type="dxa"/>
            <w:shd w:val="clear" w:color="auto" w:fill="auto"/>
          </w:tcPr>
          <w:p w14:paraId="00E21745" w14:textId="54CC54F8" w:rsidR="00343CE7" w:rsidRPr="00343CE7" w:rsidRDefault="00343CE7" w:rsidP="00343CE7">
            <w:pPr>
              <w:numPr>
                <w:ilvl w:val="2"/>
                <w:numId w:val="1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orientations, une formation ou une assistance technique pour l’encouragement et l’élaboration de mécanismes visant à appuyer la collecte d’informations nationales pour mesurer les progrès accomplis en matière de partage des avantages monétaires et non monétaires, conformément aux méthodes convenues au niveau international pour assurer le suivi de la cible</w:t>
            </w:r>
            <w:r w:rsidR="00EE54EF">
              <w:rPr>
                <w:rFonts w:eastAsia="Times New Roman"/>
                <w:kern w:val="22"/>
                <w:lang w:val="fr-FR"/>
              </w:rPr>
              <w:t> </w:t>
            </w:r>
            <w:r w:rsidRPr="00343CE7">
              <w:rPr>
                <w:rFonts w:eastAsia="Times New Roman"/>
                <w:kern w:val="22"/>
                <w:lang w:val="fr-FR"/>
              </w:rPr>
              <w:t>13 et de l’objectif C du Cadre et en rendre compte, notamment par la mise en place de systèmes d’information</w:t>
            </w:r>
            <w:r w:rsidR="00EE54EF">
              <w:rPr>
                <w:rFonts w:eastAsia="Times New Roman"/>
                <w:kern w:val="22"/>
                <w:lang w:val="fr-FR"/>
              </w:rPr>
              <w:t> </w:t>
            </w:r>
            <w:r w:rsidRPr="00343CE7">
              <w:rPr>
                <w:rFonts w:eastAsia="Times New Roman"/>
                <w:kern w:val="22"/>
                <w:lang w:val="fr-FR"/>
              </w:rPr>
              <w:t>;</w:t>
            </w:r>
          </w:p>
          <w:p w14:paraId="7CA3640A" w14:textId="0259B7D9" w:rsidR="00343CE7" w:rsidRPr="00343CE7" w:rsidRDefault="00343CE7" w:rsidP="00343CE7">
            <w:pPr>
              <w:numPr>
                <w:ilvl w:val="2"/>
                <w:numId w:val="19"/>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l’élaboration des rapports nationaux et les publier dans le centre d’échange sur l’accès et le partage des avantages</w:t>
            </w:r>
            <w:r w:rsidR="00EE54EF">
              <w:rPr>
                <w:rFonts w:eastAsia="Times New Roman"/>
                <w:kern w:val="22"/>
                <w:lang w:val="fr-FR"/>
              </w:rPr>
              <w:t> </w:t>
            </w:r>
            <w:r w:rsidRPr="00343CE7">
              <w:rPr>
                <w:rFonts w:eastAsia="Times New Roman"/>
                <w:kern w:val="22"/>
                <w:lang w:val="fr-FR"/>
              </w:rPr>
              <w:t>;</w:t>
            </w:r>
          </w:p>
          <w:p w14:paraId="2341D9C2" w14:textId="77777777" w:rsidR="00343CE7" w:rsidRPr="00343CE7" w:rsidRDefault="00343CE7" w:rsidP="00343CE7">
            <w:pPr>
              <w:numPr>
                <w:ilvl w:val="2"/>
                <w:numId w:val="19"/>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szCs w:val="24"/>
                <w:lang w:val="fr-FR"/>
              </w:rPr>
              <w:t>Appuyer la collecte et l’analyse régulières de données nationales sur la mise en œuvre du Protocole de Nagoya afin de suivre les progrès, de recenser les difficultés et les enseignements tirés, ainsi que les bonnes pratiques permettant de faire progresser la mise en œuvre.</w:t>
            </w:r>
          </w:p>
        </w:tc>
      </w:tr>
      <w:tr w:rsidR="00343CE7" w:rsidRPr="00343CE7" w14:paraId="7EA26E8D" w14:textId="77777777" w:rsidTr="00621B49">
        <w:trPr>
          <w:jc w:val="center"/>
        </w:trPr>
        <w:tc>
          <w:tcPr>
            <w:tcW w:w="3360" w:type="dxa"/>
          </w:tcPr>
          <w:p w14:paraId="62083757" w14:textId="77777777" w:rsidR="00343CE7" w:rsidRPr="00343CE7" w:rsidRDefault="00343CE7" w:rsidP="00343CE7">
            <w:pPr>
              <w:tabs>
                <w:tab w:val="clear" w:pos="567"/>
                <w:tab w:val="clear" w:pos="1134"/>
                <w:tab w:val="clear" w:pos="1701"/>
                <w:tab w:val="clear" w:pos="2268"/>
                <w:tab w:val="left" w:pos="449"/>
              </w:tabs>
              <w:jc w:val="left"/>
              <w:rPr>
                <w:rFonts w:eastAsia="Times New Roman"/>
                <w:lang w:val="fr-FR"/>
              </w:rPr>
            </w:pPr>
            <w:r w:rsidRPr="00343CE7">
              <w:rPr>
                <w:rFonts w:eastAsia="Times New Roman"/>
                <w:lang w:val="fr-FR"/>
              </w:rPr>
              <w:t>1.6. La mise en œuvre mutuellement appuyée du Protocole et des instruments internationaux applicables [est améliorée]. </w:t>
            </w:r>
          </w:p>
        </w:tc>
        <w:tc>
          <w:tcPr>
            <w:tcW w:w="9960" w:type="dxa"/>
            <w:shd w:val="clear" w:color="auto" w:fill="auto"/>
          </w:tcPr>
          <w:p w14:paraId="704001F5" w14:textId="77777777" w:rsidR="00343CE7" w:rsidRPr="00343CE7" w:rsidRDefault="00343CE7" w:rsidP="00343CE7">
            <w:pPr>
              <w:tabs>
                <w:tab w:val="clear" w:pos="567"/>
                <w:tab w:val="clear" w:pos="1134"/>
                <w:tab w:val="clear" w:pos="1701"/>
                <w:tab w:val="clear" w:pos="2268"/>
              </w:tabs>
              <w:ind w:left="360" w:hanging="360"/>
              <w:rPr>
                <w:rFonts w:eastAsia="Times New Roman"/>
                <w:kern w:val="22"/>
                <w:lang w:val="fr-FR"/>
              </w:rPr>
            </w:pPr>
            <w:r w:rsidRPr="00343CE7">
              <w:rPr>
                <w:rFonts w:eastAsia="Times New Roman"/>
                <w:kern w:val="22"/>
                <w:lang w:val="fr-FR"/>
              </w:rPr>
              <w:t>a)</w:t>
            </w:r>
            <w:r w:rsidRPr="00343CE7">
              <w:rPr>
                <w:rFonts w:eastAsia="Times New Roman"/>
                <w:kern w:val="22"/>
                <w:lang w:val="fr-FR"/>
              </w:rPr>
              <w:tab/>
              <w:t>Fournir des orientations, une formation et une assistance technique pour la mise en œuvre mutuellement appuyée du Protocole et des instruments internationaux applicables.</w:t>
            </w:r>
          </w:p>
          <w:p w14:paraId="62980FC9" w14:textId="77777777" w:rsidR="00343CE7" w:rsidRPr="00343CE7" w:rsidRDefault="00343CE7" w:rsidP="00343CE7">
            <w:pPr>
              <w:tabs>
                <w:tab w:val="clear" w:pos="567"/>
                <w:tab w:val="clear" w:pos="1134"/>
                <w:tab w:val="clear" w:pos="1701"/>
                <w:tab w:val="clear" w:pos="2268"/>
              </w:tabs>
              <w:rPr>
                <w:rFonts w:eastAsia="Times New Roman"/>
                <w:kern w:val="22"/>
                <w:lang w:val="fr-FR"/>
              </w:rPr>
            </w:pPr>
          </w:p>
        </w:tc>
      </w:tr>
    </w:tbl>
    <w:p w14:paraId="387823F0" w14:textId="77777777" w:rsidR="00343CE7" w:rsidRPr="00343CE7" w:rsidRDefault="00343CE7" w:rsidP="00343CE7">
      <w:pPr>
        <w:tabs>
          <w:tab w:val="clear" w:pos="567"/>
          <w:tab w:val="clear" w:pos="1134"/>
          <w:tab w:val="clear" w:pos="1701"/>
          <w:tab w:val="clear" w:pos="2268"/>
        </w:tabs>
        <w:rPr>
          <w:rFonts w:eastAsia="Times New Roman"/>
          <w:szCs w:val="24"/>
          <w:lang w:val="fr-FR"/>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343CE7" w:rsidRPr="00343CE7" w14:paraId="30FEFE86" w14:textId="77777777" w:rsidTr="00621B49">
        <w:trPr>
          <w:jc w:val="center"/>
        </w:trPr>
        <w:tc>
          <w:tcPr>
            <w:tcW w:w="13325" w:type="dxa"/>
            <w:gridSpan w:val="2"/>
          </w:tcPr>
          <w:p w14:paraId="74078CD2" w14:textId="505678A2" w:rsidR="00343CE7" w:rsidRPr="00343CE7" w:rsidRDefault="00343CE7" w:rsidP="00343CE7">
            <w:pPr>
              <w:tabs>
                <w:tab w:val="clear" w:pos="567"/>
                <w:tab w:val="clear" w:pos="1134"/>
                <w:tab w:val="clear" w:pos="1701"/>
                <w:tab w:val="clear" w:pos="2268"/>
              </w:tabs>
              <w:rPr>
                <w:rFonts w:eastAsia="Times New Roman"/>
                <w:b/>
                <w:bCs/>
                <w:kern w:val="22"/>
                <w:lang w:val="fr-FR"/>
              </w:rPr>
            </w:pPr>
            <w:r w:rsidRPr="00343CE7">
              <w:rPr>
                <w:rFonts w:eastAsia="Times New Roman"/>
                <w:b/>
                <w:bCs/>
                <w:kern w:val="22"/>
                <w:lang w:val="fr-FR"/>
              </w:rPr>
              <w:t>Résultat</w:t>
            </w:r>
            <w:r w:rsidR="00EE54EF">
              <w:rPr>
                <w:rFonts w:eastAsia="Times New Roman"/>
                <w:b/>
                <w:bCs/>
                <w:kern w:val="22"/>
                <w:lang w:val="fr-FR"/>
              </w:rPr>
              <w:t> </w:t>
            </w:r>
            <w:r w:rsidRPr="00343CE7">
              <w:rPr>
                <w:rFonts w:eastAsia="Times New Roman"/>
                <w:b/>
                <w:bCs/>
                <w:kern w:val="22"/>
                <w:lang w:val="fr-FR"/>
              </w:rPr>
              <w:t>2</w:t>
            </w:r>
            <w:r w:rsidR="00EE54EF">
              <w:rPr>
                <w:rFonts w:eastAsia="Times New Roman"/>
                <w:b/>
                <w:bCs/>
                <w:kern w:val="22"/>
                <w:lang w:val="fr-FR"/>
              </w:rPr>
              <w:t> </w:t>
            </w:r>
            <w:r w:rsidRPr="00343CE7">
              <w:rPr>
                <w:rFonts w:eastAsia="Times New Roman"/>
                <w:b/>
                <w:bCs/>
                <w:kern w:val="22"/>
                <w:lang w:val="fr-FR"/>
              </w:rPr>
              <w:t>: Renforcement de la capacité à élaborer, à mettre en œuvre et à faire respecter des mesures législatives, administratives ou politiques nationales en matière d’accès et de partage des avantages</w:t>
            </w:r>
          </w:p>
          <w:p w14:paraId="60B23DF0" w14:textId="4E71FA18" w:rsidR="00343CE7" w:rsidRPr="00343CE7" w:rsidRDefault="00343CE7" w:rsidP="00343CE7">
            <w:pPr>
              <w:tabs>
                <w:tab w:val="clear" w:pos="567"/>
                <w:tab w:val="clear" w:pos="1134"/>
                <w:tab w:val="clear" w:pos="1701"/>
                <w:tab w:val="clear" w:pos="2268"/>
              </w:tabs>
              <w:rPr>
                <w:rFonts w:eastAsia="Times New Roman"/>
                <w:i/>
                <w:iCs/>
                <w:kern w:val="22"/>
                <w:szCs w:val="24"/>
                <w:lang w:val="fr-FR"/>
              </w:rPr>
            </w:pPr>
            <w:r w:rsidRPr="00343CE7">
              <w:rPr>
                <w:rFonts w:eastAsia="Times New Roman"/>
                <w:i/>
                <w:iCs/>
                <w:kern w:val="22"/>
                <w:szCs w:val="24"/>
                <w:lang w:val="fr-FR"/>
              </w:rPr>
              <w:t>Le résultat</w:t>
            </w:r>
            <w:r w:rsidR="00EE54EF">
              <w:rPr>
                <w:rFonts w:eastAsia="Times New Roman"/>
                <w:i/>
                <w:iCs/>
                <w:kern w:val="22"/>
                <w:szCs w:val="24"/>
                <w:lang w:val="fr-FR"/>
              </w:rPr>
              <w:t> </w:t>
            </w:r>
            <w:r w:rsidRPr="00343CE7">
              <w:rPr>
                <w:rFonts w:eastAsia="Times New Roman"/>
                <w:i/>
                <w:iCs/>
                <w:kern w:val="22"/>
                <w:szCs w:val="24"/>
                <w:lang w:val="fr-FR"/>
              </w:rPr>
              <w:t>2 concerne le renforcement des capacités des Parties à mettre en œuvre le Protocole de Nagoya au niveau national grâce à l’élaboration, la mise en œuvre, la révision et l’application de cadres stratégiques nationaux et de mesures législatives, administratives ou de politique générale. Les résultats attendus portent sur les mesures, les dispositions institutionnelles, les procédures, les systèmes d’autorisation, les points de contrôle et le centre d’échange sur l’accès et le partage des avantages.</w:t>
            </w:r>
          </w:p>
        </w:tc>
      </w:tr>
      <w:tr w:rsidR="00343CE7" w:rsidRPr="00343CE7" w14:paraId="2C2561E8" w14:textId="77777777" w:rsidTr="00621B49">
        <w:trPr>
          <w:jc w:val="center"/>
        </w:trPr>
        <w:tc>
          <w:tcPr>
            <w:tcW w:w="3260" w:type="dxa"/>
          </w:tcPr>
          <w:p w14:paraId="41772875" w14:textId="77777777" w:rsidR="00343CE7" w:rsidRPr="00343CE7" w:rsidRDefault="00343CE7" w:rsidP="00343CE7">
            <w:pPr>
              <w:tabs>
                <w:tab w:val="clear" w:pos="567"/>
                <w:tab w:val="clear" w:pos="1134"/>
                <w:tab w:val="clear" w:pos="1701"/>
                <w:tab w:val="clear" w:pos="2268"/>
              </w:tabs>
              <w:rPr>
                <w:rFonts w:eastAsia="Times New Roman"/>
                <w:b/>
                <w:bCs/>
                <w:kern w:val="22"/>
                <w:lang w:val="fr-FR"/>
              </w:rPr>
            </w:pPr>
            <w:r w:rsidRPr="00343CE7">
              <w:rPr>
                <w:rFonts w:eastAsia="Times New Roman"/>
                <w:b/>
                <w:bCs/>
                <w:kern w:val="22"/>
                <w:lang w:val="fr-FR"/>
              </w:rPr>
              <w:t>Réalisations</w:t>
            </w:r>
          </w:p>
        </w:tc>
        <w:tc>
          <w:tcPr>
            <w:tcW w:w="10065" w:type="dxa"/>
          </w:tcPr>
          <w:p w14:paraId="1357D8D0" w14:textId="77777777" w:rsidR="00343CE7" w:rsidRPr="00343CE7" w:rsidRDefault="00343CE7" w:rsidP="00343CE7">
            <w:pPr>
              <w:tabs>
                <w:tab w:val="clear" w:pos="567"/>
                <w:tab w:val="clear" w:pos="1134"/>
                <w:tab w:val="clear" w:pos="1701"/>
                <w:tab w:val="clear" w:pos="2268"/>
              </w:tabs>
              <w:rPr>
                <w:rFonts w:eastAsia="Times New Roman"/>
                <w:b/>
                <w:bCs/>
                <w:kern w:val="22"/>
                <w:lang w:val="fr-FR"/>
              </w:rPr>
            </w:pPr>
            <w:r w:rsidRPr="00343CE7">
              <w:rPr>
                <w:rFonts w:eastAsia="Times New Roman"/>
                <w:b/>
                <w:bCs/>
                <w:kern w:val="22"/>
                <w:lang w:val="fr-FR"/>
              </w:rPr>
              <w:t>Activités indicatives de création et renforcement des capacités</w:t>
            </w:r>
          </w:p>
        </w:tc>
      </w:tr>
      <w:tr w:rsidR="00343CE7" w:rsidRPr="00343CE7" w14:paraId="39237E9F" w14:textId="77777777" w:rsidTr="00621B49">
        <w:trPr>
          <w:jc w:val="center"/>
        </w:trPr>
        <w:tc>
          <w:tcPr>
            <w:tcW w:w="3260" w:type="dxa"/>
          </w:tcPr>
          <w:p w14:paraId="3129B98E" w14:textId="77777777" w:rsidR="00343CE7" w:rsidRPr="00343CE7" w:rsidRDefault="00343CE7" w:rsidP="00343CE7">
            <w:pPr>
              <w:tabs>
                <w:tab w:val="clear" w:pos="567"/>
                <w:tab w:val="clear" w:pos="1134"/>
                <w:tab w:val="clear" w:pos="1701"/>
                <w:tab w:val="clear" w:pos="2268"/>
                <w:tab w:val="left" w:pos="449"/>
              </w:tabs>
              <w:jc w:val="left"/>
              <w:rPr>
                <w:rFonts w:eastAsia="Times New Roman"/>
                <w:kern w:val="22"/>
                <w:lang w:val="fr-FR"/>
              </w:rPr>
            </w:pPr>
            <w:r w:rsidRPr="00343CE7">
              <w:rPr>
                <w:rFonts w:eastAsia="Times New Roman"/>
                <w:color w:val="000000"/>
                <w:shd w:val="clear" w:color="auto" w:fill="FFFFFF"/>
                <w:lang w:val="fr-FR"/>
              </w:rPr>
              <w:t xml:space="preserve">2.1. Un cadre politique national sur l’accès et le partage des avantages est établi et a été publié dans le centre d’échange sur </w:t>
            </w:r>
            <w:r w:rsidRPr="00343CE7">
              <w:rPr>
                <w:rFonts w:eastAsia="Times New Roman"/>
                <w:color w:val="000000"/>
                <w:shd w:val="clear" w:color="auto" w:fill="FFFFFF"/>
                <w:lang w:val="fr-FR"/>
              </w:rPr>
              <w:lastRenderedPageBreak/>
              <w:t>l’accès et le partage des avantages.</w:t>
            </w:r>
          </w:p>
        </w:tc>
        <w:tc>
          <w:tcPr>
            <w:tcW w:w="10065" w:type="dxa"/>
          </w:tcPr>
          <w:p w14:paraId="28C03FE0" w14:textId="4BFA8B0C" w:rsidR="00343CE7" w:rsidRPr="00343CE7" w:rsidRDefault="00343CE7" w:rsidP="00343CE7">
            <w:pPr>
              <w:numPr>
                <w:ilvl w:val="2"/>
                <w:numId w:val="15"/>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lastRenderedPageBreak/>
              <w:t>Appuyer l’élaboration de cibles et de plans nationaux pour atteindre la cible 13 et l’objectif C du Cadre, notamment grâce au processus de révision des stratégies et plans d’action nationaux pour la biodiversité</w:t>
            </w:r>
            <w:r w:rsidR="00EE54EF">
              <w:rPr>
                <w:rFonts w:eastAsia="Times New Roman"/>
                <w:kern w:val="22"/>
                <w:lang w:val="fr-FR"/>
              </w:rPr>
              <w:t> </w:t>
            </w:r>
            <w:r w:rsidRPr="00343CE7">
              <w:rPr>
                <w:rFonts w:eastAsia="Times New Roman"/>
                <w:kern w:val="22"/>
                <w:lang w:val="fr-FR"/>
              </w:rPr>
              <w:t>;</w:t>
            </w:r>
          </w:p>
          <w:p w14:paraId="725F2C32" w14:textId="74B0E10C" w:rsidR="00343CE7" w:rsidRPr="00343CE7" w:rsidRDefault="00343CE7" w:rsidP="00343CE7">
            <w:pPr>
              <w:numPr>
                <w:ilvl w:val="2"/>
                <w:numId w:val="15"/>
              </w:numPr>
              <w:tabs>
                <w:tab w:val="clear" w:pos="567"/>
                <w:tab w:val="clear" w:pos="1134"/>
                <w:tab w:val="clear" w:pos="1701"/>
                <w:tab w:val="clear" w:pos="2268"/>
              </w:tabs>
              <w:jc w:val="left"/>
              <w:rPr>
                <w:rFonts w:eastAsia="Times New Roman"/>
                <w:szCs w:val="24"/>
                <w:lang w:val="fr-FR"/>
              </w:rPr>
            </w:pPr>
            <w:r w:rsidRPr="00343CE7">
              <w:rPr>
                <w:rFonts w:eastAsia="Times New Roman"/>
                <w:kern w:val="22"/>
                <w:szCs w:val="24"/>
                <w:lang w:val="fr-FR"/>
              </w:rPr>
              <w:t>Examiner les cadres politiques existants relatifs à l’accès et au partage des avantages en vue de garantir la cohérence, la clarté juridique et l’appui mutuel</w:t>
            </w:r>
            <w:r w:rsidR="00EE54EF">
              <w:rPr>
                <w:rFonts w:eastAsia="Times New Roman"/>
                <w:kern w:val="22"/>
                <w:szCs w:val="24"/>
                <w:lang w:val="fr-FR"/>
              </w:rPr>
              <w:t> </w:t>
            </w:r>
            <w:r w:rsidRPr="00343CE7">
              <w:rPr>
                <w:rFonts w:eastAsia="Times New Roman"/>
                <w:kern w:val="22"/>
                <w:lang w:val="fr-FR"/>
              </w:rPr>
              <w:t>;</w:t>
            </w:r>
          </w:p>
          <w:p w14:paraId="482F605E" w14:textId="31C0396A" w:rsidR="00343CE7" w:rsidRPr="00343CE7" w:rsidRDefault="00343CE7" w:rsidP="00343CE7">
            <w:pPr>
              <w:numPr>
                <w:ilvl w:val="2"/>
                <w:numId w:val="15"/>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lastRenderedPageBreak/>
              <w:t>Fournir des conseils, une formation ou une assistance technique pour l’élaboration ou la révision d’un cadre stratégique en matière d’accès et de partage des avantages</w:t>
            </w:r>
            <w:r w:rsidR="00EE54EF">
              <w:rPr>
                <w:rFonts w:eastAsia="Times New Roman"/>
                <w:kern w:val="22"/>
                <w:lang w:val="fr-FR"/>
              </w:rPr>
              <w:t> </w:t>
            </w:r>
            <w:r w:rsidRPr="00343CE7">
              <w:rPr>
                <w:rFonts w:eastAsia="Times New Roman"/>
                <w:kern w:val="22"/>
                <w:lang w:val="fr-FR"/>
              </w:rPr>
              <w:t>;</w:t>
            </w:r>
          </w:p>
          <w:p w14:paraId="5C90C6B2" w14:textId="7777777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d)</w:t>
            </w:r>
            <w:r w:rsidRPr="00343CE7">
              <w:rPr>
                <w:rFonts w:eastAsia="Times New Roman"/>
                <w:kern w:val="22"/>
                <w:lang w:val="fr-FR"/>
              </w:rPr>
              <w:tab/>
              <w:t>Élaborer, diffuser et promouvoir l’utilisation d’outils (par exemple, des lignes directrices et des études de cas) pour faciliter l’intégration des considérations relatives à l’accès et au partage des avantages dans les politiques et les plans sectoriels et intersectoriels, tout en tenant compte des instruments internationaux applicables relatifs à l’accès et au partage des avantages.</w:t>
            </w:r>
          </w:p>
        </w:tc>
      </w:tr>
      <w:tr w:rsidR="00343CE7" w:rsidRPr="00343CE7" w14:paraId="6B5BB4BE" w14:textId="77777777" w:rsidTr="00621B49">
        <w:trPr>
          <w:jc w:val="center"/>
        </w:trPr>
        <w:tc>
          <w:tcPr>
            <w:tcW w:w="3260" w:type="dxa"/>
          </w:tcPr>
          <w:p w14:paraId="21BD5914"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color w:val="000000"/>
                <w:shd w:val="clear" w:color="auto" w:fill="FFFFFF"/>
                <w:lang w:val="fr-FR"/>
              </w:rPr>
              <w:lastRenderedPageBreak/>
              <w:t>2.2. Des mesures législatives, administratives ou de politique générale sur l’accès et le partage des avantages sont mises en place et sont publiées dans le centre d’échange d’informations sur l’accès et le partage des avantages.</w:t>
            </w:r>
          </w:p>
        </w:tc>
        <w:tc>
          <w:tcPr>
            <w:tcW w:w="10065" w:type="dxa"/>
          </w:tcPr>
          <w:p w14:paraId="780F1A65" w14:textId="36E1F29F" w:rsidR="00343CE7" w:rsidRPr="00343CE7" w:rsidRDefault="00343CE7" w:rsidP="00343CE7">
            <w:pPr>
              <w:numPr>
                <w:ilvl w:val="2"/>
                <w:numId w:val="16"/>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Établir le bilan et appuyer l’efficacité, l’efficience et l’exhaustivité des mesures législatives, administratives ou politiques existantes en matière d’accès et de partage des avantages par rapport aux dispositions du Protocole et appuyer l’évaluation de ces mesures, en tenant compte du fait que les instruments internationaux pertinents en matière d’accès et de partage des avantages se renforcent mutuellement, en consultation avec les peuples autochtones, les communautés locales et les parties prenantes concernées, le cas échéant</w:t>
            </w:r>
            <w:r w:rsidR="00EE54EF">
              <w:rPr>
                <w:rFonts w:eastAsia="Times New Roman"/>
                <w:kern w:val="22"/>
                <w:lang w:val="fr-FR"/>
              </w:rPr>
              <w:t> </w:t>
            </w:r>
            <w:r w:rsidRPr="00343CE7">
              <w:rPr>
                <w:rFonts w:eastAsia="Times New Roman"/>
                <w:kern w:val="22"/>
                <w:lang w:val="fr-FR"/>
              </w:rPr>
              <w:t>;</w:t>
            </w:r>
          </w:p>
          <w:p w14:paraId="7674957D" w14:textId="5BD73BE7" w:rsidR="00343CE7" w:rsidRPr="00343CE7" w:rsidRDefault="00343CE7" w:rsidP="00343CE7">
            <w:pPr>
              <w:numPr>
                <w:ilvl w:val="2"/>
                <w:numId w:val="16"/>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conseils, une formation ou une assistance technique et juridique pour l’examen, la mise à jour ou l’élaboration de mesures nationales, en tenant compte des lacunes identifiées, y compris la possibilité d’établir des mesures provisoires</w:t>
            </w:r>
            <w:r w:rsidR="00EE54EF">
              <w:rPr>
                <w:rFonts w:eastAsia="Times New Roman"/>
                <w:kern w:val="22"/>
                <w:lang w:val="fr-FR"/>
              </w:rPr>
              <w:t> </w:t>
            </w:r>
            <w:r w:rsidRPr="00343CE7">
              <w:rPr>
                <w:rFonts w:eastAsia="Times New Roman"/>
                <w:kern w:val="22"/>
                <w:lang w:val="fr-FR"/>
              </w:rPr>
              <w:t>;</w:t>
            </w:r>
          </w:p>
          <w:p w14:paraId="7197E5E7" w14:textId="05C7844C" w:rsidR="00343CE7" w:rsidRPr="00343CE7" w:rsidRDefault="00343CE7" w:rsidP="00343CE7">
            <w:pPr>
              <w:numPr>
                <w:ilvl w:val="2"/>
                <w:numId w:val="16"/>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szCs w:val="24"/>
                <w:lang w:val="fr-FR"/>
              </w:rPr>
              <w:t>Fournir des orientations, une formation ou une assistance technique pour établir et mettre en œuvre des mesures liées au respect de la législation nationale ou des exigences réglementaires (articles</w:t>
            </w:r>
            <w:r w:rsidR="00EE54EF">
              <w:rPr>
                <w:rFonts w:eastAsia="Times New Roman"/>
                <w:kern w:val="22"/>
                <w:szCs w:val="24"/>
                <w:lang w:val="fr-FR"/>
              </w:rPr>
              <w:t> </w:t>
            </w:r>
            <w:r w:rsidRPr="00343CE7">
              <w:rPr>
                <w:rFonts w:eastAsia="Times New Roman"/>
                <w:kern w:val="22"/>
                <w:szCs w:val="24"/>
                <w:lang w:val="fr-FR"/>
              </w:rPr>
              <w:t>15 et 16), à la surveillance de l’utilisation des ressources génétiques (article</w:t>
            </w:r>
            <w:r w:rsidR="00EE54EF">
              <w:rPr>
                <w:rFonts w:eastAsia="Times New Roman"/>
                <w:kern w:val="22"/>
                <w:szCs w:val="24"/>
                <w:lang w:val="fr-FR"/>
              </w:rPr>
              <w:t> </w:t>
            </w:r>
            <w:r w:rsidRPr="00343CE7">
              <w:rPr>
                <w:rFonts w:eastAsia="Times New Roman"/>
                <w:kern w:val="22"/>
                <w:szCs w:val="24"/>
                <w:lang w:val="fr-FR"/>
              </w:rPr>
              <w:t>17), aux peuples autochtones et aux communautés locales (articles</w:t>
            </w:r>
            <w:r w:rsidR="00EE54EF">
              <w:rPr>
                <w:rFonts w:eastAsia="Times New Roman"/>
                <w:kern w:val="22"/>
                <w:szCs w:val="24"/>
                <w:lang w:val="fr-FR"/>
              </w:rPr>
              <w:t> </w:t>
            </w:r>
            <w:r w:rsidRPr="00343CE7">
              <w:rPr>
                <w:rFonts w:eastAsia="Times New Roman"/>
                <w:kern w:val="22"/>
                <w:szCs w:val="24"/>
                <w:lang w:val="fr-FR"/>
              </w:rPr>
              <w:t>5, 6, 7 et 12) et à des considérations particulières (article</w:t>
            </w:r>
            <w:r w:rsidR="00EE54EF">
              <w:rPr>
                <w:rFonts w:eastAsia="Times New Roman"/>
                <w:kern w:val="22"/>
                <w:szCs w:val="24"/>
                <w:lang w:val="fr-FR"/>
              </w:rPr>
              <w:t> </w:t>
            </w:r>
            <w:r w:rsidRPr="00343CE7">
              <w:rPr>
                <w:rFonts w:eastAsia="Times New Roman"/>
                <w:kern w:val="22"/>
                <w:szCs w:val="24"/>
                <w:lang w:val="fr-FR"/>
              </w:rPr>
              <w:t>8).</w:t>
            </w:r>
            <w:r w:rsidRPr="00343CE7">
              <w:rPr>
                <w:rFonts w:eastAsia="Times New Roman"/>
                <w:kern w:val="22"/>
                <w:szCs w:val="24"/>
                <w:vertAlign w:val="superscript"/>
                <w:lang w:val="fr-FR"/>
              </w:rPr>
              <w:footnoteReference w:id="35"/>
            </w:r>
          </w:p>
        </w:tc>
      </w:tr>
      <w:tr w:rsidR="00343CE7" w:rsidRPr="00343CE7" w14:paraId="7E3A29F5" w14:textId="77777777" w:rsidTr="00621B49">
        <w:trPr>
          <w:jc w:val="center"/>
        </w:trPr>
        <w:tc>
          <w:tcPr>
            <w:tcW w:w="3260" w:type="dxa"/>
          </w:tcPr>
          <w:p w14:paraId="3831D788" w14:textId="77777777" w:rsidR="00343CE7" w:rsidRPr="00343CE7" w:rsidRDefault="00343CE7" w:rsidP="00343CE7">
            <w:pPr>
              <w:tabs>
                <w:tab w:val="clear" w:pos="567"/>
                <w:tab w:val="clear" w:pos="1134"/>
                <w:tab w:val="clear" w:pos="1701"/>
                <w:tab w:val="clear" w:pos="2268"/>
              </w:tabs>
              <w:jc w:val="left"/>
              <w:rPr>
                <w:rFonts w:eastAsia="Times New Roman"/>
                <w:shd w:val="clear" w:color="auto" w:fill="FFFFFF"/>
                <w:lang w:val="fr-FR"/>
              </w:rPr>
            </w:pPr>
            <w:r w:rsidRPr="00343CE7">
              <w:rPr>
                <w:rFonts w:eastAsia="Times New Roman"/>
                <w:color w:val="000000"/>
                <w:shd w:val="clear" w:color="auto" w:fill="FFFFFF"/>
                <w:lang w:val="fr-FR"/>
              </w:rPr>
              <w:t>2.3. La mise en œuvre des obligations des Parties relatives aux peuples autochtones et aux communautés locales est renforcée</w:t>
            </w:r>
          </w:p>
        </w:tc>
        <w:tc>
          <w:tcPr>
            <w:tcW w:w="10065" w:type="dxa"/>
          </w:tcPr>
          <w:p w14:paraId="6B2655A5" w14:textId="77777777" w:rsidR="00343CE7" w:rsidRPr="00343CE7" w:rsidRDefault="00343CE7" w:rsidP="00343CE7">
            <w:pPr>
              <w:numPr>
                <w:ilvl w:val="2"/>
                <w:numId w:val="30"/>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szCs w:val="24"/>
                <w:lang w:val="fr-FR"/>
              </w:rPr>
              <w:t>Établir le bilan et analyser comment le concept de peuples autochtones et de communautés locales s’applique aux niveaux national et infranational, en précisant les droits des peuples autochtones et des communautés locales sur les ressources génétiques et/ou les connaissances traditionnelles associées aux ressources génétiques, en identifiant les différents groupes de peuples autochtones et de communautés locales, en comprenant comment ils sont organisés et en établissant un lien entre les connaissances traditionnelles et le(s) détenteur(s) de ces connaissances ;</w:t>
            </w:r>
            <w:r w:rsidRPr="00343CE7">
              <w:rPr>
                <w:rFonts w:eastAsia="Times New Roman"/>
                <w:szCs w:val="24"/>
                <w:vertAlign w:val="superscript"/>
                <w:lang w:val="fr-FR"/>
              </w:rPr>
              <w:footnoteReference w:id="36"/>
            </w:r>
            <w:r w:rsidRPr="00343CE7">
              <w:rPr>
                <w:rFonts w:eastAsia="Times New Roman"/>
                <w:kern w:val="22"/>
                <w:szCs w:val="24"/>
                <w:vertAlign w:val="superscript"/>
                <w:lang w:val="fr-FR"/>
              </w:rPr>
              <w:t xml:space="preserve"> </w:t>
            </w:r>
          </w:p>
          <w:p w14:paraId="38B08198" w14:textId="126166D4" w:rsidR="00343CE7" w:rsidRPr="00343CE7" w:rsidRDefault="00343CE7" w:rsidP="00343CE7">
            <w:pPr>
              <w:numPr>
                <w:ilvl w:val="2"/>
                <w:numId w:val="30"/>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orientations, une formation ou une assistance technique adaptées à la culture pour la mise en œuvre des dispositions du Protocole relatives aux peuples autochtones et aux communautés locales</w:t>
            </w:r>
            <w:r w:rsidR="00EE54EF">
              <w:rPr>
                <w:rFonts w:eastAsia="Times New Roman"/>
                <w:kern w:val="22"/>
                <w:lang w:val="fr-FR"/>
              </w:rPr>
              <w:t> </w:t>
            </w:r>
            <w:r w:rsidRPr="00343CE7">
              <w:rPr>
                <w:rFonts w:eastAsia="Times New Roman"/>
                <w:kern w:val="22"/>
                <w:lang w:val="fr-FR"/>
              </w:rPr>
              <w:t>;</w:t>
            </w:r>
          </w:p>
          <w:p w14:paraId="6668785C" w14:textId="77777777" w:rsidR="00343CE7" w:rsidRPr="00343CE7" w:rsidRDefault="00343CE7" w:rsidP="00343CE7">
            <w:pPr>
              <w:numPr>
                <w:ilvl w:val="2"/>
                <w:numId w:val="30"/>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lang w:val="fr-FR"/>
              </w:rPr>
              <w:t>Fournir un appui et des orientations concernant la prise en compte des protocoles, des procédures et du droit coutumier des communautés dans la mise en œuvre et/ou les mesures nationales et infranationales relatives à l’accès et au partage des avantages ;</w:t>
            </w:r>
          </w:p>
          <w:p w14:paraId="50DE60F3" w14:textId="77777777" w:rsidR="00343CE7" w:rsidRPr="00343CE7" w:rsidRDefault="00343CE7" w:rsidP="00343CE7">
            <w:pPr>
              <w:numPr>
                <w:ilvl w:val="2"/>
                <w:numId w:val="30"/>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bCs/>
                <w:szCs w:val="24"/>
                <w:lang w:val="fr-FR"/>
              </w:rPr>
              <w:t xml:space="preserve">Fournir des orientations, une formation ou une assistance technique et juridique sur les droits des peuples autochtones et des communautés locales, et la manière dont ils sont liés à l’accès et au partage des avantages, en tenant compte des normes internationales relatives à la participation pleine et effective. </w:t>
            </w:r>
          </w:p>
        </w:tc>
      </w:tr>
      <w:tr w:rsidR="00343CE7" w:rsidRPr="00343CE7" w14:paraId="683F7603" w14:textId="77777777" w:rsidTr="00621B49">
        <w:trPr>
          <w:jc w:val="center"/>
        </w:trPr>
        <w:tc>
          <w:tcPr>
            <w:tcW w:w="3260" w:type="dxa"/>
          </w:tcPr>
          <w:p w14:paraId="18689A7C" w14:textId="77777777" w:rsidR="00343CE7" w:rsidRPr="00343CE7" w:rsidRDefault="00343CE7" w:rsidP="00343CE7">
            <w:pPr>
              <w:tabs>
                <w:tab w:val="clear" w:pos="567"/>
                <w:tab w:val="clear" w:pos="1134"/>
                <w:tab w:val="clear" w:pos="1701"/>
                <w:tab w:val="clear" w:pos="2268"/>
                <w:tab w:val="left" w:pos="449"/>
              </w:tabs>
              <w:ind w:left="24"/>
              <w:jc w:val="left"/>
              <w:rPr>
                <w:rFonts w:eastAsia="Times New Roman"/>
                <w:kern w:val="22"/>
                <w:lang w:val="fr-FR"/>
              </w:rPr>
            </w:pPr>
            <w:r w:rsidRPr="00343CE7">
              <w:rPr>
                <w:rFonts w:eastAsia="Times New Roman"/>
                <w:kern w:val="22"/>
                <w:lang w:val="fr-FR"/>
              </w:rPr>
              <w:t xml:space="preserve">2.4. Les dispositions institutionnelles sont établies et opérationnelles et publiées dans le </w:t>
            </w:r>
            <w:r w:rsidRPr="00343CE7">
              <w:rPr>
                <w:rFonts w:eastAsia="Times New Roman"/>
                <w:kern w:val="22"/>
                <w:lang w:val="fr-FR"/>
              </w:rPr>
              <w:lastRenderedPageBreak/>
              <w:t>centre d’échange sur l’accès et le partage des avantages.</w:t>
            </w:r>
          </w:p>
        </w:tc>
        <w:tc>
          <w:tcPr>
            <w:tcW w:w="10065" w:type="dxa"/>
          </w:tcPr>
          <w:p w14:paraId="7FFB51E6" w14:textId="04E42131" w:rsidR="00343CE7" w:rsidRPr="00343CE7" w:rsidRDefault="00343CE7" w:rsidP="00343CE7">
            <w:pPr>
              <w:numPr>
                <w:ilvl w:val="2"/>
                <w:numId w:val="17"/>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lastRenderedPageBreak/>
              <w:t xml:space="preserve">Fournir des orientations, une formation ou une assistance technique en vue de désigner les rôles et responsabilités pertinents pour remplir les fonctions de correspondant national chargé de l’accès et du </w:t>
            </w:r>
            <w:r w:rsidRPr="00343CE7">
              <w:rPr>
                <w:rFonts w:eastAsia="Times New Roman"/>
                <w:kern w:val="22"/>
                <w:lang w:val="fr-FR"/>
              </w:rPr>
              <w:lastRenderedPageBreak/>
              <w:t>partage des avantages, d’autorité nationale compétente, de point de contrôle et d’autorité de publication dans le centre d’échange sur l’accès et le partage des avantages</w:t>
            </w:r>
            <w:r w:rsidR="00EE54EF">
              <w:rPr>
                <w:rFonts w:eastAsia="Times New Roman"/>
                <w:kern w:val="22"/>
                <w:lang w:val="fr-FR"/>
              </w:rPr>
              <w:t> </w:t>
            </w:r>
            <w:r w:rsidRPr="00343CE7">
              <w:rPr>
                <w:rFonts w:eastAsia="Times New Roman"/>
                <w:kern w:val="22"/>
                <w:lang w:val="fr-FR"/>
              </w:rPr>
              <w:t>;</w:t>
            </w:r>
          </w:p>
          <w:p w14:paraId="6781D000" w14:textId="4C2EEC77" w:rsidR="00343CE7" w:rsidRPr="00343CE7" w:rsidRDefault="00343CE7" w:rsidP="00343CE7">
            <w:pPr>
              <w:numPr>
                <w:ilvl w:val="2"/>
                <w:numId w:val="17"/>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la mise en place d’une ou de plusieurs unités pour assurer le fonctionnement du système national d’accès et de partage des avantages</w:t>
            </w:r>
            <w:r w:rsidR="00EE54EF">
              <w:rPr>
                <w:rFonts w:eastAsia="Times New Roman"/>
                <w:kern w:val="22"/>
                <w:lang w:val="fr-FR"/>
              </w:rPr>
              <w:t> </w:t>
            </w:r>
            <w:r w:rsidRPr="00343CE7">
              <w:rPr>
                <w:rFonts w:eastAsia="Times New Roman"/>
                <w:kern w:val="22"/>
                <w:lang w:val="fr-FR"/>
              </w:rPr>
              <w:t xml:space="preserve">; </w:t>
            </w:r>
          </w:p>
          <w:p w14:paraId="7A157C1E" w14:textId="0ED78578" w:rsidR="00343CE7" w:rsidRPr="00343CE7" w:rsidRDefault="00343CE7" w:rsidP="00343CE7">
            <w:pPr>
              <w:numPr>
                <w:ilvl w:val="2"/>
                <w:numId w:val="17"/>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conseils, une formation ou une assistance technique au personnel concerné et planifier la manière de conserver et de transférer les connaissances institutionnelles</w:t>
            </w:r>
            <w:r w:rsidR="00EE54EF">
              <w:rPr>
                <w:rFonts w:eastAsia="Times New Roman"/>
                <w:kern w:val="22"/>
                <w:lang w:val="fr-FR"/>
              </w:rPr>
              <w:t> </w:t>
            </w:r>
            <w:r w:rsidRPr="00343CE7">
              <w:rPr>
                <w:rFonts w:eastAsia="Times New Roman"/>
                <w:kern w:val="22"/>
                <w:lang w:val="fr-FR"/>
              </w:rPr>
              <w:t>;</w:t>
            </w:r>
          </w:p>
          <w:p w14:paraId="25478F39" w14:textId="77777777" w:rsidR="00343CE7" w:rsidRPr="00343CE7" w:rsidRDefault="00343CE7" w:rsidP="00343CE7">
            <w:pPr>
              <w:numPr>
                <w:ilvl w:val="2"/>
                <w:numId w:val="17"/>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Faciliter la mise en place et le renforcement des dispositions institutionnelles et des mécanismes de coordination pour le fonctionnement du système d’accès et de partage des avantages.</w:t>
            </w:r>
          </w:p>
          <w:p w14:paraId="454E4F27" w14:textId="7777777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p>
        </w:tc>
      </w:tr>
      <w:tr w:rsidR="00343CE7" w:rsidRPr="00343CE7" w14:paraId="4A43439E" w14:textId="77777777" w:rsidTr="00621B49">
        <w:trPr>
          <w:jc w:val="center"/>
        </w:trPr>
        <w:tc>
          <w:tcPr>
            <w:tcW w:w="3260" w:type="dxa"/>
          </w:tcPr>
          <w:p w14:paraId="659F520A" w14:textId="77777777" w:rsidR="00343CE7" w:rsidRPr="00343CE7" w:rsidRDefault="00343CE7" w:rsidP="00343CE7">
            <w:pPr>
              <w:tabs>
                <w:tab w:val="clear" w:pos="567"/>
                <w:tab w:val="clear" w:pos="1134"/>
                <w:tab w:val="clear" w:pos="1701"/>
                <w:tab w:val="clear" w:pos="2268"/>
                <w:tab w:val="left" w:pos="449"/>
              </w:tabs>
              <w:ind w:left="24"/>
              <w:contextualSpacing/>
              <w:jc w:val="left"/>
              <w:rPr>
                <w:rFonts w:eastAsia="Times New Roman"/>
                <w:kern w:val="22"/>
                <w:lang w:val="fr-FR"/>
              </w:rPr>
            </w:pPr>
            <w:r w:rsidRPr="00343CE7">
              <w:rPr>
                <w:rFonts w:eastAsia="Times New Roman"/>
                <w:kern w:val="22"/>
                <w:lang w:val="fr-FR"/>
              </w:rPr>
              <w:lastRenderedPageBreak/>
              <w:t>2.5. Les procédures d’accès et de partage des avantages sont opérationnelles et publiées dans le centre d’échange sur l’accès et le partage des avantages.</w:t>
            </w:r>
          </w:p>
        </w:tc>
        <w:tc>
          <w:tcPr>
            <w:tcW w:w="10065" w:type="dxa"/>
          </w:tcPr>
          <w:p w14:paraId="2C1B3AA0" w14:textId="04357198" w:rsidR="00343CE7" w:rsidRPr="00343CE7" w:rsidRDefault="00343CE7" w:rsidP="00343CE7">
            <w:pPr>
              <w:numPr>
                <w:ilvl w:val="2"/>
                <w:numId w:val="18"/>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szCs w:val="24"/>
                <w:lang w:val="fr-FR"/>
              </w:rPr>
              <w:t>Appuyer le développement ou l’amélioration des procédures (renforcer la clarté et la transparence pour les utilisateurs), notamment grâce à des consultations multipartites (par exemple, avec les milieux d’affaires et de la recherche) et veiller à ce que les procédures se renforcent mutuellement par rapport à d’autres accords internationaux, en tenant compte des considérations particulières énoncées à l’article</w:t>
            </w:r>
            <w:r w:rsidR="00EE54EF">
              <w:rPr>
                <w:rFonts w:eastAsia="Times New Roman"/>
                <w:kern w:val="22"/>
                <w:szCs w:val="24"/>
                <w:lang w:val="fr-FR"/>
              </w:rPr>
              <w:t> </w:t>
            </w:r>
            <w:r w:rsidRPr="00343CE7">
              <w:rPr>
                <w:rFonts w:eastAsia="Times New Roman"/>
                <w:kern w:val="22"/>
                <w:szCs w:val="24"/>
                <w:lang w:val="fr-FR"/>
              </w:rPr>
              <w:t>8</w:t>
            </w:r>
            <w:r w:rsidR="00EE54EF">
              <w:rPr>
                <w:rFonts w:eastAsia="Times New Roman"/>
                <w:kern w:val="22"/>
                <w:szCs w:val="24"/>
                <w:lang w:val="fr-FR"/>
              </w:rPr>
              <w:t> </w:t>
            </w:r>
            <w:r w:rsidRPr="00343CE7">
              <w:rPr>
                <w:rFonts w:eastAsia="Times New Roman"/>
                <w:kern w:val="22"/>
                <w:lang w:val="fr-FR"/>
              </w:rPr>
              <w:t>;</w:t>
            </w:r>
          </w:p>
          <w:p w14:paraId="2BA4E2AB" w14:textId="49CC28E4" w:rsidR="00343CE7" w:rsidRPr="00343CE7" w:rsidRDefault="00343CE7" w:rsidP="00343CE7">
            <w:pPr>
              <w:numPr>
                <w:ilvl w:val="2"/>
                <w:numId w:val="18"/>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le développement ou l’amélioration des systèmes d’information sur l’accès et le partage des avantages, tels que les systèmes de permis, y compris par le partage d’informations sur les bonnes pratiques et les solutions en matière de technologies de l’information</w:t>
            </w:r>
            <w:r w:rsidR="00EE54EF">
              <w:rPr>
                <w:rFonts w:eastAsia="Times New Roman"/>
                <w:kern w:val="22"/>
                <w:lang w:val="fr-FR"/>
              </w:rPr>
              <w:t> </w:t>
            </w:r>
            <w:r w:rsidRPr="00343CE7">
              <w:rPr>
                <w:rFonts w:eastAsia="Times New Roman"/>
                <w:kern w:val="22"/>
                <w:lang w:val="fr-FR"/>
              </w:rPr>
              <w:t>;</w:t>
            </w:r>
          </w:p>
          <w:p w14:paraId="6F988C17" w14:textId="77777777" w:rsidR="00343CE7" w:rsidRPr="00343CE7" w:rsidRDefault="00343CE7" w:rsidP="00343CE7">
            <w:pPr>
              <w:numPr>
                <w:ilvl w:val="2"/>
                <w:numId w:val="18"/>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Former le personnel à l’application des procédures et à la manière de répondre aux demandes des utilisateurs.</w:t>
            </w:r>
          </w:p>
        </w:tc>
      </w:tr>
      <w:tr w:rsidR="00343CE7" w:rsidRPr="00343CE7" w14:paraId="77159090" w14:textId="77777777" w:rsidTr="00621B49">
        <w:trPr>
          <w:jc w:val="center"/>
        </w:trPr>
        <w:tc>
          <w:tcPr>
            <w:tcW w:w="3260" w:type="dxa"/>
          </w:tcPr>
          <w:p w14:paraId="1185E895" w14:textId="77777777" w:rsidR="00343CE7" w:rsidRPr="00343CE7" w:rsidRDefault="00343CE7" w:rsidP="00343CE7">
            <w:pPr>
              <w:tabs>
                <w:tab w:val="clear" w:pos="567"/>
                <w:tab w:val="clear" w:pos="1134"/>
                <w:tab w:val="clear" w:pos="1701"/>
                <w:tab w:val="clear" w:pos="2268"/>
                <w:tab w:val="left" w:pos="449"/>
              </w:tabs>
              <w:ind w:left="24"/>
              <w:contextualSpacing/>
              <w:jc w:val="left"/>
              <w:rPr>
                <w:rFonts w:eastAsia="Times New Roman"/>
                <w:kern w:val="22"/>
                <w:lang w:val="fr-FR"/>
              </w:rPr>
            </w:pPr>
            <w:r w:rsidRPr="00343CE7">
              <w:rPr>
                <w:rFonts w:eastAsia="Times New Roman"/>
                <w:kern w:val="22"/>
                <w:lang w:val="fr-FR"/>
              </w:rPr>
              <w:t>2.6. Des mécanismes de contrôle de l’utilisation des ressources génétiques, notamment par la mise en place de points de contrôle efficaces, sont établis.</w:t>
            </w:r>
          </w:p>
        </w:tc>
        <w:tc>
          <w:tcPr>
            <w:tcW w:w="10065" w:type="dxa"/>
          </w:tcPr>
          <w:p w14:paraId="593849FC" w14:textId="79CB8099" w:rsidR="00343CE7" w:rsidRPr="00343CE7" w:rsidRDefault="00343CE7" w:rsidP="00343CE7">
            <w:pPr>
              <w:numPr>
                <w:ilvl w:val="2"/>
                <w:numId w:val="26"/>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Appuyer la création de points de contrôle efficaces, notamment en élaborant des lignes directrices sur leur rôle et leur fonctionnement</w:t>
            </w:r>
            <w:r w:rsidR="00EE54EF">
              <w:rPr>
                <w:rFonts w:eastAsia="Times New Roman"/>
                <w:kern w:val="22"/>
                <w:lang w:val="fr-FR"/>
              </w:rPr>
              <w:t> </w:t>
            </w:r>
            <w:r w:rsidRPr="00343CE7">
              <w:rPr>
                <w:rFonts w:eastAsia="Times New Roman"/>
                <w:kern w:val="22"/>
                <w:lang w:val="fr-FR"/>
              </w:rPr>
              <w:t>;</w:t>
            </w:r>
          </w:p>
          <w:p w14:paraId="5F7B28AE" w14:textId="2ADB87B3" w:rsidR="00343CE7" w:rsidRPr="00343CE7" w:rsidRDefault="00343CE7" w:rsidP="00343CE7">
            <w:pPr>
              <w:numPr>
                <w:ilvl w:val="2"/>
                <w:numId w:val="26"/>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Mettre au point ou améliorer les systèmes nationaux de collecte d’informations auprès des usagers aux points de contrôle désignés, en utilisant les communiqués des points de contrôle</w:t>
            </w:r>
            <w:r w:rsidR="00EE54EF">
              <w:rPr>
                <w:rFonts w:eastAsia="Times New Roman"/>
                <w:kern w:val="22"/>
                <w:lang w:val="fr-FR"/>
              </w:rPr>
              <w:t> </w:t>
            </w:r>
            <w:r w:rsidRPr="00343CE7">
              <w:rPr>
                <w:rFonts w:eastAsia="Times New Roman"/>
                <w:kern w:val="22"/>
                <w:lang w:val="fr-FR"/>
              </w:rPr>
              <w:t>;</w:t>
            </w:r>
          </w:p>
          <w:p w14:paraId="12D476C7" w14:textId="4AFFD5A9" w:rsidR="00343CE7" w:rsidRPr="00343CE7" w:rsidRDefault="00343CE7" w:rsidP="00343CE7">
            <w:pPr>
              <w:numPr>
                <w:ilvl w:val="2"/>
                <w:numId w:val="26"/>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conseils, une formation ou une assistance technique au personnel chargé de la gestion des points de contrôle en ce qui concerne la collecte d’informations au moyen du communiqué du point de contrôle</w:t>
            </w:r>
            <w:r w:rsidR="00EE54EF">
              <w:rPr>
                <w:rFonts w:eastAsia="Times New Roman"/>
                <w:kern w:val="22"/>
                <w:lang w:val="fr-FR"/>
              </w:rPr>
              <w:t> </w:t>
            </w:r>
            <w:r w:rsidRPr="00343CE7">
              <w:rPr>
                <w:rFonts w:eastAsia="Times New Roman"/>
                <w:kern w:val="22"/>
                <w:lang w:val="fr-FR"/>
              </w:rPr>
              <w:t>;</w:t>
            </w:r>
          </w:p>
          <w:p w14:paraId="7BDD626B" w14:textId="77777777" w:rsidR="00343CE7" w:rsidRPr="00343CE7" w:rsidRDefault="00343CE7" w:rsidP="00343CE7">
            <w:pPr>
              <w:numPr>
                <w:ilvl w:val="2"/>
                <w:numId w:val="26"/>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szCs w:val="24"/>
                <w:lang w:val="fr-FR"/>
              </w:rPr>
              <w:t>Appuyer la mise en place de systèmes d’information et de bases de données nationales pour surveiller l’utilisation des ressources génétiques.</w:t>
            </w:r>
          </w:p>
        </w:tc>
      </w:tr>
      <w:tr w:rsidR="00343CE7" w:rsidRPr="00343CE7" w14:paraId="52B763A6" w14:textId="77777777" w:rsidTr="00621B49">
        <w:trPr>
          <w:jc w:val="center"/>
        </w:trPr>
        <w:tc>
          <w:tcPr>
            <w:tcW w:w="3260" w:type="dxa"/>
          </w:tcPr>
          <w:p w14:paraId="1157E185" w14:textId="77777777" w:rsidR="00343CE7" w:rsidRPr="00343CE7" w:rsidRDefault="00343CE7" w:rsidP="00343CE7">
            <w:pPr>
              <w:tabs>
                <w:tab w:val="clear" w:pos="567"/>
                <w:tab w:val="clear" w:pos="1134"/>
                <w:tab w:val="clear" w:pos="1701"/>
                <w:tab w:val="clear" w:pos="2268"/>
                <w:tab w:val="left" w:pos="449"/>
              </w:tabs>
              <w:ind w:left="24"/>
              <w:contextualSpacing/>
              <w:jc w:val="left"/>
              <w:rPr>
                <w:rFonts w:eastAsia="Times New Roman"/>
                <w:kern w:val="22"/>
                <w:lang w:val="fr-FR"/>
              </w:rPr>
            </w:pPr>
            <w:r w:rsidRPr="00343CE7">
              <w:rPr>
                <w:rFonts w:eastAsia="Times New Roman"/>
                <w:kern w:val="22"/>
                <w:lang w:val="fr-FR"/>
              </w:rPr>
              <w:t>2.7. Respect de la législation nationale et des exigences réglementaires en matière d’accès et de partage des avantages.</w:t>
            </w:r>
          </w:p>
        </w:tc>
        <w:tc>
          <w:tcPr>
            <w:tcW w:w="10065" w:type="dxa"/>
          </w:tcPr>
          <w:p w14:paraId="737372DF" w14:textId="51C139F5" w:rsidR="00343CE7" w:rsidRPr="00343CE7" w:rsidRDefault="00343CE7" w:rsidP="00343CE7">
            <w:pPr>
              <w:numPr>
                <w:ilvl w:val="2"/>
                <w:numId w:val="2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Appui aux activités de sensibilisation et de formation sur le respect de la législation nationale pour les utilisateurs de ressources génétiques et de connaissances traditionnelles associées</w:t>
            </w:r>
            <w:r w:rsidR="00EE54EF">
              <w:rPr>
                <w:rFonts w:eastAsia="Times New Roman"/>
                <w:kern w:val="22"/>
                <w:lang w:val="fr-FR"/>
              </w:rPr>
              <w:t> </w:t>
            </w:r>
            <w:r w:rsidRPr="00343CE7">
              <w:rPr>
                <w:rFonts w:eastAsia="Times New Roman"/>
                <w:kern w:val="22"/>
                <w:lang w:val="fr-FR"/>
              </w:rPr>
              <w:t>;</w:t>
            </w:r>
          </w:p>
          <w:p w14:paraId="2F0AC0C3" w14:textId="38CEC4D2" w:rsidR="00343CE7" w:rsidRPr="00343CE7" w:rsidRDefault="00343CE7" w:rsidP="00343CE7">
            <w:pPr>
              <w:numPr>
                <w:ilvl w:val="2"/>
                <w:numId w:val="29"/>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Appui à l’élaboration de procédures et de mesures visant à remédier au non-respect de la législation, sur la base de bonnes pratiques</w:t>
            </w:r>
            <w:r w:rsidR="00EE54EF">
              <w:rPr>
                <w:rFonts w:eastAsia="Times New Roman"/>
                <w:kern w:val="22"/>
                <w:lang w:val="fr-FR"/>
              </w:rPr>
              <w:t> </w:t>
            </w:r>
            <w:r w:rsidRPr="00343CE7">
              <w:rPr>
                <w:rFonts w:eastAsia="Times New Roman"/>
                <w:kern w:val="22"/>
                <w:lang w:val="fr-FR"/>
              </w:rPr>
              <w:t>;</w:t>
            </w:r>
          </w:p>
          <w:p w14:paraId="4A91B41C" w14:textId="77777777" w:rsidR="00343CE7" w:rsidRPr="00343CE7" w:rsidRDefault="00343CE7" w:rsidP="00343CE7">
            <w:pPr>
              <w:numPr>
                <w:ilvl w:val="2"/>
                <w:numId w:val="2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Appui à l’élaboration de mécanismes visant à renforcer la coopération entre les autorités gouvernementales de différents pays en cas de non-respect de la législation.</w:t>
            </w:r>
          </w:p>
        </w:tc>
      </w:tr>
      <w:tr w:rsidR="00343CE7" w:rsidRPr="00343CE7" w14:paraId="7A5D2642" w14:textId="77777777" w:rsidTr="00621B49">
        <w:trPr>
          <w:jc w:val="center"/>
        </w:trPr>
        <w:tc>
          <w:tcPr>
            <w:tcW w:w="3260" w:type="dxa"/>
          </w:tcPr>
          <w:p w14:paraId="6076AA19" w14:textId="77777777" w:rsidR="00343CE7" w:rsidRPr="00343CE7" w:rsidRDefault="00343CE7" w:rsidP="00343CE7">
            <w:pPr>
              <w:tabs>
                <w:tab w:val="clear" w:pos="567"/>
                <w:tab w:val="clear" w:pos="1134"/>
                <w:tab w:val="clear" w:pos="1701"/>
                <w:tab w:val="clear" w:pos="2268"/>
                <w:tab w:val="left" w:pos="449"/>
              </w:tabs>
              <w:ind w:left="24"/>
              <w:contextualSpacing/>
              <w:jc w:val="left"/>
              <w:rPr>
                <w:rFonts w:eastAsia="Times New Roman"/>
                <w:kern w:val="22"/>
                <w:lang w:val="fr-FR"/>
              </w:rPr>
            </w:pPr>
            <w:r w:rsidRPr="00343CE7">
              <w:rPr>
                <w:rFonts w:eastAsia="Times New Roman"/>
                <w:kern w:val="22"/>
                <w:lang w:val="fr-FR"/>
              </w:rPr>
              <w:t xml:space="preserve">2.8. Des informations obligatoires et pertinentes sont mises à disposition dans le centre d’échange sur l’accès et le partage des avantages </w:t>
            </w:r>
          </w:p>
        </w:tc>
        <w:tc>
          <w:tcPr>
            <w:tcW w:w="10065" w:type="dxa"/>
          </w:tcPr>
          <w:p w14:paraId="43687645" w14:textId="084FD519" w:rsidR="00343CE7" w:rsidRPr="00343CE7" w:rsidRDefault="00343CE7" w:rsidP="00343CE7">
            <w:pPr>
              <w:numPr>
                <w:ilvl w:val="0"/>
                <w:numId w:val="36"/>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Former les autorités chargées de la publication sur les modalités de publication des informations obligatoires dans le centre d’échange sur l’accès et le partage des avantages, conformément à l’article</w:t>
            </w:r>
            <w:r w:rsidR="00EE54EF">
              <w:rPr>
                <w:rFonts w:eastAsia="Times New Roman"/>
                <w:kern w:val="22"/>
                <w:lang w:val="fr-FR"/>
              </w:rPr>
              <w:t> </w:t>
            </w:r>
            <w:r w:rsidRPr="00343CE7">
              <w:rPr>
                <w:rFonts w:eastAsia="Times New Roman"/>
                <w:kern w:val="22"/>
                <w:lang w:val="fr-FR"/>
              </w:rPr>
              <w:t>14 du Protocole</w:t>
            </w:r>
            <w:r w:rsidR="00EE54EF">
              <w:rPr>
                <w:rFonts w:eastAsia="Times New Roman"/>
                <w:kern w:val="22"/>
                <w:lang w:val="fr-FR"/>
              </w:rPr>
              <w:t> </w:t>
            </w:r>
            <w:r w:rsidRPr="00343CE7">
              <w:rPr>
                <w:rFonts w:eastAsia="Times New Roman"/>
                <w:kern w:val="22"/>
                <w:lang w:val="fr-FR"/>
              </w:rPr>
              <w:t>;</w:t>
            </w:r>
          </w:p>
          <w:p w14:paraId="198E1234" w14:textId="77777777" w:rsidR="00343CE7" w:rsidRPr="00343CE7" w:rsidRDefault="00343CE7" w:rsidP="00343CE7">
            <w:pPr>
              <w:numPr>
                <w:ilvl w:val="0"/>
                <w:numId w:val="36"/>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 xml:space="preserve">Favoriser l’interopérabilité des systèmes nationaux d’information sur l’accès et le partage des avantages avec le centre d’échange sur l’accès et le partage des avantages afin d’améliorer l’efficacité de la </w:t>
            </w:r>
            <w:r w:rsidRPr="00343CE7">
              <w:rPr>
                <w:rFonts w:eastAsia="Times New Roman"/>
                <w:kern w:val="22"/>
                <w:lang w:val="fr-FR"/>
              </w:rPr>
              <w:lastRenderedPageBreak/>
              <w:t>publication et de la mise à jour des informations relatives aux permis et aux communiqués des points de contrôle.</w:t>
            </w:r>
          </w:p>
        </w:tc>
      </w:tr>
      <w:tr w:rsidR="00343CE7" w:rsidRPr="00343CE7" w14:paraId="603453E6" w14:textId="77777777" w:rsidTr="00621B49">
        <w:trPr>
          <w:jc w:val="center"/>
        </w:trPr>
        <w:tc>
          <w:tcPr>
            <w:tcW w:w="3260" w:type="dxa"/>
          </w:tcPr>
          <w:p w14:paraId="6291BC38" w14:textId="77777777" w:rsidR="00343CE7" w:rsidRPr="00343CE7" w:rsidRDefault="00343CE7" w:rsidP="00343CE7">
            <w:pPr>
              <w:tabs>
                <w:tab w:val="clear" w:pos="567"/>
                <w:tab w:val="clear" w:pos="1134"/>
                <w:tab w:val="clear" w:pos="1701"/>
                <w:tab w:val="clear" w:pos="2268"/>
                <w:tab w:val="left" w:pos="449"/>
              </w:tabs>
              <w:ind w:left="24"/>
              <w:contextualSpacing/>
              <w:jc w:val="left"/>
              <w:rPr>
                <w:rFonts w:eastAsia="Times New Roman"/>
                <w:kern w:val="22"/>
                <w:lang w:val="fr-FR"/>
              </w:rPr>
            </w:pPr>
            <w:r w:rsidRPr="00343CE7">
              <w:rPr>
                <w:rFonts w:eastAsia="Times New Roman"/>
                <w:kern w:val="22"/>
                <w:lang w:val="fr-FR"/>
              </w:rPr>
              <w:lastRenderedPageBreak/>
              <w:t>2.9. Les approches régionales sont encouragées pour appuyer l’intégration, l’harmonisation et la coopération transfrontière</w:t>
            </w:r>
          </w:p>
        </w:tc>
        <w:tc>
          <w:tcPr>
            <w:tcW w:w="10065" w:type="dxa"/>
          </w:tcPr>
          <w:p w14:paraId="0BEE8F22" w14:textId="4563CAB0" w:rsidR="00343CE7" w:rsidRPr="00343CE7" w:rsidRDefault="00343CE7" w:rsidP="00343CE7">
            <w:pPr>
              <w:numPr>
                <w:ilvl w:val="2"/>
                <w:numId w:val="20"/>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Faire le point sur les approches régionales réussies de mise en œuvre du Protocole de Nagoya</w:t>
            </w:r>
            <w:r w:rsidR="00EE54EF">
              <w:rPr>
                <w:rFonts w:eastAsia="Times New Roman"/>
                <w:kern w:val="22"/>
                <w:lang w:val="fr-FR"/>
              </w:rPr>
              <w:t> </w:t>
            </w:r>
            <w:r w:rsidRPr="00343CE7">
              <w:rPr>
                <w:rFonts w:eastAsia="Times New Roman"/>
                <w:kern w:val="22"/>
                <w:lang w:val="fr-FR"/>
              </w:rPr>
              <w:t>;</w:t>
            </w:r>
          </w:p>
          <w:p w14:paraId="59F5B636" w14:textId="272580EF" w:rsidR="00343CE7" w:rsidRPr="00343CE7" w:rsidRDefault="00343CE7" w:rsidP="00343CE7">
            <w:pPr>
              <w:numPr>
                <w:ilvl w:val="2"/>
                <w:numId w:val="20"/>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les approches régionales de mise en œuvre du Protocole, notamment en élaborant des législations régionales types, des lignes directrices et des procédures, et des systèmes de suivi et d’utilisation, en partageant les enseignements tirés et les bonnes pratiques</w:t>
            </w:r>
            <w:r w:rsidR="00EE54EF">
              <w:rPr>
                <w:rFonts w:eastAsia="Times New Roman"/>
                <w:kern w:val="22"/>
                <w:lang w:val="fr-FR"/>
              </w:rPr>
              <w:t> </w:t>
            </w:r>
            <w:r w:rsidRPr="00343CE7">
              <w:rPr>
                <w:rFonts w:eastAsia="Times New Roman"/>
                <w:kern w:val="22"/>
                <w:lang w:val="fr-FR"/>
              </w:rPr>
              <w:t>;</w:t>
            </w:r>
          </w:p>
          <w:p w14:paraId="425C0B8F" w14:textId="77777777" w:rsidR="00343CE7" w:rsidRPr="00343CE7" w:rsidRDefault="00343CE7" w:rsidP="00343CE7">
            <w:pPr>
              <w:numPr>
                <w:ilvl w:val="2"/>
                <w:numId w:val="20"/>
              </w:numPr>
              <w:tabs>
                <w:tab w:val="clear" w:pos="567"/>
                <w:tab w:val="clear" w:pos="1134"/>
                <w:tab w:val="clear" w:pos="1701"/>
                <w:tab w:val="clear" w:pos="2268"/>
              </w:tabs>
              <w:contextualSpacing/>
              <w:jc w:val="left"/>
              <w:rPr>
                <w:rFonts w:eastAsia="Times New Roman"/>
                <w:szCs w:val="24"/>
                <w:lang w:val="fr-FR"/>
              </w:rPr>
            </w:pPr>
            <w:r w:rsidRPr="00343CE7">
              <w:rPr>
                <w:rFonts w:eastAsia="Times New Roman"/>
                <w:kern w:val="22"/>
                <w:lang w:val="fr-FR"/>
              </w:rPr>
              <w:t>Renforcer et appuyer les organisations régionales existantes en facilitant les approches régionales d’élaboration de législations et de réglementations régionales types pouvant être adaptées aux contextes nationaux.</w:t>
            </w:r>
          </w:p>
        </w:tc>
      </w:tr>
    </w:tbl>
    <w:p w14:paraId="52838E6C" w14:textId="77777777" w:rsidR="00343CE7" w:rsidRPr="00343CE7" w:rsidRDefault="00343CE7" w:rsidP="00343CE7">
      <w:pPr>
        <w:tabs>
          <w:tab w:val="clear" w:pos="567"/>
          <w:tab w:val="clear" w:pos="1134"/>
          <w:tab w:val="clear" w:pos="1701"/>
          <w:tab w:val="clear" w:pos="2268"/>
        </w:tabs>
        <w:rPr>
          <w:rFonts w:eastAsia="Times New Roman"/>
          <w:szCs w:val="24"/>
          <w:lang w:val="fr-FR"/>
        </w:rPr>
      </w:pPr>
    </w:p>
    <w:tbl>
      <w:tblPr>
        <w:tblStyle w:val="Grilledutableau"/>
        <w:tblW w:w="13325" w:type="dxa"/>
        <w:tblInd w:w="137" w:type="dxa"/>
        <w:tblLook w:val="04A0" w:firstRow="1" w:lastRow="0" w:firstColumn="1" w:lastColumn="0" w:noHBand="0" w:noVBand="1"/>
      </w:tblPr>
      <w:tblGrid>
        <w:gridCol w:w="3496"/>
        <w:gridCol w:w="9829"/>
      </w:tblGrid>
      <w:tr w:rsidR="00343CE7" w:rsidRPr="00343CE7" w14:paraId="69B0992F" w14:textId="77777777" w:rsidTr="00621B49">
        <w:tc>
          <w:tcPr>
            <w:tcW w:w="13325" w:type="dxa"/>
            <w:gridSpan w:val="2"/>
          </w:tcPr>
          <w:p w14:paraId="1BFBA658" w14:textId="6DFCCEA2" w:rsidR="00343CE7" w:rsidRPr="00343CE7" w:rsidRDefault="00343CE7" w:rsidP="00343CE7">
            <w:pPr>
              <w:tabs>
                <w:tab w:val="clear" w:pos="567"/>
                <w:tab w:val="clear" w:pos="1134"/>
                <w:tab w:val="clear" w:pos="1701"/>
                <w:tab w:val="clear" w:pos="2268"/>
              </w:tabs>
              <w:spacing w:before="120"/>
              <w:rPr>
                <w:rFonts w:eastAsia="Times New Roman"/>
                <w:b/>
                <w:bCs/>
                <w:lang w:val="fr-FR"/>
              </w:rPr>
            </w:pPr>
            <w:r w:rsidRPr="00343CE7">
              <w:rPr>
                <w:rFonts w:eastAsia="Times New Roman"/>
                <w:b/>
                <w:bCs/>
                <w:lang w:val="fr-FR"/>
              </w:rPr>
              <w:t>Résultat</w:t>
            </w:r>
            <w:r w:rsidR="00EE54EF">
              <w:rPr>
                <w:rFonts w:eastAsia="Times New Roman"/>
                <w:b/>
                <w:bCs/>
                <w:lang w:val="fr-FR"/>
              </w:rPr>
              <w:t> </w:t>
            </w:r>
            <w:r w:rsidRPr="00343CE7">
              <w:rPr>
                <w:rFonts w:eastAsia="Times New Roman"/>
                <w:b/>
                <w:bCs/>
                <w:lang w:val="fr-FR"/>
              </w:rPr>
              <w:t>3</w:t>
            </w:r>
            <w:r w:rsidR="00EE54EF">
              <w:rPr>
                <w:rFonts w:eastAsia="Times New Roman"/>
                <w:b/>
                <w:bCs/>
                <w:lang w:val="fr-FR"/>
              </w:rPr>
              <w:t> </w:t>
            </w:r>
            <w:r w:rsidRPr="00343CE7">
              <w:rPr>
                <w:rFonts w:eastAsia="Times New Roman"/>
                <w:b/>
                <w:bCs/>
                <w:lang w:val="fr-FR"/>
              </w:rPr>
              <w:t>: Renforcement de la capacité à négocier des conditions convenues d’un commun accord</w:t>
            </w:r>
          </w:p>
          <w:p w14:paraId="20294108" w14:textId="429882E0" w:rsidR="00343CE7" w:rsidRPr="00343CE7" w:rsidRDefault="00343CE7" w:rsidP="00343CE7">
            <w:pPr>
              <w:keepNext/>
              <w:tabs>
                <w:tab w:val="clear" w:pos="567"/>
                <w:tab w:val="clear" w:pos="1134"/>
                <w:tab w:val="clear" w:pos="1701"/>
                <w:tab w:val="clear" w:pos="2268"/>
              </w:tabs>
              <w:rPr>
                <w:rFonts w:eastAsia="Times New Roman"/>
                <w:i/>
                <w:iCs/>
                <w:lang w:val="fr-FR"/>
              </w:rPr>
            </w:pPr>
            <w:r w:rsidRPr="00343CE7">
              <w:rPr>
                <w:rFonts w:eastAsia="Times New Roman"/>
                <w:i/>
                <w:iCs/>
                <w:lang w:val="fr-FR"/>
              </w:rPr>
              <w:t>Le résultat</w:t>
            </w:r>
            <w:r w:rsidR="00EE54EF">
              <w:rPr>
                <w:rFonts w:eastAsia="Times New Roman"/>
                <w:i/>
                <w:iCs/>
                <w:lang w:val="fr-FR"/>
              </w:rPr>
              <w:t> </w:t>
            </w:r>
            <w:r w:rsidRPr="00343CE7">
              <w:rPr>
                <w:rFonts w:eastAsia="Times New Roman"/>
                <w:i/>
                <w:iCs/>
                <w:lang w:val="fr-FR"/>
              </w:rPr>
              <w:t>3 concerne le renforcement des capacités des fournisseurs et des utilisateurs de ressources génétiques et/ou de connaissances traditionnelles associées aux ressources génétiques à négocier des conditions convenues d’un commun accord. Les réalisations attendues concernent l’amélioration des compétences en matière de négociation, l’élaboration d’accords d’accès et de partage des avantages et l’amélioration des compétences en matière de suivi des avantages monétaires et non monétaires.</w:t>
            </w:r>
          </w:p>
        </w:tc>
      </w:tr>
      <w:tr w:rsidR="00343CE7" w:rsidRPr="00343CE7" w14:paraId="6EC98784" w14:textId="77777777" w:rsidTr="00621B49">
        <w:tc>
          <w:tcPr>
            <w:tcW w:w="3496" w:type="dxa"/>
          </w:tcPr>
          <w:p w14:paraId="36F192A4" w14:textId="77777777" w:rsidR="00343CE7" w:rsidRPr="00343CE7" w:rsidRDefault="00343CE7" w:rsidP="00343CE7">
            <w:pPr>
              <w:tabs>
                <w:tab w:val="clear" w:pos="567"/>
                <w:tab w:val="clear" w:pos="1134"/>
                <w:tab w:val="clear" w:pos="1701"/>
                <w:tab w:val="clear" w:pos="2268"/>
              </w:tabs>
              <w:rPr>
                <w:rFonts w:eastAsia="Times New Roman"/>
                <w:b/>
                <w:bCs/>
                <w:lang w:val="fr-FR"/>
              </w:rPr>
            </w:pPr>
            <w:r w:rsidRPr="00343CE7">
              <w:rPr>
                <w:rFonts w:eastAsia="Times New Roman"/>
                <w:b/>
                <w:bCs/>
                <w:lang w:val="fr-FR"/>
              </w:rPr>
              <w:t>Réalisations</w:t>
            </w:r>
          </w:p>
        </w:tc>
        <w:tc>
          <w:tcPr>
            <w:tcW w:w="9829" w:type="dxa"/>
          </w:tcPr>
          <w:p w14:paraId="6C936D00" w14:textId="77777777" w:rsidR="00343CE7" w:rsidRPr="00343CE7" w:rsidRDefault="00343CE7" w:rsidP="00343CE7">
            <w:pPr>
              <w:tabs>
                <w:tab w:val="clear" w:pos="567"/>
                <w:tab w:val="clear" w:pos="1134"/>
                <w:tab w:val="clear" w:pos="1701"/>
                <w:tab w:val="clear" w:pos="2268"/>
              </w:tabs>
              <w:rPr>
                <w:rFonts w:eastAsia="Times New Roman"/>
                <w:lang w:val="fr-FR"/>
              </w:rPr>
            </w:pPr>
            <w:r w:rsidRPr="00343CE7">
              <w:rPr>
                <w:rFonts w:eastAsia="Times New Roman"/>
                <w:b/>
                <w:bCs/>
                <w:kern w:val="22"/>
                <w:lang w:val="fr-FR"/>
              </w:rPr>
              <w:t>Activités indicatives de création et renforcement des capacités</w:t>
            </w:r>
          </w:p>
        </w:tc>
      </w:tr>
      <w:tr w:rsidR="00343CE7" w:rsidRPr="00343CE7" w14:paraId="255A7D2A" w14:textId="77777777" w:rsidTr="00621B49">
        <w:tc>
          <w:tcPr>
            <w:tcW w:w="3496" w:type="dxa"/>
          </w:tcPr>
          <w:p w14:paraId="4460D029" w14:textId="77777777" w:rsidR="00343CE7" w:rsidRPr="00343CE7" w:rsidRDefault="00343CE7" w:rsidP="00343CE7">
            <w:pPr>
              <w:tabs>
                <w:tab w:val="clear" w:pos="567"/>
                <w:tab w:val="clear" w:pos="1134"/>
                <w:tab w:val="clear" w:pos="1701"/>
                <w:tab w:val="clear" w:pos="2268"/>
              </w:tabs>
              <w:rPr>
                <w:rFonts w:eastAsia="Times New Roman"/>
                <w:lang w:val="fr-FR"/>
              </w:rPr>
            </w:pPr>
            <w:r w:rsidRPr="00343CE7">
              <w:rPr>
                <w:rFonts w:eastAsia="Times New Roman"/>
                <w:lang w:val="fr-FR"/>
              </w:rPr>
              <w:t>3.1. Amélioration des compétences en matière de négociation.</w:t>
            </w:r>
          </w:p>
        </w:tc>
        <w:tc>
          <w:tcPr>
            <w:tcW w:w="9829" w:type="dxa"/>
          </w:tcPr>
          <w:p w14:paraId="511E7C73" w14:textId="1EA5E897" w:rsidR="00343CE7" w:rsidRPr="00343CE7" w:rsidRDefault="00343CE7" w:rsidP="00343CE7">
            <w:pPr>
              <w:numPr>
                <w:ilvl w:val="0"/>
                <w:numId w:val="37"/>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sur les processus de recherche et de développement et les chaînes de valeur potentielles des produits liés à l’accès et au partage des avantages dans différents secteurs, ainsi que les points de déclenchement possibles en matière de partage des avantages</w:t>
            </w:r>
            <w:r w:rsidR="00EE54EF">
              <w:rPr>
                <w:rFonts w:eastAsia="Times New Roman"/>
                <w:kern w:val="22"/>
                <w:lang w:val="fr-FR"/>
              </w:rPr>
              <w:t> </w:t>
            </w:r>
            <w:r w:rsidRPr="00343CE7">
              <w:rPr>
                <w:rFonts w:eastAsia="Times New Roman"/>
                <w:kern w:val="22"/>
                <w:lang w:val="fr-FR"/>
              </w:rPr>
              <w:t>;</w:t>
            </w:r>
          </w:p>
          <w:p w14:paraId="19993387" w14:textId="77777777" w:rsidR="00343CE7" w:rsidRPr="00343CE7" w:rsidRDefault="00343CE7" w:rsidP="00343CE7">
            <w:pPr>
              <w:numPr>
                <w:ilvl w:val="0"/>
                <w:numId w:val="37"/>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adaptés à la culture afin d’améliorer les compétences de négociation concernant les accords relatifs à l’accès et au partage des avantages.</w:t>
            </w:r>
          </w:p>
        </w:tc>
      </w:tr>
      <w:tr w:rsidR="00343CE7" w:rsidRPr="00343CE7" w14:paraId="4C5EC279" w14:textId="77777777" w:rsidTr="00621B49">
        <w:tc>
          <w:tcPr>
            <w:tcW w:w="3496" w:type="dxa"/>
          </w:tcPr>
          <w:p w14:paraId="1B8073CD" w14:textId="77777777" w:rsidR="00343CE7" w:rsidRPr="00343CE7" w:rsidRDefault="00343CE7" w:rsidP="00343CE7">
            <w:pPr>
              <w:tabs>
                <w:tab w:val="clear" w:pos="567"/>
                <w:tab w:val="clear" w:pos="1134"/>
                <w:tab w:val="clear" w:pos="1701"/>
                <w:tab w:val="clear" w:pos="2268"/>
                <w:tab w:val="left" w:pos="456"/>
              </w:tabs>
              <w:jc w:val="left"/>
              <w:rPr>
                <w:rFonts w:eastAsia="Times New Roman"/>
                <w:kern w:val="22"/>
                <w:lang w:val="fr-FR"/>
              </w:rPr>
            </w:pPr>
            <w:r w:rsidRPr="00343CE7">
              <w:rPr>
                <w:rFonts w:eastAsia="Times New Roman"/>
                <w:kern w:val="22"/>
                <w:lang w:val="fr-FR"/>
              </w:rPr>
              <w:t>3.2. Des accords relatifs à l’accès et au partage des avantages sont élaborés et font l’objet d’un suivi.</w:t>
            </w:r>
          </w:p>
        </w:tc>
        <w:tc>
          <w:tcPr>
            <w:tcW w:w="9829" w:type="dxa"/>
          </w:tcPr>
          <w:p w14:paraId="29E73426" w14:textId="5D171657" w:rsidR="00343CE7" w:rsidRPr="00343CE7" w:rsidRDefault="00343CE7" w:rsidP="00343CE7">
            <w:pPr>
              <w:tabs>
                <w:tab w:val="clear" w:pos="567"/>
                <w:tab w:val="clear" w:pos="1134"/>
                <w:tab w:val="clear" w:pos="1701"/>
                <w:tab w:val="clear" w:pos="2268"/>
              </w:tabs>
              <w:ind w:left="360" w:hanging="360"/>
              <w:jc w:val="left"/>
              <w:rPr>
                <w:rFonts w:eastAsia="Times New Roman"/>
                <w:szCs w:val="24"/>
                <w:lang w:val="fr-FR"/>
              </w:rPr>
            </w:pPr>
            <w:r w:rsidRPr="00343CE7">
              <w:rPr>
                <w:rFonts w:eastAsia="Times New Roman"/>
                <w:szCs w:val="24"/>
                <w:lang w:val="fr-FR"/>
              </w:rPr>
              <w:t>a)</w:t>
            </w:r>
            <w:r w:rsidRPr="00343CE7">
              <w:rPr>
                <w:rFonts w:eastAsia="Times New Roman"/>
                <w:szCs w:val="24"/>
                <w:lang w:val="fr-FR"/>
              </w:rPr>
              <w:tab/>
              <w:t xml:space="preserve">Faire </w:t>
            </w:r>
            <w:r w:rsidRPr="00343CE7">
              <w:rPr>
                <w:rFonts w:eastAsia="Times New Roman"/>
                <w:kern w:val="22"/>
                <w:szCs w:val="24"/>
                <w:lang w:val="fr-FR"/>
              </w:rPr>
              <w:t>le point sur les accords efficaces en matière d’accès et de partage des avantages qui conduisent à un meilleur partage des avantages et utiliser les enseignements tirés et les bonnes pratiques dans l’élaboration de futurs accords</w:t>
            </w:r>
            <w:r w:rsidR="00EE54EF">
              <w:rPr>
                <w:rFonts w:eastAsia="Times New Roman"/>
                <w:kern w:val="22"/>
                <w:szCs w:val="24"/>
                <w:lang w:val="fr-FR"/>
              </w:rPr>
              <w:t> </w:t>
            </w:r>
            <w:r w:rsidRPr="00343CE7">
              <w:rPr>
                <w:rFonts w:eastAsia="Times New Roman"/>
                <w:kern w:val="22"/>
                <w:szCs w:val="24"/>
                <w:lang w:val="fr-FR"/>
              </w:rPr>
              <w:t>;</w:t>
            </w:r>
          </w:p>
          <w:p w14:paraId="25C863E2" w14:textId="57116A09"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b)</w:t>
            </w:r>
            <w:r w:rsidRPr="00343CE7">
              <w:rPr>
                <w:rFonts w:eastAsia="Times New Roman"/>
                <w:kern w:val="22"/>
                <w:lang w:val="fr-FR"/>
              </w:rPr>
              <w:tab/>
              <w:t>Réviser, le cas échéant, diffuser et promouvoir le matériel de formation existant selon des modalités convenues d’un commun accord et fondées sur les bonnes pratiques</w:t>
            </w:r>
            <w:r w:rsidR="00EE54EF">
              <w:rPr>
                <w:rFonts w:eastAsia="Times New Roman"/>
                <w:kern w:val="22"/>
                <w:lang w:val="fr-FR"/>
              </w:rPr>
              <w:t> </w:t>
            </w:r>
            <w:r w:rsidRPr="00343CE7">
              <w:rPr>
                <w:rFonts w:eastAsia="Times New Roman"/>
                <w:kern w:val="22"/>
                <w:lang w:val="fr-FR"/>
              </w:rPr>
              <w:t>;</w:t>
            </w:r>
          </w:p>
          <w:p w14:paraId="13AC92EC" w14:textId="58524980" w:rsidR="00343CE7" w:rsidRPr="00343CE7" w:rsidRDefault="00343CE7" w:rsidP="00343CE7">
            <w:pPr>
              <w:tabs>
                <w:tab w:val="clear" w:pos="567"/>
                <w:tab w:val="clear" w:pos="1134"/>
                <w:tab w:val="clear" w:pos="1701"/>
                <w:tab w:val="clear" w:pos="2268"/>
              </w:tabs>
              <w:ind w:left="362" w:hanging="362"/>
              <w:jc w:val="left"/>
              <w:rPr>
                <w:rFonts w:eastAsia="Times New Roman"/>
                <w:kern w:val="22"/>
                <w:lang w:val="fr-FR"/>
              </w:rPr>
            </w:pPr>
            <w:r w:rsidRPr="00343CE7">
              <w:rPr>
                <w:rFonts w:eastAsia="Times New Roman"/>
                <w:kern w:val="22"/>
                <w:lang w:val="fr-FR"/>
              </w:rPr>
              <w:t>c)</w:t>
            </w:r>
            <w:r w:rsidRPr="00343CE7">
              <w:rPr>
                <w:rFonts w:eastAsia="Times New Roman"/>
                <w:kern w:val="22"/>
                <w:lang w:val="fr-FR"/>
              </w:rPr>
              <w:tab/>
              <w:t>Fournir des conseils, une formation ou une assistance technique adaptés à la culture sur la manière d’élaborer des accords relatifs à l’accès et au partage des avantages qui favorisent un meilleur partage des avantages</w:t>
            </w:r>
            <w:r w:rsidR="00EE54EF">
              <w:rPr>
                <w:rFonts w:eastAsia="Times New Roman"/>
                <w:kern w:val="22"/>
                <w:lang w:val="fr-FR"/>
              </w:rPr>
              <w:t> </w:t>
            </w:r>
            <w:r w:rsidRPr="00343CE7">
              <w:rPr>
                <w:rFonts w:eastAsia="Times New Roman"/>
                <w:kern w:val="22"/>
                <w:lang w:val="fr-FR"/>
              </w:rPr>
              <w:t>;</w:t>
            </w:r>
          </w:p>
          <w:p w14:paraId="5E8D1597" w14:textId="7777777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d)</w:t>
            </w:r>
            <w:r w:rsidRPr="00343CE7">
              <w:rPr>
                <w:rFonts w:eastAsia="Times New Roman"/>
                <w:kern w:val="22"/>
                <w:lang w:val="fr-FR"/>
              </w:rPr>
              <w:tab/>
              <w:t xml:space="preserve">Appuyer l’élaboration [des outils] [des mécanismes nécessaires pour encourager l’élaboration de systèmes d’information sur le partage des avantages] afin d’assurer le suivi des accords relatifs à l’accès et au partage des avantages [et des avantages partagés], y compris avec les peuples autochtones et les communautés locales. </w:t>
            </w:r>
          </w:p>
          <w:p w14:paraId="658221FD" w14:textId="7777777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e)</w:t>
            </w:r>
            <w:r w:rsidRPr="00343CE7">
              <w:rPr>
                <w:rFonts w:eastAsia="Times New Roman"/>
                <w:kern w:val="22"/>
                <w:lang w:val="fr-FR"/>
              </w:rPr>
              <w:tab/>
            </w:r>
            <w:r w:rsidRPr="00343CE7">
              <w:rPr>
                <w:rFonts w:eastAsia="Times New Roman"/>
                <w:szCs w:val="24"/>
                <w:lang w:val="fr-FR"/>
              </w:rPr>
              <w:t>Fournir des conseils, une formation ou une assistance technique sur la manière de suivre les avantages monétaires et non monétaires.</w:t>
            </w:r>
          </w:p>
        </w:tc>
      </w:tr>
      <w:tr w:rsidR="00343CE7" w:rsidRPr="00343CE7" w14:paraId="29B044F0" w14:textId="77777777" w:rsidTr="00621B49">
        <w:tc>
          <w:tcPr>
            <w:tcW w:w="3496" w:type="dxa"/>
          </w:tcPr>
          <w:p w14:paraId="6A577472" w14:textId="77777777" w:rsidR="00343CE7" w:rsidRPr="00343CE7" w:rsidRDefault="00343CE7" w:rsidP="00343CE7">
            <w:pPr>
              <w:tabs>
                <w:tab w:val="clear" w:pos="567"/>
                <w:tab w:val="clear" w:pos="1134"/>
                <w:tab w:val="clear" w:pos="1701"/>
                <w:tab w:val="clear" w:pos="2268"/>
                <w:tab w:val="left" w:pos="456"/>
              </w:tabs>
              <w:jc w:val="left"/>
              <w:rPr>
                <w:rFonts w:eastAsia="Times New Roman"/>
                <w:kern w:val="22"/>
                <w:lang w:val="fr-FR"/>
              </w:rPr>
            </w:pPr>
            <w:r w:rsidRPr="00343CE7">
              <w:rPr>
                <w:rFonts w:eastAsia="Times New Roman"/>
                <w:kern w:val="22"/>
                <w:lang w:val="fr-FR"/>
              </w:rPr>
              <w:lastRenderedPageBreak/>
              <w:t>3.3. Des clauses contractuelles sectorielles et intersectorielles types sont élaborées et utilisées.</w:t>
            </w:r>
          </w:p>
        </w:tc>
        <w:tc>
          <w:tcPr>
            <w:tcW w:w="9829" w:type="dxa"/>
          </w:tcPr>
          <w:p w14:paraId="381B271C" w14:textId="45985DD9" w:rsidR="00343CE7" w:rsidRPr="00343CE7" w:rsidRDefault="00343CE7" w:rsidP="00343CE7">
            <w:pPr>
              <w:numPr>
                <w:ilvl w:val="0"/>
                <w:numId w:val="38"/>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Réviser, si nécessaire, diffuser et promouvoir les clauses contractuelles types existantes (sectorielles et intersectorielles) et les publier dans le centre d’échange sur l’accès et le partage des avantages</w:t>
            </w:r>
            <w:r w:rsidR="00EE54EF">
              <w:rPr>
                <w:rFonts w:eastAsia="Times New Roman"/>
                <w:kern w:val="22"/>
                <w:lang w:val="fr-FR"/>
              </w:rPr>
              <w:t> </w:t>
            </w:r>
            <w:r w:rsidRPr="00343CE7">
              <w:rPr>
                <w:rFonts w:eastAsia="Times New Roman"/>
                <w:kern w:val="22"/>
                <w:lang w:val="fr-FR"/>
              </w:rPr>
              <w:t>;</w:t>
            </w:r>
          </w:p>
          <w:p w14:paraId="04B83405" w14:textId="77777777" w:rsidR="00343CE7" w:rsidRPr="00343CE7" w:rsidRDefault="00343CE7" w:rsidP="00343CE7">
            <w:pPr>
              <w:numPr>
                <w:ilvl w:val="0"/>
                <w:numId w:val="38"/>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sur la manière d’utiliser et d’adapter les clauses contractuelles types sur la base des bonnes pratiques.</w:t>
            </w:r>
          </w:p>
        </w:tc>
      </w:tr>
    </w:tbl>
    <w:p w14:paraId="6A51699A" w14:textId="77777777" w:rsidR="00343CE7" w:rsidRPr="00343CE7" w:rsidRDefault="00343CE7" w:rsidP="00343CE7">
      <w:pPr>
        <w:tabs>
          <w:tab w:val="clear" w:pos="567"/>
          <w:tab w:val="clear" w:pos="1134"/>
          <w:tab w:val="clear" w:pos="1701"/>
          <w:tab w:val="clear" w:pos="2268"/>
        </w:tabs>
        <w:rPr>
          <w:rFonts w:eastAsia="Times New Roman"/>
          <w:szCs w:val="24"/>
          <w:lang w:val="fr-FR"/>
        </w:rPr>
      </w:pPr>
    </w:p>
    <w:tbl>
      <w:tblPr>
        <w:tblStyle w:val="Grilledutableau"/>
        <w:tblW w:w="13325" w:type="dxa"/>
        <w:tblInd w:w="137" w:type="dxa"/>
        <w:tblLook w:val="04A0" w:firstRow="1" w:lastRow="0" w:firstColumn="1" w:lastColumn="0" w:noHBand="0" w:noVBand="1"/>
      </w:tblPr>
      <w:tblGrid>
        <w:gridCol w:w="3402"/>
        <w:gridCol w:w="9923"/>
      </w:tblGrid>
      <w:tr w:rsidR="00343CE7" w:rsidRPr="00343CE7" w14:paraId="5B5CA286" w14:textId="77777777" w:rsidTr="00621B49">
        <w:tc>
          <w:tcPr>
            <w:tcW w:w="13325" w:type="dxa"/>
            <w:gridSpan w:val="2"/>
          </w:tcPr>
          <w:p w14:paraId="504D1E8C" w14:textId="2CCC6C7B" w:rsidR="00343CE7" w:rsidRPr="00343CE7" w:rsidRDefault="00343CE7" w:rsidP="00343CE7">
            <w:pPr>
              <w:tabs>
                <w:tab w:val="clear" w:pos="567"/>
                <w:tab w:val="clear" w:pos="1134"/>
                <w:tab w:val="clear" w:pos="1701"/>
                <w:tab w:val="clear" w:pos="2268"/>
              </w:tabs>
              <w:spacing w:before="120"/>
              <w:jc w:val="left"/>
              <w:rPr>
                <w:rFonts w:eastAsia="Times New Roman"/>
                <w:b/>
                <w:bCs/>
                <w:lang w:val="fr-FR"/>
              </w:rPr>
            </w:pPr>
            <w:r w:rsidRPr="00343CE7">
              <w:rPr>
                <w:rFonts w:eastAsia="Times New Roman"/>
                <w:b/>
                <w:bCs/>
                <w:lang w:val="fr-FR"/>
              </w:rPr>
              <w:t>Résultat</w:t>
            </w:r>
            <w:r w:rsidR="00EE54EF">
              <w:rPr>
                <w:rFonts w:eastAsia="Times New Roman"/>
                <w:b/>
                <w:bCs/>
                <w:lang w:val="fr-FR"/>
              </w:rPr>
              <w:t> </w:t>
            </w:r>
            <w:r w:rsidRPr="00343CE7">
              <w:rPr>
                <w:rFonts w:eastAsia="Times New Roman"/>
                <w:b/>
                <w:bCs/>
                <w:lang w:val="fr-FR"/>
              </w:rPr>
              <w:t>4</w:t>
            </w:r>
            <w:r w:rsidR="00EE54EF">
              <w:rPr>
                <w:rFonts w:eastAsia="Times New Roman"/>
                <w:b/>
                <w:bCs/>
                <w:lang w:val="fr-FR"/>
              </w:rPr>
              <w:t> </w:t>
            </w:r>
            <w:r w:rsidRPr="00343CE7">
              <w:rPr>
                <w:rFonts w:eastAsia="Times New Roman"/>
                <w:b/>
                <w:bCs/>
                <w:lang w:val="fr-FR"/>
              </w:rPr>
              <w:t>: Renforcement de la capacité des peuples autochtones et des communautés locales à participer à la mise en œuvre du Protocole de Nagoya</w:t>
            </w:r>
          </w:p>
          <w:p w14:paraId="3999C663" w14:textId="3D0F66EF" w:rsidR="00343CE7" w:rsidRPr="00343CE7" w:rsidRDefault="00343CE7" w:rsidP="00343CE7">
            <w:pPr>
              <w:tabs>
                <w:tab w:val="clear" w:pos="567"/>
                <w:tab w:val="clear" w:pos="1134"/>
                <w:tab w:val="clear" w:pos="1701"/>
                <w:tab w:val="clear" w:pos="2268"/>
              </w:tabs>
              <w:rPr>
                <w:rFonts w:eastAsia="Times New Roman"/>
                <w:i/>
                <w:iCs/>
                <w:lang w:val="fr-FR"/>
              </w:rPr>
            </w:pPr>
            <w:r w:rsidRPr="00343CE7">
              <w:rPr>
                <w:rFonts w:eastAsia="Times New Roman"/>
                <w:i/>
                <w:iCs/>
                <w:lang w:val="fr-FR"/>
              </w:rPr>
              <w:t>Le résultat</w:t>
            </w:r>
            <w:r w:rsidR="00EE54EF">
              <w:rPr>
                <w:rFonts w:eastAsia="Times New Roman"/>
                <w:i/>
                <w:iCs/>
                <w:lang w:val="fr-FR"/>
              </w:rPr>
              <w:t> </w:t>
            </w:r>
            <w:r w:rsidRPr="00343CE7">
              <w:rPr>
                <w:rFonts w:eastAsia="Times New Roman"/>
                <w:i/>
                <w:iCs/>
                <w:lang w:val="fr-FR"/>
              </w:rPr>
              <w:t>4 concerne le renforcement des capacités des peuples autochtones et des communautés locales à participer pleinement et efficacement à la mise en œuvre du Protocole de Nagoya. Les réalisations attendues concernent, entre autres, l’élaboration de protocoles, de procédures et de lois coutumières communautaires</w:t>
            </w:r>
            <w:r w:rsidR="00EE54EF">
              <w:rPr>
                <w:rFonts w:eastAsia="Times New Roman"/>
                <w:i/>
                <w:iCs/>
                <w:lang w:val="fr-FR"/>
              </w:rPr>
              <w:t> </w:t>
            </w:r>
            <w:r w:rsidRPr="00343CE7">
              <w:rPr>
                <w:rFonts w:eastAsia="Times New Roman"/>
                <w:i/>
                <w:iCs/>
                <w:lang w:val="fr-FR"/>
              </w:rPr>
              <w:t>; des exigences minimales relatives aux conditions convenues d’un commun accord</w:t>
            </w:r>
            <w:r w:rsidR="00EE54EF">
              <w:rPr>
                <w:rFonts w:eastAsia="Times New Roman"/>
                <w:i/>
                <w:iCs/>
                <w:lang w:val="fr-FR"/>
              </w:rPr>
              <w:t> </w:t>
            </w:r>
            <w:r w:rsidRPr="00343CE7">
              <w:rPr>
                <w:rFonts w:eastAsia="Times New Roman"/>
                <w:i/>
                <w:iCs/>
                <w:lang w:val="fr-FR"/>
              </w:rPr>
              <w:t>; et des clauses contractuelles types pour le partage des avantages.</w:t>
            </w:r>
          </w:p>
        </w:tc>
      </w:tr>
      <w:tr w:rsidR="00343CE7" w:rsidRPr="00343CE7" w14:paraId="02D6FD67" w14:textId="77777777" w:rsidTr="00621B49">
        <w:tc>
          <w:tcPr>
            <w:tcW w:w="3402" w:type="dxa"/>
          </w:tcPr>
          <w:p w14:paraId="0BD3D15D" w14:textId="77777777" w:rsidR="00343CE7" w:rsidRPr="00343CE7" w:rsidRDefault="00343CE7" w:rsidP="00343CE7">
            <w:pPr>
              <w:tabs>
                <w:tab w:val="clear" w:pos="567"/>
                <w:tab w:val="clear" w:pos="1134"/>
                <w:tab w:val="clear" w:pos="1701"/>
                <w:tab w:val="clear" w:pos="2268"/>
              </w:tabs>
              <w:rPr>
                <w:rFonts w:eastAsia="Times New Roman"/>
                <w:b/>
                <w:bCs/>
                <w:lang w:val="fr-FR"/>
              </w:rPr>
            </w:pPr>
            <w:r w:rsidRPr="00343CE7">
              <w:rPr>
                <w:rFonts w:eastAsia="Times New Roman"/>
                <w:b/>
                <w:bCs/>
                <w:lang w:val="fr-FR"/>
              </w:rPr>
              <w:t>Réalisations</w:t>
            </w:r>
          </w:p>
        </w:tc>
        <w:tc>
          <w:tcPr>
            <w:tcW w:w="9923" w:type="dxa"/>
          </w:tcPr>
          <w:p w14:paraId="581398BA" w14:textId="77777777" w:rsidR="00343CE7" w:rsidRPr="00343CE7" w:rsidRDefault="00343CE7" w:rsidP="00343CE7">
            <w:pPr>
              <w:tabs>
                <w:tab w:val="clear" w:pos="567"/>
                <w:tab w:val="clear" w:pos="1134"/>
                <w:tab w:val="clear" w:pos="1701"/>
                <w:tab w:val="clear" w:pos="2268"/>
              </w:tabs>
              <w:rPr>
                <w:rFonts w:eastAsia="Times New Roman"/>
                <w:lang w:val="fr-FR"/>
              </w:rPr>
            </w:pPr>
            <w:r w:rsidRPr="00343CE7">
              <w:rPr>
                <w:rFonts w:eastAsia="Times New Roman"/>
                <w:b/>
                <w:bCs/>
                <w:kern w:val="22"/>
                <w:lang w:val="fr-FR"/>
              </w:rPr>
              <w:t>Activités indicatives de création et renforcement des capacités</w:t>
            </w:r>
          </w:p>
        </w:tc>
      </w:tr>
      <w:tr w:rsidR="00343CE7" w:rsidRPr="00343CE7" w14:paraId="1F89C637" w14:textId="77777777" w:rsidTr="00621B49">
        <w:tc>
          <w:tcPr>
            <w:tcW w:w="3402" w:type="dxa"/>
          </w:tcPr>
          <w:p w14:paraId="0CC40621" w14:textId="77777777" w:rsidR="00343CE7" w:rsidRPr="00343CE7" w:rsidRDefault="00343CE7" w:rsidP="00343CE7">
            <w:pPr>
              <w:tabs>
                <w:tab w:val="clear" w:pos="567"/>
                <w:tab w:val="clear" w:pos="1134"/>
                <w:tab w:val="clear" w:pos="1701"/>
                <w:tab w:val="clear" w:pos="2268"/>
              </w:tabs>
              <w:jc w:val="left"/>
              <w:rPr>
                <w:rFonts w:eastAsia="Times New Roman"/>
                <w:szCs w:val="24"/>
                <w:lang w:val="fr-FR"/>
              </w:rPr>
            </w:pPr>
            <w:r w:rsidRPr="00343CE7">
              <w:rPr>
                <w:rFonts w:eastAsia="Times New Roman"/>
                <w:kern w:val="22"/>
                <w:szCs w:val="24"/>
                <w:lang w:val="fr-FR"/>
              </w:rPr>
              <w:t>4.1</w:t>
            </w:r>
            <w:r w:rsidRPr="00343CE7">
              <w:rPr>
                <w:rFonts w:eastAsia="Times New Roman"/>
                <w:kern w:val="22"/>
                <w:lang w:val="fr-FR"/>
              </w:rPr>
              <w:t xml:space="preserve">. </w:t>
            </w:r>
            <w:r w:rsidRPr="00343CE7">
              <w:rPr>
                <w:rFonts w:eastAsia="Times New Roman"/>
                <w:kern w:val="22"/>
                <w:szCs w:val="24"/>
                <w:lang w:val="fr-FR"/>
              </w:rPr>
              <w:t>La participation pleine et effective des peuples autochtones et des communautés locales, en particulier des femmes et des jeunes, à la mise en œuvre du Protocole à tous les niveaux s’est accrue</w:t>
            </w:r>
            <w:r w:rsidRPr="00343CE7">
              <w:rPr>
                <w:rFonts w:eastAsia="Times New Roman"/>
                <w:szCs w:val="24"/>
                <w:lang w:val="fr-FR"/>
              </w:rPr>
              <w:t>.</w:t>
            </w:r>
          </w:p>
        </w:tc>
        <w:tc>
          <w:tcPr>
            <w:tcW w:w="9923" w:type="dxa"/>
          </w:tcPr>
          <w:p w14:paraId="572BCBD3" w14:textId="208BCB61" w:rsidR="00343CE7" w:rsidRPr="00343CE7" w:rsidRDefault="00343CE7" w:rsidP="00343CE7">
            <w:pPr>
              <w:numPr>
                <w:ilvl w:val="0"/>
                <w:numId w:val="39"/>
              </w:numPr>
              <w:tabs>
                <w:tab w:val="clear" w:pos="567"/>
                <w:tab w:val="clear" w:pos="1134"/>
                <w:tab w:val="clear" w:pos="1701"/>
                <w:tab w:val="clear" w:pos="2268"/>
              </w:tabs>
              <w:contextualSpacing/>
              <w:rPr>
                <w:rFonts w:eastAsia="Times New Roman"/>
                <w:kern w:val="22"/>
                <w:lang w:val="fr-FR"/>
              </w:rPr>
            </w:pPr>
            <w:r w:rsidRPr="00343CE7">
              <w:rPr>
                <w:rFonts w:eastAsia="Times New Roman"/>
                <w:kern w:val="22"/>
                <w:lang w:val="fr-FR"/>
              </w:rPr>
              <w:t>Appuyer la sensibilisation aux questions d’accès et de partage des avantages et au Protocole de Nagoya, ainsi que favoriser leur compréhension</w:t>
            </w:r>
            <w:r w:rsidR="00EE54EF">
              <w:rPr>
                <w:rFonts w:eastAsia="Times New Roman"/>
                <w:kern w:val="22"/>
                <w:lang w:val="fr-FR"/>
              </w:rPr>
              <w:t> </w:t>
            </w:r>
            <w:r w:rsidRPr="00343CE7">
              <w:rPr>
                <w:rFonts w:eastAsia="Times New Roman"/>
                <w:kern w:val="22"/>
                <w:lang w:val="fr-FR"/>
              </w:rPr>
              <w:t>;</w:t>
            </w:r>
          </w:p>
          <w:p w14:paraId="46373216" w14:textId="77777777"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orientations, une formation ou une assistance technique afin d’améliorer la compréhension des droits des peuples autochtones et des communautés locales relatifs aux ressources génétiques, les connaissances traditionnelles associées et le partage juste et équitable des avantages ;</w:t>
            </w:r>
          </w:p>
          <w:p w14:paraId="4E895BBF" w14:textId="77777777"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Appuyer les activités de formation afin d’améliorer les capacités des femmes au sein des peuples autochtones et des communautés locales en matière d’accès aux ressources génétiques et/ou les connaissances traditionnelles associées aux ressources génétiques ;</w:t>
            </w:r>
          </w:p>
          <w:p w14:paraId="06917B7E" w14:textId="36A1ECA3" w:rsidR="00343CE7" w:rsidRPr="00343CE7" w:rsidRDefault="00343CE7" w:rsidP="00343CE7">
            <w:pPr>
              <w:numPr>
                <w:ilvl w:val="0"/>
                <w:numId w:val="39"/>
              </w:numPr>
              <w:tabs>
                <w:tab w:val="clear" w:pos="567"/>
                <w:tab w:val="clear" w:pos="1134"/>
                <w:tab w:val="clear" w:pos="1701"/>
                <w:tab w:val="clear" w:pos="2268"/>
              </w:tabs>
              <w:contextualSpacing/>
              <w:rPr>
                <w:rFonts w:eastAsia="Times New Roman"/>
                <w:kern w:val="22"/>
                <w:lang w:val="fr-FR"/>
              </w:rPr>
            </w:pPr>
            <w:r w:rsidRPr="00343CE7">
              <w:rPr>
                <w:rFonts w:eastAsia="Times New Roman"/>
                <w:kern w:val="22"/>
                <w:lang w:val="fr-FR"/>
              </w:rPr>
              <w:t>Appuyer l’élaboration d’approches visant à traiter la question des ressources génétiques et des connaissances traditionnelles associées aux ressources génétiques partagées par plus d’un peuple autochtone et plus d’une communauté locale, y compris dans le contexte des situations transfrontières</w:t>
            </w:r>
            <w:r w:rsidR="00EE54EF">
              <w:rPr>
                <w:rFonts w:eastAsia="Times New Roman"/>
                <w:kern w:val="22"/>
                <w:lang w:val="fr-FR"/>
              </w:rPr>
              <w:t> </w:t>
            </w:r>
            <w:r w:rsidRPr="00343CE7">
              <w:rPr>
                <w:rFonts w:eastAsia="Times New Roman"/>
                <w:kern w:val="22"/>
                <w:lang w:val="fr-FR"/>
              </w:rPr>
              <w:t>;</w:t>
            </w:r>
          </w:p>
          <w:p w14:paraId="163B40BB" w14:textId="01F85EFD" w:rsidR="00343CE7" w:rsidRPr="00343CE7" w:rsidRDefault="00343CE7" w:rsidP="00343CE7">
            <w:pPr>
              <w:numPr>
                <w:ilvl w:val="0"/>
                <w:numId w:val="39"/>
              </w:numPr>
              <w:tabs>
                <w:tab w:val="clear" w:pos="567"/>
                <w:tab w:val="clear" w:pos="1134"/>
                <w:tab w:val="clear" w:pos="1701"/>
                <w:tab w:val="clear" w:pos="2268"/>
              </w:tabs>
              <w:contextualSpacing/>
              <w:rPr>
                <w:rFonts w:eastAsia="Times New Roman"/>
                <w:kern w:val="22"/>
                <w:lang w:val="fr-FR"/>
              </w:rPr>
            </w:pPr>
            <w:r w:rsidRPr="00343CE7">
              <w:rPr>
                <w:rFonts w:eastAsia="Times New Roman"/>
                <w:kern w:val="22"/>
                <w:lang w:val="fr-FR"/>
              </w:rPr>
              <w:t>Appuyer les mécanismes de coordination et le renforcement des institutions au sein des peuples autochtones et des communautés locales et entre eux en vue de traiter les questions d’accès et de partage des avantages</w:t>
            </w:r>
            <w:r w:rsidR="00EE54EF">
              <w:rPr>
                <w:rFonts w:eastAsia="Times New Roman"/>
                <w:kern w:val="22"/>
                <w:lang w:val="fr-FR"/>
              </w:rPr>
              <w:t> </w:t>
            </w:r>
            <w:r w:rsidRPr="00343CE7">
              <w:rPr>
                <w:rFonts w:eastAsia="Times New Roman"/>
                <w:kern w:val="22"/>
                <w:lang w:val="fr-FR"/>
              </w:rPr>
              <w:t>;</w:t>
            </w:r>
          </w:p>
          <w:p w14:paraId="7A2F02FF" w14:textId="0CBB6D0E"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conseils et une formation sur les compétences en matière de mobilisation des ressources (par exemple, dans le contexte de l’élaboration de projets et de la collecte de fonds)</w:t>
            </w:r>
            <w:r w:rsidR="00EE54EF">
              <w:rPr>
                <w:rFonts w:eastAsia="Times New Roman"/>
                <w:kern w:val="22"/>
                <w:lang w:val="fr-FR"/>
              </w:rPr>
              <w:t> </w:t>
            </w:r>
            <w:r w:rsidRPr="00343CE7">
              <w:rPr>
                <w:rFonts w:eastAsia="Times New Roman"/>
                <w:kern w:val="22"/>
                <w:lang w:val="fr-FR"/>
              </w:rPr>
              <w:t>;</w:t>
            </w:r>
          </w:p>
          <w:p w14:paraId="7892F242" w14:textId="534C7868"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conseils, une formation ou une assistance technique sur la manière de collaborer avec les gouvernements et les utilisateurs des ressources génétiques et des connaissances traditionnelles associées</w:t>
            </w:r>
            <w:r w:rsidR="00EE54EF">
              <w:rPr>
                <w:rFonts w:eastAsia="Times New Roman"/>
                <w:kern w:val="22"/>
                <w:lang w:val="fr-FR"/>
              </w:rPr>
              <w:t> </w:t>
            </w:r>
            <w:r w:rsidRPr="00343CE7">
              <w:rPr>
                <w:rFonts w:eastAsia="Times New Roman"/>
                <w:kern w:val="22"/>
                <w:lang w:val="fr-FR"/>
              </w:rPr>
              <w:t>;</w:t>
            </w:r>
          </w:p>
          <w:p w14:paraId="3864D779" w14:textId="118F452F"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Offrir un soutien pour la participation pleine et effective des peuples autochtones et des communautés locales aux forums régionaux et internationaux relatifs à l’accès et au partage des avantages</w:t>
            </w:r>
            <w:r w:rsidR="00EE54EF">
              <w:rPr>
                <w:rFonts w:eastAsia="Times New Roman"/>
                <w:kern w:val="22"/>
                <w:lang w:val="fr-FR"/>
              </w:rPr>
              <w:t> </w:t>
            </w:r>
            <w:r w:rsidRPr="00343CE7">
              <w:rPr>
                <w:rFonts w:eastAsia="Times New Roman"/>
                <w:kern w:val="22"/>
                <w:lang w:val="fr-FR"/>
              </w:rPr>
              <w:t>;</w:t>
            </w:r>
          </w:p>
          <w:p w14:paraId="0FAAFC6D" w14:textId="6DA1DB58"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Élaborer, diffuser et promouvoir l’utilisation de matériel pertinent et culturellement approprié dans les langues locales, le cas échéant</w:t>
            </w:r>
            <w:r w:rsidR="00EE54EF">
              <w:rPr>
                <w:rFonts w:eastAsia="Times New Roman"/>
                <w:kern w:val="22"/>
                <w:lang w:val="fr-FR"/>
              </w:rPr>
              <w:t> </w:t>
            </w:r>
            <w:r w:rsidRPr="00343CE7">
              <w:rPr>
                <w:rFonts w:eastAsia="Times New Roman"/>
                <w:kern w:val="22"/>
                <w:lang w:val="fr-FR"/>
              </w:rPr>
              <w:t xml:space="preserve">; </w:t>
            </w:r>
          </w:p>
          <w:p w14:paraId="2DA28F4E" w14:textId="77777777"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Appuyer la protection des connaissances traditionnelles associées aux ressources génétiques au travers de mécanismes faisant l’objet d’un accord et avec la participation des peuples autochtones et des communautés locales ;</w:t>
            </w:r>
          </w:p>
          <w:p w14:paraId="50607588" w14:textId="77777777" w:rsidR="00343CE7" w:rsidRPr="00343CE7" w:rsidRDefault="00343CE7" w:rsidP="00343CE7">
            <w:pPr>
              <w:numPr>
                <w:ilvl w:val="0"/>
                <w:numId w:val="39"/>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lastRenderedPageBreak/>
              <w:t>Fournir une formation sur l’utilisation du centre d’échange sur l’accès et le partage des avantages.</w:t>
            </w:r>
          </w:p>
        </w:tc>
      </w:tr>
      <w:tr w:rsidR="00343CE7" w:rsidRPr="00343CE7" w14:paraId="26F8E659" w14:textId="77777777" w:rsidTr="00621B49">
        <w:tc>
          <w:tcPr>
            <w:tcW w:w="3402" w:type="dxa"/>
          </w:tcPr>
          <w:p w14:paraId="0385DD5D"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lastRenderedPageBreak/>
              <w:t>4.2. Les protocoles, procédures et lois coutumières des communautés sont élaborés et publiés dans le centre d’échange sur l’accès et le partage des avantages.</w:t>
            </w:r>
          </w:p>
        </w:tc>
        <w:tc>
          <w:tcPr>
            <w:tcW w:w="9923" w:type="dxa"/>
          </w:tcPr>
          <w:p w14:paraId="4189E0CC" w14:textId="4C72843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a)</w:t>
            </w:r>
            <w:r w:rsidRPr="00343CE7">
              <w:rPr>
                <w:rFonts w:eastAsia="Times New Roman"/>
                <w:kern w:val="22"/>
                <w:lang w:val="fr-FR"/>
              </w:rPr>
              <w:tab/>
              <w:t>Fournir des conseils, une formation ou une assistance technique sur la cartographie et la gestion des connaissances traditionnelles associées aux ressources génétiques, le cas échéant</w:t>
            </w:r>
            <w:r w:rsidR="00EE54EF">
              <w:rPr>
                <w:rFonts w:eastAsia="Times New Roman"/>
                <w:kern w:val="22"/>
                <w:lang w:val="fr-FR"/>
              </w:rPr>
              <w:t> </w:t>
            </w:r>
            <w:r w:rsidRPr="00343CE7">
              <w:rPr>
                <w:rFonts w:eastAsia="Times New Roman"/>
                <w:kern w:val="22"/>
                <w:lang w:val="fr-FR"/>
              </w:rPr>
              <w:t>;</w:t>
            </w:r>
          </w:p>
          <w:p w14:paraId="6181CBCC" w14:textId="1F72566A"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b)</w:t>
            </w:r>
            <w:r w:rsidRPr="00343CE7">
              <w:rPr>
                <w:rFonts w:eastAsia="Times New Roman"/>
                <w:kern w:val="22"/>
                <w:lang w:val="fr-FR"/>
              </w:rPr>
              <w:tab/>
              <w:t>Fournir des conseils, une formation ou une assistance technique sur la création de structures de gouvernance pour l’octroi de l’accès et la réception des avantages</w:t>
            </w:r>
            <w:r w:rsidR="00EE54EF">
              <w:rPr>
                <w:rFonts w:eastAsia="Times New Roman"/>
                <w:kern w:val="22"/>
                <w:lang w:val="fr-FR"/>
              </w:rPr>
              <w:t> </w:t>
            </w:r>
            <w:r w:rsidRPr="00343CE7">
              <w:rPr>
                <w:rFonts w:eastAsia="Times New Roman"/>
                <w:kern w:val="22"/>
                <w:lang w:val="fr-FR"/>
              </w:rPr>
              <w:t>;</w:t>
            </w:r>
          </w:p>
          <w:p w14:paraId="4B743B35" w14:textId="77E1F19C"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c)</w:t>
            </w:r>
            <w:r w:rsidRPr="00343CE7">
              <w:rPr>
                <w:rFonts w:eastAsia="Times New Roman"/>
                <w:kern w:val="22"/>
                <w:lang w:val="fr-FR"/>
              </w:rPr>
              <w:tab/>
              <w:t>Faire le point sur les enseignements tirés et les bonnes pratiques afin de contribuer à l’élaboration ou à la révision des protocoles et des procédures communautaires</w:t>
            </w:r>
            <w:r w:rsidR="00EE54EF">
              <w:rPr>
                <w:rFonts w:eastAsia="Times New Roman"/>
                <w:kern w:val="22"/>
                <w:lang w:val="fr-FR"/>
              </w:rPr>
              <w:t> </w:t>
            </w:r>
            <w:r w:rsidRPr="00343CE7">
              <w:rPr>
                <w:rFonts w:eastAsia="Times New Roman"/>
                <w:kern w:val="22"/>
                <w:lang w:val="fr-FR"/>
              </w:rPr>
              <w:t xml:space="preserve">; </w:t>
            </w:r>
          </w:p>
          <w:p w14:paraId="451041E3" w14:textId="1D00FE9D"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d)</w:t>
            </w:r>
            <w:r w:rsidRPr="00343CE7">
              <w:rPr>
                <w:rFonts w:eastAsia="Times New Roman"/>
                <w:kern w:val="22"/>
                <w:lang w:val="fr-FR"/>
              </w:rPr>
              <w:tab/>
              <w:t>Élaborer ou réviser, selon les besoins, diffuser et promouvoir l’utilisation d’orientations, d’outils et de méthodes dans les langues locales, adaptés à la culture et aux pratiques sur les protocoles et les procédures communautaires et sur le droit coutumier</w:t>
            </w:r>
            <w:r w:rsidR="00EE54EF">
              <w:rPr>
                <w:rFonts w:eastAsia="Times New Roman"/>
                <w:kern w:val="22"/>
                <w:lang w:val="fr-FR"/>
              </w:rPr>
              <w:t> </w:t>
            </w:r>
            <w:r w:rsidRPr="00343CE7">
              <w:rPr>
                <w:rFonts w:eastAsia="Times New Roman"/>
                <w:kern w:val="22"/>
                <w:lang w:val="fr-FR"/>
              </w:rPr>
              <w:t xml:space="preserve">; </w:t>
            </w:r>
          </w:p>
          <w:p w14:paraId="1BBC6EF1" w14:textId="7777777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e)</w:t>
            </w:r>
            <w:r w:rsidRPr="00343CE7">
              <w:rPr>
                <w:rFonts w:eastAsia="Times New Roman"/>
                <w:kern w:val="22"/>
                <w:lang w:val="fr-FR"/>
              </w:rPr>
              <w:tab/>
              <w:t>Appuyer l’élaboration de protocoles et procédures communautaires et leur publication dans le centre d’échange sur l’accès et le partage des avantages.</w:t>
            </w:r>
          </w:p>
        </w:tc>
      </w:tr>
      <w:tr w:rsidR="00343CE7" w:rsidRPr="00343CE7" w14:paraId="68909960" w14:textId="77777777" w:rsidTr="00621B49">
        <w:tc>
          <w:tcPr>
            <w:tcW w:w="3402" w:type="dxa"/>
          </w:tcPr>
          <w:p w14:paraId="35A9B328"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4.3. Des exigences minimales relatives aux conditions convenues d’un commun accord et des clauses contractuelles types pour le partage des avantages sont élaborées et publiées dans le centre d’échange sur l’accès et le partage des avantages.</w:t>
            </w:r>
          </w:p>
        </w:tc>
        <w:tc>
          <w:tcPr>
            <w:tcW w:w="9923" w:type="dxa"/>
          </w:tcPr>
          <w:p w14:paraId="4A4AE2AB" w14:textId="5C218887" w:rsidR="00343CE7" w:rsidRPr="00343CE7" w:rsidRDefault="00343CE7" w:rsidP="00343CE7">
            <w:pPr>
              <w:numPr>
                <w:ilvl w:val="0"/>
                <w:numId w:val="40"/>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Élaborer, diffuser et promouvoir l’utilisation d’orientations et d’outils pratiques sur le consentement préalable donné librement en connaissance de cause et les clauses contractuelles types</w:t>
            </w:r>
            <w:r w:rsidR="00EE54EF">
              <w:rPr>
                <w:rFonts w:eastAsia="Times New Roman"/>
                <w:kern w:val="22"/>
                <w:lang w:val="fr-FR"/>
              </w:rPr>
              <w:t> </w:t>
            </w:r>
            <w:r w:rsidRPr="00343CE7">
              <w:rPr>
                <w:rFonts w:eastAsia="Times New Roman"/>
                <w:kern w:val="22"/>
                <w:lang w:val="fr-FR"/>
              </w:rPr>
              <w:t>;</w:t>
            </w:r>
          </w:p>
          <w:p w14:paraId="35E68B7F" w14:textId="6F5116FC" w:rsidR="00343CE7" w:rsidRPr="00343CE7" w:rsidRDefault="00343CE7" w:rsidP="00343CE7">
            <w:pPr>
              <w:numPr>
                <w:ilvl w:val="0"/>
                <w:numId w:val="40"/>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Appuyer l’élaboration de clauses contractuelles types et d’exigences minimales relatives aux conditions convenues d’un commun accord, avec la participation pleine et effective des peuples autochtones et des communautés locales</w:t>
            </w:r>
            <w:r w:rsidR="00EE54EF">
              <w:rPr>
                <w:rFonts w:eastAsia="Times New Roman"/>
                <w:kern w:val="22"/>
                <w:lang w:val="fr-FR"/>
              </w:rPr>
              <w:t> </w:t>
            </w:r>
            <w:r w:rsidRPr="00343CE7">
              <w:rPr>
                <w:rFonts w:eastAsia="Times New Roman"/>
                <w:kern w:val="22"/>
                <w:lang w:val="fr-FR"/>
              </w:rPr>
              <w:t>;</w:t>
            </w:r>
          </w:p>
          <w:p w14:paraId="688244A7" w14:textId="033D7810" w:rsidR="00343CE7" w:rsidRPr="00343CE7" w:rsidRDefault="00343CE7" w:rsidP="00343CE7">
            <w:pPr>
              <w:numPr>
                <w:ilvl w:val="0"/>
                <w:numId w:val="40"/>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sur le consentement préalable donné en connaissance de cause</w:t>
            </w:r>
            <w:r w:rsidRPr="00343CE7">
              <w:rPr>
                <w:rFonts w:eastAsia="Times New Roman"/>
                <w:kern w:val="22"/>
                <w:vertAlign w:val="superscript"/>
                <w:lang w:val="en-GB"/>
              </w:rPr>
              <w:footnoteReference w:id="37"/>
            </w:r>
            <w:r w:rsidRPr="00343CE7">
              <w:rPr>
                <w:rFonts w:eastAsia="Times New Roman"/>
                <w:kern w:val="22"/>
                <w:lang w:val="fr-CA"/>
              </w:rPr>
              <w:t xml:space="preserve"> </w:t>
            </w:r>
            <w:r w:rsidRPr="00343CE7">
              <w:rPr>
                <w:rFonts w:eastAsia="Times New Roman"/>
                <w:kern w:val="22"/>
                <w:lang w:val="fr-FR"/>
              </w:rPr>
              <w:t>et les conditions convenues d’un commun accord.</w:t>
            </w:r>
          </w:p>
        </w:tc>
      </w:tr>
      <w:tr w:rsidR="00343CE7" w:rsidRPr="00343CE7" w14:paraId="2C97E647" w14:textId="77777777" w:rsidTr="00621B49">
        <w:tc>
          <w:tcPr>
            <w:tcW w:w="3402" w:type="dxa"/>
          </w:tcPr>
          <w:p w14:paraId="0E58E87F"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4.4. Des conditions équitables, justes et mutuellement convenues sont négociées et les avantages sont partagés.</w:t>
            </w:r>
          </w:p>
        </w:tc>
        <w:tc>
          <w:tcPr>
            <w:tcW w:w="9923" w:type="dxa"/>
          </w:tcPr>
          <w:p w14:paraId="03DC03D7" w14:textId="3388D3AB" w:rsidR="00343CE7" w:rsidRPr="00343CE7" w:rsidRDefault="00343CE7" w:rsidP="00343CE7">
            <w:pPr>
              <w:numPr>
                <w:ilvl w:val="0"/>
                <w:numId w:val="41"/>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orientations, une formation ou une assistance technique permettant d’évaluer et de comprendre la valeur commerciale et culturelle des ressources génétiques et des connaissances traditionnelles associées, ainsi que les différentes utilisations par les différents secteurs</w:t>
            </w:r>
            <w:r w:rsidR="00EE54EF">
              <w:rPr>
                <w:rFonts w:eastAsia="Times New Roman"/>
                <w:kern w:val="22"/>
                <w:lang w:val="fr-FR"/>
              </w:rPr>
              <w:t> </w:t>
            </w:r>
            <w:r w:rsidRPr="00343CE7">
              <w:rPr>
                <w:rFonts w:eastAsia="Times New Roman"/>
                <w:kern w:val="22"/>
                <w:lang w:val="fr-FR"/>
              </w:rPr>
              <w:t>;</w:t>
            </w:r>
          </w:p>
          <w:p w14:paraId="2A8C0F52" w14:textId="1309098E" w:rsidR="00343CE7" w:rsidRPr="00343CE7" w:rsidRDefault="00343CE7" w:rsidP="00343CE7">
            <w:pPr>
              <w:numPr>
                <w:ilvl w:val="0"/>
                <w:numId w:val="41"/>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Fournir des conseils, une formation ou une assistance technique sur la manière de négocier des accords d’accès et de partage des avantages qui conduisent à un meilleur partage des avantages pour les peuples autochtones et les communautés locales</w:t>
            </w:r>
            <w:r w:rsidR="00EE54EF">
              <w:rPr>
                <w:rFonts w:eastAsia="Times New Roman"/>
                <w:kern w:val="22"/>
                <w:lang w:val="fr-FR"/>
              </w:rPr>
              <w:t> </w:t>
            </w:r>
            <w:r w:rsidRPr="00343CE7">
              <w:rPr>
                <w:rFonts w:eastAsia="Times New Roman"/>
                <w:kern w:val="22"/>
                <w:lang w:val="fr-FR"/>
              </w:rPr>
              <w:t>;</w:t>
            </w:r>
          </w:p>
          <w:p w14:paraId="5A3489D0" w14:textId="00E27F70" w:rsidR="00343CE7" w:rsidRPr="00343CE7" w:rsidRDefault="00343CE7" w:rsidP="00343CE7">
            <w:pPr>
              <w:numPr>
                <w:ilvl w:val="0"/>
                <w:numId w:val="41"/>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 xml:space="preserve">Fournir des conseils, une formation ou une assistance technique sur la mise en œuvre </w:t>
            </w:r>
            <w:r w:rsidR="00BC50D3">
              <w:rPr>
                <w:rFonts w:eastAsia="Times New Roman"/>
                <w:kern w:val="22"/>
                <w:lang w:val="fr-FR"/>
              </w:rPr>
              <w:t>d</w:t>
            </w:r>
            <w:r w:rsidRPr="00343CE7">
              <w:rPr>
                <w:rFonts w:eastAsia="Times New Roman"/>
                <w:kern w:val="22"/>
                <w:lang w:val="fr-FR"/>
              </w:rPr>
              <w:t>es dispositions de l’accord et la garantie d’un partage juste et équitable des avantages.</w:t>
            </w:r>
          </w:p>
        </w:tc>
      </w:tr>
    </w:tbl>
    <w:p w14:paraId="5A69F2FB" w14:textId="77777777" w:rsidR="00343CE7" w:rsidRPr="00343CE7" w:rsidRDefault="00343CE7" w:rsidP="00343CE7">
      <w:pPr>
        <w:tabs>
          <w:tab w:val="clear" w:pos="567"/>
          <w:tab w:val="clear" w:pos="1134"/>
          <w:tab w:val="clear" w:pos="1701"/>
          <w:tab w:val="clear" w:pos="2268"/>
        </w:tabs>
        <w:rPr>
          <w:rFonts w:eastAsia="Times New Roman"/>
          <w:szCs w:val="24"/>
          <w:lang w:val="fr-FR"/>
        </w:rPr>
      </w:pPr>
    </w:p>
    <w:tbl>
      <w:tblPr>
        <w:tblStyle w:val="Grilledutableau"/>
        <w:tblW w:w="13325" w:type="dxa"/>
        <w:tblInd w:w="137" w:type="dxa"/>
        <w:tblLook w:val="04A0" w:firstRow="1" w:lastRow="0" w:firstColumn="1" w:lastColumn="0" w:noHBand="0" w:noVBand="1"/>
      </w:tblPr>
      <w:tblGrid>
        <w:gridCol w:w="3402"/>
        <w:gridCol w:w="9923"/>
      </w:tblGrid>
      <w:tr w:rsidR="00343CE7" w:rsidRPr="00343CE7" w14:paraId="64C8F30D" w14:textId="77777777" w:rsidTr="00621B49">
        <w:tc>
          <w:tcPr>
            <w:tcW w:w="13325" w:type="dxa"/>
            <w:gridSpan w:val="2"/>
          </w:tcPr>
          <w:p w14:paraId="2D9B6213" w14:textId="41EFEDF4" w:rsidR="00343CE7" w:rsidRPr="00343CE7" w:rsidRDefault="00343CE7" w:rsidP="00343CE7">
            <w:pPr>
              <w:tabs>
                <w:tab w:val="clear" w:pos="567"/>
                <w:tab w:val="clear" w:pos="1134"/>
                <w:tab w:val="clear" w:pos="1701"/>
                <w:tab w:val="clear" w:pos="2268"/>
              </w:tabs>
              <w:spacing w:before="120"/>
              <w:rPr>
                <w:rFonts w:eastAsia="Times New Roman"/>
                <w:b/>
                <w:bCs/>
                <w:lang w:val="fr-FR"/>
              </w:rPr>
            </w:pPr>
            <w:r w:rsidRPr="00343CE7">
              <w:rPr>
                <w:rFonts w:eastAsia="Times New Roman"/>
                <w:b/>
                <w:bCs/>
                <w:lang w:val="fr-FR"/>
              </w:rPr>
              <w:t>Résultat</w:t>
            </w:r>
            <w:r w:rsidR="00EE54EF">
              <w:rPr>
                <w:rFonts w:eastAsia="Times New Roman"/>
                <w:b/>
                <w:bCs/>
                <w:lang w:val="fr-FR"/>
              </w:rPr>
              <w:t> </w:t>
            </w:r>
            <w:r w:rsidRPr="00343CE7">
              <w:rPr>
                <w:rFonts w:eastAsia="Times New Roman"/>
                <w:b/>
                <w:bCs/>
                <w:lang w:val="fr-FR"/>
              </w:rPr>
              <w:t>5</w:t>
            </w:r>
            <w:r w:rsidR="00EE54EF">
              <w:rPr>
                <w:rFonts w:eastAsia="Times New Roman"/>
                <w:b/>
                <w:bCs/>
                <w:lang w:val="fr-FR"/>
              </w:rPr>
              <w:t> </w:t>
            </w:r>
            <w:r w:rsidRPr="00343CE7">
              <w:rPr>
                <w:rFonts w:eastAsia="Times New Roman"/>
                <w:b/>
                <w:bCs/>
                <w:lang w:val="fr-FR"/>
              </w:rPr>
              <w:t>: Renforcement des capacités à entreprendre des activités de recherche et de développement endogènes fondées sur la biodiversité afin d’apporter une valeur ajoutée aux ressources génétiques</w:t>
            </w:r>
          </w:p>
          <w:p w14:paraId="3D0E330B" w14:textId="2DD71148" w:rsidR="00343CE7" w:rsidRPr="00343CE7" w:rsidRDefault="00343CE7" w:rsidP="00343CE7">
            <w:pPr>
              <w:tabs>
                <w:tab w:val="clear" w:pos="567"/>
                <w:tab w:val="clear" w:pos="1134"/>
                <w:tab w:val="clear" w:pos="1701"/>
                <w:tab w:val="clear" w:pos="2268"/>
              </w:tabs>
              <w:rPr>
                <w:rFonts w:eastAsia="Times New Roman"/>
                <w:i/>
                <w:iCs/>
                <w:lang w:val="fr-FR"/>
              </w:rPr>
            </w:pPr>
            <w:r w:rsidRPr="00343CE7">
              <w:rPr>
                <w:rFonts w:eastAsia="Times New Roman"/>
                <w:i/>
                <w:iCs/>
                <w:lang w:val="fr-FR"/>
              </w:rPr>
              <w:t>Le résultat</w:t>
            </w:r>
            <w:r w:rsidR="00EE54EF">
              <w:rPr>
                <w:rFonts w:eastAsia="Times New Roman"/>
                <w:i/>
                <w:iCs/>
                <w:lang w:val="fr-FR"/>
              </w:rPr>
              <w:t> </w:t>
            </w:r>
            <w:r w:rsidRPr="00343CE7">
              <w:rPr>
                <w:rFonts w:eastAsia="Times New Roman"/>
                <w:i/>
                <w:iCs/>
                <w:lang w:val="fr-FR"/>
              </w:rPr>
              <w:t>5 concerne le renforcement des capacités des pays à utiliser leurs propres ressources génétiques et à leur apporter une valeur ajoutée. Les réalisations attendues concernent le renforcement de la recherche et de l’éducation endogènes basées sur la biodiversité ainsi que le développement de produits issus de l’utilisation des ressources génétiques.</w:t>
            </w:r>
          </w:p>
        </w:tc>
      </w:tr>
      <w:tr w:rsidR="00343CE7" w:rsidRPr="00343CE7" w14:paraId="1F20D840" w14:textId="77777777" w:rsidTr="00621B49">
        <w:tc>
          <w:tcPr>
            <w:tcW w:w="3402" w:type="dxa"/>
          </w:tcPr>
          <w:p w14:paraId="0C21338F" w14:textId="77777777" w:rsidR="00343CE7" w:rsidRPr="00343CE7" w:rsidRDefault="00343CE7" w:rsidP="00343CE7">
            <w:pPr>
              <w:tabs>
                <w:tab w:val="clear" w:pos="567"/>
                <w:tab w:val="clear" w:pos="1134"/>
                <w:tab w:val="clear" w:pos="1701"/>
                <w:tab w:val="clear" w:pos="2268"/>
              </w:tabs>
              <w:rPr>
                <w:rFonts w:eastAsia="Times New Roman"/>
                <w:b/>
                <w:bCs/>
                <w:lang w:val="fr-FR"/>
              </w:rPr>
            </w:pPr>
            <w:r w:rsidRPr="00343CE7">
              <w:rPr>
                <w:rFonts w:eastAsia="Times New Roman"/>
                <w:b/>
                <w:bCs/>
                <w:lang w:val="fr-FR"/>
              </w:rPr>
              <w:t>Réalisations</w:t>
            </w:r>
          </w:p>
        </w:tc>
        <w:tc>
          <w:tcPr>
            <w:tcW w:w="9923" w:type="dxa"/>
          </w:tcPr>
          <w:p w14:paraId="70C3B5C2" w14:textId="77777777" w:rsidR="00343CE7" w:rsidRPr="00343CE7" w:rsidRDefault="00343CE7" w:rsidP="00343CE7">
            <w:pPr>
              <w:keepNext/>
              <w:keepLines/>
              <w:tabs>
                <w:tab w:val="clear" w:pos="567"/>
                <w:tab w:val="clear" w:pos="1134"/>
                <w:tab w:val="clear" w:pos="1701"/>
                <w:tab w:val="clear" w:pos="2268"/>
              </w:tabs>
              <w:rPr>
                <w:rFonts w:eastAsia="Times New Roman"/>
                <w:lang w:val="fr-FR"/>
              </w:rPr>
            </w:pPr>
            <w:r w:rsidRPr="00343CE7">
              <w:rPr>
                <w:rFonts w:eastAsia="Times New Roman"/>
                <w:b/>
                <w:bCs/>
                <w:kern w:val="22"/>
                <w:lang w:val="fr-FR"/>
              </w:rPr>
              <w:t>Activités indicatives de création et renforcement des capacités</w:t>
            </w:r>
          </w:p>
        </w:tc>
      </w:tr>
      <w:tr w:rsidR="00343CE7" w:rsidRPr="00343CE7" w14:paraId="18D5A663" w14:textId="77777777" w:rsidTr="00621B49">
        <w:tc>
          <w:tcPr>
            <w:tcW w:w="3402" w:type="dxa"/>
          </w:tcPr>
          <w:p w14:paraId="4A14E3FE" w14:textId="77777777" w:rsidR="00343CE7" w:rsidRPr="00343CE7" w:rsidRDefault="00343CE7" w:rsidP="00343CE7">
            <w:pPr>
              <w:tabs>
                <w:tab w:val="clear" w:pos="567"/>
                <w:tab w:val="clear" w:pos="1134"/>
                <w:tab w:val="clear" w:pos="1701"/>
                <w:tab w:val="clear" w:pos="2268"/>
              </w:tabs>
              <w:jc w:val="left"/>
              <w:rPr>
                <w:rFonts w:eastAsia="Times New Roman"/>
                <w:b/>
                <w:bCs/>
                <w:lang w:val="fr-FR"/>
              </w:rPr>
            </w:pPr>
            <w:r w:rsidRPr="00343CE7">
              <w:rPr>
                <w:rFonts w:eastAsia="Times New Roman"/>
                <w:kern w:val="22"/>
                <w:lang w:val="fr-FR"/>
              </w:rPr>
              <w:lastRenderedPageBreak/>
              <w:t>5.1.</w:t>
            </w:r>
            <w:r w:rsidRPr="00343CE7" w:rsidDel="00F7104D">
              <w:rPr>
                <w:rFonts w:eastAsia="Times New Roman"/>
                <w:kern w:val="22"/>
                <w:lang w:val="fr-FR"/>
              </w:rPr>
              <w:t xml:space="preserve"> </w:t>
            </w:r>
            <w:r w:rsidRPr="00343CE7">
              <w:rPr>
                <w:rFonts w:eastAsia="Times New Roman"/>
                <w:kern w:val="22"/>
                <w:lang w:val="fr-FR"/>
              </w:rPr>
              <w:t>Les possibilités, les capacités et les besoins en matière de recherche dans le domaine des ressources génétiques sont déterminés.</w:t>
            </w:r>
          </w:p>
        </w:tc>
        <w:tc>
          <w:tcPr>
            <w:tcW w:w="9923" w:type="dxa"/>
          </w:tcPr>
          <w:p w14:paraId="1E7B71D3" w14:textId="77777777" w:rsidR="00343CE7" w:rsidRPr="00343CE7" w:rsidRDefault="00343CE7" w:rsidP="00343CE7">
            <w:pPr>
              <w:keepNext/>
              <w:keepLines/>
              <w:numPr>
                <w:ilvl w:val="2"/>
                <w:numId w:val="24"/>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Appuyer les évaluations des ressources génétiques [et l’élaboration de leurs chaînes de valeur] afin de déterminer la valeur non commerciale et commerciale existante et potentielle [au sein des chaînes de valeur] ;</w:t>
            </w:r>
          </w:p>
          <w:p w14:paraId="00CA6A5F" w14:textId="5674D6D6" w:rsidR="00343CE7" w:rsidRPr="00343CE7" w:rsidRDefault="00343CE7" w:rsidP="00343CE7">
            <w:pPr>
              <w:keepNext/>
              <w:keepLines/>
              <w:numPr>
                <w:ilvl w:val="2"/>
                <w:numId w:val="24"/>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les évaluations visant à recenser les capacités, les priorités, les besoins et les lacunes en matière de recherche</w:t>
            </w:r>
            <w:r w:rsidR="00EE54EF">
              <w:rPr>
                <w:rFonts w:eastAsia="Times New Roman"/>
                <w:kern w:val="22"/>
                <w:lang w:val="fr-FR"/>
              </w:rPr>
              <w:t> </w:t>
            </w:r>
            <w:r w:rsidRPr="00343CE7">
              <w:rPr>
                <w:rFonts w:eastAsia="Times New Roman"/>
                <w:kern w:val="22"/>
                <w:lang w:val="fr-FR"/>
              </w:rPr>
              <w:t>;</w:t>
            </w:r>
          </w:p>
          <w:p w14:paraId="705F7342" w14:textId="77777777" w:rsidR="00343CE7" w:rsidRPr="00343CE7" w:rsidRDefault="00343CE7" w:rsidP="00343CE7">
            <w:pPr>
              <w:keepNext/>
              <w:keepLines/>
              <w:numPr>
                <w:ilvl w:val="2"/>
                <w:numId w:val="24"/>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l’élaboration de stratégies et de solutions pour répondre aux besoins et aux lacunes identifiés dans les évaluations.</w:t>
            </w:r>
          </w:p>
        </w:tc>
      </w:tr>
      <w:tr w:rsidR="00343CE7" w:rsidRPr="00343CE7" w14:paraId="02634912" w14:textId="77777777" w:rsidTr="00621B49">
        <w:tc>
          <w:tcPr>
            <w:tcW w:w="3402" w:type="dxa"/>
          </w:tcPr>
          <w:p w14:paraId="575CE946"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5.2. Des politiques et/ou des mesures favorisant la recherche et le développement endogènes fondés sur la biodiversité sont établies.</w:t>
            </w:r>
          </w:p>
        </w:tc>
        <w:tc>
          <w:tcPr>
            <w:tcW w:w="9923" w:type="dxa"/>
            <w:tcBorders>
              <w:bottom w:val="single" w:sz="4" w:space="0" w:color="auto"/>
            </w:tcBorders>
          </w:tcPr>
          <w:p w14:paraId="226DFCF2" w14:textId="75A88CEC" w:rsidR="00343CE7" w:rsidRPr="00343CE7" w:rsidRDefault="00343CE7" w:rsidP="00343CE7">
            <w:pPr>
              <w:numPr>
                <w:ilvl w:val="0"/>
                <w:numId w:val="42"/>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Faire le point sur les politiques et mesures existantes en matière de recherche-développement et sur leur impact sur la recherche-développement fondée sur la biodiversité</w:t>
            </w:r>
            <w:r w:rsidR="00EE54EF">
              <w:rPr>
                <w:rFonts w:eastAsia="Times New Roman"/>
                <w:kern w:val="22"/>
                <w:lang w:val="fr-FR"/>
              </w:rPr>
              <w:t> </w:t>
            </w:r>
            <w:r w:rsidRPr="00343CE7">
              <w:rPr>
                <w:rFonts w:eastAsia="Times New Roman"/>
                <w:kern w:val="22"/>
                <w:lang w:val="fr-FR"/>
              </w:rPr>
              <w:t>;</w:t>
            </w:r>
          </w:p>
          <w:p w14:paraId="708D9392" w14:textId="77777777" w:rsidR="00343CE7" w:rsidRPr="00343CE7" w:rsidRDefault="00343CE7" w:rsidP="00343CE7">
            <w:pPr>
              <w:numPr>
                <w:ilvl w:val="0"/>
                <w:numId w:val="42"/>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Appuyer la mise à jour ou l’élaboration de politiques et de mesures nationales favorisant la recherche-développement fondée sur la biodiversité, en tenant compte des besoins, des lacunes et des priorités identifiés, par exemple en créant des incitations financières (crédits d’impôt, subventions et aides).</w:t>
            </w:r>
          </w:p>
        </w:tc>
      </w:tr>
      <w:tr w:rsidR="00343CE7" w:rsidRPr="00343CE7" w14:paraId="47BCF951" w14:textId="77777777" w:rsidTr="00621B49">
        <w:tc>
          <w:tcPr>
            <w:tcW w:w="3402" w:type="dxa"/>
          </w:tcPr>
          <w:p w14:paraId="35F6E2EC"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5.3. Des capacités de recherche et d’éducation pour l’utilisation des ressources génétiques sont en place.</w:t>
            </w:r>
          </w:p>
        </w:tc>
        <w:tc>
          <w:tcPr>
            <w:tcW w:w="9923" w:type="dxa"/>
          </w:tcPr>
          <w:p w14:paraId="5B6C5818" w14:textId="77777777" w:rsidR="00343CE7" w:rsidRPr="00343CE7" w:rsidRDefault="00343CE7" w:rsidP="00343CE7">
            <w:pPr>
              <w:numPr>
                <w:ilvl w:val="2"/>
                <w:numId w:val="21"/>
              </w:numPr>
              <w:tabs>
                <w:tab w:val="clear" w:pos="567"/>
                <w:tab w:val="clear" w:pos="1134"/>
                <w:tab w:val="clear" w:pos="1701"/>
                <w:tab w:val="clear" w:pos="2268"/>
              </w:tabs>
              <w:contextualSpacing/>
              <w:jc w:val="left"/>
              <w:rPr>
                <w:rFonts w:eastAsia="Times New Roman"/>
                <w:kern w:val="22"/>
                <w:szCs w:val="24"/>
                <w:lang w:val="fr-FR"/>
              </w:rPr>
            </w:pPr>
            <w:r w:rsidRPr="00343CE7">
              <w:rPr>
                <w:rFonts w:eastAsia="Times New Roman"/>
                <w:kern w:val="22"/>
                <w:szCs w:val="24"/>
                <w:lang w:val="fr-FR"/>
              </w:rPr>
              <w:t>Élaborer ou renforcer des programmes universitaires portant sur l’utilisation des ressources génétiques, les sciences omiques (génomique, protéomique, transcriptomique et métabolomique) et la bio-informatique [, y compris la production d’information de séquençage sur les ressources génétiques et la création de bases de données] ;</w:t>
            </w:r>
          </w:p>
          <w:p w14:paraId="667C71D3" w14:textId="6F425259" w:rsidR="00343CE7" w:rsidRPr="00343CE7" w:rsidRDefault="00343CE7" w:rsidP="00343CE7">
            <w:pPr>
              <w:numPr>
                <w:ilvl w:val="2"/>
                <w:numId w:val="21"/>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Fournir des conseils, une formation ou une assistance technique sur les installations de base nécessaires (infrastructure physique et institutionnelle)</w:t>
            </w:r>
            <w:r w:rsidR="00EE54EF">
              <w:rPr>
                <w:rFonts w:eastAsia="Times New Roman"/>
                <w:kern w:val="22"/>
                <w:szCs w:val="24"/>
                <w:lang w:val="fr-FR"/>
              </w:rPr>
              <w:t> </w:t>
            </w:r>
            <w:r w:rsidRPr="00343CE7">
              <w:rPr>
                <w:rFonts w:eastAsia="Times New Roman"/>
                <w:kern w:val="22"/>
                <w:szCs w:val="24"/>
                <w:lang w:val="fr-FR"/>
              </w:rPr>
              <w:t>;</w:t>
            </w:r>
          </w:p>
          <w:p w14:paraId="4F279513" w14:textId="6833A081" w:rsidR="00343CE7" w:rsidRPr="00343CE7" w:rsidRDefault="00343CE7" w:rsidP="00343CE7">
            <w:pPr>
              <w:numPr>
                <w:ilvl w:val="2"/>
                <w:numId w:val="21"/>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Promouvoir et encourager[ , selon le cas,] l’accès aux technologies [et leur transfert] [par les pays en développement Parties et [,à des conditions convenues d’un commun accord,] le transfert de technologies [en particulier] vers ces pays ;</w:t>
            </w:r>
          </w:p>
          <w:p w14:paraId="3C8EE98C" w14:textId="58C8BF7C" w:rsidR="00343CE7" w:rsidRPr="00343CE7" w:rsidRDefault="00343CE7" w:rsidP="00343CE7">
            <w:pPr>
              <w:numPr>
                <w:ilvl w:val="2"/>
                <w:numId w:val="21"/>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Appuyer la création ou l’amélioration d’installations et de réseaux de recherche, en particulier dans les pays en développement et les pays à économie en transition</w:t>
            </w:r>
            <w:r w:rsidR="00EE54EF">
              <w:rPr>
                <w:rFonts w:eastAsia="Times New Roman"/>
                <w:kern w:val="22"/>
                <w:szCs w:val="24"/>
                <w:lang w:val="fr-FR"/>
              </w:rPr>
              <w:t> </w:t>
            </w:r>
            <w:r w:rsidRPr="00343CE7">
              <w:rPr>
                <w:rFonts w:eastAsia="Times New Roman"/>
                <w:kern w:val="22"/>
                <w:szCs w:val="24"/>
                <w:lang w:val="fr-FR"/>
              </w:rPr>
              <w:t>;</w:t>
            </w:r>
          </w:p>
          <w:p w14:paraId="51A26C10" w14:textId="77777777" w:rsidR="00343CE7" w:rsidRPr="00343CE7" w:rsidRDefault="00343CE7" w:rsidP="00343CE7">
            <w:pPr>
              <w:numPr>
                <w:ilvl w:val="2"/>
                <w:numId w:val="21"/>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szCs w:val="24"/>
                <w:lang w:val="fr-FR"/>
              </w:rPr>
              <w:t xml:space="preserve">Appuyer la recherche conjointe et la coopération scientifique [et le développement et le transfert conjoints de technologies, particulièrement pour soutenir les pays en développement Parties] ; </w:t>
            </w:r>
          </w:p>
          <w:p w14:paraId="5F18713C" w14:textId="77777777" w:rsidR="00343CE7" w:rsidRPr="00343CE7" w:rsidRDefault="00343CE7" w:rsidP="00343CE7">
            <w:pPr>
              <w:numPr>
                <w:ilvl w:val="2"/>
                <w:numId w:val="21"/>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szCs w:val="24"/>
                <w:lang w:val="fr-FR"/>
              </w:rPr>
              <w:t>[Soutenir] la création de réseaux multilatéraux entre les institutions de recherche publiques et privées, les universités, les peuples autochtones et les communautés locales, les entreprises et la société civile.</w:t>
            </w:r>
          </w:p>
        </w:tc>
      </w:tr>
      <w:tr w:rsidR="00343CE7" w:rsidRPr="00343CE7" w14:paraId="6DDF2756" w14:textId="77777777" w:rsidTr="00621B49">
        <w:tc>
          <w:tcPr>
            <w:tcW w:w="3402" w:type="dxa"/>
            <w:shd w:val="clear" w:color="auto" w:fill="auto"/>
          </w:tcPr>
          <w:p w14:paraId="37B56F32"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5.4. La recherche et le développement liés à l’utilisation des ressources génétiques sont encouragés.</w:t>
            </w:r>
          </w:p>
        </w:tc>
        <w:tc>
          <w:tcPr>
            <w:tcW w:w="9923" w:type="dxa"/>
            <w:shd w:val="clear" w:color="auto" w:fill="auto"/>
          </w:tcPr>
          <w:p w14:paraId="467791AD" w14:textId="0A8EEEA6" w:rsidR="00343CE7" w:rsidRPr="00343CE7" w:rsidRDefault="00343CE7" w:rsidP="00343CE7">
            <w:pPr>
              <w:numPr>
                <w:ilvl w:val="2"/>
                <w:numId w:val="22"/>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Mettre en place des systèmes de subventions nationales et internationales pour appuyer la recherche et le développement sur les ressources génétiques au niveau national</w:t>
            </w:r>
            <w:r w:rsidR="00EE54EF">
              <w:rPr>
                <w:rFonts w:eastAsia="Times New Roman"/>
                <w:kern w:val="22"/>
                <w:lang w:val="fr-FR"/>
              </w:rPr>
              <w:t> </w:t>
            </w:r>
            <w:r w:rsidRPr="00343CE7">
              <w:rPr>
                <w:rFonts w:eastAsia="Times New Roman"/>
                <w:kern w:val="22"/>
                <w:lang w:val="fr-FR"/>
              </w:rPr>
              <w:t>;</w:t>
            </w:r>
          </w:p>
          <w:p w14:paraId="741C82BF" w14:textId="70B9CAFC" w:rsidR="00343CE7" w:rsidRPr="00343CE7" w:rsidRDefault="00343CE7" w:rsidP="00343CE7">
            <w:pPr>
              <w:numPr>
                <w:ilvl w:val="2"/>
                <w:numId w:val="2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orientations, une formation ou une assistance technique à divers secteurs sur les modèles de recherche et développement en rapport avec l’utilisation des ressources génétiques</w:t>
            </w:r>
            <w:r w:rsidR="00EE54EF">
              <w:rPr>
                <w:rFonts w:eastAsia="Times New Roman"/>
                <w:kern w:val="22"/>
                <w:lang w:val="fr-FR"/>
              </w:rPr>
              <w:t> </w:t>
            </w:r>
            <w:r w:rsidRPr="00343CE7">
              <w:rPr>
                <w:rFonts w:eastAsia="Times New Roman"/>
                <w:kern w:val="22"/>
                <w:lang w:val="fr-FR"/>
              </w:rPr>
              <w:t>;</w:t>
            </w:r>
          </w:p>
          <w:p w14:paraId="04D0BE9E" w14:textId="666BB5A2" w:rsidR="00343CE7" w:rsidRPr="00343CE7" w:rsidRDefault="00343CE7" w:rsidP="00343CE7">
            <w:pPr>
              <w:numPr>
                <w:ilvl w:val="2"/>
                <w:numId w:val="2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Élaborer, diffuser et promouvoir l’utilisation de matériel de formation pertinent</w:t>
            </w:r>
            <w:r w:rsidR="00EE54EF">
              <w:rPr>
                <w:rFonts w:eastAsia="Times New Roman"/>
                <w:kern w:val="22"/>
                <w:lang w:val="fr-FR"/>
              </w:rPr>
              <w:t> </w:t>
            </w:r>
            <w:r w:rsidRPr="00343CE7">
              <w:rPr>
                <w:rFonts w:eastAsia="Times New Roman"/>
                <w:kern w:val="22"/>
                <w:lang w:val="fr-FR"/>
              </w:rPr>
              <w:t>;</w:t>
            </w:r>
          </w:p>
          <w:p w14:paraId="572D7629" w14:textId="75BE27A6" w:rsidR="00343CE7" w:rsidRPr="00343CE7" w:rsidRDefault="00343CE7" w:rsidP="00343CE7">
            <w:pPr>
              <w:numPr>
                <w:ilvl w:val="2"/>
                <w:numId w:val="2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Améliorer l’accès effectif aux bases de données internationales et permettre leur utilisation par les chercheurs des pays en développement et des pays à économie en transition</w:t>
            </w:r>
            <w:r w:rsidR="00EE54EF">
              <w:rPr>
                <w:rFonts w:eastAsia="Times New Roman"/>
                <w:kern w:val="22"/>
                <w:lang w:val="fr-FR"/>
              </w:rPr>
              <w:t> </w:t>
            </w:r>
            <w:r w:rsidRPr="00343CE7">
              <w:rPr>
                <w:rFonts w:eastAsia="Times New Roman"/>
                <w:kern w:val="22"/>
                <w:lang w:val="fr-FR"/>
              </w:rPr>
              <w:t>;</w:t>
            </w:r>
          </w:p>
          <w:p w14:paraId="061AD6AB" w14:textId="04CA30F2" w:rsidR="00343CE7" w:rsidRPr="00343CE7" w:rsidRDefault="00343CE7" w:rsidP="00343CE7">
            <w:pPr>
              <w:numPr>
                <w:ilvl w:val="2"/>
                <w:numId w:val="2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Favoriser et renforcer les partenariats de recherche entre les pays utilisateurs et les pays fournisseurs</w:t>
            </w:r>
            <w:r w:rsidR="00EE54EF">
              <w:rPr>
                <w:rFonts w:eastAsia="Times New Roman"/>
                <w:kern w:val="22"/>
                <w:lang w:val="fr-FR"/>
              </w:rPr>
              <w:t> </w:t>
            </w:r>
            <w:r w:rsidRPr="00343CE7">
              <w:rPr>
                <w:rFonts w:eastAsia="Times New Roman"/>
                <w:kern w:val="22"/>
                <w:lang w:val="fr-FR"/>
              </w:rPr>
              <w:t>;</w:t>
            </w:r>
          </w:p>
          <w:p w14:paraId="4EAA1472" w14:textId="77777777" w:rsidR="00343CE7" w:rsidRPr="00343CE7" w:rsidRDefault="00343CE7" w:rsidP="00343CE7">
            <w:pPr>
              <w:numPr>
                <w:ilvl w:val="2"/>
                <w:numId w:val="22"/>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conseils, une formation ou une assistance technique sur les droits de propriété intellectuelle liés à la recherche.</w:t>
            </w:r>
          </w:p>
        </w:tc>
      </w:tr>
      <w:tr w:rsidR="00343CE7" w:rsidRPr="00343CE7" w14:paraId="41C65867" w14:textId="77777777" w:rsidTr="00621B49">
        <w:tc>
          <w:tcPr>
            <w:tcW w:w="3402" w:type="dxa"/>
            <w:shd w:val="clear" w:color="auto" w:fill="auto"/>
          </w:tcPr>
          <w:p w14:paraId="24F50ADA" w14:textId="77777777" w:rsidR="00343CE7" w:rsidRPr="00343CE7" w:rsidRDefault="00343CE7" w:rsidP="00343CE7">
            <w:pPr>
              <w:tabs>
                <w:tab w:val="clear" w:pos="567"/>
                <w:tab w:val="clear" w:pos="1134"/>
                <w:tab w:val="clear" w:pos="1701"/>
                <w:tab w:val="clear" w:pos="2268"/>
              </w:tabs>
              <w:jc w:val="left"/>
              <w:rPr>
                <w:rFonts w:eastAsia="Times New Roman"/>
                <w:kern w:val="22"/>
                <w:lang w:val="fr-FR"/>
              </w:rPr>
            </w:pPr>
            <w:r w:rsidRPr="00343CE7">
              <w:rPr>
                <w:rFonts w:eastAsia="Times New Roman"/>
                <w:lang w:val="fr-FR"/>
              </w:rPr>
              <w:lastRenderedPageBreak/>
              <w:t>5.5 Le développement de produits commerciaux issus de l’utilisation des ressources génétiques est appuyé.</w:t>
            </w:r>
          </w:p>
        </w:tc>
        <w:tc>
          <w:tcPr>
            <w:tcW w:w="9923" w:type="dxa"/>
            <w:shd w:val="clear" w:color="auto" w:fill="auto"/>
          </w:tcPr>
          <w:p w14:paraId="67AE035E" w14:textId="19C4CD3C" w:rsidR="00343CE7" w:rsidRPr="00343CE7" w:rsidRDefault="00343CE7" w:rsidP="00343CE7">
            <w:pPr>
              <w:numPr>
                <w:ilvl w:val="2"/>
                <w:numId w:val="23"/>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t>Fournir des conseils, une formation ou une assistance technique sur les questions liées à l’accès aux marchés et à la commercialisation des produits issus de l’utilisation des ressources génétiques, en indiquant les coûts et les avantages commerciaux et non commerciaux potentiels tout au long de la chaîne de valeur, ainsi que les délais de génération des avantages</w:t>
            </w:r>
            <w:r w:rsidR="00EE54EF">
              <w:rPr>
                <w:rFonts w:eastAsia="Times New Roman"/>
                <w:kern w:val="22"/>
                <w:lang w:val="fr-FR"/>
              </w:rPr>
              <w:t> </w:t>
            </w:r>
            <w:r w:rsidRPr="00343CE7">
              <w:rPr>
                <w:rFonts w:eastAsia="Times New Roman"/>
                <w:kern w:val="22"/>
                <w:lang w:val="fr-FR"/>
              </w:rPr>
              <w:t>;</w:t>
            </w:r>
          </w:p>
          <w:p w14:paraId="19C41381" w14:textId="2555E302" w:rsidR="00343CE7" w:rsidRPr="00343CE7" w:rsidRDefault="00343CE7" w:rsidP="00343CE7">
            <w:pPr>
              <w:numPr>
                <w:ilvl w:val="2"/>
                <w:numId w:val="23"/>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Fournir des conseils, une formation ou une assistance technique sur [des approches possibles de] la bioéconomie durable [et circulaire], les chaînes de valeur, la valeur ajoutée, la traçabilité des ressources génétiques et la commercialisation des produits</w:t>
            </w:r>
            <w:r w:rsidR="00EE54EF">
              <w:rPr>
                <w:rFonts w:eastAsia="Times New Roman"/>
                <w:kern w:val="22"/>
                <w:lang w:val="fr-FR"/>
              </w:rPr>
              <w:t> </w:t>
            </w:r>
            <w:r w:rsidRPr="00343CE7">
              <w:rPr>
                <w:rFonts w:eastAsia="Times New Roman"/>
                <w:kern w:val="22"/>
                <w:lang w:val="fr-FR"/>
              </w:rPr>
              <w:t>;</w:t>
            </w:r>
          </w:p>
          <w:p w14:paraId="122CF3FD" w14:textId="746EE511" w:rsidR="00343CE7" w:rsidRPr="00343CE7" w:rsidRDefault="00343CE7" w:rsidP="00343CE7">
            <w:pPr>
              <w:numPr>
                <w:ilvl w:val="2"/>
                <w:numId w:val="23"/>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Appuyer les petites et moyennes entreprises dans le développement de produits [durables] issus de la biodiversité</w:t>
            </w:r>
            <w:r w:rsidR="00EE54EF">
              <w:rPr>
                <w:rFonts w:eastAsia="Times New Roman"/>
                <w:kern w:val="22"/>
                <w:lang w:val="fr-FR"/>
              </w:rPr>
              <w:t> </w:t>
            </w:r>
            <w:r w:rsidRPr="00343CE7">
              <w:rPr>
                <w:rFonts w:eastAsia="Times New Roman"/>
                <w:kern w:val="22"/>
                <w:lang w:val="fr-FR"/>
              </w:rPr>
              <w:t>;</w:t>
            </w:r>
          </w:p>
          <w:p w14:paraId="6198E642" w14:textId="1FA15287" w:rsidR="00343CE7" w:rsidRPr="00343CE7" w:rsidRDefault="00343CE7" w:rsidP="00343CE7">
            <w:pPr>
              <w:tabs>
                <w:tab w:val="clear" w:pos="567"/>
                <w:tab w:val="clear" w:pos="1134"/>
                <w:tab w:val="clear" w:pos="1701"/>
                <w:tab w:val="clear" w:pos="2268"/>
              </w:tabs>
              <w:ind w:left="360" w:hanging="360"/>
              <w:jc w:val="left"/>
              <w:rPr>
                <w:rFonts w:eastAsia="Times New Roman"/>
                <w:kern w:val="22"/>
                <w:lang w:val="fr-FR"/>
              </w:rPr>
            </w:pPr>
            <w:r w:rsidRPr="00343CE7">
              <w:rPr>
                <w:rFonts w:eastAsia="Times New Roman"/>
                <w:kern w:val="22"/>
                <w:lang w:val="fr-FR"/>
              </w:rPr>
              <w:t>d) Appuyer les partenariats public-privé en matière de recherche et développement et de commercialisation de produits issus de l’utilisation des ressources génétiques.</w:t>
            </w:r>
          </w:p>
        </w:tc>
      </w:tr>
    </w:tbl>
    <w:p w14:paraId="713A4CDE" w14:textId="77777777" w:rsidR="00343CE7" w:rsidRPr="00343CE7" w:rsidRDefault="00343CE7" w:rsidP="00343CE7">
      <w:pPr>
        <w:tabs>
          <w:tab w:val="clear" w:pos="567"/>
          <w:tab w:val="clear" w:pos="1134"/>
          <w:tab w:val="clear" w:pos="1701"/>
          <w:tab w:val="clear" w:pos="2268"/>
        </w:tabs>
        <w:jc w:val="left"/>
        <w:rPr>
          <w:rFonts w:eastAsia="Times New Roman"/>
          <w:lang w:val="fr-FR"/>
        </w:rPr>
      </w:pPr>
    </w:p>
    <w:tbl>
      <w:tblPr>
        <w:tblStyle w:val="Grilledutableau"/>
        <w:tblW w:w="13325" w:type="dxa"/>
        <w:tblInd w:w="137" w:type="dxa"/>
        <w:tblLook w:val="04A0" w:firstRow="1" w:lastRow="0" w:firstColumn="1" w:lastColumn="0" w:noHBand="0" w:noVBand="1"/>
      </w:tblPr>
      <w:tblGrid>
        <w:gridCol w:w="3638"/>
        <w:gridCol w:w="9687"/>
      </w:tblGrid>
      <w:tr w:rsidR="00343CE7" w:rsidRPr="00343CE7" w14:paraId="6FE98130" w14:textId="77777777" w:rsidTr="00621B49">
        <w:tc>
          <w:tcPr>
            <w:tcW w:w="13325" w:type="dxa"/>
            <w:gridSpan w:val="2"/>
          </w:tcPr>
          <w:p w14:paraId="64A3DE9A" w14:textId="0B4B8151" w:rsidR="00343CE7" w:rsidRPr="00343CE7" w:rsidRDefault="00343CE7" w:rsidP="00343CE7">
            <w:pPr>
              <w:tabs>
                <w:tab w:val="clear" w:pos="567"/>
                <w:tab w:val="clear" w:pos="1134"/>
                <w:tab w:val="clear" w:pos="1701"/>
                <w:tab w:val="clear" w:pos="2268"/>
              </w:tabs>
              <w:spacing w:before="120"/>
              <w:rPr>
                <w:rFonts w:eastAsia="Times New Roman"/>
                <w:i/>
                <w:iCs/>
                <w:szCs w:val="24"/>
                <w:lang w:val="fr-FR"/>
              </w:rPr>
            </w:pPr>
            <w:r w:rsidRPr="00343CE7">
              <w:rPr>
                <w:rFonts w:eastAsia="Times New Roman"/>
                <w:b/>
                <w:bCs/>
                <w:szCs w:val="24"/>
                <w:lang w:val="fr-FR"/>
              </w:rPr>
              <w:t>Résultat</w:t>
            </w:r>
            <w:r w:rsidR="00EE54EF">
              <w:rPr>
                <w:rFonts w:eastAsia="Times New Roman"/>
                <w:b/>
                <w:bCs/>
                <w:szCs w:val="24"/>
                <w:lang w:val="fr-FR"/>
              </w:rPr>
              <w:t> </w:t>
            </w:r>
            <w:r w:rsidRPr="00343CE7">
              <w:rPr>
                <w:rFonts w:eastAsia="Times New Roman"/>
                <w:b/>
                <w:bCs/>
                <w:szCs w:val="24"/>
                <w:lang w:val="fr-FR"/>
              </w:rPr>
              <w:t>6</w:t>
            </w:r>
            <w:r w:rsidR="00EE54EF">
              <w:rPr>
                <w:rFonts w:eastAsia="Times New Roman"/>
                <w:b/>
                <w:bCs/>
                <w:szCs w:val="24"/>
                <w:lang w:val="fr-FR"/>
              </w:rPr>
              <w:t> </w:t>
            </w:r>
            <w:r w:rsidRPr="00343CE7">
              <w:rPr>
                <w:rFonts w:eastAsia="Times New Roman"/>
                <w:b/>
                <w:bCs/>
                <w:szCs w:val="24"/>
                <w:lang w:val="fr-FR"/>
              </w:rPr>
              <w:t>: Renforcement de la capacité à favoriser des approches inclusives pangouvernementales et de toute la société pour la mise en œuvre du Protocole</w:t>
            </w:r>
          </w:p>
          <w:p w14:paraId="7D9FA0D2" w14:textId="77288881" w:rsidR="00343CE7" w:rsidRPr="00343CE7" w:rsidRDefault="00343CE7" w:rsidP="00343CE7">
            <w:pPr>
              <w:tabs>
                <w:tab w:val="clear" w:pos="567"/>
                <w:tab w:val="clear" w:pos="1134"/>
                <w:tab w:val="clear" w:pos="1701"/>
                <w:tab w:val="clear" w:pos="2268"/>
              </w:tabs>
              <w:jc w:val="left"/>
              <w:rPr>
                <w:rFonts w:eastAsia="Times New Roman"/>
                <w:i/>
                <w:iCs/>
                <w:lang w:val="fr-FR"/>
              </w:rPr>
            </w:pPr>
            <w:r w:rsidRPr="00343CE7">
              <w:rPr>
                <w:rFonts w:eastAsia="Times New Roman"/>
                <w:i/>
                <w:iCs/>
                <w:lang w:val="fr-FR"/>
              </w:rPr>
              <w:t>Le résultat</w:t>
            </w:r>
            <w:r w:rsidR="00EE54EF">
              <w:rPr>
                <w:rFonts w:eastAsia="Times New Roman"/>
                <w:i/>
                <w:iCs/>
                <w:lang w:val="fr-FR"/>
              </w:rPr>
              <w:t> </w:t>
            </w:r>
            <w:r w:rsidRPr="00343CE7">
              <w:rPr>
                <w:rFonts w:eastAsia="Times New Roman"/>
                <w:i/>
                <w:iCs/>
                <w:lang w:val="fr-FR"/>
              </w:rPr>
              <w:t>6 couvre une série de questions intersectorielles importantes pour la mise en œuvre du Protocole et concerne le renforcement des capacités, y compris la communication stratégique, l’engagement multipartite et les approches sensibles au genre et aux jeunes, ainsi que la capacité des utilisateurs à se conformer aux obligations du Protocole. Les réalisations attendues concernent, entre autres, l’amélioration des connaissances en matière de communication stratégique et de sensibilisation, la participation de multiples parties prenantes, la participation des femmes et des jeunes et la sensibilisation des utilisateurs au respect du Protocole de Nagoya.</w:t>
            </w:r>
          </w:p>
        </w:tc>
      </w:tr>
      <w:tr w:rsidR="00343CE7" w:rsidRPr="00343CE7" w14:paraId="1B0716F3" w14:textId="77777777" w:rsidTr="00621B49">
        <w:tc>
          <w:tcPr>
            <w:tcW w:w="3638" w:type="dxa"/>
          </w:tcPr>
          <w:p w14:paraId="6C0DF3AA" w14:textId="77777777" w:rsidR="00343CE7" w:rsidRPr="00343CE7" w:rsidRDefault="00343CE7" w:rsidP="00343CE7">
            <w:pPr>
              <w:tabs>
                <w:tab w:val="clear" w:pos="567"/>
                <w:tab w:val="clear" w:pos="1134"/>
                <w:tab w:val="clear" w:pos="1701"/>
                <w:tab w:val="clear" w:pos="2268"/>
              </w:tabs>
              <w:rPr>
                <w:rFonts w:asciiTheme="majorBidi" w:eastAsia="Times New Roman" w:hAnsiTheme="majorBidi" w:cstheme="majorBidi"/>
                <w:b/>
                <w:bCs/>
                <w:lang w:val="fr-FR"/>
              </w:rPr>
            </w:pPr>
            <w:r w:rsidRPr="00343CE7">
              <w:rPr>
                <w:rFonts w:asciiTheme="majorBidi" w:eastAsia="Times New Roman" w:hAnsiTheme="majorBidi" w:cstheme="majorBidi"/>
                <w:b/>
                <w:bCs/>
                <w:lang w:val="fr-FR"/>
              </w:rPr>
              <w:t>Réalisations</w:t>
            </w:r>
          </w:p>
        </w:tc>
        <w:tc>
          <w:tcPr>
            <w:tcW w:w="9687" w:type="dxa"/>
          </w:tcPr>
          <w:p w14:paraId="6E49A9E1" w14:textId="77777777" w:rsidR="00343CE7" w:rsidRPr="00343CE7" w:rsidRDefault="00343CE7" w:rsidP="00343CE7">
            <w:pPr>
              <w:tabs>
                <w:tab w:val="clear" w:pos="567"/>
                <w:tab w:val="clear" w:pos="1134"/>
                <w:tab w:val="clear" w:pos="1701"/>
                <w:tab w:val="clear" w:pos="2268"/>
              </w:tabs>
              <w:rPr>
                <w:rFonts w:asciiTheme="majorBidi" w:eastAsia="Times New Roman" w:hAnsiTheme="majorBidi" w:cstheme="majorBidi"/>
                <w:lang w:val="fr-FR"/>
              </w:rPr>
            </w:pPr>
            <w:r w:rsidRPr="00343CE7">
              <w:rPr>
                <w:rFonts w:eastAsia="Times New Roman"/>
                <w:b/>
                <w:bCs/>
                <w:kern w:val="22"/>
                <w:lang w:val="fr-FR"/>
              </w:rPr>
              <w:t>Activités indicatives de création et renforcement des capacités</w:t>
            </w:r>
          </w:p>
        </w:tc>
      </w:tr>
      <w:tr w:rsidR="00343CE7" w:rsidRPr="00343CE7" w14:paraId="04C6427B" w14:textId="77777777" w:rsidTr="00621B49">
        <w:tc>
          <w:tcPr>
            <w:tcW w:w="3638" w:type="dxa"/>
          </w:tcPr>
          <w:p w14:paraId="7A0825A4"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t>6.1. Les connaissances sur la manière d’utiliser la communication stratégique et de sensibiliser à l’importance des ressources génétiques, des connaissances traditionnelles associées et des questions liées à l’accès et au partage des avantages ont augmenté.</w:t>
            </w:r>
          </w:p>
        </w:tc>
        <w:tc>
          <w:tcPr>
            <w:tcW w:w="9687" w:type="dxa"/>
          </w:tcPr>
          <w:p w14:paraId="2598FBB7" w14:textId="6189DC8E" w:rsidR="00343CE7" w:rsidRPr="00343CE7" w:rsidRDefault="00343CE7" w:rsidP="00343CE7">
            <w:pPr>
              <w:numPr>
                <w:ilvl w:val="2"/>
                <w:numId w:val="28"/>
              </w:numPr>
              <w:tabs>
                <w:tab w:val="clear" w:pos="567"/>
                <w:tab w:val="clear" w:pos="1134"/>
                <w:tab w:val="clear" w:pos="1701"/>
                <w:tab w:val="clear" w:pos="2268"/>
              </w:tabs>
              <w:contextualSpacing/>
              <w:jc w:val="left"/>
              <w:rPr>
                <w:rFonts w:eastAsia="Times New Roman"/>
                <w:kern w:val="22"/>
                <w:szCs w:val="24"/>
                <w:lang w:val="fr-FR"/>
              </w:rPr>
            </w:pPr>
            <w:r w:rsidRPr="00343CE7">
              <w:rPr>
                <w:rFonts w:eastAsia="Times New Roman"/>
                <w:kern w:val="22"/>
                <w:szCs w:val="24"/>
                <w:lang w:val="fr-FR"/>
              </w:rPr>
              <w:t>Élaborer ou réviser, selon les besoins, diffuser et promouvoir l’utilisation de matériel de communication et de sensibilisation stratégique et culturellement approprié à l’intention des journalistes et autres médias et des experts en communication sur l’importance des ressources génétiques et des connaissances traditionnelles associées et le partage juste et équitable des avantages qui découlent de l’utilisation de ces ressources, ainsi que l’élaboration de stratégies de sensibilisation adaptées à différents publics, y compris les représentants du gouvernement, les peuples autochtones et les communautés locales, la communauté de la recherche, le secteur des entreprises, la société civile, les femmes et les jeunes</w:t>
            </w:r>
            <w:r w:rsidR="00EE54EF">
              <w:rPr>
                <w:rFonts w:eastAsia="Times New Roman"/>
                <w:kern w:val="22"/>
                <w:szCs w:val="24"/>
                <w:lang w:val="fr-FR"/>
              </w:rPr>
              <w:t> </w:t>
            </w:r>
            <w:r w:rsidRPr="00343CE7">
              <w:rPr>
                <w:rFonts w:eastAsia="Times New Roman"/>
                <w:kern w:val="22"/>
                <w:szCs w:val="24"/>
                <w:lang w:val="fr-FR"/>
              </w:rPr>
              <w:t>;</w:t>
            </w:r>
          </w:p>
          <w:p w14:paraId="78FD6E20" w14:textId="0B6899DD" w:rsidR="00343CE7" w:rsidRPr="00343CE7" w:rsidRDefault="00343CE7" w:rsidP="00343CE7">
            <w:pPr>
              <w:numPr>
                <w:ilvl w:val="2"/>
                <w:numId w:val="28"/>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Élaborer ou réviser, selon les besoins, diffuser et promouvoir l’utilisation de matériel de formation, de conseils pratiques et d’outils afin de s’assurer que la formation répond aux besoins du groupe cible concerné</w:t>
            </w:r>
            <w:r w:rsidR="00EE54EF">
              <w:rPr>
                <w:rFonts w:eastAsia="Times New Roman"/>
                <w:kern w:val="22"/>
                <w:szCs w:val="24"/>
                <w:lang w:val="fr-FR"/>
              </w:rPr>
              <w:t> </w:t>
            </w:r>
            <w:r w:rsidRPr="00343CE7">
              <w:rPr>
                <w:rFonts w:eastAsia="Times New Roman"/>
                <w:kern w:val="22"/>
                <w:szCs w:val="24"/>
                <w:lang w:val="fr-FR"/>
              </w:rPr>
              <w:t>;</w:t>
            </w:r>
          </w:p>
          <w:p w14:paraId="2D76A8E1" w14:textId="77777777" w:rsidR="00343CE7" w:rsidRPr="00343CE7" w:rsidRDefault="00343CE7" w:rsidP="00343CE7">
            <w:pPr>
              <w:numPr>
                <w:ilvl w:val="2"/>
                <w:numId w:val="28"/>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Fournir une formation ou une assistance technique sur la communication stratégique et le développement de stratégies de sensibilisation en utilisant le matériel existant ;</w:t>
            </w:r>
            <w:r w:rsidRPr="00343CE7">
              <w:rPr>
                <w:rFonts w:eastAsia="Times New Roman"/>
                <w:kern w:val="22"/>
                <w:szCs w:val="24"/>
                <w:vertAlign w:val="superscript"/>
                <w:lang w:val="fr-FR"/>
              </w:rPr>
              <w:footnoteReference w:id="38"/>
            </w:r>
            <w:r w:rsidRPr="00343CE7">
              <w:rPr>
                <w:rFonts w:eastAsia="Times New Roman"/>
                <w:kern w:val="22"/>
                <w:szCs w:val="24"/>
                <w:lang w:val="fr-FR"/>
              </w:rPr>
              <w:t xml:space="preserve"> </w:t>
            </w:r>
          </w:p>
          <w:p w14:paraId="3C397EE7" w14:textId="77777777" w:rsidR="00343CE7" w:rsidRPr="00343CE7" w:rsidRDefault="00343CE7" w:rsidP="00343CE7">
            <w:pPr>
              <w:numPr>
                <w:ilvl w:val="2"/>
                <w:numId w:val="28"/>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Publier des supports de communication stratégique et de sensibilisation pertinents et partager des exemples de leur utilisation dans le centre d’échange sur l’accès et le partage des avantages.</w:t>
            </w:r>
          </w:p>
        </w:tc>
      </w:tr>
      <w:tr w:rsidR="00343CE7" w:rsidRPr="00343CE7" w14:paraId="6B46F095" w14:textId="77777777" w:rsidTr="00621B49">
        <w:tc>
          <w:tcPr>
            <w:tcW w:w="3638" w:type="dxa"/>
            <w:shd w:val="clear" w:color="auto" w:fill="auto"/>
          </w:tcPr>
          <w:p w14:paraId="44F12500"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lastRenderedPageBreak/>
              <w:t>6.2. Les connaissances sur la manière de mener des processus d’engagement multipartites se sont améliorées.</w:t>
            </w:r>
          </w:p>
        </w:tc>
        <w:tc>
          <w:tcPr>
            <w:tcW w:w="9687" w:type="dxa"/>
            <w:shd w:val="clear" w:color="auto" w:fill="auto"/>
          </w:tcPr>
          <w:p w14:paraId="7225534E" w14:textId="1D65BE74" w:rsidR="00343CE7" w:rsidRPr="00343CE7" w:rsidRDefault="00343CE7" w:rsidP="00343CE7">
            <w:pPr>
              <w:numPr>
                <w:ilvl w:val="2"/>
                <w:numId w:val="27"/>
              </w:numPr>
              <w:tabs>
                <w:tab w:val="clear" w:pos="567"/>
                <w:tab w:val="clear" w:pos="1134"/>
                <w:tab w:val="clear" w:pos="1701"/>
                <w:tab w:val="clear" w:pos="2268"/>
              </w:tabs>
              <w:contextualSpacing/>
              <w:jc w:val="left"/>
              <w:rPr>
                <w:rFonts w:eastAsia="Times New Roman"/>
                <w:kern w:val="22"/>
                <w:szCs w:val="24"/>
                <w:lang w:val="fr-FR"/>
              </w:rPr>
            </w:pPr>
            <w:r w:rsidRPr="00343CE7">
              <w:rPr>
                <w:rFonts w:eastAsia="Times New Roman"/>
                <w:kern w:val="22"/>
                <w:szCs w:val="24"/>
                <w:lang w:val="fr-FR"/>
              </w:rPr>
              <w:t>Élaborer ou réviser, selon les besoins, diffuser et promouvoir l’utilisation d’orientations et d’outils pratiques sur l’intégration des processus d’engagement multipartite, ainsi que des approches pratiques fondées sur l’ensemble du gouvernement et de la société aux fins de la mise en œuvre du Protocole</w:t>
            </w:r>
            <w:r w:rsidR="00EE54EF">
              <w:rPr>
                <w:rFonts w:eastAsia="Times New Roman"/>
                <w:kern w:val="22"/>
                <w:szCs w:val="24"/>
                <w:lang w:val="fr-FR"/>
              </w:rPr>
              <w:t> </w:t>
            </w:r>
            <w:r w:rsidRPr="00343CE7">
              <w:rPr>
                <w:rFonts w:eastAsia="Times New Roman"/>
                <w:kern w:val="22"/>
                <w:szCs w:val="24"/>
                <w:lang w:val="fr-FR"/>
              </w:rPr>
              <w:t>;</w:t>
            </w:r>
          </w:p>
          <w:p w14:paraId="1CF9BD2A" w14:textId="64AAFC47" w:rsidR="00343CE7" w:rsidRPr="00343CE7" w:rsidRDefault="00343CE7" w:rsidP="00343CE7">
            <w:pPr>
              <w:numPr>
                <w:ilvl w:val="2"/>
                <w:numId w:val="27"/>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Fournir des orientations, une formation ou une assistance technique sur la manière de mener des dialogues interculturels incluant les peuples autochtones et les communautés locales, les Parties et les gouvernements, les femmes, les jeunes, le secteur des affaires et la communauté de la recherche</w:t>
            </w:r>
            <w:r w:rsidR="00EE54EF">
              <w:rPr>
                <w:rFonts w:eastAsia="Times New Roman"/>
                <w:kern w:val="22"/>
                <w:szCs w:val="24"/>
                <w:lang w:val="fr-FR"/>
              </w:rPr>
              <w:t> </w:t>
            </w:r>
            <w:r w:rsidRPr="00343CE7">
              <w:rPr>
                <w:rFonts w:eastAsia="Times New Roman"/>
                <w:kern w:val="22"/>
                <w:szCs w:val="24"/>
                <w:lang w:val="fr-FR"/>
              </w:rPr>
              <w:t>;</w:t>
            </w:r>
          </w:p>
          <w:p w14:paraId="33DAC867" w14:textId="77777777" w:rsidR="00343CE7" w:rsidRPr="00343CE7" w:rsidRDefault="00343CE7" w:rsidP="00343CE7">
            <w:pPr>
              <w:numPr>
                <w:ilvl w:val="2"/>
                <w:numId w:val="27"/>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Fournir des orientations, une formation ou une assistance technique sur les approches pangouvernementales et à l’échelle de la société pertinentes aux fins des processus de participation multipartites utiles à la mise en œuvre du Protocole</w:t>
            </w:r>
            <w:r w:rsidRPr="00343CE7">
              <w:rPr>
                <w:rFonts w:eastAsia="Times New Roman"/>
                <w:kern w:val="22"/>
                <w:lang w:val="fr-FR"/>
              </w:rPr>
              <w:t>.</w:t>
            </w:r>
          </w:p>
        </w:tc>
      </w:tr>
      <w:tr w:rsidR="00343CE7" w:rsidRPr="00343CE7" w14:paraId="6C2FAB26" w14:textId="77777777" w:rsidTr="00621B49">
        <w:tc>
          <w:tcPr>
            <w:tcW w:w="3638" w:type="dxa"/>
            <w:shd w:val="clear" w:color="auto" w:fill="auto"/>
          </w:tcPr>
          <w:p w14:paraId="1B8863D1"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kern w:val="22"/>
                <w:lang w:val="fr-FR"/>
              </w:rPr>
            </w:pPr>
            <w:r w:rsidRPr="00343CE7">
              <w:rPr>
                <w:rFonts w:asciiTheme="majorBidi" w:eastAsia="Times New Roman" w:hAnsiTheme="majorBidi" w:cstheme="majorBidi"/>
                <w:lang w:val="fr-FR"/>
              </w:rPr>
              <w:t>6.3. La participation des femmes et des jeunes à la mise en œuvre du Protocole s’est accrue à tous les niveaux.</w:t>
            </w:r>
          </w:p>
        </w:tc>
        <w:tc>
          <w:tcPr>
            <w:tcW w:w="9687" w:type="dxa"/>
            <w:shd w:val="clear" w:color="auto" w:fill="auto"/>
          </w:tcPr>
          <w:p w14:paraId="5A69FAC0" w14:textId="3D27D3C0" w:rsidR="00343CE7" w:rsidRPr="00343CE7" w:rsidRDefault="00343CE7" w:rsidP="00343CE7">
            <w:pPr>
              <w:numPr>
                <w:ilvl w:val="0"/>
                <w:numId w:val="43"/>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Faire le point sur le niveau de participation des femmes, des hommes et des jeunes à la mise en œuvre du Protocole de Nagoya et identifier les lacunes</w:t>
            </w:r>
            <w:r w:rsidR="00EE54EF">
              <w:rPr>
                <w:rFonts w:eastAsia="Times New Roman"/>
                <w:kern w:val="22"/>
                <w:lang w:val="fr-FR"/>
              </w:rPr>
              <w:t> </w:t>
            </w:r>
            <w:r w:rsidRPr="00343CE7">
              <w:rPr>
                <w:rFonts w:eastAsia="Times New Roman"/>
                <w:kern w:val="22"/>
                <w:lang w:val="fr-FR"/>
              </w:rPr>
              <w:t>;</w:t>
            </w:r>
          </w:p>
          <w:p w14:paraId="2EC58FF0" w14:textId="77777777" w:rsidR="00343CE7" w:rsidRPr="00343CE7" w:rsidRDefault="00343CE7" w:rsidP="00343CE7">
            <w:pPr>
              <w:numPr>
                <w:ilvl w:val="0"/>
                <w:numId w:val="43"/>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Appuyer la participation informée et effective des organisations de jeunes et de femmes, des réseaux et des experts en matière d’égalité des sexes à la mise en œuvre du Protocole à tous les niveaux.</w:t>
            </w:r>
          </w:p>
        </w:tc>
      </w:tr>
      <w:tr w:rsidR="00343CE7" w:rsidRPr="00343CE7" w14:paraId="5C3ED5E5" w14:textId="77777777" w:rsidTr="00621B49">
        <w:tc>
          <w:tcPr>
            <w:tcW w:w="3638" w:type="dxa"/>
            <w:shd w:val="clear" w:color="auto" w:fill="auto"/>
          </w:tcPr>
          <w:p w14:paraId="7BC5BD26"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t>6.4. Les utilisateurs de ressources génétiques et/ou de connaissances traditionnelles associées sont mieux informés et sensibilisés aux obligations en matière d’accès et de partage des avantages découlant du Protocole de Nagoya.</w:t>
            </w:r>
          </w:p>
        </w:tc>
        <w:tc>
          <w:tcPr>
            <w:tcW w:w="9687" w:type="dxa"/>
            <w:shd w:val="clear" w:color="auto" w:fill="auto"/>
          </w:tcPr>
          <w:p w14:paraId="6BF64DD1" w14:textId="00942D43" w:rsidR="00343CE7" w:rsidRPr="00343CE7" w:rsidRDefault="00343CE7" w:rsidP="00343CE7">
            <w:pPr>
              <w:numPr>
                <w:ilvl w:val="2"/>
                <w:numId w:val="32"/>
              </w:numPr>
              <w:tabs>
                <w:tab w:val="clear" w:pos="567"/>
                <w:tab w:val="clear" w:pos="1134"/>
                <w:tab w:val="clear" w:pos="1701"/>
                <w:tab w:val="clear" w:pos="2268"/>
              </w:tabs>
              <w:contextualSpacing/>
              <w:jc w:val="left"/>
              <w:rPr>
                <w:rFonts w:eastAsia="Times New Roman"/>
                <w:kern w:val="22"/>
                <w:szCs w:val="24"/>
                <w:lang w:val="fr-FR"/>
              </w:rPr>
            </w:pPr>
            <w:r w:rsidRPr="00343CE7">
              <w:rPr>
                <w:rFonts w:eastAsia="Times New Roman"/>
                <w:kern w:val="22"/>
                <w:szCs w:val="24"/>
                <w:lang w:val="fr-FR"/>
              </w:rPr>
              <w:t>Élaborer ou réviser, selon les besoins, des codes de conduite, des lignes directrices et des bonnes pratiques et/ou des normes en matière d’accès et de partage des avantages pour différents types d’utilisateurs et de secteurs, et les publier dans le centre d’échange d’informations sur l’accès et le partage des avantages</w:t>
            </w:r>
            <w:r w:rsidR="00EE54EF">
              <w:rPr>
                <w:rFonts w:eastAsia="Times New Roman"/>
                <w:kern w:val="22"/>
                <w:szCs w:val="24"/>
                <w:lang w:val="fr-FR"/>
              </w:rPr>
              <w:t> </w:t>
            </w:r>
            <w:r w:rsidRPr="00343CE7">
              <w:rPr>
                <w:rFonts w:eastAsia="Times New Roman"/>
                <w:kern w:val="22"/>
                <w:szCs w:val="24"/>
                <w:lang w:val="fr-FR"/>
              </w:rPr>
              <w:t>;</w:t>
            </w:r>
          </w:p>
          <w:p w14:paraId="6314443C" w14:textId="3EF342C3" w:rsidR="00343CE7" w:rsidRPr="00343CE7" w:rsidRDefault="00343CE7" w:rsidP="00343CE7">
            <w:pPr>
              <w:numPr>
                <w:ilvl w:val="2"/>
                <w:numId w:val="32"/>
              </w:numPr>
              <w:tabs>
                <w:tab w:val="clear" w:pos="567"/>
                <w:tab w:val="clear" w:pos="1134"/>
                <w:tab w:val="clear" w:pos="1701"/>
                <w:tab w:val="clear" w:pos="2268"/>
              </w:tabs>
              <w:jc w:val="left"/>
              <w:rPr>
                <w:rFonts w:eastAsia="Times New Roman"/>
                <w:kern w:val="22"/>
                <w:szCs w:val="24"/>
                <w:lang w:val="fr-FR"/>
              </w:rPr>
            </w:pPr>
            <w:r w:rsidRPr="00343CE7">
              <w:rPr>
                <w:rFonts w:eastAsia="Times New Roman"/>
                <w:kern w:val="22"/>
                <w:szCs w:val="24"/>
                <w:lang w:val="fr-FR"/>
              </w:rPr>
              <w:t>Élaborer ou réviser, selon les besoins, et diffuser du matériel de formation, des orientations pratiques et des outils destinés à différents types d’utilisateurs sur la manière de respecter les règles et procédures en matière d’accès et de partage des avantages et les protocoles communautaires, notamment avec l’appui d’associations professionnelles et d’établissements universitaires</w:t>
            </w:r>
            <w:r w:rsidR="00EE54EF">
              <w:rPr>
                <w:rFonts w:eastAsia="Times New Roman"/>
                <w:kern w:val="22"/>
                <w:szCs w:val="24"/>
                <w:lang w:val="fr-FR"/>
              </w:rPr>
              <w:t> </w:t>
            </w:r>
            <w:r w:rsidRPr="00343CE7">
              <w:rPr>
                <w:rFonts w:eastAsia="Times New Roman"/>
                <w:kern w:val="22"/>
                <w:szCs w:val="24"/>
                <w:lang w:val="fr-FR"/>
              </w:rPr>
              <w:t>;</w:t>
            </w:r>
          </w:p>
          <w:p w14:paraId="1B8A8EA3" w14:textId="77777777" w:rsidR="00343CE7" w:rsidRPr="00343CE7" w:rsidRDefault="00343CE7" w:rsidP="00343CE7">
            <w:pPr>
              <w:numPr>
                <w:ilvl w:val="2"/>
                <w:numId w:val="32"/>
              </w:numPr>
              <w:tabs>
                <w:tab w:val="clear" w:pos="567"/>
                <w:tab w:val="clear" w:pos="1134"/>
                <w:tab w:val="clear" w:pos="1701"/>
                <w:tab w:val="clear" w:pos="2268"/>
              </w:tabs>
              <w:jc w:val="left"/>
              <w:rPr>
                <w:rFonts w:eastAsia="Times New Roman"/>
                <w:kern w:val="22"/>
                <w:lang w:val="fr-FR"/>
              </w:rPr>
            </w:pPr>
            <w:r w:rsidRPr="00343CE7">
              <w:rPr>
                <w:rFonts w:eastAsia="Times New Roman"/>
                <w:kern w:val="22"/>
                <w:szCs w:val="24"/>
                <w:lang w:val="fr-FR"/>
              </w:rPr>
              <w:t>Former et sensibiliser pour renforcer le respect du Protocole de Nagoya et de la législation et des procédures nationales </w:t>
            </w:r>
            <w:r w:rsidRPr="00343CE7">
              <w:rPr>
                <w:rFonts w:eastAsia="Times New Roman"/>
                <w:kern w:val="22"/>
                <w:lang w:val="fr-FR"/>
              </w:rPr>
              <w:t>;</w:t>
            </w:r>
          </w:p>
          <w:p w14:paraId="2D8EB8B7" w14:textId="7C49F011" w:rsidR="00343CE7" w:rsidRPr="00343CE7" w:rsidRDefault="00343CE7" w:rsidP="00343CE7">
            <w:pPr>
              <w:numPr>
                <w:ilvl w:val="2"/>
                <w:numId w:val="3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Former et sensibiliser afin de favoriser le respect des protocoles communautaires et des lois et procédures coutumières des peuples autochtones et des communautés locales</w:t>
            </w:r>
            <w:r w:rsidR="00EE54EF">
              <w:rPr>
                <w:rFonts w:eastAsia="Times New Roman"/>
                <w:kern w:val="22"/>
                <w:lang w:val="fr-FR"/>
              </w:rPr>
              <w:t> </w:t>
            </w:r>
            <w:r w:rsidRPr="00343CE7">
              <w:rPr>
                <w:rFonts w:eastAsia="Times New Roman"/>
                <w:kern w:val="22"/>
                <w:lang w:val="fr-FR"/>
              </w:rPr>
              <w:t>;</w:t>
            </w:r>
          </w:p>
          <w:p w14:paraId="5751127B" w14:textId="77777777" w:rsidR="00343CE7" w:rsidRPr="00343CE7" w:rsidRDefault="00343CE7" w:rsidP="00343CE7">
            <w:pPr>
              <w:numPr>
                <w:ilvl w:val="2"/>
                <w:numId w:val="32"/>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t>Former à l’utilisation du centre d’échange sur l’accès et le partage des avantages.</w:t>
            </w:r>
          </w:p>
        </w:tc>
      </w:tr>
      <w:tr w:rsidR="00343CE7" w:rsidRPr="00343CE7" w14:paraId="19B9D9A2" w14:textId="77777777" w:rsidTr="00621B49">
        <w:tc>
          <w:tcPr>
            <w:tcW w:w="3638" w:type="dxa"/>
            <w:shd w:val="clear" w:color="auto" w:fill="auto"/>
          </w:tcPr>
          <w:p w14:paraId="71A08A87"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t>6.5. Les enseignements tirés, les expériences et les bonnes pratiques dans la mise en œuvre du Protocole ou liées au renforcement et au développement des capacités pour appuyer sa mise en œuvre sont partagés avec les groupes cibles concernés et publiés dans le centre d’échange sur l’accès et le partage des avantages.</w:t>
            </w:r>
          </w:p>
        </w:tc>
        <w:tc>
          <w:tcPr>
            <w:tcW w:w="9687" w:type="dxa"/>
            <w:shd w:val="clear" w:color="auto" w:fill="auto"/>
          </w:tcPr>
          <w:p w14:paraId="36EF632A" w14:textId="7AE9256E" w:rsidR="00343CE7" w:rsidRPr="00343CE7" w:rsidRDefault="00343CE7" w:rsidP="00343CE7">
            <w:pPr>
              <w:numPr>
                <w:ilvl w:val="0"/>
                <w:numId w:val="44"/>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Faciliter le partage des connaissances et de l’expertise, des bonnes pratiques et de l’apprentissage entre pairs, ainsi que des orientations et du matériel de formation pertinents grâce à des forums régionaux, des programmes d’échange, des réseaux d’appui et des communautés d’apprentissage</w:t>
            </w:r>
            <w:r w:rsidR="00EE54EF">
              <w:rPr>
                <w:rFonts w:eastAsia="Times New Roman"/>
                <w:kern w:val="22"/>
                <w:lang w:val="fr-FR"/>
              </w:rPr>
              <w:t> </w:t>
            </w:r>
            <w:r w:rsidRPr="00343CE7">
              <w:rPr>
                <w:rFonts w:eastAsia="Times New Roman"/>
                <w:kern w:val="22"/>
                <w:lang w:val="fr-FR"/>
              </w:rPr>
              <w:t xml:space="preserve">; </w:t>
            </w:r>
          </w:p>
          <w:p w14:paraId="18BC217F" w14:textId="10E0DDF9" w:rsidR="00343CE7" w:rsidRPr="00343CE7" w:rsidRDefault="00343CE7" w:rsidP="00343CE7">
            <w:pPr>
              <w:numPr>
                <w:ilvl w:val="0"/>
                <w:numId w:val="44"/>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Appuyer l’élaboration ou l’amélioration d’orientations et d’outils pertinents et leur publication dans le centre d’échange sur l’accès et le partage des avantages</w:t>
            </w:r>
            <w:r w:rsidR="00EE54EF">
              <w:rPr>
                <w:rFonts w:eastAsia="Times New Roman"/>
                <w:kern w:val="22"/>
                <w:lang w:val="fr-FR"/>
              </w:rPr>
              <w:t> </w:t>
            </w:r>
            <w:r w:rsidRPr="00343CE7">
              <w:rPr>
                <w:rFonts w:eastAsia="Times New Roman"/>
                <w:kern w:val="22"/>
                <w:lang w:val="fr-FR"/>
              </w:rPr>
              <w:t>;</w:t>
            </w:r>
          </w:p>
          <w:p w14:paraId="045DB372" w14:textId="77777777" w:rsidR="00343CE7" w:rsidRPr="00343CE7" w:rsidRDefault="00343CE7" w:rsidP="00343CE7">
            <w:pPr>
              <w:numPr>
                <w:ilvl w:val="0"/>
                <w:numId w:val="44"/>
              </w:numPr>
              <w:tabs>
                <w:tab w:val="clear" w:pos="567"/>
                <w:tab w:val="clear" w:pos="1134"/>
                <w:tab w:val="clear" w:pos="1701"/>
                <w:tab w:val="clear" w:pos="2268"/>
              </w:tabs>
              <w:ind w:left="357" w:hanging="357"/>
              <w:contextualSpacing/>
              <w:jc w:val="left"/>
              <w:rPr>
                <w:rFonts w:eastAsia="Times New Roman"/>
                <w:kern w:val="22"/>
                <w:lang w:val="fr-FR"/>
              </w:rPr>
            </w:pPr>
            <w:r w:rsidRPr="00343CE7">
              <w:rPr>
                <w:rFonts w:eastAsia="Times New Roman"/>
                <w:kern w:val="22"/>
                <w:lang w:val="fr-FR"/>
              </w:rPr>
              <w:t>Partager les leçons apprises, l’expérience et les bonnes pratiques liées à la création et au renforcement des capacités dans le centre d’échange sur l’accès et le partage des avantages.</w:t>
            </w:r>
          </w:p>
        </w:tc>
      </w:tr>
      <w:tr w:rsidR="00343CE7" w:rsidRPr="00343CE7" w14:paraId="0FD921D0" w14:textId="77777777" w:rsidTr="00621B49">
        <w:tc>
          <w:tcPr>
            <w:tcW w:w="3638" w:type="dxa"/>
          </w:tcPr>
          <w:p w14:paraId="09DEDEB1" w14:textId="77777777"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t xml:space="preserve">6.6. Les initiatives de création et de renforcement des capacités en matière </w:t>
            </w:r>
            <w:r w:rsidRPr="00343CE7">
              <w:rPr>
                <w:rFonts w:asciiTheme="majorBidi" w:eastAsia="Times New Roman" w:hAnsiTheme="majorBidi" w:cstheme="majorBidi"/>
                <w:lang w:val="fr-FR"/>
              </w:rPr>
              <w:lastRenderedPageBreak/>
              <w:t>d’accès et de partage des avantages tiennent compte des questions de genre et des besoins des jeunes.</w:t>
            </w:r>
          </w:p>
        </w:tc>
        <w:tc>
          <w:tcPr>
            <w:tcW w:w="9687" w:type="dxa"/>
          </w:tcPr>
          <w:p w14:paraId="4611E0AD" w14:textId="0EF764D6" w:rsidR="00343CE7" w:rsidRPr="00343CE7" w:rsidRDefault="00343CE7" w:rsidP="00343CE7">
            <w:pPr>
              <w:numPr>
                <w:ilvl w:val="2"/>
                <w:numId w:val="31"/>
              </w:numPr>
              <w:tabs>
                <w:tab w:val="clear" w:pos="567"/>
                <w:tab w:val="clear" w:pos="1134"/>
                <w:tab w:val="clear" w:pos="1701"/>
                <w:tab w:val="clear" w:pos="2268"/>
              </w:tabs>
              <w:contextualSpacing/>
              <w:jc w:val="left"/>
              <w:rPr>
                <w:rFonts w:eastAsia="Times New Roman"/>
                <w:kern w:val="22"/>
                <w:lang w:val="fr-FR"/>
              </w:rPr>
            </w:pPr>
            <w:r w:rsidRPr="00343CE7">
              <w:rPr>
                <w:rFonts w:eastAsia="Times New Roman"/>
                <w:kern w:val="22"/>
                <w:lang w:val="fr-FR"/>
              </w:rPr>
              <w:lastRenderedPageBreak/>
              <w:t>Sensibiliser au Plan d’action pour l’égalité des sexes, contenu dans l’annexe de la décision</w:t>
            </w:r>
            <w:r w:rsidR="00EE54EF">
              <w:rPr>
                <w:rFonts w:eastAsia="Times New Roman"/>
                <w:kern w:val="22"/>
                <w:lang w:val="fr-FR"/>
              </w:rPr>
              <w:t> </w:t>
            </w:r>
            <w:r w:rsidRPr="00343CE7">
              <w:rPr>
                <w:rFonts w:eastAsia="Times New Roman"/>
                <w:kern w:val="22"/>
                <w:lang w:val="fr-FR"/>
              </w:rPr>
              <w:t>15/11, en tant que ressource servant à la conception d’activités de création et de renforcement des capacités</w:t>
            </w:r>
            <w:r w:rsidR="00EE54EF">
              <w:rPr>
                <w:rFonts w:eastAsia="Times New Roman"/>
                <w:kern w:val="22"/>
                <w:lang w:val="fr-FR"/>
              </w:rPr>
              <w:t> </w:t>
            </w:r>
            <w:r w:rsidRPr="00343CE7">
              <w:rPr>
                <w:rFonts w:eastAsia="Times New Roman"/>
                <w:kern w:val="22"/>
                <w:lang w:val="fr-FR"/>
              </w:rPr>
              <w:t>;</w:t>
            </w:r>
          </w:p>
          <w:p w14:paraId="36E5256A" w14:textId="77777777" w:rsidR="00343CE7" w:rsidRPr="00343CE7" w:rsidRDefault="00343CE7" w:rsidP="00343CE7">
            <w:pPr>
              <w:numPr>
                <w:ilvl w:val="2"/>
                <w:numId w:val="31"/>
              </w:numPr>
              <w:tabs>
                <w:tab w:val="clear" w:pos="567"/>
                <w:tab w:val="clear" w:pos="1134"/>
                <w:tab w:val="clear" w:pos="1701"/>
                <w:tab w:val="clear" w:pos="2268"/>
              </w:tabs>
              <w:jc w:val="left"/>
              <w:rPr>
                <w:rFonts w:eastAsia="Times New Roman"/>
                <w:kern w:val="22"/>
                <w:lang w:val="fr-FR"/>
              </w:rPr>
            </w:pPr>
            <w:r w:rsidRPr="00343CE7">
              <w:rPr>
                <w:rFonts w:eastAsia="Times New Roman"/>
                <w:kern w:val="22"/>
                <w:lang w:val="fr-FR"/>
              </w:rPr>
              <w:lastRenderedPageBreak/>
              <w:t>Élaborer ou mettre à jour, selon les besoins, diffuser et promouvoir l’utilisation d’orientations et d’outils pratiques pour intégrer des approches tenant compte des questions de genre et des jeunes dans les initiatives de création et de renforcement des capacités en matière d’accès et de partage des avantages.</w:t>
            </w:r>
          </w:p>
        </w:tc>
      </w:tr>
      <w:tr w:rsidR="00343CE7" w:rsidRPr="00343CE7" w14:paraId="24BF9489" w14:textId="77777777" w:rsidTr="00621B49">
        <w:tc>
          <w:tcPr>
            <w:tcW w:w="3638" w:type="dxa"/>
            <w:shd w:val="clear" w:color="auto" w:fill="auto"/>
          </w:tcPr>
          <w:p w14:paraId="17F2D4EC" w14:textId="5800A1AD" w:rsidR="00343CE7" w:rsidRPr="00343CE7" w:rsidRDefault="00343CE7" w:rsidP="00343CE7">
            <w:pPr>
              <w:tabs>
                <w:tab w:val="clear" w:pos="567"/>
                <w:tab w:val="clear" w:pos="1134"/>
                <w:tab w:val="clear" w:pos="1701"/>
                <w:tab w:val="clear" w:pos="2268"/>
              </w:tabs>
              <w:jc w:val="left"/>
              <w:rPr>
                <w:rFonts w:asciiTheme="majorBidi" w:eastAsia="Times New Roman" w:hAnsiTheme="majorBidi" w:cstheme="majorBidi"/>
                <w:lang w:val="fr-FR"/>
              </w:rPr>
            </w:pPr>
            <w:r w:rsidRPr="00343CE7">
              <w:rPr>
                <w:rFonts w:asciiTheme="majorBidi" w:eastAsia="Times New Roman" w:hAnsiTheme="majorBidi" w:cstheme="majorBidi"/>
                <w:lang w:val="fr-FR"/>
              </w:rPr>
              <w:lastRenderedPageBreak/>
              <w:t>6.7. L’accès et le partage des avantages sont intégrés dans les programmes d’enseignement post-secondaire et universitaire pertinent</w:t>
            </w:r>
            <w:r w:rsidR="00D842D7">
              <w:rPr>
                <w:rFonts w:asciiTheme="majorBidi" w:eastAsia="Times New Roman" w:hAnsiTheme="majorBidi" w:cstheme="majorBidi"/>
                <w:lang w:val="fr-FR"/>
              </w:rPr>
              <w:t>s</w:t>
            </w:r>
            <w:r w:rsidRPr="00343CE7">
              <w:rPr>
                <w:rFonts w:asciiTheme="majorBidi" w:eastAsia="Times New Roman" w:hAnsiTheme="majorBidi" w:cstheme="majorBidi"/>
                <w:lang w:val="fr-FR"/>
              </w:rPr>
              <w:t>.</w:t>
            </w:r>
          </w:p>
        </w:tc>
        <w:tc>
          <w:tcPr>
            <w:tcW w:w="9687" w:type="dxa"/>
            <w:shd w:val="clear" w:color="auto" w:fill="auto"/>
          </w:tcPr>
          <w:p w14:paraId="59DF2997" w14:textId="77777777" w:rsidR="00343CE7" w:rsidRPr="00343CE7" w:rsidRDefault="00343CE7" w:rsidP="00343CE7">
            <w:pPr>
              <w:tabs>
                <w:tab w:val="clear" w:pos="567"/>
                <w:tab w:val="clear" w:pos="1134"/>
                <w:tab w:val="clear" w:pos="1701"/>
                <w:tab w:val="clear" w:pos="2268"/>
              </w:tabs>
              <w:ind w:left="345" w:hanging="360"/>
              <w:jc w:val="left"/>
              <w:rPr>
                <w:rFonts w:eastAsia="Times New Roman"/>
                <w:kern w:val="22"/>
                <w:lang w:val="fr-FR"/>
              </w:rPr>
            </w:pPr>
            <w:r w:rsidRPr="00343CE7">
              <w:rPr>
                <w:rFonts w:eastAsia="Times New Roman"/>
                <w:kern w:val="22"/>
                <w:lang w:val="fr-FR"/>
              </w:rPr>
              <w:t>a)</w:t>
            </w:r>
            <w:r w:rsidRPr="00343CE7">
              <w:rPr>
                <w:rFonts w:eastAsia="Times New Roman"/>
                <w:kern w:val="22"/>
                <w:lang w:val="fr-FR"/>
              </w:rPr>
              <w:tab/>
              <w:t>Élaborer et encourager des programmes et des cours sur l’accès et le partage des avantages ou intégrer les questions d’accès et de partage des avantages dans les programmes d’enseignement post-secondaire, les universités et d’autres programmes d’éducation formelle et informelle.</w:t>
            </w:r>
          </w:p>
          <w:p w14:paraId="614B671C" w14:textId="77777777" w:rsidR="00343CE7" w:rsidRPr="00343CE7" w:rsidRDefault="00343CE7" w:rsidP="00343CE7">
            <w:pPr>
              <w:tabs>
                <w:tab w:val="clear" w:pos="567"/>
                <w:tab w:val="clear" w:pos="1134"/>
                <w:tab w:val="clear" w:pos="1701"/>
                <w:tab w:val="clear" w:pos="2268"/>
              </w:tabs>
              <w:ind w:left="345" w:hanging="360"/>
              <w:jc w:val="left"/>
              <w:rPr>
                <w:rFonts w:eastAsia="Times New Roman"/>
                <w:bCs/>
                <w:kern w:val="22"/>
                <w:lang w:val="fr-FR"/>
              </w:rPr>
            </w:pPr>
            <w:r w:rsidRPr="00343CE7">
              <w:rPr>
                <w:rFonts w:eastAsia="Times New Roman"/>
                <w:bCs/>
                <w:szCs w:val="24"/>
                <w:lang w:val="fr-FR"/>
              </w:rPr>
              <w:t>b)</w:t>
            </w:r>
            <w:r w:rsidRPr="00343CE7">
              <w:rPr>
                <w:rFonts w:eastAsia="Times New Roman"/>
                <w:bCs/>
                <w:szCs w:val="24"/>
                <w:lang w:val="fr-FR"/>
              </w:rPr>
              <w:tab/>
              <w:t>[Élaborer et faciliter l’intégration de la bioéthique dans les programmes d’enseignement des établissements post-secondaires et universitaire pertinents, et autres programmes d’éducation formelle ou informelle afin de sensibiliser aux droits des peuples autochtones et des communautés locales.]</w:t>
            </w:r>
          </w:p>
        </w:tc>
      </w:tr>
    </w:tbl>
    <w:p w14:paraId="4EB148B5" w14:textId="77777777" w:rsidR="006E6CCC" w:rsidRPr="00084920" w:rsidRDefault="006E6CCC" w:rsidP="006E6CCC">
      <w:pPr>
        <w:pStyle w:val="CBDNormalNoNumber"/>
        <w:rPr>
          <w:snapToGrid w:val="0"/>
          <w:lang w:val="fr-FR"/>
        </w:rPr>
      </w:pPr>
    </w:p>
    <w:p w14:paraId="612990AB" w14:textId="6678A991" w:rsidR="007F59CA" w:rsidRPr="00084920" w:rsidRDefault="007F59CA" w:rsidP="006E6CCC">
      <w:pPr>
        <w:pStyle w:val="CBDNormalNoNumber"/>
        <w:rPr>
          <w:snapToGrid w:val="0"/>
          <w:lang w:val="fr-FR"/>
        </w:rPr>
      </w:pPr>
    </w:p>
    <w:p w14:paraId="4247802A" w14:textId="77777777" w:rsidR="00D72810" w:rsidRPr="00084920" w:rsidRDefault="00D72810" w:rsidP="00010496">
      <w:pPr>
        <w:pStyle w:val="CBDAgendaItem"/>
        <w:rPr>
          <w:bCs/>
          <w:lang w:val="fr-FR"/>
        </w:rPr>
        <w:sectPr w:rsidR="00D72810" w:rsidRPr="00084920" w:rsidSect="003527BB">
          <w:pgSz w:w="15840" w:h="12240" w:orient="landscape"/>
          <w:pgMar w:top="1134" w:right="1134" w:bottom="1134" w:left="1134" w:header="709" w:footer="709" w:gutter="0"/>
          <w:cols w:space="708"/>
          <w:docGrid w:linePitch="360"/>
        </w:sectPr>
      </w:pPr>
    </w:p>
    <w:p w14:paraId="41DAFBBB" w14:textId="2F82F984" w:rsidR="006A3380" w:rsidRPr="00084920" w:rsidRDefault="004B2EC8" w:rsidP="004B4FCB">
      <w:pPr>
        <w:pStyle w:val="CBDAnnex"/>
        <w:spacing w:before="240"/>
        <w:outlineLvl w:val="0"/>
        <w:rPr>
          <w:lang w:val="fr-FR"/>
        </w:rPr>
      </w:pPr>
      <w:bookmarkStart w:id="18" w:name="_Toc178159942"/>
      <w:r>
        <w:rPr>
          <w:lang w:val="fr-FR"/>
        </w:rPr>
        <w:lastRenderedPageBreak/>
        <w:t>Point</w:t>
      </w:r>
      <w:r w:rsidR="00EE54EF">
        <w:rPr>
          <w:lang w:val="fr-FR"/>
        </w:rPr>
        <w:t> </w:t>
      </w:r>
      <w:r w:rsidR="00B17FE6" w:rsidRPr="00084920">
        <w:rPr>
          <w:lang w:val="fr-FR"/>
        </w:rPr>
        <w:t>9</w:t>
      </w:r>
      <w:r w:rsidR="00125526" w:rsidRPr="00084920">
        <w:rPr>
          <w:lang w:val="fr-FR"/>
        </w:rPr>
        <w:t xml:space="preserve"> </w:t>
      </w:r>
      <w:r w:rsidR="00125526" w:rsidRPr="00084920">
        <w:rPr>
          <w:lang w:val="fr-FR"/>
        </w:rPr>
        <w:br/>
      </w:r>
      <w:bookmarkEnd w:id="18"/>
      <w:r w:rsidRPr="004B2EC8">
        <w:rPr>
          <w:lang w:val="fr-FR"/>
        </w:rPr>
        <w:t>Centre d’échange sur l’accès et le partage des avantages et partage d’informations</w:t>
      </w:r>
    </w:p>
    <w:tbl>
      <w:tblPr>
        <w:tblStyle w:val="Grilledutableau"/>
        <w:tblW w:w="0" w:type="auto"/>
        <w:tblLook w:val="04A0" w:firstRow="1" w:lastRow="0" w:firstColumn="1" w:lastColumn="0" w:noHBand="0" w:noVBand="1"/>
      </w:tblPr>
      <w:tblGrid>
        <w:gridCol w:w="9350"/>
      </w:tblGrid>
      <w:tr w:rsidR="003C3703" w:rsidRPr="00084920" w14:paraId="732C885C" w14:textId="77777777" w:rsidTr="00557F83">
        <w:tc>
          <w:tcPr>
            <w:tcW w:w="9350" w:type="dxa"/>
            <w:tcBorders>
              <w:left w:val="nil"/>
              <w:right w:val="nil"/>
            </w:tcBorders>
          </w:tcPr>
          <w:p w14:paraId="5E86C47B" w14:textId="3687E80D" w:rsidR="003C3703" w:rsidRPr="00084920" w:rsidRDefault="004B2EC8" w:rsidP="00651A70">
            <w:pPr>
              <w:pStyle w:val="CBDNormalNoNumber"/>
              <w:tabs>
                <w:tab w:val="clear" w:pos="567"/>
              </w:tabs>
              <w:spacing w:before="60" w:after="60"/>
              <w:rPr>
                <w:i/>
                <w:iCs/>
                <w:highlight w:val="green"/>
                <w:lang w:val="fr-FR"/>
              </w:rPr>
            </w:pPr>
            <w:r>
              <w:rPr>
                <w:i/>
                <w:iCs/>
                <w:lang w:val="fr-FR"/>
              </w:rPr>
              <w:t>Le projet de décision suivant a été reproduit à partir du document </w:t>
            </w:r>
            <w:r w:rsidR="00845C3D" w:rsidRPr="00084920">
              <w:rPr>
                <w:i/>
                <w:iCs/>
                <w:lang w:val="fr-FR"/>
              </w:rPr>
              <w:t>CBD/NP/MOP/5/</w:t>
            </w:r>
            <w:r w:rsidR="005F4026" w:rsidRPr="00084920">
              <w:rPr>
                <w:i/>
                <w:iCs/>
                <w:lang w:val="fr-FR"/>
              </w:rPr>
              <w:t>7</w:t>
            </w:r>
            <w:r w:rsidR="0089750D" w:rsidRPr="00084920">
              <w:rPr>
                <w:i/>
                <w:iCs/>
                <w:lang w:val="fr-FR"/>
              </w:rPr>
              <w:t>.</w:t>
            </w:r>
          </w:p>
        </w:tc>
      </w:tr>
    </w:tbl>
    <w:p w14:paraId="7F37DE32" w14:textId="77777777" w:rsidR="004B2EC8" w:rsidRPr="004B2EC8" w:rsidRDefault="004B2EC8" w:rsidP="009D5C00">
      <w:pPr>
        <w:tabs>
          <w:tab w:val="clear" w:pos="567"/>
          <w:tab w:val="clear" w:pos="1134"/>
          <w:tab w:val="clear" w:pos="2268"/>
        </w:tabs>
        <w:spacing w:before="120" w:after="120"/>
        <w:ind w:left="567" w:firstLine="567"/>
        <w:rPr>
          <w:rFonts w:eastAsia="Times New Roman"/>
          <w:szCs w:val="24"/>
          <w:lang w:val="fr-FR"/>
        </w:rPr>
      </w:pPr>
      <w:r w:rsidRPr="004B2EC8">
        <w:rPr>
          <w:rFonts w:eastAsia="Times New Roman"/>
          <w:i/>
          <w:iCs/>
          <w:szCs w:val="24"/>
          <w:lang w:val="fr-FR"/>
        </w:rPr>
        <w:t>La Conférence des Parties siégeant en tant que réunion des Parties au Protocole de Nagoya sur l’accès et le partage des avantages</w:t>
      </w:r>
      <w:r w:rsidRPr="004B2EC8">
        <w:rPr>
          <w:rFonts w:eastAsia="Times New Roman"/>
          <w:szCs w:val="24"/>
          <w:lang w:val="fr-FR"/>
        </w:rPr>
        <w:t>,</w:t>
      </w:r>
    </w:p>
    <w:p w14:paraId="1D541250" w14:textId="42D11446" w:rsidR="004B2EC8" w:rsidRPr="004B2EC8" w:rsidRDefault="004B2EC8" w:rsidP="004B2EC8">
      <w:pPr>
        <w:tabs>
          <w:tab w:val="clear" w:pos="1134"/>
          <w:tab w:val="left" w:pos="2835"/>
          <w:tab w:val="left" w:pos="3402"/>
          <w:tab w:val="left" w:pos="3969"/>
        </w:tabs>
        <w:spacing w:after="120"/>
        <w:ind w:left="567" w:firstLine="567"/>
        <w:rPr>
          <w:i/>
          <w:iCs/>
          <w:lang w:val="fr-FR"/>
        </w:rPr>
      </w:pPr>
      <w:r w:rsidRPr="004B2EC8">
        <w:rPr>
          <w:i/>
          <w:iCs/>
          <w:lang w:val="fr-FR"/>
        </w:rPr>
        <w:t xml:space="preserve">Rappelant </w:t>
      </w:r>
      <w:r w:rsidRPr="004B2EC8">
        <w:rPr>
          <w:lang w:val="fr-FR"/>
        </w:rPr>
        <w:t>le</w:t>
      </w:r>
      <w:r w:rsidRPr="004B2EC8">
        <w:rPr>
          <w:i/>
          <w:iCs/>
          <w:lang w:val="fr-FR"/>
        </w:rPr>
        <w:t xml:space="preserve"> </w:t>
      </w:r>
      <w:r w:rsidRPr="004B2EC8">
        <w:rPr>
          <w:lang w:val="fr-FR"/>
        </w:rPr>
        <w:t>paragraphe</w:t>
      </w:r>
      <w:r w:rsidR="00EE54EF">
        <w:rPr>
          <w:lang w:val="fr-FR"/>
        </w:rPr>
        <w:t> </w:t>
      </w:r>
      <w:r w:rsidRPr="004B2EC8">
        <w:rPr>
          <w:lang w:val="fr-FR"/>
        </w:rPr>
        <w:t>3 de la décision</w:t>
      </w:r>
      <w:r w:rsidR="00EE54EF">
        <w:rPr>
          <w:lang w:val="fr-FR"/>
        </w:rPr>
        <w:t> </w:t>
      </w:r>
      <w:hyperlink r:id="rId33" w:history="1">
        <w:r w:rsidRPr="004B2EC8">
          <w:rPr>
            <w:color w:val="0000FF"/>
            <w:u w:val="single"/>
            <w:lang w:val="fr-FR"/>
          </w:rPr>
          <w:t>NP-3/3</w:t>
        </w:r>
      </w:hyperlink>
      <w:r w:rsidRPr="004B2EC8">
        <w:rPr>
          <w:lang w:val="fr-FR"/>
        </w:rPr>
        <w:t xml:space="preserve"> du 29</w:t>
      </w:r>
      <w:r w:rsidR="00EE54EF">
        <w:rPr>
          <w:lang w:val="fr-FR"/>
        </w:rPr>
        <w:t> </w:t>
      </w:r>
      <w:r w:rsidRPr="004B2EC8">
        <w:rPr>
          <w:lang w:val="fr-FR"/>
        </w:rPr>
        <w:t>novembre</w:t>
      </w:r>
      <w:r w:rsidR="00EE54EF">
        <w:rPr>
          <w:lang w:val="fr-FR"/>
        </w:rPr>
        <w:t> </w:t>
      </w:r>
      <w:r w:rsidRPr="004B2EC8">
        <w:rPr>
          <w:lang w:val="fr-FR"/>
        </w:rPr>
        <w:t>2018, par lequel les Parties qui ne l’avaient pas encore fait ont été instamment priées de publier dans les meilleurs délais toutes les informations requises et disponibles à l’échelon national sur le Centre d’échange sur l’accès et le partage des avantages, conformément aux obligations énoncées au paragraphe</w:t>
      </w:r>
      <w:r w:rsidR="00EE54EF">
        <w:rPr>
          <w:lang w:val="fr-FR"/>
        </w:rPr>
        <w:t> </w:t>
      </w:r>
      <w:r w:rsidRPr="004B2EC8">
        <w:rPr>
          <w:lang w:val="fr-FR"/>
        </w:rPr>
        <w:t>2 de l’article</w:t>
      </w:r>
      <w:r w:rsidR="00EE54EF">
        <w:rPr>
          <w:lang w:val="fr-FR"/>
        </w:rPr>
        <w:t> </w:t>
      </w:r>
      <w:r w:rsidRPr="004B2EC8">
        <w:rPr>
          <w:lang w:val="fr-FR"/>
        </w:rPr>
        <w:t>14 du Protocole, examinant que la publication des informations requises dans le Centre d’échange était essentielle pour l’application du Protocole de Nagoya sur l’accès aux ressources génétiques et le partage juste et équitable des avantages découlant de leur utilisation</w:t>
      </w:r>
      <w:r w:rsidRPr="004B2EC8">
        <w:rPr>
          <w:vertAlign w:val="superscript"/>
          <w:lang w:val="fr-FR"/>
        </w:rPr>
        <w:footnoteReference w:id="39"/>
      </w:r>
      <w:r w:rsidRPr="004B2EC8">
        <w:rPr>
          <w:lang w:val="fr-FR"/>
        </w:rPr>
        <w:t>,</w:t>
      </w:r>
      <w:r w:rsidRPr="004B2EC8">
        <w:rPr>
          <w:i/>
          <w:iCs/>
          <w:lang w:val="fr-FR"/>
        </w:rPr>
        <w:t xml:space="preserve"> </w:t>
      </w:r>
    </w:p>
    <w:p w14:paraId="3D4F3B23" w14:textId="019210D2" w:rsidR="004B2EC8" w:rsidRPr="004B2EC8" w:rsidRDefault="004B2EC8" w:rsidP="004B2EC8">
      <w:pPr>
        <w:tabs>
          <w:tab w:val="clear" w:pos="1134"/>
          <w:tab w:val="left" w:pos="2835"/>
          <w:tab w:val="left" w:pos="3402"/>
          <w:tab w:val="left" w:pos="3969"/>
        </w:tabs>
        <w:spacing w:after="120"/>
        <w:ind w:left="567" w:firstLine="567"/>
        <w:rPr>
          <w:lang w:val="fr-FR"/>
        </w:rPr>
      </w:pPr>
      <w:r w:rsidRPr="004B2EC8">
        <w:rPr>
          <w:i/>
          <w:iCs/>
          <w:lang w:val="fr-FR"/>
        </w:rPr>
        <w:t xml:space="preserve">Rappelant également </w:t>
      </w:r>
      <w:r w:rsidRPr="004B2EC8">
        <w:rPr>
          <w:lang w:val="fr-FR"/>
        </w:rPr>
        <w:t>le paragraphe</w:t>
      </w:r>
      <w:r w:rsidR="00EE54EF">
        <w:rPr>
          <w:lang w:val="fr-FR"/>
        </w:rPr>
        <w:t> </w:t>
      </w:r>
      <w:r w:rsidRPr="004B2EC8">
        <w:rPr>
          <w:lang w:val="fr-FR"/>
        </w:rPr>
        <w:t>4 de la décision</w:t>
      </w:r>
      <w:r w:rsidR="00EE54EF">
        <w:rPr>
          <w:lang w:val="fr-FR"/>
        </w:rPr>
        <w:t> </w:t>
      </w:r>
      <w:r w:rsidRPr="004B2EC8">
        <w:rPr>
          <w:lang w:val="fr-FR"/>
        </w:rPr>
        <w:t xml:space="preserve">NP-3/3, dans lequel les Parties ont été invitées à fournir des informations sur leurs procédures nationales d’accès et de partage des avantages au moyen du format commun volontaire sur les procédures, disponible dans le Centre d’échange pour l’accès et le partage des avantages, </w:t>
      </w:r>
    </w:p>
    <w:p w14:paraId="239C90C6" w14:textId="08A9504E" w:rsidR="004B2EC8" w:rsidRPr="004B2EC8" w:rsidRDefault="004B2EC8" w:rsidP="004B2EC8">
      <w:pPr>
        <w:tabs>
          <w:tab w:val="clear" w:pos="1134"/>
          <w:tab w:val="left" w:pos="2835"/>
          <w:tab w:val="left" w:pos="3402"/>
          <w:tab w:val="left" w:pos="3969"/>
        </w:tabs>
        <w:spacing w:after="120"/>
        <w:ind w:left="567" w:firstLine="567"/>
        <w:rPr>
          <w:lang w:val="fr-FR"/>
        </w:rPr>
      </w:pPr>
      <w:r w:rsidRPr="004B2EC8">
        <w:rPr>
          <w:i/>
          <w:iCs/>
          <w:lang w:val="fr-FR"/>
        </w:rPr>
        <w:t xml:space="preserve">Rappelant en outre </w:t>
      </w:r>
      <w:r w:rsidRPr="004B2EC8">
        <w:rPr>
          <w:lang w:val="fr-FR"/>
        </w:rPr>
        <w:t>les paragraphes</w:t>
      </w:r>
      <w:r w:rsidR="00EE54EF">
        <w:rPr>
          <w:lang w:val="fr-FR"/>
        </w:rPr>
        <w:t> </w:t>
      </w:r>
      <w:r w:rsidRPr="004B2EC8">
        <w:rPr>
          <w:lang w:val="fr-FR"/>
        </w:rPr>
        <w:t>9, 10 et 11 de la décision</w:t>
      </w:r>
      <w:r w:rsidR="00EE54EF">
        <w:rPr>
          <w:lang w:val="fr-FR"/>
        </w:rPr>
        <w:t> </w:t>
      </w:r>
      <w:r w:rsidRPr="004B2EC8">
        <w:rPr>
          <w:lang w:val="fr-FR"/>
        </w:rPr>
        <w:t>NP-3/3, dans lesquels les Parties, les États non Parties et les organisations compétentes ont été invités à utiliser les mécanismes d’interopérabilité du Centre d’échange sur l’accès et le partage des avantages pour faciliter l’échange d’informations avec leurs bases de données, sites Web et systèmes de technologie de l’information pertinents</w:t>
      </w:r>
      <w:r w:rsidR="00EE54EF">
        <w:rPr>
          <w:lang w:val="fr-FR"/>
        </w:rPr>
        <w:t> </w:t>
      </w:r>
      <w:r w:rsidRPr="004B2EC8">
        <w:rPr>
          <w:lang w:val="fr-FR"/>
        </w:rPr>
        <w:t>; Les Parties, les États non Parties et les organisations compétentes, selon le cas, ont été invités à inclure des activités de développement des capacités liées au Centre d’échange dans leurs activités, plans et projets de renforcement des capacités, en coordination avec la Secrétaire exécutive</w:t>
      </w:r>
      <w:r w:rsidR="00EE54EF">
        <w:rPr>
          <w:lang w:val="fr-FR"/>
        </w:rPr>
        <w:t> </w:t>
      </w:r>
      <w:r w:rsidRPr="004B2EC8">
        <w:rPr>
          <w:lang w:val="fr-FR"/>
        </w:rPr>
        <w:t>; enfin, les Parties, les États non Parties, les organisations internationales compétentes, les banques régionales de développement et les autres institutions financières, selon le cas, ont été invités à soutenir les activités de développement des capacités liées au Centre d’échange, y compris le système de suivi de l’utilisation des ressources génétiques prévu par le Protocole,</w:t>
      </w:r>
    </w:p>
    <w:p w14:paraId="486AB45A" w14:textId="77777777" w:rsidR="004B2EC8" w:rsidRPr="004B2EC8" w:rsidRDefault="004B2EC8" w:rsidP="004B2EC8">
      <w:pPr>
        <w:tabs>
          <w:tab w:val="left" w:pos="2835"/>
          <w:tab w:val="left" w:pos="3402"/>
        </w:tabs>
        <w:spacing w:after="120"/>
        <w:ind w:left="567" w:firstLine="567"/>
        <w:rPr>
          <w:lang w:val="fr-FR"/>
        </w:rPr>
      </w:pPr>
      <w:r w:rsidRPr="004B2EC8">
        <w:rPr>
          <w:lang w:val="fr-FR"/>
        </w:rPr>
        <w:t>1.</w:t>
      </w:r>
      <w:r w:rsidRPr="004B2EC8">
        <w:rPr>
          <w:i/>
          <w:iCs/>
          <w:lang w:val="fr-FR"/>
        </w:rPr>
        <w:tab/>
        <w:t>Accueille avec satisfaction</w:t>
      </w:r>
      <w:r w:rsidRPr="004B2EC8">
        <w:rPr>
          <w:lang w:val="fr-FR"/>
        </w:rPr>
        <w:t xml:space="preserve"> les efforts déployés par les Parties, les États non Parties, les peuples autochtones et les communautés locales ainsi que les parties prenantes concernées pour mettre les informations à disposition dans le Centre d’accès et partage des avantages ;</w:t>
      </w:r>
    </w:p>
    <w:p w14:paraId="4095B1EB" w14:textId="77777777" w:rsidR="004B2EC8" w:rsidRPr="004B2EC8" w:rsidRDefault="004B2EC8" w:rsidP="004B2EC8">
      <w:pPr>
        <w:tabs>
          <w:tab w:val="left" w:pos="2835"/>
          <w:tab w:val="left" w:pos="3402"/>
        </w:tabs>
        <w:spacing w:after="120"/>
        <w:ind w:left="567" w:firstLine="567"/>
        <w:rPr>
          <w:lang w:val="fr-FR"/>
        </w:rPr>
      </w:pPr>
      <w:r w:rsidRPr="004B2EC8">
        <w:rPr>
          <w:lang w:val="fr-FR"/>
        </w:rPr>
        <w:t>2.</w:t>
      </w:r>
      <w:r w:rsidRPr="004B2EC8">
        <w:rPr>
          <w:i/>
          <w:iCs/>
          <w:lang w:val="fr-FR"/>
        </w:rPr>
        <w:tab/>
        <w:t xml:space="preserve">Exprime </w:t>
      </w:r>
      <w:r w:rsidRPr="004B2EC8">
        <w:rPr>
          <w:lang w:val="fr-FR"/>
        </w:rPr>
        <w:t>sa gratitude pour les orientations techniques fournies par le Comité consultatif informel du Centre d’accès et partage des avantages ;</w:t>
      </w:r>
    </w:p>
    <w:p w14:paraId="49D75A50" w14:textId="77777777" w:rsidR="004B2EC8" w:rsidRPr="004B2EC8" w:rsidRDefault="004B2EC8" w:rsidP="004B2EC8">
      <w:pPr>
        <w:tabs>
          <w:tab w:val="left" w:pos="2835"/>
          <w:tab w:val="left" w:pos="3402"/>
        </w:tabs>
        <w:spacing w:after="120"/>
        <w:ind w:left="567" w:firstLine="567"/>
        <w:rPr>
          <w:lang w:val="fr-FR"/>
        </w:rPr>
      </w:pPr>
      <w:r w:rsidRPr="004B2EC8">
        <w:rPr>
          <w:lang w:val="fr-FR"/>
        </w:rPr>
        <w:t>3.</w:t>
      </w:r>
      <w:r w:rsidRPr="004B2EC8">
        <w:rPr>
          <w:i/>
          <w:iCs/>
          <w:lang w:val="fr-FR"/>
        </w:rPr>
        <w:tab/>
        <w:t>Accueille avec satisfaction</w:t>
      </w:r>
      <w:r w:rsidRPr="004B2EC8">
        <w:rPr>
          <w:lang w:val="fr-FR"/>
        </w:rPr>
        <w:t xml:space="preserve"> les progrès réalisés par le Secrétariat dans l’élaboration et la gestion du Centre d’échange pour l’accès et le partage des avantages ; </w:t>
      </w:r>
    </w:p>
    <w:p w14:paraId="65B09603" w14:textId="25C8E453" w:rsidR="004B2EC8" w:rsidRPr="004B2EC8" w:rsidRDefault="004B2EC8" w:rsidP="004B2EC8">
      <w:pPr>
        <w:tabs>
          <w:tab w:val="left" w:pos="2835"/>
          <w:tab w:val="left" w:pos="3402"/>
        </w:tabs>
        <w:spacing w:after="120"/>
        <w:ind w:left="567" w:firstLine="567"/>
        <w:rPr>
          <w:i/>
          <w:iCs/>
          <w:lang w:val="fr-FR"/>
        </w:rPr>
      </w:pPr>
      <w:r w:rsidRPr="004B2EC8">
        <w:rPr>
          <w:lang w:val="fr-FR"/>
        </w:rPr>
        <w:t>4.</w:t>
      </w:r>
      <w:r w:rsidRPr="004B2EC8">
        <w:rPr>
          <w:i/>
          <w:iCs/>
          <w:lang w:val="fr-FR"/>
        </w:rPr>
        <w:tab/>
        <w:t xml:space="preserve">Prend note avec inquiétude </w:t>
      </w:r>
      <w:r w:rsidRPr="004B2EC8">
        <w:rPr>
          <w:lang w:val="fr-FR"/>
        </w:rPr>
        <w:t>que de nombreuses Parties n’ont pas encore publié sur le Centre d’échange pour l’accès et le partage des avantages la totalité des informations obligatoires existant au niveau national, comme le prévoit le paragraphe</w:t>
      </w:r>
      <w:r w:rsidR="00EE54EF">
        <w:rPr>
          <w:lang w:val="fr-FR"/>
        </w:rPr>
        <w:t> </w:t>
      </w:r>
      <w:r w:rsidRPr="004B2EC8">
        <w:rPr>
          <w:lang w:val="fr-FR"/>
        </w:rPr>
        <w:t>2 de l’article</w:t>
      </w:r>
      <w:r w:rsidR="00EE54EF">
        <w:rPr>
          <w:lang w:val="fr-FR"/>
        </w:rPr>
        <w:t> </w:t>
      </w:r>
      <w:r w:rsidRPr="004B2EC8">
        <w:rPr>
          <w:lang w:val="fr-FR"/>
        </w:rPr>
        <w:t>14 du Protocole de Nagoya sur l’accès aux ressources génétiques et le partage juste et équitable des avantages découlant de leur utilisation, et prend note en particulier du faible nombre de Parties qui publient des informations sur les certificats de conformité internationalement reconnus et les communiqués des points de contrôle ;</w:t>
      </w:r>
    </w:p>
    <w:p w14:paraId="4277E0F5" w14:textId="6157D0F4" w:rsidR="004B2EC8" w:rsidRPr="004B2EC8" w:rsidRDefault="004B2EC8" w:rsidP="004B2EC8">
      <w:pPr>
        <w:tabs>
          <w:tab w:val="left" w:pos="2835"/>
          <w:tab w:val="left" w:pos="3402"/>
        </w:tabs>
        <w:spacing w:after="120"/>
        <w:ind w:left="567" w:firstLine="567"/>
        <w:rPr>
          <w:lang w:val="fr-FR"/>
        </w:rPr>
      </w:pPr>
      <w:r w:rsidRPr="004B2EC8">
        <w:rPr>
          <w:lang w:val="fr-FR"/>
        </w:rPr>
        <w:t>5.</w:t>
      </w:r>
      <w:r w:rsidRPr="004B2EC8">
        <w:rPr>
          <w:i/>
          <w:iCs/>
          <w:lang w:val="fr-FR"/>
        </w:rPr>
        <w:tab/>
        <w:t xml:space="preserve">Exhorte </w:t>
      </w:r>
      <w:r w:rsidRPr="004B2EC8">
        <w:rPr>
          <w:lang w:val="fr-FR"/>
        </w:rPr>
        <w:t xml:space="preserve">les Parties, et </w:t>
      </w:r>
      <w:r w:rsidRPr="004B2EC8">
        <w:rPr>
          <w:i/>
          <w:iCs/>
          <w:lang w:val="fr-FR"/>
        </w:rPr>
        <w:t>invite</w:t>
      </w:r>
      <w:r w:rsidRPr="004B2EC8">
        <w:rPr>
          <w:lang w:val="fr-FR"/>
        </w:rPr>
        <w:t xml:space="preserve"> les autres gouvernements, à publier toutes les informations nationales disponibles sur le </w:t>
      </w:r>
      <w:r w:rsidR="00BC50D3" w:rsidRPr="00BC50D3">
        <w:rPr>
          <w:bCs/>
          <w:lang w:val="fr-FR"/>
        </w:rPr>
        <w:t>Centre d’échange sur l’accès et le partage des avantages</w:t>
      </w:r>
      <w:r w:rsidR="00BC50D3" w:rsidRPr="00BC50D3">
        <w:rPr>
          <w:b/>
          <w:lang w:val="fr-FR"/>
        </w:rPr>
        <w:t xml:space="preserve"> </w:t>
      </w:r>
      <w:r w:rsidRPr="004B2EC8">
        <w:rPr>
          <w:lang w:val="fr-FR"/>
        </w:rPr>
        <w:t xml:space="preserve">conformément </w:t>
      </w:r>
      <w:r w:rsidRPr="004B2EC8">
        <w:rPr>
          <w:lang w:val="fr-FR"/>
        </w:rPr>
        <w:lastRenderedPageBreak/>
        <w:t>aux dispositions du Protocole de Nagoya et aux décisions de la Conférence des Parties siégeant en tant que réunion des Parties au Protocole ;</w:t>
      </w:r>
    </w:p>
    <w:p w14:paraId="0BFDF81D" w14:textId="77777777" w:rsidR="004B2EC8" w:rsidRPr="004B2EC8" w:rsidRDefault="004B2EC8" w:rsidP="004B2EC8">
      <w:pPr>
        <w:tabs>
          <w:tab w:val="left" w:pos="2835"/>
          <w:tab w:val="left" w:pos="3402"/>
        </w:tabs>
        <w:spacing w:after="120"/>
        <w:ind w:left="567" w:firstLine="567"/>
        <w:rPr>
          <w:lang w:val="fr-FR"/>
        </w:rPr>
      </w:pPr>
      <w:r w:rsidRPr="004B2EC8">
        <w:rPr>
          <w:lang w:val="fr-FR"/>
        </w:rPr>
        <w:t>6.</w:t>
      </w:r>
      <w:r w:rsidRPr="004B2EC8">
        <w:rPr>
          <w:i/>
          <w:iCs/>
          <w:lang w:val="fr-FR"/>
        </w:rPr>
        <w:tab/>
        <w:t>Invite</w:t>
      </w:r>
      <w:r w:rsidRPr="004B2EC8">
        <w:rPr>
          <w:lang w:val="fr-FR"/>
        </w:rPr>
        <w:t xml:space="preserve"> les Parties, les autres gouvernements et, le cas échéant, les organisations compétentes, en coordination avec la Secrétaire exécutive, à inclure dans les plans et projets pertinents de développement et de renforcement des capacités des activités qui contribuent à l’exécution des obligations en matière d’échange d’informations au titre du Protocole de Nagoya ainsi qu’à la gestion et à la publication efficace des informations nationales pertinentes sur le Centre d’échange sur l’accès et le partage des avantages ;</w:t>
      </w:r>
    </w:p>
    <w:p w14:paraId="29243399" w14:textId="48C387EA" w:rsidR="004B2EC8" w:rsidRPr="004B2EC8" w:rsidRDefault="004B2EC8" w:rsidP="004B2EC8">
      <w:pPr>
        <w:tabs>
          <w:tab w:val="left" w:pos="2835"/>
          <w:tab w:val="left" w:pos="3402"/>
        </w:tabs>
        <w:spacing w:after="120"/>
        <w:ind w:left="567" w:firstLine="567"/>
        <w:rPr>
          <w:lang w:val="fr-FR"/>
        </w:rPr>
      </w:pPr>
      <w:r w:rsidRPr="004B2EC8">
        <w:rPr>
          <w:lang w:val="fr-FR"/>
        </w:rPr>
        <w:t>7.</w:t>
      </w:r>
      <w:r w:rsidRPr="004B2EC8">
        <w:rPr>
          <w:i/>
          <w:iCs/>
          <w:lang w:val="fr-FR"/>
        </w:rPr>
        <w:tab/>
        <w:t>Invite</w:t>
      </w:r>
      <w:r w:rsidRPr="004B2EC8">
        <w:rPr>
          <w:lang w:val="fr-FR"/>
        </w:rPr>
        <w:t xml:space="preserve"> les Parties, les États non Parties, les organisations internationales compétentes, les banques régionales de développement et d’autres institutions financières, selon qu’il convient, à appuyer les plans, projets et activités de développement et de renforcement des capacités visés au paragraphe</w:t>
      </w:r>
      <w:r w:rsidR="00EE54EF">
        <w:rPr>
          <w:lang w:val="fr-FR"/>
        </w:rPr>
        <w:t> </w:t>
      </w:r>
      <w:r w:rsidRPr="004B2EC8">
        <w:rPr>
          <w:lang w:val="fr-FR"/>
        </w:rPr>
        <w:t>6 ci-dessus ;</w:t>
      </w:r>
    </w:p>
    <w:p w14:paraId="6CDC3DDC" w14:textId="77777777" w:rsidR="004B2EC8" w:rsidRPr="004B2EC8" w:rsidRDefault="004B2EC8" w:rsidP="004B2EC8">
      <w:pPr>
        <w:tabs>
          <w:tab w:val="left" w:pos="2835"/>
          <w:tab w:val="left" w:pos="3402"/>
        </w:tabs>
        <w:spacing w:after="120"/>
        <w:ind w:left="567" w:firstLine="567"/>
        <w:rPr>
          <w:lang w:val="fr-FR"/>
        </w:rPr>
      </w:pPr>
      <w:r w:rsidRPr="004B2EC8">
        <w:rPr>
          <w:lang w:val="fr-FR"/>
        </w:rPr>
        <w:t>8</w:t>
      </w:r>
      <w:r w:rsidRPr="004B2EC8">
        <w:rPr>
          <w:i/>
          <w:iCs/>
          <w:lang w:val="fr-FR"/>
        </w:rPr>
        <w:t>.</w:t>
      </w:r>
      <w:r w:rsidRPr="004B2EC8">
        <w:rPr>
          <w:i/>
          <w:iCs/>
          <w:lang w:val="fr-FR"/>
        </w:rPr>
        <w:tab/>
        <w:t xml:space="preserve">Prie </w:t>
      </w:r>
      <w:r w:rsidRPr="004B2EC8">
        <w:rPr>
          <w:lang w:val="fr-FR"/>
        </w:rPr>
        <w:t>la Secrétaire exécutive :</w:t>
      </w:r>
    </w:p>
    <w:p w14:paraId="583E137C" w14:textId="77777777" w:rsidR="004B2EC8" w:rsidRPr="004B2EC8" w:rsidRDefault="004B2EC8" w:rsidP="004B2EC8">
      <w:pPr>
        <w:tabs>
          <w:tab w:val="left" w:pos="2835"/>
          <w:tab w:val="left" w:pos="3402"/>
        </w:tabs>
        <w:spacing w:after="120"/>
        <w:ind w:left="567" w:firstLine="567"/>
        <w:rPr>
          <w:lang w:val="fr-FR"/>
        </w:rPr>
      </w:pPr>
      <w:r w:rsidRPr="004B2EC8">
        <w:rPr>
          <w:lang w:val="fr-FR"/>
        </w:rPr>
        <w:t>a)</w:t>
      </w:r>
      <w:r w:rsidRPr="004B2EC8">
        <w:rPr>
          <w:lang w:val="fr-FR"/>
        </w:rPr>
        <w:tab/>
        <w:t>De poursuivre le développement et l’administration du Centre d’échange sur l’accès et le partage des avantages, conformément à ses modalités de fonctionnement, et en tenant compte de tout retour d’information reçu, en particulier de la part des Parties et du Comité consultatif informel du Centre d’échange sur l’accès et le partage des avantages, y compris les objectifs et les priorités pour la poursuite du développement et de l’administration du Centre d’échange par le Secrétariat</w:t>
      </w:r>
      <w:r w:rsidRPr="004B2EC8">
        <w:rPr>
          <w:vertAlign w:val="superscript"/>
          <w:lang w:val="fr-FR"/>
        </w:rPr>
        <w:footnoteReference w:id="40"/>
      </w:r>
      <w:r w:rsidRPr="004B2EC8">
        <w:rPr>
          <w:lang w:val="fr-FR"/>
        </w:rPr>
        <w:t>,</w:t>
      </w:r>
    </w:p>
    <w:p w14:paraId="744FAC07" w14:textId="770542D1" w:rsidR="00807C7E" w:rsidRPr="004B2EC8" w:rsidRDefault="004B2EC8" w:rsidP="004B2EC8">
      <w:pPr>
        <w:tabs>
          <w:tab w:val="left" w:pos="2835"/>
          <w:tab w:val="left" w:pos="3402"/>
        </w:tabs>
        <w:spacing w:after="120"/>
        <w:ind w:left="567" w:firstLine="567"/>
        <w:rPr>
          <w:lang w:val="fr-FR"/>
        </w:rPr>
      </w:pPr>
      <w:r w:rsidRPr="004B2EC8">
        <w:rPr>
          <w:lang w:val="fr-FR"/>
        </w:rPr>
        <w:t>b)</w:t>
      </w:r>
      <w:r w:rsidRPr="004B2EC8">
        <w:rPr>
          <w:lang w:val="fr-FR"/>
        </w:rPr>
        <w:tab/>
        <w:t>D’organiser une réunion du Comité consultatif informel pendant la période intersessions précédant la sixième réunion de la Conférence des Parties siégeant en tant que réunion des Parties au Protocole et, le cas échéant, des discussions informelles en ligne, et de faire rapport sur les conclusions des travaux du Comité lors de la sixième réunion.</w:t>
      </w:r>
    </w:p>
    <w:p w14:paraId="41C08980" w14:textId="77777777" w:rsidR="00807C7E" w:rsidRPr="00084920" w:rsidRDefault="00807C7E" w:rsidP="00636C5D">
      <w:pPr>
        <w:pStyle w:val="CBDNormalNoNumber"/>
        <w:rPr>
          <w:snapToGrid w:val="0"/>
          <w:lang w:val="fr-FR"/>
        </w:rPr>
      </w:pPr>
    </w:p>
    <w:p w14:paraId="29E2B6B6" w14:textId="77777777" w:rsidR="00D940DA" w:rsidRPr="00084920" w:rsidRDefault="00D940DA" w:rsidP="00807C7E">
      <w:pPr>
        <w:pStyle w:val="Item"/>
        <w:rPr>
          <w:rFonts w:eastAsia="SimSun"/>
          <w:snapToGrid/>
          <w:lang w:val="fr-FR"/>
        </w:rPr>
        <w:sectPr w:rsidR="00D940DA" w:rsidRPr="00084920" w:rsidSect="00D25205">
          <w:pgSz w:w="12240" w:h="15840"/>
          <w:pgMar w:top="1134" w:right="1440" w:bottom="1134" w:left="1440" w:header="709" w:footer="709" w:gutter="0"/>
          <w:cols w:space="708"/>
          <w:docGrid w:linePitch="360"/>
        </w:sectPr>
      </w:pPr>
    </w:p>
    <w:p w14:paraId="02EA1941" w14:textId="4DCC1424" w:rsidR="006A3380" w:rsidRPr="00084920" w:rsidRDefault="004B2EC8" w:rsidP="004B4FCB">
      <w:pPr>
        <w:pStyle w:val="CBDAnnex"/>
        <w:spacing w:before="240"/>
        <w:outlineLvl w:val="0"/>
        <w:rPr>
          <w:lang w:val="fr-FR"/>
        </w:rPr>
      </w:pPr>
      <w:bookmarkStart w:id="19" w:name="_Toc178159943"/>
      <w:r>
        <w:rPr>
          <w:lang w:val="fr-FR"/>
        </w:rPr>
        <w:lastRenderedPageBreak/>
        <w:t>Point</w:t>
      </w:r>
      <w:r w:rsidR="00EE54EF">
        <w:rPr>
          <w:lang w:val="fr-FR"/>
        </w:rPr>
        <w:t> </w:t>
      </w:r>
      <w:r w:rsidR="00842E68" w:rsidRPr="00084920">
        <w:rPr>
          <w:lang w:val="fr-FR"/>
        </w:rPr>
        <w:t>10</w:t>
      </w:r>
      <w:r w:rsidR="00125526" w:rsidRPr="00084920">
        <w:rPr>
          <w:lang w:val="fr-FR"/>
        </w:rPr>
        <w:t xml:space="preserve"> </w:t>
      </w:r>
      <w:r w:rsidR="00125526" w:rsidRPr="00084920">
        <w:rPr>
          <w:lang w:val="fr-FR"/>
        </w:rPr>
        <w:br/>
      </w:r>
      <w:bookmarkEnd w:id="19"/>
      <w:r w:rsidR="009C7784" w:rsidRPr="009C7784">
        <w:rPr>
          <w:lang w:val="fr-FR"/>
        </w:rPr>
        <w:t>Évaluation et examen de l’efficacité du Protocole</w:t>
      </w:r>
    </w:p>
    <w:tbl>
      <w:tblPr>
        <w:tblStyle w:val="Grilledutableau"/>
        <w:tblW w:w="0" w:type="auto"/>
        <w:tblLook w:val="04A0" w:firstRow="1" w:lastRow="0" w:firstColumn="1" w:lastColumn="0" w:noHBand="0" w:noVBand="1"/>
      </w:tblPr>
      <w:tblGrid>
        <w:gridCol w:w="9350"/>
      </w:tblGrid>
      <w:tr w:rsidR="00807C7E" w:rsidRPr="00084920" w14:paraId="30182274" w14:textId="77777777" w:rsidTr="00557F83">
        <w:tc>
          <w:tcPr>
            <w:tcW w:w="9350" w:type="dxa"/>
            <w:tcBorders>
              <w:left w:val="nil"/>
              <w:right w:val="nil"/>
            </w:tcBorders>
          </w:tcPr>
          <w:p w14:paraId="04259029" w14:textId="15412860" w:rsidR="00807C7E" w:rsidRPr="00084920" w:rsidRDefault="009C7784" w:rsidP="00557F83">
            <w:pPr>
              <w:pStyle w:val="CBDNormalNoNumber"/>
              <w:tabs>
                <w:tab w:val="clear" w:pos="567"/>
              </w:tabs>
              <w:spacing w:before="60" w:after="60"/>
              <w:ind w:left="0" w:firstLine="596"/>
              <w:rPr>
                <w:i/>
                <w:iCs/>
                <w:lang w:val="fr-FR"/>
              </w:rPr>
            </w:pPr>
            <w:r>
              <w:rPr>
                <w:i/>
                <w:iCs/>
                <w:lang w:val="fr-FR"/>
              </w:rPr>
              <w:t>Ce qui suit est issu de la recommandation</w:t>
            </w:r>
            <w:r w:rsidR="00807C7E" w:rsidRPr="00084920">
              <w:rPr>
                <w:i/>
                <w:iCs/>
                <w:lang w:val="fr-FR"/>
              </w:rPr>
              <w:t xml:space="preserve"> 4/11 </w:t>
            </w:r>
            <w:r>
              <w:rPr>
                <w:i/>
                <w:iCs/>
                <w:lang w:val="fr-FR"/>
              </w:rPr>
              <w:t>de l’Organe subsidiaire chargé de l’application</w:t>
            </w:r>
            <w:r w:rsidR="005A6009" w:rsidRPr="00084920">
              <w:rPr>
                <w:i/>
                <w:iCs/>
                <w:lang w:val="fr-FR"/>
              </w:rPr>
              <w:t>.</w:t>
            </w:r>
          </w:p>
        </w:tc>
      </w:tr>
    </w:tbl>
    <w:p w14:paraId="604EA3AD" w14:textId="23A07EBA" w:rsidR="00000769" w:rsidRPr="00084920" w:rsidRDefault="009C7784" w:rsidP="00000769">
      <w:pPr>
        <w:pStyle w:val="CBDTitle"/>
        <w:rPr>
          <w:sz w:val="24"/>
          <w:szCs w:val="24"/>
          <w:lang w:val="fr-FR"/>
        </w:rPr>
      </w:pPr>
      <w:r>
        <w:rPr>
          <w:sz w:val="24"/>
          <w:szCs w:val="24"/>
          <w:lang w:val="fr-FR"/>
        </w:rPr>
        <w:t>Élaboration de la méthode pour la deuxième évaluation et le deuxième examen de l’efficacité du Protocole de Nagoya</w:t>
      </w:r>
    </w:p>
    <w:p w14:paraId="7A45E29D" w14:textId="0D833AD9" w:rsidR="009C7784" w:rsidRPr="009C7784" w:rsidRDefault="009C7784" w:rsidP="009D5C00">
      <w:pPr>
        <w:tabs>
          <w:tab w:val="clear" w:pos="567"/>
          <w:tab w:val="clear" w:pos="1134"/>
          <w:tab w:val="clear" w:pos="2268"/>
        </w:tabs>
        <w:spacing w:before="120" w:after="120"/>
        <w:ind w:left="567" w:firstLine="567"/>
        <w:rPr>
          <w:rFonts w:eastAsia="Times New Roman"/>
          <w:i/>
          <w:iCs/>
          <w:szCs w:val="24"/>
          <w:lang w:val="fr-FR"/>
        </w:rPr>
      </w:pPr>
      <w:r w:rsidRPr="009C7784">
        <w:rPr>
          <w:rFonts w:eastAsia="Times New Roman"/>
          <w:i/>
          <w:szCs w:val="24"/>
          <w:vertAlign w:val="superscript"/>
          <w:lang w:val="fr-FR" w:bidi="fr-FR"/>
        </w:rPr>
        <w:footnoteReference w:customMarkFollows="1" w:id="41"/>
        <w:t>*</w:t>
      </w:r>
      <w:r w:rsidRPr="009C7784">
        <w:rPr>
          <w:rFonts w:eastAsia="Times New Roman"/>
          <w:szCs w:val="24"/>
          <w:lang w:val="fr-FR"/>
        </w:rPr>
        <w:t xml:space="preserve"> [</w:t>
      </w:r>
      <w:r w:rsidRPr="009C7784">
        <w:rPr>
          <w:rFonts w:eastAsia="Times New Roman"/>
          <w:i/>
          <w:szCs w:val="24"/>
          <w:lang w:val="fr-FR" w:bidi="fr-FR"/>
        </w:rPr>
        <w:t>La Conférence des Parties siégeant en tant que réunion des Parties au Protocole de Nagoya,</w:t>
      </w:r>
    </w:p>
    <w:p w14:paraId="6613A8F4" w14:textId="5323B61C"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i/>
          <w:szCs w:val="24"/>
          <w:lang w:val="fr-FR" w:bidi="fr-FR"/>
        </w:rPr>
        <w:tab/>
        <w:t>Rappelant</w:t>
      </w:r>
      <w:r w:rsidRPr="009C7784">
        <w:rPr>
          <w:rFonts w:eastAsia="Times New Roman"/>
          <w:szCs w:val="24"/>
          <w:lang w:val="fr-FR" w:bidi="fr-FR"/>
        </w:rPr>
        <w:t xml:space="preserve"> </w:t>
      </w:r>
      <w:hyperlink r:id="rId34" w:history="1">
        <w:r w:rsidRPr="009C7784">
          <w:rPr>
            <w:rFonts w:eastAsia="Times New Roman"/>
            <w:szCs w:val="24"/>
            <w:lang w:val="fr-FR" w:bidi="fr-FR"/>
          </w:rPr>
          <w:t>l’article</w:t>
        </w:r>
        <w:r w:rsidR="00EE54EF">
          <w:rPr>
            <w:rFonts w:eastAsia="Times New Roman"/>
            <w:szCs w:val="24"/>
            <w:lang w:val="fr-FR" w:bidi="fr-FR"/>
          </w:rPr>
          <w:t> </w:t>
        </w:r>
        <w:r w:rsidRPr="009C7784">
          <w:rPr>
            <w:rFonts w:eastAsia="Times New Roman"/>
            <w:szCs w:val="24"/>
            <w:lang w:val="fr-FR" w:bidi="fr-FR"/>
          </w:rPr>
          <w:t>31</w:t>
        </w:r>
      </w:hyperlink>
      <w:r w:rsidRPr="009C7784">
        <w:rPr>
          <w:rFonts w:eastAsia="Times New Roman"/>
          <w:szCs w:val="24"/>
          <w:lang w:val="fr-FR" w:bidi="fr-FR"/>
        </w:rPr>
        <w:t xml:space="preserve"> du Protocole de Nagoya sur l’accès aux ressources génétiques et le partage juste et équitable des avantages découlant de leur utilisation relatif à la Convention sur la diversité biologique</w:t>
      </w:r>
      <w:r w:rsidRPr="009C7784">
        <w:rPr>
          <w:rFonts w:eastAsia="Times New Roman"/>
          <w:szCs w:val="24"/>
          <w:vertAlign w:val="superscript"/>
          <w:lang w:val="fr-FR" w:bidi="fr-FR"/>
        </w:rPr>
        <w:footnoteReference w:id="42"/>
      </w:r>
      <w:r w:rsidRPr="009C7784">
        <w:rPr>
          <w:rFonts w:eastAsia="Times New Roman"/>
          <w:szCs w:val="24"/>
          <w:lang w:val="fr-FR" w:bidi="fr-FR"/>
        </w:rPr>
        <w:t>,</w:t>
      </w:r>
    </w:p>
    <w:p w14:paraId="5525893F" w14:textId="0E5248E5" w:rsidR="009C7784" w:rsidRPr="009C7784" w:rsidRDefault="009C7784" w:rsidP="009D5C00">
      <w:pPr>
        <w:tabs>
          <w:tab w:val="clear" w:pos="567"/>
          <w:tab w:val="clear" w:pos="1134"/>
          <w:tab w:val="clear" w:pos="2268"/>
        </w:tabs>
        <w:spacing w:before="120" w:after="120"/>
        <w:ind w:left="567" w:firstLine="567"/>
        <w:rPr>
          <w:rFonts w:eastAsia="Times New Roman"/>
          <w:iCs/>
          <w:szCs w:val="24"/>
          <w:lang w:val="fr-FR"/>
        </w:rPr>
      </w:pPr>
      <w:r w:rsidRPr="009C7784">
        <w:rPr>
          <w:rFonts w:eastAsia="Times New Roman"/>
          <w:i/>
          <w:szCs w:val="24"/>
          <w:lang w:val="fr-FR" w:bidi="fr-FR"/>
        </w:rPr>
        <w:tab/>
        <w:t xml:space="preserve">Rappelant également </w:t>
      </w:r>
      <w:r w:rsidRPr="009C7784">
        <w:rPr>
          <w:rFonts w:eastAsia="Times New Roman"/>
          <w:szCs w:val="24"/>
          <w:lang w:val="fr-FR" w:bidi="fr-FR"/>
        </w:rPr>
        <w:t>la décision</w:t>
      </w:r>
      <w:r w:rsidR="00EE54EF">
        <w:rPr>
          <w:rFonts w:eastAsia="Times New Roman"/>
          <w:szCs w:val="24"/>
          <w:lang w:val="fr-FR" w:bidi="fr-FR"/>
        </w:rPr>
        <w:t> </w:t>
      </w:r>
      <w:r w:rsidRPr="009C7784">
        <w:rPr>
          <w:rFonts w:eastAsia="Times New Roman"/>
          <w:szCs w:val="24"/>
          <w:lang w:val="fr-FR" w:bidi="fr-FR"/>
        </w:rPr>
        <w:t>NP-2/4 du 17 décembre 2016, dans laquelle la Conférence des Parties siégeant en tant que réunion des Parties au Protocole a décidé de procéder à la première évaluation et au premier examen du Protocole sur la base des éléments figurant dans l’annexe à cette décision, et l’importance de la continuité des approches pour assurer la comparabilité des résultats,</w:t>
      </w:r>
    </w:p>
    <w:p w14:paraId="0BA9C3EA" w14:textId="2AC0B75D"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bidi="fr-FR"/>
        </w:rPr>
      </w:pPr>
      <w:r w:rsidRPr="009C7784">
        <w:rPr>
          <w:rFonts w:eastAsia="Times New Roman"/>
          <w:i/>
          <w:szCs w:val="24"/>
          <w:lang w:val="fr-FR" w:bidi="fr-FR"/>
        </w:rPr>
        <w:tab/>
        <w:t xml:space="preserve">Rappelant en outre </w:t>
      </w:r>
      <w:r w:rsidRPr="009C7784">
        <w:rPr>
          <w:rFonts w:eastAsia="Times New Roman"/>
          <w:szCs w:val="24"/>
          <w:lang w:val="fr-FR" w:bidi="fr-FR"/>
        </w:rPr>
        <w:t>la décision</w:t>
      </w:r>
      <w:r w:rsidR="00EE54EF">
        <w:rPr>
          <w:rFonts w:eastAsia="Times New Roman"/>
          <w:szCs w:val="24"/>
          <w:lang w:val="fr-FR" w:bidi="fr-FR"/>
        </w:rPr>
        <w:t> </w:t>
      </w:r>
      <w:r w:rsidRPr="009C7784">
        <w:rPr>
          <w:rFonts w:eastAsia="Times New Roman"/>
          <w:szCs w:val="24"/>
          <w:lang w:val="fr-FR" w:bidi="fr-FR"/>
        </w:rPr>
        <w:t>NP-3/1 A du 25</w:t>
      </w:r>
      <w:r w:rsidR="00EE54EF">
        <w:rPr>
          <w:rFonts w:eastAsia="Times New Roman"/>
          <w:szCs w:val="24"/>
          <w:lang w:val="fr-FR" w:bidi="fr-FR"/>
        </w:rPr>
        <w:t> </w:t>
      </w:r>
      <w:r w:rsidRPr="009C7784">
        <w:rPr>
          <w:rFonts w:eastAsia="Times New Roman"/>
          <w:szCs w:val="24"/>
          <w:lang w:val="fr-FR" w:bidi="fr-FR"/>
        </w:rPr>
        <w:t>novembre</w:t>
      </w:r>
      <w:r w:rsidR="00EE54EF">
        <w:rPr>
          <w:rFonts w:eastAsia="Times New Roman"/>
          <w:szCs w:val="24"/>
          <w:lang w:val="fr-FR" w:bidi="fr-FR"/>
        </w:rPr>
        <w:t> </w:t>
      </w:r>
      <w:r w:rsidRPr="009C7784">
        <w:rPr>
          <w:rFonts w:eastAsia="Times New Roman"/>
          <w:szCs w:val="24"/>
          <w:lang w:val="fr-FR" w:bidi="fr-FR"/>
        </w:rPr>
        <w:t xml:space="preserve">2018, dans laquelle la </w:t>
      </w:r>
      <w:bookmarkStart w:id="20" w:name="_Hlk163362197"/>
      <w:r w:rsidRPr="009C7784">
        <w:rPr>
          <w:rFonts w:eastAsia="Times New Roman"/>
          <w:szCs w:val="24"/>
          <w:lang w:val="fr-FR" w:bidi="fr-FR"/>
        </w:rPr>
        <w:t xml:space="preserve">Conférence des Parties siégeant en tant que réunion des Parties au Protocole </w:t>
      </w:r>
      <w:bookmarkEnd w:id="20"/>
      <w:r w:rsidRPr="009C7784">
        <w:rPr>
          <w:rFonts w:eastAsia="Times New Roman"/>
          <w:szCs w:val="24"/>
          <w:lang w:val="fr-FR" w:bidi="fr-FR"/>
        </w:rPr>
        <w:t>a défini des éléments supplémentaires à prendre en considération pour la deuxième évaluation et le deuxième examen de l’efficacité du Protocole et a prié la Secrétaire exécutive de réaliser une enquête ciblée sur les difficultés liées à la mise en œuvre du Protocole et de demander à tous les types d’utilisateurs du Centre d’échange sur l’accès et le partage des avantages de faire part de leurs observations sur sa mise en œuvre et son fonctionnement,</w:t>
      </w:r>
    </w:p>
    <w:p w14:paraId="0ACDA095" w14:textId="4EC483EF"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i/>
          <w:iCs/>
          <w:szCs w:val="24"/>
          <w:lang w:val="fr-FR"/>
        </w:rPr>
        <w:tab/>
        <w:t xml:space="preserve">Rappelant </w:t>
      </w:r>
      <w:r w:rsidRPr="009C7784">
        <w:rPr>
          <w:rFonts w:eastAsia="Times New Roman"/>
          <w:szCs w:val="24"/>
          <w:lang w:val="fr-FR"/>
        </w:rPr>
        <w:t>la décision</w:t>
      </w:r>
      <w:r w:rsidR="00EE54EF">
        <w:rPr>
          <w:rFonts w:eastAsia="Times New Roman"/>
          <w:szCs w:val="24"/>
          <w:lang w:val="fr-FR"/>
        </w:rPr>
        <w:t> </w:t>
      </w:r>
      <w:r w:rsidRPr="009C7784">
        <w:rPr>
          <w:rFonts w:eastAsia="Times New Roman"/>
          <w:szCs w:val="24"/>
          <w:lang w:val="fr-FR"/>
        </w:rPr>
        <w:t>NP-4/3 du 10</w:t>
      </w:r>
      <w:r w:rsidR="00EE54EF">
        <w:rPr>
          <w:rFonts w:eastAsia="Times New Roman"/>
          <w:szCs w:val="24"/>
          <w:lang w:val="fr-FR"/>
        </w:rPr>
        <w:t> </w:t>
      </w:r>
      <w:r w:rsidRPr="009C7784">
        <w:rPr>
          <w:rFonts w:eastAsia="Times New Roman"/>
          <w:szCs w:val="24"/>
          <w:lang w:val="fr-FR"/>
        </w:rPr>
        <w:t>décembre</w:t>
      </w:r>
      <w:r w:rsidR="00EE54EF">
        <w:rPr>
          <w:rFonts w:eastAsia="Times New Roman"/>
          <w:szCs w:val="24"/>
          <w:lang w:val="fr-FR"/>
        </w:rPr>
        <w:t> </w:t>
      </w:r>
      <w:r w:rsidRPr="009C7784">
        <w:rPr>
          <w:rFonts w:eastAsia="Times New Roman"/>
          <w:szCs w:val="24"/>
          <w:lang w:val="fr-FR"/>
        </w:rPr>
        <w:t xml:space="preserve">2022, en vertu de laquelle </w:t>
      </w:r>
      <w:r w:rsidRPr="009C7784">
        <w:rPr>
          <w:rFonts w:eastAsia="Times New Roman"/>
          <w:szCs w:val="24"/>
          <w:lang w:val="fr-FR" w:bidi="fr-FR"/>
        </w:rPr>
        <w:t>la Conférence des Parties siégeant en tant que réunion des Parties au Protocole</w:t>
      </w:r>
      <w:r w:rsidRPr="009C7784">
        <w:rPr>
          <w:rFonts w:eastAsia="Times New Roman"/>
          <w:szCs w:val="24"/>
          <w:lang w:val="fr-FR"/>
        </w:rPr>
        <w:t xml:space="preserve"> a adopté les lignes directrices et le modèle relatifs à la soumission du premier rapport national sur la mise en œuvre du Protocole,</w:t>
      </w:r>
    </w:p>
    <w:p w14:paraId="0D962CEE" w14:textId="7F2AA89D"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i/>
          <w:szCs w:val="24"/>
          <w:lang w:val="fr-FR"/>
        </w:rPr>
        <w:tab/>
      </w:r>
      <w:r w:rsidRPr="009C7784">
        <w:rPr>
          <w:rFonts w:eastAsia="Times New Roman"/>
          <w:i/>
          <w:szCs w:val="24"/>
          <w:lang w:val="fr-FR" w:bidi="fr-FR"/>
        </w:rPr>
        <w:t xml:space="preserve">Rappelant en outre </w:t>
      </w:r>
      <w:r w:rsidRPr="009C7784">
        <w:rPr>
          <w:rFonts w:eastAsia="Times New Roman"/>
          <w:szCs w:val="24"/>
          <w:lang w:val="fr-FR" w:bidi="fr-FR"/>
        </w:rPr>
        <w:t>les décisions</w:t>
      </w:r>
      <w:r w:rsidR="00EE54EF">
        <w:rPr>
          <w:rFonts w:eastAsia="Times New Roman"/>
          <w:szCs w:val="24"/>
          <w:lang w:val="fr-FR" w:bidi="fr-FR"/>
        </w:rPr>
        <w:t> </w:t>
      </w:r>
      <w:r w:rsidRPr="009C7784">
        <w:rPr>
          <w:rFonts w:eastAsia="Times New Roman"/>
          <w:szCs w:val="24"/>
          <w:lang w:val="fr-FR"/>
        </w:rPr>
        <w:t>15/9 du 19</w:t>
      </w:r>
      <w:r w:rsidR="00EE54EF">
        <w:rPr>
          <w:rFonts w:eastAsia="Times New Roman"/>
          <w:szCs w:val="24"/>
          <w:lang w:val="fr-FR"/>
        </w:rPr>
        <w:t> </w:t>
      </w:r>
      <w:r w:rsidRPr="009C7784">
        <w:rPr>
          <w:rFonts w:eastAsia="Times New Roman"/>
          <w:szCs w:val="24"/>
          <w:lang w:val="fr-FR"/>
        </w:rPr>
        <w:t>décembre</w:t>
      </w:r>
      <w:r w:rsidR="00EE54EF">
        <w:rPr>
          <w:rFonts w:eastAsia="Times New Roman"/>
          <w:szCs w:val="24"/>
          <w:lang w:val="fr-FR"/>
        </w:rPr>
        <w:t> </w:t>
      </w:r>
      <w:r w:rsidRPr="009C7784">
        <w:rPr>
          <w:rFonts w:eastAsia="Times New Roman"/>
          <w:szCs w:val="24"/>
          <w:lang w:val="fr-FR"/>
        </w:rPr>
        <w:t xml:space="preserve">2022 de la Conférence des Parties à la Convention sur la diversité biologique et </w:t>
      </w:r>
      <w:r w:rsidRPr="009C7784">
        <w:rPr>
          <w:rFonts w:eastAsia="Times New Roman"/>
          <w:lang w:val="fr-FR"/>
        </w:rPr>
        <w:t>NP-4/6 du 19</w:t>
      </w:r>
      <w:r w:rsidR="00EE54EF">
        <w:rPr>
          <w:rFonts w:eastAsia="Times New Roman"/>
          <w:lang w:val="fr-FR"/>
        </w:rPr>
        <w:t> </w:t>
      </w:r>
      <w:r w:rsidRPr="009C7784">
        <w:rPr>
          <w:rFonts w:eastAsia="Times New Roman"/>
          <w:lang w:val="fr-FR"/>
        </w:rPr>
        <w:t>décembre</w:t>
      </w:r>
      <w:r w:rsidR="00EE54EF">
        <w:rPr>
          <w:rFonts w:eastAsia="Times New Roman"/>
          <w:lang w:val="fr-FR"/>
        </w:rPr>
        <w:t> </w:t>
      </w:r>
      <w:r w:rsidRPr="009C7784">
        <w:rPr>
          <w:rFonts w:eastAsia="Times New Roman"/>
          <w:lang w:val="fr-FR"/>
        </w:rPr>
        <w:t xml:space="preserve">2022 de la </w:t>
      </w:r>
      <w:r w:rsidRPr="009C7784">
        <w:rPr>
          <w:rFonts w:eastAsia="Times New Roman"/>
          <w:szCs w:val="24"/>
          <w:lang w:val="fr-FR" w:bidi="fr-FR"/>
        </w:rPr>
        <w:t xml:space="preserve">Conférence des Parties siégeant en tant que réunion des Parties au Protocole, qui portait sur </w:t>
      </w:r>
      <w:r w:rsidRPr="009C7784">
        <w:rPr>
          <w:rFonts w:eastAsia="Times New Roman"/>
          <w:szCs w:val="24"/>
          <w:lang w:val="fr-FR"/>
        </w:rPr>
        <w:t>l’information de séquençage numérique sur les ressources génétiques</w:t>
      </w:r>
      <w:bookmarkStart w:id="21" w:name="_Hlk167636360"/>
      <w:r w:rsidRPr="009C7784">
        <w:rPr>
          <w:rFonts w:eastAsia="Times New Roman"/>
          <w:szCs w:val="24"/>
          <w:lang w:val="fr-FR"/>
        </w:rPr>
        <w:t>,</w:t>
      </w:r>
      <w:bookmarkEnd w:id="21"/>
    </w:p>
    <w:p w14:paraId="55464DCC" w14:textId="77777777" w:rsidR="009C7784" w:rsidRPr="009C7784" w:rsidRDefault="009C7784" w:rsidP="009D5C00">
      <w:pPr>
        <w:tabs>
          <w:tab w:val="clear" w:pos="567"/>
          <w:tab w:val="clear" w:pos="1134"/>
          <w:tab w:val="clear" w:pos="2268"/>
        </w:tabs>
        <w:spacing w:before="120" w:after="120"/>
        <w:ind w:left="567" w:firstLine="567"/>
        <w:rPr>
          <w:rFonts w:eastAsia="Times New Roman"/>
          <w:i/>
          <w:iCs/>
          <w:szCs w:val="24"/>
          <w:lang w:val="fr-FR"/>
        </w:rPr>
      </w:pPr>
      <w:r w:rsidRPr="009C7784">
        <w:rPr>
          <w:rFonts w:eastAsia="Times New Roman"/>
          <w:i/>
          <w:szCs w:val="24"/>
          <w:lang w:val="fr-FR"/>
        </w:rPr>
        <w:tab/>
        <w:t xml:space="preserve">Prenant acte </w:t>
      </w:r>
      <w:r w:rsidRPr="009C7784">
        <w:rPr>
          <w:rFonts w:eastAsia="Times New Roman"/>
          <w:szCs w:val="24"/>
          <w:lang w:val="fr-FR"/>
        </w:rPr>
        <w:t>des travaux en cours sur la biologie de synthèse, énoncés dans la décision 15/31 du 19 décembre 2022 de la Conférence des Parties à la Convention,</w:t>
      </w:r>
    </w:p>
    <w:p w14:paraId="052372D0" w14:textId="77777777"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1.</w:t>
      </w:r>
      <w:r w:rsidRPr="009C7784">
        <w:rPr>
          <w:rFonts w:eastAsia="Times New Roman"/>
          <w:szCs w:val="24"/>
          <w:lang w:val="fr-FR" w:bidi="fr-FR"/>
        </w:rPr>
        <w:tab/>
      </w:r>
      <w:r w:rsidRPr="009C7784">
        <w:rPr>
          <w:rFonts w:eastAsia="Times New Roman"/>
          <w:i/>
          <w:szCs w:val="24"/>
          <w:lang w:val="fr-FR" w:bidi="fr-FR"/>
        </w:rPr>
        <w:t xml:space="preserve">Décide </w:t>
      </w:r>
      <w:r w:rsidRPr="009C7784">
        <w:rPr>
          <w:rFonts w:eastAsia="Times New Roman"/>
          <w:szCs w:val="24"/>
          <w:lang w:val="fr-FR" w:bidi="fr-FR"/>
        </w:rPr>
        <w:t xml:space="preserve">de procéder à la deuxième évaluation et au deuxième examen de l’efficacité du Protocole de Nagoya sur l’accès aux ressources génétiques et le partage juste et équitable des avantages découlant de leur utilisation relatif à la Convention sur la diversité biologique sur la base des éléments figurant à l’annexe de la présente décision ; </w:t>
      </w:r>
    </w:p>
    <w:p w14:paraId="3BF85806" w14:textId="77777777"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2.</w:t>
      </w:r>
      <w:r w:rsidRPr="009C7784">
        <w:rPr>
          <w:rFonts w:eastAsia="Times New Roman"/>
          <w:szCs w:val="24"/>
          <w:lang w:val="fr-FR" w:bidi="fr-FR"/>
        </w:rPr>
        <w:tab/>
      </w:r>
      <w:r w:rsidRPr="009C7784">
        <w:rPr>
          <w:rFonts w:eastAsia="Times New Roman"/>
          <w:i/>
          <w:szCs w:val="24"/>
          <w:lang w:val="fr-FR" w:bidi="fr-FR"/>
        </w:rPr>
        <w:t xml:space="preserve">Prie instamment </w:t>
      </w:r>
      <w:r w:rsidRPr="009C7784">
        <w:rPr>
          <w:rFonts w:eastAsia="Times New Roman"/>
          <w:szCs w:val="24"/>
          <w:lang w:val="fr-FR" w:bidi="fr-FR"/>
        </w:rPr>
        <w:t>les Parties et encourage les autres gouvernements, les organisations compétentes, les peuples autochtones et les communautés locales, et les représentants des femmes et des jeunes à publier des informations sur le Centre d’échange sur l’accès et le partage des avantages afin qu’elles soient disponibles pour la deuxième évaluation et le deuxième examen de l’efficacité du Protocole ;</w:t>
      </w:r>
    </w:p>
    <w:p w14:paraId="4155BC71" w14:textId="10279D4A"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lastRenderedPageBreak/>
        <w:tab/>
        <w:t>3.</w:t>
      </w:r>
      <w:r w:rsidRPr="009C7784">
        <w:rPr>
          <w:rFonts w:eastAsia="Times New Roman"/>
          <w:szCs w:val="24"/>
          <w:lang w:val="fr-FR" w:bidi="fr-FR"/>
        </w:rPr>
        <w:tab/>
      </w:r>
      <w:r w:rsidRPr="009C7784">
        <w:rPr>
          <w:rFonts w:eastAsia="Times New Roman"/>
          <w:i/>
          <w:szCs w:val="24"/>
          <w:lang w:val="fr-FR" w:bidi="fr-FR"/>
        </w:rPr>
        <w:t>Souligne</w:t>
      </w:r>
      <w:r w:rsidRPr="009C7784">
        <w:rPr>
          <w:rFonts w:eastAsia="Times New Roman"/>
          <w:szCs w:val="24"/>
          <w:lang w:val="fr-FR" w:bidi="fr-FR"/>
        </w:rPr>
        <w:t xml:space="preserve"> que les Parties devraient soumettre leurs premiers rapports nationaux sur la mise en œuvre du Protocole au plus tard le </w:t>
      </w:r>
      <w:r w:rsidRPr="009C7784">
        <w:rPr>
          <w:rFonts w:eastAsia="Times New Roman"/>
          <w:szCs w:val="24"/>
          <w:lang w:val="fr-FR"/>
        </w:rPr>
        <w:t>28</w:t>
      </w:r>
      <w:r w:rsidR="00EE54EF">
        <w:rPr>
          <w:rFonts w:eastAsia="Times New Roman"/>
          <w:szCs w:val="24"/>
          <w:lang w:val="fr-FR"/>
        </w:rPr>
        <w:t> </w:t>
      </w:r>
      <w:r w:rsidRPr="009C7784">
        <w:rPr>
          <w:rFonts w:eastAsia="Times New Roman"/>
          <w:szCs w:val="24"/>
          <w:lang w:val="fr-FR"/>
        </w:rPr>
        <w:t>février</w:t>
      </w:r>
      <w:r w:rsidR="00EE54EF">
        <w:rPr>
          <w:rFonts w:eastAsia="Times New Roman"/>
          <w:szCs w:val="24"/>
          <w:lang w:val="fr-FR"/>
        </w:rPr>
        <w:t> </w:t>
      </w:r>
      <w:r w:rsidRPr="009C7784">
        <w:rPr>
          <w:rFonts w:eastAsia="Times New Roman"/>
          <w:szCs w:val="24"/>
          <w:lang w:val="fr-FR"/>
        </w:rPr>
        <w:t xml:space="preserve">2026, et les encourage à soumettre, dans la mesure du possible, leurs rapports avant cette date afin de faciliter l’analyse nécessaire à </w:t>
      </w:r>
      <w:r w:rsidRPr="009C7784">
        <w:rPr>
          <w:rFonts w:eastAsia="Times New Roman"/>
          <w:szCs w:val="24"/>
          <w:lang w:val="fr-FR" w:bidi="fr-FR"/>
        </w:rPr>
        <w:t>la deuxième évaluation et au deuxième examen de l’efficacité du Protocole ;</w:t>
      </w:r>
    </w:p>
    <w:p w14:paraId="112B01DC" w14:textId="5403703A"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vertAlign w:val="superscript"/>
          <w:lang w:val="fr-FR"/>
        </w:rPr>
      </w:pPr>
      <w:r w:rsidRPr="009C7784">
        <w:rPr>
          <w:rFonts w:eastAsia="Times New Roman"/>
          <w:szCs w:val="24"/>
          <w:lang w:val="fr-FR" w:bidi="fr-FR"/>
        </w:rPr>
        <w:tab/>
        <w:t>4.</w:t>
      </w:r>
      <w:r w:rsidRPr="009C7784">
        <w:rPr>
          <w:rFonts w:eastAsia="Times New Roman"/>
          <w:szCs w:val="24"/>
          <w:lang w:val="fr-FR" w:bidi="fr-FR"/>
        </w:rPr>
        <w:tab/>
      </w:r>
      <w:r w:rsidRPr="009C7784">
        <w:rPr>
          <w:rFonts w:eastAsia="Times New Roman"/>
          <w:i/>
          <w:szCs w:val="24"/>
          <w:lang w:val="fr-FR" w:bidi="fr-FR"/>
        </w:rPr>
        <w:t xml:space="preserve">Prie instamment </w:t>
      </w:r>
      <w:r w:rsidRPr="009C7784">
        <w:rPr>
          <w:rFonts w:eastAsia="Times New Roman"/>
          <w:szCs w:val="24"/>
          <w:lang w:val="fr-FR" w:bidi="fr-FR"/>
        </w:rPr>
        <w:t>les Parties remplissant les conditions requises de soumettre leurs lettres d’engagement à l’organisme d’exécution en temps voulu pour que les projets visant à appuyer l’élaboration de</w:t>
      </w:r>
      <w:r w:rsidR="00E055A9">
        <w:rPr>
          <w:rFonts w:eastAsia="Times New Roman"/>
          <w:szCs w:val="24"/>
          <w:lang w:val="fr-FR" w:bidi="fr-FR"/>
        </w:rPr>
        <w:t xml:space="preserve"> leurs</w:t>
      </w:r>
      <w:r w:rsidRPr="009C7784">
        <w:rPr>
          <w:rFonts w:eastAsia="Times New Roman"/>
          <w:szCs w:val="24"/>
          <w:lang w:val="fr-FR" w:bidi="fr-FR"/>
        </w:rPr>
        <w:t xml:space="preserve"> premiers rapports nationaux soient présentés au Fonds pour l’environnement mondial pour approbation bien avant la date limite de présentation des rapports ; </w:t>
      </w:r>
    </w:p>
    <w:p w14:paraId="39F32159" w14:textId="77777777"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5.</w:t>
      </w:r>
      <w:r w:rsidRPr="009C7784">
        <w:rPr>
          <w:rFonts w:eastAsia="Times New Roman"/>
          <w:szCs w:val="24"/>
          <w:lang w:val="fr-FR" w:bidi="fr-FR"/>
        </w:rPr>
        <w:tab/>
      </w:r>
      <w:r w:rsidRPr="009C7784">
        <w:rPr>
          <w:rFonts w:eastAsia="Times New Roman"/>
          <w:i/>
          <w:szCs w:val="24"/>
          <w:lang w:val="fr-FR" w:bidi="fr-FR"/>
        </w:rPr>
        <w:t xml:space="preserve">Prie instamment </w:t>
      </w:r>
      <w:r w:rsidRPr="009C7784">
        <w:rPr>
          <w:rFonts w:eastAsia="Times New Roman"/>
          <w:szCs w:val="24"/>
          <w:lang w:val="fr-FR" w:bidi="fr-FR"/>
        </w:rPr>
        <w:t>le Fonds pour l’environnement mondial et les organismes d’exécution de faciliter les processus pertinents en temps voulu afin que les Parties qui présentent leurs lettres d’engagement bénéficient d’un appui ;</w:t>
      </w:r>
    </w:p>
    <w:p w14:paraId="3F5337A9" w14:textId="61848C3C"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6.</w:t>
      </w:r>
      <w:r w:rsidRPr="009C7784">
        <w:rPr>
          <w:rFonts w:eastAsia="Times New Roman"/>
          <w:szCs w:val="24"/>
          <w:lang w:val="fr-FR" w:bidi="fr-FR"/>
        </w:rPr>
        <w:tab/>
      </w:r>
      <w:r w:rsidRPr="009C7784">
        <w:rPr>
          <w:rFonts w:eastAsia="Times New Roman"/>
          <w:i/>
          <w:szCs w:val="24"/>
          <w:lang w:val="fr-FR" w:bidi="fr-FR"/>
        </w:rPr>
        <w:t xml:space="preserve">Invite </w:t>
      </w:r>
      <w:r w:rsidRPr="009C7784">
        <w:rPr>
          <w:rFonts w:eastAsia="Times New Roman"/>
          <w:szCs w:val="24"/>
          <w:lang w:val="fr-FR" w:bidi="fr-FR"/>
        </w:rPr>
        <w:t>les Parties, les autres gouvernements, les peuples autochtones et les communautés locales, les représentants des femmes et des jeunes ainsi que les parties prenantes et les autres organisations, à répondre aux enquêtes ciblées qui seront menées par la Secrétaire exécutive en application des paragraphes</w:t>
      </w:r>
      <w:r w:rsidR="00EE54EF">
        <w:rPr>
          <w:rFonts w:eastAsia="Times New Roman"/>
          <w:szCs w:val="24"/>
          <w:lang w:val="fr-FR" w:bidi="fr-FR"/>
        </w:rPr>
        <w:t> </w:t>
      </w:r>
      <w:r w:rsidRPr="009C7784">
        <w:rPr>
          <w:rFonts w:eastAsia="Times New Roman"/>
          <w:szCs w:val="24"/>
          <w:lang w:val="fr-FR" w:bidi="fr-FR"/>
        </w:rPr>
        <w:t xml:space="preserve">18 a) et 20 c) de la décision </w:t>
      </w:r>
      <w:r w:rsidRPr="009C7784">
        <w:rPr>
          <w:rFonts w:eastAsia="Times New Roman"/>
          <w:szCs w:val="24"/>
          <w:lang w:val="fr-FR"/>
        </w:rPr>
        <w:t>NP</w:t>
      </w:r>
      <w:r w:rsidRPr="009C7784">
        <w:rPr>
          <w:rFonts w:eastAsia="Times New Roman"/>
          <w:szCs w:val="24"/>
          <w:lang w:val="fr-FR"/>
        </w:rPr>
        <w:noBreakHyphen/>
        <w:t>3/1 A</w:t>
      </w:r>
      <w:r w:rsidRPr="009C7784">
        <w:rPr>
          <w:rFonts w:eastAsia="Times New Roman"/>
          <w:szCs w:val="24"/>
          <w:lang w:val="fr-FR" w:bidi="fr-FR"/>
        </w:rPr>
        <w:t>, et à faire part de leurs points de vue pour étayer un examen préliminaire des procédures et mécanismes de conformité figurant à l’annexe de la décision</w:t>
      </w:r>
      <w:r w:rsidR="00EE54EF">
        <w:rPr>
          <w:rFonts w:eastAsia="Times New Roman"/>
          <w:szCs w:val="24"/>
          <w:lang w:val="fr-FR" w:bidi="fr-FR"/>
        </w:rPr>
        <w:t> </w:t>
      </w:r>
      <w:r w:rsidRPr="009C7784">
        <w:rPr>
          <w:rFonts w:eastAsia="Times New Roman"/>
          <w:szCs w:val="24"/>
          <w:lang w:val="fr-FR" w:bidi="fr-FR"/>
        </w:rPr>
        <w:t>NP-1/4 du 17 octobre 2014 ;</w:t>
      </w:r>
    </w:p>
    <w:p w14:paraId="768B308C" w14:textId="77777777"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7.</w:t>
      </w:r>
      <w:r w:rsidRPr="009C7784">
        <w:rPr>
          <w:rFonts w:eastAsia="Times New Roman"/>
          <w:szCs w:val="24"/>
          <w:lang w:val="fr-FR" w:bidi="fr-FR"/>
        </w:rPr>
        <w:tab/>
      </w:r>
      <w:r w:rsidRPr="009C7784">
        <w:rPr>
          <w:rFonts w:eastAsia="Times New Roman"/>
          <w:i/>
          <w:szCs w:val="24"/>
          <w:lang w:val="fr-FR" w:bidi="fr-FR"/>
        </w:rPr>
        <w:t xml:space="preserve">Prie </w:t>
      </w:r>
      <w:r w:rsidRPr="009C7784">
        <w:rPr>
          <w:rFonts w:eastAsia="Times New Roman"/>
          <w:szCs w:val="24"/>
          <w:lang w:val="fr-FR" w:bidi="fr-FR"/>
        </w:rPr>
        <w:t xml:space="preserve">la Secrétaire exécutive : </w:t>
      </w:r>
    </w:p>
    <w:p w14:paraId="54D2691D" w14:textId="13B3A020"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szCs w:val="24"/>
          <w:lang w:val="fr-FR" w:bidi="fr-FR"/>
        </w:rPr>
        <w:tab/>
        <w:t>a)</w:t>
      </w:r>
      <w:r w:rsidRPr="009C7784">
        <w:rPr>
          <w:rFonts w:eastAsia="Times New Roman"/>
          <w:szCs w:val="24"/>
          <w:lang w:val="fr-FR" w:bidi="fr-FR"/>
        </w:rPr>
        <w:tab/>
        <w:t>D’analyser et de synthétiser les informations sur la mise en œuvre du Protocole en utilisant les sources d’information énumérées dans l’annexe à la présente décision, de mesurer les indicateurs dans le cadre des indicateurs figurant dans l’annexe</w:t>
      </w:r>
      <w:r w:rsidR="00EE54EF">
        <w:rPr>
          <w:rFonts w:eastAsia="Times New Roman"/>
          <w:szCs w:val="24"/>
          <w:lang w:val="fr-FR" w:bidi="fr-FR"/>
        </w:rPr>
        <w:t> </w:t>
      </w:r>
      <w:r w:rsidRPr="009C7784">
        <w:rPr>
          <w:rFonts w:eastAsia="Times New Roman"/>
          <w:szCs w:val="24"/>
          <w:lang w:val="fr-FR" w:bidi="fr-FR"/>
        </w:rPr>
        <w:t xml:space="preserve">II de la </w:t>
      </w:r>
      <w:r w:rsidRPr="009C7784">
        <w:rPr>
          <w:rFonts w:eastAsia="Times New Roman"/>
          <w:szCs w:val="24"/>
          <w:lang w:val="fr-FR"/>
        </w:rPr>
        <w:t>décision</w:t>
      </w:r>
      <w:r w:rsidR="00EE54EF">
        <w:rPr>
          <w:rFonts w:eastAsia="Times New Roman"/>
          <w:szCs w:val="24"/>
          <w:lang w:val="fr-FR"/>
        </w:rPr>
        <w:t> </w:t>
      </w:r>
      <w:r w:rsidRPr="009C7784">
        <w:rPr>
          <w:rFonts w:eastAsia="Times New Roman"/>
          <w:szCs w:val="24"/>
          <w:lang w:val="fr-FR"/>
        </w:rPr>
        <w:t xml:space="preserve">NP-3/1 A </w:t>
      </w:r>
      <w:r w:rsidRPr="009C7784">
        <w:rPr>
          <w:rFonts w:eastAsia="Times New Roman"/>
          <w:szCs w:val="24"/>
          <w:lang w:val="fr-FR" w:bidi="fr-FR"/>
        </w:rPr>
        <w:t>et de mettre ces informations à la disposition du Comité consultatif informel sur le renforcement des capacités pour la mise en œuvre du Protocole de Nagoya, du Comité chargé du respect des dispositions au titre du Protocole de Nagoya et de l’Organe subsidiaire chargé de l’application</w:t>
      </w:r>
      <w:r w:rsidR="00EE54EF">
        <w:rPr>
          <w:rFonts w:eastAsia="Times New Roman"/>
          <w:szCs w:val="24"/>
          <w:lang w:val="fr-FR" w:bidi="fr-FR"/>
        </w:rPr>
        <w:t> </w:t>
      </w:r>
      <w:r w:rsidRPr="009C7784">
        <w:rPr>
          <w:rFonts w:eastAsia="Times New Roman"/>
          <w:szCs w:val="24"/>
          <w:lang w:val="fr-FR" w:bidi="fr-FR"/>
        </w:rPr>
        <w:t xml:space="preserve">; </w:t>
      </w:r>
    </w:p>
    <w:p w14:paraId="271759EC" w14:textId="77777777"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szCs w:val="24"/>
          <w:lang w:val="fr-FR" w:bidi="fr-FR"/>
        </w:rPr>
        <w:tab/>
        <w:t>b)</w:t>
      </w:r>
      <w:r w:rsidRPr="009C7784">
        <w:rPr>
          <w:rFonts w:eastAsia="Times New Roman"/>
          <w:szCs w:val="24"/>
          <w:lang w:val="fr-FR" w:bidi="fr-FR"/>
        </w:rPr>
        <w:tab/>
        <w:t>De commander une étude exploratoire, sous réserve de la disponibilité des ressources, sur les raisons possibles et les causes profondes sous-jacentes des difficultés rencontrées dans la mise en œuvre et la conformité effectives et sur les mesures qui pourraient être prises pour améliorer la mise en œuvre</w:t>
      </w:r>
      <w:r w:rsidRPr="009C7784">
        <w:rPr>
          <w:rFonts w:eastAsia="Times New Roman"/>
          <w:szCs w:val="24"/>
          <w:lang w:val="fr-FR"/>
        </w:rPr>
        <w:t xml:space="preserve">, à la lumière des difficultés particulières rencontrées par les pays en développement Parties, y compris en lien avec les modalités de la mise en œuvre ; </w:t>
      </w:r>
    </w:p>
    <w:p w14:paraId="45E18B26" w14:textId="77777777" w:rsidR="009C7784" w:rsidRPr="009C7784" w:rsidRDefault="009C7784" w:rsidP="009D5C00">
      <w:pPr>
        <w:tabs>
          <w:tab w:val="clear" w:pos="567"/>
          <w:tab w:val="clear" w:pos="1134"/>
          <w:tab w:val="clear" w:pos="2268"/>
        </w:tabs>
        <w:spacing w:before="120" w:after="120"/>
        <w:ind w:left="567" w:firstLine="567"/>
        <w:rPr>
          <w:rFonts w:eastAsia="Times New Roman"/>
          <w:szCs w:val="24"/>
          <w:lang w:val="fr-FR"/>
        </w:rPr>
      </w:pPr>
      <w:r w:rsidRPr="009C7784">
        <w:rPr>
          <w:rFonts w:eastAsia="Times New Roman"/>
          <w:szCs w:val="24"/>
          <w:lang w:val="fr-FR"/>
        </w:rPr>
        <w:tab/>
        <w:t>c)</w:t>
      </w:r>
      <w:r w:rsidRPr="009C7784">
        <w:rPr>
          <w:rFonts w:eastAsia="Times New Roman"/>
          <w:szCs w:val="24"/>
          <w:lang w:val="fr-FR"/>
        </w:rPr>
        <w:tab/>
        <w:t>D’inclure les principales conclusions de l’étude dans le contexte des éléments de la deuxième évaluation et du deuxième examen de l’efficacité du Protocole en tant que source d’information complémentaire, le cas échéant ;</w:t>
      </w:r>
    </w:p>
    <w:p w14:paraId="78A41787" w14:textId="77777777" w:rsidR="009C7784" w:rsidRPr="009C7784" w:rsidRDefault="009C7784" w:rsidP="009D5C00">
      <w:pPr>
        <w:tabs>
          <w:tab w:val="clear" w:pos="567"/>
          <w:tab w:val="clear" w:pos="1134"/>
          <w:tab w:val="clear" w:pos="1701"/>
          <w:tab w:val="clear" w:pos="2268"/>
        </w:tabs>
        <w:spacing w:before="120" w:after="120"/>
        <w:ind w:left="567" w:firstLine="567"/>
        <w:rPr>
          <w:rFonts w:eastAsia="Times New Roman"/>
          <w:szCs w:val="24"/>
          <w:lang w:val="fr-FR"/>
        </w:rPr>
      </w:pPr>
      <w:r w:rsidRPr="009C7784">
        <w:rPr>
          <w:rFonts w:eastAsia="Times New Roman"/>
          <w:szCs w:val="24"/>
          <w:lang w:val="fr-FR" w:bidi="fr-FR"/>
        </w:rPr>
        <w:tab/>
        <w:t xml:space="preserve">8. </w:t>
      </w:r>
      <w:r w:rsidRPr="009C7784">
        <w:rPr>
          <w:rFonts w:eastAsia="Times New Roman"/>
          <w:szCs w:val="24"/>
          <w:lang w:val="fr-FR" w:bidi="fr-FR"/>
        </w:rPr>
        <w:tab/>
      </w:r>
      <w:r w:rsidRPr="009C7784">
        <w:rPr>
          <w:rFonts w:eastAsia="Times New Roman"/>
          <w:i/>
          <w:iCs/>
          <w:szCs w:val="24"/>
          <w:lang w:val="fr-FR" w:bidi="fr-FR"/>
        </w:rPr>
        <w:t>Prie</w:t>
      </w:r>
      <w:r w:rsidRPr="009C7784">
        <w:rPr>
          <w:rFonts w:eastAsia="Times New Roman"/>
          <w:i/>
          <w:szCs w:val="24"/>
          <w:lang w:val="fr-FR" w:bidi="fr-FR"/>
        </w:rPr>
        <w:t xml:space="preserve"> </w:t>
      </w:r>
      <w:r w:rsidRPr="009C7784">
        <w:rPr>
          <w:rFonts w:eastAsia="Times New Roman"/>
          <w:iCs/>
          <w:szCs w:val="24"/>
          <w:lang w:val="fr-FR" w:bidi="fr-FR"/>
        </w:rPr>
        <w:t xml:space="preserve">le </w:t>
      </w:r>
      <w:r w:rsidRPr="009C7784">
        <w:rPr>
          <w:rFonts w:eastAsia="Times New Roman"/>
          <w:szCs w:val="24"/>
          <w:lang w:val="fr-FR" w:bidi="fr-FR"/>
        </w:rPr>
        <w:t>Comité consultatif informel sur le renforcement des capacités pour la mise en œuvre du Protocole de Nagoya</w:t>
      </w:r>
      <w:r w:rsidRPr="009C7784">
        <w:rPr>
          <w:rFonts w:eastAsia="Times New Roman"/>
          <w:szCs w:val="24"/>
          <w:vertAlign w:val="superscript"/>
          <w:lang w:val="fr-FR" w:bidi="fr-FR"/>
        </w:rPr>
        <w:footnoteReference w:id="43"/>
      </w:r>
      <w:r w:rsidRPr="009C7784">
        <w:rPr>
          <w:rFonts w:eastAsia="Times New Roman"/>
          <w:szCs w:val="24"/>
          <w:lang w:val="fr-FR" w:bidi="fr-FR"/>
        </w:rPr>
        <w:t xml:space="preserve"> et le Comité chargé du respect des dispositions du Protocole de Nagoya, travaillant en complémentarité et sans double emploi, de contribuer à la deuxième évaluation et au deuxième examen de l’efficacité du Protocole et de soumettre leurs conclusions à l’examen de l’Organe subsidiaire chargé de l’application lors de sa sixième réunion.</w:t>
      </w:r>
    </w:p>
    <w:p w14:paraId="4A27975E" w14:textId="77777777" w:rsidR="009C7784" w:rsidRPr="009C7784" w:rsidRDefault="009C7784" w:rsidP="009C7784">
      <w:pPr>
        <w:tabs>
          <w:tab w:val="clear" w:pos="567"/>
          <w:tab w:val="clear" w:pos="1134"/>
          <w:tab w:val="clear" w:pos="1701"/>
          <w:tab w:val="clear" w:pos="2268"/>
        </w:tabs>
        <w:spacing w:after="160" w:line="259" w:lineRule="auto"/>
        <w:jc w:val="left"/>
        <w:rPr>
          <w:rFonts w:eastAsia="Malgun Gothic"/>
          <w:b/>
          <w:sz w:val="24"/>
          <w:szCs w:val="24"/>
          <w:lang w:val="fr-FR" w:bidi="fr-FR"/>
        </w:rPr>
      </w:pPr>
      <w:r w:rsidRPr="009C7784">
        <w:rPr>
          <w:rFonts w:eastAsia="Malgun Gothic"/>
          <w:sz w:val="24"/>
          <w:szCs w:val="24"/>
          <w:lang w:val="fr-FR" w:bidi="fr-FR"/>
        </w:rPr>
        <w:br w:type="page"/>
      </w:r>
    </w:p>
    <w:p w14:paraId="6BE6DEC4" w14:textId="77777777" w:rsidR="009C7784" w:rsidRPr="009D5C00" w:rsidRDefault="009C7784" w:rsidP="009D5C00">
      <w:pPr>
        <w:tabs>
          <w:tab w:val="clear" w:pos="567"/>
          <w:tab w:val="clear" w:pos="1134"/>
          <w:tab w:val="clear" w:pos="1701"/>
          <w:tab w:val="clear" w:pos="2268"/>
        </w:tabs>
        <w:spacing w:before="120" w:after="120"/>
        <w:ind w:left="567"/>
        <w:jc w:val="left"/>
        <w:rPr>
          <w:rFonts w:ascii="Times New Roman Bold" w:eastAsia="Malgun Gothic" w:hAnsi="Times New Roman Bold" w:hint="eastAsia"/>
          <w:sz w:val="24"/>
          <w:szCs w:val="24"/>
          <w:lang w:val="fr-FR"/>
        </w:rPr>
      </w:pPr>
      <w:r w:rsidRPr="009D5C00">
        <w:rPr>
          <w:rFonts w:ascii="Times New Roman Bold" w:eastAsia="Malgun Gothic" w:hAnsi="Times New Roman Bold"/>
          <w:sz w:val="24"/>
          <w:szCs w:val="24"/>
          <w:lang w:val="fr-FR" w:bidi="fr-FR"/>
        </w:rPr>
        <w:lastRenderedPageBreak/>
        <w:t>Annexe</w:t>
      </w:r>
    </w:p>
    <w:p w14:paraId="12FCFB71" w14:textId="77777777" w:rsidR="009C7784" w:rsidRPr="009C7784" w:rsidRDefault="009C7784" w:rsidP="009D5C00">
      <w:pPr>
        <w:keepNext/>
        <w:tabs>
          <w:tab w:val="clear" w:pos="567"/>
          <w:tab w:val="clear" w:pos="1134"/>
          <w:tab w:val="clear" w:pos="1701"/>
          <w:tab w:val="clear" w:pos="2268"/>
        </w:tabs>
        <w:spacing w:before="120" w:after="120"/>
        <w:ind w:left="567"/>
        <w:jc w:val="left"/>
        <w:rPr>
          <w:rFonts w:ascii="Times New Roman Bold" w:eastAsiaTheme="majorEastAsia" w:hAnsi="Times New Roman Bold" w:hint="eastAsia"/>
          <w:bCs/>
          <w:spacing w:val="5"/>
          <w:kern w:val="28"/>
          <w:sz w:val="24"/>
          <w:szCs w:val="24"/>
          <w:lang w:val="fr-FR"/>
          <w14:ligatures w14:val="standardContextual"/>
        </w:rPr>
      </w:pPr>
      <w:r w:rsidRPr="009C7784">
        <w:rPr>
          <w:rFonts w:ascii="Times New Roman Bold" w:eastAsiaTheme="majorEastAsia" w:hAnsi="Times New Roman Bold"/>
          <w:bCs/>
          <w:spacing w:val="5"/>
          <w:kern w:val="28"/>
          <w:sz w:val="24"/>
          <w:szCs w:val="24"/>
          <w:lang w:val="fr-FR" w:bidi="fr-FR"/>
          <w14:ligatures w14:val="standardContextual"/>
        </w:rPr>
        <w:t>Éléments et sources d’information proposés pour la deuxième évaluation et le deuxième examen de l’efficacité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9C7784" w:rsidRPr="009C7784" w14:paraId="5BF6BF72" w14:textId="77777777" w:rsidTr="00621B49">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0E46E9CF" w14:textId="77777777" w:rsidR="009C7784" w:rsidRPr="009C7784" w:rsidRDefault="009C7784" w:rsidP="009C7784">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9C7784">
              <w:rPr>
                <w:rFonts w:eastAsia="Times New Roman"/>
                <w:i/>
                <w:snapToGrid w:val="0"/>
                <w:kern w:val="22"/>
                <w:sz w:val="20"/>
                <w:szCs w:val="20"/>
                <w:lang w:val="fr-FR" w:bidi="fr-FR"/>
              </w:rPr>
              <w:t>Éléments</w:t>
            </w:r>
          </w:p>
        </w:tc>
        <w:tc>
          <w:tcPr>
            <w:tcW w:w="4482" w:type="dxa"/>
            <w:tcBorders>
              <w:top w:val="single" w:sz="4" w:space="0" w:color="auto"/>
              <w:left w:val="single" w:sz="4" w:space="0" w:color="auto"/>
              <w:bottom w:val="single" w:sz="4" w:space="0" w:color="auto"/>
              <w:right w:val="single" w:sz="4" w:space="0" w:color="auto"/>
            </w:tcBorders>
            <w:hideMark/>
          </w:tcPr>
          <w:p w14:paraId="51844FD0" w14:textId="77777777" w:rsidR="009C7784" w:rsidRPr="009C7784" w:rsidRDefault="009C7784" w:rsidP="009C7784">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9C7784">
              <w:rPr>
                <w:rFonts w:eastAsia="Times New Roman"/>
                <w:i/>
                <w:snapToGrid w:val="0"/>
                <w:kern w:val="22"/>
                <w:sz w:val="20"/>
                <w:szCs w:val="20"/>
                <w:lang w:val="fr-FR" w:bidi="fr-FR"/>
              </w:rPr>
              <w:t>Sources d’informations</w:t>
            </w:r>
          </w:p>
        </w:tc>
      </w:tr>
      <w:tr w:rsidR="009C7784" w:rsidRPr="009C7784" w14:paraId="6C20B143"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241B4CEF" w14:textId="36F7BBD9"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Degré d’application des dispositions du Protocole de Nagoya et des obligations connexes des Parties, y compris l’évaluation des progrès accomplis par les Parties dans la mise en place de structures institutionnelles et des mesures d’accès et de partage des avantages en vue de l’application du Protocole (cela comprend les a</w:t>
            </w:r>
            <w:r w:rsidRPr="009C7784">
              <w:rPr>
                <w:rFonts w:eastAsia="Times New Roman"/>
                <w:sz w:val="20"/>
                <w:szCs w:val="20"/>
                <w:lang w:val="fr-FR" w:eastAsia="ja-JP"/>
              </w:rPr>
              <w:t>rticles</w:t>
            </w:r>
            <w:r w:rsidR="00EE54EF">
              <w:rPr>
                <w:rFonts w:eastAsia="Times New Roman"/>
                <w:sz w:val="20"/>
                <w:szCs w:val="20"/>
                <w:lang w:val="fr-FR" w:eastAsia="ja-JP"/>
              </w:rPr>
              <w:t> </w:t>
            </w:r>
            <w:r w:rsidRPr="009C7784">
              <w:rPr>
                <w:rFonts w:eastAsia="Times New Roman"/>
                <w:sz w:val="20"/>
                <w:szCs w:val="20"/>
                <w:lang w:val="fr-FR" w:eastAsia="ja-JP"/>
              </w:rPr>
              <w:t>4 à 8, 11 à 13, 15, 17 et 21)</w:t>
            </w:r>
            <w:r w:rsidRPr="009C7784">
              <w:rPr>
                <w:rFonts w:eastAsia="Times New Roman"/>
                <w:i/>
                <w:iCs/>
                <w:snapToGrid w:val="0"/>
                <w:kern w:val="22"/>
                <w:sz w:val="20"/>
                <w:szCs w:val="20"/>
                <w:vertAlign w:val="superscript"/>
                <w:lang w:val="fr-FR" w:eastAsia="ja-JP"/>
              </w:rPr>
              <w:t>b</w:t>
            </w:r>
            <w:r w:rsidRPr="009C7784">
              <w:rPr>
                <w:rFonts w:eastAsia="Times New Roman"/>
                <w:snapToGrid w:val="0"/>
                <w:kern w:val="22"/>
                <w:sz w:val="20"/>
                <w:szCs w:val="20"/>
                <w:lang w:val="fr-FR" w:eastAsia="ja-JP" w:bidi="fr-FR"/>
              </w:rPr>
              <w:t xml:space="preserve"> </w:t>
            </w:r>
          </w:p>
        </w:tc>
        <w:tc>
          <w:tcPr>
            <w:tcW w:w="4482" w:type="dxa"/>
            <w:tcBorders>
              <w:top w:val="single" w:sz="4" w:space="0" w:color="auto"/>
              <w:left w:val="single" w:sz="4" w:space="0" w:color="auto"/>
              <w:bottom w:val="single" w:sz="4" w:space="0" w:color="auto"/>
              <w:right w:val="single" w:sz="4" w:space="0" w:color="auto"/>
            </w:tcBorders>
            <w:hideMark/>
          </w:tcPr>
          <w:p w14:paraId="46634278"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w:t>
            </w:r>
            <w:r w:rsidRPr="009C7784">
              <w:rPr>
                <w:rFonts w:eastAsia="Times New Roman"/>
                <w:i/>
                <w:snapToGrid w:val="0"/>
                <w:kern w:val="22"/>
                <w:sz w:val="20"/>
                <w:szCs w:val="20"/>
                <w:vertAlign w:val="superscript"/>
                <w:lang w:val="fr-FR" w:eastAsia="ja-JP" w:bidi="fr-FR"/>
              </w:rPr>
              <w:t>a</w:t>
            </w:r>
          </w:p>
          <w:p w14:paraId="68F9C0AB"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Centre d’échange sur l’accès et le partage des</w:t>
            </w:r>
          </w:p>
          <w:p w14:paraId="50616079"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 xml:space="preserve">      avantages</w:t>
            </w:r>
          </w:p>
          <w:p w14:paraId="42BEE191"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Rapports nationaux soumis au titre de la</w:t>
            </w:r>
          </w:p>
          <w:p w14:paraId="2FE048D3"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 xml:space="preserve">      Convention</w:t>
            </w:r>
          </w:p>
          <w:p w14:paraId="4A5695A0"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Stratégies et plans d’action nationaux pour</w:t>
            </w:r>
          </w:p>
          <w:p w14:paraId="76B70632"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 xml:space="preserve">      la diversité biologique</w:t>
            </w:r>
          </w:p>
          <w:p w14:paraId="66759BA8"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r w:rsidRPr="009C7784">
              <w:rPr>
                <w:rFonts w:eastAsia="Times New Roman"/>
                <w:i/>
                <w:iCs/>
                <w:snapToGrid w:val="0"/>
                <w:kern w:val="22"/>
                <w:sz w:val="20"/>
                <w:szCs w:val="20"/>
                <w:vertAlign w:val="superscript"/>
                <w:lang w:val="fr-FR" w:eastAsia="ja-JP"/>
              </w:rPr>
              <w:t>c</w:t>
            </w:r>
          </w:p>
          <w:p w14:paraId="48E160A9"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 xml:space="preserve">Documents pertinents sur la coopération avec </w:t>
            </w:r>
          </w:p>
          <w:p w14:paraId="09460B10"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 xml:space="preserve">      d’autres conventions, organisations</w:t>
            </w:r>
          </w:p>
          <w:p w14:paraId="5F232C38"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 xml:space="preserve">      internationales et initiatives soumis à la</w:t>
            </w:r>
          </w:p>
          <w:p w14:paraId="63643E27"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 xml:space="preserve">      Conférence des Parties siégeant en tant que</w:t>
            </w:r>
          </w:p>
          <w:p w14:paraId="17B147E5"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 xml:space="preserve">      réunion des Parties au Protocole </w:t>
            </w:r>
          </w:p>
          <w:p w14:paraId="071FDAFC" w14:textId="77777777" w:rsidR="009C7784" w:rsidRPr="009C7784" w:rsidRDefault="009C7784" w:rsidP="009C7784">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p>
        </w:tc>
      </w:tr>
      <w:tr w:rsidR="009C7784" w:rsidRPr="009C7784" w14:paraId="1BF0AE7A"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3D3D4EA0" w14:textId="77777777"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Évaluation de l’efficacité (cela comprend l’article 9)</w:t>
            </w:r>
          </w:p>
        </w:tc>
        <w:tc>
          <w:tcPr>
            <w:tcW w:w="4482" w:type="dxa"/>
            <w:tcBorders>
              <w:top w:val="single" w:sz="4" w:space="0" w:color="auto"/>
              <w:left w:val="single" w:sz="4" w:space="0" w:color="auto"/>
              <w:bottom w:val="single" w:sz="4" w:space="0" w:color="auto"/>
              <w:right w:val="single" w:sz="4" w:space="0" w:color="auto"/>
            </w:tcBorders>
            <w:hideMark/>
          </w:tcPr>
          <w:p w14:paraId="73FE308E" w14:textId="77777777" w:rsidR="009C7784" w:rsidRPr="009C7784" w:rsidRDefault="009C7784" w:rsidP="009C7784">
            <w:pPr>
              <w:numPr>
                <w:ilvl w:val="0"/>
                <w:numId w:val="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(questions 10, 12, 19, 30 à 32 et 43 à 45 du format)</w:t>
            </w:r>
          </w:p>
          <w:p w14:paraId="7999AF05" w14:textId="77777777" w:rsidR="009C7784" w:rsidRPr="009C7784" w:rsidRDefault="009C7784" w:rsidP="009C7784">
            <w:pPr>
              <w:numPr>
                <w:ilvl w:val="0"/>
                <w:numId w:val="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Centre d’échange sur l’accès et le partage des avantages</w:t>
            </w:r>
          </w:p>
          <w:p w14:paraId="17DC4157" w14:textId="77777777" w:rsidR="009C7784" w:rsidRPr="009C7784" w:rsidRDefault="009C7784" w:rsidP="009C7784">
            <w:pPr>
              <w:numPr>
                <w:ilvl w:val="0"/>
                <w:numId w:val="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p>
          <w:p w14:paraId="77C35715" w14:textId="77777777" w:rsidR="009C7784" w:rsidRPr="009C7784" w:rsidRDefault="009C7784" w:rsidP="009C7784">
            <w:pPr>
              <w:numPr>
                <w:ilvl w:val="0"/>
                <w:numId w:val="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rPr>
              <w:t>Rapports nationaux présentés au titre de la Convention, en lien avec l’objectif C et la cible 13 du Cadre mondial de la biodiversité de Kunming-Montréal</w:t>
            </w:r>
            <w:r w:rsidRPr="009C7784">
              <w:rPr>
                <w:rFonts w:eastAsia="Times New Roman"/>
                <w:i/>
                <w:snapToGrid w:val="0"/>
                <w:kern w:val="22"/>
                <w:sz w:val="20"/>
                <w:szCs w:val="20"/>
                <w:vertAlign w:val="superscript"/>
                <w:lang w:val="fr-FR" w:eastAsia="ja-JP"/>
              </w:rPr>
              <w:t>d</w:t>
            </w:r>
          </w:p>
        </w:tc>
      </w:tr>
      <w:tr w:rsidR="009C7784" w:rsidRPr="009C7784" w14:paraId="3DA7A5B8"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7B623CE2" w14:textId="0AE7D179"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Évaluation de l’appui disponible pour la mise en œuvre (articles 22 et 25)</w:t>
            </w:r>
          </w:p>
        </w:tc>
        <w:tc>
          <w:tcPr>
            <w:tcW w:w="4482" w:type="dxa"/>
            <w:tcBorders>
              <w:top w:val="single" w:sz="4" w:space="0" w:color="auto"/>
              <w:left w:val="single" w:sz="4" w:space="0" w:color="auto"/>
              <w:bottom w:val="single" w:sz="4" w:space="0" w:color="auto"/>
              <w:right w:val="single" w:sz="4" w:space="0" w:color="auto"/>
            </w:tcBorders>
            <w:hideMark/>
          </w:tcPr>
          <w:p w14:paraId="02C69DA5" w14:textId="49F587D8"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(questions</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54, 55 et 59 à 64)</w:t>
            </w:r>
          </w:p>
          <w:p w14:paraId="189A7A04"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Centre d’échange sur l’accès et le partage des avantages</w:t>
            </w:r>
          </w:p>
          <w:p w14:paraId="7947B256"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Informations sur le renforcement des capacités et les ressources</w:t>
            </w:r>
          </w:p>
          <w:p w14:paraId="4E9177A4"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p>
        </w:tc>
      </w:tr>
      <w:tr w:rsidR="009C7784" w:rsidRPr="009C7784" w14:paraId="473991C5"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638D6732" w14:textId="41BDAE8F"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Évaluation de l’efficacité de l’article</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42BCE3D2" w14:textId="678F6C14" w:rsidR="009C7784" w:rsidRPr="009C7784" w:rsidRDefault="009C7784" w:rsidP="009C7784">
            <w:pPr>
              <w:numPr>
                <w:ilvl w:val="0"/>
                <w:numId w:val="7"/>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(questions</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25 à 28)</w:t>
            </w:r>
          </w:p>
          <w:p w14:paraId="637CD663"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p>
        </w:tc>
      </w:tr>
      <w:tr w:rsidR="009C7784" w:rsidRPr="009C7784" w14:paraId="3FB8A6FF"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69A0B6F" w14:textId="155CC510"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Évaluation de l’application de l’article</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 xml:space="preserve">16 à la lumière des faits nouveaux intervenus dans d’autres organisations internationales pertinentes, y compris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5EB56522" w14:textId="6D40D72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20)</w:t>
            </w:r>
          </w:p>
          <w:p w14:paraId="6FF5B1F3"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Rapports, entre autres, du Comité intergouvernemental sur la propriété intellectuelle et les ressources génétiques, les savoirs traditionnels et le folklore de l’Organisation mondiale de la propriété intellectuelle</w:t>
            </w:r>
          </w:p>
        </w:tc>
      </w:tr>
      <w:tr w:rsidR="009C7784" w:rsidRPr="009C7784" w14:paraId="41757DD4"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29EB57E2" w14:textId="77777777"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Bilan de l’utilisation des clauses contractuelles types, des codes de conduite, des lignes directrices, des pratiques exemplaires et des normes, du droit coutumier ainsi que des protocoles et des procédures communautaires des peuples autochtones et des communautés locales (articles 12, 19 et 20)</w:t>
            </w:r>
          </w:p>
        </w:tc>
        <w:tc>
          <w:tcPr>
            <w:tcW w:w="4482" w:type="dxa"/>
            <w:tcBorders>
              <w:top w:val="single" w:sz="4" w:space="0" w:color="auto"/>
              <w:left w:val="single" w:sz="4" w:space="0" w:color="auto"/>
              <w:bottom w:val="single" w:sz="4" w:space="0" w:color="auto"/>
              <w:right w:val="single" w:sz="4" w:space="0" w:color="auto"/>
            </w:tcBorders>
            <w:hideMark/>
          </w:tcPr>
          <w:p w14:paraId="44974B5F" w14:textId="4BEF5D89"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9" w:right="40" w:hanging="283"/>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(questions</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39, 50 et 51)</w:t>
            </w:r>
          </w:p>
          <w:p w14:paraId="7B336648"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Centre d’échange sur l’accès et le partage des avantages</w:t>
            </w:r>
          </w:p>
          <w:p w14:paraId="7DE7D223"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p>
        </w:tc>
      </w:tr>
      <w:tr w:rsidR="009C7784" w:rsidRPr="009C7784" w14:paraId="0F2AD26F"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53690442" w14:textId="77777777"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lastRenderedPageBreak/>
              <w:t xml:space="preserve">Examen de la mise en œuvre et du fonctionnement du Centre d’échange sur l’accès et le partage des avantages, et notamment du nombre de mesures d’accès et de partage des avantages mises à disposition, du nombre de pays ayant publié des informations sur leurs autorités nationales compétentes, du nombre de certificats de conformité internationalement reconnus qui ont été publiés et du nombre de communiqués publiés aux points de contrôle (article 14) </w:t>
            </w:r>
          </w:p>
        </w:tc>
        <w:tc>
          <w:tcPr>
            <w:tcW w:w="4482" w:type="dxa"/>
            <w:tcBorders>
              <w:top w:val="single" w:sz="4" w:space="0" w:color="auto"/>
              <w:left w:val="single" w:sz="4" w:space="0" w:color="auto"/>
              <w:bottom w:val="single" w:sz="4" w:space="0" w:color="auto"/>
              <w:right w:val="single" w:sz="4" w:space="0" w:color="auto"/>
            </w:tcBorders>
            <w:hideMark/>
          </w:tcPr>
          <w:p w14:paraId="7ED5346F" w14:textId="2488713E"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(questions</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4, 5, 7, 12, 13 et 21)</w:t>
            </w:r>
          </w:p>
          <w:p w14:paraId="54498C12"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Centre d’échange sur l’accès et le partage des avantages</w:t>
            </w:r>
          </w:p>
          <w:p w14:paraId="248F7139"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Rapports des réunions relatives au Centre d’échange sur l’accès et le partage des avantages</w:t>
            </w:r>
          </w:p>
          <w:p w14:paraId="2DF753A7"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 xml:space="preserve">Enquête ciblée </w:t>
            </w:r>
          </w:p>
          <w:p w14:paraId="0450ED23"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Statistiques sur la fréquentation du site Web du Centre d’échange sur l’accès et le partage des avantages</w:t>
            </w:r>
            <w:r w:rsidRPr="009C7784">
              <w:rPr>
                <w:rFonts w:eastAsia="Times New Roman"/>
                <w:i/>
                <w:snapToGrid w:val="0"/>
                <w:kern w:val="22"/>
                <w:sz w:val="20"/>
                <w:szCs w:val="20"/>
                <w:vertAlign w:val="superscript"/>
                <w:lang w:val="fr-FR" w:eastAsia="ja-JP" w:bidi="fr-FR"/>
              </w:rPr>
              <w:t>e</w:t>
            </w:r>
          </w:p>
          <w:p w14:paraId="2FA6056C" w14:textId="77777777" w:rsidR="009C7784" w:rsidRPr="009C7784" w:rsidRDefault="009C7784" w:rsidP="009C7784">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9C7784" w:rsidRPr="009C7784" w14:paraId="2FDB0D72"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tcPr>
          <w:p w14:paraId="78D7A9C3" w14:textId="77777777"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Progression de la mise en œuvre de l’article 10, relatif à 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04989BF3" w14:textId="77777777" w:rsidR="009C7784" w:rsidRPr="009C7784" w:rsidRDefault="009C7784" w:rsidP="009C7784">
            <w:pPr>
              <w:numPr>
                <w:ilvl w:val="0"/>
                <w:numId w:val="46"/>
              </w:numPr>
              <w:tabs>
                <w:tab w:val="clear" w:pos="567"/>
                <w:tab w:val="clear" w:pos="1134"/>
                <w:tab w:val="clear" w:pos="1701"/>
                <w:tab w:val="clear" w:pos="2268"/>
              </w:tabs>
              <w:spacing w:before="40" w:after="40"/>
              <w:ind w:left="385" w:right="40" w:hanging="357"/>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Documents pertinents préparés pour examen par la Conférence des Parties siégeant en tant que réunion des Parties au Protocole</w:t>
            </w:r>
          </w:p>
          <w:p w14:paraId="6DA3615D" w14:textId="77777777" w:rsidR="009C7784" w:rsidRPr="009C7784" w:rsidRDefault="009C7784" w:rsidP="009C7784">
            <w:pPr>
              <w:tabs>
                <w:tab w:val="clear" w:pos="567"/>
                <w:tab w:val="clear" w:pos="1134"/>
                <w:tab w:val="clear" w:pos="1701"/>
                <w:tab w:val="clear" w:pos="2268"/>
              </w:tabs>
              <w:spacing w:before="40" w:after="40"/>
              <w:ind w:left="40" w:right="40"/>
              <w:jc w:val="left"/>
              <w:rPr>
                <w:rFonts w:eastAsia="Times New Roman"/>
                <w:snapToGrid w:val="0"/>
                <w:kern w:val="22"/>
                <w:sz w:val="20"/>
                <w:szCs w:val="20"/>
                <w:lang w:val="fr-FR"/>
              </w:rPr>
            </w:pPr>
          </w:p>
        </w:tc>
      </w:tr>
      <w:tr w:rsidR="009C7784" w:rsidRPr="009C7784" w14:paraId="7011DA90"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tcPr>
          <w:p w14:paraId="019F8E2F" w14:textId="71A77583"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Progrès accomplis en ce qui concerne l’article</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611E444A" w14:textId="73803D41"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Premiers rapports nationaux (question</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57)</w:t>
            </w:r>
          </w:p>
          <w:p w14:paraId="612EB2F5"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Enquête ciblée</w:t>
            </w:r>
          </w:p>
          <w:p w14:paraId="579451C5" w14:textId="77777777" w:rsidR="009C7784" w:rsidRPr="009C7784" w:rsidRDefault="009C7784" w:rsidP="009C7784">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9C7784" w:rsidRPr="009C7784" w14:paraId="6BB79091" w14:textId="77777777" w:rsidTr="00621B49">
        <w:trPr>
          <w:cantSplit/>
          <w:jc w:val="right"/>
        </w:trPr>
        <w:tc>
          <w:tcPr>
            <w:tcW w:w="4673" w:type="dxa"/>
            <w:tcBorders>
              <w:top w:val="single" w:sz="4" w:space="0" w:color="auto"/>
              <w:left w:val="single" w:sz="4" w:space="0" w:color="auto"/>
              <w:bottom w:val="single" w:sz="4" w:space="0" w:color="auto"/>
              <w:right w:val="single" w:sz="4" w:space="0" w:color="auto"/>
            </w:tcBorders>
          </w:tcPr>
          <w:p w14:paraId="77FACB02" w14:textId="2F8C7066" w:rsidR="009C7784" w:rsidRPr="009C7784" w:rsidRDefault="009C7784" w:rsidP="009C7784">
            <w:pPr>
              <w:numPr>
                <w:ilvl w:val="0"/>
                <w:numId w:val="45"/>
              </w:numPr>
              <w:tabs>
                <w:tab w:val="clear" w:pos="567"/>
                <w:tab w:val="clear" w:pos="1134"/>
                <w:tab w:val="clear" w:pos="1701"/>
                <w:tab w:val="clear" w:pos="2268"/>
              </w:tabs>
              <w:spacing w:before="40" w:after="40"/>
              <w:ind w:right="4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 xml:space="preserve">Examen préliminaire des procédures et mécanismes de conformité (voir l’annexe à la </w:t>
            </w:r>
            <w:hyperlink r:id="rId35" w:history="1">
              <w:r w:rsidRPr="009C7784">
                <w:rPr>
                  <w:rFonts w:eastAsia="Times New Roman"/>
                  <w:snapToGrid w:val="0"/>
                  <w:kern w:val="22"/>
                  <w:sz w:val="20"/>
                  <w:szCs w:val="20"/>
                  <w:lang w:val="fr-FR" w:eastAsia="ja-JP" w:bidi="fr-FR"/>
                </w:rPr>
                <w:t>décision NP-1/4</w:t>
              </w:r>
            </w:hyperlink>
            <w:r w:rsidRPr="009C7784">
              <w:rPr>
                <w:rFonts w:eastAsia="Times New Roman"/>
                <w:snapToGrid w:val="0"/>
                <w:kern w:val="22"/>
                <w:sz w:val="20"/>
                <w:szCs w:val="20"/>
                <w:lang w:val="fr-FR" w:eastAsia="ja-JP" w:bidi="fr-FR"/>
              </w:rPr>
              <w:t>) (article</w:t>
            </w:r>
            <w:r w:rsidR="00EE54EF">
              <w:rPr>
                <w:rFonts w:eastAsia="Times New Roman"/>
                <w:snapToGrid w:val="0"/>
                <w:kern w:val="22"/>
                <w:sz w:val="20"/>
                <w:szCs w:val="20"/>
                <w:lang w:val="fr-FR" w:eastAsia="ja-JP" w:bidi="fr-FR"/>
              </w:rPr>
              <w:t> </w:t>
            </w:r>
            <w:r w:rsidRPr="009C7784">
              <w:rPr>
                <w:rFonts w:eastAsia="Times New Roman"/>
                <w:snapToGrid w:val="0"/>
                <w:kern w:val="22"/>
                <w:sz w:val="20"/>
                <w:szCs w:val="20"/>
                <w:lang w:val="fr-FR" w:eastAsia="ja-JP" w:bidi="fr-FR"/>
              </w:rPr>
              <w:t>30)</w:t>
            </w:r>
          </w:p>
        </w:tc>
        <w:tc>
          <w:tcPr>
            <w:tcW w:w="4482" w:type="dxa"/>
            <w:tcBorders>
              <w:top w:val="single" w:sz="4" w:space="0" w:color="auto"/>
              <w:left w:val="single" w:sz="4" w:space="0" w:color="auto"/>
              <w:bottom w:val="single" w:sz="4" w:space="0" w:color="auto"/>
              <w:right w:val="single" w:sz="4" w:space="0" w:color="auto"/>
            </w:tcBorders>
          </w:tcPr>
          <w:p w14:paraId="6B4AFFF0"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Soumission des points de vue</w:t>
            </w:r>
          </w:p>
          <w:p w14:paraId="37498FE7" w14:textId="77777777" w:rsidR="009C7784" w:rsidRPr="009C7784" w:rsidRDefault="009C7784" w:rsidP="009C7784">
            <w:pPr>
              <w:numPr>
                <w:ilvl w:val="0"/>
                <w:numId w:val="7"/>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9C7784">
              <w:rPr>
                <w:rFonts w:eastAsia="Times New Roman"/>
                <w:snapToGrid w:val="0"/>
                <w:kern w:val="22"/>
                <w:sz w:val="20"/>
                <w:szCs w:val="20"/>
                <w:lang w:val="fr-FR" w:eastAsia="ja-JP" w:bidi="fr-FR"/>
              </w:rPr>
              <w:t>Rapport du Comité chargé du respect des dispositions</w:t>
            </w:r>
          </w:p>
          <w:p w14:paraId="1C22522F" w14:textId="77777777" w:rsidR="009C7784" w:rsidRPr="009C7784" w:rsidRDefault="009C7784" w:rsidP="009C7784">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bl>
    <w:p w14:paraId="7C31ED0E" w14:textId="77777777" w:rsidR="009C7784" w:rsidRPr="009C7784" w:rsidRDefault="009C7784" w:rsidP="009C7784">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rPr>
          <w:rFonts w:eastAsia="Malgun Gothic"/>
          <w:kern w:val="22"/>
          <w:sz w:val="18"/>
          <w:szCs w:val="18"/>
          <w:lang w:val="fr-FR"/>
        </w:rPr>
      </w:pPr>
      <w:bookmarkStart w:id="22" w:name="_Hlk163825083"/>
      <w:r w:rsidRPr="009C7784">
        <w:rPr>
          <w:rFonts w:eastAsia="Malgun Gothic"/>
          <w:i/>
          <w:iCs/>
          <w:kern w:val="22"/>
          <w:sz w:val="18"/>
          <w:szCs w:val="18"/>
          <w:vertAlign w:val="superscript"/>
          <w:lang w:val="fr-FR"/>
        </w:rPr>
        <w:t>a</w:t>
      </w:r>
      <w:r w:rsidRPr="009C7784">
        <w:rPr>
          <w:rFonts w:eastAsia="Malgun Gothic"/>
          <w:kern w:val="22"/>
          <w:sz w:val="18"/>
          <w:szCs w:val="18"/>
          <w:lang w:val="fr-FR"/>
        </w:rPr>
        <w:tab/>
      </w:r>
      <w:r w:rsidRPr="009C7784">
        <w:rPr>
          <w:rFonts w:eastAsia="Times New Roman"/>
          <w:sz w:val="18"/>
          <w:szCs w:val="18"/>
          <w:lang w:val="fr-FR" w:bidi="fr-FR"/>
        </w:rPr>
        <w:t xml:space="preserve">Le modèle du premier rapport national est disponible à l’adresse suivante : </w:t>
      </w:r>
      <w:hyperlink r:id="rId36" w:history="1">
        <w:r w:rsidRPr="009C7784">
          <w:rPr>
            <w:rFonts w:eastAsia="Times New Roman"/>
            <w:color w:val="0000FF"/>
            <w:sz w:val="18"/>
            <w:szCs w:val="18"/>
            <w:u w:val="single"/>
            <w:lang w:val="fr-FR"/>
          </w:rPr>
          <w:t>https://absch.cbd.int/en/kb/tags/abs/First-National-Report-on-the-Implementation-of-the-Nagoya-Protocol/66199bba4defc2994ae886d7</w:t>
        </w:r>
      </w:hyperlink>
      <w:r w:rsidRPr="009C7784">
        <w:rPr>
          <w:rFonts w:eastAsia="Times New Roman"/>
          <w:sz w:val="18"/>
          <w:szCs w:val="18"/>
          <w:lang w:val="fr-FR"/>
        </w:rPr>
        <w:t>.</w:t>
      </w:r>
    </w:p>
    <w:p w14:paraId="22601EF5" w14:textId="77777777" w:rsidR="009C7784" w:rsidRPr="009C7784" w:rsidRDefault="009C7784" w:rsidP="009C7784">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rPr>
          <w:rFonts w:eastAsia="Malgun Gothic"/>
          <w:kern w:val="22"/>
          <w:sz w:val="18"/>
          <w:szCs w:val="18"/>
          <w:lang w:val="fr-FR"/>
        </w:rPr>
      </w:pPr>
      <w:r w:rsidRPr="009C7784">
        <w:rPr>
          <w:rFonts w:eastAsia="Malgun Gothic"/>
          <w:i/>
          <w:iCs/>
          <w:kern w:val="22"/>
          <w:sz w:val="18"/>
          <w:szCs w:val="18"/>
          <w:vertAlign w:val="superscript"/>
          <w:lang w:val="fr-FR"/>
        </w:rPr>
        <w:t>b</w:t>
      </w:r>
      <w:r w:rsidRPr="009C7784">
        <w:rPr>
          <w:rFonts w:eastAsia="Malgun Gothic"/>
          <w:i/>
          <w:iCs/>
          <w:kern w:val="22"/>
          <w:sz w:val="18"/>
          <w:szCs w:val="18"/>
          <w:vertAlign w:val="superscript"/>
          <w:lang w:val="fr-FR"/>
        </w:rPr>
        <w:tab/>
      </w:r>
      <w:r w:rsidRPr="009C7784">
        <w:rPr>
          <w:rFonts w:eastAsia="Times New Roman"/>
          <w:sz w:val="18"/>
          <w:szCs w:val="18"/>
          <w:lang w:val="fr-FR"/>
        </w:rPr>
        <w:t>L’élément a) porte sur tous les articles pertinents du Protocole couverts par le premier rapport national qui ne sont pas abordés dans d’autres éléments.</w:t>
      </w:r>
    </w:p>
    <w:p w14:paraId="5C9073FF" w14:textId="020090FF" w:rsidR="009C7784" w:rsidRPr="009C7784" w:rsidRDefault="009C7784" w:rsidP="009C7784">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rPr>
          <w:rFonts w:eastAsia="Malgun Gothic"/>
          <w:kern w:val="22"/>
          <w:sz w:val="18"/>
          <w:szCs w:val="18"/>
          <w:lang w:val="fr-FR"/>
        </w:rPr>
      </w:pPr>
      <w:r w:rsidRPr="009C7784">
        <w:rPr>
          <w:rFonts w:eastAsia="Malgun Gothic"/>
          <w:i/>
          <w:iCs/>
          <w:kern w:val="22"/>
          <w:sz w:val="18"/>
          <w:szCs w:val="18"/>
          <w:vertAlign w:val="superscript"/>
          <w:lang w:val="fr-FR"/>
        </w:rPr>
        <w:t>c</w:t>
      </w:r>
      <w:r w:rsidRPr="009C7784">
        <w:rPr>
          <w:rFonts w:eastAsia="Malgun Gothic"/>
          <w:i/>
          <w:iCs/>
          <w:kern w:val="22"/>
          <w:sz w:val="18"/>
          <w:szCs w:val="18"/>
          <w:vertAlign w:val="superscript"/>
          <w:lang w:val="fr-FR"/>
        </w:rPr>
        <w:tab/>
      </w:r>
      <w:r w:rsidRPr="009C7784">
        <w:rPr>
          <w:rFonts w:eastAsia="Malgun Gothic"/>
          <w:kern w:val="22"/>
          <w:sz w:val="18"/>
          <w:szCs w:val="18"/>
          <w:lang w:val="fr-FR"/>
        </w:rPr>
        <w:t>Au paragraphe</w:t>
      </w:r>
      <w:r w:rsidR="00EE54EF">
        <w:rPr>
          <w:rFonts w:eastAsia="Malgun Gothic"/>
          <w:kern w:val="22"/>
          <w:sz w:val="18"/>
          <w:szCs w:val="18"/>
          <w:lang w:val="fr-FR"/>
        </w:rPr>
        <w:t> </w:t>
      </w:r>
      <w:r w:rsidRPr="009C7784">
        <w:rPr>
          <w:rFonts w:eastAsia="Malgun Gothic"/>
          <w:kern w:val="22"/>
          <w:sz w:val="18"/>
          <w:szCs w:val="18"/>
          <w:lang w:val="fr-FR"/>
        </w:rPr>
        <w:t>18 a) de sa décision</w:t>
      </w:r>
      <w:r w:rsidR="00EE54EF">
        <w:rPr>
          <w:rFonts w:eastAsia="Malgun Gothic"/>
          <w:kern w:val="22"/>
          <w:sz w:val="18"/>
          <w:szCs w:val="18"/>
          <w:lang w:val="fr-FR"/>
        </w:rPr>
        <w:t> </w:t>
      </w:r>
      <w:r w:rsidRPr="009C7784">
        <w:rPr>
          <w:rFonts w:eastAsia="Malgun Gothic"/>
          <w:kern w:val="22"/>
          <w:sz w:val="18"/>
          <w:szCs w:val="18"/>
          <w:lang w:val="fr-FR"/>
        </w:rPr>
        <w:t xml:space="preserve">NP-3/1 A, la Conférence des Parties siégeant en tant que réunion des Parties au Protocole a demandé à la Secrétaire exécutive 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 </w:t>
      </w:r>
    </w:p>
    <w:p w14:paraId="2CBED30E" w14:textId="716158E7" w:rsidR="009C7784" w:rsidRPr="009C7784" w:rsidRDefault="009C7784" w:rsidP="009C7784">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rPr>
          <w:rFonts w:eastAsia="Malgun Gothic"/>
          <w:kern w:val="22"/>
          <w:sz w:val="18"/>
          <w:szCs w:val="18"/>
          <w:lang w:val="fr-FR"/>
        </w:rPr>
      </w:pPr>
      <w:r w:rsidRPr="009C7784">
        <w:rPr>
          <w:rFonts w:eastAsia="Malgun Gothic"/>
          <w:i/>
          <w:kern w:val="22"/>
          <w:sz w:val="18"/>
          <w:szCs w:val="18"/>
          <w:vertAlign w:val="superscript"/>
          <w:lang w:val="fr-FR"/>
        </w:rPr>
        <w:t>d</w:t>
      </w:r>
      <w:r w:rsidRPr="009C7784">
        <w:rPr>
          <w:rFonts w:eastAsia="Malgun Gothic"/>
          <w:i/>
          <w:kern w:val="22"/>
          <w:sz w:val="18"/>
          <w:szCs w:val="18"/>
          <w:vertAlign w:val="superscript"/>
          <w:lang w:val="fr-FR"/>
        </w:rPr>
        <w:tab/>
      </w:r>
      <w:r w:rsidRPr="009C7784">
        <w:rPr>
          <w:rFonts w:eastAsia="Malgun Gothic"/>
          <w:kern w:val="22"/>
          <w:sz w:val="18"/>
          <w:szCs w:val="18"/>
          <w:lang w:val="fr-FR"/>
        </w:rPr>
        <w:t>Annexe à la décision</w:t>
      </w:r>
      <w:r w:rsidR="00EE54EF">
        <w:rPr>
          <w:rFonts w:eastAsia="Malgun Gothic"/>
          <w:kern w:val="22"/>
          <w:sz w:val="18"/>
          <w:szCs w:val="18"/>
          <w:lang w:val="fr-FR"/>
        </w:rPr>
        <w:t> </w:t>
      </w:r>
      <w:r w:rsidRPr="009C7784">
        <w:rPr>
          <w:rFonts w:eastAsia="Malgun Gothic"/>
          <w:kern w:val="22"/>
          <w:sz w:val="18"/>
          <w:szCs w:val="18"/>
          <w:lang w:val="fr-FR"/>
        </w:rPr>
        <w:t>15/4.</w:t>
      </w:r>
    </w:p>
    <w:p w14:paraId="2FB39CA0" w14:textId="77777777" w:rsidR="009C7784" w:rsidRPr="009C7784" w:rsidRDefault="009C7784" w:rsidP="009C7784">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rPr>
          <w:rFonts w:eastAsia="Malgun Gothic"/>
          <w:kern w:val="22"/>
          <w:sz w:val="18"/>
          <w:szCs w:val="18"/>
          <w:lang w:val="fr-FR"/>
        </w:rPr>
      </w:pPr>
      <w:r w:rsidRPr="009C7784">
        <w:rPr>
          <w:rFonts w:eastAsia="Malgun Gothic"/>
          <w:i/>
          <w:iCs/>
          <w:kern w:val="22"/>
          <w:sz w:val="18"/>
          <w:szCs w:val="18"/>
          <w:vertAlign w:val="superscript"/>
          <w:lang w:val="fr-FR"/>
        </w:rPr>
        <w:t>e</w:t>
      </w:r>
      <w:r w:rsidRPr="009C7784">
        <w:rPr>
          <w:rFonts w:eastAsia="Malgun Gothic"/>
          <w:kern w:val="22"/>
          <w:sz w:val="18"/>
          <w:szCs w:val="18"/>
          <w:lang w:val="fr-FR"/>
        </w:rPr>
        <w:tab/>
        <w:t>Comprend le nombre de visiteurs, les pays des visiteurs et la durée moyenne de la consultation d’une page Web.</w:t>
      </w:r>
    </w:p>
    <w:p w14:paraId="188C661E" w14:textId="77777777" w:rsidR="009C7784" w:rsidRPr="009C7784" w:rsidRDefault="009C7784" w:rsidP="009C778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z w:val="18"/>
          <w:szCs w:val="18"/>
          <w:lang w:val="fr-FR" w:bidi="fr-FR"/>
        </w:rPr>
      </w:pPr>
    </w:p>
    <w:bookmarkEnd w:id="22"/>
    <w:p w14:paraId="5D364505" w14:textId="77777777" w:rsidR="009C7784" w:rsidRPr="009C7784" w:rsidRDefault="009C7784" w:rsidP="009C778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algun Gothic"/>
          <w:kern w:val="22"/>
          <w:lang w:val="fr-FR"/>
        </w:rPr>
      </w:pPr>
      <w:r w:rsidRPr="009C7784">
        <w:rPr>
          <w:rFonts w:eastAsia="Malgun Gothic"/>
          <w:b/>
          <w:bCs/>
          <w:kern w:val="22"/>
          <w:lang w:val="fr-FR"/>
        </w:rPr>
        <w:t>]</w:t>
      </w:r>
    </w:p>
    <w:p w14:paraId="4C3C59F1" w14:textId="79D8E8AF" w:rsidR="006D36EB" w:rsidRPr="00084920" w:rsidRDefault="006D36EB" w:rsidP="00807C7E">
      <w:pPr>
        <w:pStyle w:val="CBDNormalNoNumber"/>
        <w:rPr>
          <w:snapToGrid w:val="0"/>
          <w:lang w:val="fr-FR"/>
        </w:rPr>
      </w:pPr>
    </w:p>
    <w:p w14:paraId="75EF91A4" w14:textId="77777777" w:rsidR="0056020B" w:rsidRPr="00084920" w:rsidRDefault="0056020B" w:rsidP="00807C7E">
      <w:pPr>
        <w:pStyle w:val="CBDNormalNoNumber"/>
        <w:rPr>
          <w:snapToGrid w:val="0"/>
          <w:lang w:val="fr-FR"/>
        </w:rPr>
      </w:pPr>
    </w:p>
    <w:p w14:paraId="79883F87" w14:textId="77777777" w:rsidR="00D940DA" w:rsidRPr="00084920" w:rsidRDefault="00D940DA" w:rsidP="00010496">
      <w:pPr>
        <w:pStyle w:val="CBDAgendaItem"/>
        <w:rPr>
          <w:bCs/>
          <w:lang w:val="fr-FR"/>
        </w:rPr>
        <w:sectPr w:rsidR="00D940DA" w:rsidRPr="00084920" w:rsidSect="00AF1033">
          <w:headerReference w:type="even" r:id="rId37"/>
          <w:headerReference w:type="default" r:id="rId38"/>
          <w:pgSz w:w="12240" w:h="15840"/>
          <w:pgMar w:top="1134" w:right="1440" w:bottom="1134" w:left="1440" w:header="709" w:footer="709" w:gutter="0"/>
          <w:cols w:space="708"/>
          <w:titlePg/>
          <w:docGrid w:linePitch="360"/>
        </w:sectPr>
      </w:pPr>
    </w:p>
    <w:p w14:paraId="72088A47" w14:textId="1796FC41" w:rsidR="006A3380" w:rsidRPr="00084920" w:rsidRDefault="00427055" w:rsidP="004B4FCB">
      <w:pPr>
        <w:pStyle w:val="CBDAnnex"/>
        <w:spacing w:before="240"/>
        <w:outlineLvl w:val="0"/>
        <w:rPr>
          <w:lang w:val="fr-FR"/>
        </w:rPr>
      </w:pPr>
      <w:bookmarkStart w:id="23" w:name="_Toc178159944"/>
      <w:r>
        <w:rPr>
          <w:lang w:val="fr-FR"/>
        </w:rPr>
        <w:lastRenderedPageBreak/>
        <w:t>Point</w:t>
      </w:r>
      <w:r w:rsidR="00EE54EF">
        <w:rPr>
          <w:lang w:val="fr-FR"/>
        </w:rPr>
        <w:t> </w:t>
      </w:r>
      <w:r w:rsidR="00311CD4" w:rsidRPr="00084920">
        <w:rPr>
          <w:lang w:val="fr-FR"/>
        </w:rPr>
        <w:t>11</w:t>
      </w:r>
      <w:r w:rsidR="00125526" w:rsidRPr="00084920">
        <w:rPr>
          <w:lang w:val="fr-FR"/>
        </w:rPr>
        <w:t xml:space="preserve"> </w:t>
      </w:r>
      <w:r w:rsidR="00125526" w:rsidRPr="00084920">
        <w:rPr>
          <w:lang w:val="fr-FR"/>
        </w:rPr>
        <w:br/>
      </w:r>
      <w:bookmarkEnd w:id="23"/>
      <w:r w:rsidRPr="00427055">
        <w:rPr>
          <w:lang w:val="fr-FR"/>
        </w:rPr>
        <w:t>Coopération avec des organisations internationales, des organismes créés en vertu d’autres conventions, et des initiatives</w:t>
      </w:r>
    </w:p>
    <w:tbl>
      <w:tblPr>
        <w:tblStyle w:val="Grilledutableau"/>
        <w:tblW w:w="0" w:type="auto"/>
        <w:tblLook w:val="04A0" w:firstRow="1" w:lastRow="0" w:firstColumn="1" w:lastColumn="0" w:noHBand="0" w:noVBand="1"/>
      </w:tblPr>
      <w:tblGrid>
        <w:gridCol w:w="9350"/>
      </w:tblGrid>
      <w:tr w:rsidR="00302648" w:rsidRPr="00084920" w14:paraId="347AA4C6" w14:textId="77777777" w:rsidTr="00557F83">
        <w:tc>
          <w:tcPr>
            <w:tcW w:w="9350" w:type="dxa"/>
            <w:tcBorders>
              <w:left w:val="nil"/>
              <w:right w:val="nil"/>
            </w:tcBorders>
          </w:tcPr>
          <w:p w14:paraId="2CD64DFD" w14:textId="3DAAC31B" w:rsidR="00302648" w:rsidRPr="00084920" w:rsidRDefault="005F09B1" w:rsidP="00886B83">
            <w:pPr>
              <w:pStyle w:val="CBDNormalNoNumber"/>
              <w:spacing w:before="60" w:after="60"/>
              <w:ind w:firstLine="596"/>
              <w:rPr>
                <w:snapToGrid w:val="0"/>
                <w:lang w:val="fr-FR"/>
              </w:rPr>
            </w:pPr>
            <w:r>
              <w:rPr>
                <w:i/>
                <w:iCs/>
                <w:lang w:val="fr-FR"/>
              </w:rPr>
              <w:t>Il est attendu que la Conférence des Parties siégeant en tant que réunion des Parties au Protocole de Nagoya prenne note des informations contenues dans le document </w:t>
            </w:r>
            <w:r w:rsidR="00886B83" w:rsidRPr="00084920">
              <w:rPr>
                <w:i/>
                <w:iCs/>
                <w:snapToGrid w:val="0"/>
                <w:lang w:val="fr-FR"/>
              </w:rPr>
              <w:t>CBD/NP/MOP/5/9</w:t>
            </w:r>
            <w:r w:rsidR="00886B83" w:rsidRPr="00084920">
              <w:rPr>
                <w:snapToGrid w:val="0"/>
                <w:lang w:val="fr-FR"/>
              </w:rPr>
              <w:t>.</w:t>
            </w:r>
            <w:r w:rsidR="00603052" w:rsidRPr="00084920">
              <w:rPr>
                <w:snapToGrid w:val="0"/>
                <w:lang w:val="fr-FR"/>
              </w:rPr>
              <w:t xml:space="preserve"> </w:t>
            </w:r>
            <w:r>
              <w:rPr>
                <w:i/>
                <w:iCs/>
                <w:snapToGrid w:val="0"/>
                <w:lang w:val="fr-FR"/>
              </w:rPr>
              <w:t>Aucune décision relative au point</w:t>
            </w:r>
            <w:r w:rsidR="00EE54EF">
              <w:rPr>
                <w:i/>
                <w:iCs/>
                <w:snapToGrid w:val="0"/>
                <w:lang w:val="fr-FR"/>
              </w:rPr>
              <w:t> </w:t>
            </w:r>
            <w:r>
              <w:rPr>
                <w:i/>
                <w:iCs/>
                <w:snapToGrid w:val="0"/>
                <w:lang w:val="fr-FR"/>
              </w:rPr>
              <w:t>11 de l’ordre du jour n’est attendue.</w:t>
            </w:r>
          </w:p>
        </w:tc>
      </w:tr>
    </w:tbl>
    <w:p w14:paraId="01DB9CA7" w14:textId="77777777" w:rsidR="00310DD5" w:rsidRPr="00084920" w:rsidRDefault="00310DD5" w:rsidP="00302648">
      <w:pPr>
        <w:pStyle w:val="CBDNormalNoNumber"/>
        <w:rPr>
          <w:snapToGrid w:val="0"/>
          <w:kern w:val="22"/>
          <w:lang w:val="fr-FR"/>
        </w:rPr>
      </w:pPr>
    </w:p>
    <w:p w14:paraId="14749B27" w14:textId="77777777" w:rsidR="00886B83" w:rsidRPr="00084920" w:rsidRDefault="00886B83" w:rsidP="00302648">
      <w:pPr>
        <w:pStyle w:val="CBDNormalNoNumber"/>
        <w:rPr>
          <w:snapToGrid w:val="0"/>
          <w:lang w:val="fr-FR"/>
        </w:rPr>
      </w:pPr>
    </w:p>
    <w:p w14:paraId="31BC8B8A" w14:textId="77777777" w:rsidR="00A253D1" w:rsidRPr="00084920" w:rsidRDefault="00A253D1" w:rsidP="00010496">
      <w:pPr>
        <w:pStyle w:val="CBDAgendaItem"/>
        <w:rPr>
          <w:bCs/>
          <w:lang w:val="fr-FR"/>
        </w:rPr>
        <w:sectPr w:rsidR="00A253D1" w:rsidRPr="00084920" w:rsidSect="000B0982">
          <w:pgSz w:w="12240" w:h="15840"/>
          <w:pgMar w:top="1134" w:right="1440" w:bottom="1134" w:left="1440" w:header="709" w:footer="709" w:gutter="0"/>
          <w:cols w:space="708"/>
          <w:docGrid w:linePitch="360"/>
        </w:sectPr>
      </w:pPr>
    </w:p>
    <w:p w14:paraId="64282C3A" w14:textId="6AE5E84F" w:rsidR="00211CC0" w:rsidRPr="00084920" w:rsidRDefault="00EE1DDB" w:rsidP="004B4FCB">
      <w:pPr>
        <w:pStyle w:val="CBDAnnex"/>
        <w:spacing w:before="240"/>
        <w:outlineLvl w:val="0"/>
        <w:rPr>
          <w:lang w:val="fr-FR"/>
        </w:rPr>
      </w:pPr>
      <w:bookmarkStart w:id="24" w:name="_Toc178159945"/>
      <w:r>
        <w:rPr>
          <w:lang w:val="fr-FR"/>
        </w:rPr>
        <w:lastRenderedPageBreak/>
        <w:t>Point</w:t>
      </w:r>
      <w:r w:rsidR="00EE54EF">
        <w:rPr>
          <w:lang w:val="fr-FR"/>
        </w:rPr>
        <w:t> </w:t>
      </w:r>
      <w:r w:rsidR="00311CD4" w:rsidRPr="00084920">
        <w:rPr>
          <w:lang w:val="fr-FR"/>
        </w:rPr>
        <w:t>12</w:t>
      </w:r>
      <w:r w:rsidR="00125526" w:rsidRPr="00084920">
        <w:rPr>
          <w:lang w:val="fr-FR"/>
        </w:rPr>
        <w:t xml:space="preserve"> </w:t>
      </w:r>
      <w:r w:rsidR="00125526" w:rsidRPr="00084920">
        <w:rPr>
          <w:lang w:val="fr-FR"/>
        </w:rPr>
        <w:br/>
      </w:r>
      <w:bookmarkEnd w:id="24"/>
      <w:r w:rsidRPr="00EE1DDB">
        <w:rPr>
          <w:lang w:val="fr-FR"/>
        </w:rPr>
        <w:t>Examen de l’efficacité des processus relev</w:t>
      </w:r>
      <w:r>
        <w:rPr>
          <w:lang w:val="fr-FR"/>
        </w:rPr>
        <w:t>a</w:t>
      </w:r>
      <w:r w:rsidRPr="00EE1DDB">
        <w:rPr>
          <w:lang w:val="fr-FR"/>
        </w:rPr>
        <w:t>nt de la Convention et de ses Protocoles</w:t>
      </w:r>
    </w:p>
    <w:tbl>
      <w:tblPr>
        <w:tblStyle w:val="Grilledutableau"/>
        <w:tblW w:w="0" w:type="auto"/>
        <w:tblLook w:val="04A0" w:firstRow="1" w:lastRow="0" w:firstColumn="1" w:lastColumn="0" w:noHBand="0" w:noVBand="1"/>
      </w:tblPr>
      <w:tblGrid>
        <w:gridCol w:w="9350"/>
      </w:tblGrid>
      <w:tr w:rsidR="00310DD5" w:rsidRPr="00084920" w14:paraId="71E38238" w14:textId="77777777" w:rsidTr="00557F83">
        <w:tc>
          <w:tcPr>
            <w:tcW w:w="9350" w:type="dxa"/>
            <w:tcBorders>
              <w:left w:val="nil"/>
              <w:right w:val="nil"/>
            </w:tcBorders>
          </w:tcPr>
          <w:p w14:paraId="45B5FE24" w14:textId="2BCEA230" w:rsidR="00310DD5" w:rsidRPr="00084920" w:rsidRDefault="00EE1DDB" w:rsidP="00557F83">
            <w:pPr>
              <w:pStyle w:val="CBDNormalNoNumber"/>
              <w:tabs>
                <w:tab w:val="clear" w:pos="567"/>
              </w:tabs>
              <w:spacing w:before="60" w:after="60"/>
              <w:ind w:left="0" w:firstLine="596"/>
              <w:rPr>
                <w:i/>
                <w:iCs/>
                <w:lang w:val="fr-FR"/>
              </w:rPr>
            </w:pPr>
            <w:r>
              <w:rPr>
                <w:i/>
                <w:iCs/>
                <w:lang w:val="fr-FR"/>
              </w:rPr>
              <w:t xml:space="preserve">La Conférence des Parties siégeant en tant que réunion des Parties au Protocole de Nagoya examinera ce point </w:t>
            </w:r>
            <w:r w:rsidR="00AE70B4">
              <w:rPr>
                <w:i/>
                <w:iCs/>
                <w:lang w:val="fr-FR"/>
              </w:rPr>
              <w:t xml:space="preserve">conjointement avec la Conférence des Parties à la Convention sur la diversité biologique et la Conférence des Parties siégeant en tant que réunion des Parties au Protocole de Cartagena, </w:t>
            </w:r>
            <w:r w:rsidR="00876017">
              <w:rPr>
                <w:i/>
                <w:iCs/>
                <w:lang w:val="fr-FR"/>
              </w:rPr>
              <w:t>en se fondant sur</w:t>
            </w:r>
            <w:r w:rsidR="00AE70B4">
              <w:rPr>
                <w:i/>
                <w:iCs/>
                <w:lang w:val="fr-FR"/>
              </w:rPr>
              <w:t xml:space="preserve"> la recommandation </w:t>
            </w:r>
            <w:r w:rsidR="00FB6A0A" w:rsidRPr="00084920">
              <w:rPr>
                <w:i/>
                <w:iCs/>
                <w:lang w:val="fr-FR"/>
              </w:rPr>
              <w:t xml:space="preserve">4/12 </w:t>
            </w:r>
            <w:r w:rsidR="00AE70B4">
              <w:rPr>
                <w:i/>
                <w:iCs/>
                <w:lang w:val="fr-FR"/>
              </w:rPr>
              <w:t>de l’Organe subsidiaire chargé de l’application</w:t>
            </w:r>
            <w:r w:rsidR="00FB6A0A" w:rsidRPr="00084920">
              <w:rPr>
                <w:i/>
                <w:iCs/>
                <w:lang w:val="fr-FR"/>
              </w:rPr>
              <w:t xml:space="preserve"> </w:t>
            </w:r>
          </w:p>
        </w:tc>
      </w:tr>
    </w:tbl>
    <w:p w14:paraId="68ABBF55" w14:textId="77777777" w:rsidR="00C87559" w:rsidRDefault="00C87559" w:rsidP="00C87559">
      <w:pPr>
        <w:tabs>
          <w:tab w:val="clear" w:pos="567"/>
          <w:tab w:val="clear" w:pos="1134"/>
          <w:tab w:val="clear" w:pos="1701"/>
          <w:tab w:val="clear" w:pos="2268"/>
        </w:tabs>
        <w:rPr>
          <w:rFonts w:eastAsia="Times New Roman"/>
          <w:b/>
          <w:sz w:val="24"/>
          <w:szCs w:val="24"/>
          <w:lang w:val="fr-CA"/>
        </w:rPr>
      </w:pPr>
    </w:p>
    <w:p w14:paraId="2FC7024B" w14:textId="3421B37A" w:rsidR="00C87559" w:rsidRPr="00C87559" w:rsidRDefault="00C87559" w:rsidP="00EF26F6">
      <w:pPr>
        <w:tabs>
          <w:tab w:val="clear" w:pos="567"/>
          <w:tab w:val="clear" w:pos="1134"/>
          <w:tab w:val="clear" w:pos="1701"/>
          <w:tab w:val="clear" w:pos="2268"/>
        </w:tabs>
        <w:ind w:left="567" w:hanging="567"/>
        <w:rPr>
          <w:rFonts w:eastAsia="Times New Roman"/>
          <w:b/>
          <w:sz w:val="24"/>
          <w:szCs w:val="24"/>
          <w:lang w:val="fr-CA"/>
        </w:rPr>
      </w:pPr>
      <w:r w:rsidRPr="00C87559">
        <w:rPr>
          <w:rFonts w:eastAsia="Times New Roman"/>
          <w:b/>
          <w:sz w:val="24"/>
          <w:szCs w:val="24"/>
          <w:lang w:val="fr-CA"/>
        </w:rPr>
        <w:t>I.</w:t>
      </w:r>
      <w:r w:rsidRPr="00C87559">
        <w:rPr>
          <w:rFonts w:eastAsia="Times New Roman"/>
          <w:b/>
          <w:sz w:val="24"/>
          <w:szCs w:val="24"/>
          <w:lang w:val="fr-CA"/>
        </w:rPr>
        <w:tab/>
        <w:t>Examen de l’efficacité des processus au titre de la Convention et de ses protocoles</w:t>
      </w:r>
    </w:p>
    <w:p w14:paraId="00AFB54A" w14:textId="77777777" w:rsidR="00C87559" w:rsidRPr="00C87559" w:rsidRDefault="00C87559" w:rsidP="002F54A0">
      <w:pPr>
        <w:tabs>
          <w:tab w:val="clear" w:pos="567"/>
          <w:tab w:val="clear" w:pos="1134"/>
          <w:tab w:val="clear" w:pos="1701"/>
          <w:tab w:val="clear" w:pos="2268"/>
        </w:tabs>
        <w:spacing w:before="120"/>
        <w:ind w:left="720"/>
        <w:rPr>
          <w:rFonts w:eastAsia="Times New Roman"/>
          <w:b/>
          <w:sz w:val="24"/>
          <w:szCs w:val="24"/>
          <w:lang w:val="fr-CA"/>
        </w:rPr>
      </w:pPr>
      <w:r w:rsidRPr="00C87559">
        <w:rPr>
          <w:rFonts w:eastAsia="Times New Roman"/>
          <w:b/>
          <w:sz w:val="24"/>
          <w:szCs w:val="24"/>
          <w:lang w:val="fr-CA"/>
        </w:rPr>
        <w:t>A</w:t>
      </w:r>
    </w:p>
    <w:p w14:paraId="6FCA9AA4" w14:textId="77777777" w:rsidR="00C87559" w:rsidRPr="00C87559" w:rsidRDefault="00C87559" w:rsidP="00EF26F6">
      <w:pPr>
        <w:tabs>
          <w:tab w:val="clear" w:pos="567"/>
          <w:tab w:val="clear" w:pos="1134"/>
          <w:tab w:val="clear" w:pos="1701"/>
          <w:tab w:val="clear" w:pos="2268"/>
        </w:tabs>
        <w:ind w:left="567"/>
        <w:rPr>
          <w:rFonts w:eastAsia="Times New Roman"/>
          <w:b/>
          <w:sz w:val="24"/>
          <w:szCs w:val="24"/>
          <w:lang w:val="fr-CA"/>
        </w:rPr>
      </w:pPr>
      <w:r w:rsidRPr="00C87559">
        <w:rPr>
          <w:rFonts w:eastAsia="Times New Roman"/>
          <w:b/>
          <w:sz w:val="24"/>
          <w:szCs w:val="24"/>
          <w:lang w:val="fr-CA"/>
        </w:rPr>
        <w:t>Moyens d’améliorer davantage l’efficacité des processus au titre de la Convention et de ses protocoles</w:t>
      </w:r>
    </w:p>
    <w:p w14:paraId="2D80BFFA" w14:textId="77777777" w:rsidR="00C87559" w:rsidRPr="00C87559" w:rsidRDefault="00C87559" w:rsidP="00C87559">
      <w:pPr>
        <w:tabs>
          <w:tab w:val="clear" w:pos="567"/>
          <w:tab w:val="clear" w:pos="1134"/>
          <w:tab w:val="clear" w:pos="1701"/>
          <w:tab w:val="clear" w:pos="2268"/>
        </w:tabs>
        <w:spacing w:before="120" w:after="120"/>
        <w:ind w:left="567" w:firstLine="567"/>
        <w:rPr>
          <w:rFonts w:eastAsia="Times New Roman"/>
          <w:i/>
          <w:kern w:val="22"/>
          <w:lang w:val="fr-CA"/>
        </w:rPr>
      </w:pPr>
      <w:r w:rsidRPr="00C87559">
        <w:rPr>
          <w:rFonts w:eastAsia="Times New Roman"/>
          <w:i/>
          <w:lang w:val="fr-CA"/>
        </w:rPr>
        <w:t>La Conférence des Parties siégeant en tant que réunion des Parties au Protocole de Nagoya sur l’accès et le partage des avantages,</w:t>
      </w:r>
    </w:p>
    <w:p w14:paraId="3F51B77B" w14:textId="096EF12D" w:rsidR="00C87559" w:rsidRPr="00C87559" w:rsidRDefault="00C87559" w:rsidP="00C87559">
      <w:pPr>
        <w:tabs>
          <w:tab w:val="clear" w:pos="567"/>
          <w:tab w:val="clear" w:pos="1701"/>
          <w:tab w:val="clear" w:pos="2268"/>
        </w:tabs>
        <w:spacing w:before="120" w:after="120"/>
        <w:ind w:left="567" w:firstLine="567"/>
        <w:rPr>
          <w:rFonts w:eastAsia="Times New Roman"/>
          <w:szCs w:val="24"/>
          <w:lang w:val="fr-CA"/>
        </w:rPr>
      </w:pPr>
      <w:r w:rsidRPr="00C87559">
        <w:rPr>
          <w:rFonts w:eastAsia="Times New Roman"/>
          <w:szCs w:val="24"/>
          <w:lang w:val="fr-CA"/>
        </w:rPr>
        <w:t>[</w:t>
      </w:r>
      <w:r w:rsidRPr="00C87559">
        <w:rPr>
          <w:rFonts w:eastAsia="Times New Roman"/>
          <w:i/>
          <w:iCs/>
          <w:szCs w:val="24"/>
          <w:lang w:val="fr-CA"/>
        </w:rPr>
        <w:t>Rappelant</w:t>
      </w:r>
      <w:r w:rsidRPr="00C87559">
        <w:rPr>
          <w:rFonts w:eastAsia="Times New Roman"/>
          <w:szCs w:val="24"/>
          <w:lang w:val="fr-CA"/>
        </w:rPr>
        <w:t xml:space="preserve"> l</w:t>
      </w:r>
      <w:r w:rsidR="00CC3C0D">
        <w:rPr>
          <w:rFonts w:eastAsia="Times New Roman"/>
          <w:szCs w:val="24"/>
          <w:lang w:val="fr-CA"/>
        </w:rPr>
        <w:t>a</w:t>
      </w:r>
      <w:r w:rsidRPr="00C87559">
        <w:rPr>
          <w:rFonts w:eastAsia="Times New Roman"/>
          <w:szCs w:val="24"/>
          <w:lang w:val="fr-CA"/>
        </w:rPr>
        <w:t xml:space="preserve"> décision</w:t>
      </w:r>
      <w:r w:rsidR="00CC3C0D">
        <w:rPr>
          <w:rFonts w:eastAsia="Times New Roman"/>
          <w:szCs w:val="24"/>
          <w:lang w:val="fr-CA"/>
        </w:rPr>
        <w:t> </w:t>
      </w:r>
      <w:r w:rsidRPr="00C87559">
        <w:rPr>
          <w:rFonts w:eastAsia="Times New Roman"/>
          <w:szCs w:val="24"/>
          <w:lang w:val="fr-CA"/>
        </w:rPr>
        <w:t>NP-4/9 du 10 décembre 2022,</w:t>
      </w:r>
    </w:p>
    <w:p w14:paraId="3CF8C579" w14:textId="7557FBCF" w:rsidR="00C87559" w:rsidRPr="00C87559" w:rsidRDefault="00C87559" w:rsidP="00C87559">
      <w:pPr>
        <w:tabs>
          <w:tab w:val="clear" w:pos="567"/>
          <w:tab w:val="clear" w:pos="1701"/>
          <w:tab w:val="clear" w:pos="2268"/>
        </w:tabs>
        <w:spacing w:before="120" w:after="120"/>
        <w:ind w:left="567" w:firstLine="567"/>
        <w:rPr>
          <w:rFonts w:eastAsia="Times New Roman"/>
          <w:szCs w:val="24"/>
          <w:lang w:val="fr-CA"/>
        </w:rPr>
      </w:pPr>
      <w:r w:rsidRPr="00C87559">
        <w:rPr>
          <w:rFonts w:eastAsia="Times New Roman"/>
          <w:i/>
          <w:szCs w:val="24"/>
          <w:lang w:val="fr-CA"/>
        </w:rPr>
        <w:t xml:space="preserve">Reconnaissant </w:t>
      </w:r>
      <w:r w:rsidRPr="00C87559">
        <w:rPr>
          <w:rFonts w:eastAsia="Times New Roman"/>
          <w:szCs w:val="24"/>
          <w:lang w:val="fr-CA"/>
        </w:rPr>
        <w:t>la nécessité d’améliorer davantage l’efficacité des réunions au titre de la Convention sur la diversité biologique</w:t>
      </w:r>
      <w:r w:rsidR="00CC3C0D">
        <w:rPr>
          <w:rStyle w:val="Appelnotedebasdep"/>
          <w:rFonts w:eastAsia="Times New Roman"/>
          <w:szCs w:val="24"/>
          <w:lang w:val="fr-CA"/>
        </w:rPr>
        <w:footnoteReference w:id="44"/>
      </w:r>
      <w:r w:rsidRPr="00C87559">
        <w:rPr>
          <w:rFonts w:eastAsia="Times New Roman"/>
          <w:szCs w:val="24"/>
          <w:lang w:val="fr-CA"/>
        </w:rPr>
        <w:t xml:space="preserve"> et de ses protocoles,</w:t>
      </w:r>
    </w:p>
    <w:p w14:paraId="2EBC79FE" w14:textId="3654AA15"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1.</w:t>
      </w:r>
      <w:r w:rsidRPr="00C87559">
        <w:rPr>
          <w:rFonts w:eastAsia="Times New Roman"/>
          <w:i/>
          <w:szCs w:val="24"/>
          <w:lang w:val="fr-CA"/>
        </w:rPr>
        <w:tab/>
        <w:t xml:space="preserve">Prend note </w:t>
      </w:r>
      <w:r w:rsidRPr="00C87559">
        <w:rPr>
          <w:rFonts w:eastAsia="Times New Roman"/>
          <w:szCs w:val="24"/>
          <w:lang w:val="fr-CA"/>
        </w:rPr>
        <w:t>des expériences récentes et des autres suggestions visant à améliorer l’efficacité des processus au titre de la Convention et de ses protocoles, résumées dans le document CBD/SBI/4/11</w:t>
      </w:r>
      <w:r w:rsidR="00EE54EF">
        <w:rPr>
          <w:rFonts w:eastAsia="Times New Roman"/>
          <w:szCs w:val="24"/>
          <w:lang w:val="fr-CA"/>
        </w:rPr>
        <w:t> </w:t>
      </w:r>
      <w:r w:rsidRPr="00C87559">
        <w:rPr>
          <w:rFonts w:eastAsia="Times New Roman"/>
          <w:szCs w:val="24"/>
          <w:lang w:val="fr-CA"/>
        </w:rPr>
        <w:t>;</w:t>
      </w:r>
    </w:p>
    <w:p w14:paraId="0FA0C03F" w14:textId="20545A60" w:rsidR="00C87559" w:rsidRPr="00C87559" w:rsidRDefault="00C87559" w:rsidP="00C87559">
      <w:pPr>
        <w:tabs>
          <w:tab w:val="clear" w:pos="567"/>
          <w:tab w:val="clear" w:pos="1134"/>
          <w:tab w:val="clear" w:pos="2268"/>
        </w:tabs>
        <w:spacing w:before="120" w:after="120"/>
        <w:ind w:left="567" w:firstLine="567"/>
        <w:rPr>
          <w:rFonts w:eastAsia="Times New Roman"/>
          <w:szCs w:val="24"/>
          <w:u w:val="single"/>
          <w:lang w:val="fr-CA"/>
        </w:rPr>
      </w:pPr>
      <w:r w:rsidRPr="00C87559">
        <w:rPr>
          <w:rFonts w:eastAsia="Times New Roman"/>
          <w:szCs w:val="24"/>
          <w:lang w:val="fr-CA"/>
        </w:rPr>
        <w:t>[2.</w:t>
      </w:r>
      <w:r w:rsidRPr="00C87559">
        <w:rPr>
          <w:rFonts w:eastAsia="Times New Roman"/>
          <w:szCs w:val="24"/>
          <w:lang w:val="fr-CA"/>
        </w:rPr>
        <w:tab/>
      </w:r>
      <w:bookmarkStart w:id="25" w:name="_Hlk167785703"/>
      <w:r w:rsidRPr="00C87559">
        <w:rPr>
          <w:rFonts w:eastAsia="Times New Roman"/>
          <w:i/>
          <w:iCs/>
          <w:szCs w:val="24"/>
          <w:lang w:val="fr-CA"/>
        </w:rPr>
        <w:t>Prie</w:t>
      </w:r>
      <w:r w:rsidRPr="00C87559">
        <w:rPr>
          <w:rFonts w:eastAsia="Times New Roman"/>
          <w:szCs w:val="24"/>
          <w:lang w:val="fr-CA"/>
        </w:rPr>
        <w:t xml:space="preserve"> la Secrétaire exécutive</w:t>
      </w:r>
      <w:bookmarkEnd w:id="25"/>
      <w:r w:rsidRPr="00C87559">
        <w:rPr>
          <w:rFonts w:eastAsia="Times New Roman"/>
          <w:szCs w:val="24"/>
          <w:lang w:val="fr-CA"/>
        </w:rPr>
        <w:t xml:space="preserve"> et les Bureaux de mettre à profit ces expériences lorsqu’ils prépareront l’organisation des travaux et les notes de scénario pour les réunions à venir</w:t>
      </w:r>
      <w:r w:rsidR="00EE54EF">
        <w:rPr>
          <w:rFonts w:eastAsia="Times New Roman"/>
          <w:szCs w:val="24"/>
          <w:lang w:val="fr-CA"/>
        </w:rPr>
        <w:t> </w:t>
      </w:r>
      <w:r w:rsidRPr="00C87559">
        <w:rPr>
          <w:rFonts w:eastAsia="Times New Roman"/>
          <w:szCs w:val="24"/>
          <w:lang w:val="fr-CA"/>
        </w:rPr>
        <w:t>; et de les mettre ces notes à disposition de toutes les Parties avant les réunions</w:t>
      </w:r>
      <w:r w:rsidR="00EE54EF">
        <w:rPr>
          <w:rFonts w:eastAsia="Times New Roman"/>
          <w:szCs w:val="24"/>
          <w:lang w:val="fr-CA"/>
        </w:rPr>
        <w:t> </w:t>
      </w:r>
      <w:r w:rsidRPr="00C87559">
        <w:rPr>
          <w:rFonts w:eastAsia="Times New Roman"/>
          <w:szCs w:val="24"/>
          <w:lang w:val="fr-CA"/>
        </w:rPr>
        <w:t>;]</w:t>
      </w:r>
    </w:p>
    <w:p w14:paraId="24FBE27E"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[3.</w:t>
      </w:r>
      <w:r w:rsidRPr="00C87559">
        <w:rPr>
          <w:rFonts w:eastAsia="Times New Roman"/>
          <w:szCs w:val="24"/>
          <w:lang w:val="fr-CA"/>
        </w:rPr>
        <w:tab/>
      </w:r>
      <w:r w:rsidRPr="00C87559">
        <w:rPr>
          <w:rFonts w:eastAsia="Times New Roman"/>
          <w:i/>
          <w:iCs/>
          <w:szCs w:val="24"/>
          <w:lang w:val="fr-CA"/>
        </w:rPr>
        <w:t xml:space="preserve">Prie </w:t>
      </w:r>
      <w:r w:rsidRPr="00C87559">
        <w:rPr>
          <w:rFonts w:eastAsia="Times New Roman"/>
          <w:szCs w:val="24"/>
          <w:lang w:val="fr-CA"/>
        </w:rPr>
        <w:t>la Secrétaire exécutive, ainsi que les Bureaux, de continuer à étudier et utiliser, lorsqu’approprié, des méthodes et moyens pertinents pour faciliter la préparation précoce des réunions, notamment des options pour simplifier les ordres du jour et faire examiner les documents par les pairs à l’avance ;]</w:t>
      </w:r>
    </w:p>
    <w:p w14:paraId="6E2CB8B0" w14:textId="77777777"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eastAsia="Times New Roman"/>
          <w:szCs w:val="24"/>
          <w:lang w:val="fr-CA"/>
        </w:rPr>
        <w:t>[4.</w:t>
      </w:r>
      <w:r w:rsidRPr="00C87559">
        <w:rPr>
          <w:rFonts w:eastAsia="Times New Roman"/>
          <w:szCs w:val="24"/>
          <w:lang w:val="fr-CA"/>
        </w:rPr>
        <w:tab/>
      </w:r>
      <w:r w:rsidRPr="00C87559">
        <w:rPr>
          <w:rFonts w:eastAsia="Times New Roman"/>
          <w:i/>
          <w:iCs/>
          <w:szCs w:val="24"/>
          <w:lang w:val="fr-CA"/>
        </w:rPr>
        <w:t>Décide</w:t>
      </w:r>
      <w:r w:rsidRPr="00C87559">
        <w:rPr>
          <w:rFonts w:eastAsia="Times New Roman"/>
          <w:szCs w:val="24"/>
          <w:lang w:val="fr-CA"/>
        </w:rPr>
        <w:t xml:space="preserve"> que pendant les réunions des Organes subsidiaires à composition non limitée, le nombre de séances des groupes de contact et des amis du président tenues en parallèle doit être restreint au nombre de délégués par pays en développement dont la participation a été soutenue par le Secrétariat ;]</w:t>
      </w:r>
    </w:p>
    <w:p w14:paraId="44B62BA0"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[5.</w:t>
      </w:r>
      <w:r w:rsidRPr="00C87559">
        <w:rPr>
          <w:rFonts w:eastAsia="Times New Roman"/>
          <w:szCs w:val="24"/>
          <w:lang w:val="fr-CA"/>
        </w:rPr>
        <w:tab/>
      </w:r>
      <w:r w:rsidRPr="00C87559">
        <w:rPr>
          <w:rFonts w:eastAsia="Times New Roman"/>
          <w:i/>
          <w:iCs/>
          <w:szCs w:val="24"/>
          <w:lang w:val="fr-CA"/>
        </w:rPr>
        <w:t>Prie</w:t>
      </w:r>
      <w:r w:rsidRPr="00C87559">
        <w:rPr>
          <w:rFonts w:eastAsia="Times New Roman"/>
          <w:szCs w:val="24"/>
          <w:lang w:val="fr-CA"/>
        </w:rPr>
        <w:t xml:space="preserve"> la Secrétaire exécutive de permettre de trouver plus facilement du soutien financier supplémentaire afin d’accroître la participation de tous les correspondants nationaux de la Convention et de ses protocoles, notamment pour les pays en développement, surtout les pays les moins développés et les petits États insulaires en développement, ainsi que les pays à économie en transition ;]</w:t>
      </w:r>
    </w:p>
    <w:p w14:paraId="1BB4845A" w14:textId="77777777"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eastAsia="Times New Roman"/>
          <w:szCs w:val="24"/>
          <w:lang w:val="fr-CA"/>
        </w:rPr>
        <w:t>[6.</w:t>
      </w:r>
      <w:r w:rsidRPr="00C87559">
        <w:rPr>
          <w:rFonts w:eastAsia="Times New Roman"/>
          <w:szCs w:val="24"/>
          <w:lang w:val="fr-CA"/>
        </w:rPr>
        <w:tab/>
      </w:r>
      <w:r w:rsidRPr="00C87559">
        <w:rPr>
          <w:rFonts w:eastAsia="Times New Roman"/>
          <w:i/>
          <w:iCs/>
          <w:szCs w:val="24"/>
          <w:lang w:val="fr-CA"/>
        </w:rPr>
        <w:t>Décide</w:t>
      </w:r>
      <w:r w:rsidRPr="00C87559">
        <w:rPr>
          <w:rFonts w:eastAsia="Times New Roman"/>
          <w:szCs w:val="24"/>
          <w:lang w:val="fr-CA"/>
        </w:rPr>
        <w:t xml:space="preserve"> que, dans le cas de réunions intergouvernementales successives, une journée libre obligatoire doit être planifiée au terme de chaque période de cinq jours, journée au cours de laquelle aucune activité formelle ni informelle ne doit avoir lieu, sans préjudice du soutien offert aux délégués provenant des pays en développement Parties ;]</w:t>
      </w:r>
    </w:p>
    <w:p w14:paraId="77462165" w14:textId="5FFBEEE8"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eastAsia="Times New Roman"/>
          <w:szCs w:val="24"/>
          <w:lang w:val="fr-CA"/>
        </w:rPr>
        <w:t>[7.</w:t>
      </w:r>
      <w:r w:rsidRPr="00C87559">
        <w:rPr>
          <w:rFonts w:eastAsia="Times New Roman"/>
          <w:szCs w:val="24"/>
          <w:lang w:val="fr-CA"/>
        </w:rPr>
        <w:tab/>
      </w:r>
      <w:r w:rsidRPr="00C87559">
        <w:rPr>
          <w:rFonts w:eastAsia="Times New Roman"/>
          <w:i/>
          <w:iCs/>
          <w:szCs w:val="24"/>
          <w:lang w:val="fr-CA"/>
        </w:rPr>
        <w:t>Reconnaît</w:t>
      </w:r>
      <w:r w:rsidRPr="00C87559">
        <w:rPr>
          <w:rFonts w:eastAsia="Times New Roman"/>
          <w:szCs w:val="24"/>
          <w:lang w:val="fr-CA"/>
        </w:rPr>
        <w:t xml:space="preserve"> la nécessité de restreindre les séances de négociation en soirée à des heures raisonnables pour préserver la santé des délégués participant aux réunions intergouvernementales, en particulier les délégués de petites délégations</w:t>
      </w:r>
      <w:r w:rsidR="00EE54EF">
        <w:rPr>
          <w:rFonts w:eastAsia="Times New Roman"/>
          <w:szCs w:val="24"/>
          <w:lang w:val="fr-CA"/>
        </w:rPr>
        <w:t> </w:t>
      </w:r>
      <w:r w:rsidRPr="00C87559">
        <w:rPr>
          <w:rFonts w:eastAsia="Times New Roman"/>
          <w:szCs w:val="24"/>
          <w:lang w:val="fr-CA"/>
        </w:rPr>
        <w:t xml:space="preserve">; et, à moins qu’il n’en soit convenu autrement, aucune </w:t>
      </w:r>
      <w:r w:rsidRPr="00C87559">
        <w:rPr>
          <w:rFonts w:eastAsia="Times New Roman"/>
          <w:szCs w:val="24"/>
          <w:lang w:val="fr-CA"/>
        </w:rPr>
        <w:lastRenderedPageBreak/>
        <w:t>séance ne devra être planifiée plus de 13 heures après le début de la première réunion à composition non limitée de la journée</w:t>
      </w:r>
      <w:r w:rsidR="00EE54EF">
        <w:rPr>
          <w:rFonts w:eastAsia="Times New Roman"/>
          <w:szCs w:val="24"/>
          <w:lang w:val="fr-CA"/>
        </w:rPr>
        <w:t> </w:t>
      </w:r>
      <w:r w:rsidRPr="00C87559">
        <w:rPr>
          <w:rFonts w:eastAsia="Times New Roman"/>
          <w:szCs w:val="24"/>
          <w:lang w:val="fr-CA"/>
        </w:rPr>
        <w:t>;]</w:t>
      </w:r>
    </w:p>
    <w:p w14:paraId="587C2271" w14:textId="7AB77689"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eastAsia="Times New Roman"/>
          <w:szCs w:val="24"/>
          <w:lang w:val="fr-CA"/>
        </w:rPr>
        <w:t>8.</w:t>
      </w:r>
      <w:r w:rsidRPr="00C87559">
        <w:rPr>
          <w:rFonts w:eastAsia="Times New Roman"/>
          <w:szCs w:val="24"/>
          <w:lang w:val="fr-CA"/>
        </w:rPr>
        <w:tab/>
      </w:r>
      <w:r w:rsidRPr="00C87559">
        <w:rPr>
          <w:rFonts w:eastAsia="Times New Roman"/>
          <w:i/>
          <w:iCs/>
          <w:szCs w:val="24"/>
          <w:lang w:val="fr-CA"/>
        </w:rPr>
        <w:t>Prie</w:t>
      </w:r>
      <w:r w:rsidRPr="00C87559">
        <w:rPr>
          <w:rFonts w:eastAsia="Times New Roman"/>
          <w:szCs w:val="24"/>
          <w:lang w:val="fr-CA"/>
        </w:rPr>
        <w:t xml:space="preserve"> le Bureau de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et le Bureau de l’Organe subsidiaire chargé de fournir des avis scientifiques, techniques et technologiques de former un bassin de représentants qui agiront à titre de présidents de groupes de travail, de groupes de contact ou de facilitateurs de groupes d’amis du président, selon leur capacité à instaurer de la confiance et à établir un consensus parmi ceux dont les points de vue divergent, et selon leur connaissance avérée relative à la question que le groupe doit aborder, bien avant les réunions intergouvernementales tenues au titre de la Convention</w:t>
      </w:r>
      <w:r w:rsidR="00EE54EF">
        <w:rPr>
          <w:rFonts w:eastAsia="Times New Roman"/>
          <w:szCs w:val="24"/>
          <w:lang w:val="fr-CA"/>
        </w:rPr>
        <w:t> </w:t>
      </w:r>
      <w:r w:rsidRPr="00C87559">
        <w:rPr>
          <w:rFonts w:eastAsia="Times New Roman"/>
          <w:szCs w:val="24"/>
          <w:lang w:val="fr-CA"/>
        </w:rPr>
        <w:t>;</w:t>
      </w:r>
    </w:p>
    <w:p w14:paraId="2D42218B" w14:textId="42C27F2D"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eastAsia="Times New Roman"/>
          <w:szCs w:val="24"/>
          <w:lang w:val="fr-CA"/>
        </w:rPr>
        <w:t>9.</w:t>
      </w:r>
      <w:r w:rsidRPr="00C87559">
        <w:rPr>
          <w:rFonts w:eastAsia="Times New Roman"/>
          <w:szCs w:val="24"/>
          <w:lang w:val="fr-CA"/>
        </w:rPr>
        <w:tab/>
      </w:r>
      <w:r w:rsidRPr="00C87559">
        <w:rPr>
          <w:rFonts w:eastAsia="Times New Roman"/>
          <w:i/>
          <w:iCs/>
          <w:szCs w:val="24"/>
          <w:lang w:val="fr-CA"/>
        </w:rPr>
        <w:t>Prie</w:t>
      </w:r>
      <w:r w:rsidRPr="00C87559">
        <w:rPr>
          <w:rFonts w:eastAsia="Times New Roman"/>
          <w:szCs w:val="24"/>
          <w:lang w:val="fr-CA"/>
        </w:rPr>
        <w:t xml:space="preserve"> la Secrétaire exécutive, sous réserve de la disponibilité des ressources,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w:t>
      </w:r>
      <w:r w:rsidR="00EE54EF">
        <w:rPr>
          <w:rFonts w:eastAsia="Times New Roman"/>
          <w:szCs w:val="24"/>
          <w:lang w:val="fr-CA"/>
        </w:rPr>
        <w:t> </w:t>
      </w:r>
      <w:r w:rsidRPr="00C87559">
        <w:rPr>
          <w:rFonts w:eastAsia="Times New Roman"/>
          <w:szCs w:val="24"/>
          <w:lang w:val="fr-CA"/>
        </w:rPr>
        <w:t>;</w:t>
      </w:r>
    </w:p>
    <w:p w14:paraId="5D0D98D4" w14:textId="4A81BF06" w:rsidR="00C87559" w:rsidRPr="00C87559" w:rsidRDefault="00C87559" w:rsidP="00C87559">
      <w:pPr>
        <w:tabs>
          <w:tab w:val="clear" w:pos="567"/>
          <w:tab w:val="clear" w:pos="2268"/>
        </w:tabs>
        <w:spacing w:before="120" w:after="120"/>
        <w:ind w:left="567" w:firstLine="567"/>
        <w:rPr>
          <w:rFonts w:eastAsia="Times New Roman"/>
          <w:iCs/>
          <w:szCs w:val="24"/>
          <w:lang w:val="fr-CA"/>
        </w:rPr>
      </w:pPr>
      <w:r w:rsidRPr="00C87559">
        <w:rPr>
          <w:rFonts w:eastAsia="Times New Roman"/>
          <w:szCs w:val="24"/>
          <w:lang w:val="fr-CA"/>
        </w:rPr>
        <w:t>[10.</w:t>
      </w:r>
      <w:r w:rsidRPr="00C87559">
        <w:rPr>
          <w:rFonts w:eastAsia="Times New Roman"/>
          <w:szCs w:val="24"/>
          <w:lang w:val="fr-CA"/>
        </w:rPr>
        <w:tab/>
      </w:r>
      <w:r w:rsidRPr="00C87559">
        <w:rPr>
          <w:rFonts w:eastAsia="Times New Roman"/>
          <w:i/>
          <w:szCs w:val="24"/>
          <w:lang w:val="fr-CA"/>
        </w:rPr>
        <w:t xml:space="preserve">Prie également </w:t>
      </w:r>
      <w:r w:rsidRPr="00C87559">
        <w:rPr>
          <w:rFonts w:eastAsia="Times New Roman"/>
          <w:szCs w:val="24"/>
          <w:lang w:val="fr-CA"/>
        </w:rPr>
        <w:t xml:space="preserve">la Secrétaire exécutive [de mobiliser des ressources], [sous réserve de la disponibilité des ressources,] [et] de faciliter la présence des représentants provenant des pays en développement nommés en vertu du paragraphe 8 ci-dessus aux réunions intergouvernementales au titre </w:t>
      </w:r>
      <w:r w:rsidR="00CC3C0D">
        <w:rPr>
          <w:rFonts w:eastAsia="Times New Roman"/>
          <w:szCs w:val="24"/>
          <w:lang w:val="fr-CA"/>
        </w:rPr>
        <w:t>du Protocole de Nagoya</w:t>
      </w:r>
      <w:r w:rsidRPr="00C87559">
        <w:rPr>
          <w:rFonts w:eastAsia="Times New Roman"/>
          <w:szCs w:val="24"/>
          <w:lang w:val="fr-CA"/>
        </w:rPr>
        <w:t xml:space="preserve">, [sans préjudice du soutien offert pour la participation de leurs délégations, lorsque possible] ;] </w:t>
      </w:r>
    </w:p>
    <w:p w14:paraId="6DACD3DB"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[11.</w:t>
      </w:r>
      <w:r w:rsidRPr="00C87559">
        <w:rPr>
          <w:rFonts w:eastAsia="Times New Roman"/>
          <w:szCs w:val="24"/>
          <w:lang w:val="fr-CA"/>
        </w:rPr>
        <w:tab/>
        <w:t>[</w:t>
      </w:r>
      <w:r w:rsidRPr="00C87559">
        <w:rPr>
          <w:rFonts w:eastAsia="Times New Roman"/>
          <w:i/>
          <w:iCs/>
          <w:szCs w:val="24"/>
          <w:lang w:val="fr-CA"/>
        </w:rPr>
        <w:t xml:space="preserve">Décide </w:t>
      </w:r>
      <w:r w:rsidRPr="00C87559">
        <w:rPr>
          <w:rFonts w:eastAsia="Times New Roman"/>
          <w:szCs w:val="24"/>
          <w:lang w:val="fr-CA"/>
        </w:rPr>
        <w:t>que l’organisation des réunions devrait prévoir des pauses stratégiques plus régulières et plus hâtives pour permettre aux échanges des petits groupes/des amis du président d’aboutir à des solutions possibles, dans le but d’éviter des discussions prolongées et infructueuses lors des plénières ;]</w:t>
      </w:r>
    </w:p>
    <w:p w14:paraId="1A486668"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[12.</w:t>
      </w:r>
      <w:r w:rsidRPr="00C87559">
        <w:rPr>
          <w:rFonts w:eastAsia="Times New Roman"/>
          <w:i/>
          <w:szCs w:val="24"/>
          <w:lang w:val="fr-CA"/>
        </w:rPr>
        <w:tab/>
        <w:t>Encourage</w:t>
      </w:r>
      <w:r w:rsidRPr="00C87559">
        <w:rPr>
          <w:rFonts w:eastAsia="Times New Roman"/>
          <w:szCs w:val="24"/>
          <w:lang w:val="fr-CA"/>
        </w:rPr>
        <w:t xml:space="preserve"> les Parties et les autres gouvernements à collaborer avec les peuples autochtones, les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subsidiaires, afin d’éclairer l’élaboration de leurs positions nationales, le cas échéant et en tenant compte du contexte national ;] </w:t>
      </w:r>
    </w:p>
    <w:p w14:paraId="668D6258"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[13.</w:t>
      </w:r>
      <w:r w:rsidRPr="00C87559">
        <w:rPr>
          <w:rFonts w:eastAsia="Times New Roman"/>
          <w:i/>
          <w:szCs w:val="24"/>
          <w:lang w:val="fr-CA"/>
        </w:rPr>
        <w:tab/>
        <w:t>Demande</w:t>
      </w:r>
      <w:r w:rsidRPr="00C87559">
        <w:rPr>
          <w:rFonts w:eastAsia="Times New Roman"/>
          <w:szCs w:val="24"/>
          <w:lang w:val="fr-CA"/>
        </w:rPr>
        <w:t xml:space="preserve"> à la Secrétaire exécutive, sous la direction du Bureau :</w:t>
      </w:r>
    </w:p>
    <w:p w14:paraId="5902BD82" w14:textId="05E781A8"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a)</w:t>
      </w:r>
      <w:r w:rsidRPr="00C87559">
        <w:rPr>
          <w:rFonts w:eastAsia="Times New Roman"/>
          <w:szCs w:val="24"/>
          <w:lang w:val="fr-CA"/>
        </w:rPr>
        <w:tab/>
        <w:t xml:space="preserve">De veiller à ce que les documents de travail soient mis à disposition pour les réunions des organes subsidiaires à composition non limitée de la </w:t>
      </w:r>
      <w:r w:rsidR="00CC3C0D">
        <w:rPr>
          <w:rFonts w:eastAsia="Times New Roman"/>
          <w:szCs w:val="24"/>
          <w:lang w:val="fr-CA"/>
        </w:rPr>
        <w:t>Conférence des Parties siégeant en tant que réunion des Parties au Protocole de Nagoya</w:t>
      </w:r>
      <w:r w:rsidRPr="00C87559">
        <w:rPr>
          <w:rFonts w:eastAsia="Times New Roman"/>
          <w:szCs w:val="24"/>
          <w:lang w:val="fr-CA"/>
        </w:rPr>
        <w:t xml:space="preserve"> dans toutes langues officielles des Nations Unies, conformément à leurs règlements intérieurs ou leur mode de fonctionnement, et six semaines au moins avant l’ouverture de la réunion en question et de veiller à ce que la date de publication, y compris de toute version mise à jour, soit clairement indiquée sur le site Web de la réunion ;]</w:t>
      </w:r>
    </w:p>
    <w:p w14:paraId="592D0183" w14:textId="5F5E3C2F" w:rsidR="00C87559" w:rsidRPr="00C87559" w:rsidRDefault="00C87559" w:rsidP="00C87559">
      <w:pPr>
        <w:tabs>
          <w:tab w:val="clear" w:pos="567"/>
          <w:tab w:val="clear" w:pos="1134"/>
          <w:tab w:val="clear" w:pos="2268"/>
        </w:tabs>
        <w:ind w:left="567" w:firstLine="567"/>
        <w:rPr>
          <w:rFonts w:eastAsia="Times New Roman"/>
          <w:szCs w:val="24"/>
          <w:lang w:val="fr-CA"/>
        </w:rPr>
      </w:pPr>
      <w:r w:rsidRPr="00C87559">
        <w:rPr>
          <w:rFonts w:eastAsia="Times New Roman"/>
          <w:szCs w:val="24"/>
          <w:lang w:val="fr-CA"/>
        </w:rPr>
        <w:t>[b)</w:t>
      </w:r>
      <w:r w:rsidRPr="00C87559">
        <w:rPr>
          <w:rFonts w:eastAsia="Times New Roman"/>
          <w:szCs w:val="24"/>
          <w:lang w:val="fr-CA"/>
        </w:rPr>
        <w:tab/>
        <w:t xml:space="preserve">De respecter le règlement 35 du règlement intérieur s’appliquant aux réunions de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pour la préparation des documents de séance et des documents « L » ;]</w:t>
      </w:r>
    </w:p>
    <w:p w14:paraId="2E9FDDE6"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 xml:space="preserve">[c) </w:t>
      </w:r>
      <w:r w:rsidRPr="00C87559">
        <w:rPr>
          <w:rFonts w:eastAsia="Times New Roman"/>
          <w:szCs w:val="24"/>
          <w:lang w:val="fr-CA"/>
        </w:rPr>
        <w:tab/>
        <w:t>De définir un horaire clair pour la préparation de chaque réunion, en temps opportun ;]</w:t>
      </w:r>
    </w:p>
    <w:p w14:paraId="46109C31" w14:textId="77777777" w:rsidR="00C87559" w:rsidRPr="00C87559" w:rsidRDefault="00C87559" w:rsidP="00C87559">
      <w:pPr>
        <w:tabs>
          <w:tab w:val="clear" w:pos="567"/>
          <w:tab w:val="clear" w:pos="1134"/>
          <w:tab w:val="clear" w:pos="2268"/>
        </w:tabs>
        <w:spacing w:before="120" w:after="120"/>
        <w:ind w:left="567" w:firstLine="567"/>
        <w:rPr>
          <w:rFonts w:eastAsia="Times New Roman"/>
          <w:iCs/>
          <w:szCs w:val="24"/>
          <w:lang w:val="fr-CA"/>
        </w:rPr>
      </w:pPr>
      <w:r w:rsidRPr="00C87559">
        <w:rPr>
          <w:rFonts w:eastAsia="Times New Roman"/>
          <w:szCs w:val="24"/>
          <w:lang w:val="fr-CA"/>
        </w:rPr>
        <w:t>[d)</w:t>
      </w:r>
      <w:r w:rsidRPr="00C87559">
        <w:rPr>
          <w:rFonts w:ascii="Arial" w:eastAsia="Times New Roman" w:hAnsi="Arial"/>
          <w:i/>
          <w:lang w:val="fr-CA"/>
        </w:rPr>
        <w:tab/>
      </w:r>
      <w:r w:rsidRPr="00C87559">
        <w:rPr>
          <w:rFonts w:eastAsia="Times New Roman"/>
          <w:szCs w:val="24"/>
          <w:lang w:val="fr-CA"/>
        </w:rPr>
        <w:t>De fournir à la fin de chaque année aux correspondants nationaux un calendrier des activités et mesures prévues au cours de l’année suivante, de manière à simplifier les activités intersessions et à faciliter la gestion des flux de travail ;]</w:t>
      </w:r>
    </w:p>
    <w:p w14:paraId="0644E343"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 xml:space="preserve">[e) </w:t>
      </w:r>
      <w:r w:rsidRPr="00C87559">
        <w:rPr>
          <w:rFonts w:eastAsia="Times New Roman"/>
          <w:szCs w:val="24"/>
          <w:lang w:val="fr-CA"/>
        </w:rPr>
        <w:tab/>
        <w:t>De définir des limites de temps pour les discussions en plénière et des indications claires pour le passage à un cadre plus restreint afin que la discussion soit plus ciblée ;]</w:t>
      </w:r>
    </w:p>
    <w:p w14:paraId="1BCF448E"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lastRenderedPageBreak/>
        <w:t>[f)</w:t>
      </w:r>
      <w:r w:rsidRPr="00C87559">
        <w:rPr>
          <w:rFonts w:eastAsia="Times New Roman"/>
          <w:szCs w:val="24"/>
          <w:lang w:val="fr-CA"/>
        </w:rPr>
        <w:tab/>
        <w:t>De formaliser des règles visant à ce que ne soit pas présenté le nouveau texte, de nouvelles questions ou des suppressions, à moins qu’ils n’aient été signalés dans l’intervention ou la communication écrite initiale ;]</w:t>
      </w:r>
    </w:p>
    <w:p w14:paraId="7985AC70" w14:textId="141A6C2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[g)</w:t>
      </w:r>
      <w:r w:rsidRPr="00C87559">
        <w:rPr>
          <w:rFonts w:eastAsia="Times New Roman"/>
          <w:szCs w:val="24"/>
          <w:lang w:val="fr-CA"/>
        </w:rPr>
        <w:tab/>
        <w:t xml:space="preserve">De s’efforcer à restreindre la taille des projets de recommandation des organes subsidiaires ou des projets de décision des organes directeurs, et d’éviter le dédoublement et la redondance avec les décisions existantes, sans nuire à la capacité de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de revoir des décisions antérieures, afin de faciliter la mise en œuvre subséquente des décisions ;]</w:t>
      </w:r>
    </w:p>
    <w:p w14:paraId="18352F03"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[h)</w:t>
      </w:r>
      <w:r w:rsidRPr="00C87559">
        <w:rPr>
          <w:rFonts w:eastAsia="Times New Roman"/>
          <w:szCs w:val="24"/>
          <w:lang w:val="fr-CA"/>
        </w:rPr>
        <w:tab/>
        <w:t xml:space="preserve">De restreindre le nombre de points qui aboutissent directement à des documents de séance à ceux sur lesquels il y a peu de différends, sachant qu’il est plus efficace d’affecter les questions sur lesquelles les points de vue divergent énormément à un groupe de contact, même si ceci aboutirait vraisemblablement à la création d’un plus grand nombre de groupes de contact et, par conséquent, à un moins grand nombre de séances par groupe de contact ;] </w:t>
      </w:r>
    </w:p>
    <w:p w14:paraId="4B595656" w14:textId="77777777" w:rsidR="00C87559" w:rsidRPr="00C87559" w:rsidRDefault="00C87559" w:rsidP="00C87559">
      <w:pPr>
        <w:tabs>
          <w:tab w:val="clear" w:pos="567"/>
          <w:tab w:val="clear" w:pos="1134"/>
          <w:tab w:val="clear" w:pos="1701"/>
          <w:tab w:val="clear" w:pos="2268"/>
          <w:tab w:val="left" w:pos="1560"/>
        </w:tabs>
        <w:spacing w:before="120" w:after="120"/>
        <w:ind w:left="567" w:firstLine="567"/>
        <w:rPr>
          <w:rFonts w:eastAsia="Times New Roman"/>
          <w:szCs w:val="24"/>
          <w:lang w:val="fr-CA"/>
        </w:rPr>
      </w:pPr>
      <w:r w:rsidRPr="00C87559">
        <w:rPr>
          <w:rFonts w:eastAsia="Times New Roman"/>
          <w:szCs w:val="24"/>
          <w:lang w:val="fr-CA"/>
        </w:rPr>
        <w:t>[i)</w:t>
      </w:r>
      <w:r w:rsidRPr="00C87559">
        <w:rPr>
          <w:rFonts w:eastAsia="Times New Roman"/>
          <w:szCs w:val="24"/>
          <w:lang w:val="fr-CA"/>
        </w:rPr>
        <w:tab/>
        <w:t xml:space="preserve">De revoir la structure du site Web de la Convention afin de le rendre plus convivial.] </w:t>
      </w:r>
    </w:p>
    <w:p w14:paraId="3D520FB0" w14:textId="1B7A8649" w:rsidR="00C87559" w:rsidRPr="00C87559" w:rsidRDefault="00C87559" w:rsidP="00C87559">
      <w:pPr>
        <w:tabs>
          <w:tab w:val="clear" w:pos="567"/>
          <w:tab w:val="clear" w:pos="2268"/>
        </w:tabs>
        <w:spacing w:before="120" w:after="120"/>
        <w:ind w:left="567" w:firstLine="567"/>
        <w:rPr>
          <w:rFonts w:eastAsia="Times New Roman"/>
          <w:szCs w:val="24"/>
          <w:lang w:val="fr-CA"/>
        </w:rPr>
      </w:pPr>
      <w:r w:rsidRPr="00C87559">
        <w:rPr>
          <w:rFonts w:asciiTheme="majorBidi" w:eastAsia="Times New Roman" w:hAnsiTheme="majorBidi"/>
          <w:bCs/>
          <w:szCs w:val="24"/>
          <w:lang w:val="fr-CA"/>
        </w:rPr>
        <w:t>14.</w:t>
      </w:r>
      <w:r w:rsidRPr="00C87559">
        <w:rPr>
          <w:rFonts w:asciiTheme="majorBidi" w:eastAsia="Times New Roman" w:hAnsiTheme="majorBidi"/>
          <w:bCs/>
          <w:szCs w:val="24"/>
          <w:lang w:val="fr-CA"/>
        </w:rPr>
        <w:tab/>
      </w:r>
      <w:r w:rsidRPr="00C87559">
        <w:rPr>
          <w:rFonts w:asciiTheme="majorBidi" w:eastAsia="Times New Roman" w:hAnsiTheme="majorBidi"/>
          <w:bCs/>
          <w:i/>
          <w:iCs/>
          <w:szCs w:val="24"/>
          <w:lang w:val="fr-CA"/>
        </w:rPr>
        <w:t>Prie</w:t>
      </w:r>
      <w:r w:rsidRPr="00C87559">
        <w:rPr>
          <w:rFonts w:asciiTheme="majorBidi" w:eastAsia="Times New Roman" w:hAnsiTheme="majorBidi"/>
          <w:bCs/>
          <w:szCs w:val="24"/>
          <w:lang w:val="fr-CA"/>
        </w:rPr>
        <w:t xml:space="preserve"> le Bureau de la Conférence des Parties </w:t>
      </w:r>
      <w:r w:rsidR="00CC3C0D">
        <w:rPr>
          <w:rFonts w:asciiTheme="majorBidi" w:eastAsia="Times New Roman" w:hAnsiTheme="majorBidi"/>
          <w:bCs/>
          <w:szCs w:val="24"/>
          <w:lang w:val="fr-CA"/>
        </w:rPr>
        <w:t xml:space="preserve">siégeant en tant que réunion des Parties au Protocole de Nagoya </w:t>
      </w:r>
      <w:r w:rsidRPr="00C87559">
        <w:rPr>
          <w:rFonts w:asciiTheme="majorBidi" w:eastAsia="Times New Roman" w:hAnsiTheme="majorBidi"/>
          <w:bCs/>
          <w:szCs w:val="24"/>
          <w:lang w:val="fr-CA"/>
        </w:rPr>
        <w:t>et le Bureau de l’Organe subsidiaire chargé de fournir des avis scientifiques, techniques et technologiques de tenir compte des recommandations présentées à l’annexe I de la présente décision lorsqu’ils préparent des réunions au titre d</w:t>
      </w:r>
      <w:r w:rsidR="00CC3C0D">
        <w:rPr>
          <w:rFonts w:asciiTheme="majorBidi" w:eastAsia="Times New Roman" w:hAnsiTheme="majorBidi"/>
          <w:bCs/>
          <w:szCs w:val="24"/>
          <w:lang w:val="fr-CA"/>
        </w:rPr>
        <w:t>u Protocole</w:t>
      </w:r>
      <w:r w:rsidR="00EE54EF">
        <w:rPr>
          <w:rFonts w:asciiTheme="majorBidi" w:eastAsia="Times New Roman" w:hAnsiTheme="majorBidi"/>
          <w:bCs/>
          <w:szCs w:val="24"/>
          <w:lang w:val="fr-CA"/>
        </w:rPr>
        <w:t> </w:t>
      </w:r>
      <w:r w:rsidRPr="00C87559">
        <w:rPr>
          <w:rFonts w:asciiTheme="majorBidi" w:eastAsia="Times New Roman" w:hAnsiTheme="majorBidi"/>
          <w:bCs/>
          <w:szCs w:val="24"/>
          <w:lang w:val="fr-CA"/>
        </w:rPr>
        <w:t>;</w:t>
      </w:r>
      <w:r w:rsidRPr="00C87559">
        <w:rPr>
          <w:rFonts w:eastAsia="Times New Roman"/>
          <w:szCs w:val="24"/>
          <w:lang w:val="fr-CA"/>
        </w:rPr>
        <w:t xml:space="preserve"> </w:t>
      </w:r>
    </w:p>
    <w:p w14:paraId="1030A2BD" w14:textId="0FF3A34E"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asciiTheme="majorBidi" w:eastAsia="Times New Roman" w:hAnsiTheme="majorBidi"/>
          <w:bCs/>
          <w:szCs w:val="24"/>
          <w:lang w:val="fr-CA"/>
        </w:rPr>
        <w:t>15.</w:t>
      </w:r>
      <w:r w:rsidRPr="00C87559">
        <w:rPr>
          <w:rFonts w:asciiTheme="majorBidi" w:eastAsia="Times New Roman" w:hAnsiTheme="majorBidi"/>
          <w:bCs/>
          <w:szCs w:val="24"/>
          <w:lang w:val="fr-CA"/>
        </w:rPr>
        <w:tab/>
      </w:r>
      <w:r w:rsidRPr="00C87559">
        <w:rPr>
          <w:rFonts w:asciiTheme="majorBidi" w:eastAsia="Times New Roman" w:hAnsiTheme="majorBidi"/>
          <w:bCs/>
          <w:i/>
          <w:iCs/>
          <w:szCs w:val="24"/>
          <w:lang w:val="fr-CA"/>
        </w:rPr>
        <w:t xml:space="preserve">Prie </w:t>
      </w:r>
      <w:r w:rsidRPr="00C87559">
        <w:rPr>
          <w:rFonts w:asciiTheme="majorBidi" w:eastAsia="Times New Roman" w:hAnsiTheme="majorBidi"/>
          <w:bCs/>
          <w:szCs w:val="24"/>
          <w:lang w:val="fr-CA"/>
        </w:rPr>
        <w:t xml:space="preserve">la Secrétaire exécutive de permettre des consultations avec les Parties, les membres du Bureau, les partenaires et les parties prenantes, avec le soutien d’experts de l’extérieur dans ce domaine, au besoin, afin de continuer à mettre au point des options qui permettront d’améliorer davantage l’efficacité des réunions au titre </w:t>
      </w:r>
      <w:r w:rsidR="00CC3C0D">
        <w:rPr>
          <w:rFonts w:asciiTheme="majorBidi" w:eastAsia="Times New Roman" w:hAnsiTheme="majorBidi"/>
          <w:bCs/>
          <w:szCs w:val="24"/>
          <w:lang w:val="fr-CA"/>
        </w:rPr>
        <w:t>du Protocole de Nagoya</w:t>
      </w:r>
      <w:r w:rsidRPr="00C87559">
        <w:rPr>
          <w:rFonts w:asciiTheme="majorBidi" w:eastAsia="Times New Roman" w:hAnsiTheme="majorBidi"/>
          <w:bCs/>
          <w:szCs w:val="24"/>
          <w:lang w:val="fr-CA"/>
        </w:rPr>
        <w:t xml:space="preserve">, et de transmettre ces propositions à des fins d’examen par l’Organe subsidiaire chargé de l’application lors de sa sixième réunion, dans l’objectif d’élaborer un projet de décision pour examen par la Conférence des Parties </w:t>
      </w:r>
      <w:r w:rsidR="00CC3C0D">
        <w:rPr>
          <w:rFonts w:asciiTheme="majorBidi" w:eastAsia="Times New Roman" w:hAnsiTheme="majorBidi"/>
          <w:bCs/>
          <w:szCs w:val="24"/>
          <w:lang w:val="fr-CA"/>
        </w:rPr>
        <w:t xml:space="preserve">siégeant en tant que réunion des Parties au Protocole </w:t>
      </w:r>
      <w:r w:rsidRPr="00C87559">
        <w:rPr>
          <w:rFonts w:asciiTheme="majorBidi" w:eastAsia="Times New Roman" w:hAnsiTheme="majorBidi"/>
          <w:bCs/>
          <w:szCs w:val="24"/>
          <w:lang w:val="fr-CA"/>
        </w:rPr>
        <w:t xml:space="preserve">à sa </w:t>
      </w:r>
      <w:r w:rsidR="00CC3C0D">
        <w:rPr>
          <w:rFonts w:asciiTheme="majorBidi" w:eastAsia="Times New Roman" w:hAnsiTheme="majorBidi"/>
          <w:bCs/>
          <w:szCs w:val="24"/>
          <w:lang w:val="fr-CA"/>
        </w:rPr>
        <w:t>sixième</w:t>
      </w:r>
      <w:r w:rsidRPr="00C87559">
        <w:rPr>
          <w:rFonts w:asciiTheme="majorBidi" w:eastAsia="Times New Roman" w:hAnsiTheme="majorBidi"/>
          <w:bCs/>
          <w:szCs w:val="24"/>
          <w:lang w:val="fr-CA"/>
        </w:rPr>
        <w:t xml:space="preserve"> réunion, en tenant compte de la compilation des communications présentée à l’annexe II de la présente décision.</w:t>
      </w:r>
    </w:p>
    <w:p w14:paraId="34DFF14C" w14:textId="77777777" w:rsidR="00C87559" w:rsidRPr="00C87559" w:rsidRDefault="00C87559" w:rsidP="00C87559">
      <w:pPr>
        <w:tabs>
          <w:tab w:val="clear" w:pos="567"/>
          <w:tab w:val="clear" w:pos="1134"/>
          <w:tab w:val="clear" w:pos="2268"/>
        </w:tabs>
        <w:spacing w:before="120" w:after="120"/>
        <w:ind w:left="567"/>
        <w:jc w:val="left"/>
        <w:rPr>
          <w:rFonts w:eastAsia="Times New Roman"/>
          <w:b/>
          <w:bCs/>
          <w:szCs w:val="24"/>
          <w:lang w:val="fr-CA"/>
        </w:rPr>
      </w:pPr>
      <w:r w:rsidRPr="00C87559">
        <w:rPr>
          <w:rFonts w:eastAsia="Times New Roman"/>
          <w:b/>
          <w:bCs/>
          <w:szCs w:val="24"/>
          <w:lang w:val="fr-CA"/>
        </w:rPr>
        <w:t>Annexe I</w:t>
      </w:r>
      <w:r w:rsidRPr="00C87559">
        <w:rPr>
          <w:rFonts w:eastAsia="Times New Roman"/>
          <w:b/>
          <w:bCs/>
          <w:szCs w:val="24"/>
          <w:vertAlign w:val="superscript"/>
        </w:rPr>
        <w:footnoteReference w:id="45"/>
      </w:r>
      <w:r w:rsidRPr="00C87559">
        <w:rPr>
          <w:rFonts w:eastAsia="Times New Roman"/>
          <w:b/>
          <w:bCs/>
          <w:szCs w:val="24"/>
          <w:lang w:val="fr-CA"/>
        </w:rPr>
        <w:t xml:space="preserve"> </w:t>
      </w:r>
      <w:r w:rsidRPr="00C87559">
        <w:rPr>
          <w:rFonts w:eastAsia="Times New Roman"/>
          <w:b/>
          <w:bCs/>
          <w:szCs w:val="24"/>
          <w:lang w:val="fr-CA"/>
        </w:rPr>
        <w:br/>
        <w:t>Recommandations au Bureau en ce qui a trait à la préparation des réunions</w:t>
      </w:r>
    </w:p>
    <w:p w14:paraId="0E38B2C6" w14:textId="32F1CA68" w:rsidR="00C87559" w:rsidRPr="00C87559" w:rsidRDefault="00C87559" w:rsidP="00C87559">
      <w:pPr>
        <w:tabs>
          <w:tab w:val="clear" w:pos="567"/>
          <w:tab w:val="clear" w:pos="1701"/>
          <w:tab w:val="clear" w:pos="2268"/>
        </w:tabs>
        <w:spacing w:before="120"/>
        <w:ind w:left="567"/>
        <w:rPr>
          <w:rFonts w:eastAsia="Times New Roman"/>
          <w:szCs w:val="24"/>
          <w:lang w:val="fr-CA"/>
        </w:rPr>
      </w:pPr>
      <w:r w:rsidRPr="00C87559">
        <w:rPr>
          <w:rFonts w:eastAsia="Times New Roman"/>
          <w:szCs w:val="24"/>
          <w:lang w:val="fr-CA"/>
        </w:rPr>
        <w:t>[1.</w:t>
      </w:r>
      <w:r w:rsidRPr="00C87559">
        <w:rPr>
          <w:rFonts w:eastAsia="Times New Roman"/>
          <w:szCs w:val="24"/>
          <w:lang w:val="fr-CA"/>
        </w:rPr>
        <w:tab/>
        <w:t xml:space="preserve">Commander toute étude demandée par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afin d’appuyer les discussions et les recommandations.</w:t>
      </w:r>
    </w:p>
    <w:p w14:paraId="302F1851" w14:textId="77777777" w:rsidR="00C87559" w:rsidRPr="00C87559" w:rsidRDefault="00C87559" w:rsidP="00C87559">
      <w:pPr>
        <w:tabs>
          <w:tab w:val="clear" w:pos="567"/>
          <w:tab w:val="clear" w:pos="1701"/>
          <w:tab w:val="clear" w:pos="2268"/>
        </w:tabs>
        <w:spacing w:before="120"/>
        <w:ind w:left="567"/>
        <w:rPr>
          <w:rFonts w:eastAsia="Times New Roman"/>
          <w:szCs w:val="24"/>
          <w:lang w:val="fr-CA"/>
        </w:rPr>
      </w:pPr>
      <w:r w:rsidRPr="00C87559">
        <w:rPr>
          <w:rFonts w:eastAsia="Times New Roman"/>
          <w:szCs w:val="24"/>
          <w:lang w:val="fr-CA"/>
        </w:rPr>
        <w:t>2.</w:t>
      </w:r>
      <w:r w:rsidRPr="00C87559">
        <w:rPr>
          <w:rFonts w:eastAsia="Times New Roman"/>
          <w:szCs w:val="24"/>
          <w:lang w:val="fr-CA"/>
        </w:rPr>
        <w:tab/>
        <w:t>Mettre les études à disposition à des fins d’examen par les pairs.</w:t>
      </w:r>
    </w:p>
    <w:p w14:paraId="19C4B2B8" w14:textId="77777777" w:rsidR="00C87559" w:rsidRPr="00C87559" w:rsidRDefault="00C87559" w:rsidP="00C87559">
      <w:pPr>
        <w:tabs>
          <w:tab w:val="clear" w:pos="567"/>
          <w:tab w:val="clear" w:pos="1701"/>
          <w:tab w:val="clear" w:pos="2268"/>
        </w:tabs>
        <w:spacing w:before="120"/>
        <w:ind w:left="567"/>
        <w:rPr>
          <w:rFonts w:eastAsia="Times New Roman"/>
          <w:szCs w:val="24"/>
          <w:lang w:val="fr-CA"/>
        </w:rPr>
      </w:pPr>
      <w:r w:rsidRPr="00C87559">
        <w:rPr>
          <w:rFonts w:eastAsia="Times New Roman"/>
          <w:szCs w:val="24"/>
          <w:lang w:val="fr-CA"/>
        </w:rPr>
        <w:t>3.</w:t>
      </w:r>
      <w:r w:rsidRPr="00C87559">
        <w:rPr>
          <w:rFonts w:eastAsia="Times New Roman"/>
          <w:szCs w:val="24"/>
          <w:lang w:val="fr-CA"/>
        </w:rPr>
        <w:tab/>
        <w:t>Publier une note de scénario pour la réunion en question.</w:t>
      </w:r>
    </w:p>
    <w:p w14:paraId="2A0907C6" w14:textId="77777777" w:rsidR="00C87559" w:rsidRPr="00C87559" w:rsidRDefault="00C87559" w:rsidP="00C87559">
      <w:pPr>
        <w:tabs>
          <w:tab w:val="clear" w:pos="567"/>
          <w:tab w:val="clear" w:pos="1701"/>
          <w:tab w:val="clear" w:pos="2268"/>
        </w:tabs>
        <w:spacing w:before="120"/>
        <w:ind w:left="567"/>
        <w:rPr>
          <w:rFonts w:eastAsia="Times New Roman"/>
          <w:szCs w:val="24"/>
          <w:lang w:val="fr-CA"/>
        </w:rPr>
      </w:pPr>
      <w:r w:rsidRPr="00C87559">
        <w:rPr>
          <w:rFonts w:eastAsia="Times New Roman"/>
          <w:szCs w:val="24"/>
          <w:lang w:val="fr-CA"/>
        </w:rPr>
        <w:t>4.</w:t>
      </w:r>
      <w:r w:rsidRPr="00C87559">
        <w:rPr>
          <w:rFonts w:eastAsia="Times New Roman"/>
          <w:szCs w:val="24"/>
          <w:lang w:val="fr-CA"/>
        </w:rPr>
        <w:tab/>
        <w:t>Choisir des moments stratégiques pour les réunions du Bureau afin d’orienter le processus.</w:t>
      </w:r>
    </w:p>
    <w:p w14:paraId="377C02FC" w14:textId="77777777" w:rsidR="00C87559" w:rsidRPr="00C87559" w:rsidRDefault="00C87559" w:rsidP="00C87559">
      <w:pPr>
        <w:tabs>
          <w:tab w:val="clear" w:pos="567"/>
          <w:tab w:val="clear" w:pos="1701"/>
          <w:tab w:val="clear" w:pos="2268"/>
        </w:tabs>
        <w:spacing w:before="120"/>
        <w:ind w:left="567"/>
        <w:rPr>
          <w:rFonts w:eastAsia="Times New Roman"/>
          <w:szCs w:val="24"/>
          <w:lang w:val="fr-CA"/>
        </w:rPr>
      </w:pPr>
      <w:r w:rsidRPr="00C87559">
        <w:rPr>
          <w:rFonts w:eastAsia="Times New Roman"/>
          <w:szCs w:val="24"/>
          <w:lang w:val="fr-CA"/>
        </w:rPr>
        <w:t>5.</w:t>
      </w:r>
      <w:r w:rsidRPr="00C87559">
        <w:rPr>
          <w:rFonts w:eastAsia="Times New Roman"/>
          <w:szCs w:val="24"/>
          <w:lang w:val="fr-CA"/>
        </w:rPr>
        <w:tab/>
        <w:t xml:space="preserve">Simplifier la publication de notifications relatives à la réunion. </w:t>
      </w:r>
    </w:p>
    <w:p w14:paraId="2B8B3F09" w14:textId="5E57F10C"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6.</w:t>
      </w:r>
      <w:r w:rsidRPr="00C87559">
        <w:rPr>
          <w:rFonts w:eastAsia="Times New Roman"/>
          <w:szCs w:val="24"/>
          <w:lang w:val="fr-CA"/>
        </w:rPr>
        <w:tab/>
        <w:t xml:space="preserve">Ne procéder à aucune première lecture lors des réunions de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lorsque le point a déjà été abordé par l’Organe subsidiaire chargé de l’application ou par l’Organe subsidiaire chargé de fournir des avis scientifiques, techniques et technologiques.]</w:t>
      </w:r>
    </w:p>
    <w:p w14:paraId="17FE0CAC" w14:textId="43D8CF95" w:rsidR="00C87559" w:rsidRPr="00C87559" w:rsidRDefault="00C87559" w:rsidP="00C87559">
      <w:pPr>
        <w:tabs>
          <w:tab w:val="clear" w:pos="567"/>
          <w:tab w:val="clear" w:pos="1134"/>
          <w:tab w:val="clear" w:pos="2268"/>
        </w:tabs>
        <w:spacing w:before="120" w:after="120"/>
        <w:ind w:left="567"/>
        <w:jc w:val="left"/>
        <w:rPr>
          <w:rFonts w:eastAsia="Times New Roman"/>
          <w:b/>
          <w:bCs/>
          <w:szCs w:val="24"/>
          <w:lang w:val="fr-CA"/>
        </w:rPr>
      </w:pPr>
      <w:r w:rsidRPr="00C87559">
        <w:rPr>
          <w:rFonts w:eastAsia="Times New Roman"/>
          <w:b/>
          <w:bCs/>
          <w:szCs w:val="24"/>
          <w:lang w:val="fr-CA"/>
        </w:rPr>
        <w:t>Annexe II</w:t>
      </w:r>
      <w:r w:rsidR="00CC3C0D">
        <w:rPr>
          <w:rFonts w:eastAsia="Times New Roman"/>
          <w:b/>
          <w:bCs/>
          <w:sz w:val="18"/>
          <w:szCs w:val="24"/>
          <w:vertAlign w:val="superscript"/>
          <w:lang w:val="fr-CA"/>
        </w:rPr>
        <w:t>42</w:t>
      </w:r>
      <w:r w:rsidRPr="00C87559">
        <w:rPr>
          <w:rFonts w:eastAsia="Times New Roman"/>
          <w:b/>
          <w:bCs/>
          <w:szCs w:val="24"/>
          <w:lang w:val="fr-CA"/>
        </w:rPr>
        <w:t xml:space="preserve"> </w:t>
      </w:r>
      <w:r w:rsidRPr="00C87559">
        <w:rPr>
          <w:rFonts w:eastAsia="Times New Roman"/>
          <w:b/>
          <w:bCs/>
          <w:szCs w:val="24"/>
          <w:lang w:val="fr-CA"/>
        </w:rPr>
        <w:br/>
        <w:t>Compilation des communications reçues pendant la quatrième réunion de l’Organe subsidiaire chargé de l’application, à des fins d’examen plus approfondi</w:t>
      </w:r>
    </w:p>
    <w:p w14:paraId="0838D224" w14:textId="77777777"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[1.</w:t>
      </w:r>
      <w:r w:rsidRPr="00C87559">
        <w:rPr>
          <w:rFonts w:eastAsia="Times New Roman"/>
          <w:szCs w:val="24"/>
          <w:lang w:val="fr-CA"/>
        </w:rPr>
        <w:tab/>
        <w:t>Présentation hâtive des déclarations et première lecture des documents de réunion en contexte de plénière virtuelle, afin de parvenir à l’utilisation la plus efficace possible du temps pendant les réunions.</w:t>
      </w:r>
    </w:p>
    <w:p w14:paraId="06E276A3" w14:textId="77777777"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lastRenderedPageBreak/>
        <w:t>2.</w:t>
      </w:r>
      <w:r w:rsidRPr="00C87559">
        <w:rPr>
          <w:rFonts w:eastAsia="Times New Roman"/>
          <w:i/>
          <w:iCs/>
          <w:szCs w:val="24"/>
          <w:lang w:val="fr-CA"/>
        </w:rPr>
        <w:tab/>
      </w:r>
      <w:r w:rsidRPr="00C87559">
        <w:rPr>
          <w:rFonts w:eastAsia="Times New Roman"/>
          <w:szCs w:val="24"/>
          <w:lang w:val="fr-CA"/>
        </w:rPr>
        <w:t>Inviter</w:t>
      </w:r>
      <w:r w:rsidRPr="00C87559">
        <w:rPr>
          <w:rFonts w:eastAsia="Times New Roman"/>
          <w:i/>
          <w:iCs/>
          <w:szCs w:val="24"/>
          <w:lang w:val="fr-CA"/>
        </w:rPr>
        <w:t xml:space="preserve"> </w:t>
      </w:r>
      <w:r w:rsidRPr="00C87559">
        <w:rPr>
          <w:rFonts w:eastAsia="Times New Roman"/>
          <w:szCs w:val="24"/>
          <w:lang w:val="fr-CA"/>
        </w:rPr>
        <w:t>chacun des groupes majeurs de parties prenantes et les organisations ayant le statut d’observateur à envisager de partager leurs points de vue et leurs propositions relatifs aux points de l’ordre du jour qui les concernent, notamment en les téléversant hâtivement, et encourager les Parties à étudier les points de vue et les propositions des observateurs, avant la réunion en question, et, si cela s’avère nécessaire, à collaborer avec les observateurs en question afin d’élaborer une meilleure compréhension des points de vue et des propositions.</w:t>
      </w:r>
    </w:p>
    <w:p w14:paraId="38EE1099" w14:textId="77777777" w:rsidR="00C87559" w:rsidRPr="00C87559" w:rsidRDefault="00C87559" w:rsidP="00C87559">
      <w:pPr>
        <w:tabs>
          <w:tab w:val="clear" w:pos="567"/>
          <w:tab w:val="clear" w:pos="1701"/>
          <w:tab w:val="clear" w:pos="2268"/>
          <w:tab w:val="left" w:pos="1985"/>
        </w:tabs>
        <w:spacing w:before="120" w:after="120"/>
        <w:ind w:left="567"/>
        <w:rPr>
          <w:rFonts w:eastAsia="Times New Roman"/>
          <w:szCs w:val="24"/>
          <w:lang w:val="fr-CA"/>
        </w:rPr>
      </w:pPr>
      <w:r w:rsidRPr="00C87559">
        <w:rPr>
          <w:rFonts w:eastAsia="Times New Roman"/>
          <w:szCs w:val="24"/>
          <w:lang w:val="fr-CA"/>
        </w:rPr>
        <w:t xml:space="preserve">3. </w:t>
      </w:r>
      <w:r w:rsidRPr="00C87559">
        <w:rPr>
          <w:rFonts w:eastAsia="Times New Roman"/>
          <w:szCs w:val="24"/>
          <w:lang w:val="fr-CA"/>
        </w:rPr>
        <w:tab/>
        <w:t xml:space="preserve">Organiser, sous réserve de la disponibilité des ressources, des webinaires d’information avec les groupes majeurs, qui comprendront une interprétation dans les langues de l’ONU, et une connexion Internet améliorée grâce à un accès via des bureaux du gouvernement ou d’autres bureaux au besoin, afin de faciliter l’échange des points de vue et de parvenir à un consensus au sujet des points concernés de l’ordre du jour, en particulier pour les peuples autochtones et les communautés locales. </w:t>
      </w:r>
    </w:p>
    <w:p w14:paraId="1FFF9F11" w14:textId="77777777"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4.</w:t>
      </w:r>
      <w:r w:rsidRPr="00C87559">
        <w:rPr>
          <w:rFonts w:eastAsia="Times New Roman"/>
          <w:szCs w:val="24"/>
          <w:lang w:val="fr-CA"/>
        </w:rPr>
        <w:tab/>
        <w:t>Définir, en collaboration avec les Bureaux, des orientations pour le fonctionnement des séances plénières, des réunions des groupes de contact et des réunions des amis du président afin d’assurer la cohérence de l’approche, y compris :</w:t>
      </w:r>
    </w:p>
    <w:p w14:paraId="2C860EB7" w14:textId="7B6683E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i)</w:t>
      </w:r>
      <w:r w:rsidRPr="00C87559">
        <w:rPr>
          <w:rFonts w:eastAsia="Times New Roman"/>
          <w:szCs w:val="24"/>
          <w:lang w:val="fr-CA"/>
        </w:rPr>
        <w:tab/>
        <w:t>Les modalités d’intervention</w:t>
      </w:r>
      <w:r w:rsidR="00EE54EF">
        <w:rPr>
          <w:rFonts w:eastAsia="Times New Roman"/>
          <w:szCs w:val="24"/>
          <w:lang w:val="fr-CA"/>
        </w:rPr>
        <w:t> </w:t>
      </w:r>
      <w:r w:rsidRPr="00C87559">
        <w:rPr>
          <w:rFonts w:eastAsia="Times New Roman"/>
          <w:szCs w:val="24"/>
          <w:lang w:val="fr-CA"/>
        </w:rPr>
        <w:t>;</w:t>
      </w:r>
    </w:p>
    <w:p w14:paraId="2DEF5D85" w14:textId="5BC0BB1C"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ii)</w:t>
      </w:r>
      <w:r w:rsidRPr="00C87559">
        <w:rPr>
          <w:rFonts w:eastAsia="Times New Roman"/>
          <w:szCs w:val="24"/>
          <w:lang w:val="fr-CA"/>
        </w:rPr>
        <w:tab/>
        <w:t>La façon de gérer les nouvelles propositions écrites à différentes étapes du processus</w:t>
      </w:r>
      <w:r w:rsidR="00EE54EF">
        <w:rPr>
          <w:rFonts w:eastAsia="Times New Roman"/>
          <w:szCs w:val="24"/>
          <w:lang w:val="fr-CA"/>
        </w:rPr>
        <w:t> </w:t>
      </w:r>
      <w:r w:rsidRPr="00C87559">
        <w:rPr>
          <w:rFonts w:eastAsia="Times New Roman"/>
          <w:szCs w:val="24"/>
          <w:lang w:val="fr-CA"/>
        </w:rPr>
        <w:t>;</w:t>
      </w:r>
    </w:p>
    <w:p w14:paraId="52E38564"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iii)</w:t>
      </w:r>
      <w:r w:rsidRPr="00C87559">
        <w:rPr>
          <w:rFonts w:eastAsia="Times New Roman"/>
          <w:szCs w:val="24"/>
          <w:lang w:val="fr-CA"/>
        </w:rPr>
        <w:tab/>
        <w:t xml:space="preserve">La façon d’assurer le fonctionnement de caucus conformément aux codes de conduite et de pratiques pertinents des Nations Unies. </w:t>
      </w:r>
    </w:p>
    <w:p w14:paraId="7D813181" w14:textId="55B5623B" w:rsidR="00C87559" w:rsidRPr="00C87559" w:rsidRDefault="00C87559" w:rsidP="00C87559">
      <w:pPr>
        <w:tabs>
          <w:tab w:val="clear" w:pos="567"/>
          <w:tab w:val="clear" w:pos="1701"/>
          <w:tab w:val="clear" w:pos="2268"/>
        </w:tabs>
        <w:spacing w:before="120" w:after="120"/>
        <w:ind w:left="567"/>
        <w:rPr>
          <w:rFonts w:eastAsia="Times New Roman"/>
          <w:szCs w:val="24"/>
          <w:lang w:val="fr-CA"/>
        </w:rPr>
      </w:pPr>
      <w:r w:rsidRPr="00C87559">
        <w:rPr>
          <w:rFonts w:eastAsia="Times New Roman"/>
          <w:szCs w:val="24"/>
          <w:lang w:val="fr-CA"/>
        </w:rPr>
        <w:t>5.</w:t>
      </w:r>
      <w:r w:rsidRPr="00C87559">
        <w:rPr>
          <w:rFonts w:eastAsia="Times New Roman"/>
          <w:szCs w:val="24"/>
          <w:lang w:val="fr-CA"/>
        </w:rPr>
        <w:tab/>
        <w:t>Continuer d’étudier la disponibilité et la fiabilité de toute méthode ou technologie qui pourrait être utilisée pour accélérer la prise de décisions</w:t>
      </w:r>
      <w:r w:rsidR="00EE54EF">
        <w:rPr>
          <w:rFonts w:eastAsia="Times New Roman"/>
          <w:szCs w:val="24"/>
          <w:lang w:val="fr-CA"/>
        </w:rPr>
        <w:t> </w:t>
      </w:r>
      <w:r w:rsidRPr="00C87559">
        <w:rPr>
          <w:rFonts w:eastAsia="Times New Roman"/>
          <w:szCs w:val="24"/>
          <w:lang w:val="fr-CA"/>
        </w:rPr>
        <w:t xml:space="preserve">; et rendre compte des résultats de cette étude à l’Organe subsidiaire chargé de l’application, pour qu’il les examine et soumette une recommandation à la Conférence des Parties </w:t>
      </w:r>
      <w:r w:rsidR="00CC3C0D">
        <w:rPr>
          <w:rFonts w:eastAsia="Times New Roman"/>
          <w:szCs w:val="24"/>
          <w:lang w:val="fr-CA"/>
        </w:rPr>
        <w:t xml:space="preserve">siégeant en tant que réunion des Parties au Protocole de Nagoya </w:t>
      </w:r>
      <w:r w:rsidRPr="00C87559">
        <w:rPr>
          <w:rFonts w:eastAsia="Times New Roman"/>
          <w:szCs w:val="24"/>
          <w:lang w:val="fr-CA"/>
        </w:rPr>
        <w:t xml:space="preserve">lors de sa </w:t>
      </w:r>
      <w:r w:rsidR="00CC3C0D">
        <w:rPr>
          <w:rFonts w:eastAsia="Times New Roman"/>
          <w:szCs w:val="24"/>
          <w:lang w:val="fr-CA"/>
        </w:rPr>
        <w:t>sixième</w:t>
      </w:r>
      <w:r w:rsidRPr="00C87559">
        <w:rPr>
          <w:rFonts w:eastAsia="Times New Roman"/>
          <w:szCs w:val="24"/>
          <w:lang w:val="fr-CA"/>
        </w:rPr>
        <w:t xml:space="preserve"> réunion.</w:t>
      </w:r>
    </w:p>
    <w:p w14:paraId="3C31218C" w14:textId="7BA45FE2" w:rsidR="00C87559" w:rsidRPr="00C87559" w:rsidRDefault="00CC3C0D" w:rsidP="00C87559">
      <w:pPr>
        <w:tabs>
          <w:tab w:val="clear" w:pos="567"/>
          <w:tab w:val="clear" w:pos="1701"/>
          <w:tab w:val="clear" w:pos="2268"/>
        </w:tabs>
        <w:spacing w:before="120" w:after="120"/>
        <w:ind w:left="567"/>
        <w:rPr>
          <w:rFonts w:eastAsia="Times New Roman"/>
          <w:szCs w:val="24"/>
          <w:lang w:val="fr-CA"/>
        </w:rPr>
      </w:pPr>
      <w:r>
        <w:rPr>
          <w:rFonts w:eastAsia="Times New Roman"/>
          <w:szCs w:val="24"/>
          <w:lang w:val="fr-CA"/>
        </w:rPr>
        <w:t>6</w:t>
      </w:r>
      <w:r w:rsidR="00C87559" w:rsidRPr="00C87559">
        <w:rPr>
          <w:rFonts w:eastAsia="Times New Roman"/>
          <w:szCs w:val="24"/>
          <w:lang w:val="fr-CA"/>
        </w:rPr>
        <w:t>.</w:t>
      </w:r>
      <w:r w:rsidR="00C87559" w:rsidRPr="00C87559">
        <w:rPr>
          <w:rFonts w:eastAsia="Times New Roman"/>
          <w:szCs w:val="24"/>
          <w:lang w:val="fr-CA"/>
        </w:rPr>
        <w:tab/>
        <w:t>Tenir à jour le site Web, ainsi que l’application, afin d’améliorer l’accès aux outils et aux orientations disponibles et de renforcer la gestion des connaissances en intégrant les dernières avancées liées aux outils et aux technologies en train d’être mis en place ou examinés.</w:t>
      </w:r>
    </w:p>
    <w:p w14:paraId="43E0D36C" w14:textId="3E5629BE" w:rsidR="00C87559" w:rsidRPr="00C87559" w:rsidRDefault="00CC3C0D" w:rsidP="00C87559">
      <w:pPr>
        <w:tabs>
          <w:tab w:val="clear" w:pos="567"/>
          <w:tab w:val="clear" w:pos="2268"/>
        </w:tabs>
        <w:spacing w:before="120" w:after="120"/>
        <w:ind w:left="567"/>
        <w:rPr>
          <w:rFonts w:eastAsia="Times New Roman"/>
          <w:szCs w:val="24"/>
          <w:lang w:val="fr-CA"/>
        </w:rPr>
      </w:pPr>
      <w:r>
        <w:rPr>
          <w:rFonts w:eastAsia="Times New Roman"/>
          <w:szCs w:val="24"/>
          <w:lang w:val="fr-CA"/>
        </w:rPr>
        <w:t>7</w:t>
      </w:r>
      <w:r w:rsidR="00C87559" w:rsidRPr="00C87559">
        <w:rPr>
          <w:rFonts w:eastAsia="Times New Roman"/>
          <w:szCs w:val="24"/>
          <w:lang w:val="fr-CA"/>
        </w:rPr>
        <w:t>.</w:t>
      </w:r>
      <w:r w:rsidR="00C87559" w:rsidRPr="00C87559">
        <w:rPr>
          <w:rFonts w:eastAsia="Times New Roman"/>
          <w:szCs w:val="24"/>
          <w:lang w:val="fr-CA"/>
        </w:rPr>
        <w:tab/>
        <w:t>Procéder aux premières lectures en ligne seulement avant la réunion, de manière à ce que les réunions commencent avec un projet de document de séance ou un document officieux pour le groupe de contact.</w:t>
      </w:r>
    </w:p>
    <w:p w14:paraId="231BAEBA" w14:textId="3FBDF12A" w:rsidR="00C87559" w:rsidRPr="00C87559" w:rsidRDefault="00CC3C0D" w:rsidP="00C87559">
      <w:pPr>
        <w:tabs>
          <w:tab w:val="clear" w:pos="567"/>
          <w:tab w:val="clear" w:pos="2268"/>
        </w:tabs>
        <w:spacing w:before="120" w:after="120"/>
        <w:ind w:left="567"/>
        <w:rPr>
          <w:rFonts w:eastAsia="Times New Roman"/>
          <w:szCs w:val="24"/>
          <w:lang w:val="fr-CA"/>
        </w:rPr>
      </w:pPr>
      <w:r>
        <w:rPr>
          <w:rFonts w:eastAsia="Times New Roman"/>
          <w:szCs w:val="24"/>
          <w:lang w:val="fr-CA"/>
        </w:rPr>
        <w:t>8</w:t>
      </w:r>
      <w:r w:rsidR="00C87559" w:rsidRPr="00C87559">
        <w:rPr>
          <w:rFonts w:eastAsia="Times New Roman"/>
          <w:szCs w:val="24"/>
          <w:lang w:val="fr-CA"/>
        </w:rPr>
        <w:t>.</w:t>
      </w:r>
      <w:r w:rsidR="00C87559" w:rsidRPr="00C87559">
        <w:rPr>
          <w:rFonts w:eastAsia="Times New Roman"/>
          <w:szCs w:val="24"/>
          <w:lang w:val="fr-CA"/>
        </w:rPr>
        <w:tab/>
        <w:t>Système en ligne pour des suggestions rapides de texte plutôt que la lecture du texte à voix haute.</w:t>
      </w:r>
    </w:p>
    <w:p w14:paraId="780ADCE6" w14:textId="0B3F736A" w:rsidR="00C87559" w:rsidRPr="00C87559" w:rsidRDefault="00CC3C0D" w:rsidP="00C87559">
      <w:pPr>
        <w:tabs>
          <w:tab w:val="clear" w:pos="567"/>
          <w:tab w:val="clear" w:pos="2268"/>
        </w:tabs>
        <w:spacing w:before="120" w:after="120"/>
        <w:ind w:left="567"/>
        <w:rPr>
          <w:rFonts w:eastAsia="Times New Roman"/>
          <w:szCs w:val="24"/>
          <w:lang w:val="fr-CA"/>
        </w:rPr>
      </w:pPr>
      <w:r>
        <w:rPr>
          <w:rFonts w:eastAsia="Times New Roman"/>
          <w:szCs w:val="24"/>
          <w:lang w:val="fr-CA"/>
        </w:rPr>
        <w:t>9</w:t>
      </w:r>
      <w:r w:rsidR="00C87559" w:rsidRPr="00C87559">
        <w:rPr>
          <w:rFonts w:eastAsia="Times New Roman"/>
          <w:szCs w:val="24"/>
          <w:lang w:val="fr-CA"/>
        </w:rPr>
        <w:t>.</w:t>
      </w:r>
      <w:r w:rsidR="00C87559" w:rsidRPr="00C87559">
        <w:rPr>
          <w:rFonts w:eastAsia="Times New Roman"/>
          <w:szCs w:val="24"/>
          <w:lang w:val="fr-CA"/>
        </w:rPr>
        <w:tab/>
        <w:t>Utilisation d’un outil de collaboration textuelle en ligne (p. ex. : Google Docs ou autre outil) pour travailler collectivement, pendant la plénière, sur les problèmes et solutions liés aux textes. Cette option pourrait d’abord nécessiter une certaine formation pour les délégués.</w:t>
      </w:r>
    </w:p>
    <w:p w14:paraId="53C960C2" w14:textId="7CC6481D" w:rsidR="00C87559" w:rsidRPr="00C87559" w:rsidRDefault="00CC3C0D" w:rsidP="00C87559">
      <w:pPr>
        <w:tabs>
          <w:tab w:val="clear" w:pos="567"/>
          <w:tab w:val="clear" w:pos="2268"/>
        </w:tabs>
        <w:spacing w:before="120" w:after="120"/>
        <w:ind w:left="567"/>
        <w:rPr>
          <w:rFonts w:eastAsia="Times New Roman"/>
          <w:szCs w:val="24"/>
          <w:lang w:val="fr-CA"/>
        </w:rPr>
      </w:pPr>
      <w:r>
        <w:rPr>
          <w:rFonts w:eastAsia="Times New Roman"/>
          <w:szCs w:val="24"/>
          <w:lang w:val="fr-CA"/>
        </w:rPr>
        <w:t>10</w:t>
      </w:r>
      <w:r w:rsidR="00C87559" w:rsidRPr="00C87559">
        <w:rPr>
          <w:rFonts w:eastAsia="Times New Roman"/>
          <w:szCs w:val="24"/>
          <w:lang w:val="fr-CA"/>
        </w:rPr>
        <w:t>.</w:t>
      </w:r>
      <w:r w:rsidR="00C87559" w:rsidRPr="00C87559">
        <w:rPr>
          <w:rFonts w:eastAsia="Times New Roman"/>
          <w:szCs w:val="24"/>
          <w:lang w:val="fr-CA"/>
        </w:rPr>
        <w:tab/>
        <w:t xml:space="preserve">Faire des essais en n’ayant pas de projets de propositions de décisions fournis par le Secrétariat, mais en permettant plutôt aux Parties de rédiger le texte des décisions. </w:t>
      </w:r>
    </w:p>
    <w:p w14:paraId="6F91E065" w14:textId="15C44B57"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1</w:t>
      </w:r>
      <w:r w:rsidR="00CC3C0D">
        <w:rPr>
          <w:rFonts w:eastAsia="Times New Roman"/>
          <w:szCs w:val="24"/>
          <w:lang w:val="fr-CA"/>
        </w:rPr>
        <w:t>1</w:t>
      </w:r>
      <w:r w:rsidRPr="00C87559">
        <w:rPr>
          <w:rFonts w:eastAsia="Times New Roman"/>
          <w:szCs w:val="24"/>
          <w:lang w:val="fr-CA"/>
        </w:rPr>
        <w:t>.</w:t>
      </w:r>
      <w:r w:rsidRPr="00C87559">
        <w:rPr>
          <w:rFonts w:eastAsia="Times New Roman"/>
          <w:szCs w:val="24"/>
          <w:lang w:val="fr-CA"/>
        </w:rPr>
        <w:tab/>
        <w:t>Réfléchir à des façons d’améliorer la gestion de l’ordre du jour, notamment en combinant des points à l’ordre du jour lorsqu’il y a des chevauchements.</w:t>
      </w:r>
    </w:p>
    <w:p w14:paraId="4A5A6E70" w14:textId="3D37A054"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1</w:t>
      </w:r>
      <w:r w:rsidR="00CC3C0D">
        <w:rPr>
          <w:rFonts w:eastAsia="Times New Roman"/>
          <w:szCs w:val="24"/>
          <w:lang w:val="fr-CA"/>
        </w:rPr>
        <w:t>2</w:t>
      </w:r>
      <w:r w:rsidRPr="00C87559">
        <w:rPr>
          <w:rFonts w:eastAsia="Times New Roman"/>
          <w:szCs w:val="24"/>
          <w:lang w:val="fr-CA"/>
        </w:rPr>
        <w:t>.</w:t>
      </w:r>
      <w:r w:rsidRPr="00C87559">
        <w:rPr>
          <w:rFonts w:eastAsia="Times New Roman"/>
          <w:szCs w:val="24"/>
          <w:lang w:val="fr-CA"/>
        </w:rPr>
        <w:tab/>
        <w:t>Utiliser des écrans pour les négociations liées au texte.</w:t>
      </w:r>
    </w:p>
    <w:p w14:paraId="0A4BA053" w14:textId="499CC34B"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t>1</w:t>
      </w:r>
      <w:r w:rsidR="00CC3C0D">
        <w:rPr>
          <w:rFonts w:eastAsia="Times New Roman"/>
          <w:szCs w:val="24"/>
          <w:lang w:val="fr-CA"/>
        </w:rPr>
        <w:t>3</w:t>
      </w:r>
      <w:r w:rsidRPr="00C87559">
        <w:rPr>
          <w:rFonts w:eastAsia="Times New Roman"/>
          <w:szCs w:val="24"/>
          <w:lang w:val="fr-CA"/>
        </w:rPr>
        <w:t>.</w:t>
      </w:r>
      <w:r w:rsidRPr="00C87559">
        <w:rPr>
          <w:rFonts w:eastAsia="Times New Roman"/>
          <w:szCs w:val="24"/>
          <w:lang w:val="fr-CA"/>
        </w:rPr>
        <w:tab/>
        <w:t>Utiliser des applications ou d’autres mécanismes pour sonder les Parties au sujet des options possibles pour résoudre les problèmes. Cette option pourrait d’abord nécessiter une certaine formation pour les délégués.</w:t>
      </w:r>
    </w:p>
    <w:p w14:paraId="12523745" w14:textId="0D09DF5D" w:rsidR="00C87559" w:rsidRPr="00C87559" w:rsidRDefault="00C87559" w:rsidP="00C87559">
      <w:pPr>
        <w:tabs>
          <w:tab w:val="clear" w:pos="567"/>
          <w:tab w:val="clear" w:pos="2268"/>
        </w:tabs>
        <w:spacing w:before="120" w:after="120"/>
        <w:ind w:left="567"/>
        <w:rPr>
          <w:rFonts w:eastAsia="Times New Roman"/>
          <w:szCs w:val="24"/>
          <w:lang w:val="fr-CA"/>
        </w:rPr>
      </w:pPr>
      <w:r w:rsidRPr="00C87559">
        <w:rPr>
          <w:rFonts w:eastAsia="Times New Roman"/>
          <w:szCs w:val="24"/>
          <w:lang w:val="fr-CA"/>
        </w:rPr>
        <w:lastRenderedPageBreak/>
        <w:t>1</w:t>
      </w:r>
      <w:r w:rsidR="00CC3C0D">
        <w:rPr>
          <w:rFonts w:eastAsia="Times New Roman"/>
          <w:szCs w:val="24"/>
          <w:lang w:val="fr-CA"/>
        </w:rPr>
        <w:t>4</w:t>
      </w:r>
      <w:r w:rsidRPr="00C87559">
        <w:rPr>
          <w:rFonts w:eastAsia="Times New Roman"/>
          <w:szCs w:val="24"/>
          <w:lang w:val="fr-CA"/>
        </w:rPr>
        <w:t>.</w:t>
      </w:r>
      <w:r w:rsidRPr="00C87559">
        <w:rPr>
          <w:rFonts w:eastAsia="Times New Roman"/>
          <w:szCs w:val="24"/>
          <w:lang w:val="fr-CA"/>
        </w:rPr>
        <w:tab/>
        <w:t>Envisager d’autres nouvelles TIC.]</w:t>
      </w:r>
      <w:r w:rsidRPr="00C87559">
        <w:rPr>
          <w:rFonts w:eastAsia="Times New Roman"/>
          <w:szCs w:val="24"/>
          <w:vertAlign w:val="superscript"/>
        </w:rPr>
        <w:footnoteReference w:id="46"/>
      </w:r>
      <w:r w:rsidRPr="00C87559">
        <w:rPr>
          <w:rFonts w:eastAsia="Times New Roman"/>
          <w:szCs w:val="24"/>
          <w:lang w:val="fr-CA"/>
        </w:rPr>
        <w:t xml:space="preserve"> ]]</w:t>
      </w:r>
    </w:p>
    <w:p w14:paraId="57C475C0" w14:textId="77777777" w:rsidR="009D5C00" w:rsidRDefault="009D5C00" w:rsidP="009D5C00">
      <w:pPr>
        <w:keepNext/>
        <w:keepLines/>
        <w:tabs>
          <w:tab w:val="clear" w:pos="567"/>
          <w:tab w:val="clear" w:pos="1134"/>
          <w:tab w:val="clear" w:pos="1701"/>
          <w:tab w:val="clear" w:pos="2268"/>
        </w:tabs>
        <w:spacing w:before="120" w:after="120"/>
        <w:ind w:left="567"/>
        <w:outlineLvl w:val="1"/>
        <w:rPr>
          <w:rFonts w:eastAsiaTheme="majorEastAsia" w:cstheme="majorBidi"/>
          <w:b/>
          <w:sz w:val="24"/>
          <w:szCs w:val="26"/>
          <w:lang w:val="fr-CA"/>
        </w:rPr>
      </w:pPr>
    </w:p>
    <w:p w14:paraId="771EFE7F" w14:textId="58AF4A5B" w:rsidR="00C87559" w:rsidRPr="00C87559" w:rsidRDefault="00C87559" w:rsidP="009D5C00">
      <w:pPr>
        <w:keepNext/>
        <w:keepLines/>
        <w:tabs>
          <w:tab w:val="clear" w:pos="567"/>
          <w:tab w:val="clear" w:pos="1134"/>
          <w:tab w:val="clear" w:pos="1701"/>
          <w:tab w:val="clear" w:pos="2268"/>
        </w:tabs>
        <w:spacing w:before="120" w:after="120"/>
        <w:ind w:left="567"/>
        <w:outlineLvl w:val="1"/>
        <w:rPr>
          <w:rFonts w:eastAsiaTheme="majorEastAsia" w:cstheme="majorBidi"/>
          <w:b/>
          <w:sz w:val="24"/>
          <w:szCs w:val="26"/>
          <w:lang w:val="fr-CA"/>
        </w:rPr>
      </w:pPr>
      <w:r w:rsidRPr="00C87559">
        <w:rPr>
          <w:rFonts w:eastAsiaTheme="majorEastAsia" w:cstheme="majorBidi"/>
          <w:b/>
          <w:sz w:val="24"/>
          <w:szCs w:val="26"/>
          <w:lang w:val="fr-CA"/>
        </w:rPr>
        <w:t>[B</w:t>
      </w:r>
      <w:r w:rsidRPr="00C87559">
        <w:rPr>
          <w:rFonts w:eastAsiaTheme="majorEastAsia" w:cstheme="majorBidi"/>
          <w:b/>
          <w:sz w:val="24"/>
          <w:szCs w:val="26"/>
          <w:lang w:val="fr-CA"/>
        </w:rPr>
        <w:br/>
        <w:t>Procédures relatives à la tenue de réunions virtuelles et hybrides</w:t>
      </w:r>
    </w:p>
    <w:p w14:paraId="555A035F" w14:textId="14811EA9" w:rsidR="00C87559" w:rsidRPr="00C87559" w:rsidRDefault="00C87559" w:rsidP="00014BFD">
      <w:pPr>
        <w:tabs>
          <w:tab w:val="clear" w:pos="567"/>
          <w:tab w:val="clear" w:pos="1134"/>
          <w:tab w:val="clear" w:pos="1701"/>
          <w:tab w:val="clear" w:pos="2268"/>
        </w:tabs>
        <w:spacing w:before="120" w:after="120"/>
        <w:ind w:left="567" w:firstLine="567"/>
        <w:rPr>
          <w:rFonts w:eastAsia="Times New Roman"/>
          <w:i/>
          <w:kern w:val="22"/>
          <w:lang w:val="fr-CA"/>
        </w:rPr>
      </w:pPr>
      <w:r w:rsidRPr="00C87559">
        <w:rPr>
          <w:rFonts w:eastAsia="Times New Roman"/>
          <w:i/>
          <w:iCs/>
          <w:szCs w:val="24"/>
          <w:lang w:val="fr-CA"/>
        </w:rPr>
        <w:t>La Conférence des Parties siégeant en tant que réunion des Parties au Protocole de Nagoya sur l’accès et le partage des avantages,</w:t>
      </w:r>
    </w:p>
    <w:p w14:paraId="79404493" w14:textId="77104796" w:rsidR="00C87559" w:rsidRPr="00C87559" w:rsidRDefault="00C87559" w:rsidP="00C87559">
      <w:pPr>
        <w:tabs>
          <w:tab w:val="clear" w:pos="567"/>
          <w:tab w:val="clear" w:pos="1701"/>
          <w:tab w:val="clear" w:pos="2268"/>
        </w:tabs>
        <w:spacing w:before="120" w:after="120"/>
        <w:ind w:left="567" w:firstLine="567"/>
        <w:rPr>
          <w:rFonts w:eastAsia="Times New Roman"/>
          <w:szCs w:val="24"/>
          <w:lang w:val="fr-CA"/>
        </w:rPr>
      </w:pPr>
      <w:r w:rsidRPr="00C87559">
        <w:rPr>
          <w:rFonts w:eastAsia="Times New Roman"/>
          <w:i/>
          <w:iCs/>
          <w:szCs w:val="24"/>
          <w:lang w:val="fr-CA"/>
        </w:rPr>
        <w:t>Rappelant</w:t>
      </w:r>
      <w:r w:rsidRPr="00C87559">
        <w:rPr>
          <w:rFonts w:eastAsia="Times New Roman"/>
          <w:szCs w:val="24"/>
          <w:lang w:val="fr-CA"/>
        </w:rPr>
        <w:t xml:space="preserve"> </w:t>
      </w:r>
      <w:bookmarkStart w:id="26" w:name="_Hlk167470634"/>
      <w:r w:rsidRPr="00C87559">
        <w:rPr>
          <w:rFonts w:eastAsia="Times New Roman"/>
          <w:szCs w:val="24"/>
          <w:lang w:val="fr-CA"/>
        </w:rPr>
        <w:t>l</w:t>
      </w:r>
      <w:r w:rsidR="00014BFD">
        <w:rPr>
          <w:rFonts w:eastAsia="Times New Roman"/>
          <w:szCs w:val="24"/>
          <w:lang w:val="fr-CA"/>
        </w:rPr>
        <w:t>a</w:t>
      </w:r>
      <w:r w:rsidRPr="00C87559">
        <w:rPr>
          <w:rFonts w:eastAsia="Times New Roman"/>
          <w:szCs w:val="24"/>
          <w:lang w:val="fr-CA"/>
        </w:rPr>
        <w:t xml:space="preserve"> décision</w:t>
      </w:r>
      <w:r w:rsidR="00EE54EF">
        <w:rPr>
          <w:rFonts w:eastAsia="Times New Roman"/>
          <w:szCs w:val="24"/>
          <w:lang w:val="fr-CA"/>
        </w:rPr>
        <w:t> </w:t>
      </w:r>
      <w:r w:rsidRPr="00C87559">
        <w:rPr>
          <w:rFonts w:eastAsia="Times New Roman"/>
          <w:szCs w:val="24"/>
          <w:lang w:val="fr-CA"/>
        </w:rPr>
        <w:t xml:space="preserve">NP-4/9 du 10 décembre 2022, </w:t>
      </w:r>
    </w:p>
    <w:bookmarkEnd w:id="26"/>
    <w:p w14:paraId="3193BF47" w14:textId="7E2D03E0" w:rsidR="00C87559" w:rsidRPr="00C87559" w:rsidRDefault="00C87559" w:rsidP="00C87559">
      <w:pPr>
        <w:tabs>
          <w:tab w:val="clear" w:pos="567"/>
          <w:tab w:val="clear" w:pos="1701"/>
          <w:tab w:val="clear" w:pos="2268"/>
        </w:tabs>
        <w:spacing w:before="120" w:after="120"/>
        <w:ind w:left="567" w:firstLine="567"/>
        <w:rPr>
          <w:rFonts w:eastAsia="Times New Roman"/>
          <w:szCs w:val="24"/>
          <w:lang w:val="fr-CA"/>
        </w:rPr>
      </w:pPr>
      <w:r w:rsidRPr="00C87559">
        <w:rPr>
          <w:rFonts w:eastAsia="Times New Roman"/>
          <w:i/>
          <w:iCs/>
          <w:szCs w:val="24"/>
          <w:lang w:val="fr-CA"/>
        </w:rPr>
        <w:t>Réaffirmant</w:t>
      </w:r>
      <w:r w:rsidRPr="00C87559">
        <w:rPr>
          <w:rFonts w:eastAsia="Times New Roman"/>
          <w:szCs w:val="24"/>
          <w:lang w:val="fr-CA"/>
        </w:rPr>
        <w:t xml:space="preserve"> que toutes les réunions de la Conférence des Parties à la Convention sur la diversité biologique</w:t>
      </w:r>
      <w:r w:rsidRPr="00C87559">
        <w:rPr>
          <w:rFonts w:eastAsia="Times New Roman"/>
          <w:szCs w:val="24"/>
          <w:vertAlign w:val="superscript"/>
          <w:lang w:val="fr-CA"/>
        </w:rPr>
        <w:footnoteReference w:id="47"/>
      </w:r>
      <w:r w:rsidRPr="00C87559">
        <w:rPr>
          <w:rFonts w:eastAsia="Times New Roman"/>
          <w:szCs w:val="24"/>
          <w:lang w:val="fr-CA"/>
        </w:rPr>
        <w:t>, la Conférence des Parties siégeant en tant que réunion des Parties au Protocole de Cartagena sur la prévention des risques biotechnologiques</w:t>
      </w:r>
      <w:r w:rsidRPr="00C87559">
        <w:rPr>
          <w:rFonts w:eastAsia="Times New Roman"/>
          <w:szCs w:val="24"/>
          <w:vertAlign w:val="superscript"/>
          <w:lang w:val="fr-CA"/>
        </w:rPr>
        <w:footnoteReference w:id="48"/>
      </w:r>
      <w:r w:rsidRPr="00C87559">
        <w:rPr>
          <w:rFonts w:eastAsia="Times New Roman"/>
          <w:szCs w:val="24"/>
          <w:lang w:val="fr-CA"/>
        </w:rPr>
        <w:t xml:space="preserve"> et la Conférence des Parties siégeant en tant que réunion des Parties au Protocole de Nagoya sur l’accès et le partage juste et équitable des avantages découlant de leur utilisation à la Convention sur la diversité biologique</w:t>
      </w:r>
      <w:r w:rsidRPr="00C87559">
        <w:rPr>
          <w:rFonts w:eastAsia="Times New Roman"/>
          <w:szCs w:val="24"/>
          <w:vertAlign w:val="superscript"/>
          <w:lang w:val="fr-CA"/>
        </w:rPr>
        <w:footnoteReference w:id="49"/>
      </w:r>
      <w:r w:rsidRPr="00C87559">
        <w:rPr>
          <w:rFonts w:eastAsia="Times New Roman"/>
          <w:szCs w:val="24"/>
          <w:lang w:val="fr-CA"/>
        </w:rPr>
        <w:t>, ainsi que les réunions des organes subsidiaires intergouvernementaux d</w:t>
      </w:r>
      <w:r w:rsidR="00014BFD">
        <w:rPr>
          <w:rFonts w:eastAsia="Times New Roman"/>
          <w:szCs w:val="24"/>
          <w:lang w:val="fr-CA"/>
        </w:rPr>
        <w:t>u Protocole de Nagoya</w:t>
      </w:r>
      <w:r w:rsidRPr="00C87559">
        <w:rPr>
          <w:rFonts w:eastAsia="Times New Roman"/>
          <w:szCs w:val="24"/>
          <w:lang w:val="fr-CA"/>
        </w:rPr>
        <w:t>, doivent respecter leur règlement intérieur respectif,</w:t>
      </w:r>
    </w:p>
    <w:p w14:paraId="0C1DD4A6" w14:textId="7C1F7851" w:rsidR="00C87559" w:rsidRPr="00C87559" w:rsidRDefault="00C87559" w:rsidP="00C87559">
      <w:pPr>
        <w:tabs>
          <w:tab w:val="clear" w:pos="567"/>
          <w:tab w:val="clear" w:pos="1134"/>
          <w:tab w:val="clear" w:pos="2268"/>
        </w:tabs>
        <w:spacing w:before="120" w:after="120"/>
        <w:ind w:left="567" w:firstLine="567"/>
        <w:rPr>
          <w:rFonts w:asciiTheme="majorBidi" w:eastAsia="Times New Roman" w:hAnsiTheme="majorBidi" w:cstheme="majorBidi"/>
          <w:szCs w:val="24"/>
          <w:lang w:val="fr-CA"/>
        </w:rPr>
      </w:pPr>
      <w:r w:rsidRPr="00C87559">
        <w:rPr>
          <w:rFonts w:eastAsia="Times New Roman"/>
          <w:szCs w:val="24"/>
          <w:lang w:val="fr-CA"/>
        </w:rPr>
        <w:t>1.</w:t>
      </w:r>
      <w:r w:rsidRPr="00C87559">
        <w:rPr>
          <w:rFonts w:eastAsia="Times New Roman"/>
          <w:szCs w:val="24"/>
          <w:lang w:val="fr-CA"/>
        </w:rPr>
        <w:tab/>
      </w:r>
      <w:r w:rsidRPr="00C87559">
        <w:rPr>
          <w:rFonts w:eastAsia="Times New Roman"/>
          <w:i/>
          <w:iCs/>
          <w:szCs w:val="24"/>
          <w:lang w:val="fr-CA"/>
        </w:rPr>
        <w:t>Affirme</w:t>
      </w:r>
      <w:r w:rsidRPr="00C87559">
        <w:rPr>
          <w:rFonts w:eastAsia="Times New Roman"/>
          <w:szCs w:val="24"/>
          <w:lang w:val="fr-CA"/>
        </w:rPr>
        <w:t xml:space="preserve"> que les réunions de la Conférence des Parties siégeant en tant que réunion des Parties au Protocole de Nagoya, ainsi que les réunions de</w:t>
      </w:r>
      <w:r w:rsidR="00014BFD">
        <w:rPr>
          <w:rFonts w:eastAsia="Times New Roman"/>
          <w:szCs w:val="24"/>
          <w:lang w:val="fr-CA"/>
        </w:rPr>
        <w:t xml:space="preserve"> ses</w:t>
      </w:r>
      <w:r w:rsidRPr="00C87559">
        <w:rPr>
          <w:rFonts w:eastAsia="Times New Roman"/>
          <w:szCs w:val="24"/>
          <w:lang w:val="fr-CA"/>
        </w:rPr>
        <w:t xml:space="preserve"> organes subsidiaires intergouvernementaux, doivent se tenir en personne à moins que des circonstances extraordinaires, comme indiqué au paragraphe 2 ci-dessous, ne rendent impossible la tenue de réunions en personne pendant une période prolongée</w:t>
      </w:r>
      <w:r w:rsidR="00EE54EF">
        <w:rPr>
          <w:rFonts w:eastAsia="Times New Roman"/>
          <w:szCs w:val="24"/>
          <w:lang w:val="fr-CA"/>
        </w:rPr>
        <w:t> </w:t>
      </w:r>
      <w:r w:rsidRPr="00C87559">
        <w:rPr>
          <w:rFonts w:eastAsia="Times New Roman"/>
          <w:szCs w:val="24"/>
          <w:lang w:val="fr-CA"/>
        </w:rPr>
        <w:t>;</w:t>
      </w:r>
      <w:r w:rsidRPr="00C87559">
        <w:rPr>
          <w:rFonts w:asciiTheme="majorBidi" w:eastAsia="Times New Roman" w:hAnsiTheme="majorBidi"/>
          <w:lang w:val="fr-CA"/>
        </w:rPr>
        <w:t xml:space="preserve"> </w:t>
      </w:r>
    </w:p>
    <w:p w14:paraId="6F738D37" w14:textId="23F8B51E"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2.</w:t>
      </w:r>
      <w:r w:rsidRPr="00C87559">
        <w:rPr>
          <w:rFonts w:eastAsia="Times New Roman"/>
          <w:szCs w:val="24"/>
          <w:lang w:val="fr-CA"/>
        </w:rPr>
        <w:tab/>
      </w:r>
      <w:r w:rsidRPr="00C87559">
        <w:rPr>
          <w:rFonts w:eastAsia="Times New Roman"/>
          <w:i/>
          <w:iCs/>
          <w:szCs w:val="24"/>
          <w:lang w:val="fr-CA"/>
        </w:rPr>
        <w:t>Réaffirme</w:t>
      </w:r>
      <w:r w:rsidRPr="00C87559">
        <w:rPr>
          <w:rFonts w:eastAsia="Times New Roman"/>
          <w:szCs w:val="24"/>
          <w:lang w:val="fr-CA"/>
        </w:rPr>
        <w:t xml:space="preserve"> qu’en cas de circonstances extraordinaires qui ne permettent pas que les réunions se tiennent en personne, les sessions des réunions mentionnées au paragraphe 1 ci-dessus doivent se tenir en ligne selon des modalités qui permettent une participation en ligne interactive, si elles font suite à une consultation des Parties et à une décision du Bureau de la Conférence des Parties</w:t>
      </w:r>
      <w:r w:rsidR="00014BFD">
        <w:rPr>
          <w:rFonts w:eastAsia="Times New Roman"/>
          <w:szCs w:val="24"/>
          <w:lang w:val="fr-CA"/>
        </w:rPr>
        <w:t xml:space="preserve"> siégeant en tant que réunion des Parties au Protocole de Nagoya</w:t>
      </w:r>
      <w:r w:rsidRPr="00C87559">
        <w:rPr>
          <w:rFonts w:eastAsia="Times New Roman"/>
          <w:szCs w:val="24"/>
          <w:lang w:val="fr-CA"/>
        </w:rPr>
        <w:t>, tant qu’aucune décision de fond n</w:t>
      </w:r>
      <w:r w:rsidR="00D842D7">
        <w:rPr>
          <w:rFonts w:eastAsia="Times New Roman"/>
          <w:szCs w:val="24"/>
          <w:lang w:val="fr-CA"/>
        </w:rPr>
        <w:t>’es</w:t>
      </w:r>
      <w:r w:rsidRPr="00C87559">
        <w:rPr>
          <w:rFonts w:eastAsia="Times New Roman"/>
          <w:szCs w:val="24"/>
          <w:lang w:val="fr-CA"/>
        </w:rPr>
        <w:t>t prise en ligne, à l’exception de décisions sur des questions budgétaires et des questions de procédure permettant au Secrétariat de fonctionner</w:t>
      </w:r>
      <w:r w:rsidR="00EE54EF">
        <w:rPr>
          <w:rFonts w:eastAsia="Times New Roman"/>
          <w:szCs w:val="24"/>
          <w:lang w:val="fr-CA"/>
        </w:rPr>
        <w:t> </w:t>
      </w:r>
      <w:r w:rsidRPr="00C87559">
        <w:rPr>
          <w:rFonts w:eastAsia="Times New Roman"/>
          <w:szCs w:val="24"/>
          <w:lang w:val="fr-CA"/>
        </w:rPr>
        <w:t>;</w:t>
      </w:r>
    </w:p>
    <w:p w14:paraId="3EFD5790" w14:textId="4F893AFB"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3.</w:t>
      </w:r>
      <w:r w:rsidRPr="00C87559">
        <w:rPr>
          <w:rFonts w:eastAsia="Times New Roman"/>
          <w:szCs w:val="24"/>
          <w:lang w:val="fr-CA"/>
        </w:rPr>
        <w:tab/>
      </w:r>
      <w:r w:rsidRPr="00C87559">
        <w:rPr>
          <w:rFonts w:eastAsia="Times New Roman"/>
          <w:i/>
          <w:iCs/>
          <w:szCs w:val="24"/>
          <w:lang w:val="fr-CA"/>
        </w:rPr>
        <w:t>Note</w:t>
      </w:r>
      <w:r w:rsidRPr="00C87559">
        <w:rPr>
          <w:rFonts w:eastAsia="Times New Roman"/>
          <w:szCs w:val="24"/>
          <w:lang w:val="fr-CA"/>
        </w:rPr>
        <w:t xml:space="preserve"> qu’en cas de circonstances extraordinaires qui rendraient impossible la tenue de réunion en personne, des décisions urgentes, telles que celles sur des questions budgétaires, peuvent être prises par la Conférence des Parties</w:t>
      </w:r>
      <w:r w:rsidR="00014BFD">
        <w:rPr>
          <w:rFonts w:eastAsia="Times New Roman"/>
          <w:szCs w:val="24"/>
          <w:lang w:val="fr-CA"/>
        </w:rPr>
        <w:t xml:space="preserve"> siégeant en tant que réunion des Parties au Protocole de Nagoya</w:t>
      </w:r>
      <w:r w:rsidRPr="00C87559">
        <w:rPr>
          <w:rFonts w:eastAsia="Times New Roman"/>
          <w:szCs w:val="24"/>
          <w:lang w:val="fr-CA"/>
        </w:rPr>
        <w:t xml:space="preserve"> au terme d’une procédure d’approbation tacite, conformément à la pratique des Nations Unies, et à une décision du Bureau de la Conférence des Parties</w:t>
      </w:r>
      <w:r w:rsidR="00014BFD">
        <w:rPr>
          <w:rFonts w:eastAsia="Times New Roman"/>
          <w:szCs w:val="24"/>
          <w:lang w:val="fr-CA"/>
        </w:rPr>
        <w:t xml:space="preserve"> siégeant en tant que réunion des Parties au Protocole</w:t>
      </w:r>
      <w:r w:rsidRPr="00C87559">
        <w:rPr>
          <w:rFonts w:eastAsia="Times New Roman"/>
          <w:szCs w:val="24"/>
          <w:lang w:val="fr-CA"/>
        </w:rPr>
        <w:t>, à la suite de consultations appropriées des membres du Bureau avec leurs régions respectives et en application des procédures établies dans le règlement intérieur régissant la tenue d’une réunion extraordinaire</w:t>
      </w:r>
      <w:r w:rsidR="00EE54EF">
        <w:rPr>
          <w:rFonts w:eastAsia="Times New Roman"/>
          <w:szCs w:val="24"/>
          <w:lang w:val="fr-CA"/>
        </w:rPr>
        <w:t> </w:t>
      </w:r>
      <w:r w:rsidRPr="00C87559">
        <w:rPr>
          <w:rFonts w:eastAsia="Times New Roman"/>
          <w:szCs w:val="24"/>
          <w:lang w:val="fr-CA"/>
        </w:rPr>
        <w:t xml:space="preserve">; </w:t>
      </w:r>
    </w:p>
    <w:p w14:paraId="18150E66" w14:textId="049D25D6"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4.</w:t>
      </w:r>
      <w:r w:rsidRPr="00C87559">
        <w:rPr>
          <w:rFonts w:eastAsia="Times New Roman"/>
          <w:szCs w:val="24"/>
          <w:lang w:val="fr-CA"/>
        </w:rPr>
        <w:tab/>
      </w:r>
      <w:r w:rsidRPr="00C87559">
        <w:rPr>
          <w:rFonts w:eastAsia="Times New Roman"/>
          <w:i/>
          <w:iCs/>
          <w:szCs w:val="24"/>
          <w:lang w:val="fr-CA"/>
        </w:rPr>
        <w:t xml:space="preserve">Demande </w:t>
      </w:r>
      <w:r w:rsidRPr="00C87559">
        <w:rPr>
          <w:rFonts w:eastAsia="Times New Roman"/>
          <w:szCs w:val="24"/>
          <w:lang w:val="fr-CA"/>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w:t>
      </w:r>
      <w:r w:rsidR="00EE54EF">
        <w:rPr>
          <w:rFonts w:eastAsia="Times New Roman"/>
          <w:szCs w:val="24"/>
          <w:lang w:val="fr-CA"/>
        </w:rPr>
        <w:t> </w:t>
      </w:r>
      <w:r w:rsidRPr="00C87559">
        <w:rPr>
          <w:rFonts w:eastAsia="Times New Roman"/>
          <w:szCs w:val="24"/>
          <w:lang w:val="fr-CA"/>
        </w:rPr>
        <w:t>;</w:t>
      </w:r>
    </w:p>
    <w:p w14:paraId="7AD625C9" w14:textId="5D865CCF"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5.</w:t>
      </w:r>
      <w:r w:rsidRPr="00C87559">
        <w:rPr>
          <w:rFonts w:eastAsia="Times New Roman"/>
          <w:szCs w:val="24"/>
          <w:lang w:val="fr-CA"/>
        </w:rPr>
        <w:tab/>
      </w:r>
      <w:r w:rsidRPr="00C87559">
        <w:rPr>
          <w:rFonts w:eastAsia="Times New Roman"/>
          <w:i/>
          <w:iCs/>
          <w:szCs w:val="24"/>
          <w:lang w:val="fr-CA"/>
        </w:rPr>
        <w:t>Note</w:t>
      </w:r>
      <w:r w:rsidRPr="00C87559">
        <w:rPr>
          <w:rFonts w:eastAsia="Times New Roman"/>
          <w:szCs w:val="24"/>
          <w:lang w:val="fr-CA"/>
        </w:rPr>
        <w:t xml:space="preserve"> que les groupes d’experts, les groupes consultatifs et d’autres groupes comptant un nombre de membres limité peuvent se réunir en personne, virtuellement ou en format hybride, conformément à leur mission respective et, le cas échéant, leur règlement intérieur respectif[, en soulignant qu’au moins une de leurs réunions devrait être tenue en personne]</w:t>
      </w:r>
      <w:r w:rsidR="00EE54EF">
        <w:rPr>
          <w:rFonts w:eastAsia="Times New Roman"/>
          <w:szCs w:val="24"/>
          <w:lang w:val="fr-CA"/>
        </w:rPr>
        <w:t> </w:t>
      </w:r>
      <w:r w:rsidRPr="00C87559">
        <w:rPr>
          <w:rFonts w:eastAsia="Times New Roman"/>
          <w:szCs w:val="24"/>
          <w:lang w:val="fr-CA"/>
        </w:rPr>
        <w:t xml:space="preserve">; </w:t>
      </w:r>
    </w:p>
    <w:p w14:paraId="04747BD8" w14:textId="4331BCE8"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6.</w:t>
      </w:r>
      <w:r w:rsidRPr="00C87559">
        <w:rPr>
          <w:rFonts w:eastAsia="Times New Roman"/>
          <w:szCs w:val="24"/>
          <w:lang w:val="fr-CA"/>
        </w:rPr>
        <w:tab/>
      </w:r>
      <w:r w:rsidRPr="00C87559">
        <w:rPr>
          <w:rFonts w:eastAsia="Times New Roman"/>
          <w:i/>
          <w:iCs/>
          <w:szCs w:val="24"/>
          <w:lang w:val="fr-CA"/>
        </w:rPr>
        <w:t>Note également</w:t>
      </w:r>
      <w:r w:rsidRPr="00C87559">
        <w:rPr>
          <w:rFonts w:eastAsia="Times New Roman"/>
          <w:szCs w:val="24"/>
          <w:lang w:val="fr-CA"/>
        </w:rPr>
        <w:t xml:space="preserve"> que pendant la période intersessions, les Bureaux peuvent se réunir virtuellement pour donner des orientations continues au Secrétariat en ce qui concerne la préparation </w:t>
      </w:r>
      <w:r w:rsidRPr="00C87559">
        <w:rPr>
          <w:rFonts w:eastAsia="Times New Roman"/>
          <w:szCs w:val="24"/>
          <w:lang w:val="fr-CA"/>
        </w:rPr>
        <w:lastRenderedPageBreak/>
        <w:t xml:space="preserve">des réunions de la Conférence des Parties </w:t>
      </w:r>
      <w:r w:rsidR="00014BFD">
        <w:rPr>
          <w:rFonts w:eastAsia="Times New Roman"/>
          <w:szCs w:val="24"/>
          <w:lang w:val="fr-CA"/>
        </w:rPr>
        <w:t xml:space="preserve">siégeant en tant que réunion des Parties au Protocole de Nagoya </w:t>
      </w:r>
      <w:r w:rsidRPr="00C87559">
        <w:rPr>
          <w:rFonts w:eastAsia="Times New Roman"/>
          <w:szCs w:val="24"/>
          <w:lang w:val="fr-CA"/>
        </w:rPr>
        <w:t>et des organes subsidiaires compétents</w:t>
      </w:r>
      <w:r w:rsidR="00EE54EF">
        <w:rPr>
          <w:rFonts w:eastAsia="Times New Roman"/>
          <w:szCs w:val="24"/>
          <w:lang w:val="fr-CA"/>
        </w:rPr>
        <w:t> </w:t>
      </w:r>
      <w:r w:rsidRPr="00C87559">
        <w:rPr>
          <w:rFonts w:eastAsia="Times New Roman"/>
          <w:szCs w:val="24"/>
          <w:lang w:val="fr-CA"/>
        </w:rPr>
        <w:t>;</w:t>
      </w:r>
      <w:r w:rsidRPr="00C87559">
        <w:rPr>
          <w:rFonts w:eastAsia="Times New Roman"/>
          <w:szCs w:val="24"/>
          <w:highlight w:val="yellow"/>
          <w:lang w:val="fr-CA"/>
        </w:rPr>
        <w:t xml:space="preserve"> </w:t>
      </w:r>
    </w:p>
    <w:p w14:paraId="03BFCFA2"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7.</w:t>
      </w:r>
      <w:r w:rsidRPr="00C87559">
        <w:rPr>
          <w:rFonts w:eastAsia="Times New Roman"/>
          <w:szCs w:val="24"/>
          <w:lang w:val="fr-CA"/>
        </w:rPr>
        <w:tab/>
      </w:r>
      <w:r w:rsidRPr="00C87559">
        <w:rPr>
          <w:rFonts w:eastAsia="Times New Roman"/>
          <w:i/>
          <w:iCs/>
          <w:szCs w:val="24"/>
          <w:lang w:val="fr-CA"/>
        </w:rPr>
        <w:t>Décide</w:t>
      </w:r>
      <w:r w:rsidRPr="00C87559">
        <w:rPr>
          <w:rFonts w:eastAsia="Times New Roman"/>
          <w:szCs w:val="24"/>
          <w:lang w:val="fr-CA"/>
        </w:rPr>
        <w:t xml:space="preserve"> que :</w:t>
      </w:r>
    </w:p>
    <w:p w14:paraId="708D3C3C" w14:textId="49F28136"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a)</w:t>
      </w:r>
      <w:r w:rsidRPr="00C87559">
        <w:rPr>
          <w:rFonts w:eastAsia="Times New Roman"/>
          <w:szCs w:val="24"/>
          <w:lang w:val="fr-CA"/>
        </w:rPr>
        <w:tab/>
        <w:t>Les modalités de fonctionnement de toute réunion qui se tient virtuellement devraient être clairement énoncées dans une note de scénario préparée par le Secrétariat en consultation avec le Bureau concerné et mise à disposition de toutes les Parties avant l’ouverture de la réunion</w:t>
      </w:r>
      <w:r w:rsidR="00EE54EF">
        <w:rPr>
          <w:rFonts w:eastAsia="Times New Roman"/>
          <w:szCs w:val="24"/>
          <w:lang w:val="fr-CA"/>
        </w:rPr>
        <w:t> </w:t>
      </w:r>
      <w:r w:rsidRPr="00C87559">
        <w:rPr>
          <w:rFonts w:eastAsia="Times New Roman"/>
          <w:szCs w:val="24"/>
          <w:lang w:val="fr-CA"/>
        </w:rPr>
        <w:t>;</w:t>
      </w:r>
    </w:p>
    <w:p w14:paraId="754CC773" w14:textId="645AF93A"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 xml:space="preserve">b) </w:t>
      </w:r>
      <w:r w:rsidRPr="00C87559">
        <w:rPr>
          <w:rFonts w:eastAsia="Times New Roman"/>
          <w:szCs w:val="24"/>
          <w:lang w:val="fr-CA"/>
        </w:rPr>
        <w:tab/>
        <w:t>Lors de la programmation de sessions virtuelles de réunions, le Secrétariat doit tenir compte des difficultés importantes pour la santé et le bien-être des Parties résultant des différences de fuseaux horaires et viser à permettre une participation égalitaire des Parties de toutes les régions, y compris par la rotation des fuseaux horaires</w:t>
      </w:r>
      <w:r w:rsidR="00EE54EF">
        <w:rPr>
          <w:rFonts w:eastAsia="Times New Roman"/>
          <w:szCs w:val="24"/>
          <w:lang w:val="fr-CA"/>
        </w:rPr>
        <w:t> </w:t>
      </w:r>
      <w:r w:rsidRPr="00C87559">
        <w:rPr>
          <w:rFonts w:eastAsia="Times New Roman"/>
          <w:szCs w:val="24"/>
          <w:lang w:val="fr-CA"/>
        </w:rPr>
        <w:t>;</w:t>
      </w:r>
    </w:p>
    <w:p w14:paraId="1D8C7825" w14:textId="63ACBDB1"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c)</w:t>
      </w:r>
      <w:r w:rsidRPr="00C87559">
        <w:rPr>
          <w:rFonts w:eastAsia="Times New Roman"/>
          <w:szCs w:val="24"/>
          <w:lang w:val="fr-CA"/>
        </w:rPr>
        <w:tab/>
        <w:t>La durée des sessions virtuelles devrait être limitée à deux heures consécutives par jour</w:t>
      </w:r>
      <w:r w:rsidR="00EE54EF">
        <w:rPr>
          <w:rFonts w:eastAsia="Times New Roman"/>
          <w:szCs w:val="24"/>
          <w:lang w:val="fr-CA"/>
        </w:rPr>
        <w:t> </w:t>
      </w:r>
      <w:r w:rsidRPr="00C87559">
        <w:rPr>
          <w:rFonts w:eastAsia="Times New Roman"/>
          <w:szCs w:val="24"/>
          <w:lang w:val="fr-CA"/>
        </w:rPr>
        <w:t xml:space="preserve">; </w:t>
      </w:r>
    </w:p>
    <w:p w14:paraId="30E9F68A" w14:textId="77777777" w:rsidR="00C87559" w:rsidRPr="00C87559" w:rsidRDefault="00C87559" w:rsidP="00C87559">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d)</w:t>
      </w:r>
      <w:r w:rsidRPr="00C87559">
        <w:rPr>
          <w:rFonts w:eastAsia="Times New Roman"/>
          <w:szCs w:val="24"/>
          <w:lang w:val="fr-CA"/>
        </w:rPr>
        <w:tab/>
        <w:t>Le Secrétariat devrait mettre en œuvre des mesures visant à faciliter la participation en ligne effective de tous les participants aux sessions virtuelles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1AA3D078" w14:textId="2A81F17A" w:rsidR="00C87559" w:rsidRPr="00C87559" w:rsidRDefault="00C87559" w:rsidP="009D5C00">
      <w:pPr>
        <w:keepNext/>
        <w:keepLines/>
        <w:tabs>
          <w:tab w:val="clear" w:pos="567"/>
          <w:tab w:val="clear" w:pos="1134"/>
          <w:tab w:val="clear" w:pos="1701"/>
          <w:tab w:val="clear" w:pos="2268"/>
        </w:tabs>
        <w:spacing w:before="120" w:after="120"/>
        <w:ind w:left="567" w:hanging="567"/>
        <w:rPr>
          <w:rFonts w:eastAsiaTheme="majorEastAsia" w:cstheme="majorBidi"/>
          <w:b/>
          <w:sz w:val="24"/>
          <w:szCs w:val="26"/>
          <w:lang w:val="fr-CA"/>
        </w:rPr>
      </w:pPr>
      <w:r w:rsidRPr="00C87559">
        <w:rPr>
          <w:rFonts w:eastAsiaTheme="majorEastAsia" w:cstheme="majorBidi"/>
          <w:b/>
          <w:sz w:val="24"/>
          <w:szCs w:val="26"/>
          <w:lang w:val="fr-CA"/>
        </w:rPr>
        <w:t>II.</w:t>
      </w:r>
      <w:r w:rsidR="009D5C00">
        <w:rPr>
          <w:rFonts w:eastAsiaTheme="majorEastAsia" w:cstheme="majorBidi"/>
          <w:b/>
          <w:sz w:val="24"/>
          <w:szCs w:val="26"/>
          <w:lang w:val="fr-CA"/>
        </w:rPr>
        <w:t xml:space="preserve">    </w:t>
      </w:r>
      <w:r w:rsidRPr="00C87559">
        <w:rPr>
          <w:rFonts w:eastAsiaTheme="majorEastAsia" w:cstheme="majorBidi"/>
          <w:b/>
          <w:sz w:val="24"/>
          <w:szCs w:val="26"/>
          <w:lang w:val="fr-CA"/>
        </w:rPr>
        <w:t>Procédure relative à la prévention et à la gestion des conflits d’intérêts au sein des groupes d’experts</w:t>
      </w:r>
    </w:p>
    <w:p w14:paraId="4193B660" w14:textId="77777777" w:rsidR="00C87559" w:rsidRPr="00C87559" w:rsidRDefault="00C87559" w:rsidP="00C87559">
      <w:pPr>
        <w:tabs>
          <w:tab w:val="clear" w:pos="567"/>
          <w:tab w:val="clear" w:pos="1134"/>
          <w:tab w:val="clear" w:pos="1701"/>
          <w:tab w:val="clear" w:pos="2268"/>
        </w:tabs>
        <w:spacing w:before="120" w:after="120"/>
        <w:ind w:left="567" w:firstLine="567"/>
        <w:rPr>
          <w:rFonts w:eastAsia="Times New Roman"/>
          <w:i/>
          <w:kern w:val="22"/>
          <w:lang w:val="fr-CA"/>
        </w:rPr>
      </w:pPr>
      <w:r w:rsidRPr="00C87559">
        <w:rPr>
          <w:rFonts w:eastAsia="Times New Roman"/>
          <w:i/>
          <w:iCs/>
          <w:szCs w:val="24"/>
          <w:lang w:val="fr-CA"/>
        </w:rPr>
        <w:t>La Conférence des Parties siégeant en tant que réunion des Parties au Protocole de Nagoya sur l’accès et le partage des avantages,</w:t>
      </w:r>
    </w:p>
    <w:p w14:paraId="5AC8614E" w14:textId="029C19D3" w:rsidR="00C87559" w:rsidRPr="00C87559" w:rsidRDefault="00C87559" w:rsidP="00EF26F6">
      <w:pPr>
        <w:tabs>
          <w:tab w:val="clear" w:pos="567"/>
          <w:tab w:val="clear" w:pos="1134"/>
          <w:tab w:val="clear" w:pos="1701"/>
          <w:tab w:val="clear" w:pos="2268"/>
        </w:tabs>
        <w:spacing w:before="120" w:after="120"/>
        <w:ind w:left="567" w:firstLine="567"/>
        <w:rPr>
          <w:rFonts w:eastAsia="Times New Roman"/>
          <w:iCs/>
          <w:kern w:val="22"/>
          <w:lang w:val="fr-CA"/>
        </w:rPr>
      </w:pPr>
      <w:r w:rsidRPr="00C87559">
        <w:rPr>
          <w:rFonts w:eastAsia="Times New Roman"/>
          <w:i/>
          <w:lang w:val="fr-CA"/>
        </w:rPr>
        <w:t xml:space="preserve">Rappelant </w:t>
      </w:r>
      <w:r w:rsidRPr="00C87559">
        <w:rPr>
          <w:rFonts w:eastAsia="Times New Roman"/>
          <w:szCs w:val="24"/>
          <w:lang w:val="fr-CA"/>
        </w:rPr>
        <w:t>l</w:t>
      </w:r>
      <w:r w:rsidR="00014BFD">
        <w:rPr>
          <w:rFonts w:eastAsia="Times New Roman"/>
          <w:szCs w:val="24"/>
          <w:lang w:val="fr-CA"/>
        </w:rPr>
        <w:t>a</w:t>
      </w:r>
      <w:r w:rsidRPr="00C87559">
        <w:rPr>
          <w:rFonts w:eastAsia="Times New Roman"/>
          <w:szCs w:val="24"/>
          <w:lang w:val="fr-CA"/>
        </w:rPr>
        <w:t xml:space="preserve"> décision</w:t>
      </w:r>
      <w:r w:rsidR="00014BFD">
        <w:rPr>
          <w:rFonts w:eastAsia="Times New Roman"/>
          <w:szCs w:val="24"/>
          <w:lang w:val="fr-CA"/>
        </w:rPr>
        <w:t> </w:t>
      </w:r>
      <w:r w:rsidRPr="00C87559">
        <w:rPr>
          <w:rFonts w:eastAsia="Times New Roman"/>
          <w:szCs w:val="24"/>
          <w:lang w:val="fr-CA"/>
        </w:rPr>
        <w:t>NP-3/11 du 29 novembre 2018,</w:t>
      </w:r>
    </w:p>
    <w:p w14:paraId="5449E4C5" w14:textId="77777777" w:rsidR="00C87559" w:rsidRPr="00C87559" w:rsidRDefault="00C87559" w:rsidP="00EF26F6">
      <w:pPr>
        <w:tabs>
          <w:tab w:val="clear" w:pos="567"/>
          <w:tab w:val="clear" w:pos="1134"/>
          <w:tab w:val="clear" w:pos="1701"/>
          <w:tab w:val="clear" w:pos="2268"/>
        </w:tabs>
        <w:spacing w:before="120" w:after="120"/>
        <w:ind w:left="567" w:firstLine="567"/>
        <w:rPr>
          <w:rFonts w:eastAsia="Times New Roman"/>
          <w:iCs/>
          <w:kern w:val="22"/>
          <w:lang w:val="fr-CA"/>
        </w:rPr>
      </w:pPr>
      <w:r w:rsidRPr="00C87559">
        <w:rPr>
          <w:rFonts w:eastAsia="Times New Roman"/>
          <w:i/>
          <w:lang w:val="fr-CA"/>
        </w:rPr>
        <w:t xml:space="preserve">Ayant étudié </w:t>
      </w:r>
      <w:r w:rsidRPr="00C87559">
        <w:rPr>
          <w:rFonts w:eastAsia="Times New Roman"/>
          <w:szCs w:val="24"/>
          <w:lang w:val="fr-CA"/>
        </w:rPr>
        <w:t>le rapport du Secrétariat de la Convention sur la diversité biologique</w:t>
      </w:r>
      <w:r w:rsidRPr="00C87559">
        <w:rPr>
          <w:rFonts w:eastAsia="Times New Roman"/>
          <w:iCs/>
          <w:kern w:val="22"/>
          <w:vertAlign w:val="superscript"/>
          <w:lang w:val="fr-CA"/>
        </w:rPr>
        <w:footnoteReference w:id="50"/>
      </w:r>
      <w:r w:rsidRPr="00C87559">
        <w:rPr>
          <w:rFonts w:eastAsia="Times New Roman"/>
          <w:szCs w:val="24"/>
          <w:lang w:val="fr-CA"/>
        </w:rPr>
        <w:t xml:space="preserve"> sur l’application de la procédure relative à la prévention et à la gestion des conflits d’intérêts au sein des groupes d’experts,</w:t>
      </w:r>
      <w:r w:rsidRPr="00C87559">
        <w:rPr>
          <w:rFonts w:eastAsia="Times New Roman"/>
          <w:iCs/>
          <w:kern w:val="22"/>
          <w:vertAlign w:val="superscript"/>
          <w:lang w:val="fr-CA"/>
        </w:rPr>
        <w:footnoteReference w:id="51"/>
      </w:r>
    </w:p>
    <w:p w14:paraId="31DA47F0" w14:textId="77777777" w:rsidR="00C87559" w:rsidRPr="00C87559" w:rsidRDefault="00C87559" w:rsidP="00EF26F6">
      <w:pPr>
        <w:tabs>
          <w:tab w:val="clear" w:pos="567"/>
          <w:tab w:val="clear" w:pos="1134"/>
          <w:tab w:val="clear" w:pos="1701"/>
          <w:tab w:val="clear" w:pos="2268"/>
        </w:tabs>
        <w:spacing w:before="120" w:after="120"/>
        <w:ind w:left="567" w:firstLine="567"/>
        <w:rPr>
          <w:rFonts w:eastAsia="Times New Roman"/>
          <w:kern w:val="22"/>
          <w:lang w:val="fr-CA"/>
        </w:rPr>
      </w:pPr>
      <w:r w:rsidRPr="00C87559">
        <w:rPr>
          <w:rFonts w:eastAsia="Times New Roman"/>
          <w:i/>
          <w:lang w:val="fr-CA"/>
        </w:rPr>
        <w:t xml:space="preserve">Tenant compte </w:t>
      </w:r>
      <w:r w:rsidRPr="00C87559">
        <w:rPr>
          <w:rFonts w:eastAsia="Times New Roman"/>
          <w:szCs w:val="24"/>
          <w:lang w:val="fr-CA"/>
        </w:rPr>
        <w:t>de l’utilisation effective de la procédure relative à la prévention et à la gestion des conflits d’intérêts</w:t>
      </w:r>
      <w:r w:rsidRPr="00C87559">
        <w:rPr>
          <w:rFonts w:eastAsia="Times New Roman"/>
          <w:iCs/>
          <w:kern w:val="22"/>
          <w:vertAlign w:val="superscript"/>
          <w:lang w:val="fr-CA"/>
        </w:rPr>
        <w:footnoteReference w:id="52"/>
      </w:r>
      <w:r w:rsidRPr="00C87559">
        <w:rPr>
          <w:rFonts w:eastAsia="Times New Roman"/>
          <w:szCs w:val="24"/>
          <w:lang w:val="fr-CA"/>
        </w:rPr>
        <w:t xml:space="preserve"> lors de la sélection des experts qui siégeront dans les groupes d’experts techniques réunis lors des processus au titre de la Convention et de ses Protocoles,</w:t>
      </w:r>
    </w:p>
    <w:p w14:paraId="1E068B05" w14:textId="77777777"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1.</w:t>
      </w:r>
      <w:r w:rsidRPr="00C87559">
        <w:rPr>
          <w:rFonts w:eastAsia="Times New Roman"/>
          <w:szCs w:val="24"/>
          <w:lang w:val="fr-CA"/>
        </w:rPr>
        <w:tab/>
      </w:r>
      <w:r w:rsidRPr="00C87559">
        <w:rPr>
          <w:rFonts w:eastAsia="Times New Roman"/>
          <w:i/>
          <w:iCs/>
          <w:lang w:val="fr-CA"/>
        </w:rPr>
        <w:t>Approuve</w:t>
      </w:r>
      <w:r w:rsidRPr="00C87559">
        <w:rPr>
          <w:rFonts w:eastAsia="Times New Roman"/>
          <w:szCs w:val="24"/>
          <w:lang w:val="fr-CA"/>
        </w:rPr>
        <w:t xml:space="preserve"> les amendements suivants au formulaire de déclaration d’intérêts, contenu dans l’appendice de la procédure :</w:t>
      </w:r>
    </w:p>
    <w:p w14:paraId="7C100792" w14:textId="0681EDDF"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a)</w:t>
      </w:r>
      <w:r w:rsidRPr="00C87559">
        <w:rPr>
          <w:rFonts w:eastAsia="Times New Roman"/>
          <w:szCs w:val="24"/>
          <w:lang w:val="fr-CA"/>
        </w:rPr>
        <w:tab/>
        <w:t>Dans la phrase de déclaration à la fin du formulaire, le texte suivant est inséré : « Si je suis sélectionné pour devenir membre du groupe d’experts, je m’engage à exercer mes fonctions et mes responsabilités en toute objectivité et, dans le cas où un conflit d’intérêts potentiel est établi, je m’engage à m’abstenir de participer aux discussions et décisions concernées, selon le cas.</w:t>
      </w:r>
      <w:r w:rsidR="00EE54EF">
        <w:rPr>
          <w:rFonts w:eastAsia="Times New Roman"/>
          <w:szCs w:val="24"/>
          <w:lang w:val="fr-CA"/>
        </w:rPr>
        <w:t> </w:t>
      </w:r>
      <w:r w:rsidRPr="00C87559">
        <w:rPr>
          <w:rFonts w:eastAsia="Times New Roman"/>
          <w:szCs w:val="24"/>
          <w:lang w:val="fr-CA"/>
        </w:rPr>
        <w:t>» ;</w:t>
      </w:r>
    </w:p>
    <w:p w14:paraId="0DFF5431" w14:textId="65553161" w:rsidR="00C87559" w:rsidRPr="00C87559" w:rsidRDefault="00C87559" w:rsidP="00EF26F6">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b)</w:t>
      </w:r>
      <w:r w:rsidRPr="00C87559">
        <w:rPr>
          <w:rFonts w:eastAsia="Times New Roman"/>
          <w:szCs w:val="24"/>
          <w:lang w:val="fr-CA"/>
        </w:rPr>
        <w:tab/>
        <w:t>Un champ «</w:t>
      </w:r>
      <w:r w:rsidR="00EE54EF">
        <w:rPr>
          <w:rFonts w:eastAsia="Times New Roman"/>
          <w:szCs w:val="24"/>
          <w:lang w:val="fr-CA"/>
        </w:rPr>
        <w:t> </w:t>
      </w:r>
      <w:r w:rsidRPr="00C87559">
        <w:rPr>
          <w:rFonts w:eastAsia="Times New Roman"/>
          <w:szCs w:val="24"/>
          <w:lang w:val="fr-CA"/>
        </w:rPr>
        <w:t>Nom ou description du groupe d’experts</w:t>
      </w:r>
      <w:r w:rsidR="00EE54EF">
        <w:rPr>
          <w:rFonts w:eastAsia="Times New Roman"/>
          <w:szCs w:val="24"/>
          <w:lang w:val="fr-CA"/>
        </w:rPr>
        <w:t> </w:t>
      </w:r>
      <w:r w:rsidRPr="00C87559">
        <w:rPr>
          <w:rFonts w:eastAsia="Times New Roman"/>
          <w:szCs w:val="24"/>
          <w:lang w:val="fr-CA"/>
        </w:rPr>
        <w:t>» est ajouté au début du formulaire de déclaration d’intérêts, avant le champ «</w:t>
      </w:r>
      <w:r w:rsidR="00EE54EF">
        <w:rPr>
          <w:rFonts w:eastAsia="Times New Roman"/>
          <w:szCs w:val="24"/>
          <w:lang w:val="fr-CA"/>
        </w:rPr>
        <w:t> </w:t>
      </w:r>
      <w:r w:rsidRPr="00C87559">
        <w:rPr>
          <w:rFonts w:eastAsia="Times New Roman"/>
          <w:szCs w:val="24"/>
          <w:lang w:val="fr-CA"/>
        </w:rPr>
        <w:t>Nom</w:t>
      </w:r>
      <w:r w:rsidR="00EE54EF">
        <w:rPr>
          <w:rFonts w:eastAsia="Times New Roman"/>
          <w:szCs w:val="24"/>
          <w:lang w:val="fr-CA"/>
        </w:rPr>
        <w:t> </w:t>
      </w:r>
      <w:r w:rsidRPr="00C87559">
        <w:rPr>
          <w:rFonts w:eastAsia="Times New Roman"/>
          <w:szCs w:val="24"/>
          <w:lang w:val="fr-CA"/>
        </w:rPr>
        <w:t>», et un champ «</w:t>
      </w:r>
      <w:r w:rsidR="00EE54EF">
        <w:rPr>
          <w:rFonts w:eastAsia="Times New Roman"/>
          <w:szCs w:val="24"/>
          <w:lang w:val="fr-CA"/>
        </w:rPr>
        <w:t> </w:t>
      </w:r>
      <w:r w:rsidRPr="00C87559">
        <w:rPr>
          <w:rFonts w:eastAsia="Times New Roman"/>
          <w:szCs w:val="24"/>
          <w:lang w:val="fr-CA"/>
        </w:rPr>
        <w:t>Intitulé de la fonction</w:t>
      </w:r>
      <w:r w:rsidR="00EE54EF">
        <w:rPr>
          <w:rFonts w:eastAsia="Times New Roman"/>
          <w:szCs w:val="24"/>
          <w:lang w:val="fr-CA"/>
        </w:rPr>
        <w:t> </w:t>
      </w:r>
      <w:r w:rsidRPr="00C87559">
        <w:rPr>
          <w:rFonts w:eastAsia="Times New Roman"/>
          <w:szCs w:val="24"/>
          <w:lang w:val="fr-CA"/>
        </w:rPr>
        <w:t>» est ajouté après le champ «</w:t>
      </w:r>
      <w:r w:rsidR="00EE54EF">
        <w:rPr>
          <w:rFonts w:eastAsia="Times New Roman"/>
          <w:szCs w:val="24"/>
          <w:lang w:val="fr-CA"/>
        </w:rPr>
        <w:t> </w:t>
      </w:r>
      <w:r w:rsidRPr="00C87559">
        <w:rPr>
          <w:rFonts w:eastAsia="Times New Roman"/>
          <w:szCs w:val="24"/>
          <w:lang w:val="fr-CA"/>
        </w:rPr>
        <w:t>Employeur actuel</w:t>
      </w:r>
      <w:r w:rsidR="00EE54EF">
        <w:rPr>
          <w:rFonts w:eastAsia="Times New Roman"/>
          <w:szCs w:val="24"/>
          <w:lang w:val="fr-CA"/>
        </w:rPr>
        <w:t> </w:t>
      </w:r>
      <w:r w:rsidRPr="00C87559">
        <w:rPr>
          <w:rFonts w:eastAsia="Times New Roman"/>
          <w:szCs w:val="24"/>
          <w:lang w:val="fr-CA"/>
        </w:rPr>
        <w:t>»</w:t>
      </w:r>
      <w:r w:rsidR="00EE54EF">
        <w:rPr>
          <w:rFonts w:eastAsia="Times New Roman"/>
          <w:szCs w:val="24"/>
          <w:lang w:val="fr-CA"/>
        </w:rPr>
        <w:t> </w:t>
      </w:r>
      <w:r w:rsidRPr="00C87559">
        <w:rPr>
          <w:rFonts w:eastAsia="Times New Roman"/>
          <w:szCs w:val="24"/>
          <w:lang w:val="fr-CA"/>
        </w:rPr>
        <w:t>;</w:t>
      </w:r>
    </w:p>
    <w:p w14:paraId="174DA1DD" w14:textId="71BCEF62"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2.</w:t>
      </w:r>
      <w:r w:rsidRPr="00C87559">
        <w:rPr>
          <w:rFonts w:eastAsia="Times New Roman"/>
          <w:szCs w:val="24"/>
          <w:lang w:val="fr-CA"/>
        </w:rPr>
        <w:tab/>
      </w:r>
      <w:r w:rsidRPr="00C87559">
        <w:rPr>
          <w:rFonts w:eastAsia="Times New Roman"/>
          <w:i/>
          <w:iCs/>
          <w:lang w:val="fr-CA"/>
        </w:rPr>
        <w:t>Prie</w:t>
      </w:r>
      <w:r w:rsidRPr="00C87559">
        <w:rPr>
          <w:rFonts w:eastAsia="Times New Roman"/>
          <w:szCs w:val="24"/>
          <w:lang w:val="fr-CA"/>
        </w:rPr>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w:t>
      </w:r>
      <w:r w:rsidR="00EE54EF">
        <w:rPr>
          <w:rFonts w:eastAsia="Times New Roman"/>
          <w:szCs w:val="24"/>
          <w:lang w:val="fr-CA"/>
        </w:rPr>
        <w:t> </w:t>
      </w:r>
      <w:r w:rsidRPr="00C87559">
        <w:rPr>
          <w:rFonts w:eastAsia="Times New Roman"/>
          <w:szCs w:val="24"/>
          <w:lang w:val="fr-CA"/>
        </w:rPr>
        <w:t>;</w:t>
      </w:r>
    </w:p>
    <w:p w14:paraId="18474865" w14:textId="353D1123"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lastRenderedPageBreak/>
        <w:t>3.</w:t>
      </w:r>
      <w:r w:rsidRPr="00C87559">
        <w:rPr>
          <w:rFonts w:eastAsia="Times New Roman"/>
          <w:szCs w:val="24"/>
          <w:lang w:val="fr-CA"/>
        </w:rPr>
        <w:tab/>
      </w:r>
      <w:r w:rsidRPr="00C87559">
        <w:rPr>
          <w:rFonts w:eastAsia="Times New Roman"/>
          <w:i/>
          <w:iCs/>
          <w:lang w:val="fr-CA"/>
        </w:rPr>
        <w:t xml:space="preserve">Prie également </w:t>
      </w:r>
      <w:r w:rsidRPr="00C87559">
        <w:rPr>
          <w:rFonts w:eastAsia="Times New Roman"/>
          <w:szCs w:val="24"/>
          <w:lang w:val="fr-CA"/>
        </w:rPr>
        <w:t>la Secrétaire exécutive de prendre des mesures, selon qu’il conviendra, pour améliorer la mise en œuvre de la procédure, en consultation avec le Bureau de l’Organe subsidiaire chargé de fournir des avis scientifiques, techniques et technologiques ou avec la Conférence des Parties</w:t>
      </w:r>
      <w:r w:rsidR="00014BFD">
        <w:rPr>
          <w:rFonts w:eastAsia="Times New Roman"/>
          <w:szCs w:val="24"/>
          <w:lang w:val="fr-CA"/>
        </w:rPr>
        <w:t xml:space="preserve"> siégeant en tant que réunion des Parties au Protocole de Nagoya</w:t>
      </w:r>
      <w:r w:rsidRPr="00C87559">
        <w:rPr>
          <w:rFonts w:eastAsia="Times New Roman"/>
          <w:szCs w:val="24"/>
          <w:lang w:val="fr-CA"/>
        </w:rPr>
        <w:t xml:space="preserve">, y compris : </w:t>
      </w:r>
    </w:p>
    <w:p w14:paraId="01B10B82" w14:textId="77777777"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[a)</w:t>
      </w:r>
      <w:r w:rsidRPr="00C87559">
        <w:rPr>
          <w:rFonts w:eastAsia="Times New Roman"/>
          <w:szCs w:val="24"/>
          <w:lang w:val="fr-CA"/>
        </w:rPr>
        <w:tab/>
        <w:t>En examinant, pour en vérifier l’exactitude, les informations fournies dans les formulaires de déclaration d’intérêts soumis par les experts désignés ;]</w:t>
      </w:r>
    </w:p>
    <w:p w14:paraId="00133247" w14:textId="2A4CB29A"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b)</w:t>
      </w:r>
      <w:r w:rsidRPr="00C87559">
        <w:rPr>
          <w:rFonts w:eastAsia="Times New Roman"/>
          <w:szCs w:val="24"/>
          <w:lang w:val="fr-CA"/>
        </w:rPr>
        <w:tab/>
        <w:t>Sans préjudice du point b) du paragraphe 4.4 de la procédure, en divulguant aux autres membres du groupe d’experts et au début de toute réunion d’un groupe d’experts les conflits d’intérêts significatifs qui ont été déclarés par un membre particulier[ ou révélés par d’autres sources fiables]</w:t>
      </w:r>
      <w:r w:rsidR="00EE54EF">
        <w:rPr>
          <w:rFonts w:eastAsia="Times New Roman"/>
          <w:szCs w:val="24"/>
          <w:lang w:val="fr-CA"/>
        </w:rPr>
        <w:t> </w:t>
      </w:r>
      <w:r w:rsidRPr="00C87559">
        <w:rPr>
          <w:rFonts w:eastAsia="Times New Roman"/>
          <w:szCs w:val="24"/>
          <w:lang w:val="fr-CA"/>
        </w:rPr>
        <w:t>;</w:t>
      </w:r>
    </w:p>
    <w:p w14:paraId="7B7C7C2C" w14:textId="6F1096D0" w:rsidR="00C87559" w:rsidRPr="00C87559" w:rsidRDefault="00C87559" w:rsidP="00EF26F6">
      <w:pPr>
        <w:tabs>
          <w:tab w:val="clear" w:pos="567"/>
          <w:tab w:val="clear" w:pos="1134"/>
          <w:tab w:val="clear" w:pos="2268"/>
        </w:tabs>
        <w:spacing w:before="120" w:after="120"/>
        <w:ind w:left="567" w:firstLine="567"/>
        <w:rPr>
          <w:rFonts w:eastAsia="Times New Roman"/>
          <w:kern w:val="22"/>
          <w:lang w:val="fr-CA"/>
        </w:rPr>
      </w:pPr>
      <w:r w:rsidRPr="00C87559">
        <w:rPr>
          <w:rFonts w:eastAsia="Times New Roman"/>
          <w:szCs w:val="24"/>
          <w:lang w:val="fr-CA"/>
        </w:rPr>
        <w:t>c)</w:t>
      </w:r>
      <w:r w:rsidRPr="00C87559">
        <w:rPr>
          <w:rFonts w:eastAsia="Times New Roman"/>
          <w:szCs w:val="24"/>
          <w:lang w:val="fr-CA"/>
        </w:rPr>
        <w:tab/>
        <w:t>En publiant un résumé de toutes les déclarations faites et des mesures prises pour gérer tout conflit d’intérêts réel ou potentiel dans le rapport d’une réunion et dans tout autre résultat de travail ou produit d’un groupe d’experts</w:t>
      </w:r>
      <w:r w:rsidR="00EE54EF">
        <w:rPr>
          <w:rFonts w:eastAsia="Times New Roman"/>
          <w:szCs w:val="24"/>
          <w:lang w:val="fr-CA"/>
        </w:rPr>
        <w:t> </w:t>
      </w:r>
      <w:r w:rsidRPr="00C87559">
        <w:rPr>
          <w:rFonts w:eastAsia="Times New Roman"/>
          <w:szCs w:val="24"/>
          <w:lang w:val="fr-CA"/>
        </w:rPr>
        <w:t>;</w:t>
      </w:r>
    </w:p>
    <w:p w14:paraId="71B4A587" w14:textId="02C665A4" w:rsidR="00C87559" w:rsidRPr="00C87559" w:rsidRDefault="00C87559" w:rsidP="00EF26F6">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[4.</w:t>
      </w:r>
      <w:r w:rsidRPr="00C87559">
        <w:rPr>
          <w:rFonts w:eastAsia="Times New Roman"/>
          <w:szCs w:val="24"/>
          <w:lang w:val="fr-CA"/>
        </w:rPr>
        <w:tab/>
      </w:r>
      <w:r w:rsidRPr="00C87559">
        <w:rPr>
          <w:rFonts w:eastAsia="Times New Roman"/>
          <w:i/>
          <w:iCs/>
          <w:lang w:val="fr-CA"/>
        </w:rPr>
        <w:t>Décide</w:t>
      </w:r>
      <w:r w:rsidRPr="00C87559">
        <w:rPr>
          <w:rFonts w:eastAsia="Times New Roman"/>
          <w:szCs w:val="24"/>
          <w:lang w:val="fr-CA"/>
        </w:rPr>
        <w:t xml:space="preserve"> d’examiner périodiquement la procédure et prie la Secrétaire exécutive d’établir un rapport sur la mise en œuvre de la procédure et, le cas échéant, de proposer des mises à jour et des modifications de la procédure pour examen par l’Organe subsidiaire chargé de l’application lors d’une réunion tenue avant la </w:t>
      </w:r>
      <w:r w:rsidR="00014BFD">
        <w:rPr>
          <w:rFonts w:eastAsia="Times New Roman"/>
          <w:szCs w:val="24"/>
          <w:lang w:val="fr-CA"/>
        </w:rPr>
        <w:t>huitième</w:t>
      </w:r>
      <w:r w:rsidRPr="00C87559">
        <w:rPr>
          <w:rFonts w:eastAsia="Times New Roman"/>
          <w:szCs w:val="24"/>
          <w:lang w:val="fr-CA"/>
        </w:rPr>
        <w:t xml:space="preserve"> réunion de la Conférence des Parties</w:t>
      </w:r>
      <w:r w:rsidR="00014BFD">
        <w:rPr>
          <w:rFonts w:eastAsia="Times New Roman"/>
          <w:szCs w:val="24"/>
          <w:lang w:val="fr-CA"/>
        </w:rPr>
        <w:t xml:space="preserve"> siégeant en tant que réunion des Parties au Protocole de Nagoya</w:t>
      </w:r>
      <w:r w:rsidRPr="00C87559">
        <w:rPr>
          <w:rFonts w:eastAsia="Times New Roman"/>
          <w:szCs w:val="24"/>
          <w:lang w:val="fr-CA"/>
        </w:rPr>
        <w:t> ;]</w:t>
      </w:r>
    </w:p>
    <w:p w14:paraId="3A3F1D8F" w14:textId="27647A44" w:rsidR="00C87559" w:rsidRPr="00C87559" w:rsidRDefault="00C87559" w:rsidP="00EF26F6">
      <w:pPr>
        <w:tabs>
          <w:tab w:val="clear" w:pos="567"/>
          <w:tab w:val="clear" w:pos="1134"/>
          <w:tab w:val="clear" w:pos="2268"/>
        </w:tabs>
        <w:spacing w:before="120" w:after="120"/>
        <w:ind w:left="567" w:firstLine="567"/>
        <w:rPr>
          <w:rFonts w:eastAsia="Times New Roman"/>
          <w:szCs w:val="24"/>
          <w:lang w:val="fr-CA"/>
        </w:rPr>
      </w:pPr>
      <w:r w:rsidRPr="00C87559">
        <w:rPr>
          <w:rFonts w:eastAsia="Times New Roman"/>
          <w:szCs w:val="24"/>
          <w:lang w:val="fr-CA"/>
        </w:rPr>
        <w:t>[5.</w:t>
      </w:r>
      <w:r w:rsidRPr="00C87559">
        <w:rPr>
          <w:rFonts w:eastAsia="Times New Roman"/>
          <w:szCs w:val="24"/>
          <w:lang w:val="fr-CA"/>
        </w:rPr>
        <w:tab/>
      </w:r>
      <w:r w:rsidRPr="00C87559">
        <w:rPr>
          <w:rFonts w:eastAsia="Times New Roman"/>
          <w:i/>
          <w:iCs/>
          <w:lang w:val="fr-CA"/>
        </w:rPr>
        <w:t>Demande</w:t>
      </w:r>
      <w:r w:rsidRPr="00C87559">
        <w:rPr>
          <w:rFonts w:eastAsia="Times New Roman"/>
          <w:szCs w:val="24"/>
          <w:lang w:val="fr-CA"/>
        </w:rPr>
        <w:t xml:space="preserve"> à l’Organe subsidiaire chargé de l’application d’examiner le rapport et toute proposition d’amendement visée au paragraphe 4 ci-dessus et de soumettre une recommandation pour examen par la Conférence des Parties</w:t>
      </w:r>
      <w:r w:rsidR="00014BFD" w:rsidRPr="00014BFD">
        <w:rPr>
          <w:rFonts w:eastAsia="Times New Roman"/>
          <w:szCs w:val="24"/>
          <w:lang w:val="fr-CA"/>
        </w:rPr>
        <w:t xml:space="preserve"> </w:t>
      </w:r>
      <w:r w:rsidR="00014BFD">
        <w:rPr>
          <w:rFonts w:eastAsia="Times New Roman"/>
          <w:szCs w:val="24"/>
          <w:lang w:val="fr-CA"/>
        </w:rPr>
        <w:t>siégeant en tant que réunion des Parties au Protocole de Nagoya</w:t>
      </w:r>
      <w:r w:rsidRPr="00C87559">
        <w:rPr>
          <w:rFonts w:eastAsia="Times New Roman"/>
          <w:szCs w:val="24"/>
          <w:lang w:val="fr-CA"/>
        </w:rPr>
        <w:t xml:space="preserve"> à sa </w:t>
      </w:r>
      <w:r w:rsidR="00014BFD">
        <w:rPr>
          <w:rFonts w:eastAsia="Times New Roman"/>
          <w:szCs w:val="24"/>
          <w:lang w:val="fr-CA"/>
        </w:rPr>
        <w:t>huitième</w:t>
      </w:r>
      <w:r w:rsidRPr="00C87559">
        <w:rPr>
          <w:rFonts w:eastAsia="Times New Roman"/>
          <w:szCs w:val="24"/>
          <w:lang w:val="fr-CA"/>
        </w:rPr>
        <w:t xml:space="preserve"> réunion.]</w:t>
      </w:r>
    </w:p>
    <w:p w14:paraId="0CDF71BB" w14:textId="77777777" w:rsidR="004D2542" w:rsidRPr="00084920" w:rsidRDefault="004D2542" w:rsidP="00EF26F6">
      <w:pPr>
        <w:pStyle w:val="CBDNormalNoNumber"/>
        <w:ind w:firstLine="567"/>
        <w:rPr>
          <w:lang w:val="fr-FR"/>
        </w:rPr>
      </w:pPr>
    </w:p>
    <w:p w14:paraId="689E94C2" w14:textId="77777777" w:rsidR="004D2542" w:rsidRPr="00084920" w:rsidRDefault="004D2542" w:rsidP="00EF26F6">
      <w:pPr>
        <w:pStyle w:val="CBDNormalNoNumber"/>
        <w:ind w:firstLine="567"/>
        <w:rPr>
          <w:lang w:val="fr-FR"/>
        </w:rPr>
      </w:pPr>
    </w:p>
    <w:p w14:paraId="4C64C9C6" w14:textId="77777777" w:rsidR="00670C2C" w:rsidRPr="00084920" w:rsidRDefault="00670C2C" w:rsidP="004B4FCB">
      <w:pPr>
        <w:pStyle w:val="CBDAnnex"/>
        <w:spacing w:before="240"/>
        <w:outlineLvl w:val="0"/>
        <w:rPr>
          <w:lang w:val="fr-FR"/>
        </w:rPr>
        <w:sectPr w:rsidR="00670C2C" w:rsidRPr="00084920" w:rsidSect="00A253D1">
          <w:pgSz w:w="12240" w:h="15840"/>
          <w:pgMar w:top="1134" w:right="1440" w:bottom="1134" w:left="1440" w:header="709" w:footer="709" w:gutter="0"/>
          <w:cols w:space="708"/>
          <w:docGrid w:linePitch="360"/>
        </w:sectPr>
      </w:pPr>
    </w:p>
    <w:p w14:paraId="0513094B" w14:textId="6542FB8F" w:rsidR="004E753D" w:rsidRPr="00084920" w:rsidRDefault="00C87559" w:rsidP="004B4FCB">
      <w:pPr>
        <w:pStyle w:val="CBDAnnex"/>
        <w:spacing w:before="240"/>
        <w:outlineLvl w:val="0"/>
        <w:rPr>
          <w:lang w:val="fr-FR"/>
        </w:rPr>
      </w:pPr>
      <w:bookmarkStart w:id="27" w:name="_Toc178159946"/>
      <w:r>
        <w:rPr>
          <w:lang w:val="fr-FR"/>
        </w:rPr>
        <w:lastRenderedPageBreak/>
        <w:t>Point</w:t>
      </w:r>
      <w:r w:rsidR="00EE54EF">
        <w:rPr>
          <w:lang w:val="fr-FR"/>
        </w:rPr>
        <w:t> </w:t>
      </w:r>
      <w:r w:rsidR="004E753D" w:rsidRPr="00084920">
        <w:rPr>
          <w:lang w:val="fr-FR"/>
        </w:rPr>
        <w:t>13</w:t>
      </w:r>
      <w:r w:rsidR="00125526" w:rsidRPr="00084920">
        <w:rPr>
          <w:lang w:val="fr-FR"/>
        </w:rPr>
        <w:t xml:space="preserve"> </w:t>
      </w:r>
      <w:r w:rsidR="00125526" w:rsidRPr="00084920">
        <w:rPr>
          <w:lang w:val="fr-FR"/>
        </w:rPr>
        <w:br/>
      </w:r>
      <w:bookmarkEnd w:id="27"/>
      <w:r w:rsidRPr="00C87559">
        <w:rPr>
          <w:lang w:val="fr-FR"/>
        </w:rPr>
        <w:t>Renforcer l’application du Protocole de Nagoya dans le contexte du Cadre mondial de biodiversité de Kunming-Montréal</w:t>
      </w:r>
    </w:p>
    <w:tbl>
      <w:tblPr>
        <w:tblStyle w:val="Grilledutableau"/>
        <w:tblW w:w="0" w:type="auto"/>
        <w:tblLook w:val="04A0" w:firstRow="1" w:lastRow="0" w:firstColumn="1" w:lastColumn="0" w:noHBand="0" w:noVBand="1"/>
      </w:tblPr>
      <w:tblGrid>
        <w:gridCol w:w="9350"/>
      </w:tblGrid>
      <w:tr w:rsidR="004D2542" w:rsidRPr="00084920" w14:paraId="0B17D4C9" w14:textId="77777777" w:rsidTr="00557F83">
        <w:tc>
          <w:tcPr>
            <w:tcW w:w="9350" w:type="dxa"/>
            <w:tcBorders>
              <w:left w:val="nil"/>
              <w:right w:val="nil"/>
            </w:tcBorders>
          </w:tcPr>
          <w:p w14:paraId="60146FF4" w14:textId="17728673" w:rsidR="004D2542" w:rsidRPr="00084920" w:rsidRDefault="00C87559" w:rsidP="0053455E">
            <w:pPr>
              <w:pStyle w:val="CBDNormalNoNumber"/>
              <w:tabs>
                <w:tab w:val="clear" w:pos="567"/>
              </w:tabs>
              <w:spacing w:before="60" w:after="60"/>
              <w:ind w:left="0" w:firstLine="596"/>
              <w:rPr>
                <w:lang w:val="fr-FR"/>
              </w:rPr>
            </w:pPr>
            <w:r>
              <w:rPr>
                <w:i/>
                <w:iCs/>
                <w:lang w:val="fr-FR"/>
              </w:rPr>
              <w:t xml:space="preserve">Le projet de décision suivant a été reproduit </w:t>
            </w:r>
            <w:r w:rsidR="00E34AE8">
              <w:rPr>
                <w:i/>
                <w:iCs/>
                <w:lang w:val="fr-FR"/>
              </w:rPr>
              <w:t>à partir du</w:t>
            </w:r>
            <w:r>
              <w:rPr>
                <w:i/>
                <w:iCs/>
                <w:lang w:val="fr-FR"/>
              </w:rPr>
              <w:t xml:space="preserve"> document </w:t>
            </w:r>
            <w:r w:rsidR="0053455E" w:rsidRPr="00084920">
              <w:rPr>
                <w:i/>
                <w:iCs/>
                <w:lang w:val="fr-FR"/>
              </w:rPr>
              <w:t>CBD/NP/MOP/5/</w:t>
            </w:r>
            <w:r w:rsidR="006E3A10" w:rsidRPr="00084920">
              <w:rPr>
                <w:i/>
                <w:iCs/>
                <w:lang w:val="fr-FR"/>
              </w:rPr>
              <w:t>9</w:t>
            </w:r>
            <w:r w:rsidR="00413949" w:rsidRPr="00084920">
              <w:rPr>
                <w:i/>
                <w:iCs/>
                <w:lang w:val="fr-FR"/>
              </w:rPr>
              <w:t>.</w:t>
            </w:r>
          </w:p>
        </w:tc>
      </w:tr>
    </w:tbl>
    <w:p w14:paraId="3B777348" w14:textId="77777777" w:rsidR="00C87559" w:rsidRPr="00C87559" w:rsidRDefault="00C87559" w:rsidP="00C87559">
      <w:pPr>
        <w:tabs>
          <w:tab w:val="clear" w:pos="1134"/>
        </w:tabs>
        <w:spacing w:before="120" w:after="120"/>
        <w:ind w:left="567" w:firstLine="567"/>
        <w:rPr>
          <w:i/>
          <w:iCs/>
          <w:lang w:val="fr-CA"/>
        </w:rPr>
      </w:pPr>
      <w:r w:rsidRPr="00C87559">
        <w:rPr>
          <w:i/>
          <w:iCs/>
          <w:lang w:val="fr-CA"/>
        </w:rPr>
        <w:t>La Conférence des Parties siégeant en tant que réunion des Parties au Protocole de Nagoya</w:t>
      </w:r>
      <w:r w:rsidRPr="00C87559">
        <w:rPr>
          <w:lang w:val="fr-CA"/>
        </w:rPr>
        <w:t>,</w:t>
      </w:r>
    </w:p>
    <w:p w14:paraId="708E5C62" w14:textId="3498CC91" w:rsidR="00C87559" w:rsidRPr="00C87559" w:rsidRDefault="00C87559" w:rsidP="00C87559">
      <w:pPr>
        <w:tabs>
          <w:tab w:val="clear" w:pos="1134"/>
        </w:tabs>
        <w:spacing w:before="120" w:after="120"/>
        <w:ind w:left="567" w:firstLine="567"/>
        <w:rPr>
          <w:i/>
          <w:iCs/>
          <w:lang w:val="fr-CA"/>
        </w:rPr>
      </w:pPr>
      <w:r w:rsidRPr="00C87559">
        <w:rPr>
          <w:i/>
          <w:iCs/>
          <w:lang w:val="fr-CA"/>
        </w:rPr>
        <w:t xml:space="preserve">Rappelant </w:t>
      </w:r>
      <w:r w:rsidRPr="00C87559">
        <w:rPr>
          <w:iCs/>
          <w:lang w:val="fr-CA"/>
        </w:rPr>
        <w:t>ses décisions</w:t>
      </w:r>
      <w:r w:rsidR="00EE54EF">
        <w:rPr>
          <w:iCs/>
          <w:lang w:val="fr-CA"/>
        </w:rPr>
        <w:t> </w:t>
      </w:r>
      <w:r w:rsidRPr="00C87559">
        <w:rPr>
          <w:iCs/>
          <w:lang w:val="fr-CA"/>
        </w:rPr>
        <w:t>NP-4/3 du 10</w:t>
      </w:r>
      <w:r w:rsidR="00EE54EF">
        <w:rPr>
          <w:iCs/>
          <w:lang w:val="fr-CA"/>
        </w:rPr>
        <w:t> </w:t>
      </w:r>
      <w:r w:rsidRPr="00C87559">
        <w:rPr>
          <w:iCs/>
          <w:lang w:val="fr-CA"/>
        </w:rPr>
        <w:t>décembre</w:t>
      </w:r>
      <w:r w:rsidR="00EE54EF">
        <w:rPr>
          <w:iCs/>
          <w:lang w:val="fr-CA"/>
        </w:rPr>
        <w:t> </w:t>
      </w:r>
      <w:r w:rsidRPr="00C87559">
        <w:rPr>
          <w:iCs/>
          <w:lang w:val="fr-CA"/>
        </w:rPr>
        <w:t>2022 et NP-4/5 du 19</w:t>
      </w:r>
      <w:r w:rsidR="00EE54EF">
        <w:rPr>
          <w:iCs/>
          <w:lang w:val="fr-CA"/>
        </w:rPr>
        <w:t> </w:t>
      </w:r>
      <w:r w:rsidRPr="00C87559">
        <w:rPr>
          <w:iCs/>
          <w:lang w:val="fr-CA"/>
        </w:rPr>
        <w:t>décembre</w:t>
      </w:r>
      <w:r w:rsidR="00EE54EF">
        <w:rPr>
          <w:iCs/>
          <w:lang w:val="fr-CA"/>
        </w:rPr>
        <w:t> </w:t>
      </w:r>
      <w:r w:rsidRPr="00C87559">
        <w:rPr>
          <w:iCs/>
          <w:lang w:val="fr-CA"/>
        </w:rPr>
        <w:t>2022</w:t>
      </w:r>
      <w:r w:rsidRPr="00C87559">
        <w:rPr>
          <w:lang w:val="fr-CA"/>
        </w:rPr>
        <w:t>,</w:t>
      </w:r>
    </w:p>
    <w:p w14:paraId="207B0388" w14:textId="77777777" w:rsidR="00C87559" w:rsidRPr="00C87559" w:rsidRDefault="00C87559" w:rsidP="00C87559">
      <w:pPr>
        <w:tabs>
          <w:tab w:val="clear" w:pos="1134"/>
        </w:tabs>
        <w:spacing w:before="120" w:after="120"/>
        <w:ind w:left="567" w:firstLine="567"/>
        <w:rPr>
          <w:lang w:val="fr-CA"/>
        </w:rPr>
      </w:pPr>
      <w:r w:rsidRPr="00C87559">
        <w:rPr>
          <w:i/>
          <w:iCs/>
          <w:lang w:val="fr-CA"/>
        </w:rPr>
        <w:t xml:space="preserve">Rappelant également </w:t>
      </w:r>
      <w:r w:rsidRPr="00C87559">
        <w:rPr>
          <w:iCs/>
          <w:lang w:val="fr-CA"/>
        </w:rPr>
        <w:t>que les objectifs et les cibles du Cadre mondial de la biodiversité de Kunming-Montréal</w:t>
      </w:r>
      <w:r w:rsidRPr="00C87559">
        <w:rPr>
          <w:vertAlign w:val="superscript"/>
          <w:lang w:val="fr-CA"/>
        </w:rPr>
        <w:footnoteReference w:id="53"/>
      </w:r>
      <w:r w:rsidRPr="00C87559">
        <w:rPr>
          <w:lang w:val="fr-CA"/>
        </w:rPr>
        <w:t xml:space="preserve"> sont intégrés et ont pour but de contribuer de manière équilibrée aux trois objectifs de la Convention sur la diversité biologique,</w:t>
      </w:r>
      <w:r w:rsidRPr="00C87559">
        <w:rPr>
          <w:vertAlign w:val="superscript"/>
          <w:lang w:val="fr-CA"/>
        </w:rPr>
        <w:footnoteReference w:id="54"/>
      </w:r>
    </w:p>
    <w:p w14:paraId="2A43297C" w14:textId="016A20D0" w:rsidR="00C87559" w:rsidRPr="00C87559" w:rsidRDefault="00C87559" w:rsidP="00C87559">
      <w:pPr>
        <w:spacing w:before="120" w:after="120"/>
        <w:ind w:left="567" w:firstLine="567"/>
        <w:rPr>
          <w:iCs/>
          <w:lang w:val="fr-CA"/>
        </w:rPr>
      </w:pPr>
      <w:r w:rsidRPr="00C87559">
        <w:rPr>
          <w:iCs/>
          <w:lang w:val="fr-CA"/>
        </w:rPr>
        <w:t>1.</w:t>
      </w:r>
      <w:r w:rsidRPr="00C87559">
        <w:rPr>
          <w:i/>
          <w:lang w:val="fr-CA"/>
        </w:rPr>
        <w:tab/>
        <w:t xml:space="preserve">Prend note </w:t>
      </w:r>
      <w:r w:rsidRPr="00C87559">
        <w:rPr>
          <w:lang w:val="fr-CA"/>
        </w:rPr>
        <w:t>de la décision</w:t>
      </w:r>
      <w:r w:rsidR="00EE54EF">
        <w:rPr>
          <w:lang w:val="fr-CA"/>
        </w:rPr>
        <w:t> </w:t>
      </w:r>
      <w:r w:rsidRPr="00C87559">
        <w:rPr>
          <w:lang w:val="fr-CA"/>
        </w:rPr>
        <w:t>16/-- de la Conférence des Parties sur les progrès réalisés dans la révision ou la mise à jour par les Parties des stratégies et plans d’action nationaux pour la biodiversité, y compris les objectifs nationaux, conformément au Cadre mondial de la biodiversité de Kunming-Montréal, et se réjouit des progrès accomplis par les Parties et les autres gouvernements concernant la communication des objectifs nationaux en vue de réaliser la cible</w:t>
      </w:r>
      <w:r w:rsidR="00EE54EF">
        <w:rPr>
          <w:lang w:val="fr-CA"/>
        </w:rPr>
        <w:t> </w:t>
      </w:r>
      <w:r w:rsidRPr="00C87559">
        <w:rPr>
          <w:lang w:val="fr-CA"/>
        </w:rPr>
        <w:t>13 et l’objectif C du Cadre </w:t>
      </w:r>
      <w:r w:rsidRPr="00C87559">
        <w:rPr>
          <w:iCs/>
          <w:lang w:val="fr-CA"/>
        </w:rPr>
        <w:t>;</w:t>
      </w:r>
    </w:p>
    <w:p w14:paraId="6D9B52E9" w14:textId="1B901580" w:rsidR="00C87559" w:rsidRPr="00C87559" w:rsidRDefault="00C87559" w:rsidP="00C87559">
      <w:pPr>
        <w:spacing w:before="120" w:after="120"/>
        <w:ind w:left="567" w:firstLine="567"/>
        <w:rPr>
          <w:lang w:val="fr-CA"/>
        </w:rPr>
      </w:pPr>
      <w:r w:rsidRPr="00C87559">
        <w:rPr>
          <w:lang w:val="fr-CA"/>
        </w:rPr>
        <w:t>2.</w:t>
      </w:r>
      <w:r w:rsidRPr="00C87559">
        <w:rPr>
          <w:i/>
          <w:iCs/>
          <w:lang w:val="fr-CA"/>
        </w:rPr>
        <w:tab/>
        <w:t xml:space="preserve">Prend note également </w:t>
      </w:r>
      <w:r w:rsidRPr="00C87559">
        <w:rPr>
          <w:iCs/>
          <w:lang w:val="fr-CA"/>
        </w:rPr>
        <w:t>de la décision</w:t>
      </w:r>
      <w:r w:rsidR="00EE54EF">
        <w:rPr>
          <w:iCs/>
          <w:lang w:val="fr-CA"/>
        </w:rPr>
        <w:t> </w:t>
      </w:r>
      <w:r w:rsidRPr="00C87559">
        <w:rPr>
          <w:iCs/>
          <w:lang w:val="fr-CA"/>
        </w:rPr>
        <w:t>16/-- de la Conférence des Parties sur l’approche multidimensionnelle renforcée pour la planification, le suivi, l’établissement de rapports et l’examen, décision</w:t>
      </w:r>
      <w:r w:rsidR="00EE54EF">
        <w:rPr>
          <w:iCs/>
          <w:lang w:val="fr-CA"/>
        </w:rPr>
        <w:t> </w:t>
      </w:r>
      <w:r w:rsidRPr="00C87559">
        <w:rPr>
          <w:iCs/>
          <w:lang w:val="fr-CA"/>
        </w:rPr>
        <w:t>16/-- sur le cadre de suivi pour le Cadre mondial de la biodiversité de Kunming-Montréal, qui comprend des indicateurs pour l’objectif C et la cible</w:t>
      </w:r>
      <w:r w:rsidR="00EE54EF">
        <w:rPr>
          <w:iCs/>
          <w:lang w:val="fr-CA"/>
        </w:rPr>
        <w:t> </w:t>
      </w:r>
      <w:r w:rsidRPr="00C87559">
        <w:rPr>
          <w:iCs/>
          <w:lang w:val="fr-CA"/>
        </w:rPr>
        <w:t>13 du Cadre, et les méthodologies pertinentes proposées présentées dans le document</w:t>
      </w:r>
      <w:r w:rsidRPr="00C87559">
        <w:rPr>
          <w:lang w:val="fr-CA"/>
        </w:rPr>
        <w:t xml:space="preserve"> CBD/COP/16/INF/3 ;</w:t>
      </w:r>
    </w:p>
    <w:p w14:paraId="7AC89ED1" w14:textId="77777777" w:rsidR="00C87559" w:rsidRPr="00C87559" w:rsidRDefault="00C87559" w:rsidP="00C87559">
      <w:pPr>
        <w:spacing w:before="120" w:after="120"/>
        <w:ind w:left="567" w:firstLine="567"/>
        <w:rPr>
          <w:iCs/>
          <w:lang w:val="fr-CA"/>
        </w:rPr>
      </w:pPr>
      <w:r w:rsidRPr="00C87559">
        <w:rPr>
          <w:iCs/>
          <w:lang w:val="fr-CA"/>
        </w:rPr>
        <w:t>3.</w:t>
      </w:r>
      <w:r w:rsidRPr="00C87559">
        <w:rPr>
          <w:iCs/>
          <w:lang w:val="fr-CA"/>
        </w:rPr>
        <w:tab/>
      </w:r>
      <w:r w:rsidRPr="00C87559">
        <w:rPr>
          <w:i/>
          <w:lang w:val="fr-CA"/>
        </w:rPr>
        <w:t xml:space="preserve">Invite </w:t>
      </w:r>
      <w:r w:rsidRPr="00C87559">
        <w:rPr>
          <w:lang w:val="fr-CA"/>
        </w:rPr>
        <w:t>les Parties et encourage les autres gouvernements à </w:t>
      </w:r>
      <w:r w:rsidRPr="00C87559">
        <w:rPr>
          <w:iCs/>
          <w:lang w:val="fr-CA"/>
        </w:rPr>
        <w:t>:</w:t>
      </w:r>
    </w:p>
    <w:p w14:paraId="7D81A099" w14:textId="5F78465F" w:rsidR="00C87559" w:rsidRPr="00C87559" w:rsidRDefault="00C87559" w:rsidP="00C87559">
      <w:pPr>
        <w:spacing w:before="120" w:after="120"/>
        <w:ind w:left="567" w:firstLine="567"/>
        <w:rPr>
          <w:lang w:val="fr-CA"/>
        </w:rPr>
      </w:pPr>
      <w:r w:rsidRPr="00C87559">
        <w:rPr>
          <w:iCs/>
          <w:lang w:val="fr-CA"/>
        </w:rPr>
        <w:t>a)</w:t>
      </w:r>
      <w:r w:rsidRPr="00C87559">
        <w:rPr>
          <w:iCs/>
          <w:lang w:val="fr-CA"/>
        </w:rPr>
        <w:tab/>
        <w:t>Aborder tous les éléments de l’objectif C et de la cible</w:t>
      </w:r>
      <w:r w:rsidR="00EE54EF">
        <w:rPr>
          <w:iCs/>
          <w:lang w:val="fr-CA"/>
        </w:rPr>
        <w:t> </w:t>
      </w:r>
      <w:r w:rsidRPr="00C87559">
        <w:rPr>
          <w:iCs/>
          <w:lang w:val="fr-CA"/>
        </w:rPr>
        <w:t>13 du Cadre lors de l’élaboration des cibles nationales et de la révision et la mise à jour des stratégies et plans d’action nationaux pour la biodiversité </w:t>
      </w:r>
      <w:r w:rsidRPr="00C87559">
        <w:rPr>
          <w:lang w:val="fr-CA"/>
        </w:rPr>
        <w:t>;</w:t>
      </w:r>
      <w:r w:rsidRPr="00C87559">
        <w:rPr>
          <w:vertAlign w:val="superscript"/>
          <w:lang w:val="fr-CA"/>
        </w:rPr>
        <w:footnoteReference w:id="55"/>
      </w:r>
    </w:p>
    <w:p w14:paraId="70FB0457" w14:textId="77777777" w:rsidR="00C87559" w:rsidRPr="00C87559" w:rsidRDefault="00C87559" w:rsidP="00C87559">
      <w:pPr>
        <w:tabs>
          <w:tab w:val="clear" w:pos="567"/>
        </w:tabs>
        <w:spacing w:before="120" w:after="120"/>
        <w:ind w:left="567" w:firstLine="567"/>
        <w:rPr>
          <w:lang w:val="fr-CA"/>
        </w:rPr>
      </w:pPr>
      <w:r w:rsidRPr="00C87559">
        <w:rPr>
          <w:lang w:val="fr-CA"/>
        </w:rPr>
        <w:t>b)</w:t>
      </w:r>
      <w:r w:rsidRPr="00C87559">
        <w:rPr>
          <w:lang w:val="fr-CA"/>
        </w:rPr>
        <w:tab/>
        <w:t>Mettre en place, conformément aux circonstances et aux priorités nationales, les mécanismes et outils nécessaires à la collecte d’information nationale sur les avantages monétaires et non monétaires perçus, afin de pouvoir communiquer les progrès accomplis dans la réalisation de l’objectif C du Cadre ;</w:t>
      </w:r>
    </w:p>
    <w:p w14:paraId="68E27A0F" w14:textId="77777777" w:rsidR="00C87559" w:rsidRPr="00C87559" w:rsidRDefault="00C87559" w:rsidP="00C87559">
      <w:pPr>
        <w:tabs>
          <w:tab w:val="clear" w:pos="567"/>
        </w:tabs>
        <w:spacing w:before="120" w:after="120"/>
        <w:ind w:left="567" w:firstLine="567"/>
        <w:rPr>
          <w:lang w:val="fr-CA"/>
        </w:rPr>
      </w:pPr>
      <w:r w:rsidRPr="00C87559">
        <w:rPr>
          <w:lang w:val="fr-CA"/>
        </w:rPr>
        <w:t>c)</w:t>
      </w:r>
      <w:r w:rsidRPr="00C87559">
        <w:rPr>
          <w:lang w:val="fr-CA"/>
        </w:rPr>
        <w:tab/>
        <w:t xml:space="preserve">Inclure les besoins en capacités et financiers en lien avec la collecte d’information </w:t>
      </w:r>
      <w:r w:rsidRPr="00C87559">
        <w:rPr>
          <w:rFonts w:eastAsia="Times New Roman"/>
          <w:lang w:val="fr-CA"/>
        </w:rPr>
        <w:t>nationale</w:t>
      </w:r>
      <w:r w:rsidRPr="00C87559">
        <w:rPr>
          <w:lang w:val="fr-CA"/>
        </w:rPr>
        <w:t xml:space="preserve"> sur les avantages monétaires et non monétaires perçus et la mise en œuvre du Protocole de Nagoya sur l’accès aux ressources génétiques et le partage juste et équitable des avantages découlant de leur utilisation,</w:t>
      </w:r>
      <w:r w:rsidRPr="00C87559">
        <w:rPr>
          <w:vertAlign w:val="superscript"/>
          <w:lang w:val="fr-CA"/>
        </w:rPr>
        <w:footnoteReference w:id="56"/>
      </w:r>
      <w:r w:rsidRPr="00C87559">
        <w:rPr>
          <w:lang w:val="fr-CA"/>
        </w:rPr>
        <w:t xml:space="preserve"> selon qu’il convient, dans la mise à jour ou la révision des stratégies et plans d’action nationaux pour la biodiversité, et des plans financiers, et de développement et renforcement des capacités connexes ;</w:t>
      </w:r>
    </w:p>
    <w:p w14:paraId="53718669" w14:textId="77777777" w:rsidR="00C87559" w:rsidRPr="00C87559" w:rsidRDefault="00C87559" w:rsidP="00C87559">
      <w:pPr>
        <w:tabs>
          <w:tab w:val="clear" w:pos="567"/>
        </w:tabs>
        <w:spacing w:before="120" w:after="120"/>
        <w:ind w:left="567" w:firstLine="567"/>
        <w:rPr>
          <w:lang w:val="fr-CA"/>
        </w:rPr>
      </w:pPr>
      <w:r w:rsidRPr="00C87559">
        <w:rPr>
          <w:lang w:val="fr-CA"/>
        </w:rPr>
        <w:t>4.</w:t>
      </w:r>
      <w:r w:rsidRPr="00C87559">
        <w:rPr>
          <w:lang w:val="fr-CA"/>
        </w:rPr>
        <w:tab/>
      </w:r>
      <w:bookmarkStart w:id="28" w:name="_Hlk175658648"/>
      <w:r w:rsidRPr="00C87559">
        <w:rPr>
          <w:i/>
          <w:iCs/>
          <w:lang w:val="fr-CA"/>
        </w:rPr>
        <w:t xml:space="preserve">Invite </w:t>
      </w:r>
      <w:r w:rsidRPr="00C87559">
        <w:rPr>
          <w:iCs/>
          <w:lang w:val="fr-CA"/>
        </w:rPr>
        <w:t>les Parties et encourage les autres gouvernements et organisations pertinentes à </w:t>
      </w:r>
      <w:r w:rsidRPr="00C87559">
        <w:rPr>
          <w:lang w:val="fr-CA"/>
        </w:rPr>
        <w:t>:</w:t>
      </w:r>
    </w:p>
    <w:p w14:paraId="453E58BD" w14:textId="6A768C17" w:rsidR="00C87559" w:rsidRPr="00C87559" w:rsidRDefault="00C87559" w:rsidP="00C87559">
      <w:pPr>
        <w:tabs>
          <w:tab w:val="clear" w:pos="567"/>
        </w:tabs>
        <w:spacing w:before="120" w:after="120"/>
        <w:ind w:left="567" w:firstLine="567"/>
        <w:rPr>
          <w:iCs/>
          <w:lang w:val="fr-CA"/>
        </w:rPr>
      </w:pPr>
      <w:r w:rsidRPr="00C87559">
        <w:rPr>
          <w:iCs/>
          <w:lang w:val="fr-CA"/>
        </w:rPr>
        <w:t>a)</w:t>
      </w:r>
      <w:r w:rsidRPr="00C87559">
        <w:rPr>
          <w:iCs/>
          <w:lang w:val="fr-CA"/>
        </w:rPr>
        <w:tab/>
        <w:t>Améliorer l’intégration du Protocole de Nagoya et la participation des autorités nationales pertinentes aux mécanismes de planification, de suivi, d’établissement de rapport et d’examen dont il est question dans les décisions</w:t>
      </w:r>
      <w:r w:rsidR="00EE54EF">
        <w:rPr>
          <w:iCs/>
          <w:lang w:val="fr-CA"/>
        </w:rPr>
        <w:t> </w:t>
      </w:r>
      <w:r w:rsidRPr="00C87559">
        <w:rPr>
          <w:iCs/>
          <w:lang w:val="fr-CA"/>
        </w:rPr>
        <w:t>16/-- et 16/</w:t>
      </w:r>
      <w:r w:rsidR="00EE54EF">
        <w:rPr>
          <w:iCs/>
          <w:lang w:val="fr-CA"/>
        </w:rPr>
        <w:t> </w:t>
      </w:r>
      <w:r w:rsidRPr="00C87559">
        <w:rPr>
          <w:iCs/>
          <w:lang w:val="fr-CA"/>
        </w:rPr>
        <w:t>-- ;</w:t>
      </w:r>
      <w:r w:rsidRPr="00C87559">
        <w:rPr>
          <w:iCs/>
          <w:vertAlign w:val="superscript"/>
          <w:lang w:val="fr-CA"/>
        </w:rPr>
        <w:footnoteReference w:id="57"/>
      </w:r>
    </w:p>
    <w:p w14:paraId="03DF2866" w14:textId="77777777" w:rsidR="00C87559" w:rsidRPr="00C87559" w:rsidRDefault="00C87559" w:rsidP="00C87559">
      <w:pPr>
        <w:tabs>
          <w:tab w:val="clear" w:pos="567"/>
        </w:tabs>
        <w:spacing w:before="120" w:after="120"/>
        <w:ind w:left="567" w:firstLine="567"/>
        <w:rPr>
          <w:iCs/>
          <w:lang w:val="fr-CA"/>
        </w:rPr>
      </w:pPr>
      <w:r w:rsidRPr="00C87559">
        <w:rPr>
          <w:iCs/>
          <w:lang w:val="fr-CA"/>
        </w:rPr>
        <w:lastRenderedPageBreak/>
        <w:t>b)</w:t>
      </w:r>
      <w:r w:rsidRPr="00C87559">
        <w:rPr>
          <w:iCs/>
          <w:lang w:val="fr-CA"/>
        </w:rPr>
        <w:tab/>
        <w:t>Soutenir le développement des mécanismes et outils dont il est question au paragraphe 3 b), ci-dessus, et la continuation et l’amélioration de la méthodologie pour recueillir les informations mondiales sur certains types de partage des avantages non monétaires aux fins de désagrégation nationale.</w:t>
      </w:r>
      <w:bookmarkEnd w:id="28"/>
    </w:p>
    <w:p w14:paraId="2322682F" w14:textId="77777777" w:rsidR="003F1B48" w:rsidRPr="00084920" w:rsidRDefault="003F1B48" w:rsidP="004D2542">
      <w:pPr>
        <w:pStyle w:val="CBDNormalNoNumber"/>
        <w:rPr>
          <w:lang w:val="fr-FR"/>
        </w:rPr>
      </w:pPr>
    </w:p>
    <w:p w14:paraId="03F5CB84" w14:textId="77777777" w:rsidR="00D25205" w:rsidRPr="00084920" w:rsidRDefault="00D25205" w:rsidP="00010496">
      <w:pPr>
        <w:pStyle w:val="CBDAgendaItem"/>
        <w:rPr>
          <w:bCs/>
          <w:lang w:val="fr-FR"/>
        </w:rPr>
        <w:sectPr w:rsidR="00D25205" w:rsidRPr="00084920" w:rsidSect="00A253D1">
          <w:pgSz w:w="12240" w:h="15840"/>
          <w:pgMar w:top="1134" w:right="1440" w:bottom="1134" w:left="1440" w:header="709" w:footer="709" w:gutter="0"/>
          <w:cols w:space="708"/>
          <w:docGrid w:linePitch="360"/>
        </w:sectPr>
      </w:pPr>
    </w:p>
    <w:p w14:paraId="5F9FC4FE" w14:textId="0CFB40AE" w:rsidR="006A3380" w:rsidRPr="00084920" w:rsidRDefault="00C87559" w:rsidP="004B4FCB">
      <w:pPr>
        <w:pStyle w:val="CBDAnnex"/>
        <w:spacing w:before="240"/>
        <w:outlineLvl w:val="0"/>
        <w:rPr>
          <w:lang w:val="fr-FR"/>
        </w:rPr>
      </w:pPr>
      <w:bookmarkStart w:id="29" w:name="_Toc178159947"/>
      <w:r>
        <w:rPr>
          <w:lang w:val="fr-FR"/>
        </w:rPr>
        <w:lastRenderedPageBreak/>
        <w:t>Point</w:t>
      </w:r>
      <w:r w:rsidR="00EE54EF">
        <w:rPr>
          <w:lang w:val="fr-FR"/>
        </w:rPr>
        <w:t> </w:t>
      </w:r>
      <w:r w:rsidR="00BB003B" w:rsidRPr="00084920">
        <w:rPr>
          <w:lang w:val="fr-FR"/>
        </w:rPr>
        <w:t>14</w:t>
      </w:r>
      <w:r w:rsidR="00125526" w:rsidRPr="00084920">
        <w:rPr>
          <w:lang w:val="fr-FR"/>
        </w:rPr>
        <w:t xml:space="preserve"> </w:t>
      </w:r>
      <w:r w:rsidR="00125526" w:rsidRPr="00084920">
        <w:rPr>
          <w:lang w:val="fr-FR"/>
        </w:rPr>
        <w:br/>
      </w:r>
      <w:bookmarkEnd w:id="29"/>
      <w:r w:rsidR="0076602B" w:rsidRPr="0076602B">
        <w:rPr>
          <w:lang w:val="fr-FR"/>
        </w:rPr>
        <w:t>Information de séquençage numérique sur les ressources génétiques</w:t>
      </w:r>
    </w:p>
    <w:tbl>
      <w:tblPr>
        <w:tblStyle w:val="Grilledutableau"/>
        <w:tblW w:w="0" w:type="auto"/>
        <w:tblLook w:val="04A0" w:firstRow="1" w:lastRow="0" w:firstColumn="1" w:lastColumn="0" w:noHBand="0" w:noVBand="1"/>
      </w:tblPr>
      <w:tblGrid>
        <w:gridCol w:w="9350"/>
      </w:tblGrid>
      <w:tr w:rsidR="001A6246" w:rsidRPr="00084920" w14:paraId="62F0F516" w14:textId="77777777" w:rsidTr="00557F83">
        <w:tc>
          <w:tcPr>
            <w:tcW w:w="9350" w:type="dxa"/>
            <w:tcBorders>
              <w:left w:val="nil"/>
              <w:right w:val="nil"/>
            </w:tcBorders>
          </w:tcPr>
          <w:p w14:paraId="2BB89320" w14:textId="661FF66D" w:rsidR="001A6246" w:rsidRPr="00084920" w:rsidRDefault="0076602B" w:rsidP="00557F83">
            <w:pPr>
              <w:pStyle w:val="CBDNormalNoNumber"/>
              <w:spacing w:before="60" w:after="60"/>
              <w:ind w:firstLine="600"/>
              <w:rPr>
                <w:i/>
                <w:iCs/>
                <w:lang w:val="fr-FR"/>
              </w:rPr>
            </w:pPr>
            <w:r>
              <w:rPr>
                <w:i/>
                <w:iCs/>
                <w:lang w:val="fr-FR"/>
              </w:rPr>
              <w:t>Il est attendu que le point 14 de l’ordre du jour soit examiné en même temps que le point 9 de la seizième réunion de la Conférence des Parties à la Convention</w:t>
            </w:r>
            <w:r w:rsidR="00FE653A" w:rsidRPr="00084920">
              <w:rPr>
                <w:i/>
                <w:iCs/>
                <w:lang w:val="fr-FR"/>
              </w:rPr>
              <w:t xml:space="preserve"> </w:t>
            </w:r>
            <w:r w:rsidR="006B2112" w:rsidRPr="00084920">
              <w:rPr>
                <w:i/>
                <w:iCs/>
                <w:lang w:val="fr-FR"/>
              </w:rPr>
              <w:t>(</w:t>
            </w:r>
            <w:r>
              <w:rPr>
                <w:i/>
                <w:iCs/>
                <w:lang w:val="fr-FR"/>
              </w:rPr>
              <w:t>voir</w:t>
            </w:r>
            <w:r w:rsidR="00FE653A" w:rsidRPr="00084920">
              <w:rPr>
                <w:i/>
                <w:iCs/>
                <w:lang w:val="fr-FR"/>
              </w:rPr>
              <w:t xml:space="preserve"> </w:t>
            </w:r>
            <w:r w:rsidR="0042280B" w:rsidRPr="00084920">
              <w:rPr>
                <w:i/>
                <w:iCs/>
                <w:lang w:val="fr-FR"/>
              </w:rPr>
              <w:t>document</w:t>
            </w:r>
            <w:r w:rsidR="00EE54EF">
              <w:rPr>
                <w:i/>
                <w:iCs/>
                <w:lang w:val="fr-FR"/>
              </w:rPr>
              <w:t> </w:t>
            </w:r>
            <w:r w:rsidR="0042280B" w:rsidRPr="00084920">
              <w:rPr>
                <w:i/>
                <w:iCs/>
                <w:lang w:val="fr-FR"/>
              </w:rPr>
              <w:t xml:space="preserve">CBD/COP/16/2, </w:t>
            </w:r>
            <w:r>
              <w:rPr>
                <w:i/>
                <w:iCs/>
                <w:lang w:val="fr-FR"/>
              </w:rPr>
              <w:t>point</w:t>
            </w:r>
            <w:r w:rsidR="00E06487" w:rsidRPr="00084920">
              <w:rPr>
                <w:i/>
                <w:iCs/>
                <w:lang w:val="fr-FR"/>
              </w:rPr>
              <w:t> </w:t>
            </w:r>
            <w:r w:rsidR="00A93507" w:rsidRPr="00084920">
              <w:rPr>
                <w:i/>
                <w:iCs/>
                <w:lang w:val="fr-FR"/>
              </w:rPr>
              <w:t>9</w:t>
            </w:r>
            <w:r w:rsidR="006B2112" w:rsidRPr="00084920">
              <w:rPr>
                <w:i/>
                <w:iCs/>
                <w:lang w:val="fr-FR"/>
              </w:rPr>
              <w:t>)</w:t>
            </w:r>
            <w:r w:rsidR="0042280B" w:rsidRPr="00084920">
              <w:rPr>
                <w:i/>
                <w:iCs/>
                <w:lang w:val="fr-FR"/>
              </w:rPr>
              <w:t>.</w:t>
            </w:r>
          </w:p>
        </w:tc>
      </w:tr>
    </w:tbl>
    <w:p w14:paraId="4DF91D13" w14:textId="77777777" w:rsidR="001A6246" w:rsidRPr="00084920" w:rsidRDefault="001A6246" w:rsidP="001A6246">
      <w:pPr>
        <w:pStyle w:val="CBDNormalNoNumber"/>
        <w:rPr>
          <w:snapToGrid w:val="0"/>
          <w:lang w:val="fr-FR"/>
        </w:rPr>
      </w:pPr>
    </w:p>
    <w:p w14:paraId="7D053486" w14:textId="197F421D" w:rsidR="006A3380" w:rsidRPr="00084920" w:rsidRDefault="006A3380" w:rsidP="009D6DCC">
      <w:pPr>
        <w:pStyle w:val="CBDNormalNoNumber"/>
        <w:rPr>
          <w:snapToGrid w:val="0"/>
          <w:lang w:val="fr-FR"/>
        </w:rPr>
      </w:pPr>
    </w:p>
    <w:p w14:paraId="333BE301" w14:textId="77777777" w:rsidR="00413949" w:rsidRPr="00084920" w:rsidRDefault="00413949" w:rsidP="004B4FCB">
      <w:pPr>
        <w:pStyle w:val="CBDAnnex"/>
        <w:spacing w:before="240"/>
        <w:outlineLvl w:val="0"/>
        <w:rPr>
          <w:lang w:val="fr-FR"/>
        </w:rPr>
        <w:sectPr w:rsidR="00413949" w:rsidRPr="00084920" w:rsidSect="00A253D1">
          <w:pgSz w:w="12240" w:h="15840"/>
          <w:pgMar w:top="1134" w:right="1440" w:bottom="1134" w:left="1440" w:header="709" w:footer="709" w:gutter="0"/>
          <w:cols w:space="708"/>
          <w:docGrid w:linePitch="360"/>
        </w:sectPr>
      </w:pPr>
    </w:p>
    <w:p w14:paraId="29EA1BC4" w14:textId="4C2B7F57" w:rsidR="006A3380" w:rsidRPr="00084920" w:rsidRDefault="00595B7B" w:rsidP="004B4FCB">
      <w:pPr>
        <w:pStyle w:val="CBDAnnex"/>
        <w:spacing w:before="240"/>
        <w:outlineLvl w:val="0"/>
        <w:rPr>
          <w:lang w:val="fr-FR"/>
        </w:rPr>
      </w:pPr>
      <w:bookmarkStart w:id="30" w:name="_Toc178159948"/>
      <w:r>
        <w:rPr>
          <w:lang w:val="fr-FR"/>
        </w:rPr>
        <w:lastRenderedPageBreak/>
        <w:t>Point</w:t>
      </w:r>
      <w:r w:rsidR="00EE54EF">
        <w:rPr>
          <w:lang w:val="fr-FR"/>
        </w:rPr>
        <w:t> </w:t>
      </w:r>
      <w:r w:rsidR="005D1B31" w:rsidRPr="00084920">
        <w:rPr>
          <w:lang w:val="fr-FR"/>
        </w:rPr>
        <w:t>15</w:t>
      </w:r>
      <w:r w:rsidR="00125526" w:rsidRPr="00084920">
        <w:rPr>
          <w:lang w:val="fr-FR"/>
        </w:rPr>
        <w:t xml:space="preserve"> </w:t>
      </w:r>
      <w:r w:rsidR="00125526" w:rsidRPr="00084920">
        <w:rPr>
          <w:lang w:val="fr-FR"/>
        </w:rPr>
        <w:br/>
      </w:r>
      <w:bookmarkEnd w:id="30"/>
      <w:r w:rsidRPr="00595B7B">
        <w:rPr>
          <w:lang w:val="fr-FR"/>
        </w:rPr>
        <w:t>Instruments internationaux spécialisés d’accès et de partage des avantages dans le contex</w:t>
      </w:r>
      <w:r>
        <w:rPr>
          <w:lang w:val="fr-FR"/>
        </w:rPr>
        <w:t>t</w:t>
      </w:r>
      <w:r w:rsidRPr="00595B7B">
        <w:rPr>
          <w:lang w:val="fr-FR"/>
        </w:rPr>
        <w:t>e du paragraphe</w:t>
      </w:r>
      <w:r w:rsidR="00EE54EF">
        <w:rPr>
          <w:lang w:val="fr-FR"/>
        </w:rPr>
        <w:t> </w:t>
      </w:r>
      <w:r w:rsidRPr="00595B7B">
        <w:rPr>
          <w:lang w:val="fr-FR"/>
        </w:rPr>
        <w:t>4 de l’article</w:t>
      </w:r>
      <w:r w:rsidR="00EE54EF">
        <w:rPr>
          <w:lang w:val="fr-FR"/>
        </w:rPr>
        <w:t> </w:t>
      </w:r>
      <w:r w:rsidRPr="00595B7B">
        <w:rPr>
          <w:lang w:val="fr-FR"/>
        </w:rPr>
        <w:t>4 du Protocole de Nagoya</w:t>
      </w:r>
    </w:p>
    <w:tbl>
      <w:tblPr>
        <w:tblStyle w:val="Grilledutableau"/>
        <w:tblW w:w="0" w:type="auto"/>
        <w:tblLook w:val="04A0" w:firstRow="1" w:lastRow="0" w:firstColumn="1" w:lastColumn="0" w:noHBand="0" w:noVBand="1"/>
      </w:tblPr>
      <w:tblGrid>
        <w:gridCol w:w="9350"/>
      </w:tblGrid>
      <w:tr w:rsidR="00065BD1" w:rsidRPr="00DB1BED" w14:paraId="229AE8E4" w14:textId="77777777" w:rsidTr="00557F83">
        <w:tc>
          <w:tcPr>
            <w:tcW w:w="9350" w:type="dxa"/>
            <w:tcBorders>
              <w:left w:val="nil"/>
              <w:right w:val="nil"/>
            </w:tcBorders>
          </w:tcPr>
          <w:p w14:paraId="5EEC197E" w14:textId="7120AAB0" w:rsidR="00065BD1" w:rsidRPr="00DB1BED" w:rsidRDefault="006F701D" w:rsidP="00557F83">
            <w:pPr>
              <w:pStyle w:val="CBDNormalNoNumber"/>
              <w:tabs>
                <w:tab w:val="clear" w:pos="567"/>
              </w:tabs>
              <w:spacing w:before="60" w:after="60"/>
              <w:ind w:left="0" w:firstLine="596"/>
              <w:rPr>
                <w:i/>
                <w:iCs/>
                <w:lang w:val="fr-FR"/>
              </w:rPr>
            </w:pPr>
            <w:r w:rsidRPr="00DB1BED">
              <w:rPr>
                <w:i/>
                <w:iCs/>
                <w:lang w:val="fr-FR"/>
              </w:rPr>
              <w:t>À sa quatrième r</w:t>
            </w:r>
            <w:r w:rsidR="00DB1BED">
              <w:rPr>
                <w:i/>
                <w:iCs/>
                <w:lang w:val="fr-FR"/>
              </w:rPr>
              <w:t>é</w:t>
            </w:r>
            <w:r w:rsidRPr="00DB1BED">
              <w:rPr>
                <w:i/>
                <w:iCs/>
                <w:lang w:val="fr-FR"/>
              </w:rPr>
              <w:t xml:space="preserve">union, la Conférence des Parties </w:t>
            </w:r>
            <w:r w:rsidR="00DB1BED">
              <w:rPr>
                <w:i/>
                <w:iCs/>
                <w:lang w:val="fr-FR"/>
              </w:rPr>
              <w:t>siégeant en tant que réunion des Parties au Protocole a pris note de la recommandation 3/16 de l’Organe subsidiaire chargé de l’application et a décidé d’examiner ce point plus en détail à sa cinquième réunion, sur la base de la recommandation 3/16. Le projet de décision suivant est issu de la recommandation 3/16 de l’Organe subsidiaire chargé de l’application.</w:t>
            </w:r>
          </w:p>
        </w:tc>
      </w:tr>
    </w:tbl>
    <w:p w14:paraId="54B62D6E" w14:textId="1BD24846" w:rsidR="00DB1BED" w:rsidRPr="00DB1BED" w:rsidRDefault="00DB1BED" w:rsidP="008A49C0">
      <w:pPr>
        <w:tabs>
          <w:tab w:val="clear" w:pos="567"/>
          <w:tab w:val="clear" w:pos="1134"/>
          <w:tab w:val="clear" w:pos="1701"/>
          <w:tab w:val="clear" w:pos="2268"/>
        </w:tabs>
        <w:spacing w:before="120" w:after="120"/>
        <w:ind w:left="567" w:firstLine="567"/>
        <w:rPr>
          <w:rFonts w:eastAsia="Times New Roman"/>
          <w:i/>
          <w:iCs/>
          <w:snapToGrid w:val="0"/>
          <w:szCs w:val="18"/>
          <w:lang w:val="fr-FR" w:eastAsia="fr-FR"/>
        </w:rPr>
      </w:pPr>
      <w:r w:rsidRPr="00DB1BED">
        <w:rPr>
          <w:rFonts w:eastAsia="Times New Roman"/>
          <w:snapToGrid w:val="0"/>
          <w:szCs w:val="18"/>
          <w:lang w:val="fr-FR" w:eastAsia="fr-FR"/>
        </w:rPr>
        <w:t>[</w:t>
      </w:r>
      <w:r w:rsidRPr="00DB1BED">
        <w:rPr>
          <w:rFonts w:eastAsia="Times New Roman"/>
          <w:i/>
          <w:iCs/>
          <w:snapToGrid w:val="0"/>
          <w:szCs w:val="18"/>
          <w:lang w:val="fr-FR" w:eastAsia="fr-FR"/>
        </w:rPr>
        <w:t>La Conférence des Parties siégeant en tant que réunion des Parties au Protocole de Nagoya sur l</w:t>
      </w:r>
      <w:r w:rsidR="00EE54EF">
        <w:rPr>
          <w:rFonts w:eastAsia="Times New Roman"/>
          <w:i/>
          <w:iCs/>
          <w:snapToGrid w:val="0"/>
          <w:szCs w:val="18"/>
          <w:lang w:val="fr-FR" w:eastAsia="fr-FR"/>
        </w:rPr>
        <w:t>’</w:t>
      </w:r>
      <w:r w:rsidRPr="00DB1BED">
        <w:rPr>
          <w:rFonts w:eastAsia="Times New Roman"/>
          <w:i/>
          <w:iCs/>
          <w:snapToGrid w:val="0"/>
          <w:szCs w:val="18"/>
          <w:lang w:val="fr-FR" w:eastAsia="fr-FR"/>
        </w:rPr>
        <w:t>accès et le partage des avantages,</w:t>
      </w:r>
    </w:p>
    <w:p w14:paraId="6BF9AAFA" w14:textId="360C6AC7" w:rsidR="00DB1BED" w:rsidRPr="00DB1BED" w:rsidRDefault="00DB1BED" w:rsidP="00EF26F6">
      <w:pPr>
        <w:suppressLineNumbers/>
        <w:tabs>
          <w:tab w:val="clear" w:pos="567"/>
          <w:tab w:val="clear" w:pos="1134"/>
          <w:tab w:val="clear" w:pos="1701"/>
          <w:tab w:val="clear" w:pos="2268"/>
        </w:tabs>
        <w:suppressAutoHyphens/>
        <w:spacing w:before="120" w:after="120"/>
        <w:ind w:left="567" w:firstLine="567"/>
        <w:rPr>
          <w:rFonts w:eastAsia="Times New Roman"/>
          <w:bCs/>
          <w:i/>
          <w:iCs/>
          <w:kern w:val="22"/>
          <w:lang w:val="fr-FR" w:eastAsia="fr-FR"/>
        </w:rPr>
      </w:pPr>
      <w:r w:rsidRPr="00DB1BED">
        <w:rPr>
          <w:rFonts w:eastAsia="Times New Roman"/>
          <w:bCs/>
          <w:i/>
          <w:iCs/>
          <w:kern w:val="22"/>
          <w:lang w:val="fr-FR" w:eastAsia="fr-FR"/>
        </w:rPr>
        <w:t>Rappelant</w:t>
      </w:r>
      <w:r w:rsidRPr="00DB1BED">
        <w:rPr>
          <w:rFonts w:eastAsia="Times New Roman"/>
          <w:bCs/>
          <w:kern w:val="22"/>
          <w:lang w:val="fr-FR" w:eastAsia="fr-FR"/>
        </w:rPr>
        <w:t xml:space="preserve"> l</w:t>
      </w:r>
      <w:r w:rsidR="00EE54EF">
        <w:rPr>
          <w:rFonts w:eastAsia="Times New Roman"/>
          <w:bCs/>
          <w:kern w:val="22"/>
          <w:lang w:val="fr-FR" w:eastAsia="fr-FR"/>
        </w:rPr>
        <w:t>’</w:t>
      </w:r>
      <w:r w:rsidRPr="00DB1BED">
        <w:rPr>
          <w:rFonts w:eastAsia="Times New Roman"/>
          <w:bCs/>
          <w:kern w:val="22"/>
          <w:lang w:val="fr-FR" w:eastAsia="fr-FR"/>
        </w:rPr>
        <w:t>article 4 du Protocole de Nagoya et la décision NP-3/14,</w:t>
      </w:r>
    </w:p>
    <w:p w14:paraId="642126BD" w14:textId="3F3A343E" w:rsidR="00DB1BED" w:rsidRPr="00DB1BED" w:rsidRDefault="00DB1BED" w:rsidP="008A49C0">
      <w:pPr>
        <w:suppressLineNumbers/>
        <w:tabs>
          <w:tab w:val="clear" w:pos="567"/>
          <w:tab w:val="clear" w:pos="1134"/>
          <w:tab w:val="clear" w:pos="1701"/>
          <w:tab w:val="clear" w:pos="2268"/>
        </w:tabs>
        <w:suppressAutoHyphens/>
        <w:spacing w:before="120" w:after="120"/>
        <w:ind w:left="567" w:firstLine="567"/>
        <w:rPr>
          <w:rFonts w:eastAsia="Times New Roman"/>
          <w:bCs/>
          <w:kern w:val="22"/>
          <w:lang w:val="fr-FR" w:eastAsia="fr-FR"/>
        </w:rPr>
      </w:pPr>
      <w:r w:rsidRPr="00DB1BED">
        <w:rPr>
          <w:rFonts w:eastAsia="Times New Roman"/>
          <w:kern w:val="22"/>
          <w:lang w:val="fr-FR" w:eastAsia="fr-FR"/>
        </w:rPr>
        <w:t>[1.</w:t>
      </w:r>
      <w:r w:rsidRPr="00DB1BED">
        <w:rPr>
          <w:rFonts w:eastAsia="Times New Roman"/>
          <w:i/>
          <w:iCs/>
          <w:kern w:val="22"/>
          <w:lang w:val="fr-FR" w:eastAsia="fr-FR"/>
        </w:rPr>
        <w:tab/>
        <w:t xml:space="preserve">Prend note </w:t>
      </w:r>
      <w:r w:rsidRPr="00DB1BED">
        <w:rPr>
          <w:rFonts w:eastAsia="Times New Roman"/>
          <w:kern w:val="22"/>
          <w:lang w:val="fr-FR" w:eastAsia="fr-FR"/>
        </w:rPr>
        <w:t>des critères indicatifs relatifs aux instruments internationaux spécialisés en matière d</w:t>
      </w:r>
      <w:r w:rsidR="00EE54EF">
        <w:rPr>
          <w:rFonts w:eastAsia="Times New Roman"/>
          <w:kern w:val="22"/>
          <w:lang w:val="fr-FR" w:eastAsia="fr-FR"/>
        </w:rPr>
        <w:t>’</w:t>
      </w:r>
      <w:r w:rsidRPr="00DB1BED">
        <w:rPr>
          <w:rFonts w:eastAsia="Times New Roman"/>
          <w:kern w:val="22"/>
          <w:lang w:val="fr-FR" w:eastAsia="fr-FR"/>
        </w:rPr>
        <w:t>accès et de partage des avantages adoptés au titre de l</w:t>
      </w:r>
      <w:r w:rsidR="00EE54EF">
        <w:rPr>
          <w:rFonts w:eastAsia="Times New Roman"/>
          <w:kern w:val="22"/>
          <w:lang w:val="fr-FR" w:eastAsia="fr-FR"/>
        </w:rPr>
        <w:t>’</w:t>
      </w:r>
      <w:r w:rsidRPr="00DB1BED">
        <w:rPr>
          <w:rFonts w:eastAsia="Times New Roman"/>
          <w:kern w:val="22"/>
          <w:lang w:val="fr-FR" w:eastAsia="fr-FR"/>
        </w:rPr>
        <w:t>article 4[, paragraphe 4,] du Protocole de Nagoya, qui figurent dans l</w:t>
      </w:r>
      <w:r w:rsidR="00EE54EF">
        <w:rPr>
          <w:rFonts w:eastAsia="Times New Roman"/>
          <w:kern w:val="22"/>
          <w:lang w:val="fr-FR" w:eastAsia="fr-FR"/>
        </w:rPr>
        <w:t>’</w:t>
      </w:r>
      <w:r w:rsidRPr="00DB1BED">
        <w:rPr>
          <w:rFonts w:eastAsia="Times New Roman"/>
          <w:kern w:val="22"/>
          <w:lang w:val="fr-FR" w:eastAsia="fr-FR"/>
        </w:rPr>
        <w:t>annexe à la présente décision, notant qu</w:t>
      </w:r>
      <w:r w:rsidR="00EE54EF">
        <w:rPr>
          <w:rFonts w:eastAsia="Times New Roman"/>
          <w:kern w:val="22"/>
          <w:lang w:val="fr-FR" w:eastAsia="fr-FR"/>
        </w:rPr>
        <w:t>’</w:t>
      </w:r>
      <w:r w:rsidRPr="00DB1BED">
        <w:rPr>
          <w:rFonts w:eastAsia="Times New Roman"/>
          <w:kern w:val="22"/>
          <w:lang w:val="fr-FR" w:eastAsia="fr-FR"/>
        </w:rPr>
        <w:t>ils visent à renforcer la coordination et la complémentarité de la mise en œuvre du Protocole de Nagoya et d</w:t>
      </w:r>
      <w:r w:rsidR="00EE54EF">
        <w:rPr>
          <w:rFonts w:eastAsia="Times New Roman"/>
          <w:kern w:val="22"/>
          <w:lang w:val="fr-FR" w:eastAsia="fr-FR"/>
        </w:rPr>
        <w:t>’</w:t>
      </w:r>
      <w:r w:rsidRPr="00DB1BED">
        <w:rPr>
          <w:rFonts w:eastAsia="Times New Roman"/>
          <w:kern w:val="22"/>
          <w:lang w:val="fr-FR" w:eastAsia="fr-FR"/>
        </w:rPr>
        <w:t>autres instruments internationaux en matière d</w:t>
      </w:r>
      <w:r w:rsidR="00EE54EF">
        <w:rPr>
          <w:rFonts w:eastAsia="Times New Roman"/>
          <w:kern w:val="22"/>
          <w:lang w:val="fr-FR" w:eastAsia="fr-FR"/>
        </w:rPr>
        <w:t>’</w:t>
      </w:r>
      <w:r w:rsidRPr="00DB1BED">
        <w:rPr>
          <w:rFonts w:eastAsia="Times New Roman"/>
          <w:kern w:val="22"/>
          <w:lang w:val="fr-FR" w:eastAsia="fr-FR"/>
        </w:rPr>
        <w:t>accès et de partage des avantages, sans créer de hiérarchie entre eux ;]</w:t>
      </w:r>
    </w:p>
    <w:p w14:paraId="66D80C7B" w14:textId="526A90E8" w:rsidR="00DB1BED" w:rsidRPr="00DB1BED" w:rsidRDefault="00DB1BED" w:rsidP="008A49C0">
      <w:pPr>
        <w:suppressLineNumbers/>
        <w:tabs>
          <w:tab w:val="clear" w:pos="567"/>
          <w:tab w:val="clear" w:pos="1134"/>
          <w:tab w:val="clear" w:pos="1701"/>
          <w:tab w:val="clear" w:pos="2268"/>
        </w:tabs>
        <w:suppressAutoHyphens/>
        <w:spacing w:before="120" w:after="120"/>
        <w:ind w:left="567" w:firstLine="567"/>
        <w:rPr>
          <w:rFonts w:eastAsia="Times New Roman"/>
          <w:kern w:val="22"/>
          <w:lang w:val="fr-FR" w:eastAsia="fr-FR"/>
        </w:rPr>
      </w:pPr>
      <w:r w:rsidRPr="00DB1BED">
        <w:rPr>
          <w:rFonts w:eastAsia="Times New Roman"/>
          <w:kern w:val="22"/>
          <w:lang w:val="fr-FR" w:eastAsia="fr-FR"/>
        </w:rPr>
        <w:t>2.</w:t>
      </w:r>
      <w:r w:rsidRPr="00DB1BED">
        <w:rPr>
          <w:rFonts w:eastAsia="Times New Roman"/>
          <w:kern w:val="22"/>
          <w:lang w:val="fr-FR" w:eastAsia="fr-FR"/>
        </w:rPr>
        <w:tab/>
      </w:r>
      <w:r w:rsidRPr="00DB1BED">
        <w:rPr>
          <w:rFonts w:eastAsia="Times New Roman"/>
          <w:i/>
          <w:iCs/>
          <w:kern w:val="22"/>
          <w:lang w:val="fr-FR" w:eastAsia="fr-FR"/>
        </w:rPr>
        <w:t>Invite</w:t>
      </w:r>
      <w:r w:rsidRPr="00DB1BED">
        <w:rPr>
          <w:rFonts w:eastAsia="Times New Roman"/>
          <w:kern w:val="22"/>
          <w:lang w:val="fr-FR" w:eastAsia="fr-FR"/>
        </w:rPr>
        <w:t xml:space="preserve"> les Parties et les autres gouvernements à tenir compte, conformément [au paragraphe 4 de][à] l</w:t>
      </w:r>
      <w:r w:rsidR="00EE54EF">
        <w:rPr>
          <w:rFonts w:eastAsia="Times New Roman"/>
          <w:kern w:val="22"/>
          <w:lang w:val="fr-FR" w:eastAsia="fr-FR"/>
        </w:rPr>
        <w:t>’</w:t>
      </w:r>
      <w:r w:rsidRPr="00DB1BED">
        <w:rPr>
          <w:rFonts w:eastAsia="Times New Roman"/>
          <w:kern w:val="22"/>
          <w:lang w:val="fr-FR" w:eastAsia="fr-FR"/>
        </w:rPr>
        <w:t>article 4 du Protocole de Nagoya, de chacun des critères indicatifs dans l</w:t>
      </w:r>
      <w:r w:rsidR="00EE54EF">
        <w:rPr>
          <w:rFonts w:eastAsia="Times New Roman"/>
          <w:kern w:val="22"/>
          <w:lang w:val="fr-FR" w:eastAsia="fr-FR"/>
        </w:rPr>
        <w:t>’</w:t>
      </w:r>
      <w:r w:rsidRPr="00DB1BED">
        <w:rPr>
          <w:rFonts w:eastAsia="Times New Roman"/>
          <w:kern w:val="22"/>
          <w:lang w:val="fr-FR" w:eastAsia="fr-FR"/>
        </w:rPr>
        <w:t>élaboration et/ou la mise en œuvre des mesures en matière d</w:t>
      </w:r>
      <w:r w:rsidR="00EE54EF">
        <w:rPr>
          <w:rFonts w:eastAsia="Times New Roman"/>
          <w:kern w:val="22"/>
          <w:lang w:val="fr-FR" w:eastAsia="fr-FR"/>
        </w:rPr>
        <w:t>’</w:t>
      </w:r>
      <w:r w:rsidRPr="00DB1BED">
        <w:rPr>
          <w:rFonts w:eastAsia="Times New Roman"/>
          <w:kern w:val="22"/>
          <w:lang w:val="fr-FR" w:eastAsia="fr-FR"/>
        </w:rPr>
        <w:t>accès et de partage des avantages et/ou dans le contexte de l’appui aux instruments internationaux comprenant des dispositions sur l’accès et le partage des avantages ;</w:t>
      </w:r>
    </w:p>
    <w:p w14:paraId="0963B323" w14:textId="4AC60E4A" w:rsidR="00DB1BED" w:rsidRPr="00DB1BED" w:rsidRDefault="00DB1BED" w:rsidP="008A49C0">
      <w:pPr>
        <w:suppressLineNumbers/>
        <w:tabs>
          <w:tab w:val="clear" w:pos="567"/>
          <w:tab w:val="clear" w:pos="1134"/>
          <w:tab w:val="clear" w:pos="1701"/>
          <w:tab w:val="clear" w:pos="2268"/>
        </w:tabs>
        <w:suppressAutoHyphens/>
        <w:spacing w:before="120" w:after="120"/>
        <w:ind w:left="567" w:firstLine="567"/>
        <w:rPr>
          <w:rFonts w:eastAsia="Times New Roman"/>
          <w:kern w:val="22"/>
          <w:lang w:val="fr-FR" w:eastAsia="fr-FR"/>
        </w:rPr>
      </w:pPr>
      <w:r w:rsidRPr="00DB1BED">
        <w:rPr>
          <w:rFonts w:eastAsia="Times New Roman"/>
          <w:kern w:val="22"/>
          <w:lang w:val="fr-FR" w:eastAsia="fr-FR"/>
        </w:rPr>
        <w:t>3.</w:t>
      </w:r>
      <w:r w:rsidRPr="00DB1BED">
        <w:rPr>
          <w:rFonts w:eastAsia="Times New Roman"/>
          <w:kern w:val="22"/>
          <w:lang w:val="fr-FR" w:eastAsia="fr-FR"/>
        </w:rPr>
        <w:tab/>
      </w:r>
      <w:r w:rsidRPr="00DB1BED">
        <w:rPr>
          <w:rFonts w:eastAsia="Times New Roman"/>
          <w:i/>
          <w:iCs/>
          <w:kern w:val="22"/>
          <w:lang w:val="fr-FR" w:eastAsia="fr-FR"/>
        </w:rPr>
        <w:t>Invite</w:t>
      </w:r>
      <w:r w:rsidRPr="00DB1BED">
        <w:rPr>
          <w:rFonts w:eastAsia="Times New Roman"/>
          <w:kern w:val="22"/>
          <w:lang w:val="fr-FR" w:eastAsia="fr-FR"/>
        </w:rPr>
        <w:t xml:space="preserve"> également les organisations internationales et les instances intergouvernementales concernées à tenir compte des critères indicatifs dans le cadre de l</w:t>
      </w:r>
      <w:r w:rsidR="00EE54EF">
        <w:rPr>
          <w:rFonts w:eastAsia="Times New Roman"/>
          <w:kern w:val="22"/>
          <w:lang w:val="fr-FR" w:eastAsia="fr-FR"/>
        </w:rPr>
        <w:t>’</w:t>
      </w:r>
      <w:r w:rsidRPr="00DB1BED">
        <w:rPr>
          <w:rFonts w:eastAsia="Times New Roman"/>
          <w:kern w:val="22"/>
          <w:lang w:val="fr-FR" w:eastAsia="fr-FR"/>
        </w:rPr>
        <w:t>élaboration [ou de l’atteinte d’un consensus sur] [ou de la mise en œuvre] d</w:t>
      </w:r>
      <w:r w:rsidR="00EE54EF">
        <w:rPr>
          <w:rFonts w:eastAsia="Times New Roman"/>
          <w:kern w:val="22"/>
          <w:lang w:val="fr-FR" w:eastAsia="fr-FR"/>
        </w:rPr>
        <w:t>’</w:t>
      </w:r>
      <w:r w:rsidRPr="00DB1BED">
        <w:rPr>
          <w:rFonts w:eastAsia="Times New Roman"/>
          <w:kern w:val="22"/>
          <w:lang w:val="fr-FR" w:eastAsia="fr-FR"/>
        </w:rPr>
        <w:t>instruments internationaux spécialisés en matière d</w:t>
      </w:r>
      <w:r w:rsidR="00EE54EF">
        <w:rPr>
          <w:rFonts w:eastAsia="Times New Roman"/>
          <w:kern w:val="22"/>
          <w:lang w:val="fr-FR" w:eastAsia="fr-FR"/>
        </w:rPr>
        <w:t>’</w:t>
      </w:r>
      <w:r w:rsidRPr="00DB1BED">
        <w:rPr>
          <w:rFonts w:eastAsia="Times New Roman"/>
          <w:kern w:val="22"/>
          <w:lang w:val="fr-FR" w:eastAsia="fr-FR"/>
        </w:rPr>
        <w:t>accès et de partage des avantages ;</w:t>
      </w:r>
    </w:p>
    <w:p w14:paraId="50DC0122" w14:textId="0E9848D9" w:rsidR="00DB1BED" w:rsidRPr="00DB1BED" w:rsidRDefault="00DB1BED" w:rsidP="008A49C0">
      <w:pPr>
        <w:suppressLineNumbers/>
        <w:tabs>
          <w:tab w:val="clear" w:pos="567"/>
          <w:tab w:val="clear" w:pos="1134"/>
          <w:tab w:val="clear" w:pos="1701"/>
          <w:tab w:val="clear" w:pos="2268"/>
        </w:tabs>
        <w:suppressAutoHyphens/>
        <w:spacing w:before="120" w:after="120"/>
        <w:ind w:left="567" w:firstLine="567"/>
        <w:rPr>
          <w:rFonts w:eastAsia="Times New Roman"/>
          <w:kern w:val="22"/>
          <w:lang w:val="fr-FR" w:eastAsia="fr-FR"/>
        </w:rPr>
      </w:pPr>
      <w:r w:rsidRPr="00DB1BED">
        <w:rPr>
          <w:rFonts w:eastAsia="Times New Roman"/>
          <w:kern w:val="22"/>
          <w:lang w:val="fr-FR" w:eastAsia="fr-FR"/>
        </w:rPr>
        <w:t>4.</w:t>
      </w:r>
      <w:r w:rsidRPr="00DB1BED">
        <w:rPr>
          <w:rFonts w:eastAsia="Times New Roman"/>
          <w:kern w:val="22"/>
          <w:lang w:val="fr-FR" w:eastAsia="fr-FR"/>
        </w:rPr>
        <w:tab/>
      </w:r>
      <w:r w:rsidRPr="00DB1BED">
        <w:rPr>
          <w:rFonts w:eastAsia="Times New Roman"/>
          <w:i/>
          <w:iCs/>
          <w:kern w:val="22"/>
          <w:lang w:val="fr-FR" w:eastAsia="fr-FR"/>
        </w:rPr>
        <w:t>Demande</w:t>
      </w:r>
      <w:r w:rsidRPr="00DB1BED">
        <w:rPr>
          <w:rFonts w:eastAsia="Times New Roman"/>
          <w:kern w:val="22"/>
          <w:lang w:val="fr-FR" w:eastAsia="fr-FR"/>
        </w:rPr>
        <w:t xml:space="preserve"> aux Parties d</w:t>
      </w:r>
      <w:r w:rsidR="00EE54EF">
        <w:rPr>
          <w:rFonts w:eastAsia="Times New Roman"/>
          <w:kern w:val="22"/>
          <w:lang w:val="fr-FR" w:eastAsia="fr-FR"/>
        </w:rPr>
        <w:t>’</w:t>
      </w:r>
      <w:r w:rsidRPr="00DB1BED">
        <w:rPr>
          <w:rFonts w:eastAsia="Times New Roman"/>
          <w:kern w:val="22"/>
          <w:lang w:val="fr-FR" w:eastAsia="fr-FR"/>
        </w:rPr>
        <w:t>inclure des informations dans leurs rapports nationaux et, selon qu</w:t>
      </w:r>
      <w:r w:rsidR="00EE54EF">
        <w:rPr>
          <w:rFonts w:eastAsia="Times New Roman"/>
          <w:kern w:val="22"/>
          <w:lang w:val="fr-FR" w:eastAsia="fr-FR"/>
        </w:rPr>
        <w:t>’</w:t>
      </w:r>
      <w:r w:rsidRPr="00DB1BED">
        <w:rPr>
          <w:rFonts w:eastAsia="Times New Roman"/>
          <w:kern w:val="22"/>
          <w:lang w:val="fr-FR" w:eastAsia="fr-FR"/>
        </w:rPr>
        <w:t>il convient, par le biais du Centre d</w:t>
      </w:r>
      <w:r w:rsidR="00EE54EF">
        <w:rPr>
          <w:rFonts w:eastAsia="Times New Roman"/>
          <w:kern w:val="22"/>
          <w:lang w:val="fr-FR" w:eastAsia="fr-FR"/>
        </w:rPr>
        <w:t>’</w:t>
      </w:r>
      <w:r w:rsidRPr="00DB1BED">
        <w:rPr>
          <w:rFonts w:eastAsia="Times New Roman"/>
          <w:kern w:val="22"/>
          <w:lang w:val="fr-FR" w:eastAsia="fr-FR"/>
        </w:rPr>
        <w:t>échange sur l</w:t>
      </w:r>
      <w:r w:rsidR="00EE54EF">
        <w:rPr>
          <w:rFonts w:eastAsia="Times New Roman"/>
          <w:kern w:val="22"/>
          <w:lang w:val="fr-FR" w:eastAsia="fr-FR"/>
        </w:rPr>
        <w:t>’</w:t>
      </w:r>
      <w:r w:rsidRPr="00DB1BED">
        <w:rPr>
          <w:rFonts w:eastAsia="Times New Roman"/>
          <w:kern w:val="22"/>
          <w:lang w:val="fr-FR" w:eastAsia="fr-FR"/>
        </w:rPr>
        <w:t>accès et le partage des avantages, et invite les autres gouvernements et les organisations internationales compétentes à partager des informations sur toute mesure prise en vue de l</w:t>
      </w:r>
      <w:r w:rsidR="00EE54EF">
        <w:rPr>
          <w:rFonts w:eastAsia="Times New Roman"/>
          <w:kern w:val="22"/>
          <w:lang w:val="fr-FR" w:eastAsia="fr-FR"/>
        </w:rPr>
        <w:t>’</w:t>
      </w:r>
      <w:r w:rsidRPr="00DB1BED">
        <w:rPr>
          <w:rFonts w:eastAsia="Times New Roman"/>
          <w:kern w:val="22"/>
          <w:lang w:val="fr-FR" w:eastAsia="fr-FR"/>
        </w:rPr>
        <w:t>élaboration et/ou de la mise en œuvre d</w:t>
      </w:r>
      <w:r w:rsidR="00EE54EF">
        <w:rPr>
          <w:rFonts w:eastAsia="Times New Roman"/>
          <w:kern w:val="22"/>
          <w:lang w:val="fr-FR" w:eastAsia="fr-FR"/>
        </w:rPr>
        <w:t>’</w:t>
      </w:r>
      <w:r w:rsidRPr="00DB1BED">
        <w:rPr>
          <w:rFonts w:eastAsia="Times New Roman"/>
          <w:kern w:val="22"/>
          <w:lang w:val="fr-FR" w:eastAsia="fr-FR"/>
        </w:rPr>
        <w:t>instruments internationaux spécialisés en matière d</w:t>
      </w:r>
      <w:r w:rsidR="00EE54EF">
        <w:rPr>
          <w:rFonts w:eastAsia="Times New Roman"/>
          <w:kern w:val="22"/>
          <w:lang w:val="fr-FR" w:eastAsia="fr-FR"/>
        </w:rPr>
        <w:t>’</w:t>
      </w:r>
      <w:r w:rsidRPr="00DB1BED">
        <w:rPr>
          <w:rFonts w:eastAsia="Times New Roman"/>
          <w:kern w:val="22"/>
          <w:lang w:val="fr-FR" w:eastAsia="fr-FR"/>
        </w:rPr>
        <w:t>accès et de partage des avantages [conformes aux] [qui soutiennent mutuellement les] objectifs de la Convention et du Protocole, y compris des informations sur la [les] ressource[s] génétique[s] et/ou utilisations spécifique[s][, y compris les connaissances traditionnelles associées aux ressources génétiques] visée[s] par l</w:t>
      </w:r>
      <w:r w:rsidR="00EE54EF">
        <w:rPr>
          <w:rFonts w:eastAsia="Times New Roman"/>
          <w:kern w:val="22"/>
          <w:lang w:val="fr-FR" w:eastAsia="fr-FR"/>
        </w:rPr>
        <w:t>’</w:t>
      </w:r>
      <w:r w:rsidRPr="00DB1BED">
        <w:rPr>
          <w:rFonts w:eastAsia="Times New Roman"/>
          <w:kern w:val="22"/>
          <w:lang w:val="fr-FR" w:eastAsia="fr-FR"/>
        </w:rPr>
        <w:t>instrument spécialisé ;</w:t>
      </w:r>
    </w:p>
    <w:p w14:paraId="232450C4" w14:textId="08014D87" w:rsidR="00DB1BED" w:rsidRPr="00DB1BED" w:rsidRDefault="00DB1BED" w:rsidP="008A49C0">
      <w:pPr>
        <w:tabs>
          <w:tab w:val="clear" w:pos="567"/>
          <w:tab w:val="clear" w:pos="1134"/>
          <w:tab w:val="clear" w:pos="1701"/>
          <w:tab w:val="clear" w:pos="2268"/>
        </w:tabs>
        <w:spacing w:before="120" w:after="120"/>
        <w:ind w:left="567" w:firstLine="567"/>
        <w:rPr>
          <w:rFonts w:eastAsia="Times New Roman"/>
          <w:szCs w:val="24"/>
          <w:lang w:val="fr-FR" w:eastAsia="fr-FR"/>
        </w:rPr>
      </w:pPr>
      <w:r w:rsidRPr="00DB1BED">
        <w:rPr>
          <w:rFonts w:eastAsia="Times New Roman"/>
          <w:szCs w:val="24"/>
          <w:lang w:val="fr-FR" w:eastAsia="fr-FR"/>
        </w:rPr>
        <w:t xml:space="preserve">[5. </w:t>
      </w:r>
      <w:r w:rsidRPr="00DB1BED">
        <w:rPr>
          <w:rFonts w:eastAsia="Times New Roman"/>
          <w:szCs w:val="24"/>
          <w:lang w:val="fr-FR" w:eastAsia="fr-FR"/>
        </w:rPr>
        <w:tab/>
      </w:r>
      <w:r w:rsidRPr="00DB1BED">
        <w:rPr>
          <w:rFonts w:eastAsia="Times New Roman"/>
          <w:i/>
          <w:iCs/>
          <w:szCs w:val="24"/>
          <w:lang w:val="fr-FR" w:eastAsia="fr-FR"/>
        </w:rPr>
        <w:t>Décide</w:t>
      </w:r>
      <w:r w:rsidRPr="00DB1BED">
        <w:rPr>
          <w:rFonts w:eastAsia="Times New Roman"/>
          <w:szCs w:val="24"/>
          <w:lang w:val="fr-FR" w:eastAsia="fr-FR"/>
        </w:rPr>
        <w:t xml:space="preserve"> que la réunion des Parties au Protocole de Nagoya fera office d</w:t>
      </w:r>
      <w:r w:rsidR="00EE54EF">
        <w:rPr>
          <w:rFonts w:eastAsia="Times New Roman"/>
          <w:szCs w:val="24"/>
          <w:lang w:val="fr-FR" w:eastAsia="fr-FR"/>
        </w:rPr>
        <w:t>’</w:t>
      </w:r>
      <w:r w:rsidRPr="00DB1BED">
        <w:rPr>
          <w:rFonts w:eastAsia="Times New Roman"/>
          <w:szCs w:val="24"/>
          <w:lang w:val="fr-FR" w:eastAsia="fr-FR"/>
        </w:rPr>
        <w:t>autorité chargée d</w:t>
      </w:r>
      <w:r w:rsidR="00EE54EF">
        <w:rPr>
          <w:rFonts w:eastAsia="Times New Roman"/>
          <w:szCs w:val="24"/>
          <w:lang w:val="fr-FR" w:eastAsia="fr-FR"/>
        </w:rPr>
        <w:t>’</w:t>
      </w:r>
      <w:r w:rsidRPr="00DB1BED">
        <w:rPr>
          <w:rFonts w:eastAsia="Times New Roman"/>
          <w:szCs w:val="24"/>
          <w:lang w:val="fr-FR" w:eastAsia="fr-FR"/>
        </w:rPr>
        <w:t>évaluer, de déterminer, de réviser ou de mettre fin au statut des instruments en tant qu</w:t>
      </w:r>
      <w:r w:rsidR="00EE54EF">
        <w:rPr>
          <w:rFonts w:eastAsia="Times New Roman"/>
          <w:szCs w:val="24"/>
          <w:lang w:val="fr-FR" w:eastAsia="fr-FR"/>
        </w:rPr>
        <w:t>’</w:t>
      </w:r>
      <w:r w:rsidRPr="00DB1BED">
        <w:rPr>
          <w:rFonts w:eastAsia="Times New Roman"/>
          <w:szCs w:val="24"/>
          <w:lang w:val="fr-FR" w:eastAsia="fr-FR"/>
        </w:rPr>
        <w:t>instruments internationaux spécialisés en matière d</w:t>
      </w:r>
      <w:r w:rsidR="00EE54EF">
        <w:rPr>
          <w:rFonts w:eastAsia="Times New Roman"/>
          <w:szCs w:val="24"/>
          <w:lang w:val="fr-FR" w:eastAsia="fr-FR"/>
        </w:rPr>
        <w:t>’</w:t>
      </w:r>
      <w:r w:rsidRPr="00DB1BED">
        <w:rPr>
          <w:rFonts w:eastAsia="Times New Roman"/>
          <w:szCs w:val="24"/>
          <w:lang w:val="fr-FR" w:eastAsia="fr-FR"/>
        </w:rPr>
        <w:t>accès et de partage des avantages dans le contexte du paragraphe 4 de l</w:t>
      </w:r>
      <w:r w:rsidR="00EE54EF">
        <w:rPr>
          <w:rFonts w:eastAsia="Times New Roman"/>
          <w:szCs w:val="24"/>
          <w:lang w:val="fr-FR" w:eastAsia="fr-FR"/>
        </w:rPr>
        <w:t>’</w:t>
      </w:r>
      <w:r w:rsidRPr="00DB1BED">
        <w:rPr>
          <w:rFonts w:eastAsia="Times New Roman"/>
          <w:szCs w:val="24"/>
          <w:lang w:val="fr-FR" w:eastAsia="fr-FR"/>
        </w:rPr>
        <w:t>article 4 du Protocole de Nagoya sur la base des critères fournis dans l</w:t>
      </w:r>
      <w:r w:rsidR="00EE54EF">
        <w:rPr>
          <w:rFonts w:eastAsia="Times New Roman"/>
          <w:szCs w:val="24"/>
          <w:lang w:val="fr-FR" w:eastAsia="fr-FR"/>
        </w:rPr>
        <w:t>’</w:t>
      </w:r>
      <w:r w:rsidRPr="00DB1BED">
        <w:rPr>
          <w:rFonts w:eastAsia="Times New Roman"/>
          <w:szCs w:val="24"/>
          <w:lang w:val="fr-FR" w:eastAsia="fr-FR"/>
        </w:rPr>
        <w:t>annexe au présent projet de décision et que les Parties au Protocole de Nagoya peuvent s</w:t>
      </w:r>
      <w:r w:rsidR="00EE54EF">
        <w:rPr>
          <w:rFonts w:eastAsia="Times New Roman"/>
          <w:szCs w:val="24"/>
          <w:lang w:val="fr-FR" w:eastAsia="fr-FR"/>
        </w:rPr>
        <w:t>’</w:t>
      </w:r>
      <w:r w:rsidRPr="00DB1BED">
        <w:rPr>
          <w:rFonts w:eastAsia="Times New Roman"/>
          <w:szCs w:val="24"/>
          <w:lang w:val="fr-FR" w:eastAsia="fr-FR"/>
        </w:rPr>
        <w:t>adresser à la réunion des Parties pour déterminer ou mettre fin au statut des instruments ;]</w:t>
      </w:r>
    </w:p>
    <w:p w14:paraId="433B39C2" w14:textId="0E184AA9" w:rsidR="00DB1BED" w:rsidRPr="00DB1BED" w:rsidRDefault="00DB1BED" w:rsidP="008A49C0">
      <w:pPr>
        <w:tabs>
          <w:tab w:val="clear" w:pos="567"/>
          <w:tab w:val="clear" w:pos="1134"/>
          <w:tab w:val="clear" w:pos="1701"/>
          <w:tab w:val="clear" w:pos="2268"/>
        </w:tabs>
        <w:ind w:left="567" w:firstLine="567"/>
        <w:rPr>
          <w:rFonts w:eastAsia="Times New Roman"/>
          <w:szCs w:val="24"/>
          <w:lang w:val="fr-FR" w:eastAsia="fr-FR"/>
        </w:rPr>
      </w:pPr>
      <w:r w:rsidRPr="00DB1BED">
        <w:rPr>
          <w:rFonts w:eastAsia="Times New Roman"/>
          <w:szCs w:val="24"/>
          <w:lang w:val="fr-FR" w:eastAsia="fr-FR"/>
        </w:rPr>
        <w:t xml:space="preserve">[6. </w:t>
      </w:r>
      <w:r w:rsidRPr="00DB1BED">
        <w:rPr>
          <w:rFonts w:eastAsia="Times New Roman"/>
          <w:szCs w:val="24"/>
          <w:lang w:val="fr-FR" w:eastAsia="fr-FR"/>
        </w:rPr>
        <w:tab/>
      </w:r>
      <w:r w:rsidRPr="00DB1BED">
        <w:rPr>
          <w:rFonts w:eastAsia="Times New Roman"/>
          <w:i/>
          <w:iCs/>
          <w:szCs w:val="24"/>
          <w:lang w:val="fr-FR" w:eastAsia="fr-FR"/>
        </w:rPr>
        <w:t>Prie</w:t>
      </w:r>
      <w:r w:rsidRPr="00DB1BED">
        <w:rPr>
          <w:rFonts w:eastAsia="Times New Roman"/>
          <w:szCs w:val="24"/>
          <w:lang w:val="fr-FR" w:eastAsia="fr-FR"/>
        </w:rPr>
        <w:t xml:space="preserve"> la Secrétaire exécutive de recueillir et soumettre les instruments des Parties au Protocole de Nagoya aux fins d</w:t>
      </w:r>
      <w:r w:rsidR="00EE54EF">
        <w:rPr>
          <w:rFonts w:eastAsia="Times New Roman"/>
          <w:szCs w:val="24"/>
          <w:lang w:val="fr-FR" w:eastAsia="fr-FR"/>
        </w:rPr>
        <w:t>’</w:t>
      </w:r>
      <w:r w:rsidRPr="00DB1BED">
        <w:rPr>
          <w:rFonts w:eastAsia="Times New Roman"/>
          <w:szCs w:val="24"/>
          <w:lang w:val="fr-FR" w:eastAsia="fr-FR"/>
        </w:rPr>
        <w:t>examen par la réunion des Parties comme indiqué au paragraphe 5, quatre mois avant la réunion des Parties, à partir de la cinquième réunion] ;</w:t>
      </w:r>
    </w:p>
    <w:p w14:paraId="5223970D" w14:textId="7C8E0778" w:rsidR="00DB1BED" w:rsidRPr="00DB1BED" w:rsidRDefault="00DB1BED" w:rsidP="008A49C0">
      <w:pPr>
        <w:suppressLineNumbers/>
        <w:tabs>
          <w:tab w:val="clear" w:pos="567"/>
          <w:tab w:val="clear" w:pos="1134"/>
          <w:tab w:val="clear" w:pos="1701"/>
          <w:tab w:val="clear" w:pos="2268"/>
        </w:tabs>
        <w:suppressAutoHyphens/>
        <w:spacing w:before="120" w:after="120"/>
        <w:ind w:left="567" w:firstLine="567"/>
        <w:rPr>
          <w:rFonts w:eastAsia="Times New Roman"/>
          <w:snapToGrid w:val="0"/>
          <w:kern w:val="22"/>
          <w:lang w:val="fr-FR" w:eastAsia="fr-FR"/>
        </w:rPr>
      </w:pPr>
      <w:r w:rsidRPr="00DB1BED">
        <w:rPr>
          <w:rFonts w:eastAsia="Times New Roman"/>
          <w:snapToGrid w:val="0"/>
          <w:kern w:val="22"/>
          <w:lang w:val="fr-FR" w:eastAsia="fr-FR"/>
        </w:rPr>
        <w:t>7.</w:t>
      </w:r>
      <w:r w:rsidRPr="00DB1BED">
        <w:rPr>
          <w:rFonts w:eastAsia="Times New Roman"/>
          <w:snapToGrid w:val="0"/>
          <w:kern w:val="22"/>
          <w:lang w:val="fr-FR" w:eastAsia="fr-FR"/>
        </w:rPr>
        <w:tab/>
      </w:r>
      <w:r w:rsidRPr="00DB1BED">
        <w:rPr>
          <w:rFonts w:eastAsia="Times New Roman"/>
          <w:i/>
          <w:iCs/>
          <w:snapToGrid w:val="0"/>
          <w:kern w:val="22"/>
          <w:lang w:val="fr-FR" w:eastAsia="fr-FR"/>
        </w:rPr>
        <w:t>Décide</w:t>
      </w:r>
      <w:r w:rsidRPr="00DB1BED">
        <w:rPr>
          <w:rFonts w:eastAsia="Times New Roman"/>
          <w:snapToGrid w:val="0"/>
          <w:kern w:val="22"/>
          <w:lang w:val="fr-FR" w:eastAsia="fr-FR"/>
        </w:rPr>
        <w:t xml:space="preserve"> de réexaminer la présente décision dans le cadre du processus d</w:t>
      </w:r>
      <w:r w:rsidR="00EE54EF">
        <w:rPr>
          <w:rFonts w:eastAsia="Times New Roman"/>
          <w:snapToGrid w:val="0"/>
          <w:kern w:val="22"/>
          <w:lang w:val="fr-FR" w:eastAsia="fr-FR"/>
        </w:rPr>
        <w:t>’</w:t>
      </w:r>
      <w:r w:rsidRPr="00DB1BED">
        <w:rPr>
          <w:rFonts w:eastAsia="Times New Roman"/>
          <w:snapToGrid w:val="0"/>
          <w:kern w:val="22"/>
          <w:lang w:val="fr-FR" w:eastAsia="fr-FR"/>
        </w:rPr>
        <w:t>évaluation et d</w:t>
      </w:r>
      <w:r w:rsidR="00EE54EF">
        <w:rPr>
          <w:rFonts w:eastAsia="Times New Roman"/>
          <w:snapToGrid w:val="0"/>
          <w:kern w:val="22"/>
          <w:lang w:val="fr-FR" w:eastAsia="fr-FR"/>
        </w:rPr>
        <w:t>’</w:t>
      </w:r>
      <w:r w:rsidRPr="00DB1BED">
        <w:rPr>
          <w:rFonts w:eastAsia="Times New Roman"/>
          <w:snapToGrid w:val="0"/>
          <w:kern w:val="22"/>
          <w:lang w:val="fr-FR" w:eastAsia="fr-FR"/>
        </w:rPr>
        <w:t>examen prévu à l</w:t>
      </w:r>
      <w:r w:rsidR="00EE54EF">
        <w:rPr>
          <w:rFonts w:eastAsia="Times New Roman"/>
          <w:snapToGrid w:val="0"/>
          <w:kern w:val="22"/>
          <w:lang w:val="fr-FR" w:eastAsia="fr-FR"/>
        </w:rPr>
        <w:t>’</w:t>
      </w:r>
      <w:r w:rsidRPr="00DB1BED">
        <w:rPr>
          <w:rFonts w:eastAsia="Times New Roman"/>
          <w:snapToGrid w:val="0"/>
          <w:kern w:val="22"/>
          <w:lang w:val="fr-FR" w:eastAsia="fr-FR"/>
        </w:rPr>
        <w:t xml:space="preserve">article 31 du Protocole, en tenant compte des évolutions pertinentes et afin de </w:t>
      </w:r>
      <w:r w:rsidRPr="00DB1BED">
        <w:rPr>
          <w:rFonts w:eastAsia="Times New Roman"/>
          <w:snapToGrid w:val="0"/>
          <w:kern w:val="22"/>
          <w:lang w:val="fr-FR" w:eastAsia="fr-FR"/>
        </w:rPr>
        <w:lastRenderedPageBreak/>
        <w:t>prendre toute mesure nécessaire visant à promouvoir la cohérence du régime international relatif à l</w:t>
      </w:r>
      <w:r w:rsidR="00EE54EF">
        <w:rPr>
          <w:rFonts w:eastAsia="Times New Roman"/>
          <w:snapToGrid w:val="0"/>
          <w:kern w:val="22"/>
          <w:lang w:val="fr-FR" w:eastAsia="fr-FR"/>
        </w:rPr>
        <w:t>’</w:t>
      </w:r>
      <w:r w:rsidRPr="00DB1BED">
        <w:rPr>
          <w:rFonts w:eastAsia="Times New Roman"/>
          <w:snapToGrid w:val="0"/>
          <w:kern w:val="22"/>
          <w:lang w:val="fr-FR" w:eastAsia="fr-FR"/>
        </w:rPr>
        <w:t>accès et au partage des avantages</w:t>
      </w:r>
      <w:r w:rsidRPr="00DB1BED">
        <w:rPr>
          <w:rFonts w:eastAsia="Times New Roman"/>
          <w:i/>
          <w:iCs/>
          <w:snapToGrid w:val="0"/>
          <w:kern w:val="22"/>
          <w:lang w:val="fr-FR" w:eastAsia="fr-FR"/>
        </w:rPr>
        <w:t>.</w:t>
      </w:r>
    </w:p>
    <w:p w14:paraId="3A66A3D1" w14:textId="77777777" w:rsidR="00DB1BED" w:rsidRPr="00DB1BED" w:rsidRDefault="00DB1BED" w:rsidP="00DB1BED">
      <w:pPr>
        <w:suppressLineNumbers/>
        <w:tabs>
          <w:tab w:val="clear" w:pos="567"/>
          <w:tab w:val="clear" w:pos="1134"/>
          <w:tab w:val="clear" w:pos="1701"/>
          <w:tab w:val="clear" w:pos="2268"/>
        </w:tabs>
        <w:suppressAutoHyphens/>
        <w:spacing w:before="120" w:after="120"/>
        <w:ind w:firstLine="720"/>
        <w:rPr>
          <w:rFonts w:eastAsia="Times New Roman"/>
          <w:i/>
          <w:iCs/>
          <w:snapToGrid w:val="0"/>
          <w:kern w:val="22"/>
          <w:lang w:val="fr-FR" w:eastAsia="fr-FR"/>
        </w:rPr>
      </w:pPr>
    </w:p>
    <w:p w14:paraId="0EA75774" w14:textId="77777777" w:rsidR="00DB1BED" w:rsidRPr="008A49C0" w:rsidRDefault="00DB1BED" w:rsidP="00EF26F6">
      <w:pPr>
        <w:keepNext/>
        <w:suppressLineNumbers/>
        <w:tabs>
          <w:tab w:val="clear" w:pos="567"/>
          <w:tab w:val="clear" w:pos="1134"/>
          <w:tab w:val="clear" w:pos="1701"/>
          <w:tab w:val="clear" w:pos="2268"/>
        </w:tabs>
        <w:suppressAutoHyphens/>
        <w:spacing w:before="120"/>
        <w:ind w:left="567"/>
        <w:rPr>
          <w:rFonts w:eastAsia="Times New Roman"/>
          <w:b/>
          <w:bCs/>
          <w:snapToGrid w:val="0"/>
          <w:kern w:val="22"/>
          <w:sz w:val="24"/>
          <w:szCs w:val="24"/>
          <w:lang w:val="fr-FR" w:eastAsia="fr-FR"/>
        </w:rPr>
      </w:pPr>
      <w:r w:rsidRPr="008A49C0">
        <w:rPr>
          <w:rFonts w:eastAsia="Times New Roman"/>
          <w:b/>
          <w:bCs/>
          <w:snapToGrid w:val="0"/>
          <w:kern w:val="22"/>
          <w:sz w:val="24"/>
          <w:szCs w:val="24"/>
          <w:lang w:val="fr-FR" w:eastAsia="fr-FR"/>
        </w:rPr>
        <w:t>Annexe</w:t>
      </w:r>
    </w:p>
    <w:p w14:paraId="44D2BE67" w14:textId="0A423CC6" w:rsidR="00DB1BED" w:rsidRPr="008A49C0" w:rsidRDefault="00DB1BED" w:rsidP="00EF26F6">
      <w:pPr>
        <w:pStyle w:val="CBDH2"/>
        <w:spacing w:before="0"/>
        <w:ind w:firstLine="0"/>
        <w:jc w:val="left"/>
        <w:rPr>
          <w:lang w:val="fr-FR" w:eastAsia="fr-FR"/>
        </w:rPr>
      </w:pPr>
      <w:r w:rsidRPr="008A49C0">
        <w:rPr>
          <w:lang w:val="fr-FR" w:eastAsia="fr-FR"/>
        </w:rPr>
        <w:t>C</w:t>
      </w:r>
      <w:r w:rsidR="008A49C0" w:rsidRPr="008A49C0">
        <w:rPr>
          <w:lang w:val="fr-FR" w:eastAsia="fr-FR"/>
        </w:rPr>
        <w:t>ritères indicatifs concernant les instruments internationaux spécialisés en matière d’accès et de partage des avantages au titre du paragraphe 4</w:t>
      </w:r>
      <w:r w:rsidR="008A49C0">
        <w:rPr>
          <w:lang w:val="fr-FR" w:eastAsia="fr-FR"/>
        </w:rPr>
        <w:t xml:space="preserve"> de l’article 4 du Protocole de Nagoya sur l’accès aux ressources génétiques et le partage juste et équitable des avantages découlant de leur utilisation</w:t>
      </w:r>
    </w:p>
    <w:p w14:paraId="63DF5746" w14:textId="1086C740" w:rsidR="00DB1BED" w:rsidRPr="00DB1BED" w:rsidRDefault="00DB1BED" w:rsidP="00EF26F6">
      <w:pPr>
        <w:numPr>
          <w:ilvl w:val="0"/>
          <w:numId w:val="9"/>
        </w:num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eastAsia="fr-FR"/>
        </w:rPr>
      </w:pPr>
      <w:r w:rsidRPr="00DB1BED">
        <w:rPr>
          <w:rFonts w:eastAsia="Times New Roman"/>
          <w:snapToGrid w:val="0"/>
          <w:kern w:val="22"/>
          <w:lang w:val="fr-FR" w:eastAsia="fr-FR"/>
        </w:rPr>
        <w:t>Ces critères indicatifs servent de référence ou d</w:t>
      </w:r>
      <w:r w:rsidR="00EE54EF">
        <w:rPr>
          <w:rFonts w:eastAsia="Times New Roman"/>
          <w:snapToGrid w:val="0"/>
          <w:kern w:val="22"/>
          <w:lang w:val="fr-FR" w:eastAsia="fr-FR"/>
        </w:rPr>
        <w:t>’</w:t>
      </w:r>
      <w:r w:rsidRPr="00DB1BED">
        <w:rPr>
          <w:rFonts w:eastAsia="Times New Roman"/>
          <w:snapToGrid w:val="0"/>
          <w:kern w:val="22"/>
          <w:lang w:val="fr-FR" w:eastAsia="fr-FR"/>
        </w:rPr>
        <w:t>éléments à prendre en considération pour l</w:t>
      </w:r>
      <w:r w:rsidR="00EE54EF">
        <w:rPr>
          <w:rFonts w:eastAsia="Times New Roman"/>
          <w:snapToGrid w:val="0"/>
          <w:kern w:val="22"/>
          <w:lang w:val="fr-FR" w:eastAsia="fr-FR"/>
        </w:rPr>
        <w:t>’</w:t>
      </w:r>
      <w:r w:rsidRPr="00DB1BED">
        <w:rPr>
          <w:rFonts w:eastAsia="Times New Roman"/>
          <w:snapToGrid w:val="0"/>
          <w:kern w:val="22"/>
          <w:lang w:val="fr-FR" w:eastAsia="fr-FR"/>
        </w:rPr>
        <w:t>élaboration ou la mise en œuvre d</w:t>
      </w:r>
      <w:r w:rsidR="00EE54EF">
        <w:rPr>
          <w:rFonts w:eastAsia="Times New Roman"/>
          <w:snapToGrid w:val="0"/>
          <w:kern w:val="22"/>
          <w:lang w:val="fr-FR" w:eastAsia="fr-FR"/>
        </w:rPr>
        <w:t>’</w:t>
      </w:r>
      <w:r w:rsidRPr="00DB1BED">
        <w:rPr>
          <w:rFonts w:eastAsia="Times New Roman"/>
          <w:snapToGrid w:val="0"/>
          <w:kern w:val="22"/>
          <w:lang w:val="fr-FR" w:eastAsia="fr-FR"/>
        </w:rPr>
        <w:t>instruments internationaux spécialisés en matière d</w:t>
      </w:r>
      <w:r w:rsidR="00EE54EF">
        <w:rPr>
          <w:rFonts w:eastAsia="Times New Roman"/>
          <w:snapToGrid w:val="0"/>
          <w:kern w:val="22"/>
          <w:lang w:val="fr-FR" w:eastAsia="fr-FR"/>
        </w:rPr>
        <w:t>’</w:t>
      </w:r>
      <w:r w:rsidRPr="00DB1BED">
        <w:rPr>
          <w:rFonts w:eastAsia="Times New Roman"/>
          <w:snapToGrid w:val="0"/>
          <w:kern w:val="22"/>
          <w:lang w:val="fr-FR" w:eastAsia="fr-FR"/>
        </w:rPr>
        <w:t>accès et de partage des avantages. Ils visent à renforcer la coordination et le soutien mutuel dans la mise en œuvre du Protocole de Nagoya et des autres instruments internationaux relatifs à l</w:t>
      </w:r>
      <w:r w:rsidR="00EE54EF">
        <w:rPr>
          <w:rFonts w:eastAsia="Times New Roman"/>
          <w:snapToGrid w:val="0"/>
          <w:kern w:val="22"/>
          <w:lang w:val="fr-FR" w:eastAsia="fr-FR"/>
        </w:rPr>
        <w:t>’</w:t>
      </w:r>
      <w:r w:rsidRPr="00DB1BED">
        <w:rPr>
          <w:rFonts w:eastAsia="Times New Roman"/>
          <w:snapToGrid w:val="0"/>
          <w:kern w:val="22"/>
          <w:lang w:val="fr-FR" w:eastAsia="fr-FR"/>
        </w:rPr>
        <w:t>accès aux ressources génétiques et au partage des avantages, sans créer de hiérarchie entre eux.</w:t>
      </w:r>
    </w:p>
    <w:p w14:paraId="0A23FAD0" w14:textId="620546AE" w:rsidR="00DB1BED" w:rsidRPr="00DB1BED" w:rsidRDefault="00DB1BED" w:rsidP="00EF26F6">
      <w:pPr>
        <w:numPr>
          <w:ilvl w:val="0"/>
          <w:numId w:val="9"/>
        </w:num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eastAsia="fr-FR"/>
        </w:rPr>
      </w:pPr>
      <w:r w:rsidRPr="00DB1BED">
        <w:rPr>
          <w:rFonts w:eastAsia="Times New Roman"/>
          <w:i/>
          <w:iCs/>
          <w:snapToGrid w:val="0"/>
          <w:kern w:val="22"/>
          <w:lang w:val="fr-FR" w:eastAsia="fr-FR"/>
        </w:rPr>
        <w:t xml:space="preserve">Accord intergouvernemental ou international </w:t>
      </w:r>
      <w:r w:rsidRPr="00DB1BED">
        <w:rPr>
          <w:rFonts w:eastAsia="Times New Roman"/>
          <w:snapToGrid w:val="0"/>
          <w:kern w:val="22"/>
          <w:lang w:val="fr-FR" w:eastAsia="fr-FR"/>
        </w:rPr>
        <w:t>- L</w:t>
      </w:r>
      <w:r w:rsidR="00EE54EF">
        <w:rPr>
          <w:rFonts w:eastAsia="Times New Roman"/>
          <w:snapToGrid w:val="0"/>
          <w:kern w:val="22"/>
          <w:lang w:val="fr-FR" w:eastAsia="fr-FR"/>
        </w:rPr>
        <w:t>’</w:t>
      </w:r>
      <w:r w:rsidRPr="00DB1BED">
        <w:rPr>
          <w:rFonts w:eastAsia="Times New Roman"/>
          <w:snapToGrid w:val="0"/>
          <w:kern w:val="22"/>
          <w:lang w:val="fr-FR" w:eastAsia="fr-FR"/>
        </w:rPr>
        <w:t>instrument est convenu [ou adopté] par un processus intergouvernemental et/ou [explicitement] approuvé par les États [et/ou les gouvernements][par la décision d</w:t>
      </w:r>
      <w:r w:rsidR="00EE54EF">
        <w:rPr>
          <w:rFonts w:eastAsia="Times New Roman"/>
          <w:snapToGrid w:val="0"/>
          <w:kern w:val="22"/>
          <w:lang w:val="fr-FR" w:eastAsia="fr-FR"/>
        </w:rPr>
        <w:t>’</w:t>
      </w:r>
      <w:r w:rsidRPr="00DB1BED">
        <w:rPr>
          <w:rFonts w:eastAsia="Times New Roman"/>
          <w:snapToGrid w:val="0"/>
          <w:kern w:val="22"/>
          <w:lang w:val="fr-FR" w:eastAsia="fr-FR"/>
        </w:rPr>
        <w:t>un organe directeur d</w:t>
      </w:r>
      <w:r w:rsidR="00EE54EF">
        <w:rPr>
          <w:rFonts w:eastAsia="Times New Roman"/>
          <w:snapToGrid w:val="0"/>
          <w:kern w:val="22"/>
          <w:lang w:val="fr-FR" w:eastAsia="fr-FR"/>
        </w:rPr>
        <w:t>’</w:t>
      </w:r>
      <w:r w:rsidRPr="00DB1BED">
        <w:rPr>
          <w:rFonts w:eastAsia="Times New Roman"/>
          <w:snapToGrid w:val="0"/>
          <w:kern w:val="22"/>
          <w:lang w:val="fr-FR" w:eastAsia="fr-FR"/>
        </w:rPr>
        <w:t>une organisation internationale]. [L’instrument peut être juridiquement contraignant ou non contraignant.]</w:t>
      </w:r>
    </w:p>
    <w:p w14:paraId="2159C3FF" w14:textId="569437FA" w:rsidR="00DB1BED" w:rsidRPr="00DB1BED" w:rsidRDefault="00DB1BED" w:rsidP="00EF26F6">
      <w:pPr>
        <w:numPr>
          <w:ilvl w:val="0"/>
          <w:numId w:val="9"/>
        </w:num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eastAsia="fr-FR"/>
        </w:rPr>
      </w:pPr>
      <w:r w:rsidRPr="00DB1BED">
        <w:rPr>
          <w:rFonts w:eastAsia="Times New Roman"/>
          <w:i/>
          <w:iCs/>
          <w:snapToGrid w:val="0"/>
          <w:kern w:val="22"/>
          <w:lang w:val="fr-FR" w:eastAsia="fr-FR"/>
        </w:rPr>
        <w:t xml:space="preserve">Spécialisé </w:t>
      </w:r>
      <w:r w:rsidRPr="00DB1BED">
        <w:rPr>
          <w:rFonts w:eastAsia="Times New Roman"/>
          <w:snapToGrid w:val="0"/>
          <w:kern w:val="22"/>
          <w:lang w:val="fr-FR" w:eastAsia="fr-FR"/>
        </w:rPr>
        <w:t>- L</w:t>
      </w:r>
      <w:r w:rsidR="00EE54EF">
        <w:rPr>
          <w:rFonts w:eastAsia="Times New Roman"/>
          <w:snapToGrid w:val="0"/>
          <w:kern w:val="22"/>
          <w:lang w:val="fr-FR" w:eastAsia="fr-FR"/>
        </w:rPr>
        <w:t>’</w:t>
      </w:r>
      <w:r w:rsidRPr="00DB1BED">
        <w:rPr>
          <w:rFonts w:eastAsia="Times New Roman"/>
          <w:snapToGrid w:val="0"/>
          <w:kern w:val="22"/>
          <w:lang w:val="fr-FR" w:eastAsia="fr-FR"/>
        </w:rPr>
        <w:t>instrument :</w:t>
      </w:r>
    </w:p>
    <w:p w14:paraId="0BC0DD97" w14:textId="77777777"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a)</w:t>
      </w:r>
      <w:r w:rsidRPr="00DB1BED">
        <w:rPr>
          <w:rFonts w:eastAsia="Times New Roman"/>
          <w:snapToGrid w:val="0"/>
          <w:kern w:val="22"/>
          <w:lang w:val="fr-FR" w:eastAsia="fr-FR"/>
        </w:rPr>
        <w:tab/>
        <w:t>concerne un ensemble précis de ressources génétiques et/ou de connaissances traditionnelles associées à des ressources génétiques qui, autrement, relèveraient du Protocole de Nagoya ;</w:t>
      </w:r>
    </w:p>
    <w:p w14:paraId="01019611" w14:textId="65895594"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b)</w:t>
      </w:r>
      <w:r w:rsidRPr="00DB1BED">
        <w:rPr>
          <w:rFonts w:eastAsia="Times New Roman"/>
          <w:snapToGrid w:val="0"/>
          <w:kern w:val="22"/>
          <w:lang w:val="fr-FR" w:eastAsia="fr-FR"/>
        </w:rPr>
        <w:tab/>
        <w:t>s</w:t>
      </w:r>
      <w:r w:rsidR="00EE54EF">
        <w:rPr>
          <w:rFonts w:eastAsia="Times New Roman"/>
          <w:snapToGrid w:val="0"/>
          <w:kern w:val="22"/>
          <w:lang w:val="fr-FR" w:eastAsia="fr-FR"/>
        </w:rPr>
        <w:t>’</w:t>
      </w:r>
      <w:r w:rsidRPr="00DB1BED">
        <w:rPr>
          <w:rFonts w:eastAsia="Times New Roman"/>
          <w:snapToGrid w:val="0"/>
          <w:kern w:val="22"/>
          <w:lang w:val="fr-FR" w:eastAsia="fr-FR"/>
        </w:rPr>
        <w:t>applique aux utilisations spécifiques des ressources génétiques et/ou des connaissances traditionnelles associées aux ressources génétiques, ou à des fins spécifiques, qui nécessitent une approche différenciée et donc spécialisée.</w:t>
      </w:r>
    </w:p>
    <w:p w14:paraId="34E6C419" w14:textId="77777777" w:rsidR="00DB1BED" w:rsidRPr="00DB1BED" w:rsidRDefault="00DB1BED" w:rsidP="00EF26F6">
      <w:pPr>
        <w:numPr>
          <w:ilvl w:val="0"/>
          <w:numId w:val="9"/>
        </w:numPr>
        <w:suppressLineNumbers/>
        <w:tabs>
          <w:tab w:val="clear" w:pos="567"/>
          <w:tab w:val="clear" w:pos="1134"/>
          <w:tab w:val="clear" w:pos="1701"/>
          <w:tab w:val="clear" w:pos="2268"/>
        </w:tabs>
        <w:suppressAutoHyphens/>
        <w:snapToGrid w:val="0"/>
        <w:spacing w:before="120" w:after="120"/>
        <w:ind w:left="567"/>
        <w:rPr>
          <w:rFonts w:eastAsia="Times New Roman"/>
          <w:snapToGrid w:val="0"/>
          <w:kern w:val="22"/>
          <w:lang w:val="fr-FR" w:eastAsia="fr-FR"/>
        </w:rPr>
      </w:pPr>
      <w:r w:rsidRPr="00DB1BED">
        <w:rPr>
          <w:rFonts w:eastAsia="Times New Roman"/>
          <w:i/>
          <w:iCs/>
          <w:snapToGrid w:val="0"/>
          <w:kern w:val="22"/>
          <w:lang w:val="fr-FR" w:eastAsia="fr-FR"/>
        </w:rPr>
        <w:t xml:space="preserve">Soutien mutuel </w:t>
      </w:r>
      <w:r w:rsidRPr="00DB1BED">
        <w:rPr>
          <w:rFonts w:eastAsia="Times New Roman"/>
          <w:snapToGrid w:val="0"/>
          <w:kern w:val="22"/>
          <w:lang w:val="fr-FR" w:eastAsia="fr-FR"/>
        </w:rPr>
        <w:t>- L’instrument est complémentaire et compatible avec les objectifs de la Convention sur la diversité biologique et du Protocole de Nagoya, et ne va pas à l’encontre de ces objectifs, y compris en ce qui concerne les éléments suivants :</w:t>
      </w:r>
    </w:p>
    <w:p w14:paraId="13FDB639" w14:textId="77777777"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a)</w:t>
      </w:r>
      <w:r w:rsidRPr="00DB1BED">
        <w:rPr>
          <w:rFonts w:eastAsia="Times New Roman"/>
          <w:snapToGrid w:val="0"/>
          <w:kern w:val="22"/>
          <w:lang w:val="fr-FR" w:eastAsia="fr-FR"/>
        </w:rPr>
        <w:tab/>
        <w:t>La cohérence avec les objectifs de conservation et d’utilisation durable de la diversité biologique ;</w:t>
      </w:r>
    </w:p>
    <w:p w14:paraId="07445E19" w14:textId="36FCD49D"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b)</w:t>
      </w:r>
      <w:r w:rsidRPr="00DB1BED">
        <w:rPr>
          <w:rFonts w:eastAsia="Times New Roman"/>
          <w:snapToGrid w:val="0"/>
          <w:kern w:val="22"/>
          <w:lang w:val="fr-FR" w:eastAsia="fr-FR"/>
        </w:rPr>
        <w:tab/>
        <w:t>La justice et l</w:t>
      </w:r>
      <w:r w:rsidR="00EE54EF">
        <w:rPr>
          <w:rFonts w:eastAsia="Times New Roman"/>
          <w:snapToGrid w:val="0"/>
          <w:kern w:val="22"/>
          <w:lang w:val="fr-FR" w:eastAsia="fr-FR"/>
        </w:rPr>
        <w:t>’</w:t>
      </w:r>
      <w:r w:rsidRPr="00DB1BED">
        <w:rPr>
          <w:rFonts w:eastAsia="Times New Roman"/>
          <w:snapToGrid w:val="0"/>
          <w:kern w:val="22"/>
          <w:lang w:val="fr-FR" w:eastAsia="fr-FR"/>
        </w:rPr>
        <w:t>équité dans le cadre du partage des avantages ;</w:t>
      </w:r>
    </w:p>
    <w:p w14:paraId="64DA9572" w14:textId="77C01383"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c)</w:t>
      </w:r>
      <w:r w:rsidRPr="00DB1BED">
        <w:rPr>
          <w:rFonts w:eastAsia="Times New Roman"/>
          <w:snapToGrid w:val="0"/>
          <w:kern w:val="22"/>
          <w:lang w:val="fr-FR" w:eastAsia="fr-FR"/>
        </w:rPr>
        <w:tab/>
        <w:t>La sécurité juridique en matière d</w:t>
      </w:r>
      <w:r w:rsidR="00EE54EF">
        <w:rPr>
          <w:rFonts w:eastAsia="Times New Roman"/>
          <w:snapToGrid w:val="0"/>
          <w:kern w:val="22"/>
          <w:lang w:val="fr-FR" w:eastAsia="fr-FR"/>
        </w:rPr>
        <w:t>’</w:t>
      </w:r>
      <w:r w:rsidRPr="00DB1BED">
        <w:rPr>
          <w:rFonts w:eastAsia="Times New Roman"/>
          <w:snapToGrid w:val="0"/>
          <w:kern w:val="22"/>
          <w:lang w:val="fr-FR" w:eastAsia="fr-FR"/>
        </w:rPr>
        <w:t>accès aux ressources génétiques ou aux connaissances traditionnelles associées aux ressources génétiques, y compris[, selon qu</w:t>
      </w:r>
      <w:r w:rsidR="00EE54EF">
        <w:rPr>
          <w:rFonts w:eastAsia="Times New Roman"/>
          <w:snapToGrid w:val="0"/>
          <w:kern w:val="22"/>
          <w:lang w:val="fr-FR" w:eastAsia="fr-FR"/>
        </w:rPr>
        <w:t>’</w:t>
      </w:r>
      <w:r w:rsidRPr="00DB1BED">
        <w:rPr>
          <w:rFonts w:eastAsia="Times New Roman"/>
          <w:snapToGrid w:val="0"/>
          <w:kern w:val="22"/>
          <w:lang w:val="fr-FR" w:eastAsia="fr-FR"/>
        </w:rPr>
        <w:t>il convient,] l</w:t>
      </w:r>
      <w:r w:rsidR="00EE54EF">
        <w:rPr>
          <w:rFonts w:eastAsia="Times New Roman"/>
          <w:snapToGrid w:val="0"/>
          <w:kern w:val="22"/>
          <w:lang w:val="fr-FR" w:eastAsia="fr-FR"/>
        </w:rPr>
        <w:t>’</w:t>
      </w:r>
      <w:r w:rsidRPr="00DB1BED">
        <w:rPr>
          <w:rFonts w:eastAsia="Times New Roman"/>
          <w:snapToGrid w:val="0"/>
          <w:kern w:val="22"/>
          <w:lang w:val="fr-FR" w:eastAsia="fr-FR"/>
        </w:rPr>
        <w:t>application du consentement préalable en connaissance de cause, et de [du partage juste et équitable des avantages]partage des avantages ;</w:t>
      </w:r>
    </w:p>
    <w:p w14:paraId="30A42CFD" w14:textId="77777777"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d)</w:t>
      </w:r>
      <w:r w:rsidRPr="00DB1BED">
        <w:rPr>
          <w:rFonts w:eastAsia="Times New Roman"/>
          <w:snapToGrid w:val="0"/>
          <w:kern w:val="22"/>
          <w:lang w:val="fr-FR" w:eastAsia="fr-FR"/>
        </w:rPr>
        <w:tab/>
        <w:t>La participation pleine et effective des peuples autochtones et des communautés locales ;</w:t>
      </w:r>
    </w:p>
    <w:p w14:paraId="255EBDBA" w14:textId="77777777"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e)</w:t>
      </w:r>
      <w:r w:rsidRPr="00DB1BED">
        <w:rPr>
          <w:rFonts w:eastAsia="Times New Roman"/>
          <w:snapToGrid w:val="0"/>
          <w:kern w:val="22"/>
          <w:lang w:val="fr-FR" w:eastAsia="fr-FR"/>
        </w:rPr>
        <w:tab/>
        <w:t>La contribution au développement durable, telle que reflétée dans les objectifs convenus au niveau international ;</w:t>
      </w:r>
    </w:p>
    <w:p w14:paraId="3EA15DEA" w14:textId="0716135E" w:rsidR="00DB1BED" w:rsidRPr="00DB1BED" w:rsidRDefault="00DB1BED" w:rsidP="00EF26F6">
      <w:pPr>
        <w:suppressLineNumbers/>
        <w:tabs>
          <w:tab w:val="clear" w:pos="567"/>
          <w:tab w:val="clear" w:pos="1134"/>
          <w:tab w:val="clear" w:pos="1701"/>
          <w:tab w:val="clear" w:pos="2268"/>
        </w:tabs>
        <w:suppressAutoHyphens/>
        <w:snapToGrid w:val="0"/>
        <w:spacing w:after="120"/>
        <w:ind w:left="567" w:firstLine="720"/>
        <w:rPr>
          <w:rFonts w:eastAsia="Times New Roman"/>
          <w:snapToGrid w:val="0"/>
          <w:kern w:val="22"/>
          <w:lang w:val="fr-FR" w:eastAsia="fr-FR"/>
        </w:rPr>
      </w:pPr>
      <w:r w:rsidRPr="00DB1BED">
        <w:rPr>
          <w:rFonts w:eastAsia="Times New Roman"/>
          <w:snapToGrid w:val="0"/>
          <w:kern w:val="22"/>
          <w:lang w:val="fr-FR" w:eastAsia="fr-FR"/>
        </w:rPr>
        <w:t>f)</w:t>
      </w:r>
      <w:r w:rsidRPr="00DB1BED">
        <w:rPr>
          <w:rFonts w:eastAsia="Times New Roman"/>
          <w:snapToGrid w:val="0"/>
          <w:kern w:val="22"/>
          <w:lang w:val="fr-FR" w:eastAsia="fr-FR"/>
        </w:rPr>
        <w:tab/>
        <w:t>D</w:t>
      </w:r>
      <w:r w:rsidR="00EE54EF">
        <w:rPr>
          <w:rFonts w:eastAsia="Times New Roman"/>
          <w:snapToGrid w:val="0"/>
          <w:kern w:val="22"/>
          <w:lang w:val="fr-FR" w:eastAsia="fr-FR"/>
        </w:rPr>
        <w:t>’</w:t>
      </w:r>
      <w:r w:rsidRPr="00DB1BED">
        <w:rPr>
          <w:rFonts w:eastAsia="Times New Roman"/>
          <w:snapToGrid w:val="0"/>
          <w:kern w:val="22"/>
          <w:lang w:val="fr-FR" w:eastAsia="fr-FR"/>
        </w:rPr>
        <w:t>autres principes généraux du droit, notamment la bonne foi, l</w:t>
      </w:r>
      <w:r w:rsidR="00EE54EF">
        <w:rPr>
          <w:rFonts w:eastAsia="Times New Roman"/>
          <w:snapToGrid w:val="0"/>
          <w:kern w:val="22"/>
          <w:lang w:val="fr-FR" w:eastAsia="fr-FR"/>
        </w:rPr>
        <w:t>’</w:t>
      </w:r>
      <w:r w:rsidRPr="00DB1BED">
        <w:rPr>
          <w:rFonts w:eastAsia="Times New Roman"/>
          <w:snapToGrid w:val="0"/>
          <w:kern w:val="22"/>
          <w:lang w:val="fr-FR" w:eastAsia="fr-FR"/>
        </w:rPr>
        <w:t>applicabilité et les attentes légitimes.]</w:t>
      </w:r>
    </w:p>
    <w:p w14:paraId="0DEE8038" w14:textId="77777777" w:rsidR="00464C4A" w:rsidRPr="00DB1BED" w:rsidRDefault="00464C4A" w:rsidP="004B4FCB">
      <w:pPr>
        <w:pStyle w:val="CBDAnnex"/>
        <w:spacing w:before="240"/>
        <w:outlineLvl w:val="0"/>
        <w:rPr>
          <w:lang w:val="fr-FR"/>
        </w:rPr>
        <w:sectPr w:rsidR="00464C4A" w:rsidRPr="00DB1BED" w:rsidSect="00A253D1">
          <w:pgSz w:w="12240" w:h="15840"/>
          <w:pgMar w:top="1134" w:right="1440" w:bottom="1134" w:left="1440" w:header="709" w:footer="709" w:gutter="0"/>
          <w:cols w:space="708"/>
          <w:docGrid w:linePitch="360"/>
        </w:sectPr>
      </w:pPr>
    </w:p>
    <w:p w14:paraId="46CCEE02" w14:textId="7A824E28" w:rsidR="006A3380" w:rsidRPr="00DB1BED" w:rsidRDefault="00EA0293" w:rsidP="004B4FCB">
      <w:pPr>
        <w:pStyle w:val="CBDAnnex"/>
        <w:spacing w:before="240"/>
        <w:outlineLvl w:val="0"/>
        <w:rPr>
          <w:lang w:val="fr-FR"/>
        </w:rPr>
      </w:pPr>
      <w:bookmarkStart w:id="31" w:name="_Toc178159949"/>
      <w:r>
        <w:rPr>
          <w:lang w:val="fr-FR"/>
        </w:rPr>
        <w:lastRenderedPageBreak/>
        <w:t>Point</w:t>
      </w:r>
      <w:r w:rsidR="00EE54EF">
        <w:rPr>
          <w:lang w:val="fr-FR"/>
        </w:rPr>
        <w:t> </w:t>
      </w:r>
      <w:r w:rsidR="005D1B31" w:rsidRPr="00DB1BED">
        <w:rPr>
          <w:lang w:val="fr-FR"/>
        </w:rPr>
        <w:t>16</w:t>
      </w:r>
      <w:r w:rsidR="00125526" w:rsidRPr="00DB1BED">
        <w:rPr>
          <w:lang w:val="fr-FR"/>
        </w:rPr>
        <w:t xml:space="preserve"> </w:t>
      </w:r>
      <w:r w:rsidR="00125526" w:rsidRPr="00DB1BED">
        <w:rPr>
          <w:lang w:val="fr-FR"/>
        </w:rPr>
        <w:br/>
      </w:r>
      <w:bookmarkEnd w:id="31"/>
      <w:r w:rsidR="001153F4" w:rsidRPr="001153F4">
        <w:rPr>
          <w:lang w:val="fr-FR"/>
        </w:rPr>
        <w:t>Mécanisme multilatéral mondial de partage des avantages</w:t>
      </w:r>
    </w:p>
    <w:tbl>
      <w:tblPr>
        <w:tblStyle w:val="Grilledutableau"/>
        <w:tblW w:w="0" w:type="auto"/>
        <w:tblLook w:val="04A0" w:firstRow="1" w:lastRow="0" w:firstColumn="1" w:lastColumn="0" w:noHBand="0" w:noVBand="1"/>
      </w:tblPr>
      <w:tblGrid>
        <w:gridCol w:w="9350"/>
      </w:tblGrid>
      <w:tr w:rsidR="00523DD1" w:rsidRPr="00DB1BED" w14:paraId="7E03B4BC" w14:textId="77777777" w:rsidTr="00557F83">
        <w:tc>
          <w:tcPr>
            <w:tcW w:w="9350" w:type="dxa"/>
            <w:tcBorders>
              <w:left w:val="nil"/>
              <w:right w:val="nil"/>
            </w:tcBorders>
          </w:tcPr>
          <w:p w14:paraId="6676FE39" w14:textId="241E8174" w:rsidR="00523DD1" w:rsidRPr="00DB1BED" w:rsidRDefault="001153F4" w:rsidP="00557F83">
            <w:pPr>
              <w:pStyle w:val="CBDNormalNoNumber"/>
              <w:tabs>
                <w:tab w:val="clear" w:pos="567"/>
              </w:tabs>
              <w:spacing w:before="60" w:after="60"/>
              <w:ind w:left="0" w:firstLine="596"/>
              <w:rPr>
                <w:i/>
                <w:iCs/>
                <w:lang w:val="fr-FR"/>
              </w:rPr>
            </w:pPr>
            <w:r>
              <w:rPr>
                <w:i/>
                <w:iCs/>
                <w:lang w:val="fr-FR"/>
              </w:rPr>
              <w:t>La Conférence des Parties siégeant en tant que réunion des Parties au Protocole de Nagoya est invitée à prendre note des informations contenues dans la note élaborée par la Secrétaire exécutive </w:t>
            </w:r>
            <w:r w:rsidR="00336187" w:rsidRPr="00DB1BED">
              <w:rPr>
                <w:i/>
                <w:iCs/>
                <w:lang w:val="fr-FR"/>
              </w:rPr>
              <w:t>(CBD/NP/MOP/5/1</w:t>
            </w:r>
            <w:r w:rsidR="00BF4BB8" w:rsidRPr="00DB1BED">
              <w:rPr>
                <w:i/>
                <w:iCs/>
                <w:lang w:val="fr-FR"/>
              </w:rPr>
              <w:t>0</w:t>
            </w:r>
            <w:r w:rsidR="00336187" w:rsidRPr="00DB1BED">
              <w:rPr>
                <w:i/>
                <w:iCs/>
                <w:lang w:val="fr-FR"/>
              </w:rPr>
              <w:t>)</w:t>
            </w:r>
            <w:r w:rsidR="00336187" w:rsidRPr="00DB1BED">
              <w:rPr>
                <w:lang w:val="fr-FR"/>
              </w:rPr>
              <w:t xml:space="preserve"> </w:t>
            </w:r>
            <w:r>
              <w:rPr>
                <w:i/>
                <w:iCs/>
                <w:lang w:val="fr-FR"/>
              </w:rPr>
              <w:t xml:space="preserve">et de reporter </w:t>
            </w:r>
            <w:r w:rsidR="00EF26F6">
              <w:rPr>
                <w:i/>
                <w:iCs/>
                <w:lang w:val="fr-FR"/>
              </w:rPr>
              <w:t>l’</w:t>
            </w:r>
            <w:r>
              <w:rPr>
                <w:i/>
                <w:iCs/>
                <w:lang w:val="fr-FR"/>
              </w:rPr>
              <w:t>examen plus approfondi de l’article 10 à sa sixième réunion. Le Secrétariat a élaboré le projet de décision suivant à cet égard.</w:t>
            </w:r>
          </w:p>
        </w:tc>
      </w:tr>
    </w:tbl>
    <w:p w14:paraId="50B6886F" w14:textId="599E1E07" w:rsidR="0047294D" w:rsidRPr="00DB1BED" w:rsidRDefault="002A537B" w:rsidP="00FD7B79">
      <w:pPr>
        <w:pStyle w:val="Para10"/>
        <w:numPr>
          <w:ilvl w:val="0"/>
          <w:numId w:val="0"/>
        </w:numPr>
        <w:shd w:val="clear" w:color="auto" w:fill="FFFFFF" w:themeFill="background1"/>
        <w:ind w:left="567" w:firstLine="567"/>
        <w:rPr>
          <w:snapToGrid w:val="0"/>
          <w:kern w:val="22"/>
          <w:lang w:val="fr-FR"/>
        </w:rPr>
      </w:pPr>
      <w:r>
        <w:rPr>
          <w:i/>
          <w:iCs/>
          <w:snapToGrid w:val="0"/>
          <w:kern w:val="22"/>
          <w:lang w:val="fr-FR"/>
        </w:rPr>
        <w:t xml:space="preserve">La Conférence des Parties siégeant en tant que réunion des Parties au Protocole de Nagoya, </w:t>
      </w:r>
    </w:p>
    <w:p w14:paraId="059CDB7A" w14:textId="2217F275" w:rsidR="0047294D" w:rsidRPr="00DB1BED" w:rsidRDefault="002A537B" w:rsidP="00FD7B79">
      <w:pPr>
        <w:pStyle w:val="Para10"/>
        <w:numPr>
          <w:ilvl w:val="0"/>
          <w:numId w:val="0"/>
        </w:numPr>
        <w:shd w:val="clear" w:color="auto" w:fill="FFFFFF" w:themeFill="background1"/>
        <w:ind w:left="567" w:firstLine="567"/>
        <w:rPr>
          <w:snapToGrid w:val="0"/>
          <w:kern w:val="22"/>
          <w:lang w:val="fr-FR"/>
        </w:rPr>
      </w:pPr>
      <w:r>
        <w:rPr>
          <w:i/>
          <w:iCs/>
          <w:snapToGrid w:val="0"/>
          <w:kern w:val="22"/>
          <w:lang w:val="fr-FR"/>
        </w:rPr>
        <w:t>Reconnaissant</w:t>
      </w:r>
      <w:r w:rsidR="0047294D" w:rsidRPr="00DB1BED">
        <w:rPr>
          <w:snapToGrid w:val="0"/>
          <w:kern w:val="22"/>
          <w:lang w:val="fr-FR"/>
        </w:rPr>
        <w:t xml:space="preserve"> </w:t>
      </w:r>
      <w:r>
        <w:rPr>
          <w:snapToGrid w:val="0"/>
          <w:kern w:val="22"/>
          <w:lang w:val="fr-FR"/>
        </w:rPr>
        <w:t>que la Conférence des Parties siégeant en tant que réunion des Parties au Protocole de Nagoya sur l’accès aux ressources génétiques et le partage juste et équitable des avantages découlant de leur utilisation</w:t>
      </w:r>
      <w:r w:rsidR="00D73A33" w:rsidRPr="00DB1BED">
        <w:rPr>
          <w:rStyle w:val="Appelnotedebasdep"/>
          <w:lang w:val="fr-FR"/>
        </w:rPr>
        <w:footnoteReference w:id="58"/>
      </w:r>
      <w:r w:rsidR="0047294D" w:rsidRPr="00DB1BED">
        <w:rPr>
          <w:snapToGrid w:val="0"/>
          <w:kern w:val="22"/>
          <w:lang w:val="fr-FR"/>
        </w:rPr>
        <w:t xml:space="preserve"> </w:t>
      </w:r>
      <w:r>
        <w:rPr>
          <w:snapToGrid w:val="0"/>
          <w:kern w:val="22"/>
          <w:lang w:val="fr-FR"/>
        </w:rPr>
        <w:t xml:space="preserve">se penchera sur les progrès en matière de mise en œuvre de l’article 10 du Protocole lors de la deuxième évaluation et </w:t>
      </w:r>
      <w:r w:rsidR="00EF26F6">
        <w:rPr>
          <w:snapToGrid w:val="0"/>
          <w:kern w:val="22"/>
          <w:lang w:val="fr-FR"/>
        </w:rPr>
        <w:t>du</w:t>
      </w:r>
      <w:r>
        <w:rPr>
          <w:snapToGrid w:val="0"/>
          <w:kern w:val="22"/>
          <w:lang w:val="fr-FR"/>
        </w:rPr>
        <w:t xml:space="preserve"> deuxième examen à entreprendre à sa sixième réunion,</w:t>
      </w:r>
    </w:p>
    <w:p w14:paraId="5E8C8B86" w14:textId="62F584E9" w:rsidR="0005063D" w:rsidRDefault="002A537B" w:rsidP="002A537B">
      <w:pPr>
        <w:pStyle w:val="Para10"/>
        <w:numPr>
          <w:ilvl w:val="0"/>
          <w:numId w:val="0"/>
        </w:numPr>
        <w:shd w:val="clear" w:color="auto" w:fill="FFFFFF" w:themeFill="background1"/>
        <w:ind w:left="567" w:firstLine="567"/>
        <w:rPr>
          <w:snapToGrid w:val="0"/>
          <w:kern w:val="22"/>
          <w:lang w:val="fr-FR"/>
        </w:rPr>
      </w:pPr>
      <w:r>
        <w:rPr>
          <w:i/>
          <w:iCs/>
          <w:snapToGrid w:val="0"/>
          <w:kern w:val="22"/>
          <w:lang w:val="fr-FR"/>
        </w:rPr>
        <w:t>Décide</w:t>
      </w:r>
      <w:r w:rsidR="0047294D" w:rsidRPr="00DB1BED">
        <w:rPr>
          <w:snapToGrid w:val="0"/>
          <w:kern w:val="22"/>
          <w:lang w:val="fr-FR"/>
        </w:rPr>
        <w:t xml:space="preserve"> </w:t>
      </w:r>
      <w:r w:rsidR="007561EC">
        <w:rPr>
          <w:snapToGrid w:val="0"/>
          <w:kern w:val="22"/>
          <w:lang w:val="fr-FR"/>
        </w:rPr>
        <w:t xml:space="preserve">d’examiner à nouveau à sa sixième réunion la question de la nécessité et des modalités d’un mécanisme multilatéral mondial de partage des avantages, tel que le dispose l’article 10 du Protocole de Nagoya sur l’accès aux ressources génétiques et le partage juste et équitable des avantages découlant de leur utilisation, tout en tenant compte de l’analyse et du résumé des informations </w:t>
      </w:r>
      <w:r w:rsidR="00EF26F6">
        <w:rPr>
          <w:snapToGrid w:val="0"/>
          <w:kern w:val="22"/>
          <w:lang w:val="fr-FR"/>
        </w:rPr>
        <w:t>pour</w:t>
      </w:r>
      <w:r w:rsidR="007561EC">
        <w:rPr>
          <w:snapToGrid w:val="0"/>
          <w:kern w:val="22"/>
          <w:lang w:val="fr-FR"/>
        </w:rPr>
        <w:t xml:space="preserve"> la deuxième évaluation et </w:t>
      </w:r>
      <w:r w:rsidR="00EF26F6">
        <w:rPr>
          <w:snapToGrid w:val="0"/>
          <w:kern w:val="22"/>
          <w:lang w:val="fr-FR"/>
        </w:rPr>
        <w:t>le</w:t>
      </w:r>
      <w:r w:rsidR="007561EC">
        <w:rPr>
          <w:snapToGrid w:val="0"/>
          <w:kern w:val="22"/>
          <w:lang w:val="fr-FR"/>
        </w:rPr>
        <w:t xml:space="preserve"> deuxième examen du Protocole.</w:t>
      </w:r>
    </w:p>
    <w:p w14:paraId="0FB3955A" w14:textId="77777777" w:rsidR="002A537B" w:rsidRDefault="002A537B" w:rsidP="00523DD1">
      <w:pPr>
        <w:pStyle w:val="Para10"/>
        <w:numPr>
          <w:ilvl w:val="0"/>
          <w:numId w:val="0"/>
        </w:numPr>
        <w:ind w:left="567"/>
        <w:jc w:val="center"/>
        <w:rPr>
          <w:snapToGrid w:val="0"/>
          <w:kern w:val="22"/>
          <w:lang w:val="fr-FR"/>
        </w:rPr>
      </w:pPr>
    </w:p>
    <w:p w14:paraId="7BC04BAF" w14:textId="77777777" w:rsidR="002A537B" w:rsidRPr="00DB1BED" w:rsidRDefault="002A537B" w:rsidP="002A537B">
      <w:pPr>
        <w:pStyle w:val="Para10"/>
        <w:numPr>
          <w:ilvl w:val="0"/>
          <w:numId w:val="0"/>
        </w:numPr>
        <w:rPr>
          <w:snapToGrid w:val="0"/>
          <w:kern w:val="22"/>
          <w:lang w:val="fr-FR"/>
        </w:rPr>
        <w:sectPr w:rsidR="002A537B" w:rsidRPr="00DB1BED" w:rsidSect="00A253D1">
          <w:pgSz w:w="12240" w:h="15840"/>
          <w:pgMar w:top="1134" w:right="1440" w:bottom="1134" w:left="1440" w:header="709" w:footer="709" w:gutter="0"/>
          <w:cols w:space="708"/>
          <w:docGrid w:linePitch="360"/>
        </w:sectPr>
      </w:pPr>
    </w:p>
    <w:p w14:paraId="64874358" w14:textId="56ABB902" w:rsidR="0005063D" w:rsidRPr="00DB1BED" w:rsidRDefault="00512B65" w:rsidP="00374B10">
      <w:pPr>
        <w:pStyle w:val="CBDAnnex"/>
        <w:spacing w:before="240"/>
        <w:outlineLvl w:val="0"/>
        <w:rPr>
          <w:lang w:val="fr-FR"/>
        </w:rPr>
      </w:pPr>
      <w:bookmarkStart w:id="32" w:name="_Toc178159950"/>
      <w:r>
        <w:rPr>
          <w:lang w:val="fr-FR"/>
        </w:rPr>
        <w:lastRenderedPageBreak/>
        <w:t>Points</w:t>
      </w:r>
      <w:r w:rsidR="00EE54EF">
        <w:rPr>
          <w:lang w:val="fr-FR"/>
        </w:rPr>
        <w:t> </w:t>
      </w:r>
      <w:r w:rsidR="00BF5153" w:rsidRPr="00DB1BED">
        <w:rPr>
          <w:lang w:val="fr-FR"/>
        </w:rPr>
        <w:t xml:space="preserve">17 </w:t>
      </w:r>
      <w:r>
        <w:rPr>
          <w:lang w:val="fr-FR"/>
        </w:rPr>
        <w:t>à</w:t>
      </w:r>
      <w:r w:rsidR="00BF5153" w:rsidRPr="00DB1BED">
        <w:rPr>
          <w:lang w:val="fr-FR"/>
        </w:rPr>
        <w:t xml:space="preserve"> 19</w:t>
      </w:r>
      <w:bookmarkEnd w:id="32"/>
    </w:p>
    <w:p w14:paraId="4AC07683" w14:textId="478250E0" w:rsidR="00BF5153" w:rsidRPr="00DB1BED" w:rsidRDefault="00C56754" w:rsidP="00C56754">
      <w:pPr>
        <w:pStyle w:val="CBDNormalNoNumber"/>
        <w:ind w:firstLine="567"/>
        <w:rPr>
          <w:lang w:val="fr-FR"/>
        </w:rPr>
      </w:pPr>
      <w:r w:rsidRPr="00DB1BED">
        <w:rPr>
          <w:lang w:val="fr-FR"/>
        </w:rPr>
        <w:t>Aucun projet de décision relatif aux points de l’ordre du jour 17 à 19 n’est envisagé, en raison de la nature de ces points. Les actions requises de la part de la Conférence des Partes siégeant en tant que Parties au Protocole de Nagoya pour ces points sont reflétées dans l’ordre du jour provisoire annoté.</w:t>
      </w:r>
    </w:p>
    <w:p w14:paraId="67C11889" w14:textId="121FAEF2" w:rsidR="00523DD1" w:rsidRPr="00DB1BED" w:rsidRDefault="00523DD1" w:rsidP="00523DD1">
      <w:pPr>
        <w:pStyle w:val="Para10"/>
        <w:numPr>
          <w:ilvl w:val="0"/>
          <w:numId w:val="0"/>
        </w:numPr>
        <w:ind w:left="567"/>
        <w:jc w:val="center"/>
        <w:rPr>
          <w:snapToGrid w:val="0"/>
          <w:kern w:val="22"/>
          <w:lang w:val="fr-FR"/>
        </w:rPr>
      </w:pPr>
      <w:r w:rsidRPr="00DB1BED">
        <w:rPr>
          <w:snapToGrid w:val="0"/>
          <w:kern w:val="22"/>
          <w:lang w:val="fr-FR"/>
        </w:rPr>
        <w:t>__________</w:t>
      </w:r>
    </w:p>
    <w:sectPr w:rsidR="00523DD1" w:rsidRPr="00DB1BED" w:rsidSect="00A253D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B2EA3" w14:textId="77777777" w:rsidR="0092759C" w:rsidRDefault="0092759C" w:rsidP="00A96B21">
      <w:r>
        <w:separator/>
      </w:r>
    </w:p>
  </w:endnote>
  <w:endnote w:type="continuationSeparator" w:id="0">
    <w:p w14:paraId="23D703A7" w14:textId="77777777" w:rsidR="0092759C" w:rsidRDefault="0092759C" w:rsidP="00A96B21">
      <w:r>
        <w:continuationSeparator/>
      </w:r>
    </w:p>
  </w:endnote>
  <w:endnote w:type="continuationNotice" w:id="1">
    <w:p w14:paraId="32AFC47B" w14:textId="77777777" w:rsidR="0092759C" w:rsidRDefault="009275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344364BD" w:rsidR="002B559C" w:rsidRDefault="00000000" w:rsidP="000A0217">
            <w:pPr>
              <w:pStyle w:val="Pieddepage"/>
            </w:pPr>
            <w:sdt>
              <w:sdtPr>
                <w:id w:val="-1205708784"/>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15900E8A" w:rsidR="002B559C" w:rsidRDefault="00000000" w:rsidP="000A0217">
            <w:pPr>
              <w:pStyle w:val="Pieddepage"/>
              <w:jc w:val="right"/>
            </w:pPr>
            <w:sdt>
              <w:sdtPr>
                <w:id w:val="-1052077450"/>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C9729" w14:textId="77777777" w:rsidR="00D72810" w:rsidRDefault="00000000" w:rsidP="005F6D8C">
    <w:pPr>
      <w:pStyle w:val="Pieddepage"/>
    </w:pPr>
    <w:sdt>
      <w:sdtPr>
        <w:id w:val="1280531004"/>
        <w:docPartObj>
          <w:docPartGallery w:val="Page Numbers (Top of Page)"/>
          <w:docPartUnique/>
        </w:docPartObj>
      </w:sdtPr>
      <w:sdtContent>
        <w:r w:rsidR="00D72810" w:rsidRPr="002B559C">
          <w:rPr>
            <w:szCs w:val="20"/>
          </w:rPr>
          <w:fldChar w:fldCharType="begin"/>
        </w:r>
        <w:r w:rsidR="00D72810" w:rsidRPr="002B559C">
          <w:rPr>
            <w:szCs w:val="20"/>
          </w:rPr>
          <w:instrText xml:space="preserve"> PAGE </w:instrText>
        </w:r>
        <w:r w:rsidR="00D72810" w:rsidRPr="002B559C">
          <w:rPr>
            <w:szCs w:val="20"/>
          </w:rPr>
          <w:fldChar w:fldCharType="separate"/>
        </w:r>
        <w:r w:rsidR="00D72810">
          <w:rPr>
            <w:szCs w:val="20"/>
          </w:rPr>
          <w:t>2</w:t>
        </w:r>
        <w:r w:rsidR="00D72810" w:rsidRPr="002B559C">
          <w:rPr>
            <w:szCs w:val="20"/>
          </w:rPr>
          <w:fldChar w:fldCharType="end"/>
        </w:r>
        <w:r w:rsidR="00D72810" w:rsidRPr="002B559C">
          <w:rPr>
            <w:szCs w:val="20"/>
          </w:rPr>
          <w:t>/</w:t>
        </w:r>
        <w:r w:rsidR="00D72810" w:rsidRPr="002B559C">
          <w:rPr>
            <w:szCs w:val="20"/>
          </w:rPr>
          <w:fldChar w:fldCharType="begin"/>
        </w:r>
        <w:r w:rsidR="00D72810" w:rsidRPr="002B559C">
          <w:rPr>
            <w:szCs w:val="20"/>
          </w:rPr>
          <w:instrText xml:space="preserve"> NUMPAGES  </w:instrText>
        </w:r>
        <w:r w:rsidR="00D72810" w:rsidRPr="002B559C">
          <w:rPr>
            <w:szCs w:val="20"/>
          </w:rPr>
          <w:fldChar w:fldCharType="separate"/>
        </w:r>
        <w:r w:rsidR="00D72810">
          <w:rPr>
            <w:szCs w:val="20"/>
          </w:rPr>
          <w:t>14</w:t>
        </w:r>
        <w:r w:rsidR="00D72810" w:rsidRPr="002B559C">
          <w:rPr>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4FC8B" w14:textId="77777777" w:rsidR="00D72810" w:rsidRDefault="00000000" w:rsidP="00821A56">
    <w:pPr>
      <w:pStyle w:val="Pieddepage"/>
      <w:jc w:val="right"/>
    </w:pPr>
    <w:sdt>
      <w:sdtPr>
        <w:id w:val="401424127"/>
        <w:docPartObj>
          <w:docPartGallery w:val="Page Numbers (Top of Page)"/>
          <w:docPartUnique/>
        </w:docPartObj>
      </w:sdtPr>
      <w:sdtContent>
        <w:r w:rsidR="00D72810" w:rsidRPr="002B559C">
          <w:rPr>
            <w:szCs w:val="20"/>
          </w:rPr>
          <w:fldChar w:fldCharType="begin"/>
        </w:r>
        <w:r w:rsidR="00D72810" w:rsidRPr="002B559C">
          <w:rPr>
            <w:szCs w:val="20"/>
          </w:rPr>
          <w:instrText xml:space="preserve"> PAGE </w:instrText>
        </w:r>
        <w:r w:rsidR="00D72810" w:rsidRPr="002B559C">
          <w:rPr>
            <w:szCs w:val="20"/>
          </w:rPr>
          <w:fldChar w:fldCharType="separate"/>
        </w:r>
        <w:r w:rsidR="00D72810">
          <w:rPr>
            <w:szCs w:val="20"/>
          </w:rPr>
          <w:t>3</w:t>
        </w:r>
        <w:r w:rsidR="00D72810" w:rsidRPr="002B559C">
          <w:rPr>
            <w:szCs w:val="20"/>
          </w:rPr>
          <w:fldChar w:fldCharType="end"/>
        </w:r>
        <w:r w:rsidR="00D72810" w:rsidRPr="002B559C">
          <w:rPr>
            <w:szCs w:val="20"/>
          </w:rPr>
          <w:t>/</w:t>
        </w:r>
        <w:r w:rsidR="00D72810" w:rsidRPr="002B559C">
          <w:rPr>
            <w:szCs w:val="20"/>
          </w:rPr>
          <w:fldChar w:fldCharType="begin"/>
        </w:r>
        <w:r w:rsidR="00D72810" w:rsidRPr="002B559C">
          <w:rPr>
            <w:szCs w:val="20"/>
          </w:rPr>
          <w:instrText xml:space="preserve"> NUMPAGES  </w:instrText>
        </w:r>
        <w:r w:rsidR="00D72810" w:rsidRPr="002B559C">
          <w:rPr>
            <w:szCs w:val="20"/>
          </w:rPr>
          <w:fldChar w:fldCharType="separate"/>
        </w:r>
        <w:r w:rsidR="00D72810">
          <w:rPr>
            <w:szCs w:val="20"/>
          </w:rPr>
          <w:t>14</w:t>
        </w:r>
        <w:r w:rsidR="00D72810"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BF042" w14:textId="77777777" w:rsidR="0092759C" w:rsidRDefault="0092759C" w:rsidP="00A96B21">
      <w:r>
        <w:separator/>
      </w:r>
    </w:p>
  </w:footnote>
  <w:footnote w:type="continuationSeparator" w:id="0">
    <w:p w14:paraId="700823A7" w14:textId="77777777" w:rsidR="0092759C" w:rsidRDefault="0092759C" w:rsidP="00A96B21">
      <w:r>
        <w:continuationSeparator/>
      </w:r>
    </w:p>
  </w:footnote>
  <w:footnote w:type="continuationNotice" w:id="1">
    <w:p w14:paraId="2ED58B86" w14:textId="77777777" w:rsidR="0092759C" w:rsidRDefault="0092759C"/>
  </w:footnote>
  <w:footnote w:id="2">
    <w:p w14:paraId="1B318556" w14:textId="5B8DF377" w:rsidR="00DF6600" w:rsidRPr="00374B10" w:rsidRDefault="00DF6600">
      <w:pPr>
        <w:pStyle w:val="Notedebasdepage"/>
        <w:rPr>
          <w:lang w:val="en-GB"/>
        </w:rPr>
      </w:pPr>
      <w:r w:rsidRPr="00374B10">
        <w:rPr>
          <w:rStyle w:val="Appelnotedebasdep"/>
          <w:lang w:val="en-GB"/>
        </w:rPr>
        <w:t>*</w:t>
      </w:r>
      <w:r w:rsidRPr="00374B10">
        <w:rPr>
          <w:lang w:val="en-GB"/>
        </w:rPr>
        <w:t xml:space="preserve"> CBD/NP/MOP/5/1/Add.1.</w:t>
      </w:r>
    </w:p>
  </w:footnote>
  <w:footnote w:id="3">
    <w:p w14:paraId="342E6834" w14:textId="40130309"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 xml:space="preserve"> </w:t>
      </w:r>
      <w:r w:rsidRPr="006E187A">
        <w:rPr>
          <w:lang w:val="fr-FR"/>
        </w:rPr>
        <w:t xml:space="preserve">Nations Unies, </w:t>
      </w:r>
      <w:r w:rsidRPr="006E187A">
        <w:rPr>
          <w:i/>
          <w:iCs/>
          <w:lang w:val="fr-FR"/>
        </w:rPr>
        <w:t>Recueil des Traités</w:t>
      </w:r>
      <w:r w:rsidRPr="006E187A">
        <w:rPr>
          <w:lang w:val="fr-FR"/>
        </w:rPr>
        <w:t>, vol.</w:t>
      </w:r>
      <w:r w:rsidR="00EE54EF">
        <w:rPr>
          <w:lang w:val="fr-FR"/>
        </w:rPr>
        <w:t> </w:t>
      </w:r>
      <w:r w:rsidRPr="006E187A">
        <w:rPr>
          <w:szCs w:val="18"/>
          <w:lang w:val="fr-FR"/>
        </w:rPr>
        <w:t xml:space="preserve">1760, </w:t>
      </w:r>
      <w:r w:rsidRPr="006E187A">
        <w:rPr>
          <w:lang w:val="fr-FR"/>
        </w:rPr>
        <w:t>n</w:t>
      </w:r>
      <w:r w:rsidRPr="006E187A">
        <w:rPr>
          <w:vertAlign w:val="superscript"/>
          <w:lang w:val="fr-FR"/>
        </w:rPr>
        <w:t>o</w:t>
      </w:r>
      <w:r w:rsidRPr="006E187A">
        <w:rPr>
          <w:lang w:val="fr-FR"/>
        </w:rPr>
        <w:t> </w:t>
      </w:r>
      <w:r w:rsidRPr="006E187A">
        <w:rPr>
          <w:szCs w:val="18"/>
          <w:lang w:val="fr-FR"/>
        </w:rPr>
        <w:t>30619.</w:t>
      </w:r>
    </w:p>
  </w:footnote>
  <w:footnote w:id="4">
    <w:p w14:paraId="73605C8B" w14:textId="77777777"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 xml:space="preserve"> CBD/COP/16/8.</w:t>
      </w:r>
    </w:p>
  </w:footnote>
  <w:footnote w:id="5">
    <w:p w14:paraId="52CB2F8A" w14:textId="77777777"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CBD/COP/16/INF/25.</w:t>
      </w:r>
    </w:p>
  </w:footnote>
  <w:footnote w:id="6">
    <w:p w14:paraId="57EBA277" w14:textId="1EBF338E"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 xml:space="preserve"> </w:t>
      </w:r>
      <w:r w:rsidRPr="006E187A">
        <w:rPr>
          <w:lang w:val="fr-FR"/>
        </w:rPr>
        <w:t xml:space="preserve">Nations Unies, </w:t>
      </w:r>
      <w:r w:rsidRPr="006E187A">
        <w:rPr>
          <w:i/>
          <w:iCs/>
          <w:lang w:val="fr-FR"/>
        </w:rPr>
        <w:t>Recueil des Traités</w:t>
      </w:r>
      <w:r w:rsidRPr="006E187A">
        <w:rPr>
          <w:lang w:val="fr-FR"/>
        </w:rPr>
        <w:t>, vol.</w:t>
      </w:r>
      <w:r w:rsidR="00EE54EF">
        <w:rPr>
          <w:lang w:val="fr-FR"/>
        </w:rPr>
        <w:t> </w:t>
      </w:r>
      <w:r w:rsidRPr="006E187A">
        <w:rPr>
          <w:lang w:val="fr-FR"/>
        </w:rPr>
        <w:t>3008, n</w:t>
      </w:r>
      <w:r w:rsidRPr="006E187A">
        <w:rPr>
          <w:vertAlign w:val="superscript"/>
          <w:lang w:val="fr-FR"/>
        </w:rPr>
        <w:t>o</w:t>
      </w:r>
      <w:r w:rsidRPr="006E187A">
        <w:rPr>
          <w:lang w:val="fr-FR"/>
        </w:rPr>
        <w:t> 30619.</w:t>
      </w:r>
    </w:p>
  </w:footnote>
  <w:footnote w:id="7">
    <w:p w14:paraId="39BBB5BB" w14:textId="5D9758A7"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 xml:space="preserve"> Décision</w:t>
      </w:r>
      <w:r w:rsidR="00EE54EF">
        <w:rPr>
          <w:szCs w:val="18"/>
          <w:lang w:val="fr-FR"/>
        </w:rPr>
        <w:t> </w:t>
      </w:r>
      <w:r w:rsidRPr="006E187A">
        <w:rPr>
          <w:szCs w:val="18"/>
          <w:lang w:val="fr-FR"/>
        </w:rPr>
        <w:t>15/4, annexe.</w:t>
      </w:r>
    </w:p>
  </w:footnote>
  <w:footnote w:id="8">
    <w:p w14:paraId="71378B44" w14:textId="1EFCCA1B" w:rsidR="006E187A" w:rsidRPr="00627160" w:rsidRDefault="006E187A" w:rsidP="006E187A">
      <w:pPr>
        <w:pStyle w:val="Notedebasdepage"/>
        <w:rPr>
          <w:szCs w:val="18"/>
        </w:rPr>
      </w:pPr>
      <w:r w:rsidRPr="006E187A">
        <w:rPr>
          <w:rStyle w:val="Appelnotedebasdep"/>
          <w:szCs w:val="18"/>
          <w:lang w:val="fr-FR"/>
        </w:rPr>
        <w:footnoteRef/>
      </w:r>
      <w:r w:rsidRPr="006E187A">
        <w:rPr>
          <w:szCs w:val="18"/>
          <w:lang w:val="fr-FR"/>
        </w:rPr>
        <w:t xml:space="preserve"> Décision</w:t>
      </w:r>
      <w:r w:rsidR="00EE54EF">
        <w:rPr>
          <w:szCs w:val="18"/>
          <w:lang w:val="fr-FR"/>
        </w:rPr>
        <w:t> </w:t>
      </w:r>
      <w:r w:rsidRPr="006E187A">
        <w:rPr>
          <w:szCs w:val="18"/>
          <w:lang w:val="fr-FR"/>
        </w:rPr>
        <w:t>NP-5/--, annexe.</w:t>
      </w:r>
    </w:p>
  </w:footnote>
  <w:footnote w:id="9">
    <w:p w14:paraId="7AE6A2B7" w14:textId="1C4B4F58" w:rsidR="006E187A" w:rsidRPr="006E187A" w:rsidRDefault="006E187A" w:rsidP="006E187A">
      <w:pPr>
        <w:pStyle w:val="Notedebasdepage"/>
        <w:rPr>
          <w:szCs w:val="18"/>
          <w:lang w:val="fr-FR"/>
        </w:rPr>
      </w:pPr>
      <w:r w:rsidRPr="006E187A">
        <w:rPr>
          <w:rStyle w:val="Appelnotedebasdep"/>
          <w:szCs w:val="18"/>
          <w:lang w:val="fr-FR"/>
        </w:rPr>
        <w:footnoteRef/>
      </w:r>
      <w:r w:rsidRPr="006E187A">
        <w:rPr>
          <w:szCs w:val="18"/>
          <w:lang w:val="fr-FR"/>
        </w:rPr>
        <w:t xml:space="preserve"> Décision</w:t>
      </w:r>
      <w:r w:rsidR="00EE54EF">
        <w:rPr>
          <w:szCs w:val="18"/>
          <w:lang w:val="fr-FR"/>
        </w:rPr>
        <w:t> </w:t>
      </w:r>
      <w:r w:rsidRPr="006E187A">
        <w:rPr>
          <w:szCs w:val="18"/>
          <w:lang w:val="fr-FR"/>
        </w:rPr>
        <w:t>NP-4/7, annexe.</w:t>
      </w:r>
    </w:p>
  </w:footnote>
  <w:footnote w:id="10">
    <w:p w14:paraId="7CFD3FC9" w14:textId="79056CD7" w:rsidR="006E187A" w:rsidRPr="006D7053" w:rsidRDefault="006E187A" w:rsidP="006E187A">
      <w:pPr>
        <w:pStyle w:val="Notedebasdepage"/>
        <w:rPr>
          <w:szCs w:val="18"/>
        </w:rPr>
      </w:pPr>
      <w:r w:rsidRPr="006E187A">
        <w:rPr>
          <w:rStyle w:val="Appelnotedebasdep"/>
          <w:szCs w:val="18"/>
          <w:lang w:val="fr-FR"/>
        </w:rPr>
        <w:footnoteRef/>
      </w:r>
      <w:r w:rsidRPr="006E187A">
        <w:rPr>
          <w:szCs w:val="18"/>
          <w:lang w:val="fr-FR"/>
        </w:rPr>
        <w:t xml:space="preserve"> À inclure dans la pièce jointe I de l’annexe du projet de décision figurant dans la recommandation</w:t>
      </w:r>
      <w:r w:rsidR="00EE54EF">
        <w:rPr>
          <w:szCs w:val="18"/>
          <w:lang w:val="fr-FR"/>
        </w:rPr>
        <w:t> </w:t>
      </w:r>
      <w:r w:rsidRPr="006E187A">
        <w:rPr>
          <w:szCs w:val="18"/>
          <w:lang w:val="fr-FR"/>
        </w:rPr>
        <w:t>4/4 de l’Organe subsidiaire chargé de l’application, dont l’adoption est en attente.</w:t>
      </w:r>
    </w:p>
  </w:footnote>
  <w:footnote w:id="11">
    <w:p w14:paraId="2E4A6961" w14:textId="4682E3D8"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sidRPr="00917287">
        <w:rPr>
          <w:color w:val="000000"/>
          <w:szCs w:val="18"/>
          <w:lang w:val="fr-FR"/>
        </w:rPr>
        <w:t>Nations Unies, Recueil des Traités, vol.</w:t>
      </w:r>
      <w:r w:rsidR="00EE54EF">
        <w:rPr>
          <w:color w:val="000000"/>
          <w:szCs w:val="18"/>
          <w:lang w:val="fr-FR"/>
        </w:rPr>
        <w:t> </w:t>
      </w:r>
      <w:r w:rsidRPr="00917287">
        <w:rPr>
          <w:szCs w:val="18"/>
          <w:lang w:val="fr-FR"/>
        </w:rPr>
        <w:t>3008,</w:t>
      </w:r>
      <w:r w:rsidRPr="00917287">
        <w:rPr>
          <w:color w:val="000000"/>
          <w:szCs w:val="18"/>
          <w:lang w:val="fr-FR"/>
        </w:rPr>
        <w:t xml:space="preserve"> </w:t>
      </w:r>
      <w:r>
        <w:rPr>
          <w:color w:val="000000"/>
          <w:szCs w:val="18"/>
          <w:lang w:val="fr-FR"/>
        </w:rPr>
        <w:t>n</w:t>
      </w:r>
      <w:r w:rsidRPr="00057705">
        <w:rPr>
          <w:color w:val="000000"/>
          <w:szCs w:val="18"/>
          <w:vertAlign w:val="superscript"/>
          <w:lang w:val="fr-FR"/>
        </w:rPr>
        <w:t>o</w:t>
      </w:r>
      <w:r w:rsidR="00EE54EF">
        <w:rPr>
          <w:color w:val="000000"/>
          <w:szCs w:val="18"/>
          <w:lang w:val="fr-FR"/>
        </w:rPr>
        <w:t> </w:t>
      </w:r>
      <w:r w:rsidRPr="00917287">
        <w:rPr>
          <w:color w:val="000000"/>
          <w:szCs w:val="18"/>
          <w:lang w:val="fr-FR"/>
        </w:rPr>
        <w:t>30619</w:t>
      </w:r>
      <w:r w:rsidRPr="00917287">
        <w:rPr>
          <w:szCs w:val="18"/>
          <w:lang w:val="fr-FR"/>
        </w:rPr>
        <w:t>.</w:t>
      </w:r>
    </w:p>
  </w:footnote>
  <w:footnote w:id="12">
    <w:p w14:paraId="77B979B0" w14:textId="0E0FD50E"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Pr>
          <w:szCs w:val="18"/>
          <w:lang w:val="fr-FR"/>
        </w:rPr>
        <w:t>Annexe I à la d</w:t>
      </w:r>
      <w:r w:rsidRPr="00917287">
        <w:rPr>
          <w:szCs w:val="18"/>
          <w:lang w:val="fr-FR"/>
        </w:rPr>
        <w:t>é</w:t>
      </w:r>
      <w:r>
        <w:rPr>
          <w:szCs w:val="18"/>
          <w:lang w:val="fr-FR"/>
        </w:rPr>
        <w:t>cision</w:t>
      </w:r>
      <w:r w:rsidR="00EE54EF">
        <w:rPr>
          <w:szCs w:val="18"/>
          <w:lang w:val="fr-FR"/>
        </w:rPr>
        <w:t> </w:t>
      </w:r>
      <w:r>
        <w:rPr>
          <w:szCs w:val="18"/>
          <w:lang w:val="fr-FR"/>
        </w:rPr>
        <w:t>NP-1/8</w:t>
      </w:r>
      <w:r w:rsidRPr="00917287">
        <w:rPr>
          <w:szCs w:val="18"/>
          <w:lang w:val="fr-FR"/>
        </w:rPr>
        <w:t>.</w:t>
      </w:r>
    </w:p>
  </w:footnote>
  <w:footnote w:id="13">
    <w:p w14:paraId="217E51C5" w14:textId="3DAEDCF0"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sidRPr="00917287">
        <w:rPr>
          <w:color w:val="000000"/>
          <w:szCs w:val="18"/>
          <w:lang w:val="fr-FR"/>
        </w:rPr>
        <w:t>Nations Unies, Recueil des Traités, vol.</w:t>
      </w:r>
      <w:r w:rsidR="00EE54EF">
        <w:rPr>
          <w:color w:val="000000"/>
          <w:szCs w:val="18"/>
          <w:lang w:val="fr-FR"/>
        </w:rPr>
        <w:t> </w:t>
      </w:r>
      <w:r w:rsidRPr="00917287">
        <w:rPr>
          <w:color w:val="000000"/>
          <w:szCs w:val="18"/>
          <w:lang w:val="fr-FR"/>
        </w:rPr>
        <w:t xml:space="preserve">1760, </w:t>
      </w:r>
      <w:r>
        <w:rPr>
          <w:color w:val="000000"/>
          <w:szCs w:val="18"/>
          <w:lang w:val="fr-FR"/>
        </w:rPr>
        <w:t>n</w:t>
      </w:r>
      <w:r w:rsidRPr="00057705">
        <w:rPr>
          <w:color w:val="000000"/>
          <w:szCs w:val="18"/>
          <w:vertAlign w:val="superscript"/>
          <w:lang w:val="fr-FR"/>
        </w:rPr>
        <w:t>o</w:t>
      </w:r>
      <w:r w:rsidR="00EE54EF">
        <w:rPr>
          <w:color w:val="000000"/>
          <w:szCs w:val="18"/>
          <w:lang w:val="fr-FR"/>
        </w:rPr>
        <w:t> </w:t>
      </w:r>
      <w:r w:rsidRPr="00917287">
        <w:rPr>
          <w:color w:val="000000"/>
          <w:szCs w:val="18"/>
          <w:lang w:val="fr-FR"/>
        </w:rPr>
        <w:t>30619</w:t>
      </w:r>
    </w:p>
  </w:footnote>
  <w:footnote w:id="14">
    <w:p w14:paraId="0613BDB9" w14:textId="633678DB"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Pr>
          <w:szCs w:val="18"/>
          <w:lang w:val="fr-FR"/>
        </w:rPr>
        <w:t>Annexe I à la d</w:t>
      </w:r>
      <w:r w:rsidRPr="00917287">
        <w:rPr>
          <w:szCs w:val="18"/>
          <w:lang w:val="fr-FR"/>
        </w:rPr>
        <w:t>é</w:t>
      </w:r>
      <w:r>
        <w:rPr>
          <w:szCs w:val="18"/>
          <w:lang w:val="fr-FR"/>
        </w:rPr>
        <w:t>cision</w:t>
      </w:r>
      <w:r w:rsidR="00EE54EF">
        <w:rPr>
          <w:szCs w:val="18"/>
          <w:lang w:val="fr-FR"/>
        </w:rPr>
        <w:t> </w:t>
      </w:r>
      <w:r>
        <w:rPr>
          <w:szCs w:val="18"/>
          <w:lang w:val="fr-FR"/>
        </w:rPr>
        <w:t>15/8</w:t>
      </w:r>
      <w:r w:rsidRPr="00917287">
        <w:rPr>
          <w:szCs w:val="18"/>
          <w:lang w:val="fr-FR"/>
        </w:rPr>
        <w:t>.</w:t>
      </w:r>
    </w:p>
  </w:footnote>
  <w:footnote w:id="15">
    <w:p w14:paraId="3E621CCD" w14:textId="77777777"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hyperlink r:id="rId1" w:history="1">
        <w:r w:rsidRPr="00917287">
          <w:rPr>
            <w:rStyle w:val="Lienhypertexte"/>
            <w:szCs w:val="18"/>
            <w:lang w:val="fr-FR"/>
          </w:rPr>
          <w:t>CBD/NP/CB-IAC/2023/1/3</w:t>
        </w:r>
      </w:hyperlink>
      <w:r w:rsidRPr="00917287">
        <w:rPr>
          <w:szCs w:val="18"/>
          <w:lang w:val="fr-FR"/>
        </w:rPr>
        <w:t>.</w:t>
      </w:r>
    </w:p>
  </w:footnote>
  <w:footnote w:id="16">
    <w:p w14:paraId="54F7BFF6" w14:textId="6B84B745" w:rsidR="00343CE7" w:rsidRPr="00917287" w:rsidRDefault="00343CE7" w:rsidP="00343CE7">
      <w:pPr>
        <w:pStyle w:val="Notedebasdepage"/>
        <w:rPr>
          <w:b/>
          <w:bCs/>
          <w:szCs w:val="18"/>
          <w:u w:val="single"/>
          <w:lang w:val="fr-FR"/>
        </w:rPr>
      </w:pPr>
      <w:r w:rsidRPr="00917287">
        <w:rPr>
          <w:rStyle w:val="Appelnotedebasdep"/>
          <w:szCs w:val="18"/>
          <w:lang w:val="fr-FR"/>
        </w:rPr>
        <w:footnoteRef/>
      </w:r>
      <w:r w:rsidRPr="00917287">
        <w:rPr>
          <w:szCs w:val="18"/>
          <w:lang w:val="fr-FR"/>
        </w:rPr>
        <w:t xml:space="preserve"> </w:t>
      </w:r>
      <w:r>
        <w:rPr>
          <w:szCs w:val="18"/>
          <w:lang w:val="fr-FR"/>
        </w:rPr>
        <w:t>Le paragraphe opérationnel</w:t>
      </w:r>
      <w:r w:rsidR="00EE54EF">
        <w:rPr>
          <w:szCs w:val="18"/>
          <w:lang w:val="fr-FR"/>
        </w:rPr>
        <w:t> </w:t>
      </w:r>
      <w:r>
        <w:rPr>
          <w:szCs w:val="18"/>
          <w:lang w:val="fr-FR"/>
        </w:rPr>
        <w:t>2 de ce projet de décision, qui sera adoptée par la Conférence des Parties à sa seizième réunion, sera mis</w:t>
      </w:r>
      <w:r w:rsidRPr="00917287">
        <w:rPr>
          <w:szCs w:val="18"/>
          <w:lang w:val="fr-FR"/>
        </w:rPr>
        <w:t xml:space="preserve"> à jour </w:t>
      </w:r>
      <w:r>
        <w:rPr>
          <w:szCs w:val="18"/>
          <w:lang w:val="fr-FR"/>
        </w:rPr>
        <w:t xml:space="preserve">afin d’inclure les chiffres et les titres exacts des décisions qui y sont </w:t>
      </w:r>
      <w:r w:rsidR="00400894">
        <w:rPr>
          <w:szCs w:val="18"/>
          <w:lang w:val="fr-FR"/>
        </w:rPr>
        <w:t>citées.</w:t>
      </w:r>
    </w:p>
  </w:footnote>
  <w:footnote w:id="17">
    <w:p w14:paraId="3F8C11E4" w14:textId="23C8E08D"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La </w:t>
      </w:r>
      <w:hyperlink r:id="rId2" w:history="1">
        <w:r w:rsidRPr="00917287">
          <w:rPr>
            <w:rStyle w:val="Lienhypertexte"/>
            <w:szCs w:val="18"/>
            <w:lang w:val="fr-FR"/>
          </w:rPr>
          <w:t>Boîte à outils CESP</w:t>
        </w:r>
      </w:hyperlink>
      <w:r w:rsidRPr="00917287">
        <w:rPr>
          <w:szCs w:val="18"/>
          <w:lang w:val="fr-FR"/>
        </w:rPr>
        <w:t xml:space="preserve"> est disponible </w:t>
      </w:r>
      <w:r w:rsidR="00E055A9">
        <w:rPr>
          <w:szCs w:val="18"/>
          <w:lang w:val="fr-FR"/>
        </w:rPr>
        <w:t xml:space="preserve">en ligne </w:t>
      </w:r>
      <w:r w:rsidRPr="00917287">
        <w:rPr>
          <w:szCs w:val="18"/>
          <w:lang w:val="fr-FR"/>
        </w:rPr>
        <w:t>dans les six langues officielles des Nations Unies.</w:t>
      </w:r>
    </w:p>
  </w:footnote>
  <w:footnote w:id="18">
    <w:p w14:paraId="7B972347" w14:textId="77777777"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Tels que les documents d’orientation inclus dans le document d’information CBD/SBI/4/INF/3.</w:t>
      </w:r>
    </w:p>
  </w:footnote>
  <w:footnote w:id="19">
    <w:p w14:paraId="662E7FA2" w14:textId="027CCE0A"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sidRPr="00917287">
        <w:rPr>
          <w:color w:val="000000"/>
          <w:szCs w:val="18"/>
          <w:lang w:val="fr-FR"/>
        </w:rPr>
        <w:t>Nations Unies, Recueil des Traités, vol.</w:t>
      </w:r>
      <w:r w:rsidR="00EE54EF">
        <w:rPr>
          <w:color w:val="000000"/>
          <w:szCs w:val="18"/>
          <w:lang w:val="fr-FR"/>
        </w:rPr>
        <w:t> </w:t>
      </w:r>
      <w:r w:rsidRPr="00917287">
        <w:rPr>
          <w:color w:val="000000"/>
          <w:szCs w:val="18"/>
          <w:lang w:val="fr-FR"/>
        </w:rPr>
        <w:t xml:space="preserve">1760, </w:t>
      </w:r>
      <w:r>
        <w:rPr>
          <w:color w:val="000000"/>
          <w:szCs w:val="18"/>
          <w:lang w:val="fr-FR"/>
        </w:rPr>
        <w:t>n</w:t>
      </w:r>
      <w:r w:rsidRPr="00F121B0">
        <w:rPr>
          <w:color w:val="000000"/>
          <w:szCs w:val="18"/>
          <w:vertAlign w:val="superscript"/>
          <w:lang w:val="fr-FR"/>
        </w:rPr>
        <w:t>o</w:t>
      </w:r>
      <w:r w:rsidR="00EE54EF">
        <w:rPr>
          <w:color w:val="000000"/>
          <w:szCs w:val="18"/>
          <w:lang w:val="fr-FR"/>
        </w:rPr>
        <w:t> </w:t>
      </w:r>
      <w:r w:rsidRPr="00917287">
        <w:rPr>
          <w:color w:val="000000"/>
          <w:szCs w:val="18"/>
          <w:lang w:val="fr-FR"/>
        </w:rPr>
        <w:t>30619</w:t>
      </w:r>
    </w:p>
  </w:footnote>
  <w:footnote w:id="20">
    <w:p w14:paraId="20E36137" w14:textId="56663742" w:rsidR="00343CE7" w:rsidRPr="00952BDD" w:rsidRDefault="00343CE7" w:rsidP="00343CE7">
      <w:pPr>
        <w:pStyle w:val="Notedebasdepage"/>
        <w:rPr>
          <w:lang w:val="fr-CA"/>
        </w:rPr>
      </w:pPr>
      <w:r>
        <w:rPr>
          <w:rStyle w:val="Appelnotedebasdep"/>
        </w:rPr>
        <w:footnoteRef/>
      </w:r>
      <w:r w:rsidRPr="00952BDD">
        <w:rPr>
          <w:lang w:val="fr-CA"/>
        </w:rPr>
        <w:t xml:space="preserve"> </w:t>
      </w:r>
      <w:r>
        <w:rPr>
          <w:lang w:val="fr-CA"/>
        </w:rPr>
        <w:t>Annexe à la décision</w:t>
      </w:r>
      <w:r w:rsidR="00EE54EF">
        <w:rPr>
          <w:lang w:val="fr-CA"/>
        </w:rPr>
        <w:t> </w:t>
      </w:r>
      <w:r w:rsidRPr="00952BDD">
        <w:rPr>
          <w:lang w:val="fr-CA"/>
        </w:rPr>
        <w:t>15/4,</w:t>
      </w:r>
    </w:p>
  </w:footnote>
  <w:footnote w:id="21">
    <w:p w14:paraId="4E153C05" w14:textId="28390103"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Les autres cibles ayant un lien direct avec le plan d’action sont les cibles</w:t>
      </w:r>
      <w:r w:rsidR="00EE54EF">
        <w:rPr>
          <w:szCs w:val="18"/>
          <w:lang w:val="fr-FR"/>
        </w:rPr>
        <w:t> </w:t>
      </w:r>
      <w:r w:rsidRPr="00917287">
        <w:rPr>
          <w:szCs w:val="18"/>
          <w:lang w:val="fr-FR"/>
        </w:rPr>
        <w:t>15 et 19 à 23.</w:t>
      </w:r>
    </w:p>
  </w:footnote>
  <w:footnote w:id="22">
    <w:p w14:paraId="1FAC58C5" w14:textId="7FFCC563"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La cible</w:t>
      </w:r>
      <w:r w:rsidR="00EE54EF">
        <w:rPr>
          <w:szCs w:val="18"/>
          <w:lang w:val="fr-FR"/>
        </w:rPr>
        <w:t> </w:t>
      </w:r>
      <w:r w:rsidRPr="00917287">
        <w:rPr>
          <w:szCs w:val="18"/>
          <w:lang w:val="fr-FR"/>
        </w:rPr>
        <w:t xml:space="preserve">15.6 du Programme </w:t>
      </w:r>
      <w:r>
        <w:rPr>
          <w:szCs w:val="18"/>
          <w:lang w:val="fr-FR"/>
        </w:rPr>
        <w:t>de développement durable à l’horizon</w:t>
      </w:r>
      <w:r w:rsidR="00EE54EF">
        <w:rPr>
          <w:szCs w:val="18"/>
          <w:lang w:val="fr-FR"/>
        </w:rPr>
        <w:t> </w:t>
      </w:r>
      <w:r w:rsidRPr="00917287">
        <w:rPr>
          <w:szCs w:val="18"/>
          <w:lang w:val="fr-FR"/>
        </w:rPr>
        <w:t>2030 est la suivante</w:t>
      </w:r>
      <w:r w:rsidR="00EE54EF">
        <w:rPr>
          <w:szCs w:val="18"/>
          <w:lang w:val="fr-FR"/>
        </w:rPr>
        <w:t> </w:t>
      </w:r>
      <w:r w:rsidRPr="00917287">
        <w:rPr>
          <w:szCs w:val="18"/>
          <w:lang w:val="fr-FR"/>
        </w:rPr>
        <w:t>: « Favoriser le partage juste et équitable des bénéfices découlant de l’utilisation des ressources génétiques et promouvoir un accès approprié à celles-ci, ainsi que cela a été décidé à l’échelle internationale. »</w:t>
      </w:r>
    </w:p>
  </w:footnote>
  <w:footnote w:id="23">
    <w:p w14:paraId="31D645F3" w14:textId="77777777"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Un aperçu d’exemples de certaines contributions que divers acteurs peuvent faire est disponible dans le document d’information CBD/SBI/4/INF/3.</w:t>
      </w:r>
    </w:p>
  </w:footnote>
  <w:footnote w:id="24">
    <w:p w14:paraId="04464097" w14:textId="77777777"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Notamment des activités, des projets, des programmes ou des plans et d’autres types d’événements, tels que des ateliers.</w:t>
      </w:r>
    </w:p>
  </w:footnote>
  <w:footnote w:id="25">
    <w:p w14:paraId="16289502" w14:textId="3B993D3D" w:rsidR="00343CE7" w:rsidRPr="00917287" w:rsidRDefault="00343CE7" w:rsidP="00343CE7">
      <w:pPr>
        <w:pStyle w:val="Notedebasdepage"/>
        <w:rPr>
          <w:lang w:val="fr-FR"/>
        </w:rPr>
      </w:pPr>
      <w:r w:rsidRPr="00917287">
        <w:rPr>
          <w:rStyle w:val="Appelnotedebasdep"/>
          <w:szCs w:val="18"/>
          <w:lang w:val="fr-FR"/>
        </w:rPr>
        <w:footnoteRef/>
      </w:r>
      <w:r w:rsidRPr="00917287">
        <w:rPr>
          <w:szCs w:val="18"/>
          <w:lang w:val="fr-FR"/>
        </w:rPr>
        <w:t xml:space="preserve"> </w:t>
      </w:r>
      <w:r w:rsidRPr="00917287">
        <w:rPr>
          <w:kern w:val="22"/>
          <w:szCs w:val="18"/>
          <w:lang w:val="fr-FR"/>
        </w:rPr>
        <w:t xml:space="preserve">Les principaux résultats se fondent sur les domaines clés recensés </w:t>
      </w:r>
      <w:r>
        <w:rPr>
          <w:kern w:val="22"/>
          <w:szCs w:val="18"/>
          <w:lang w:val="fr-FR"/>
        </w:rPr>
        <w:t>pour la création et l</w:t>
      </w:r>
      <w:r w:rsidRPr="00917287">
        <w:rPr>
          <w:kern w:val="22"/>
          <w:szCs w:val="18"/>
          <w:lang w:val="fr-FR"/>
        </w:rPr>
        <w:t xml:space="preserve">e renforcement des capacités </w:t>
      </w:r>
      <w:r>
        <w:rPr>
          <w:kern w:val="22"/>
          <w:szCs w:val="18"/>
          <w:lang w:val="fr-FR"/>
        </w:rPr>
        <w:t>au paragraphe 4 de l</w:t>
      </w:r>
      <w:r w:rsidRPr="00917287">
        <w:rPr>
          <w:kern w:val="22"/>
          <w:szCs w:val="18"/>
          <w:lang w:val="fr-FR"/>
        </w:rPr>
        <w:t>’</w:t>
      </w:r>
      <w:r>
        <w:rPr>
          <w:kern w:val="22"/>
          <w:szCs w:val="18"/>
          <w:lang w:val="fr-FR"/>
        </w:rPr>
        <w:t>article </w:t>
      </w:r>
      <w:r w:rsidRPr="00917287">
        <w:rPr>
          <w:kern w:val="22"/>
          <w:szCs w:val="18"/>
          <w:lang w:val="fr-FR"/>
        </w:rPr>
        <w:t>22 du protocole de Nagoya</w:t>
      </w:r>
      <w:r w:rsidR="00EE54EF">
        <w:rPr>
          <w:kern w:val="22"/>
          <w:szCs w:val="18"/>
          <w:lang w:val="fr-FR"/>
        </w:rPr>
        <w:t> </w:t>
      </w:r>
      <w:r w:rsidRPr="00917287">
        <w:rPr>
          <w:kern w:val="22"/>
          <w:szCs w:val="18"/>
          <w:lang w:val="fr-FR"/>
        </w:rPr>
        <w:t>; toutefois, le résultat</w:t>
      </w:r>
      <w:r w:rsidR="00EE54EF">
        <w:rPr>
          <w:kern w:val="22"/>
          <w:szCs w:val="18"/>
          <w:lang w:val="fr-FR"/>
        </w:rPr>
        <w:t> </w:t>
      </w:r>
      <w:r w:rsidRPr="00917287">
        <w:rPr>
          <w:kern w:val="22"/>
          <w:szCs w:val="18"/>
          <w:lang w:val="fr-FR"/>
        </w:rPr>
        <w:t xml:space="preserve">6 a été ajouté pour couvrir différentes questions </w:t>
      </w:r>
      <w:r>
        <w:rPr>
          <w:kern w:val="22"/>
          <w:szCs w:val="18"/>
          <w:lang w:val="fr-FR"/>
        </w:rPr>
        <w:t>intersectorielles</w:t>
      </w:r>
      <w:r w:rsidRPr="00917287">
        <w:rPr>
          <w:kern w:val="22"/>
          <w:szCs w:val="18"/>
          <w:lang w:val="fr-FR"/>
        </w:rPr>
        <w:t xml:space="preserve"> qui sont importantes pour la mise en œuvre du protocol</w:t>
      </w:r>
      <w:r>
        <w:rPr>
          <w:kern w:val="22"/>
          <w:szCs w:val="18"/>
          <w:lang w:val="fr-FR"/>
        </w:rPr>
        <w:t>e, mais</w:t>
      </w:r>
      <w:r w:rsidRPr="00917287">
        <w:rPr>
          <w:kern w:val="22"/>
          <w:szCs w:val="18"/>
          <w:lang w:val="fr-FR"/>
        </w:rPr>
        <w:t xml:space="preserve"> qui n’ont</w:t>
      </w:r>
      <w:r w:rsidR="00D842D7">
        <w:rPr>
          <w:kern w:val="22"/>
          <w:szCs w:val="18"/>
          <w:lang w:val="fr-FR"/>
        </w:rPr>
        <w:t xml:space="preserve"> pas</w:t>
      </w:r>
      <w:r w:rsidRPr="00917287">
        <w:rPr>
          <w:kern w:val="22"/>
          <w:szCs w:val="18"/>
          <w:lang w:val="fr-FR"/>
        </w:rPr>
        <w:t xml:space="preserve"> </w:t>
      </w:r>
      <w:r>
        <w:rPr>
          <w:kern w:val="22"/>
          <w:szCs w:val="18"/>
          <w:lang w:val="fr-FR"/>
        </w:rPr>
        <w:t xml:space="preserve">encore </w:t>
      </w:r>
      <w:r w:rsidRPr="00917287">
        <w:rPr>
          <w:kern w:val="22"/>
          <w:szCs w:val="18"/>
          <w:lang w:val="fr-FR"/>
        </w:rPr>
        <w:t xml:space="preserve">été abordées dans </w:t>
      </w:r>
      <w:r>
        <w:rPr>
          <w:kern w:val="22"/>
          <w:szCs w:val="18"/>
          <w:lang w:val="fr-FR"/>
        </w:rPr>
        <w:t xml:space="preserve">les </w:t>
      </w:r>
      <w:r w:rsidRPr="00917287">
        <w:rPr>
          <w:kern w:val="22"/>
          <w:szCs w:val="18"/>
          <w:lang w:val="fr-FR"/>
        </w:rPr>
        <w:t xml:space="preserve">domaines clés. Ces capacités </w:t>
      </w:r>
      <w:r>
        <w:rPr>
          <w:kern w:val="22"/>
          <w:szCs w:val="18"/>
          <w:lang w:val="fr-FR"/>
        </w:rPr>
        <w:t>intersectorielles</w:t>
      </w:r>
      <w:r w:rsidRPr="00917287">
        <w:rPr>
          <w:kern w:val="22"/>
          <w:szCs w:val="18"/>
          <w:lang w:val="fr-FR"/>
        </w:rPr>
        <w:t xml:space="preserve"> sont à la base du succès des autres domaines de résultats et contribuent à la mise en œuvre, par exemple, de l’article</w:t>
      </w:r>
      <w:r w:rsidR="00EE54EF">
        <w:rPr>
          <w:kern w:val="22"/>
          <w:szCs w:val="18"/>
          <w:lang w:val="fr-FR"/>
        </w:rPr>
        <w:t> </w:t>
      </w:r>
      <w:r w:rsidRPr="00917287">
        <w:rPr>
          <w:kern w:val="22"/>
          <w:szCs w:val="18"/>
          <w:lang w:val="fr-FR"/>
        </w:rPr>
        <w:t>21 du Protocole et du plan d’action sur l’égalité entre les sexes (2023-2030) (</w:t>
      </w:r>
      <w:r>
        <w:rPr>
          <w:szCs w:val="18"/>
          <w:lang w:val="fr-FR"/>
        </w:rPr>
        <w:t>annexe à la décision</w:t>
      </w:r>
      <w:r w:rsidR="00EE54EF">
        <w:rPr>
          <w:szCs w:val="18"/>
          <w:lang w:val="fr-FR"/>
        </w:rPr>
        <w:t> </w:t>
      </w:r>
      <w:hyperlink r:id="rId3" w:history="1">
        <w:r w:rsidRPr="00917287">
          <w:rPr>
            <w:rStyle w:val="Lienhypertexte"/>
            <w:szCs w:val="18"/>
            <w:lang w:val="fr-FR"/>
          </w:rPr>
          <w:t>15/11</w:t>
        </w:r>
      </w:hyperlink>
      <w:r w:rsidRPr="00917287">
        <w:rPr>
          <w:rStyle w:val="Lienhypertexte"/>
          <w:szCs w:val="18"/>
          <w:lang w:val="fr-FR"/>
        </w:rPr>
        <w:t>).</w:t>
      </w:r>
    </w:p>
  </w:footnote>
  <w:footnote w:id="26">
    <w:p w14:paraId="2DE93163" w14:textId="6D225C19" w:rsidR="00343CE7" w:rsidRPr="00917287" w:rsidRDefault="00343CE7" w:rsidP="00343CE7">
      <w:pPr>
        <w:pStyle w:val="Notedebasdepage"/>
        <w:rPr>
          <w:szCs w:val="18"/>
          <w:lang w:val="fr-FR"/>
        </w:rPr>
      </w:pPr>
      <w:r w:rsidRPr="00917287">
        <w:rPr>
          <w:rStyle w:val="Appelnotedebasdep"/>
          <w:szCs w:val="18"/>
          <w:lang w:val="fr-FR"/>
        </w:rPr>
        <w:footnoteRef/>
      </w:r>
      <w:r>
        <w:rPr>
          <w:szCs w:val="18"/>
          <w:lang w:val="fr-FR"/>
        </w:rPr>
        <w:t xml:space="preserve"> Paragraphe</w:t>
      </w:r>
      <w:r w:rsidR="00EE54EF">
        <w:rPr>
          <w:szCs w:val="18"/>
          <w:lang w:val="fr-FR"/>
        </w:rPr>
        <w:t> </w:t>
      </w:r>
      <w:r>
        <w:rPr>
          <w:szCs w:val="18"/>
          <w:lang w:val="fr-FR"/>
        </w:rPr>
        <w:t>3 de l’annexe I à la d</w:t>
      </w:r>
      <w:r w:rsidRPr="00917287">
        <w:rPr>
          <w:szCs w:val="18"/>
          <w:lang w:val="fr-FR"/>
        </w:rPr>
        <w:t>é</w:t>
      </w:r>
      <w:r>
        <w:rPr>
          <w:szCs w:val="18"/>
          <w:lang w:val="fr-FR"/>
        </w:rPr>
        <w:t>cision</w:t>
      </w:r>
      <w:r w:rsidR="00EE54EF">
        <w:rPr>
          <w:szCs w:val="18"/>
          <w:lang w:val="fr-FR"/>
        </w:rPr>
        <w:t> </w:t>
      </w:r>
      <w:r>
        <w:rPr>
          <w:szCs w:val="18"/>
          <w:lang w:val="fr-FR"/>
        </w:rPr>
        <w:t>15/8</w:t>
      </w:r>
      <w:r w:rsidRPr="00917287">
        <w:rPr>
          <w:szCs w:val="18"/>
          <w:lang w:val="fr-FR"/>
        </w:rPr>
        <w:t>.</w:t>
      </w:r>
    </w:p>
  </w:footnote>
  <w:footnote w:id="27">
    <w:p w14:paraId="66187DA0" w14:textId="459114F8"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w:t>
      </w:r>
      <w:r w:rsidR="00EE54EF">
        <w:rPr>
          <w:szCs w:val="18"/>
          <w:lang w:val="fr-FR"/>
        </w:rPr>
        <w:t> </w:t>
      </w:r>
      <w:r w:rsidRPr="00917287">
        <w:rPr>
          <w:szCs w:val="18"/>
          <w:lang w:val="fr-FR"/>
        </w:rPr>
        <w:t>CBD/SBI/3/7/Add.1 pour de plus amples informations.</w:t>
      </w:r>
    </w:p>
  </w:footnote>
  <w:footnote w:id="28">
    <w:p w14:paraId="54985B16" w14:textId="10EA5CF2"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Une chaîne de résultats basée sur cette théorie du changement</w:t>
      </w:r>
      <w:r>
        <w:rPr>
          <w:szCs w:val="18"/>
          <w:lang w:val="fr-FR"/>
        </w:rPr>
        <w:t>, qui</w:t>
      </w:r>
      <w:r w:rsidRPr="00917287">
        <w:rPr>
          <w:szCs w:val="18"/>
          <w:lang w:val="fr-FR"/>
        </w:rPr>
        <w:t xml:space="preserve"> montr</w:t>
      </w:r>
      <w:r>
        <w:rPr>
          <w:szCs w:val="18"/>
          <w:lang w:val="fr-FR"/>
        </w:rPr>
        <w:t>e</w:t>
      </w:r>
      <w:r w:rsidRPr="00917287">
        <w:rPr>
          <w:szCs w:val="18"/>
          <w:lang w:val="fr-FR"/>
        </w:rPr>
        <w:t xml:space="preserve"> les liens de causalité entre les intrants, les activités, les produits, les résultats et l’impact</w:t>
      </w:r>
      <w:r>
        <w:rPr>
          <w:szCs w:val="18"/>
          <w:lang w:val="fr-FR"/>
        </w:rPr>
        <w:t>,</w:t>
      </w:r>
      <w:r w:rsidRPr="00917287">
        <w:rPr>
          <w:szCs w:val="18"/>
          <w:lang w:val="fr-FR"/>
        </w:rPr>
        <w:t xml:space="preserve"> est disponible dans le document d’information</w:t>
      </w:r>
      <w:r w:rsidR="00EE54EF">
        <w:rPr>
          <w:szCs w:val="18"/>
          <w:lang w:val="fr-FR"/>
        </w:rPr>
        <w:t> </w:t>
      </w:r>
      <w:r w:rsidRPr="00917287">
        <w:rPr>
          <w:szCs w:val="18"/>
          <w:lang w:val="fr-FR"/>
        </w:rPr>
        <w:t>CBD/SBI/4/INF/3.</w:t>
      </w:r>
    </w:p>
  </w:footnote>
  <w:footnote w:id="29">
    <w:p w14:paraId="73EB2D69" w14:textId="1D3F8EEC"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Adapté du cadre stratégique à long terme pour la création et le renforcement des capacités (</w:t>
      </w:r>
      <w:r>
        <w:rPr>
          <w:szCs w:val="18"/>
          <w:lang w:val="fr-FR"/>
        </w:rPr>
        <w:t xml:space="preserve">annexe I à la </w:t>
      </w:r>
      <w:r w:rsidRPr="00917287">
        <w:rPr>
          <w:szCs w:val="18"/>
          <w:lang w:val="fr-FR"/>
        </w:rPr>
        <w:t>décisi</w:t>
      </w:r>
      <w:r>
        <w:rPr>
          <w:szCs w:val="18"/>
          <w:lang w:val="fr-FR"/>
        </w:rPr>
        <w:t>on</w:t>
      </w:r>
      <w:r w:rsidR="00EE54EF">
        <w:rPr>
          <w:szCs w:val="18"/>
          <w:lang w:val="fr-FR"/>
        </w:rPr>
        <w:t> </w:t>
      </w:r>
      <w:r>
        <w:rPr>
          <w:szCs w:val="18"/>
          <w:lang w:val="fr-FR"/>
        </w:rPr>
        <w:t>15/8</w:t>
      </w:r>
      <w:r w:rsidRPr="00917287">
        <w:rPr>
          <w:szCs w:val="18"/>
          <w:lang w:val="fr-FR"/>
        </w:rPr>
        <w:t>).</w:t>
      </w:r>
    </w:p>
  </w:footnote>
  <w:footnote w:id="30">
    <w:p w14:paraId="203A0DDB" w14:textId="766E0A84" w:rsidR="00343CE7" w:rsidRPr="00917287" w:rsidRDefault="00343CE7" w:rsidP="00343CE7">
      <w:pPr>
        <w:pStyle w:val="Notedebasdepage"/>
        <w:rPr>
          <w:szCs w:val="18"/>
          <w:lang w:val="fr-FR"/>
        </w:rPr>
      </w:pPr>
      <w:r w:rsidRPr="00917287">
        <w:rPr>
          <w:rStyle w:val="Appelnotedebasdep"/>
          <w:szCs w:val="18"/>
          <w:lang w:val="fr-FR"/>
        </w:rPr>
        <w:footnoteRef/>
      </w:r>
      <w:r>
        <w:rPr>
          <w:szCs w:val="18"/>
          <w:lang w:val="fr-FR"/>
        </w:rPr>
        <w:t xml:space="preserve"> Annexe à la d</w:t>
      </w:r>
      <w:r w:rsidRPr="00917287">
        <w:rPr>
          <w:szCs w:val="18"/>
          <w:lang w:val="fr-FR"/>
        </w:rPr>
        <w:t>écision</w:t>
      </w:r>
      <w:r w:rsidR="00EE54EF">
        <w:rPr>
          <w:szCs w:val="18"/>
          <w:lang w:val="fr-FR"/>
        </w:rPr>
        <w:t> </w:t>
      </w:r>
      <w:r w:rsidRPr="00917287">
        <w:rPr>
          <w:szCs w:val="18"/>
          <w:lang w:val="fr-FR"/>
        </w:rPr>
        <w:t>15/11.</w:t>
      </w:r>
    </w:p>
  </w:footnote>
  <w:footnote w:id="31">
    <w:p w14:paraId="6E325602" w14:textId="77777777"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w:t>
      </w:r>
      <w:r w:rsidRPr="00917287">
        <w:rPr>
          <w:rFonts w:asciiTheme="majorBidi" w:hAnsiTheme="majorBidi" w:cstheme="majorBidi"/>
          <w:szCs w:val="18"/>
          <w:lang w:val="fr-FR"/>
        </w:rPr>
        <w:t xml:space="preserve">Conformément aux orientations fournies dans le cadre </w:t>
      </w:r>
      <w:r>
        <w:rPr>
          <w:rFonts w:asciiTheme="majorBidi" w:hAnsiTheme="majorBidi" w:cstheme="majorBidi"/>
          <w:szCs w:val="18"/>
          <w:lang w:val="fr-FR"/>
        </w:rPr>
        <w:t xml:space="preserve">stratégique </w:t>
      </w:r>
      <w:r w:rsidRPr="00917287">
        <w:rPr>
          <w:rFonts w:asciiTheme="majorBidi" w:hAnsiTheme="majorBidi" w:cstheme="majorBidi"/>
          <w:szCs w:val="18"/>
          <w:lang w:val="fr-FR"/>
        </w:rPr>
        <w:t xml:space="preserve">à long terme, des réseaux d’appui régionaux et </w:t>
      </w:r>
      <w:r>
        <w:rPr>
          <w:rFonts w:asciiTheme="majorBidi" w:hAnsiTheme="majorBidi" w:cstheme="majorBidi"/>
          <w:szCs w:val="18"/>
          <w:lang w:val="fr-FR"/>
        </w:rPr>
        <w:t>infra</w:t>
      </w:r>
      <w:r w:rsidRPr="00917287">
        <w:rPr>
          <w:rFonts w:asciiTheme="majorBidi" w:hAnsiTheme="majorBidi" w:cstheme="majorBidi"/>
          <w:szCs w:val="18"/>
          <w:lang w:val="fr-FR"/>
        </w:rPr>
        <w:t xml:space="preserve">régionaux ou des centres d’excellence peuvent être mis en place pour assurer, sur demande, </w:t>
      </w:r>
      <w:r>
        <w:rPr>
          <w:rFonts w:asciiTheme="majorBidi" w:hAnsiTheme="majorBidi" w:cstheme="majorBidi"/>
          <w:szCs w:val="18"/>
          <w:lang w:val="fr-FR"/>
        </w:rPr>
        <w:t xml:space="preserve">un soutien à </w:t>
      </w:r>
      <w:r w:rsidRPr="00917287">
        <w:rPr>
          <w:rFonts w:asciiTheme="majorBidi" w:hAnsiTheme="majorBidi" w:cstheme="majorBidi"/>
          <w:szCs w:val="18"/>
          <w:lang w:val="fr-FR"/>
        </w:rPr>
        <w:t xml:space="preserve">la création et </w:t>
      </w:r>
      <w:r>
        <w:rPr>
          <w:rFonts w:asciiTheme="majorBidi" w:hAnsiTheme="majorBidi" w:cstheme="majorBidi"/>
          <w:szCs w:val="18"/>
          <w:lang w:val="fr-FR"/>
        </w:rPr>
        <w:t>au</w:t>
      </w:r>
      <w:r w:rsidRPr="00917287">
        <w:rPr>
          <w:rFonts w:asciiTheme="majorBidi" w:hAnsiTheme="majorBidi" w:cstheme="majorBidi"/>
          <w:szCs w:val="18"/>
          <w:lang w:val="fr-FR"/>
        </w:rPr>
        <w:t xml:space="preserve"> renforcement des capacités et faciliter la coopération technique et scientifique. Ces centres d’appui favorisent non seulement la coopération, la collaboration et la synergie, mais contribuent également à renforcer l’expertise, les compétences et le savoir-faire individuels et organisationnels en matière d’accès et de partage des avantages aux niveaux régional et </w:t>
      </w:r>
      <w:r>
        <w:rPr>
          <w:rFonts w:asciiTheme="majorBidi" w:hAnsiTheme="majorBidi" w:cstheme="majorBidi"/>
          <w:szCs w:val="18"/>
          <w:lang w:val="fr-FR"/>
        </w:rPr>
        <w:t>infra</w:t>
      </w:r>
      <w:r w:rsidRPr="00917287">
        <w:rPr>
          <w:rFonts w:asciiTheme="majorBidi" w:hAnsiTheme="majorBidi" w:cstheme="majorBidi"/>
          <w:szCs w:val="18"/>
          <w:lang w:val="fr-FR"/>
        </w:rPr>
        <w:t xml:space="preserve">régional. </w:t>
      </w:r>
    </w:p>
  </w:footnote>
  <w:footnote w:id="32">
    <w:p w14:paraId="1C1A878F" w14:textId="5BD1B4B9" w:rsidR="00343CE7" w:rsidRPr="00917287" w:rsidRDefault="00343CE7" w:rsidP="00343CE7">
      <w:pPr>
        <w:pStyle w:val="Notedebasdepage"/>
        <w:rPr>
          <w:szCs w:val="18"/>
          <w:lang w:val="fr-FR"/>
        </w:rPr>
      </w:pPr>
      <w:r w:rsidRPr="00917287">
        <w:rPr>
          <w:rStyle w:val="Appelnotedebasdep"/>
          <w:szCs w:val="18"/>
          <w:lang w:val="fr-FR"/>
        </w:rPr>
        <w:footnoteRef/>
      </w:r>
      <w:r>
        <w:rPr>
          <w:szCs w:val="18"/>
          <w:lang w:val="fr-FR"/>
        </w:rPr>
        <w:t xml:space="preserve"> Annexe</w:t>
      </w:r>
      <w:r w:rsidR="00EE54EF">
        <w:rPr>
          <w:szCs w:val="18"/>
          <w:lang w:val="fr-FR"/>
        </w:rPr>
        <w:t> </w:t>
      </w:r>
      <w:r>
        <w:rPr>
          <w:szCs w:val="18"/>
          <w:lang w:val="fr-FR"/>
        </w:rPr>
        <w:t>II à la d</w:t>
      </w:r>
      <w:r w:rsidRPr="00917287">
        <w:rPr>
          <w:szCs w:val="18"/>
          <w:lang w:val="fr-FR"/>
        </w:rPr>
        <w:t>écision</w:t>
      </w:r>
      <w:r w:rsidR="00EE54EF">
        <w:rPr>
          <w:szCs w:val="18"/>
          <w:lang w:val="fr-FR"/>
        </w:rPr>
        <w:t> </w:t>
      </w:r>
      <w:r w:rsidRPr="00917287">
        <w:rPr>
          <w:szCs w:val="18"/>
          <w:lang w:val="fr-FR"/>
        </w:rPr>
        <w:t>15/8.</w:t>
      </w:r>
    </w:p>
  </w:footnote>
  <w:footnote w:id="33">
    <w:p w14:paraId="40CF441A" w14:textId="5AD621E0" w:rsidR="00343CE7" w:rsidRPr="00917287" w:rsidRDefault="00343CE7" w:rsidP="00343CE7">
      <w:pPr>
        <w:pStyle w:val="Notedebasdepage"/>
        <w:rPr>
          <w:lang w:val="fr-FR"/>
        </w:rPr>
      </w:pPr>
      <w:r w:rsidRPr="00917287">
        <w:rPr>
          <w:rStyle w:val="Appelnotedebasdep"/>
          <w:szCs w:val="18"/>
          <w:lang w:val="fr-FR"/>
        </w:rPr>
        <w:footnoteRef/>
      </w:r>
      <w:r w:rsidRPr="00917287">
        <w:rPr>
          <w:lang w:val="fr-FR"/>
        </w:rPr>
        <w:t xml:space="preserve"> </w:t>
      </w:r>
      <w:r>
        <w:rPr>
          <w:szCs w:val="18"/>
          <w:lang w:val="fr-FR"/>
        </w:rPr>
        <w:t>Paragraphe</w:t>
      </w:r>
      <w:r w:rsidR="00EE54EF">
        <w:rPr>
          <w:szCs w:val="18"/>
          <w:lang w:val="fr-FR"/>
        </w:rPr>
        <w:t> </w:t>
      </w:r>
      <w:r>
        <w:rPr>
          <w:szCs w:val="18"/>
          <w:lang w:val="fr-FR"/>
        </w:rPr>
        <w:t>16 g) de la d</w:t>
      </w:r>
      <w:r w:rsidRPr="00917287">
        <w:rPr>
          <w:szCs w:val="18"/>
          <w:lang w:val="fr-FR"/>
        </w:rPr>
        <w:t>écision</w:t>
      </w:r>
      <w:r w:rsidR="00EE54EF">
        <w:rPr>
          <w:szCs w:val="18"/>
          <w:lang w:val="fr-FR"/>
        </w:rPr>
        <w:t> </w:t>
      </w:r>
      <w:r w:rsidRPr="00917287">
        <w:rPr>
          <w:szCs w:val="18"/>
          <w:lang w:val="fr-FR"/>
        </w:rPr>
        <w:t>15/8.</w:t>
      </w:r>
    </w:p>
  </w:footnote>
  <w:footnote w:id="34">
    <w:p w14:paraId="64B20CCE" w14:textId="2A23E23B" w:rsidR="00343CE7" w:rsidRPr="00917287" w:rsidRDefault="00343CE7" w:rsidP="00343CE7">
      <w:pPr>
        <w:pStyle w:val="Notedebasdepage"/>
        <w:rPr>
          <w:szCs w:val="18"/>
          <w:lang w:val="fr-FR"/>
        </w:rPr>
      </w:pPr>
      <w:r w:rsidRPr="00917287">
        <w:rPr>
          <w:rStyle w:val="Appelnotedebasdep"/>
          <w:szCs w:val="18"/>
          <w:lang w:val="fr-FR"/>
        </w:rPr>
        <w:footnoteRef/>
      </w:r>
      <w:r w:rsidRPr="00917287">
        <w:rPr>
          <w:szCs w:val="18"/>
          <w:lang w:val="fr-FR"/>
        </w:rPr>
        <w:t xml:space="preserve"> Les résultats sont des changements dans un état ou 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 développement des Nations Unies, Manuel de gestion axée sur les résultats</w:t>
      </w:r>
      <w:r w:rsidR="00EE54EF">
        <w:rPr>
          <w:szCs w:val="18"/>
          <w:lang w:val="fr-FR"/>
        </w:rPr>
        <w:t> </w:t>
      </w:r>
      <w:r w:rsidRPr="00917287">
        <w:rPr>
          <w:szCs w:val="18"/>
          <w:lang w:val="fr-FR"/>
        </w:rPr>
        <w:t xml:space="preserve">: Harmonizing RBM Concepts and Approaches for Improved Development Results at Country Level (octobre 2011), disponible à l'adresse </w:t>
      </w:r>
      <w:hyperlink r:id="rId4" w:history="1">
        <w:r w:rsidRPr="00917287">
          <w:rPr>
            <w:rStyle w:val="Lienhypertexte"/>
            <w:szCs w:val="18"/>
            <w:lang w:val="fr-FR"/>
          </w:rPr>
          <w:t>https://unsdg.un.org/fr/resources/manuel-de-gestion-axee-sur-les-resultats-du-groupe-des-nations-unies-pour-le</w:t>
        </w:r>
      </w:hyperlink>
      <w:r>
        <w:rPr>
          <w:rStyle w:val="Lienhypertexte"/>
          <w:szCs w:val="18"/>
          <w:lang w:val="fr-FR"/>
        </w:rPr>
        <w:t>-developpement-durable</w:t>
      </w:r>
      <w:r w:rsidRPr="00917287">
        <w:rPr>
          <w:szCs w:val="18"/>
          <w:lang w:val="fr-FR"/>
        </w:rPr>
        <w:t xml:space="preserve">. </w:t>
      </w:r>
    </w:p>
  </w:footnote>
  <w:footnote w:id="35">
    <w:p w14:paraId="1DA22E27" w14:textId="33DC7539" w:rsidR="00343CE7" w:rsidRPr="00917287" w:rsidRDefault="00343CE7" w:rsidP="00343CE7">
      <w:pPr>
        <w:pStyle w:val="Notedebasdepage"/>
        <w:rPr>
          <w:szCs w:val="18"/>
          <w:lang w:val="fr-FR"/>
        </w:rPr>
      </w:pPr>
      <w:r w:rsidRPr="00917287">
        <w:rPr>
          <w:rStyle w:val="Appelnotedebasdep"/>
          <w:lang w:val="fr-FR"/>
        </w:rPr>
        <w:footnoteRef/>
      </w:r>
      <w:r w:rsidRPr="00917287">
        <w:rPr>
          <w:lang w:val="fr-FR"/>
        </w:rPr>
        <w:t xml:space="preserve"> </w:t>
      </w:r>
      <w:r>
        <w:rPr>
          <w:lang w:val="fr-FR"/>
        </w:rPr>
        <w:t>Paragraphe</w:t>
      </w:r>
      <w:r w:rsidR="00EE54EF">
        <w:rPr>
          <w:lang w:val="fr-FR"/>
        </w:rPr>
        <w:t> </w:t>
      </w:r>
      <w:r>
        <w:rPr>
          <w:lang w:val="fr-FR"/>
        </w:rPr>
        <w:t>5 de la d</w:t>
      </w:r>
      <w:r w:rsidRPr="00917287">
        <w:rPr>
          <w:szCs w:val="18"/>
          <w:lang w:val="fr-FR"/>
        </w:rPr>
        <w:t>écision</w:t>
      </w:r>
      <w:r w:rsidR="00EE54EF">
        <w:rPr>
          <w:szCs w:val="18"/>
          <w:lang w:val="fr-FR"/>
        </w:rPr>
        <w:t> </w:t>
      </w:r>
      <w:r w:rsidRPr="00917287">
        <w:rPr>
          <w:szCs w:val="18"/>
          <w:lang w:val="fr-FR"/>
        </w:rPr>
        <w:t>NP-3/1</w:t>
      </w:r>
      <w:r>
        <w:rPr>
          <w:szCs w:val="18"/>
          <w:lang w:val="fr-FR"/>
        </w:rPr>
        <w:t xml:space="preserve"> A</w:t>
      </w:r>
      <w:r w:rsidRPr="00917287">
        <w:rPr>
          <w:szCs w:val="18"/>
          <w:lang w:val="fr-FR"/>
        </w:rPr>
        <w:t>.</w:t>
      </w:r>
    </w:p>
  </w:footnote>
  <w:footnote w:id="36">
    <w:p w14:paraId="71D1568C" w14:textId="1C679083" w:rsidR="00343CE7" w:rsidRPr="00917287" w:rsidRDefault="00343CE7" w:rsidP="00343CE7">
      <w:pPr>
        <w:pStyle w:val="Notedebasdepage"/>
        <w:rPr>
          <w:lang w:val="fr-FR"/>
        </w:rPr>
      </w:pPr>
      <w:r w:rsidRPr="00917287">
        <w:rPr>
          <w:rStyle w:val="Appelnotedebasdep"/>
          <w:szCs w:val="18"/>
          <w:lang w:val="fr-FR"/>
        </w:rPr>
        <w:footnoteRef/>
      </w:r>
      <w:r w:rsidRPr="00917287">
        <w:rPr>
          <w:szCs w:val="18"/>
          <w:lang w:val="fr-FR"/>
        </w:rPr>
        <w:t xml:space="preserve"> Ibid., </w:t>
      </w:r>
      <w:r>
        <w:rPr>
          <w:szCs w:val="18"/>
          <w:lang w:val="fr-FR"/>
        </w:rPr>
        <w:t>paragraphe</w:t>
      </w:r>
      <w:r w:rsidR="00EE54EF">
        <w:rPr>
          <w:szCs w:val="18"/>
          <w:lang w:val="fr-FR"/>
        </w:rPr>
        <w:t> </w:t>
      </w:r>
      <w:r>
        <w:rPr>
          <w:szCs w:val="18"/>
          <w:lang w:val="fr-FR"/>
        </w:rPr>
        <w:t>10 de l’</w:t>
      </w:r>
      <w:r w:rsidRPr="00917287">
        <w:rPr>
          <w:szCs w:val="18"/>
          <w:lang w:val="fr-FR"/>
        </w:rPr>
        <w:t>annexe I.</w:t>
      </w:r>
    </w:p>
  </w:footnote>
  <w:footnote w:id="37">
    <w:p w14:paraId="06F22489" w14:textId="77777777" w:rsidR="00343CE7" w:rsidRPr="00E76766" w:rsidRDefault="00343CE7" w:rsidP="00343CE7">
      <w:pPr>
        <w:pStyle w:val="Notedebasdepage"/>
        <w:rPr>
          <w:lang w:val="fr-FR"/>
        </w:rPr>
      </w:pPr>
      <w:r w:rsidRPr="00917287">
        <w:rPr>
          <w:rStyle w:val="Appelnotedebasdep"/>
          <w:lang w:val="fr-FR"/>
        </w:rPr>
        <w:footnoteRef/>
      </w:r>
      <w:r w:rsidRPr="00917287">
        <w:rPr>
          <w:lang w:val="fr-FR"/>
        </w:rPr>
        <w:t xml:space="preserve"> [</w:t>
      </w:r>
      <w:r>
        <w:rPr>
          <w:lang w:val="fr-FR"/>
        </w:rPr>
        <w:t>« </w:t>
      </w:r>
      <w:r w:rsidRPr="00917287">
        <w:rPr>
          <w:lang w:val="fr-FR"/>
        </w:rPr>
        <w:t xml:space="preserve">Consentement libre, préalable et </w:t>
      </w:r>
      <w:r>
        <w:rPr>
          <w:lang w:val="fr-FR"/>
        </w:rPr>
        <w:t xml:space="preserve">donné </w:t>
      </w:r>
      <w:r w:rsidRPr="00917287">
        <w:rPr>
          <w:lang w:val="fr-FR"/>
        </w:rPr>
        <w:t>en connaissance de cause</w:t>
      </w:r>
      <w:r>
        <w:rPr>
          <w:lang w:val="fr-FR"/>
        </w:rPr>
        <w:t> »</w:t>
      </w:r>
      <w:r w:rsidRPr="00917287">
        <w:rPr>
          <w:lang w:val="fr-FR"/>
        </w:rPr>
        <w:t xml:space="preserve"> renvoie à la terminologie tripartite </w:t>
      </w:r>
      <w:r>
        <w:rPr>
          <w:lang w:val="fr-FR"/>
        </w:rPr>
        <w:t>« </w:t>
      </w:r>
      <w:r w:rsidRPr="00917287">
        <w:rPr>
          <w:lang w:val="fr-FR"/>
        </w:rPr>
        <w:t>consentement préalable et en connaissance de cause</w:t>
      </w:r>
      <w:r>
        <w:rPr>
          <w:lang w:val="fr-FR"/>
        </w:rPr>
        <w:t> »</w:t>
      </w:r>
      <w:r w:rsidRPr="00917287">
        <w:rPr>
          <w:lang w:val="fr-FR"/>
        </w:rPr>
        <w:t xml:space="preserve">, </w:t>
      </w:r>
      <w:r>
        <w:rPr>
          <w:lang w:val="fr-FR"/>
        </w:rPr>
        <w:t>« </w:t>
      </w:r>
      <w:r w:rsidRPr="00917287">
        <w:rPr>
          <w:lang w:val="fr-FR"/>
        </w:rPr>
        <w:t>consentement libre, préalable et en connaissance de cause</w:t>
      </w:r>
      <w:r>
        <w:rPr>
          <w:lang w:val="fr-FR"/>
        </w:rPr>
        <w:t> »</w:t>
      </w:r>
      <w:r w:rsidRPr="00917287">
        <w:rPr>
          <w:lang w:val="fr-FR"/>
        </w:rPr>
        <w:t xml:space="preserve"> et </w:t>
      </w:r>
      <w:r>
        <w:rPr>
          <w:lang w:val="fr-FR"/>
        </w:rPr>
        <w:t>« </w:t>
      </w:r>
      <w:r w:rsidRPr="00917287">
        <w:rPr>
          <w:lang w:val="fr-FR"/>
        </w:rPr>
        <w:t>approbation et participation</w:t>
      </w:r>
      <w:r>
        <w:rPr>
          <w:lang w:val="fr-FR"/>
        </w:rPr>
        <w:t> »</w:t>
      </w:r>
      <w:r w:rsidRPr="00917287">
        <w:rPr>
          <w:lang w:val="fr-FR"/>
        </w:rPr>
        <w:t>.]</w:t>
      </w:r>
    </w:p>
  </w:footnote>
  <w:footnote w:id="38">
    <w:p w14:paraId="12704FFF" w14:textId="77777777" w:rsidR="00343CE7" w:rsidRPr="00917287" w:rsidRDefault="00343CE7" w:rsidP="00343CE7">
      <w:pPr>
        <w:pStyle w:val="Notedebasdepage"/>
        <w:rPr>
          <w:lang w:val="fr-FR"/>
        </w:rPr>
      </w:pPr>
      <w:r w:rsidRPr="00917287">
        <w:rPr>
          <w:rStyle w:val="Appelnotedebasdep"/>
          <w:lang w:val="fr-FR"/>
        </w:rPr>
        <w:footnoteRef/>
      </w:r>
      <w:r w:rsidRPr="00917287">
        <w:rPr>
          <w:lang w:val="fr-FR"/>
        </w:rPr>
        <w:t xml:space="preserve"> </w:t>
      </w:r>
      <w:r w:rsidRPr="00917287">
        <w:rPr>
          <w:szCs w:val="18"/>
          <w:lang w:val="fr-FR"/>
        </w:rPr>
        <w:t xml:space="preserve">Par exemple, la </w:t>
      </w:r>
      <w:r w:rsidRPr="00917287">
        <w:rPr>
          <w:i/>
          <w:iCs/>
          <w:szCs w:val="18"/>
          <w:lang w:val="fr-FR"/>
        </w:rPr>
        <w:t>Boîte à outils pour la CESP, incluant des considérations sur l’accès et le partage des avantages, élaborée</w:t>
      </w:r>
      <w:r>
        <w:rPr>
          <w:szCs w:val="18"/>
          <w:lang w:val="fr-FR"/>
        </w:rPr>
        <w:t xml:space="preserve"> par le S</w:t>
      </w:r>
      <w:r w:rsidRPr="00917287">
        <w:rPr>
          <w:szCs w:val="18"/>
          <w:lang w:val="fr-FR"/>
        </w:rPr>
        <w:t>ecrétariat.</w:t>
      </w:r>
    </w:p>
  </w:footnote>
  <w:footnote w:id="39">
    <w:p w14:paraId="6DE4C6C4" w14:textId="776E33F3" w:rsidR="004B2EC8" w:rsidRPr="00076BC6" w:rsidRDefault="004B2EC8" w:rsidP="004B2EC8">
      <w:pPr>
        <w:pStyle w:val="Notedebasdepage"/>
        <w:rPr>
          <w:lang w:val="fr-FR"/>
        </w:rPr>
      </w:pPr>
      <w:r w:rsidRPr="00076BC6">
        <w:rPr>
          <w:rStyle w:val="Appelnotedebasdep"/>
          <w:lang w:val="fr-FR"/>
        </w:rPr>
        <w:footnoteRef/>
      </w:r>
      <w:r w:rsidRPr="00076BC6">
        <w:rPr>
          <w:lang w:val="fr-FR"/>
        </w:rPr>
        <w:t xml:space="preserve"> Nations Unies, </w:t>
      </w:r>
      <w:r w:rsidRPr="00076BC6">
        <w:rPr>
          <w:i/>
          <w:iCs/>
          <w:lang w:val="fr-FR"/>
        </w:rPr>
        <w:t>Recueil des Traités</w:t>
      </w:r>
      <w:r w:rsidRPr="00076BC6">
        <w:rPr>
          <w:lang w:val="fr-FR"/>
        </w:rPr>
        <w:t>, vol.</w:t>
      </w:r>
      <w:r w:rsidR="00EE54EF">
        <w:rPr>
          <w:lang w:val="fr-FR"/>
        </w:rPr>
        <w:t> </w:t>
      </w:r>
      <w:r w:rsidRPr="00076BC6">
        <w:rPr>
          <w:lang w:val="fr-FR"/>
        </w:rPr>
        <w:t>3008, n</w:t>
      </w:r>
      <w:r w:rsidR="00D842D7">
        <w:rPr>
          <w:vertAlign w:val="superscript"/>
          <w:lang w:val="fr-FR"/>
        </w:rPr>
        <w:t>o</w:t>
      </w:r>
      <w:r w:rsidR="00EE54EF">
        <w:rPr>
          <w:lang w:val="fr-FR"/>
        </w:rPr>
        <w:t> </w:t>
      </w:r>
      <w:r w:rsidRPr="00076BC6">
        <w:rPr>
          <w:lang w:val="fr-FR"/>
        </w:rPr>
        <w:t>30619.</w:t>
      </w:r>
    </w:p>
  </w:footnote>
  <w:footnote w:id="40">
    <w:p w14:paraId="7CAA4635" w14:textId="77777777" w:rsidR="004B2EC8" w:rsidRPr="00076BC6" w:rsidRDefault="004B2EC8" w:rsidP="004B2EC8">
      <w:pPr>
        <w:pStyle w:val="Normalnumber"/>
        <w:ind w:left="0"/>
        <w:jc w:val="both"/>
        <w:rPr>
          <w:lang w:val="fr-FR"/>
        </w:rPr>
      </w:pPr>
      <w:r w:rsidRPr="00076BC6">
        <w:rPr>
          <w:rStyle w:val="Appelnotedebasdep"/>
          <w:sz w:val="18"/>
          <w:szCs w:val="18"/>
          <w:lang w:val="fr-FR"/>
        </w:rPr>
        <w:footnoteRef/>
      </w:r>
      <w:r w:rsidRPr="00076BC6">
        <w:rPr>
          <w:sz w:val="18"/>
          <w:szCs w:val="18"/>
          <w:lang w:val="fr-FR"/>
        </w:rPr>
        <w:t xml:space="preserve"> </w:t>
      </w:r>
      <w:hyperlink r:id="rId5" w:history="1">
        <w:r w:rsidRPr="00076BC6">
          <w:rPr>
            <w:rStyle w:val="Lienhypertexte"/>
            <w:sz w:val="18"/>
            <w:szCs w:val="18"/>
            <w:lang w:val="fr-FR"/>
          </w:rPr>
          <w:t>CBD/NP/ABSCH-IAC/2024/1/4</w:t>
        </w:r>
      </w:hyperlink>
      <w:r w:rsidRPr="00076BC6">
        <w:rPr>
          <w:rStyle w:val="Lienhypertexte"/>
          <w:sz w:val="18"/>
          <w:szCs w:val="18"/>
          <w:lang w:val="fr-FR"/>
        </w:rPr>
        <w:t>, annex</w:t>
      </w:r>
      <w:r>
        <w:rPr>
          <w:rStyle w:val="Lienhypertexte"/>
          <w:sz w:val="18"/>
          <w:szCs w:val="18"/>
          <w:lang w:val="fr-FR"/>
        </w:rPr>
        <w:t>e</w:t>
      </w:r>
      <w:r w:rsidRPr="00076BC6">
        <w:rPr>
          <w:rStyle w:val="Lienhypertexte"/>
          <w:sz w:val="18"/>
          <w:szCs w:val="18"/>
          <w:lang w:val="fr-FR"/>
        </w:rPr>
        <w:t xml:space="preserve"> I</w:t>
      </w:r>
      <w:r w:rsidRPr="00076BC6">
        <w:rPr>
          <w:sz w:val="18"/>
          <w:szCs w:val="18"/>
          <w:lang w:val="fr-FR"/>
        </w:rPr>
        <w:t>.</w:t>
      </w:r>
    </w:p>
  </w:footnote>
  <w:footnote w:id="41">
    <w:p w14:paraId="0602AC88" w14:textId="2F337B0E" w:rsidR="009C7784" w:rsidRPr="00E055A9" w:rsidRDefault="009C7784" w:rsidP="009C7784">
      <w:pPr>
        <w:pStyle w:val="Notedebasdepage"/>
        <w:rPr>
          <w:lang w:val="fr-FR"/>
        </w:rPr>
      </w:pPr>
      <w:r w:rsidRPr="00E055A9">
        <w:rPr>
          <w:rStyle w:val="Appelnotedebasdep"/>
          <w:lang w:val="fr-FR"/>
        </w:rPr>
        <w:t>*</w:t>
      </w:r>
      <w:r w:rsidRPr="00E055A9">
        <w:rPr>
          <w:lang w:val="fr-FR"/>
        </w:rPr>
        <w:t xml:space="preserve"> </w:t>
      </w:r>
      <w:r w:rsidRPr="00E055A9">
        <w:rPr>
          <w:szCs w:val="18"/>
          <w:lang w:val="fr-FR"/>
        </w:rPr>
        <w:t>Ce projet de décision a été préparé par le président de l’Organe subsidiaire chargé de l’application avec le soutien du Secrétariat à la suite de la première lecture du point</w:t>
      </w:r>
      <w:r w:rsidR="00EE54EF">
        <w:rPr>
          <w:szCs w:val="18"/>
          <w:lang w:val="fr-FR"/>
        </w:rPr>
        <w:t> </w:t>
      </w:r>
      <w:r w:rsidRPr="00E055A9">
        <w:rPr>
          <w:szCs w:val="18"/>
          <w:lang w:val="fr-FR"/>
        </w:rPr>
        <w:t>9 de l’ordre du jour. Le texte n</w:t>
      </w:r>
      <w:r w:rsidR="00EE54EF">
        <w:rPr>
          <w:szCs w:val="18"/>
          <w:lang w:val="fr-FR"/>
        </w:rPr>
        <w:t>’</w:t>
      </w:r>
      <w:r w:rsidRPr="00E055A9">
        <w:rPr>
          <w:szCs w:val="18"/>
          <w:lang w:val="fr-FR"/>
        </w:rPr>
        <w:t>a pas été examiné par l</w:t>
      </w:r>
      <w:r w:rsidR="00EE54EF">
        <w:rPr>
          <w:szCs w:val="18"/>
          <w:lang w:val="fr-FR"/>
        </w:rPr>
        <w:t>’</w:t>
      </w:r>
      <w:r w:rsidRPr="00E055A9">
        <w:rPr>
          <w:szCs w:val="18"/>
          <w:lang w:val="fr-FR"/>
        </w:rPr>
        <w:t>Organe subsidiaire à sa quatrième réunion.</w:t>
      </w:r>
    </w:p>
  </w:footnote>
  <w:footnote w:id="42">
    <w:p w14:paraId="2FA19D79" w14:textId="7D6C6AEA" w:rsidR="009C7784" w:rsidRPr="00D03D03" w:rsidRDefault="009C7784" w:rsidP="009C7784">
      <w:pPr>
        <w:pStyle w:val="Notedebasdepage"/>
      </w:pPr>
      <w:r w:rsidRPr="00E055A9">
        <w:rPr>
          <w:rStyle w:val="Appelnotedebasdep"/>
          <w:lang w:val="fr-FR" w:bidi="fr-FR"/>
        </w:rPr>
        <w:footnoteRef/>
      </w:r>
      <w:r w:rsidRPr="00E055A9">
        <w:rPr>
          <w:lang w:val="fr-FR" w:bidi="fr-FR"/>
        </w:rPr>
        <w:t xml:space="preserve"> </w:t>
      </w:r>
      <w:r w:rsidRPr="00E055A9">
        <w:rPr>
          <w:szCs w:val="18"/>
          <w:lang w:val="fr-FR" w:bidi="fr-FR"/>
        </w:rPr>
        <w:t xml:space="preserve">Nations Unies, </w:t>
      </w:r>
      <w:r w:rsidRPr="00E055A9">
        <w:rPr>
          <w:i/>
          <w:szCs w:val="18"/>
          <w:lang w:val="fr-FR" w:bidi="fr-FR"/>
        </w:rPr>
        <w:t>Série des Traités</w:t>
      </w:r>
      <w:r w:rsidRPr="00E055A9">
        <w:rPr>
          <w:szCs w:val="18"/>
          <w:lang w:val="fr-FR" w:bidi="fr-FR"/>
        </w:rPr>
        <w:t>, vol.</w:t>
      </w:r>
      <w:r w:rsidR="00EE54EF">
        <w:rPr>
          <w:szCs w:val="18"/>
          <w:lang w:val="fr-FR" w:bidi="fr-FR"/>
        </w:rPr>
        <w:t> </w:t>
      </w:r>
      <w:r w:rsidRPr="00E055A9">
        <w:rPr>
          <w:szCs w:val="18"/>
          <w:lang w:val="fr-FR" w:bidi="fr-FR"/>
        </w:rPr>
        <w:t>3008, n</w:t>
      </w:r>
      <w:r w:rsidR="00D842D7">
        <w:rPr>
          <w:szCs w:val="18"/>
          <w:vertAlign w:val="superscript"/>
          <w:lang w:val="fr-FR" w:bidi="fr-FR"/>
        </w:rPr>
        <w:t>o</w:t>
      </w:r>
      <w:r w:rsidR="00EE54EF">
        <w:rPr>
          <w:szCs w:val="18"/>
          <w:lang w:val="fr-FR" w:bidi="fr-FR"/>
        </w:rPr>
        <w:t> </w:t>
      </w:r>
      <w:r w:rsidRPr="00E055A9">
        <w:rPr>
          <w:szCs w:val="18"/>
          <w:lang w:val="fr-FR" w:bidi="fr-FR"/>
        </w:rPr>
        <w:t>30619.</w:t>
      </w:r>
    </w:p>
  </w:footnote>
  <w:footnote w:id="43">
    <w:p w14:paraId="6622EA0B" w14:textId="77777777" w:rsidR="009C7784" w:rsidRPr="00400894" w:rsidRDefault="009C7784" w:rsidP="00400894">
      <w:pPr>
        <w:pStyle w:val="Para2"/>
        <w:spacing w:before="0" w:after="0"/>
        <w:ind w:left="0"/>
        <w:rPr>
          <w:sz w:val="18"/>
          <w:szCs w:val="18"/>
          <w:lang w:val="fr-FR"/>
        </w:rPr>
      </w:pPr>
      <w:r w:rsidRPr="00400894">
        <w:rPr>
          <w:rStyle w:val="Appelnotedebasdep"/>
          <w:sz w:val="18"/>
          <w:szCs w:val="18"/>
          <w:lang w:val="fr-FR" w:bidi="fr-FR"/>
        </w:rPr>
        <w:footnoteRef/>
      </w:r>
      <w:r w:rsidRPr="00400894">
        <w:rPr>
          <w:sz w:val="18"/>
          <w:szCs w:val="18"/>
          <w:lang w:val="fr-FR" w:bidi="fr-FR"/>
        </w:rPr>
        <w:t xml:space="preserve"> Voir la </w:t>
      </w:r>
      <w:r w:rsidRPr="00400894">
        <w:rPr>
          <w:sz w:val="18"/>
          <w:szCs w:val="18"/>
          <w:lang w:val="fr-FR"/>
        </w:rPr>
        <w:t>recommandation 4/7 de l’Organe subsidiaire chargé de l’application,</w:t>
      </w:r>
      <w:r w:rsidRPr="00400894">
        <w:rPr>
          <w:sz w:val="18"/>
          <w:szCs w:val="18"/>
          <w:lang w:val="fr-FR" w:bidi="fr-FR"/>
        </w:rPr>
        <w:t xml:space="preserve"> dans laquelle l’Organe subsidiaire recommande que le mandat du Comité consultatif informel sur le renforcement des capacités pour la mise en œuvre du Protocole de Nagoya soit élargi afin d’y inclure la fourniture d’avis sur des questions plus généralement liées à la mise en œuvre du Protocole.</w:t>
      </w:r>
    </w:p>
  </w:footnote>
  <w:footnote w:id="44">
    <w:p w14:paraId="4B643321" w14:textId="368106D0" w:rsidR="00CC3C0D" w:rsidRPr="00CC3C0D" w:rsidRDefault="00CC3C0D">
      <w:pPr>
        <w:pStyle w:val="Notedebasdepage"/>
        <w:rPr>
          <w:lang w:val="fr-LU"/>
        </w:rPr>
      </w:pPr>
      <w:r>
        <w:rPr>
          <w:rStyle w:val="Appelnotedebasdep"/>
        </w:rPr>
        <w:footnoteRef/>
      </w:r>
      <w:r>
        <w:t xml:space="preserve"> </w:t>
      </w:r>
      <w:r w:rsidRPr="00E055A9">
        <w:rPr>
          <w:szCs w:val="18"/>
          <w:lang w:val="fr-FR" w:bidi="fr-FR"/>
        </w:rPr>
        <w:t xml:space="preserve">Nations Unies, </w:t>
      </w:r>
      <w:r w:rsidRPr="00E055A9">
        <w:rPr>
          <w:i/>
          <w:szCs w:val="18"/>
          <w:lang w:val="fr-FR" w:bidi="fr-FR"/>
        </w:rPr>
        <w:t>Série des Traités</w:t>
      </w:r>
      <w:r w:rsidRPr="00E055A9">
        <w:rPr>
          <w:szCs w:val="18"/>
          <w:lang w:val="fr-FR" w:bidi="fr-FR"/>
        </w:rPr>
        <w:t>, vol.</w:t>
      </w:r>
      <w:r>
        <w:rPr>
          <w:szCs w:val="18"/>
          <w:lang w:val="fr-FR" w:bidi="fr-FR"/>
        </w:rPr>
        <w:t> 1760</w:t>
      </w:r>
      <w:r w:rsidRPr="00E055A9">
        <w:rPr>
          <w:szCs w:val="18"/>
          <w:lang w:val="fr-FR" w:bidi="fr-FR"/>
        </w:rPr>
        <w:t>, n</w:t>
      </w:r>
      <w:r w:rsidR="00D842D7">
        <w:rPr>
          <w:szCs w:val="18"/>
          <w:vertAlign w:val="superscript"/>
          <w:lang w:val="fr-FR" w:bidi="fr-FR"/>
        </w:rPr>
        <w:t>o</w:t>
      </w:r>
      <w:r w:rsidR="00EE54EF">
        <w:rPr>
          <w:szCs w:val="18"/>
          <w:lang w:val="fr-FR" w:bidi="fr-FR"/>
        </w:rPr>
        <w:t> </w:t>
      </w:r>
      <w:r w:rsidRPr="00E055A9">
        <w:rPr>
          <w:szCs w:val="18"/>
          <w:lang w:val="fr-FR" w:bidi="fr-FR"/>
        </w:rPr>
        <w:t>30619.</w:t>
      </w:r>
    </w:p>
  </w:footnote>
  <w:footnote w:id="45">
    <w:p w14:paraId="225DD7FC" w14:textId="77777777" w:rsidR="00C87559" w:rsidRPr="00BE738E" w:rsidRDefault="00C87559" w:rsidP="00C87559">
      <w:pPr>
        <w:pStyle w:val="Notedebasdepage"/>
      </w:pPr>
      <w:r w:rsidRPr="00BE738E">
        <w:rPr>
          <w:rStyle w:val="Appelnotedebasdep"/>
        </w:rPr>
        <w:footnoteRef/>
      </w:r>
      <w:r w:rsidRPr="00BE738E">
        <w:t xml:space="preserve"> </w:t>
      </w:r>
      <w:r w:rsidRPr="00CC3C0D">
        <w:rPr>
          <w:lang w:val="fr-FR"/>
        </w:rPr>
        <w:t>L’élaboration des annexes I et II en étant à une étape précoce, celles-ci n’ont pas encore fait l’objet d’une révision formelle</w:t>
      </w:r>
      <w:r w:rsidRPr="00BE738E">
        <w:t>.</w:t>
      </w:r>
    </w:p>
  </w:footnote>
  <w:footnote w:id="46">
    <w:p w14:paraId="05339AA5" w14:textId="5D899799" w:rsidR="00C87559" w:rsidRPr="00CC3C0D" w:rsidRDefault="00C87559" w:rsidP="00C87559">
      <w:pPr>
        <w:pStyle w:val="Notedebasdepage"/>
        <w:rPr>
          <w:szCs w:val="18"/>
          <w:lang w:val="fr-FR"/>
        </w:rPr>
      </w:pPr>
      <w:r w:rsidRPr="00CC3C0D">
        <w:rPr>
          <w:rStyle w:val="Appelnotedebasdep"/>
          <w:szCs w:val="18"/>
          <w:lang w:val="fr-FR"/>
        </w:rPr>
        <w:footnoteRef/>
      </w:r>
      <w:r w:rsidRPr="00CC3C0D">
        <w:rPr>
          <w:szCs w:val="18"/>
          <w:lang w:val="fr-FR"/>
        </w:rPr>
        <w:t xml:space="preserve"> La proposition</w:t>
      </w:r>
      <w:r w:rsidR="00EE54EF">
        <w:rPr>
          <w:szCs w:val="18"/>
          <w:lang w:val="fr-FR"/>
        </w:rPr>
        <w:t> </w:t>
      </w:r>
      <w:r w:rsidRPr="00CC3C0D">
        <w:rPr>
          <w:szCs w:val="18"/>
          <w:lang w:val="fr-FR"/>
        </w:rPr>
        <w:t>1</w:t>
      </w:r>
      <w:r w:rsidR="00CC3C0D" w:rsidRPr="00CC3C0D">
        <w:rPr>
          <w:szCs w:val="18"/>
          <w:lang w:val="fr-FR"/>
        </w:rPr>
        <w:t>4</w:t>
      </w:r>
      <w:r w:rsidRPr="00CC3C0D">
        <w:rPr>
          <w:szCs w:val="18"/>
          <w:lang w:val="fr-FR"/>
        </w:rPr>
        <w:t xml:space="preserve"> a été présentée en guise d’espace réservé.</w:t>
      </w:r>
    </w:p>
  </w:footnote>
  <w:footnote w:id="47">
    <w:p w14:paraId="27C052FB" w14:textId="711C8005" w:rsidR="00C87559" w:rsidRPr="00CC3C0D" w:rsidRDefault="00C87559" w:rsidP="00C87559">
      <w:pPr>
        <w:pStyle w:val="Notedebasdepage"/>
        <w:rPr>
          <w:szCs w:val="18"/>
          <w:lang w:val="fr-FR"/>
        </w:rPr>
      </w:pPr>
      <w:r w:rsidRPr="00CC3C0D">
        <w:rPr>
          <w:rStyle w:val="Appelnotedebasdep"/>
          <w:szCs w:val="18"/>
          <w:lang w:val="fr-FR"/>
        </w:rPr>
        <w:footnoteRef/>
      </w:r>
      <w:r w:rsidRPr="00CC3C0D">
        <w:rPr>
          <w:szCs w:val="18"/>
          <w:lang w:val="fr-FR"/>
        </w:rPr>
        <w:t xml:space="preserve"> Nations Unies, </w:t>
      </w:r>
      <w:r w:rsidRPr="00CC3C0D">
        <w:rPr>
          <w:i/>
          <w:szCs w:val="18"/>
          <w:lang w:val="fr-FR"/>
        </w:rPr>
        <w:t>Série des Traités</w:t>
      </w:r>
      <w:r w:rsidRPr="00CC3C0D">
        <w:rPr>
          <w:szCs w:val="18"/>
          <w:lang w:val="fr-FR"/>
        </w:rPr>
        <w:t xml:space="preserve">, </w:t>
      </w:r>
      <w:r w:rsidRPr="00CC3C0D">
        <w:rPr>
          <w:color w:val="000000"/>
          <w:szCs w:val="18"/>
          <w:lang w:val="fr-FR"/>
        </w:rPr>
        <w:t>vol.</w:t>
      </w:r>
      <w:r w:rsidR="00EE54EF">
        <w:rPr>
          <w:color w:val="000000"/>
          <w:szCs w:val="18"/>
          <w:lang w:val="fr-FR"/>
        </w:rPr>
        <w:t> </w:t>
      </w:r>
      <w:r w:rsidRPr="00CC3C0D">
        <w:rPr>
          <w:color w:val="000000"/>
          <w:szCs w:val="18"/>
          <w:lang w:val="fr-FR"/>
        </w:rPr>
        <w:t>1760, n</w:t>
      </w:r>
      <w:r w:rsidRPr="00CC3C0D">
        <w:rPr>
          <w:color w:val="000000"/>
          <w:szCs w:val="18"/>
          <w:vertAlign w:val="superscript"/>
          <w:lang w:val="fr-FR"/>
        </w:rPr>
        <w:t>o</w:t>
      </w:r>
      <w:r w:rsidR="00EE54EF">
        <w:rPr>
          <w:color w:val="000000"/>
          <w:szCs w:val="18"/>
          <w:lang w:val="fr-FR"/>
        </w:rPr>
        <w:t> </w:t>
      </w:r>
      <w:r w:rsidRPr="00CC3C0D">
        <w:rPr>
          <w:color w:val="000000"/>
          <w:szCs w:val="18"/>
          <w:lang w:val="fr-FR"/>
        </w:rPr>
        <w:t>30619.</w:t>
      </w:r>
    </w:p>
  </w:footnote>
  <w:footnote w:id="48">
    <w:p w14:paraId="183C3304" w14:textId="70143C3F" w:rsidR="00C87559" w:rsidRPr="00CC3C0D" w:rsidRDefault="00C87559" w:rsidP="00C87559">
      <w:pPr>
        <w:pStyle w:val="Notedebasdepage"/>
        <w:rPr>
          <w:szCs w:val="18"/>
          <w:lang w:val="fr-FR"/>
        </w:rPr>
      </w:pPr>
      <w:r w:rsidRPr="00CC3C0D">
        <w:rPr>
          <w:rStyle w:val="Appelnotedebasdep"/>
          <w:szCs w:val="18"/>
          <w:lang w:val="fr-FR"/>
        </w:rPr>
        <w:footnoteRef/>
      </w:r>
      <w:r w:rsidRPr="00CC3C0D">
        <w:rPr>
          <w:szCs w:val="18"/>
          <w:lang w:val="fr-FR"/>
        </w:rPr>
        <w:t xml:space="preserve"> Nations Unies, </w:t>
      </w:r>
      <w:r w:rsidRPr="00CC3C0D">
        <w:rPr>
          <w:i/>
          <w:szCs w:val="18"/>
          <w:lang w:val="fr-FR"/>
        </w:rPr>
        <w:t>Série des Traités</w:t>
      </w:r>
      <w:r w:rsidRPr="00CC3C0D">
        <w:rPr>
          <w:szCs w:val="18"/>
          <w:lang w:val="fr-FR"/>
        </w:rPr>
        <w:t xml:space="preserve">, </w:t>
      </w:r>
      <w:r w:rsidRPr="00CC3C0D">
        <w:rPr>
          <w:color w:val="000000"/>
          <w:szCs w:val="18"/>
          <w:lang w:val="fr-FR"/>
        </w:rPr>
        <w:t>vol.</w:t>
      </w:r>
      <w:r w:rsidR="00EE54EF">
        <w:rPr>
          <w:color w:val="000000"/>
          <w:szCs w:val="18"/>
          <w:lang w:val="fr-FR"/>
        </w:rPr>
        <w:t> </w:t>
      </w:r>
      <w:r w:rsidRPr="00CC3C0D">
        <w:rPr>
          <w:color w:val="000000"/>
          <w:szCs w:val="18"/>
          <w:lang w:val="fr-FR"/>
        </w:rPr>
        <w:t>2226, n</w:t>
      </w:r>
      <w:r w:rsidRPr="00CC3C0D">
        <w:rPr>
          <w:color w:val="000000"/>
          <w:szCs w:val="18"/>
          <w:vertAlign w:val="superscript"/>
          <w:lang w:val="fr-FR"/>
        </w:rPr>
        <w:t>o</w:t>
      </w:r>
      <w:r w:rsidR="00EE54EF">
        <w:rPr>
          <w:color w:val="000000"/>
          <w:szCs w:val="18"/>
          <w:lang w:val="fr-FR"/>
        </w:rPr>
        <w:t> </w:t>
      </w:r>
      <w:r w:rsidRPr="00CC3C0D">
        <w:rPr>
          <w:color w:val="000000"/>
          <w:szCs w:val="18"/>
          <w:lang w:val="fr-FR"/>
        </w:rPr>
        <w:t>30619.</w:t>
      </w:r>
    </w:p>
  </w:footnote>
  <w:footnote w:id="49">
    <w:p w14:paraId="587DCD09" w14:textId="4D60F775" w:rsidR="00C87559" w:rsidRPr="00CC523F" w:rsidRDefault="00C87559" w:rsidP="00C87559">
      <w:pPr>
        <w:pStyle w:val="Notedebasdepage"/>
        <w:rPr>
          <w:szCs w:val="18"/>
        </w:rPr>
      </w:pPr>
      <w:r w:rsidRPr="00CC3C0D">
        <w:rPr>
          <w:rStyle w:val="Appelnotedebasdep"/>
          <w:szCs w:val="18"/>
          <w:lang w:val="fr-FR"/>
        </w:rPr>
        <w:footnoteRef/>
      </w:r>
      <w:r w:rsidRPr="00CC3C0D">
        <w:rPr>
          <w:szCs w:val="18"/>
          <w:lang w:val="fr-FR"/>
        </w:rPr>
        <w:t xml:space="preserve"> Nations Unies, </w:t>
      </w:r>
      <w:r w:rsidRPr="00CC3C0D">
        <w:rPr>
          <w:i/>
          <w:iCs/>
          <w:szCs w:val="18"/>
          <w:lang w:val="fr-FR"/>
        </w:rPr>
        <w:t>Série des Traités</w:t>
      </w:r>
      <w:r w:rsidRPr="00CC3C0D">
        <w:rPr>
          <w:szCs w:val="18"/>
          <w:lang w:val="fr-FR"/>
        </w:rPr>
        <w:t>, vol.</w:t>
      </w:r>
      <w:r w:rsidR="00EE54EF">
        <w:rPr>
          <w:szCs w:val="18"/>
          <w:lang w:val="fr-FR"/>
        </w:rPr>
        <w:t> </w:t>
      </w:r>
      <w:r w:rsidRPr="00CC3C0D">
        <w:rPr>
          <w:szCs w:val="18"/>
          <w:lang w:val="fr-FR"/>
        </w:rPr>
        <w:t>3008, n</w:t>
      </w:r>
      <w:r w:rsidRPr="00CC3C0D">
        <w:rPr>
          <w:szCs w:val="18"/>
          <w:vertAlign w:val="superscript"/>
          <w:lang w:val="fr-FR"/>
        </w:rPr>
        <w:t>o</w:t>
      </w:r>
      <w:r w:rsidR="00EE54EF">
        <w:rPr>
          <w:szCs w:val="18"/>
          <w:lang w:val="fr-FR"/>
        </w:rPr>
        <w:t> </w:t>
      </w:r>
      <w:r w:rsidRPr="00CC3C0D">
        <w:rPr>
          <w:szCs w:val="18"/>
          <w:lang w:val="fr-FR"/>
        </w:rPr>
        <w:t>30619.</w:t>
      </w:r>
    </w:p>
  </w:footnote>
  <w:footnote w:id="50">
    <w:p w14:paraId="6D2FAF07" w14:textId="712E6837" w:rsidR="00C87559" w:rsidRPr="00EF26F6" w:rsidRDefault="00C87559" w:rsidP="00C87559">
      <w:pPr>
        <w:pStyle w:val="Notedebasdepage"/>
        <w:rPr>
          <w:szCs w:val="18"/>
          <w:lang w:val="fr-FR"/>
        </w:rPr>
      </w:pPr>
      <w:r w:rsidRPr="00EF26F6">
        <w:rPr>
          <w:rStyle w:val="Appelnotedebasdep"/>
          <w:szCs w:val="18"/>
          <w:lang w:val="fr-FR"/>
        </w:rPr>
        <w:footnoteRef/>
      </w:r>
      <w:r w:rsidRPr="00EF26F6">
        <w:rPr>
          <w:szCs w:val="18"/>
          <w:lang w:val="fr-FR"/>
        </w:rPr>
        <w:t xml:space="preserve"> Nations Unies, </w:t>
      </w:r>
      <w:r w:rsidRPr="00EF26F6">
        <w:rPr>
          <w:i/>
          <w:szCs w:val="18"/>
          <w:lang w:val="fr-FR"/>
        </w:rPr>
        <w:t>Série des Traités</w:t>
      </w:r>
      <w:r w:rsidRPr="00EF26F6">
        <w:rPr>
          <w:szCs w:val="18"/>
          <w:lang w:val="fr-FR"/>
        </w:rPr>
        <w:t xml:space="preserve">, </w:t>
      </w:r>
      <w:r w:rsidRPr="00EF26F6">
        <w:rPr>
          <w:color w:val="000000"/>
          <w:szCs w:val="18"/>
          <w:lang w:val="fr-FR"/>
        </w:rPr>
        <w:t>vol.</w:t>
      </w:r>
      <w:r w:rsidR="00EE54EF" w:rsidRPr="00EF26F6">
        <w:rPr>
          <w:color w:val="000000"/>
          <w:szCs w:val="18"/>
          <w:lang w:val="fr-FR"/>
        </w:rPr>
        <w:t> </w:t>
      </w:r>
      <w:r w:rsidRPr="00EF26F6">
        <w:rPr>
          <w:color w:val="000000"/>
          <w:szCs w:val="18"/>
          <w:lang w:val="fr-FR"/>
        </w:rPr>
        <w:t>1760, n</w:t>
      </w:r>
      <w:r w:rsidRPr="00EF26F6">
        <w:rPr>
          <w:color w:val="000000"/>
          <w:szCs w:val="18"/>
          <w:vertAlign w:val="superscript"/>
          <w:lang w:val="fr-FR"/>
        </w:rPr>
        <w:t>o</w:t>
      </w:r>
      <w:r w:rsidR="00EE54EF" w:rsidRPr="00EF26F6">
        <w:rPr>
          <w:color w:val="000000"/>
          <w:szCs w:val="18"/>
          <w:lang w:val="fr-FR"/>
        </w:rPr>
        <w:t> </w:t>
      </w:r>
      <w:r w:rsidRPr="00EF26F6">
        <w:rPr>
          <w:color w:val="000000"/>
          <w:szCs w:val="18"/>
          <w:lang w:val="fr-FR"/>
        </w:rPr>
        <w:t>30619.</w:t>
      </w:r>
    </w:p>
  </w:footnote>
  <w:footnote w:id="51">
    <w:p w14:paraId="595A9ACC" w14:textId="77777777" w:rsidR="00C87559" w:rsidRPr="00EF26F6" w:rsidRDefault="00C87559" w:rsidP="00C87559">
      <w:pPr>
        <w:pStyle w:val="Notedebasdepage"/>
        <w:rPr>
          <w:szCs w:val="18"/>
          <w:lang w:val="fr-FR"/>
        </w:rPr>
      </w:pPr>
      <w:r w:rsidRPr="00EF26F6">
        <w:rPr>
          <w:rStyle w:val="Appelnotedebasdep"/>
          <w:szCs w:val="18"/>
          <w:lang w:val="fr-FR"/>
        </w:rPr>
        <w:footnoteRef/>
      </w:r>
      <w:r w:rsidRPr="00EF26F6">
        <w:rPr>
          <w:szCs w:val="18"/>
          <w:lang w:val="fr-FR"/>
        </w:rPr>
        <w:t xml:space="preserve"> CBD/SBI/4/11/Add.1.</w:t>
      </w:r>
    </w:p>
  </w:footnote>
  <w:footnote w:id="52">
    <w:p w14:paraId="03F17CAC" w14:textId="77777777" w:rsidR="00C87559" w:rsidRPr="00CC523F" w:rsidRDefault="00C87559" w:rsidP="00C87559">
      <w:pPr>
        <w:pStyle w:val="Notedebasdepage"/>
        <w:rPr>
          <w:szCs w:val="18"/>
        </w:rPr>
      </w:pPr>
      <w:r w:rsidRPr="00EF26F6">
        <w:rPr>
          <w:rStyle w:val="Appelnotedebasdep"/>
          <w:szCs w:val="18"/>
          <w:lang w:val="fr-FR"/>
        </w:rPr>
        <w:footnoteRef/>
      </w:r>
      <w:r w:rsidRPr="00EF26F6">
        <w:rPr>
          <w:szCs w:val="18"/>
          <w:lang w:val="fr-FR"/>
        </w:rPr>
        <w:t xml:space="preserve"> Annexe à la décision 14/33.</w:t>
      </w:r>
    </w:p>
  </w:footnote>
  <w:footnote w:id="53">
    <w:p w14:paraId="231D8D73" w14:textId="4F2342D2" w:rsidR="00C87559" w:rsidRPr="00332F43" w:rsidRDefault="00C87559" w:rsidP="00C87559">
      <w:pPr>
        <w:pStyle w:val="Notedebasdepage"/>
        <w:rPr>
          <w:lang w:val="fr-CA"/>
        </w:rPr>
      </w:pPr>
      <w:r w:rsidRPr="00332F43">
        <w:rPr>
          <w:rStyle w:val="Appelnotedebasdep"/>
          <w:lang w:val="fr-CA"/>
        </w:rPr>
        <w:footnoteRef/>
      </w:r>
      <w:r w:rsidRPr="00332F43">
        <w:rPr>
          <w:lang w:val="fr-CA"/>
        </w:rPr>
        <w:t xml:space="preserve"> </w:t>
      </w:r>
      <w:r>
        <w:rPr>
          <w:lang w:val="fr-CA"/>
        </w:rPr>
        <w:t>Annexe à la décision</w:t>
      </w:r>
      <w:r w:rsidR="00EE54EF">
        <w:rPr>
          <w:lang w:val="fr-CA"/>
        </w:rPr>
        <w:t> </w:t>
      </w:r>
      <w:r w:rsidRPr="00332F43">
        <w:rPr>
          <w:lang w:val="fr-CA"/>
        </w:rPr>
        <w:t>15</w:t>
      </w:r>
      <w:r>
        <w:rPr>
          <w:lang w:val="fr-CA"/>
        </w:rPr>
        <w:t>/4</w:t>
      </w:r>
      <w:r w:rsidRPr="00332F43">
        <w:rPr>
          <w:lang w:val="fr-CA"/>
        </w:rPr>
        <w:t>.</w:t>
      </w:r>
    </w:p>
  </w:footnote>
  <w:footnote w:id="54">
    <w:p w14:paraId="3FC837B0" w14:textId="42068790" w:rsidR="00C87559" w:rsidRPr="00332F43" w:rsidRDefault="00C87559" w:rsidP="00C87559">
      <w:pPr>
        <w:pStyle w:val="Notedebasdepage"/>
        <w:rPr>
          <w:lang w:val="fr-CA"/>
        </w:rPr>
      </w:pPr>
      <w:r w:rsidRPr="00332F43">
        <w:rPr>
          <w:rStyle w:val="Appelnotedebasdep"/>
          <w:lang w:val="fr-CA"/>
        </w:rPr>
        <w:footnoteRef/>
      </w:r>
      <w:r w:rsidRPr="00332F43">
        <w:rPr>
          <w:lang w:val="fr-CA"/>
        </w:rPr>
        <w:t xml:space="preserve"> </w:t>
      </w:r>
      <w:r>
        <w:rPr>
          <w:lang w:val="fr-CA"/>
        </w:rPr>
        <w:t xml:space="preserve">Nations Unies, </w:t>
      </w:r>
      <w:r w:rsidRPr="00A34DF7">
        <w:rPr>
          <w:i/>
          <w:lang w:val="fr-CA"/>
        </w:rPr>
        <w:t>Série des Traités</w:t>
      </w:r>
      <w:r w:rsidRPr="00332F43">
        <w:rPr>
          <w:lang w:val="fr-CA"/>
        </w:rPr>
        <w:t>, vol.</w:t>
      </w:r>
      <w:r w:rsidR="00EE54EF">
        <w:rPr>
          <w:lang w:val="fr-CA"/>
        </w:rPr>
        <w:t> </w:t>
      </w:r>
      <w:r w:rsidRPr="00332F43">
        <w:rPr>
          <w:lang w:val="fr-CA"/>
        </w:rPr>
        <w:t xml:space="preserve">1760, </w:t>
      </w:r>
      <w:r>
        <w:rPr>
          <w:lang w:val="fr-CA"/>
        </w:rPr>
        <w:t>n</w:t>
      </w:r>
      <w:r w:rsidRPr="00A34DF7">
        <w:rPr>
          <w:vertAlign w:val="superscript"/>
          <w:lang w:val="fr-CA"/>
        </w:rPr>
        <w:t>o</w:t>
      </w:r>
      <w:r w:rsidR="00EE54EF">
        <w:rPr>
          <w:lang w:val="fr-CA"/>
        </w:rPr>
        <w:t> </w:t>
      </w:r>
      <w:r w:rsidRPr="00332F43">
        <w:rPr>
          <w:lang w:val="fr-CA"/>
        </w:rPr>
        <w:t>30619.</w:t>
      </w:r>
    </w:p>
  </w:footnote>
  <w:footnote w:id="55">
    <w:p w14:paraId="7F0D3CA4" w14:textId="638B854A" w:rsidR="00C87559" w:rsidRPr="00A34DF7" w:rsidRDefault="00C87559" w:rsidP="00C87559">
      <w:pPr>
        <w:pStyle w:val="Notedebasdepage"/>
        <w:rPr>
          <w:lang w:val="fr-CA"/>
        </w:rPr>
      </w:pPr>
      <w:r w:rsidRPr="00332F43">
        <w:rPr>
          <w:rStyle w:val="Appelnotedebasdep"/>
          <w:lang w:val="fr-CA"/>
        </w:rPr>
        <w:footnoteRef/>
      </w:r>
      <w:r w:rsidRPr="00332F43">
        <w:rPr>
          <w:lang w:val="fr-CA"/>
        </w:rPr>
        <w:t xml:space="preserve"> </w:t>
      </w:r>
      <w:r>
        <w:rPr>
          <w:lang w:val="fr-CA"/>
        </w:rPr>
        <w:t>Les notes d’orientation préparées par le Secrétariat pour la cible</w:t>
      </w:r>
      <w:r w:rsidR="00EE54EF">
        <w:rPr>
          <w:lang w:val="fr-CA"/>
        </w:rPr>
        <w:t> </w:t>
      </w:r>
      <w:r>
        <w:rPr>
          <w:lang w:val="fr-CA"/>
        </w:rPr>
        <w:t>13 sont publiées sur le site</w:t>
      </w:r>
      <w:r w:rsidR="00EE54EF">
        <w:rPr>
          <w:lang w:val="fr-CA"/>
        </w:rPr>
        <w:t> </w:t>
      </w:r>
      <w:hyperlink r:id="rId6" w:history="1">
        <w:r w:rsidRPr="00150E9A">
          <w:rPr>
            <w:rStyle w:val="Lienhypertexte"/>
            <w:lang w:val="fr-CA"/>
          </w:rPr>
          <w:t>www.cbd.int/gbf/targets/13</w:t>
        </w:r>
      </w:hyperlink>
      <w:r w:rsidRPr="00A34DF7">
        <w:rPr>
          <w:lang w:val="fr-CA"/>
        </w:rPr>
        <w:t>.</w:t>
      </w:r>
    </w:p>
  </w:footnote>
  <w:footnote w:id="56">
    <w:p w14:paraId="39DC5A63" w14:textId="77777777" w:rsidR="00C87559" w:rsidRPr="00332F43" w:rsidRDefault="00C87559" w:rsidP="00C87559">
      <w:pPr>
        <w:pStyle w:val="Notedebasdepage"/>
        <w:rPr>
          <w:lang w:val="fr-CA"/>
        </w:rPr>
      </w:pPr>
      <w:r w:rsidRPr="00332F43">
        <w:rPr>
          <w:rStyle w:val="Appelnotedebasdep"/>
          <w:lang w:val="fr-CA"/>
        </w:rPr>
        <w:footnoteRef/>
      </w:r>
      <w:r w:rsidRPr="00332F43">
        <w:rPr>
          <w:lang w:val="fr-CA"/>
        </w:rPr>
        <w:t xml:space="preserve"> </w:t>
      </w:r>
      <w:r>
        <w:rPr>
          <w:szCs w:val="18"/>
          <w:lang w:val="fr-CA"/>
        </w:rPr>
        <w:t>Nations Unies</w:t>
      </w:r>
      <w:r w:rsidRPr="00332F43">
        <w:rPr>
          <w:szCs w:val="18"/>
          <w:lang w:val="fr-CA"/>
        </w:rPr>
        <w:t xml:space="preserve">, </w:t>
      </w:r>
      <w:r>
        <w:rPr>
          <w:i/>
          <w:iCs/>
          <w:szCs w:val="18"/>
          <w:lang w:val="fr-CA"/>
        </w:rPr>
        <w:t>Série des Traités</w:t>
      </w:r>
      <w:r w:rsidRPr="00332F43">
        <w:rPr>
          <w:szCs w:val="18"/>
          <w:lang w:val="fr-CA"/>
        </w:rPr>
        <w:t xml:space="preserve">, vol. 3008, </w:t>
      </w:r>
      <w:r>
        <w:rPr>
          <w:szCs w:val="18"/>
          <w:lang w:val="fr-CA"/>
        </w:rPr>
        <w:t>n</w:t>
      </w:r>
      <w:r w:rsidRPr="00A34DF7">
        <w:rPr>
          <w:szCs w:val="18"/>
          <w:vertAlign w:val="superscript"/>
          <w:lang w:val="fr-CA"/>
        </w:rPr>
        <w:t>o</w:t>
      </w:r>
      <w:r w:rsidRPr="00332F43">
        <w:rPr>
          <w:szCs w:val="18"/>
          <w:lang w:val="fr-CA"/>
        </w:rPr>
        <w:t> 30619.</w:t>
      </w:r>
    </w:p>
  </w:footnote>
  <w:footnote w:id="57">
    <w:p w14:paraId="558456B7" w14:textId="4A524945" w:rsidR="00C87559" w:rsidRPr="00A34DF7" w:rsidRDefault="00C87559" w:rsidP="00C87559">
      <w:pPr>
        <w:pStyle w:val="Notedebasdepage"/>
        <w:rPr>
          <w:lang w:val="fr-CA"/>
        </w:rPr>
      </w:pPr>
      <w:r>
        <w:rPr>
          <w:rStyle w:val="Appelnotedebasdep"/>
        </w:rPr>
        <w:footnoteRef/>
      </w:r>
      <w:r w:rsidRPr="00A34DF7">
        <w:rPr>
          <w:lang w:val="fr-CA"/>
        </w:rPr>
        <w:t xml:space="preserve"> </w:t>
      </w:r>
      <w:r>
        <w:rPr>
          <w:lang w:val="fr-CA"/>
        </w:rPr>
        <w:t>Les décisions sont les mêmes que celles mentionnées au paragraphe opérationnel</w:t>
      </w:r>
      <w:r w:rsidR="00EE54EF">
        <w:rPr>
          <w:lang w:val="fr-CA"/>
        </w:rPr>
        <w:t> </w:t>
      </w:r>
      <w:r>
        <w:rPr>
          <w:lang w:val="fr-CA"/>
        </w:rPr>
        <w:t>2. Les numéros des décisions seront ajoutés après leur adoption</w:t>
      </w:r>
      <w:r w:rsidRPr="00A34DF7">
        <w:rPr>
          <w:lang w:val="fr-CA"/>
        </w:rPr>
        <w:t>.</w:t>
      </w:r>
    </w:p>
  </w:footnote>
  <w:footnote w:id="58">
    <w:p w14:paraId="6DF66FB2" w14:textId="6FF3CEE2" w:rsidR="00D73A33" w:rsidRPr="00846F32" w:rsidRDefault="00D73A33" w:rsidP="00D73A33">
      <w:pPr>
        <w:pStyle w:val="Notedebasdepage"/>
        <w:rPr>
          <w:szCs w:val="18"/>
          <w:lang w:val="en-GB"/>
        </w:rPr>
      </w:pPr>
      <w:r w:rsidRPr="00846F32">
        <w:rPr>
          <w:rStyle w:val="Appelnotedebasdep"/>
          <w:szCs w:val="18"/>
          <w:lang w:val="en-GB"/>
        </w:rPr>
        <w:footnoteRef/>
      </w:r>
      <w:r w:rsidRPr="00846F32">
        <w:rPr>
          <w:szCs w:val="18"/>
          <w:lang w:val="en-GB"/>
        </w:rPr>
        <w:t xml:space="preserve"> </w:t>
      </w:r>
      <w:r w:rsidR="005D024E">
        <w:rPr>
          <w:lang w:val="fr-CA"/>
        </w:rPr>
        <w:t xml:space="preserve">Nations Unies, </w:t>
      </w:r>
      <w:r w:rsidR="005D024E" w:rsidRPr="00A34DF7">
        <w:rPr>
          <w:i/>
          <w:lang w:val="fr-CA"/>
        </w:rPr>
        <w:t>Série des Traités</w:t>
      </w:r>
      <w:r w:rsidR="005D024E" w:rsidRPr="00332F43">
        <w:rPr>
          <w:lang w:val="fr-CA"/>
        </w:rPr>
        <w:t>, vol.</w:t>
      </w:r>
      <w:r w:rsidR="00EE54EF">
        <w:rPr>
          <w:lang w:val="fr-CA"/>
        </w:rPr>
        <w:t> </w:t>
      </w:r>
      <w:r w:rsidR="005D024E">
        <w:rPr>
          <w:lang w:val="fr-CA"/>
        </w:rPr>
        <w:t>3008</w:t>
      </w:r>
      <w:r w:rsidR="005D024E" w:rsidRPr="00332F43">
        <w:rPr>
          <w:lang w:val="fr-CA"/>
        </w:rPr>
        <w:t xml:space="preserve">, </w:t>
      </w:r>
      <w:r w:rsidR="005D024E">
        <w:rPr>
          <w:lang w:val="fr-CA"/>
        </w:rPr>
        <w:t>n</w:t>
      </w:r>
      <w:r w:rsidR="005D024E" w:rsidRPr="00A34DF7">
        <w:rPr>
          <w:vertAlign w:val="superscript"/>
          <w:lang w:val="fr-CA"/>
        </w:rPr>
        <w:t>o</w:t>
      </w:r>
      <w:r w:rsidR="00EE54EF">
        <w:rPr>
          <w:lang w:val="fr-CA"/>
        </w:rPr>
        <w:t> </w:t>
      </w:r>
      <w:r w:rsidR="005D024E" w:rsidRPr="00332F43">
        <w:rPr>
          <w:lang w:val="fr-CA"/>
        </w:rPr>
        <w:t>30619</w:t>
      </w:r>
      <w:r w:rsidR="005D024E">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2B7F09F" w14:textId="1B2AC923" w:rsidR="002B559C" w:rsidRPr="000C37E8" w:rsidRDefault="00000000" w:rsidP="002B559C">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25205" w:rsidRPr="000C37E8">
          <w:rPr>
            <w:szCs w:val="20"/>
            <w:lang w:val="en-CA"/>
          </w:rPr>
          <w:t>CBD/NP/MOP/5/2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66454BE4" w:rsidR="002B559C" w:rsidRPr="002B559C" w:rsidRDefault="00000000" w:rsidP="002B559C">
    <w:pPr>
      <w:pStyle w:val="En-tte"/>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Pr>
            <w:szCs w:val="20"/>
            <w:lang w:val="fr-FR"/>
          </w:rPr>
          <w:t>CBD/</w:t>
        </w:r>
        <w:r w:rsidR="00D25205">
          <w:rPr>
            <w:szCs w:val="20"/>
            <w:lang w:val="fr-FR"/>
          </w:rPr>
          <w:t>NP/MOP/5/2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A865B" w14:textId="61A753A2" w:rsidR="00D72810" w:rsidRPr="002A6AFB" w:rsidRDefault="00D72810" w:rsidP="002A6AFB">
    <w:pPr>
      <w:pStyle w:val="En-tte"/>
      <w:spacing w:after="240"/>
      <w:rPr>
        <w:szCs w:val="20"/>
        <w:lang w:val="fr-FR"/>
      </w:rPr>
    </w:pPr>
    <w:r>
      <w:rPr>
        <w:szCs w:val="20"/>
        <w:lang w:val="fr-FR"/>
      </w:rPr>
      <w:t>CBD/</w:t>
    </w:r>
    <w:r w:rsidR="00631FE4">
      <w:rPr>
        <w:szCs w:val="20"/>
        <w:lang w:val="fr-FR"/>
      </w:rPr>
      <w:t>NP/MOP/5/2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F67FE" w14:textId="2818A406" w:rsidR="00D72810" w:rsidRDefault="00D72810" w:rsidP="00EA734F">
    <w:pPr>
      <w:pStyle w:val="En-tte"/>
      <w:spacing w:after="240"/>
      <w:jc w:val="right"/>
      <w:rPr>
        <w:szCs w:val="20"/>
        <w:lang w:val="fr-FR"/>
      </w:rPr>
    </w:pPr>
    <w:r>
      <w:rPr>
        <w:szCs w:val="20"/>
        <w:lang w:val="fr-FR"/>
      </w:rPr>
      <w:t>CBD/</w:t>
    </w:r>
    <w:r w:rsidR="00631FE4">
      <w:rPr>
        <w:szCs w:val="20"/>
        <w:lang w:val="fr-FR"/>
      </w:rPr>
      <w:t>NP/MOP/5/2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3DB33" w14:textId="68695FB0" w:rsidR="009C7784" w:rsidRPr="002B559C" w:rsidRDefault="00000000" w:rsidP="007910AB">
    <w:pPr>
      <w:pStyle w:val="En-tte"/>
      <w:spacing w:after="240"/>
      <w:rPr>
        <w:szCs w:val="20"/>
      </w:rPr>
    </w:pPr>
    <w:sdt>
      <w:sdtPr>
        <w:rPr>
          <w:szCs w:val="20"/>
        </w:rPr>
        <w:alias w:val="Subject"/>
        <w:tag w:val=""/>
        <w:id w:val="-867526875"/>
        <w:dataBinding w:prefixMappings="xmlns:ns0='http://purl.org/dc/elements/1.1/' xmlns:ns1='http://schemas.openxmlformats.org/package/2006/metadata/core-properties' " w:xpath="/ns1:coreProperties[1]/ns0:subject[1]" w:storeItemID="{6C3C8BC8-F283-45AE-878A-BAB7291924A1}"/>
        <w:text/>
      </w:sdtPr>
      <w:sdtContent>
        <w:r w:rsidR="009C7784">
          <w:rPr>
            <w:szCs w:val="20"/>
          </w:rPr>
          <w:t>CBD/NP/MOP/5/2</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923642944"/>
      <w:dataBinding w:prefixMappings="xmlns:ns0='http://purl.org/dc/elements/1.1/' xmlns:ns1='http://schemas.openxmlformats.org/package/2006/metadata/core-properties' " w:xpath="/ns1:coreProperties[1]/ns0:subject[1]" w:storeItemID="{6C3C8BC8-F283-45AE-878A-BAB7291924A1}"/>
      <w:text/>
    </w:sdtPr>
    <w:sdtContent>
      <w:p w14:paraId="3B59E844" w14:textId="656449AE" w:rsidR="009C7784" w:rsidRDefault="009C7784" w:rsidP="00617D8B">
        <w:pPr>
          <w:pStyle w:val="En-tte"/>
          <w:spacing w:after="240"/>
          <w:jc w:val="right"/>
          <w:rPr>
            <w:szCs w:val="20"/>
          </w:rPr>
        </w:pPr>
        <w:r>
          <w:rPr>
            <w:szCs w:val="20"/>
          </w:rPr>
          <w:t>CBD/NP/MOP/5/2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112B"/>
    <w:multiLevelType w:val="hybridMultilevel"/>
    <w:tmpl w:val="39C82276"/>
    <w:lvl w:ilvl="0" w:tplc="0D9214B8">
      <w:start w:val="1"/>
      <w:numFmt w:val="lowerLetter"/>
      <w:lvlText w:val="%1)"/>
      <w:lvlJc w:val="left"/>
      <w:pPr>
        <w:ind w:left="400" w:hanging="360"/>
      </w:pPr>
      <w:rPr>
        <w:rFonts w:hint="default"/>
      </w:rPr>
    </w:lvl>
    <w:lvl w:ilvl="1" w:tplc="0C0C0019" w:tentative="1">
      <w:start w:val="1"/>
      <w:numFmt w:val="lowerLetter"/>
      <w:lvlText w:val="%2."/>
      <w:lvlJc w:val="left"/>
      <w:pPr>
        <w:ind w:left="1120" w:hanging="360"/>
      </w:pPr>
    </w:lvl>
    <w:lvl w:ilvl="2" w:tplc="0C0C001B" w:tentative="1">
      <w:start w:val="1"/>
      <w:numFmt w:val="lowerRoman"/>
      <w:lvlText w:val="%3."/>
      <w:lvlJc w:val="right"/>
      <w:pPr>
        <w:ind w:left="1840" w:hanging="180"/>
      </w:pPr>
    </w:lvl>
    <w:lvl w:ilvl="3" w:tplc="0C0C000F" w:tentative="1">
      <w:start w:val="1"/>
      <w:numFmt w:val="decimal"/>
      <w:lvlText w:val="%4."/>
      <w:lvlJc w:val="left"/>
      <w:pPr>
        <w:ind w:left="2560" w:hanging="360"/>
      </w:pPr>
    </w:lvl>
    <w:lvl w:ilvl="4" w:tplc="0C0C0019" w:tentative="1">
      <w:start w:val="1"/>
      <w:numFmt w:val="lowerLetter"/>
      <w:lvlText w:val="%5."/>
      <w:lvlJc w:val="left"/>
      <w:pPr>
        <w:ind w:left="3280" w:hanging="360"/>
      </w:pPr>
    </w:lvl>
    <w:lvl w:ilvl="5" w:tplc="0C0C001B" w:tentative="1">
      <w:start w:val="1"/>
      <w:numFmt w:val="lowerRoman"/>
      <w:lvlText w:val="%6."/>
      <w:lvlJc w:val="right"/>
      <w:pPr>
        <w:ind w:left="4000" w:hanging="180"/>
      </w:pPr>
    </w:lvl>
    <w:lvl w:ilvl="6" w:tplc="0C0C000F" w:tentative="1">
      <w:start w:val="1"/>
      <w:numFmt w:val="decimal"/>
      <w:lvlText w:val="%7."/>
      <w:lvlJc w:val="left"/>
      <w:pPr>
        <w:ind w:left="4720" w:hanging="360"/>
      </w:pPr>
    </w:lvl>
    <w:lvl w:ilvl="7" w:tplc="0C0C0019" w:tentative="1">
      <w:start w:val="1"/>
      <w:numFmt w:val="lowerLetter"/>
      <w:lvlText w:val="%8."/>
      <w:lvlJc w:val="left"/>
      <w:pPr>
        <w:ind w:left="5440" w:hanging="360"/>
      </w:pPr>
    </w:lvl>
    <w:lvl w:ilvl="8" w:tplc="0C0C001B" w:tentative="1">
      <w:start w:val="1"/>
      <w:numFmt w:val="lowerRoman"/>
      <w:lvlText w:val="%9."/>
      <w:lvlJc w:val="right"/>
      <w:pPr>
        <w:ind w:left="6160" w:hanging="180"/>
      </w:pPr>
    </w:lvl>
  </w:abstractNum>
  <w:abstractNum w:abstractNumId="1"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0"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32436D9A"/>
    <w:multiLevelType w:val="hybridMultilevel"/>
    <w:tmpl w:val="E57C8970"/>
    <w:lvl w:ilvl="0" w:tplc="F030F4AC">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tentative="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abstractNum w:abstractNumId="13"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7"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7"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1"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2"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4"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9"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1"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2"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2069499237">
    <w:abstractNumId w:val="35"/>
  </w:num>
  <w:num w:numId="2" w16cid:durableId="978191439">
    <w:abstractNumId w:val="21"/>
  </w:num>
  <w:num w:numId="3" w16cid:durableId="314069003">
    <w:abstractNumId w:val="36"/>
  </w:num>
  <w:num w:numId="4" w16cid:durableId="1018430624">
    <w:abstractNumId w:val="21"/>
  </w:num>
  <w:num w:numId="5" w16cid:durableId="399057556">
    <w:abstractNumId w:val="36"/>
  </w:num>
  <w:num w:numId="6" w16cid:durableId="597909104">
    <w:abstractNumId w:val="38"/>
  </w:num>
  <w:num w:numId="7" w16cid:durableId="759183335">
    <w:abstractNumId w:val="40"/>
  </w:num>
  <w:num w:numId="8" w16cid:durableId="1780296402">
    <w:abstractNumId w:val="24"/>
  </w:num>
  <w:num w:numId="9" w16cid:durableId="1237207181">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7197594">
    <w:abstractNumId w:val="20"/>
  </w:num>
  <w:num w:numId="11" w16cid:durableId="634408056">
    <w:abstractNumId w:val="37"/>
  </w:num>
  <w:num w:numId="12" w16cid:durableId="1914658722">
    <w:abstractNumId w:val="15"/>
  </w:num>
  <w:num w:numId="13" w16cid:durableId="1933928447">
    <w:abstractNumId w:val="14"/>
  </w:num>
  <w:num w:numId="14"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045711745">
    <w:abstractNumId w:val="28"/>
  </w:num>
  <w:num w:numId="16" w16cid:durableId="1727144161">
    <w:abstractNumId w:val="27"/>
  </w:num>
  <w:num w:numId="17" w16cid:durableId="2035229014">
    <w:abstractNumId w:val="6"/>
  </w:num>
  <w:num w:numId="18" w16cid:durableId="508954499">
    <w:abstractNumId w:val="29"/>
  </w:num>
  <w:num w:numId="19" w16cid:durableId="1559128005">
    <w:abstractNumId w:val="7"/>
  </w:num>
  <w:num w:numId="20" w16cid:durableId="687949235">
    <w:abstractNumId w:val="19"/>
  </w:num>
  <w:num w:numId="21" w16cid:durableId="912085968">
    <w:abstractNumId w:val="18"/>
  </w:num>
  <w:num w:numId="22" w16cid:durableId="1173836773">
    <w:abstractNumId w:val="10"/>
  </w:num>
  <w:num w:numId="23" w16cid:durableId="1527596247">
    <w:abstractNumId w:val="22"/>
  </w:num>
  <w:num w:numId="24" w16cid:durableId="1224175000">
    <w:abstractNumId w:val="11"/>
  </w:num>
  <w:num w:numId="25" w16cid:durableId="2004166575">
    <w:abstractNumId w:val="39"/>
  </w:num>
  <w:num w:numId="26" w16cid:durableId="1763335827">
    <w:abstractNumId w:val="3"/>
  </w:num>
  <w:num w:numId="27" w16cid:durableId="441389238">
    <w:abstractNumId w:val="32"/>
  </w:num>
  <w:num w:numId="28" w16cid:durableId="1687711834">
    <w:abstractNumId w:val="5"/>
  </w:num>
  <w:num w:numId="29" w16cid:durableId="1534884730">
    <w:abstractNumId w:val="1"/>
  </w:num>
  <w:num w:numId="30" w16cid:durableId="265046579">
    <w:abstractNumId w:val="42"/>
  </w:num>
  <w:num w:numId="31" w16cid:durableId="609246228">
    <w:abstractNumId w:val="17"/>
  </w:num>
  <w:num w:numId="32" w16cid:durableId="1996031213">
    <w:abstractNumId w:val="25"/>
  </w:num>
  <w:num w:numId="33" w16cid:durableId="898515037">
    <w:abstractNumId w:val="26"/>
  </w:num>
  <w:num w:numId="34" w16cid:durableId="1344431897">
    <w:abstractNumId w:val="41"/>
  </w:num>
  <w:num w:numId="35" w16cid:durableId="1284464879">
    <w:abstractNumId w:val="4"/>
  </w:num>
  <w:num w:numId="36" w16cid:durableId="1015033327">
    <w:abstractNumId w:val="34"/>
  </w:num>
  <w:num w:numId="37" w16cid:durableId="746996377">
    <w:abstractNumId w:val="23"/>
  </w:num>
  <w:num w:numId="38" w16cid:durableId="532961149">
    <w:abstractNumId w:val="9"/>
  </w:num>
  <w:num w:numId="39" w16cid:durableId="495390090">
    <w:abstractNumId w:val="30"/>
  </w:num>
  <w:num w:numId="40" w16cid:durableId="2067945543">
    <w:abstractNumId w:val="2"/>
  </w:num>
  <w:num w:numId="41" w16cid:durableId="991255608">
    <w:abstractNumId w:val="31"/>
  </w:num>
  <w:num w:numId="42" w16cid:durableId="1756632866">
    <w:abstractNumId w:val="33"/>
  </w:num>
  <w:num w:numId="43" w16cid:durableId="266891918">
    <w:abstractNumId w:val="16"/>
  </w:num>
  <w:num w:numId="44" w16cid:durableId="1098136679">
    <w:abstractNumId w:val="13"/>
  </w:num>
  <w:num w:numId="45" w16cid:durableId="1964264878">
    <w:abstractNumId w:val="0"/>
  </w:num>
  <w:num w:numId="46" w16cid:durableId="2050563171">
    <w:abstractNumId w:val="12"/>
  </w:num>
  <w:num w:numId="47" w16cid:durableId="20722983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769"/>
    <w:rsid w:val="0000095D"/>
    <w:rsid w:val="000016D6"/>
    <w:rsid w:val="00004578"/>
    <w:rsid w:val="00005BF1"/>
    <w:rsid w:val="00006CA9"/>
    <w:rsid w:val="00006DB8"/>
    <w:rsid w:val="00007758"/>
    <w:rsid w:val="00010496"/>
    <w:rsid w:val="00010AFD"/>
    <w:rsid w:val="00011EAA"/>
    <w:rsid w:val="000122C5"/>
    <w:rsid w:val="0001325B"/>
    <w:rsid w:val="00013AC4"/>
    <w:rsid w:val="000140DA"/>
    <w:rsid w:val="000140FD"/>
    <w:rsid w:val="000145F0"/>
    <w:rsid w:val="00014BFD"/>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84920"/>
    <w:rsid w:val="00085F29"/>
    <w:rsid w:val="00091A1E"/>
    <w:rsid w:val="00091CE2"/>
    <w:rsid w:val="000932C0"/>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F5DF2"/>
    <w:rsid w:val="000F6AAE"/>
    <w:rsid w:val="0010135B"/>
    <w:rsid w:val="00101B33"/>
    <w:rsid w:val="00102570"/>
    <w:rsid w:val="00103FA1"/>
    <w:rsid w:val="001050E9"/>
    <w:rsid w:val="0011106F"/>
    <w:rsid w:val="001153F4"/>
    <w:rsid w:val="00115DBD"/>
    <w:rsid w:val="0012042B"/>
    <w:rsid w:val="00120561"/>
    <w:rsid w:val="00120813"/>
    <w:rsid w:val="001211BD"/>
    <w:rsid w:val="00124A2D"/>
    <w:rsid w:val="00125526"/>
    <w:rsid w:val="00126FBA"/>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7419"/>
    <w:rsid w:val="00161F7B"/>
    <w:rsid w:val="001639CE"/>
    <w:rsid w:val="00163EC9"/>
    <w:rsid w:val="001654B7"/>
    <w:rsid w:val="001654CD"/>
    <w:rsid w:val="00167FDC"/>
    <w:rsid w:val="00173C53"/>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295"/>
    <w:rsid w:val="001B548A"/>
    <w:rsid w:val="001C2380"/>
    <w:rsid w:val="001C3BB9"/>
    <w:rsid w:val="001C3F2E"/>
    <w:rsid w:val="001C546C"/>
    <w:rsid w:val="001C652F"/>
    <w:rsid w:val="001D1042"/>
    <w:rsid w:val="001D2706"/>
    <w:rsid w:val="001D4417"/>
    <w:rsid w:val="001D5147"/>
    <w:rsid w:val="001D56BE"/>
    <w:rsid w:val="001D5965"/>
    <w:rsid w:val="001D5A44"/>
    <w:rsid w:val="001D5E8B"/>
    <w:rsid w:val="001D6290"/>
    <w:rsid w:val="001D6349"/>
    <w:rsid w:val="001D6CC5"/>
    <w:rsid w:val="001D7501"/>
    <w:rsid w:val="001E064B"/>
    <w:rsid w:val="001E0690"/>
    <w:rsid w:val="001E33B5"/>
    <w:rsid w:val="001E5254"/>
    <w:rsid w:val="001E53A0"/>
    <w:rsid w:val="001F0BCB"/>
    <w:rsid w:val="001F10EF"/>
    <w:rsid w:val="001F3B07"/>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FD8"/>
    <w:rsid w:val="002203DE"/>
    <w:rsid w:val="002209C8"/>
    <w:rsid w:val="0022175C"/>
    <w:rsid w:val="00221DCA"/>
    <w:rsid w:val="00222A26"/>
    <w:rsid w:val="00223F07"/>
    <w:rsid w:val="0022504D"/>
    <w:rsid w:val="00227B23"/>
    <w:rsid w:val="00231052"/>
    <w:rsid w:val="00232CAF"/>
    <w:rsid w:val="00234F50"/>
    <w:rsid w:val="002357C0"/>
    <w:rsid w:val="002415D2"/>
    <w:rsid w:val="00241EB7"/>
    <w:rsid w:val="00243B68"/>
    <w:rsid w:val="00244254"/>
    <w:rsid w:val="00244839"/>
    <w:rsid w:val="00244B30"/>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91A7F"/>
    <w:rsid w:val="00292D22"/>
    <w:rsid w:val="002957C8"/>
    <w:rsid w:val="0029754B"/>
    <w:rsid w:val="00297A96"/>
    <w:rsid w:val="00297AE4"/>
    <w:rsid w:val="002A010B"/>
    <w:rsid w:val="002A02AD"/>
    <w:rsid w:val="002A1411"/>
    <w:rsid w:val="002A1538"/>
    <w:rsid w:val="002A196A"/>
    <w:rsid w:val="002A2199"/>
    <w:rsid w:val="002A3F21"/>
    <w:rsid w:val="002A537B"/>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2453"/>
    <w:rsid w:val="002E3368"/>
    <w:rsid w:val="002E34B0"/>
    <w:rsid w:val="002E3826"/>
    <w:rsid w:val="002E5B96"/>
    <w:rsid w:val="002E5E65"/>
    <w:rsid w:val="002F174D"/>
    <w:rsid w:val="002F1BDA"/>
    <w:rsid w:val="002F3CB4"/>
    <w:rsid w:val="002F54A0"/>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E9A"/>
    <w:rsid w:val="00323F22"/>
    <w:rsid w:val="00325829"/>
    <w:rsid w:val="00326370"/>
    <w:rsid w:val="00327BD3"/>
    <w:rsid w:val="00330C54"/>
    <w:rsid w:val="003313FD"/>
    <w:rsid w:val="00334413"/>
    <w:rsid w:val="003347F3"/>
    <w:rsid w:val="00336187"/>
    <w:rsid w:val="003363D9"/>
    <w:rsid w:val="003375AC"/>
    <w:rsid w:val="00337CE0"/>
    <w:rsid w:val="00337DEA"/>
    <w:rsid w:val="0034013A"/>
    <w:rsid w:val="003428C6"/>
    <w:rsid w:val="00343CE7"/>
    <w:rsid w:val="00344E00"/>
    <w:rsid w:val="00345F2A"/>
    <w:rsid w:val="00346434"/>
    <w:rsid w:val="003474FF"/>
    <w:rsid w:val="003476A9"/>
    <w:rsid w:val="00347CAF"/>
    <w:rsid w:val="003519AC"/>
    <w:rsid w:val="00352323"/>
    <w:rsid w:val="003527BB"/>
    <w:rsid w:val="00352A88"/>
    <w:rsid w:val="00352B72"/>
    <w:rsid w:val="0035376F"/>
    <w:rsid w:val="003549B2"/>
    <w:rsid w:val="00354A2C"/>
    <w:rsid w:val="00355E52"/>
    <w:rsid w:val="00356356"/>
    <w:rsid w:val="0036008D"/>
    <w:rsid w:val="003630EB"/>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5DE8"/>
    <w:rsid w:val="003A6914"/>
    <w:rsid w:val="003A7B12"/>
    <w:rsid w:val="003B1DF8"/>
    <w:rsid w:val="003B2BE7"/>
    <w:rsid w:val="003B3372"/>
    <w:rsid w:val="003B4509"/>
    <w:rsid w:val="003B5234"/>
    <w:rsid w:val="003B5773"/>
    <w:rsid w:val="003B7B8C"/>
    <w:rsid w:val="003C0E41"/>
    <w:rsid w:val="003C2DFD"/>
    <w:rsid w:val="003C3703"/>
    <w:rsid w:val="003C575C"/>
    <w:rsid w:val="003C5F5C"/>
    <w:rsid w:val="003C6F10"/>
    <w:rsid w:val="003D08F6"/>
    <w:rsid w:val="003D12EA"/>
    <w:rsid w:val="003D247B"/>
    <w:rsid w:val="003D2DE4"/>
    <w:rsid w:val="003D4664"/>
    <w:rsid w:val="003D5AD9"/>
    <w:rsid w:val="003D6B24"/>
    <w:rsid w:val="003D6F12"/>
    <w:rsid w:val="003D765C"/>
    <w:rsid w:val="003E07E7"/>
    <w:rsid w:val="003E1F62"/>
    <w:rsid w:val="003E401A"/>
    <w:rsid w:val="003E4C2C"/>
    <w:rsid w:val="003E62B7"/>
    <w:rsid w:val="003E6E8F"/>
    <w:rsid w:val="003F1B48"/>
    <w:rsid w:val="003F1E7B"/>
    <w:rsid w:val="003F29F9"/>
    <w:rsid w:val="003F3ADF"/>
    <w:rsid w:val="003F547D"/>
    <w:rsid w:val="00400894"/>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C58"/>
    <w:rsid w:val="0042280B"/>
    <w:rsid w:val="004230AD"/>
    <w:rsid w:val="0042440C"/>
    <w:rsid w:val="004249E9"/>
    <w:rsid w:val="00427055"/>
    <w:rsid w:val="004341E4"/>
    <w:rsid w:val="00434718"/>
    <w:rsid w:val="00435BD7"/>
    <w:rsid w:val="00436A04"/>
    <w:rsid w:val="00441498"/>
    <w:rsid w:val="00441CE9"/>
    <w:rsid w:val="0044465B"/>
    <w:rsid w:val="00445EEE"/>
    <w:rsid w:val="00451674"/>
    <w:rsid w:val="0045367D"/>
    <w:rsid w:val="00453A16"/>
    <w:rsid w:val="00456018"/>
    <w:rsid w:val="004561EE"/>
    <w:rsid w:val="0045706F"/>
    <w:rsid w:val="004617F8"/>
    <w:rsid w:val="00464C4A"/>
    <w:rsid w:val="00464F87"/>
    <w:rsid w:val="00465BEE"/>
    <w:rsid w:val="004701EE"/>
    <w:rsid w:val="004721A6"/>
    <w:rsid w:val="0047294D"/>
    <w:rsid w:val="00474325"/>
    <w:rsid w:val="004747BD"/>
    <w:rsid w:val="004755AC"/>
    <w:rsid w:val="00475E70"/>
    <w:rsid w:val="004763F0"/>
    <w:rsid w:val="00476590"/>
    <w:rsid w:val="00480A8D"/>
    <w:rsid w:val="0048689B"/>
    <w:rsid w:val="00486CAA"/>
    <w:rsid w:val="00495B7E"/>
    <w:rsid w:val="004960C7"/>
    <w:rsid w:val="004A2A2D"/>
    <w:rsid w:val="004A57D0"/>
    <w:rsid w:val="004A638B"/>
    <w:rsid w:val="004A6B38"/>
    <w:rsid w:val="004B1FBD"/>
    <w:rsid w:val="004B2EC8"/>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542"/>
    <w:rsid w:val="004D4E7A"/>
    <w:rsid w:val="004D6A84"/>
    <w:rsid w:val="004D763B"/>
    <w:rsid w:val="004E5DCC"/>
    <w:rsid w:val="004E753D"/>
    <w:rsid w:val="004F2547"/>
    <w:rsid w:val="004F4627"/>
    <w:rsid w:val="004F5B89"/>
    <w:rsid w:val="004F6404"/>
    <w:rsid w:val="005014BE"/>
    <w:rsid w:val="0050166C"/>
    <w:rsid w:val="005119BB"/>
    <w:rsid w:val="00512B65"/>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85D02"/>
    <w:rsid w:val="00590975"/>
    <w:rsid w:val="00590BB7"/>
    <w:rsid w:val="00591B9B"/>
    <w:rsid w:val="00592D06"/>
    <w:rsid w:val="00592D2B"/>
    <w:rsid w:val="00594356"/>
    <w:rsid w:val="00594524"/>
    <w:rsid w:val="00595A0F"/>
    <w:rsid w:val="00595B7B"/>
    <w:rsid w:val="0059627B"/>
    <w:rsid w:val="00597EDF"/>
    <w:rsid w:val="00597F22"/>
    <w:rsid w:val="005A05FA"/>
    <w:rsid w:val="005A206E"/>
    <w:rsid w:val="005A4375"/>
    <w:rsid w:val="005A4CB7"/>
    <w:rsid w:val="005A6009"/>
    <w:rsid w:val="005A6087"/>
    <w:rsid w:val="005A79C3"/>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024E"/>
    <w:rsid w:val="005D1988"/>
    <w:rsid w:val="005D1B31"/>
    <w:rsid w:val="005D253D"/>
    <w:rsid w:val="005D5229"/>
    <w:rsid w:val="005D59CF"/>
    <w:rsid w:val="005D6DD5"/>
    <w:rsid w:val="005E1406"/>
    <w:rsid w:val="005E1963"/>
    <w:rsid w:val="005E257C"/>
    <w:rsid w:val="005E2605"/>
    <w:rsid w:val="005E3A0C"/>
    <w:rsid w:val="005E4786"/>
    <w:rsid w:val="005E6D3A"/>
    <w:rsid w:val="005E7332"/>
    <w:rsid w:val="005F09B1"/>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D66"/>
    <w:rsid w:val="006A3380"/>
    <w:rsid w:val="006A3AFA"/>
    <w:rsid w:val="006A3D8D"/>
    <w:rsid w:val="006A4484"/>
    <w:rsid w:val="006A621C"/>
    <w:rsid w:val="006B1BBB"/>
    <w:rsid w:val="006B2112"/>
    <w:rsid w:val="006B293D"/>
    <w:rsid w:val="006B5B87"/>
    <w:rsid w:val="006B6543"/>
    <w:rsid w:val="006B68EA"/>
    <w:rsid w:val="006C0A58"/>
    <w:rsid w:val="006C255A"/>
    <w:rsid w:val="006C2A71"/>
    <w:rsid w:val="006C365B"/>
    <w:rsid w:val="006C48D9"/>
    <w:rsid w:val="006C4E7B"/>
    <w:rsid w:val="006D35F7"/>
    <w:rsid w:val="006D36EB"/>
    <w:rsid w:val="006E14BA"/>
    <w:rsid w:val="006E187A"/>
    <w:rsid w:val="006E2863"/>
    <w:rsid w:val="006E3A10"/>
    <w:rsid w:val="006E4FA8"/>
    <w:rsid w:val="006E6CCC"/>
    <w:rsid w:val="006F46B5"/>
    <w:rsid w:val="006F5CAA"/>
    <w:rsid w:val="006F6B81"/>
    <w:rsid w:val="006F701D"/>
    <w:rsid w:val="006F78AF"/>
    <w:rsid w:val="00701A09"/>
    <w:rsid w:val="00704DC8"/>
    <w:rsid w:val="00707102"/>
    <w:rsid w:val="00707C05"/>
    <w:rsid w:val="00711352"/>
    <w:rsid w:val="007127B0"/>
    <w:rsid w:val="007150F6"/>
    <w:rsid w:val="00715C7C"/>
    <w:rsid w:val="00716473"/>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6686"/>
    <w:rsid w:val="0074684D"/>
    <w:rsid w:val="00746B4E"/>
    <w:rsid w:val="007475D7"/>
    <w:rsid w:val="0075245E"/>
    <w:rsid w:val="007530CF"/>
    <w:rsid w:val="00754393"/>
    <w:rsid w:val="0075461E"/>
    <w:rsid w:val="007559C3"/>
    <w:rsid w:val="007561EC"/>
    <w:rsid w:val="00756F7F"/>
    <w:rsid w:val="00757086"/>
    <w:rsid w:val="0075753B"/>
    <w:rsid w:val="00761C69"/>
    <w:rsid w:val="0076602B"/>
    <w:rsid w:val="0076622F"/>
    <w:rsid w:val="00766431"/>
    <w:rsid w:val="00766451"/>
    <w:rsid w:val="00770277"/>
    <w:rsid w:val="007709A0"/>
    <w:rsid w:val="0077165C"/>
    <w:rsid w:val="00772167"/>
    <w:rsid w:val="007722D3"/>
    <w:rsid w:val="00774A17"/>
    <w:rsid w:val="00775EC3"/>
    <w:rsid w:val="007763AE"/>
    <w:rsid w:val="00776E33"/>
    <w:rsid w:val="0078045D"/>
    <w:rsid w:val="00782D71"/>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2AAE"/>
    <w:rsid w:val="007B64B8"/>
    <w:rsid w:val="007B724D"/>
    <w:rsid w:val="007B7767"/>
    <w:rsid w:val="007C07D0"/>
    <w:rsid w:val="007C10CB"/>
    <w:rsid w:val="007C1283"/>
    <w:rsid w:val="007C3673"/>
    <w:rsid w:val="007C53FE"/>
    <w:rsid w:val="007C5767"/>
    <w:rsid w:val="007C74DA"/>
    <w:rsid w:val="007C77BC"/>
    <w:rsid w:val="007D35D0"/>
    <w:rsid w:val="007D4BEA"/>
    <w:rsid w:val="007D4E00"/>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5261"/>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610"/>
    <w:rsid w:val="00862B0C"/>
    <w:rsid w:val="00863098"/>
    <w:rsid w:val="0086446D"/>
    <w:rsid w:val="008645C9"/>
    <w:rsid w:val="00865C05"/>
    <w:rsid w:val="00866710"/>
    <w:rsid w:val="00866835"/>
    <w:rsid w:val="00870483"/>
    <w:rsid w:val="008708DE"/>
    <w:rsid w:val="00871E78"/>
    <w:rsid w:val="00871E7A"/>
    <w:rsid w:val="008720D0"/>
    <w:rsid w:val="008721C6"/>
    <w:rsid w:val="00873CDD"/>
    <w:rsid w:val="00874541"/>
    <w:rsid w:val="00874CBC"/>
    <w:rsid w:val="00875DB8"/>
    <w:rsid w:val="00876017"/>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3024"/>
    <w:rsid w:val="008A370B"/>
    <w:rsid w:val="008A49C0"/>
    <w:rsid w:val="008A5FB4"/>
    <w:rsid w:val="008B057A"/>
    <w:rsid w:val="008B2BDC"/>
    <w:rsid w:val="008B32B1"/>
    <w:rsid w:val="008B4197"/>
    <w:rsid w:val="008B42C6"/>
    <w:rsid w:val="008B42D1"/>
    <w:rsid w:val="008B4AFF"/>
    <w:rsid w:val="008B4D62"/>
    <w:rsid w:val="008B4EBD"/>
    <w:rsid w:val="008C0315"/>
    <w:rsid w:val="008C09E5"/>
    <w:rsid w:val="008C0AA7"/>
    <w:rsid w:val="008C1C6B"/>
    <w:rsid w:val="008C3BDE"/>
    <w:rsid w:val="008C491B"/>
    <w:rsid w:val="008C5DCC"/>
    <w:rsid w:val="008C7CE5"/>
    <w:rsid w:val="008D2E5D"/>
    <w:rsid w:val="008D3219"/>
    <w:rsid w:val="008D5C67"/>
    <w:rsid w:val="008D6FFC"/>
    <w:rsid w:val="008E0148"/>
    <w:rsid w:val="008E0581"/>
    <w:rsid w:val="008E283D"/>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26FDA"/>
    <w:rsid w:val="0092759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39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7605"/>
    <w:rsid w:val="009B0193"/>
    <w:rsid w:val="009B2381"/>
    <w:rsid w:val="009B25F8"/>
    <w:rsid w:val="009B4023"/>
    <w:rsid w:val="009B49D1"/>
    <w:rsid w:val="009B4FE8"/>
    <w:rsid w:val="009B55A1"/>
    <w:rsid w:val="009C1114"/>
    <w:rsid w:val="009C185A"/>
    <w:rsid w:val="009C1B25"/>
    <w:rsid w:val="009C1BDD"/>
    <w:rsid w:val="009C7784"/>
    <w:rsid w:val="009D5C00"/>
    <w:rsid w:val="009D6C02"/>
    <w:rsid w:val="009D6DCC"/>
    <w:rsid w:val="009D6FF6"/>
    <w:rsid w:val="009E0DE8"/>
    <w:rsid w:val="009E0F52"/>
    <w:rsid w:val="009E582A"/>
    <w:rsid w:val="009E690A"/>
    <w:rsid w:val="009E7AE4"/>
    <w:rsid w:val="009F1A34"/>
    <w:rsid w:val="009F277A"/>
    <w:rsid w:val="009F2E85"/>
    <w:rsid w:val="009F395E"/>
    <w:rsid w:val="009F5EB0"/>
    <w:rsid w:val="009F72BC"/>
    <w:rsid w:val="009F7688"/>
    <w:rsid w:val="00A00FB8"/>
    <w:rsid w:val="00A0330C"/>
    <w:rsid w:val="00A03A98"/>
    <w:rsid w:val="00A03F8D"/>
    <w:rsid w:val="00A05184"/>
    <w:rsid w:val="00A1352E"/>
    <w:rsid w:val="00A15D81"/>
    <w:rsid w:val="00A23F10"/>
    <w:rsid w:val="00A24C13"/>
    <w:rsid w:val="00A24EB4"/>
    <w:rsid w:val="00A24FAC"/>
    <w:rsid w:val="00A253D1"/>
    <w:rsid w:val="00A271DE"/>
    <w:rsid w:val="00A34271"/>
    <w:rsid w:val="00A36FD7"/>
    <w:rsid w:val="00A378E9"/>
    <w:rsid w:val="00A42FA4"/>
    <w:rsid w:val="00A437A9"/>
    <w:rsid w:val="00A43FEB"/>
    <w:rsid w:val="00A44253"/>
    <w:rsid w:val="00A4505C"/>
    <w:rsid w:val="00A45187"/>
    <w:rsid w:val="00A468D7"/>
    <w:rsid w:val="00A46A1B"/>
    <w:rsid w:val="00A54FA0"/>
    <w:rsid w:val="00A55875"/>
    <w:rsid w:val="00A57012"/>
    <w:rsid w:val="00A61196"/>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EB"/>
    <w:rsid w:val="00AC70D9"/>
    <w:rsid w:val="00AD1781"/>
    <w:rsid w:val="00AD3A39"/>
    <w:rsid w:val="00AD547F"/>
    <w:rsid w:val="00AE1814"/>
    <w:rsid w:val="00AE1A95"/>
    <w:rsid w:val="00AE54AB"/>
    <w:rsid w:val="00AE5C92"/>
    <w:rsid w:val="00AE70B4"/>
    <w:rsid w:val="00AE750A"/>
    <w:rsid w:val="00AF1033"/>
    <w:rsid w:val="00AF2EFF"/>
    <w:rsid w:val="00AF4883"/>
    <w:rsid w:val="00AF50D0"/>
    <w:rsid w:val="00AF5C8C"/>
    <w:rsid w:val="00B01052"/>
    <w:rsid w:val="00B01163"/>
    <w:rsid w:val="00B0241C"/>
    <w:rsid w:val="00B030E8"/>
    <w:rsid w:val="00B04D2A"/>
    <w:rsid w:val="00B06120"/>
    <w:rsid w:val="00B07C46"/>
    <w:rsid w:val="00B10FC0"/>
    <w:rsid w:val="00B116E0"/>
    <w:rsid w:val="00B117CF"/>
    <w:rsid w:val="00B11C9C"/>
    <w:rsid w:val="00B12C5C"/>
    <w:rsid w:val="00B15408"/>
    <w:rsid w:val="00B17026"/>
    <w:rsid w:val="00B17FE6"/>
    <w:rsid w:val="00B2132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42A"/>
    <w:rsid w:val="00BB4F46"/>
    <w:rsid w:val="00BB7C2D"/>
    <w:rsid w:val="00BC18E0"/>
    <w:rsid w:val="00BC19CF"/>
    <w:rsid w:val="00BC2656"/>
    <w:rsid w:val="00BC4A1F"/>
    <w:rsid w:val="00BC50D3"/>
    <w:rsid w:val="00BD04FF"/>
    <w:rsid w:val="00BD0D0D"/>
    <w:rsid w:val="00BD4B5A"/>
    <w:rsid w:val="00BE0782"/>
    <w:rsid w:val="00BE2101"/>
    <w:rsid w:val="00BE23D0"/>
    <w:rsid w:val="00BE2A20"/>
    <w:rsid w:val="00BE2D06"/>
    <w:rsid w:val="00BE3E12"/>
    <w:rsid w:val="00BE4224"/>
    <w:rsid w:val="00BE528A"/>
    <w:rsid w:val="00BE57E5"/>
    <w:rsid w:val="00BE5FF9"/>
    <w:rsid w:val="00BF139A"/>
    <w:rsid w:val="00BF17F1"/>
    <w:rsid w:val="00BF1F43"/>
    <w:rsid w:val="00BF27B1"/>
    <w:rsid w:val="00BF4B10"/>
    <w:rsid w:val="00BF4BB8"/>
    <w:rsid w:val="00BF5153"/>
    <w:rsid w:val="00BF591D"/>
    <w:rsid w:val="00BF678C"/>
    <w:rsid w:val="00C013C1"/>
    <w:rsid w:val="00C03E24"/>
    <w:rsid w:val="00C0528B"/>
    <w:rsid w:val="00C05719"/>
    <w:rsid w:val="00C05BA6"/>
    <w:rsid w:val="00C06FD8"/>
    <w:rsid w:val="00C077A8"/>
    <w:rsid w:val="00C10C12"/>
    <w:rsid w:val="00C124DE"/>
    <w:rsid w:val="00C13B9D"/>
    <w:rsid w:val="00C1680A"/>
    <w:rsid w:val="00C169AA"/>
    <w:rsid w:val="00C16E53"/>
    <w:rsid w:val="00C2013D"/>
    <w:rsid w:val="00C207B9"/>
    <w:rsid w:val="00C219BD"/>
    <w:rsid w:val="00C224D4"/>
    <w:rsid w:val="00C23375"/>
    <w:rsid w:val="00C2354A"/>
    <w:rsid w:val="00C23908"/>
    <w:rsid w:val="00C25693"/>
    <w:rsid w:val="00C263EE"/>
    <w:rsid w:val="00C3443F"/>
    <w:rsid w:val="00C357B2"/>
    <w:rsid w:val="00C3677A"/>
    <w:rsid w:val="00C36FC4"/>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6754"/>
    <w:rsid w:val="00C570A0"/>
    <w:rsid w:val="00C570B5"/>
    <w:rsid w:val="00C62F68"/>
    <w:rsid w:val="00C639FE"/>
    <w:rsid w:val="00C63AEE"/>
    <w:rsid w:val="00C63E10"/>
    <w:rsid w:val="00C71976"/>
    <w:rsid w:val="00C747D8"/>
    <w:rsid w:val="00C751E9"/>
    <w:rsid w:val="00C76512"/>
    <w:rsid w:val="00C7780F"/>
    <w:rsid w:val="00C810DD"/>
    <w:rsid w:val="00C8378B"/>
    <w:rsid w:val="00C87559"/>
    <w:rsid w:val="00C877B3"/>
    <w:rsid w:val="00C90336"/>
    <w:rsid w:val="00C9068A"/>
    <w:rsid w:val="00C90A2D"/>
    <w:rsid w:val="00C912B0"/>
    <w:rsid w:val="00C91A77"/>
    <w:rsid w:val="00C92178"/>
    <w:rsid w:val="00C9217A"/>
    <w:rsid w:val="00C922DB"/>
    <w:rsid w:val="00C92A6D"/>
    <w:rsid w:val="00C93B0E"/>
    <w:rsid w:val="00C94897"/>
    <w:rsid w:val="00C94C20"/>
    <w:rsid w:val="00C97CE2"/>
    <w:rsid w:val="00CA4582"/>
    <w:rsid w:val="00CA520B"/>
    <w:rsid w:val="00CA598B"/>
    <w:rsid w:val="00CA69CF"/>
    <w:rsid w:val="00CA720D"/>
    <w:rsid w:val="00CB15F9"/>
    <w:rsid w:val="00CB2AE1"/>
    <w:rsid w:val="00CB4C02"/>
    <w:rsid w:val="00CC0F34"/>
    <w:rsid w:val="00CC1911"/>
    <w:rsid w:val="00CC370F"/>
    <w:rsid w:val="00CC3C0D"/>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4AC3"/>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509"/>
    <w:rsid w:val="00D5265F"/>
    <w:rsid w:val="00D54187"/>
    <w:rsid w:val="00D545AE"/>
    <w:rsid w:val="00D56117"/>
    <w:rsid w:val="00D561D1"/>
    <w:rsid w:val="00D5628F"/>
    <w:rsid w:val="00D575C5"/>
    <w:rsid w:val="00D60046"/>
    <w:rsid w:val="00D600F2"/>
    <w:rsid w:val="00D60CC1"/>
    <w:rsid w:val="00D60EA9"/>
    <w:rsid w:val="00D6118A"/>
    <w:rsid w:val="00D614FA"/>
    <w:rsid w:val="00D67399"/>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42D7"/>
    <w:rsid w:val="00D858E4"/>
    <w:rsid w:val="00D90443"/>
    <w:rsid w:val="00D91D08"/>
    <w:rsid w:val="00D923AE"/>
    <w:rsid w:val="00D93E73"/>
    <w:rsid w:val="00D940DA"/>
    <w:rsid w:val="00D9554E"/>
    <w:rsid w:val="00D9695E"/>
    <w:rsid w:val="00DA2EC8"/>
    <w:rsid w:val="00DA5D02"/>
    <w:rsid w:val="00DB0CDD"/>
    <w:rsid w:val="00DB0E77"/>
    <w:rsid w:val="00DB1BED"/>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77E7"/>
    <w:rsid w:val="00DF161A"/>
    <w:rsid w:val="00DF21EE"/>
    <w:rsid w:val="00DF2628"/>
    <w:rsid w:val="00DF32BB"/>
    <w:rsid w:val="00DF408E"/>
    <w:rsid w:val="00DF41EA"/>
    <w:rsid w:val="00DF6600"/>
    <w:rsid w:val="00DF757E"/>
    <w:rsid w:val="00DF7DC4"/>
    <w:rsid w:val="00E00110"/>
    <w:rsid w:val="00E0083D"/>
    <w:rsid w:val="00E01016"/>
    <w:rsid w:val="00E01DCA"/>
    <w:rsid w:val="00E055A9"/>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4AE8"/>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18E3"/>
    <w:rsid w:val="00E74362"/>
    <w:rsid w:val="00E74702"/>
    <w:rsid w:val="00E7483E"/>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A01B2"/>
    <w:rsid w:val="00EA0293"/>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1DDB"/>
    <w:rsid w:val="00EE346F"/>
    <w:rsid w:val="00EE5406"/>
    <w:rsid w:val="00EE54EF"/>
    <w:rsid w:val="00EE57BF"/>
    <w:rsid w:val="00EE6579"/>
    <w:rsid w:val="00EE6A4B"/>
    <w:rsid w:val="00EE7890"/>
    <w:rsid w:val="00EF26F6"/>
    <w:rsid w:val="00EF6DAA"/>
    <w:rsid w:val="00EF72C2"/>
    <w:rsid w:val="00F01432"/>
    <w:rsid w:val="00F01943"/>
    <w:rsid w:val="00F02E23"/>
    <w:rsid w:val="00F04B70"/>
    <w:rsid w:val="00F05A51"/>
    <w:rsid w:val="00F065A6"/>
    <w:rsid w:val="00F1046D"/>
    <w:rsid w:val="00F106FF"/>
    <w:rsid w:val="00F111AC"/>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6833"/>
    <w:rsid w:val="00F56DCA"/>
    <w:rsid w:val="00F62595"/>
    <w:rsid w:val="00F63962"/>
    <w:rsid w:val="00F66F9A"/>
    <w:rsid w:val="00F67804"/>
    <w:rsid w:val="00F7052D"/>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C0C"/>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276B"/>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6285E1F3-E87E-478A-ADEA-722BC997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qFormat/>
    <w:rsid w:val="00926ADC"/>
    <w:pPr>
      <w:keepNext/>
      <w:numPr>
        <w:ilvl w:val="3"/>
        <w:numId w:val="5"/>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qFormat/>
    <w:rsid w:val="00926ADC"/>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926ADC"/>
    <w:pPr>
      <w:keepNext/>
      <w:widowControl w:val="0"/>
      <w:numPr>
        <w:ilvl w:val="8"/>
        <w:numId w:val="6"/>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nhideWhenUsed/>
    <w:rsid w:val="00926AD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rsid w:val="00926AD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926AD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926ADC"/>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926ADC"/>
    <w:rPr>
      <w:vertAlign w:val="superscript"/>
    </w:rPr>
  </w:style>
  <w:style w:type="paragraph" w:customStyle="1" w:styleId="Footnote">
    <w:name w:val="Footnote"/>
    <w:basedOn w:val="Notedebasdepage"/>
    <w:qFormat/>
    <w:rsid w:val="00926ADC"/>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Titre2Car">
    <w:name w:val="Titre 2 Car"/>
    <w:basedOn w:val="Policepardfaut"/>
    <w:link w:val="Titre2"/>
    <w:rsid w:val="00926ADC"/>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926AD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26ADC"/>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926ADC"/>
    <w:pPr>
      <w:tabs>
        <w:tab w:val="center" w:pos="4680"/>
        <w:tab w:val="right" w:pos="9360"/>
      </w:tabs>
    </w:pPr>
    <w:rPr>
      <w:sz w:val="20"/>
    </w:rPr>
  </w:style>
  <w:style w:type="character" w:customStyle="1" w:styleId="PieddepageCar">
    <w:name w:val="Pied de page Car"/>
    <w:basedOn w:val="Policepardfaut"/>
    <w:link w:val="Pieddepage"/>
    <w:uiPriority w:val="99"/>
    <w:rsid w:val="00926ADC"/>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rsid w:val="00926ADC"/>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Titre4Car">
    <w:name w:val="Titre 4 Car"/>
    <w:basedOn w:val="Policepardfaut"/>
    <w:link w:val="Titre4"/>
    <w:rsid w:val="00926ADC"/>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rsid w:val="00926ADC"/>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926ADC"/>
    <w:rPr>
      <w:sz w:val="16"/>
      <w:szCs w:val="16"/>
    </w:rPr>
  </w:style>
  <w:style w:type="paragraph" w:styleId="Commentaire">
    <w:name w:val="annotation text"/>
    <w:basedOn w:val="Normal"/>
    <w:link w:val="CommentaireCar"/>
    <w:uiPriority w:val="99"/>
    <w:rsid w:val="00926ADC"/>
    <w:rPr>
      <w:sz w:val="20"/>
      <w:szCs w:val="20"/>
    </w:rPr>
  </w:style>
  <w:style w:type="character" w:customStyle="1" w:styleId="CommentaireCar">
    <w:name w:val="Commentaire Car"/>
    <w:basedOn w:val="Policepardfaut"/>
    <w:link w:val="Commentaire"/>
    <w:uiPriority w:val="99"/>
    <w:rsid w:val="00926ADC"/>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926ADC"/>
    <w:rPr>
      <w:b/>
      <w:bCs/>
    </w:rPr>
  </w:style>
  <w:style w:type="character" w:customStyle="1" w:styleId="ObjetducommentaireCar">
    <w:name w:val="Objet du commentaire Car"/>
    <w:basedOn w:val="CommentaireCar"/>
    <w:link w:val="Objetducommentaire"/>
    <w:uiPriority w:val="99"/>
    <w:semiHidden/>
    <w:rsid w:val="00926ADC"/>
    <w:rPr>
      <w:rFonts w:ascii="Times New Roman" w:eastAsia="SimSun" w:hAnsi="Times New Roman" w:cs="Times New Roman"/>
      <w:b/>
      <w:bCs/>
      <w:kern w:val="0"/>
      <w:sz w:val="20"/>
      <w:szCs w:val="20"/>
      <w:lang w:val="en-US"/>
      <w14:ligatures w14:val="none"/>
    </w:rPr>
  </w:style>
  <w:style w:type="character" w:styleId="Lienhypertexte">
    <w:name w:val="Hyperlink"/>
    <w:basedOn w:val="Policepardfaut"/>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Accentuation">
    <w:name w:val="Emphasis"/>
    <w:basedOn w:val="Policepardfaut"/>
    <w:uiPriority w:val="20"/>
    <w:qFormat/>
    <w:rsid w:val="00B724DE"/>
    <w:rPr>
      <w:i/>
      <w:iCs/>
    </w:rPr>
  </w:style>
  <w:style w:type="character" w:styleId="Mentionnonrsolue">
    <w:name w:val="Unresolved Mention"/>
    <w:basedOn w:val="Policepardfaut"/>
    <w:uiPriority w:val="99"/>
    <w:semiHidden/>
    <w:unhideWhenUsed/>
    <w:rsid w:val="004D4E7A"/>
    <w:rPr>
      <w:color w:val="605E5C"/>
      <w:shd w:val="clear" w:color="auto" w:fill="E1DFDD"/>
    </w:rPr>
  </w:style>
  <w:style w:type="character" w:styleId="Lienhypertextesuivivisit">
    <w:name w:val="FollowedHyperlink"/>
    <w:basedOn w:val="Policepardfaut"/>
    <w:unhideWhenUsed/>
    <w:rsid w:val="00330C54"/>
    <w:rPr>
      <w:color w:val="954F72" w:themeColor="followedHyperlink"/>
      <w:u w:val="single"/>
    </w:rPr>
  </w:style>
  <w:style w:type="character" w:styleId="Mention">
    <w:name w:val="Mention"/>
    <w:basedOn w:val="Policepardfaut"/>
    <w:uiPriority w:val="99"/>
    <w:unhideWhenUsed/>
    <w:rPr>
      <w:color w:val="2B579A"/>
      <w:shd w:val="clear" w:color="auto" w:fill="E6E6E6"/>
    </w:rPr>
  </w:style>
  <w:style w:type="paragraph" w:styleId="R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Policepardfaut"/>
    <w:rsid w:val="001B4BE2"/>
    <w:rPr>
      <w:rFonts w:ascii="Segoe UI" w:hAnsi="Segoe UI" w:cs="Segoe UI" w:hint="default"/>
      <w:sz w:val="18"/>
      <w:szCs w:val="18"/>
    </w:rPr>
  </w:style>
  <w:style w:type="character" w:customStyle="1" w:styleId="ui-provider">
    <w:name w:val="ui-provider"/>
    <w:basedOn w:val="Policepardfaut"/>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Titre6Car">
    <w:name w:val="Titre 6 Car"/>
    <w:basedOn w:val="Policepardfaut"/>
    <w:link w:val="Titre6"/>
    <w:rsid w:val="00926ADC"/>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rsid w:val="00926ADC"/>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rsid w:val="00926ADC"/>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rsid w:val="00926ADC"/>
    <w:rPr>
      <w:rFonts w:ascii="Times New Roman" w:eastAsia="SimSun" w:hAnsi="Times New Roman" w:cs="Times New Roman"/>
      <w:snapToGrid w:val="0"/>
      <w:kern w:val="0"/>
      <w:u w:val="single"/>
      <w:lang w:val="en-US"/>
      <w14:ligatures w14:val="none"/>
    </w:rPr>
  </w:style>
  <w:style w:type="paragraph" w:styleId="Liste">
    <w:name w:val="List"/>
    <w:basedOn w:val="Normal"/>
    <w:semiHidden/>
    <w:rsid w:val="00926ADC"/>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926ADC"/>
    <w:pPr>
      <w:ind w:left="720"/>
      <w:contextualSpacing/>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EB567C"/>
    <w:rPr>
      <w:rFonts w:ascii="Times New Roman" w:eastAsia="SimSun" w:hAnsi="Times New Roman" w:cs="Times New Roman"/>
      <w:kern w:val="0"/>
      <w:lang w:val="en-US"/>
      <w14:ligatures w14:val="none"/>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14:ligatures w14:val="none"/>
    </w:rPr>
  </w:style>
  <w:style w:type="paragraph" w:styleId="Textedebulles">
    <w:name w:val="Balloon Text"/>
    <w:basedOn w:val="Normal"/>
    <w:link w:val="TextedebullesC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TextedebullesCar">
    <w:name w:val="Texte de bulles Car"/>
    <w:basedOn w:val="Policepardfaut"/>
    <w:link w:val="Textedebulles"/>
    <w:uiPriority w:val="99"/>
    <w:semiHidden/>
    <w:rsid w:val="00D72810"/>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Retraitcorpsdetexte">
    <w:name w:val="Body Text Indent"/>
    <w:basedOn w:val="Normal"/>
    <w:link w:val="RetraitcorpsdetexteC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RetraitcorpsdetexteCar">
    <w:name w:val="Retrait corps de texte Car"/>
    <w:basedOn w:val="Policepardfaut"/>
    <w:link w:val="Retraitcorpsdetexte"/>
    <w:rsid w:val="00D72810"/>
    <w:rPr>
      <w:rFonts w:ascii="Times New Roman" w:eastAsia="Times New Roman" w:hAnsi="Times New Roman" w:cs="Times New Roman"/>
      <w:kern w:val="0"/>
      <w:szCs w:val="24"/>
      <w:lang w:val="en-GB"/>
      <w14:ligatures w14:val="none"/>
    </w:rPr>
  </w:style>
  <w:style w:type="character" w:styleId="Appeldenotedefin">
    <w:name w:val="endnote reference"/>
    <w:semiHidden/>
    <w:rsid w:val="00D72810"/>
    <w:rPr>
      <w:vertAlign w:val="superscript"/>
    </w:rPr>
  </w:style>
  <w:style w:type="paragraph" w:styleId="Notedefin">
    <w:name w:val="endnote text"/>
    <w:basedOn w:val="Normal"/>
    <w:link w:val="NotedefinC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NotedefinCar">
    <w:name w:val="Note de fin Car"/>
    <w:basedOn w:val="Policepardfaut"/>
    <w:link w:val="Notedefin"/>
    <w:semiHidden/>
    <w:rsid w:val="00D72810"/>
    <w:rPr>
      <w:rFonts w:ascii="Courier New" w:eastAsia="Times New Roman" w:hAnsi="Courier New" w:cs="Times New Roman"/>
      <w:kern w:val="0"/>
      <w:szCs w:val="24"/>
      <w:lang w:val="en-GB"/>
      <w14:ligatures w14:val="none"/>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itre1"/>
    <w:next w:val="Titre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Titre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Titre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Titre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Titre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Titre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Titre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Numrodepage">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itre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Titre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Titre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itreTR">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M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M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M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M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M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M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M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M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M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Lgende">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Titre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14:ligatures w14:val="none"/>
    </w:rPr>
  </w:style>
  <w:style w:type="character" w:customStyle="1" w:styleId="Link">
    <w:name w:val="Link"/>
    <w:rsid w:val="00D72810"/>
    <w:rPr>
      <w:color w:val="0000FF"/>
      <w:sz w:val="18"/>
      <w:szCs w:val="18"/>
      <w:u w:val="single" w:color="0000FF"/>
    </w:rPr>
  </w:style>
  <w:style w:type="character" w:customStyle="1" w:styleId="normaltextrun">
    <w:name w:val="normaltextrun"/>
    <w:basedOn w:val="Policepardfaut"/>
    <w:rsid w:val="00D72810"/>
  </w:style>
  <w:style w:type="character" w:customStyle="1" w:styleId="eop">
    <w:name w:val="eop"/>
    <w:basedOn w:val="Policepardfaut"/>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Aucuneliste"/>
    <w:uiPriority w:val="99"/>
    <w:rsid w:val="0060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np-mop-04/np-mop-04-dec-07-fr.pdf" TargetMode="Externa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yperlink" Target="https://www.cbd.int/abs/text/articles?sec=abs-2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www.cbd.int/doc/decisions/cop-15/cop-15-dec-11-fr.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abs/text/articles?sec=abs-21" TargetMode="External"/><Relationship Id="rId32" Type="http://schemas.openxmlformats.org/officeDocument/2006/relationships/hyperlink" Target="https://www.cbd.int/abs/text/articles/?sec=abs-21" TargetMode="External"/><Relationship Id="rId37" Type="http://schemas.openxmlformats.org/officeDocument/2006/relationships/header" Target="header5.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5/cop-15-dec-06-fr.pdf" TargetMode="External"/><Relationship Id="rId28" Type="http://schemas.openxmlformats.org/officeDocument/2006/relationships/hyperlink" Target="https://www.cbd.int/conferences/2021-2022/cop-15/documents" TargetMode="External"/><Relationship Id="rId36" Type="http://schemas.openxmlformats.org/officeDocument/2006/relationships/hyperlink" Target="https://absch.cbd.int/en/kb/tags/abs/First-National-Report-on-the-Implementation-of-the-Nagoya-Protocol/66199bba4defc2994ae886d7"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cbd.int/abs/text/articles/?sec=abs-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5/cop-15-dec-04-fr.pdf" TargetMode="External"/><Relationship Id="rId27" Type="http://schemas.openxmlformats.org/officeDocument/2006/relationships/hyperlink" Target="https://www.cbd.int/conferences/2021-2022/cop-15/documents" TargetMode="External"/><Relationship Id="rId30" Type="http://schemas.openxmlformats.org/officeDocument/2006/relationships/hyperlink" Target="https://www.cbd.int/doc/decisions/cop-15/cop-15-dec-08-fr.pdf" TargetMode="External"/><Relationship Id="rId35" Type="http://schemas.openxmlformats.org/officeDocument/2006/relationships/hyperlink" Target="https://www.cbd.int/decisions/?id=13404"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abs/text/articles?sec=abs-22" TargetMode="External"/><Relationship Id="rId33" Type="http://schemas.openxmlformats.org/officeDocument/2006/relationships/hyperlink" Target="https://www.cbd.int/doc/decisions/np-mop-03/np-mop-03-dec-03-fr.pdf" TargetMode="External"/><Relationship Id="rId38"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fr.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6" Type="http://schemas.openxmlformats.org/officeDocument/2006/relationships/hyperlink" Target="http://www.cbd.int/gbf/targets/13"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unsdg.un.org/fr/resources/manuel-de-gestion-axee-sur-les-resultats-du-groupe-des-nations-unies-pour-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37286"/>
    <w:rsid w:val="00044BAF"/>
    <w:rsid w:val="00077ABB"/>
    <w:rsid w:val="000B1BB9"/>
    <w:rsid w:val="00144ABC"/>
    <w:rsid w:val="001B4288"/>
    <w:rsid w:val="002039C1"/>
    <w:rsid w:val="00231052"/>
    <w:rsid w:val="00252117"/>
    <w:rsid w:val="0028646E"/>
    <w:rsid w:val="002C5671"/>
    <w:rsid w:val="002F576C"/>
    <w:rsid w:val="00334413"/>
    <w:rsid w:val="0035501D"/>
    <w:rsid w:val="003A0CFC"/>
    <w:rsid w:val="003B2BCF"/>
    <w:rsid w:val="003B42F7"/>
    <w:rsid w:val="00437AE1"/>
    <w:rsid w:val="00484DAA"/>
    <w:rsid w:val="00546CC8"/>
    <w:rsid w:val="005627CD"/>
    <w:rsid w:val="005B6283"/>
    <w:rsid w:val="005D253D"/>
    <w:rsid w:val="00603AD8"/>
    <w:rsid w:val="006809A2"/>
    <w:rsid w:val="006A4484"/>
    <w:rsid w:val="006B1380"/>
    <w:rsid w:val="006D1A17"/>
    <w:rsid w:val="00781833"/>
    <w:rsid w:val="007E2362"/>
    <w:rsid w:val="007F04F7"/>
    <w:rsid w:val="007F4234"/>
    <w:rsid w:val="008131A7"/>
    <w:rsid w:val="0085517E"/>
    <w:rsid w:val="008C399A"/>
    <w:rsid w:val="008D3219"/>
    <w:rsid w:val="009373B7"/>
    <w:rsid w:val="0096179C"/>
    <w:rsid w:val="00A66340"/>
    <w:rsid w:val="00AC5B84"/>
    <w:rsid w:val="00B01052"/>
    <w:rsid w:val="00B04D2A"/>
    <w:rsid w:val="00B66E91"/>
    <w:rsid w:val="00BB7C2D"/>
    <w:rsid w:val="00C63FC9"/>
    <w:rsid w:val="00CA6940"/>
    <w:rsid w:val="00CA7E1B"/>
    <w:rsid w:val="00CE6165"/>
    <w:rsid w:val="00D718DB"/>
    <w:rsid w:val="00DA5903"/>
    <w:rsid w:val="00DD7160"/>
    <w:rsid w:val="00DD77BD"/>
    <w:rsid w:val="00DF21EE"/>
    <w:rsid w:val="00E61101"/>
    <w:rsid w:val="00EB4A29"/>
    <w:rsid w:val="00F01432"/>
    <w:rsid w:val="00F02E23"/>
    <w:rsid w:val="00F23253"/>
    <w:rsid w:val="00F330D7"/>
    <w:rsid w:val="00F47C57"/>
    <w:rsid w:val="00F62869"/>
    <w:rsid w:val="00F92C0C"/>
    <w:rsid w:val="00FA1141"/>
    <w:rsid w:val="00FB27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0</TotalTime>
  <Pages>47</Pages>
  <Words>19737</Words>
  <Characters>108559</Characters>
  <Application>Microsoft Office Word</Application>
  <DocSecurity>0</DocSecurity>
  <Lines>904</Lines>
  <Paragraphs>256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Compilation de projets de décisions à destination de la Conférence des Parties à la Convention sur la diversité biologique siégeant en tant que réunion des Parties au Protocole de Nagoya sur l’accès aux ressources génétiques et le partage juste et équitab</vt: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
  <LinksUpToDate>false</LinksUpToDate>
  <CharactersWithSpaces>128040</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de projets de décisions à destination de la Conférence des Parties à la Convention sur la diversité biologique siégeant en tant que réunion des Parties au Protocole de Nagoya sur l’accès aux ressources génétiques et le partage juste et équitable des avantages découlant de leur utilisation</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Gorge Adele</cp:lastModifiedBy>
  <cp:revision>43</cp:revision>
  <cp:lastPrinted>2024-09-06T21:08:00Z</cp:lastPrinted>
  <dcterms:created xsi:type="dcterms:W3CDTF">2024-09-25T22:48:00Z</dcterms:created>
  <dcterms:modified xsi:type="dcterms:W3CDTF">2024-10-01T07:47:00Z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