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0"/>
        <w:gridCol w:w="4090"/>
      </w:tblGrid>
      <w:tr w:rsidR="00C9161D" w:rsidRPr="00490BF5" w:rsidTr="004A0319">
        <w:trPr>
          <w:trHeight w:val="709"/>
        </w:trPr>
        <w:tc>
          <w:tcPr>
            <w:tcW w:w="977" w:type="dxa"/>
            <w:tcBorders>
              <w:bottom w:val="single" w:sz="12" w:space="0" w:color="auto"/>
            </w:tcBorders>
          </w:tcPr>
          <w:p w:rsidR="00C9161D" w:rsidRPr="00490BF5" w:rsidRDefault="00C9161D" w:rsidP="00490BF5">
            <w:pPr>
              <w:suppressLineNumbers/>
              <w:suppressAutoHyphens/>
              <w:kinsoku w:val="0"/>
              <w:overflowPunct w:val="0"/>
              <w:autoSpaceDE w:val="0"/>
              <w:autoSpaceDN w:val="0"/>
              <w:adjustRightInd w:val="0"/>
              <w:snapToGrid w:val="0"/>
              <w:rPr>
                <w:snapToGrid w:val="0"/>
                <w:kern w:val="22"/>
              </w:rPr>
            </w:pPr>
            <w:r w:rsidRPr="00490BF5">
              <w:rPr>
                <w:noProof/>
                <w:snapToGrid w:val="0"/>
                <w:kern w:val="22"/>
                <w:lang w:eastAsia="zh-CN"/>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C9161D" w:rsidRPr="00490BF5" w:rsidRDefault="00C9161D" w:rsidP="00490BF5">
            <w:pPr>
              <w:suppressLineNumbers/>
              <w:suppressAutoHyphens/>
              <w:kinsoku w:val="0"/>
              <w:overflowPunct w:val="0"/>
              <w:autoSpaceDE w:val="0"/>
              <w:autoSpaceDN w:val="0"/>
              <w:adjustRightInd w:val="0"/>
              <w:snapToGrid w:val="0"/>
              <w:rPr>
                <w:snapToGrid w:val="0"/>
                <w:kern w:val="22"/>
              </w:rPr>
            </w:pPr>
            <w:r w:rsidRPr="00490BF5">
              <w:rPr>
                <w:noProof/>
                <w:snapToGrid w:val="0"/>
                <w:kern w:val="22"/>
                <w:lang w:eastAsia="zh-CN"/>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490BF5" w:rsidRDefault="00C9161D" w:rsidP="00490BF5">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490BF5">
              <w:rPr>
                <w:rFonts w:ascii="Arial" w:hAnsi="Arial" w:cs="Arial"/>
                <w:b/>
                <w:snapToGrid w:val="0"/>
                <w:kern w:val="22"/>
                <w:sz w:val="32"/>
                <w:szCs w:val="32"/>
              </w:rPr>
              <w:t>CBD</w:t>
            </w:r>
          </w:p>
        </w:tc>
      </w:tr>
      <w:tr w:rsidR="00C9161D" w:rsidRPr="004A0319" w:rsidTr="00CF1848">
        <w:tc>
          <w:tcPr>
            <w:tcW w:w="6117" w:type="dxa"/>
            <w:gridSpan w:val="2"/>
            <w:tcBorders>
              <w:top w:val="single" w:sz="12" w:space="0" w:color="auto"/>
              <w:bottom w:val="single" w:sz="36" w:space="0" w:color="auto"/>
            </w:tcBorders>
            <w:vAlign w:val="center"/>
          </w:tcPr>
          <w:p w:rsidR="00C9161D" w:rsidRPr="004A0319" w:rsidRDefault="004A0319" w:rsidP="00490BF5">
            <w:pPr>
              <w:suppressLineNumbers/>
              <w:suppressAutoHyphens/>
              <w:kinsoku w:val="0"/>
              <w:overflowPunct w:val="0"/>
              <w:autoSpaceDE w:val="0"/>
              <w:autoSpaceDN w:val="0"/>
              <w:adjustRightInd w:val="0"/>
              <w:snapToGrid w:val="0"/>
              <w:rPr>
                <w:snapToGrid w:val="0"/>
                <w:kern w:val="22"/>
                <w:lang w:val="fr-CA"/>
              </w:rPr>
            </w:pPr>
            <w:r w:rsidRPr="004A0319">
              <w:rPr>
                <w:bCs/>
                <w:noProof/>
                <w:szCs w:val="22"/>
                <w:lang w:eastAsia="zh-CN"/>
              </w:rPr>
              <w:drawing>
                <wp:inline distT="0" distB="0" distL="0" distR="0">
                  <wp:extent cx="2851150" cy="1079500"/>
                  <wp:effectExtent l="19050" t="0" r="6350" b="0"/>
                  <wp:docPr id="2" name="Pictur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2"/>
                          <a:srcRect/>
                          <a:stretch>
                            <a:fillRect/>
                          </a:stretch>
                        </pic:blipFill>
                        <pic:spPr bwMode="auto">
                          <a:xfrm>
                            <a:off x="0" y="0"/>
                            <a:ext cx="2851150" cy="107950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C9161D" w:rsidRPr="004A0319" w:rsidRDefault="00C9161D" w:rsidP="00490BF5">
            <w:pPr>
              <w:suppressLineNumbers/>
              <w:suppressAutoHyphens/>
              <w:kinsoku w:val="0"/>
              <w:overflowPunct w:val="0"/>
              <w:autoSpaceDE w:val="0"/>
              <w:autoSpaceDN w:val="0"/>
              <w:adjustRightInd w:val="0"/>
              <w:snapToGrid w:val="0"/>
              <w:ind w:left="1215"/>
              <w:rPr>
                <w:noProof/>
                <w:snapToGrid w:val="0"/>
                <w:kern w:val="22"/>
                <w:szCs w:val="22"/>
                <w:lang w:val="fr-CA"/>
              </w:rPr>
            </w:pPr>
            <w:r w:rsidRPr="004A0319">
              <w:rPr>
                <w:noProof/>
                <w:snapToGrid w:val="0"/>
                <w:kern w:val="22"/>
                <w:szCs w:val="22"/>
                <w:lang w:val="fr-CA"/>
              </w:rPr>
              <w:t>Distr.</w:t>
            </w:r>
          </w:p>
          <w:p w:rsidR="00C9161D" w:rsidRPr="004A0319" w:rsidRDefault="004A0319" w:rsidP="00490BF5">
            <w:pPr>
              <w:suppressLineNumbers/>
              <w:suppressAutoHyphens/>
              <w:kinsoku w:val="0"/>
              <w:overflowPunct w:val="0"/>
              <w:autoSpaceDE w:val="0"/>
              <w:autoSpaceDN w:val="0"/>
              <w:adjustRightInd w:val="0"/>
              <w:snapToGrid w:val="0"/>
              <w:ind w:left="1215"/>
              <w:rPr>
                <w:noProof/>
                <w:snapToGrid w:val="0"/>
                <w:kern w:val="22"/>
                <w:szCs w:val="22"/>
                <w:lang w:val="fr-CA"/>
              </w:rPr>
            </w:pPr>
            <w:r>
              <w:rPr>
                <w:caps/>
                <w:noProof/>
                <w:snapToGrid w:val="0"/>
                <w:kern w:val="22"/>
                <w:szCs w:val="22"/>
                <w:lang w:val="fr-CA"/>
              </w:rPr>
              <w:t>GÉNÉ</w:t>
            </w:r>
            <w:r w:rsidR="00E41629" w:rsidRPr="004A0319">
              <w:rPr>
                <w:caps/>
                <w:noProof/>
                <w:snapToGrid w:val="0"/>
                <w:kern w:val="22"/>
                <w:szCs w:val="22"/>
                <w:lang w:val="fr-CA"/>
              </w:rPr>
              <w:t>RAL</w:t>
            </w:r>
            <w:r>
              <w:rPr>
                <w:caps/>
                <w:noProof/>
                <w:snapToGrid w:val="0"/>
                <w:kern w:val="22"/>
                <w:szCs w:val="22"/>
                <w:lang w:val="fr-CA"/>
              </w:rPr>
              <w:t>E</w:t>
            </w:r>
          </w:p>
          <w:p w:rsidR="00C9161D" w:rsidRPr="004A0319" w:rsidRDefault="00C9161D" w:rsidP="00490BF5">
            <w:pPr>
              <w:suppressLineNumbers/>
              <w:suppressAutoHyphens/>
              <w:kinsoku w:val="0"/>
              <w:overflowPunct w:val="0"/>
              <w:autoSpaceDE w:val="0"/>
              <w:autoSpaceDN w:val="0"/>
              <w:adjustRightInd w:val="0"/>
              <w:snapToGrid w:val="0"/>
              <w:ind w:left="1215"/>
              <w:rPr>
                <w:noProof/>
                <w:snapToGrid w:val="0"/>
                <w:kern w:val="22"/>
                <w:szCs w:val="22"/>
                <w:lang w:val="fr-CA"/>
              </w:rPr>
            </w:pPr>
          </w:p>
          <w:p w:rsidR="00C9161D" w:rsidRPr="004A0319" w:rsidRDefault="00905843" w:rsidP="00490BF5">
            <w:pPr>
              <w:suppressLineNumbers/>
              <w:suppressAutoHyphens/>
              <w:kinsoku w:val="0"/>
              <w:overflowPunct w:val="0"/>
              <w:autoSpaceDE w:val="0"/>
              <w:autoSpaceDN w:val="0"/>
              <w:adjustRightInd w:val="0"/>
              <w:snapToGrid w:val="0"/>
              <w:ind w:left="1215"/>
              <w:rPr>
                <w:noProof/>
                <w:snapToGrid w:val="0"/>
                <w:kern w:val="22"/>
                <w:szCs w:val="22"/>
                <w:lang w:val="fr-CA"/>
              </w:rPr>
            </w:pPr>
            <w:sdt>
              <w:sdtPr>
                <w:rPr>
                  <w:noProof/>
                  <w:snapToGrid w:val="0"/>
                  <w:kern w:val="22"/>
                  <w:lang w:val="fr-CA"/>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E41629" w:rsidRPr="004A0319">
                  <w:rPr>
                    <w:noProof/>
                    <w:snapToGrid w:val="0"/>
                    <w:kern w:val="22"/>
                    <w:lang w:val="fr-CA"/>
                  </w:rPr>
                  <w:t>CBD/SBI/</w:t>
                </w:r>
                <w:r w:rsidR="00665C19">
                  <w:rPr>
                    <w:noProof/>
                    <w:snapToGrid w:val="0"/>
                    <w:kern w:val="22"/>
                    <w:lang w:val="fr-CA"/>
                  </w:rPr>
                  <w:t>2/</w:t>
                </w:r>
                <w:r w:rsidR="00E41629" w:rsidRPr="004A0319">
                  <w:rPr>
                    <w:noProof/>
                    <w:snapToGrid w:val="0"/>
                    <w:kern w:val="22"/>
                    <w:lang w:val="fr-CA"/>
                  </w:rPr>
                  <w:t>7/Add.1</w:t>
                </w:r>
              </w:sdtContent>
            </w:sdt>
          </w:p>
          <w:p w:rsidR="00C9161D" w:rsidRPr="004A0319" w:rsidRDefault="004A0319" w:rsidP="00490BF5">
            <w:pPr>
              <w:suppressLineNumbers/>
              <w:suppressAutoHyphens/>
              <w:kinsoku w:val="0"/>
              <w:overflowPunct w:val="0"/>
              <w:autoSpaceDE w:val="0"/>
              <w:autoSpaceDN w:val="0"/>
              <w:adjustRightInd w:val="0"/>
              <w:snapToGrid w:val="0"/>
              <w:ind w:left="1215"/>
              <w:rPr>
                <w:snapToGrid w:val="0"/>
                <w:kern w:val="22"/>
                <w:szCs w:val="22"/>
                <w:lang w:val="fr-CA"/>
              </w:rPr>
            </w:pPr>
            <w:r>
              <w:rPr>
                <w:noProof/>
                <w:snapToGrid w:val="0"/>
                <w:kern w:val="22"/>
                <w:szCs w:val="22"/>
                <w:lang w:val="fr-CA"/>
              </w:rPr>
              <w:t>12 mai</w:t>
            </w:r>
            <w:r>
              <w:rPr>
                <w:snapToGrid w:val="0"/>
                <w:kern w:val="22"/>
                <w:szCs w:val="22"/>
                <w:lang w:val="fr-CA"/>
              </w:rPr>
              <w:t> </w:t>
            </w:r>
            <w:r w:rsidR="00E41629" w:rsidRPr="004A0319">
              <w:rPr>
                <w:snapToGrid w:val="0"/>
                <w:kern w:val="22"/>
                <w:szCs w:val="22"/>
                <w:lang w:val="fr-CA"/>
              </w:rPr>
              <w:t>2018</w:t>
            </w:r>
          </w:p>
          <w:p w:rsidR="00C9161D" w:rsidRPr="004A0319" w:rsidRDefault="00C9161D" w:rsidP="00490BF5">
            <w:pPr>
              <w:suppressLineNumbers/>
              <w:suppressAutoHyphens/>
              <w:kinsoku w:val="0"/>
              <w:overflowPunct w:val="0"/>
              <w:autoSpaceDE w:val="0"/>
              <w:autoSpaceDN w:val="0"/>
              <w:adjustRightInd w:val="0"/>
              <w:snapToGrid w:val="0"/>
              <w:ind w:left="1215"/>
              <w:rPr>
                <w:snapToGrid w:val="0"/>
                <w:kern w:val="22"/>
                <w:szCs w:val="22"/>
                <w:lang w:val="fr-CA"/>
              </w:rPr>
            </w:pPr>
          </w:p>
          <w:p w:rsidR="00C9161D" w:rsidRPr="004A0319" w:rsidRDefault="004A0319" w:rsidP="00490BF5">
            <w:pPr>
              <w:suppressLineNumbers/>
              <w:suppressAutoHyphens/>
              <w:kinsoku w:val="0"/>
              <w:overflowPunct w:val="0"/>
              <w:autoSpaceDE w:val="0"/>
              <w:autoSpaceDN w:val="0"/>
              <w:adjustRightInd w:val="0"/>
              <w:snapToGrid w:val="0"/>
              <w:ind w:left="1215"/>
              <w:rPr>
                <w:snapToGrid w:val="0"/>
                <w:kern w:val="22"/>
                <w:szCs w:val="22"/>
                <w:lang w:val="fr-CA"/>
              </w:rPr>
            </w:pPr>
            <w:r>
              <w:rPr>
                <w:snapToGrid w:val="0"/>
                <w:color w:val="000000"/>
                <w:kern w:val="22"/>
                <w:szCs w:val="22"/>
                <w:lang w:val="fr-FR"/>
              </w:rPr>
              <w:t xml:space="preserve">FRANÇAIS </w:t>
            </w:r>
            <w:r>
              <w:rPr>
                <w:snapToGrid w:val="0"/>
                <w:color w:val="000000"/>
                <w:kern w:val="22"/>
                <w:szCs w:val="22"/>
                <w:lang w:val="fr-FR"/>
              </w:rPr>
              <w:br/>
              <w:t>ORIGINAL :</w:t>
            </w:r>
            <w:r w:rsidRPr="00CE6394">
              <w:rPr>
                <w:snapToGrid w:val="0"/>
                <w:color w:val="000000"/>
                <w:kern w:val="22"/>
                <w:szCs w:val="22"/>
                <w:lang w:val="fr-FR"/>
              </w:rPr>
              <w:t xml:space="preserve"> ANGLAIS</w:t>
            </w:r>
          </w:p>
          <w:p w:rsidR="00C9161D" w:rsidRPr="004A0319" w:rsidRDefault="00C9161D" w:rsidP="00490BF5">
            <w:pPr>
              <w:suppressLineNumbers/>
              <w:suppressAutoHyphens/>
              <w:kinsoku w:val="0"/>
              <w:overflowPunct w:val="0"/>
              <w:autoSpaceDE w:val="0"/>
              <w:autoSpaceDN w:val="0"/>
              <w:adjustRightInd w:val="0"/>
              <w:snapToGrid w:val="0"/>
              <w:rPr>
                <w:snapToGrid w:val="0"/>
                <w:kern w:val="22"/>
                <w:lang w:val="fr-CA"/>
              </w:rPr>
            </w:pPr>
          </w:p>
        </w:tc>
      </w:tr>
    </w:tbl>
    <w:p w:rsidR="004A0319" w:rsidRPr="004A0319" w:rsidRDefault="004A0319" w:rsidP="004A0319">
      <w:pPr>
        <w:ind w:left="284" w:hanging="284"/>
        <w:jc w:val="left"/>
        <w:rPr>
          <w:rFonts w:eastAsia="Malgun Gothic"/>
          <w:caps/>
          <w:snapToGrid w:val="0"/>
          <w:kern w:val="22"/>
          <w:lang w:val="fr-CA"/>
        </w:rPr>
      </w:pPr>
      <w:r w:rsidRPr="004A0319">
        <w:rPr>
          <w:rFonts w:eastAsia="Malgun Gothic"/>
          <w:caps/>
          <w:snapToGrid w:val="0"/>
          <w:kern w:val="22"/>
          <w:lang w:val="fr-CA"/>
        </w:rPr>
        <w:t>ORGANE SUBSIDIAIRE CHARGÉ DE</w:t>
      </w:r>
    </w:p>
    <w:p w:rsidR="00855A78" w:rsidRPr="004A0319" w:rsidRDefault="004A0319" w:rsidP="004A0319">
      <w:pPr>
        <w:suppressLineNumbers/>
        <w:suppressAutoHyphens/>
        <w:kinsoku w:val="0"/>
        <w:overflowPunct w:val="0"/>
        <w:autoSpaceDE w:val="0"/>
        <w:autoSpaceDN w:val="0"/>
        <w:adjustRightInd w:val="0"/>
        <w:snapToGrid w:val="0"/>
        <w:spacing w:line="260" w:lineRule="atLeast"/>
        <w:ind w:left="170" w:right="4398" w:hanging="170"/>
        <w:jc w:val="left"/>
        <w:rPr>
          <w:rFonts w:eastAsia="Malgun Gothic"/>
          <w:caps/>
          <w:snapToGrid w:val="0"/>
          <w:kern w:val="22"/>
          <w:szCs w:val="22"/>
          <w:lang w:val="fr-CA"/>
        </w:rPr>
      </w:pPr>
      <w:r w:rsidRPr="004A0319">
        <w:rPr>
          <w:rFonts w:eastAsia="Malgun Gothic"/>
          <w:caps/>
          <w:snapToGrid w:val="0"/>
          <w:kern w:val="22"/>
          <w:lang w:val="fr-CA"/>
        </w:rPr>
        <w:t>L</w:t>
      </w:r>
      <w:r w:rsidR="00466152">
        <w:rPr>
          <w:rFonts w:eastAsia="Malgun Gothic"/>
          <w:caps/>
          <w:snapToGrid w:val="0"/>
          <w:kern w:val="22"/>
          <w:lang w:val="fr-CA"/>
        </w:rPr>
        <w:t>’</w:t>
      </w:r>
      <w:r w:rsidRPr="004A0319">
        <w:rPr>
          <w:rFonts w:eastAsia="Malgun Gothic"/>
          <w:caps/>
          <w:snapToGrid w:val="0"/>
          <w:kern w:val="22"/>
          <w:lang w:val="fr-CA"/>
        </w:rPr>
        <w:t>APPLICATION</w:t>
      </w:r>
    </w:p>
    <w:p w:rsidR="00855A78" w:rsidRPr="004A0319" w:rsidRDefault="004A0319" w:rsidP="00490BF5">
      <w:pPr>
        <w:suppressLineNumbers/>
        <w:suppressAutoHyphens/>
        <w:kinsoku w:val="0"/>
        <w:overflowPunct w:val="0"/>
        <w:autoSpaceDE w:val="0"/>
        <w:autoSpaceDN w:val="0"/>
        <w:adjustRightInd w:val="0"/>
        <w:snapToGrid w:val="0"/>
        <w:spacing w:line="260" w:lineRule="atLeast"/>
        <w:ind w:left="170"/>
        <w:rPr>
          <w:snapToGrid w:val="0"/>
          <w:kern w:val="22"/>
          <w:szCs w:val="22"/>
          <w:lang w:val="fr-CA" w:eastAsia="nb-NO"/>
        </w:rPr>
      </w:pPr>
      <w:r w:rsidRPr="004A0319">
        <w:rPr>
          <w:snapToGrid w:val="0"/>
          <w:kern w:val="22"/>
          <w:szCs w:val="22"/>
          <w:lang w:val="fr-CA" w:eastAsia="nb-NO"/>
        </w:rPr>
        <w:t>Deuxième réunion</w:t>
      </w:r>
    </w:p>
    <w:p w:rsidR="00855A78" w:rsidRPr="004A0319" w:rsidRDefault="004A0319" w:rsidP="004A0319">
      <w:pPr>
        <w:suppressLineNumbers/>
        <w:suppressAutoHyphens/>
        <w:kinsoku w:val="0"/>
        <w:overflowPunct w:val="0"/>
        <w:autoSpaceDE w:val="0"/>
        <w:autoSpaceDN w:val="0"/>
        <w:adjustRightInd w:val="0"/>
        <w:snapToGrid w:val="0"/>
        <w:spacing w:line="260" w:lineRule="atLeast"/>
        <w:ind w:left="170"/>
        <w:rPr>
          <w:snapToGrid w:val="0"/>
          <w:kern w:val="22"/>
          <w:szCs w:val="22"/>
          <w:lang w:val="fr-CA" w:eastAsia="nb-NO"/>
        </w:rPr>
      </w:pPr>
      <w:r w:rsidRPr="004A0319">
        <w:rPr>
          <w:snapToGrid w:val="0"/>
          <w:kern w:val="22"/>
          <w:szCs w:val="22"/>
          <w:lang w:val="fr-CA" w:eastAsia="nb-NO"/>
        </w:rPr>
        <w:t>Montréal (Canada), 9</w:t>
      </w:r>
      <w:r w:rsidR="00466152">
        <w:rPr>
          <w:snapToGrid w:val="0"/>
          <w:kern w:val="22"/>
          <w:szCs w:val="22"/>
          <w:lang w:val="fr-CA" w:eastAsia="nb-NO"/>
        </w:rPr>
        <w:noBreakHyphen/>
      </w:r>
      <w:r w:rsidRPr="004A0319">
        <w:rPr>
          <w:snapToGrid w:val="0"/>
          <w:kern w:val="22"/>
          <w:szCs w:val="22"/>
          <w:lang w:val="fr-CA" w:eastAsia="nb-NO"/>
        </w:rPr>
        <w:t>13 juillet 2018</w:t>
      </w:r>
    </w:p>
    <w:p w:rsidR="00855A78" w:rsidRPr="004A0319" w:rsidRDefault="004A0319" w:rsidP="00490BF5">
      <w:pPr>
        <w:suppressLineNumbers/>
        <w:suppressAutoHyphens/>
        <w:kinsoku w:val="0"/>
        <w:overflowPunct w:val="0"/>
        <w:autoSpaceDE w:val="0"/>
        <w:autoSpaceDN w:val="0"/>
        <w:adjustRightInd w:val="0"/>
        <w:snapToGrid w:val="0"/>
        <w:spacing w:line="260" w:lineRule="atLeast"/>
        <w:ind w:left="170"/>
        <w:rPr>
          <w:snapToGrid w:val="0"/>
          <w:kern w:val="22"/>
          <w:szCs w:val="22"/>
          <w:lang w:val="fr-CA" w:eastAsia="nb-NO"/>
        </w:rPr>
      </w:pPr>
      <w:r w:rsidRPr="004A0319">
        <w:rPr>
          <w:snapToGrid w:val="0"/>
          <w:kern w:val="22"/>
          <w:szCs w:val="22"/>
          <w:lang w:val="fr-CA"/>
        </w:rPr>
        <w:t>Point 8 de l</w:t>
      </w:r>
      <w:r w:rsidR="00466152">
        <w:rPr>
          <w:snapToGrid w:val="0"/>
          <w:kern w:val="22"/>
          <w:szCs w:val="22"/>
          <w:lang w:val="fr-CA"/>
        </w:rPr>
        <w:t>’</w:t>
      </w:r>
      <w:r w:rsidRPr="004A0319">
        <w:rPr>
          <w:snapToGrid w:val="0"/>
          <w:kern w:val="22"/>
          <w:szCs w:val="22"/>
          <w:lang w:val="fr-CA"/>
        </w:rPr>
        <w:t>ordre du jour provisoire</w:t>
      </w:r>
      <w:r w:rsidR="00855A78" w:rsidRPr="004A0319">
        <w:rPr>
          <w:snapToGrid w:val="0"/>
          <w:kern w:val="22"/>
          <w:szCs w:val="22"/>
          <w:lang w:val="fr-CA" w:eastAsia="nb-NO"/>
        </w:rPr>
        <w:footnoteReference w:customMarkFollows="1" w:id="1"/>
        <w:t>*</w:t>
      </w:r>
    </w:p>
    <w:p w:rsidR="00C9161D" w:rsidRPr="004A0319" w:rsidRDefault="00C9161D" w:rsidP="00490BF5">
      <w:pPr>
        <w:suppressLineNumbers/>
        <w:suppressAutoHyphens/>
        <w:kinsoku w:val="0"/>
        <w:overflowPunct w:val="0"/>
        <w:autoSpaceDE w:val="0"/>
        <w:autoSpaceDN w:val="0"/>
        <w:adjustRightInd w:val="0"/>
        <w:snapToGrid w:val="0"/>
        <w:rPr>
          <w:snapToGrid w:val="0"/>
          <w:kern w:val="22"/>
          <w:szCs w:val="22"/>
          <w:lang w:val="fr-CA"/>
        </w:rPr>
      </w:pPr>
    </w:p>
    <w:p w:rsidR="00DB4C97" w:rsidRPr="004A0319" w:rsidRDefault="004A0319" w:rsidP="004A0319">
      <w:pPr>
        <w:suppressLineNumbers/>
        <w:suppressAutoHyphens/>
        <w:kinsoku w:val="0"/>
        <w:overflowPunct w:val="0"/>
        <w:autoSpaceDE w:val="0"/>
        <w:autoSpaceDN w:val="0"/>
        <w:adjustRightInd w:val="0"/>
        <w:snapToGrid w:val="0"/>
        <w:jc w:val="center"/>
        <w:rPr>
          <w:caps/>
          <w:snapToGrid w:val="0"/>
          <w:kern w:val="22"/>
          <w:szCs w:val="22"/>
          <w:lang w:val="fr-CA"/>
        </w:rPr>
      </w:pPr>
      <w:r>
        <w:rPr>
          <w:b/>
          <w:caps/>
          <w:snapToGrid w:val="0"/>
          <w:kern w:val="22"/>
          <w:szCs w:val="22"/>
          <w:lang w:val="fr-CA"/>
        </w:rPr>
        <w:t>Mobilisation des ressources</w:t>
      </w:r>
    </w:p>
    <w:p w:rsidR="00C9161D" w:rsidRPr="004A0319" w:rsidRDefault="003B130B" w:rsidP="003B130B">
      <w:pPr>
        <w:suppressLineNumbers/>
        <w:suppressAutoHyphens/>
        <w:kinsoku w:val="0"/>
        <w:overflowPunct w:val="0"/>
        <w:autoSpaceDE w:val="0"/>
        <w:autoSpaceDN w:val="0"/>
        <w:adjustRightInd w:val="0"/>
        <w:snapToGrid w:val="0"/>
        <w:spacing w:before="120" w:after="120"/>
        <w:jc w:val="center"/>
        <w:rPr>
          <w:b/>
          <w:caps/>
          <w:snapToGrid w:val="0"/>
          <w:kern w:val="22"/>
          <w:szCs w:val="22"/>
          <w:lang w:val="fr-CA"/>
        </w:rPr>
      </w:pPr>
      <w:r>
        <w:rPr>
          <w:b/>
          <w:caps/>
          <w:snapToGrid w:val="0"/>
          <w:kern w:val="22"/>
          <w:szCs w:val="22"/>
          <w:lang w:val="fr-CA"/>
        </w:rPr>
        <w:t>bilan et analyse actualisée des informations fournies au moyen du cadre de présentation des rapports financiers</w:t>
      </w:r>
    </w:p>
    <w:p w:rsidR="00855A78" w:rsidRPr="004A0319" w:rsidRDefault="00855A78" w:rsidP="002E7A5B">
      <w:pPr>
        <w:pStyle w:val="Heading2"/>
        <w:keepNext w:val="0"/>
        <w:suppressLineNumbers/>
        <w:suppressAutoHyphens/>
        <w:kinsoku w:val="0"/>
        <w:overflowPunct w:val="0"/>
        <w:autoSpaceDE w:val="0"/>
        <w:autoSpaceDN w:val="0"/>
        <w:adjustRightInd w:val="0"/>
        <w:snapToGrid w:val="0"/>
        <w:rPr>
          <w:bCs w:val="0"/>
          <w:i/>
          <w:iCs w:val="0"/>
          <w:snapToGrid w:val="0"/>
          <w:kern w:val="22"/>
          <w:szCs w:val="22"/>
          <w:lang w:val="fr-CA"/>
        </w:rPr>
      </w:pPr>
      <w:r w:rsidRPr="004A0319">
        <w:rPr>
          <w:b w:val="0"/>
          <w:bCs w:val="0"/>
          <w:i/>
          <w:iCs w:val="0"/>
          <w:snapToGrid w:val="0"/>
          <w:kern w:val="22"/>
          <w:szCs w:val="22"/>
          <w:lang w:val="fr-CA"/>
        </w:rPr>
        <w:t xml:space="preserve">Note </w:t>
      </w:r>
      <w:r w:rsidR="002E7A5B">
        <w:rPr>
          <w:b w:val="0"/>
          <w:bCs w:val="0"/>
          <w:i/>
          <w:iCs w:val="0"/>
          <w:snapToGrid w:val="0"/>
          <w:kern w:val="22"/>
          <w:szCs w:val="22"/>
          <w:lang w:val="fr-CA"/>
        </w:rPr>
        <w:t>de la Secrétaire exécutive</w:t>
      </w:r>
    </w:p>
    <w:p w:rsidR="00855A78" w:rsidRPr="004A0319" w:rsidRDefault="00855A78" w:rsidP="00490BF5">
      <w:pPr>
        <w:suppressLineNumbers/>
        <w:tabs>
          <w:tab w:val="left" w:pos="360"/>
        </w:tabs>
        <w:suppressAutoHyphens/>
        <w:kinsoku w:val="0"/>
        <w:overflowPunct w:val="0"/>
        <w:autoSpaceDE w:val="0"/>
        <w:autoSpaceDN w:val="0"/>
        <w:adjustRightInd w:val="0"/>
        <w:snapToGrid w:val="0"/>
        <w:spacing w:before="120" w:after="120"/>
        <w:jc w:val="center"/>
        <w:outlineLvl w:val="0"/>
        <w:rPr>
          <w:b/>
          <w:caps/>
          <w:snapToGrid w:val="0"/>
          <w:kern w:val="22"/>
          <w:szCs w:val="22"/>
          <w:lang w:val="fr-CA"/>
        </w:rPr>
      </w:pPr>
      <w:r w:rsidRPr="004A0319">
        <w:rPr>
          <w:b/>
          <w:caps/>
          <w:snapToGrid w:val="0"/>
          <w:kern w:val="22"/>
          <w:szCs w:val="22"/>
          <w:lang w:val="fr-CA"/>
        </w:rPr>
        <w:t>I.</w:t>
      </w:r>
      <w:r w:rsidRPr="004A0319">
        <w:rPr>
          <w:b/>
          <w:caps/>
          <w:snapToGrid w:val="0"/>
          <w:kern w:val="22"/>
          <w:szCs w:val="22"/>
          <w:lang w:val="fr-CA"/>
        </w:rPr>
        <w:tab/>
        <w:t>Introduction</w:t>
      </w:r>
    </w:p>
    <w:p w:rsidR="00855A78" w:rsidRPr="004A0319" w:rsidRDefault="004A0319" w:rsidP="00E56633">
      <w:pPr>
        <w:pStyle w:val="ListParagraph"/>
        <w:numPr>
          <w:ilvl w:val="0"/>
          <w:numId w:val="52"/>
        </w:numPr>
        <w:suppressLineNumbers/>
        <w:suppressAutoHyphens/>
        <w:kinsoku w:val="0"/>
        <w:overflowPunct w:val="0"/>
        <w:autoSpaceDE w:val="0"/>
        <w:autoSpaceDN w:val="0"/>
        <w:adjustRightInd w:val="0"/>
        <w:snapToGrid w:val="0"/>
        <w:spacing w:after="120"/>
        <w:ind w:left="0" w:firstLine="0"/>
        <w:contextualSpacing w:val="0"/>
        <w:rPr>
          <w:snapToGrid w:val="0"/>
          <w:kern w:val="22"/>
          <w:szCs w:val="22"/>
          <w:lang w:val="fr-CA"/>
        </w:rPr>
      </w:pPr>
      <w:r>
        <w:rPr>
          <w:snapToGrid w:val="0"/>
          <w:kern w:val="22"/>
          <w:szCs w:val="22"/>
          <w:lang w:val="fr-CA"/>
        </w:rPr>
        <w:t>Dans la décision</w:t>
      </w:r>
      <w:r w:rsidR="002D795B">
        <w:rPr>
          <w:snapToGrid w:val="0"/>
          <w:kern w:val="22"/>
          <w:szCs w:val="22"/>
          <w:lang w:val="fr-CA"/>
        </w:rPr>
        <w:t> </w:t>
      </w:r>
      <w:hyperlink r:id="rId13" w:history="1">
        <w:r w:rsidR="002D795B">
          <w:rPr>
            <w:rStyle w:val="Hyperlink"/>
            <w:snapToGrid w:val="0"/>
            <w:kern w:val="22"/>
            <w:sz w:val="22"/>
            <w:szCs w:val="22"/>
            <w:lang w:val="fr-CA"/>
          </w:rPr>
          <w:t>XIII/20</w:t>
        </w:r>
      </w:hyperlink>
      <w:r w:rsidR="002D795B">
        <w:rPr>
          <w:snapToGrid w:val="0"/>
          <w:kern w:val="22"/>
          <w:szCs w:val="22"/>
          <w:lang w:val="fr-CA"/>
        </w:rPr>
        <w:t xml:space="preserve">, </w:t>
      </w:r>
      <w:r>
        <w:rPr>
          <w:snapToGrid w:val="0"/>
          <w:kern w:val="22"/>
          <w:szCs w:val="22"/>
          <w:lang w:val="fr-CA"/>
        </w:rPr>
        <w:t xml:space="preserve">sur la mobilisation des ressources, la Conférence des Parties, à sa treizième réunion, a pris note </w:t>
      </w:r>
      <w:r w:rsidRPr="00030A6C">
        <w:rPr>
          <w:snapToGrid w:val="0"/>
          <w:kern w:val="22"/>
          <w:szCs w:val="22"/>
          <w:lang w:val="fr-CA" w:bidi="fr-FR"/>
        </w:rPr>
        <w:t>de l</w:t>
      </w:r>
      <w:r w:rsidR="00466152">
        <w:rPr>
          <w:snapToGrid w:val="0"/>
          <w:kern w:val="22"/>
          <w:szCs w:val="22"/>
          <w:lang w:val="fr-CA" w:bidi="fr-FR"/>
        </w:rPr>
        <w:t>’</w:t>
      </w:r>
      <w:r w:rsidRPr="00030A6C">
        <w:rPr>
          <w:snapToGrid w:val="0"/>
          <w:kern w:val="22"/>
          <w:szCs w:val="22"/>
          <w:lang w:val="fr-CA" w:bidi="fr-FR"/>
        </w:rPr>
        <w:t>analyse des informations fournies par les Parties au moyen du cadre de présentation des rapports financiers</w:t>
      </w:r>
      <w:r>
        <w:rPr>
          <w:snapToGrid w:val="0"/>
          <w:kern w:val="22"/>
          <w:szCs w:val="22"/>
          <w:lang w:val="fr-CA" w:bidi="fr-FR"/>
        </w:rPr>
        <w:t xml:space="preserve">, et a pris note avec préoccupation </w:t>
      </w:r>
      <w:r w:rsidRPr="00030A6C">
        <w:rPr>
          <w:rFonts w:eastAsia="MS Mincho"/>
          <w:snapToGrid w:val="0"/>
          <w:kern w:val="22"/>
          <w:szCs w:val="22"/>
          <w:lang w:val="fr-CA"/>
        </w:rPr>
        <w:t>de l</w:t>
      </w:r>
      <w:r w:rsidR="00466152">
        <w:rPr>
          <w:rFonts w:eastAsia="MS Mincho"/>
          <w:snapToGrid w:val="0"/>
          <w:kern w:val="22"/>
          <w:szCs w:val="22"/>
          <w:lang w:val="fr-CA"/>
        </w:rPr>
        <w:t>’</w:t>
      </w:r>
      <w:r w:rsidRPr="00030A6C">
        <w:rPr>
          <w:rFonts w:eastAsia="MS Mincho"/>
          <w:snapToGrid w:val="0"/>
          <w:kern w:val="22"/>
          <w:szCs w:val="22"/>
          <w:lang w:val="fr-CA"/>
        </w:rPr>
        <w:t>insuffisance des informations rassemblées à partir des cadres de présentation des rapports financiers présentés par les Parties, qui limite la base d</w:t>
      </w:r>
      <w:r w:rsidR="00466152">
        <w:rPr>
          <w:rFonts w:eastAsia="MS Mincho"/>
          <w:snapToGrid w:val="0"/>
          <w:kern w:val="22"/>
          <w:szCs w:val="22"/>
          <w:lang w:val="fr-CA"/>
        </w:rPr>
        <w:t>’</w:t>
      </w:r>
      <w:r w:rsidRPr="00030A6C">
        <w:rPr>
          <w:rFonts w:eastAsia="MS Mincho"/>
          <w:snapToGrid w:val="0"/>
          <w:kern w:val="22"/>
          <w:szCs w:val="22"/>
          <w:lang w:val="fr-CA"/>
        </w:rPr>
        <w:t>une évaluation exhaustive des progrès accomplis en vue d</w:t>
      </w:r>
      <w:r w:rsidR="00466152">
        <w:rPr>
          <w:rFonts w:eastAsia="MS Mincho"/>
          <w:snapToGrid w:val="0"/>
          <w:kern w:val="22"/>
          <w:szCs w:val="22"/>
          <w:lang w:val="fr-CA"/>
        </w:rPr>
        <w:t>’</w:t>
      </w:r>
      <w:r w:rsidRPr="00030A6C">
        <w:rPr>
          <w:rFonts w:eastAsia="MS Mincho"/>
          <w:snapToGrid w:val="0"/>
          <w:kern w:val="22"/>
          <w:szCs w:val="22"/>
          <w:lang w:val="fr-CA"/>
        </w:rPr>
        <w:t>atteindre les objectifs</w:t>
      </w:r>
      <w:r w:rsidR="00CA737C">
        <w:rPr>
          <w:rFonts w:eastAsia="MS Mincho"/>
          <w:snapToGrid w:val="0"/>
          <w:kern w:val="22"/>
          <w:szCs w:val="22"/>
          <w:lang w:val="fr-CA"/>
        </w:rPr>
        <w:t xml:space="preserve"> de mobilisation des ressources (paragraphes 2 et 3). Dans la même décision, la Conférence des Parties a exhorté </w:t>
      </w:r>
      <w:r w:rsidR="00CA737C" w:rsidRPr="00030A6C">
        <w:rPr>
          <w:snapToGrid w:val="0"/>
          <w:kern w:val="22"/>
          <w:szCs w:val="22"/>
          <w:lang w:val="fr-CA" w:bidi="fr-FR"/>
        </w:rPr>
        <w:t>les Parties qui ne l</w:t>
      </w:r>
      <w:r w:rsidR="00466152">
        <w:rPr>
          <w:snapToGrid w:val="0"/>
          <w:kern w:val="22"/>
          <w:szCs w:val="22"/>
          <w:lang w:val="fr-CA" w:bidi="fr-FR"/>
        </w:rPr>
        <w:t>’</w:t>
      </w:r>
      <w:r w:rsidR="00CA737C" w:rsidRPr="00030A6C">
        <w:rPr>
          <w:snapToGrid w:val="0"/>
          <w:kern w:val="22"/>
          <w:szCs w:val="22"/>
          <w:lang w:val="fr-CA" w:bidi="fr-FR"/>
        </w:rPr>
        <w:t>ont pas encore fait de communiquer les informations de référence nécessaires et de rendre compte des progrès accomplis au regard des objectifs de mobilisation des ressources avant le 1</w:t>
      </w:r>
      <w:r w:rsidR="00CA737C" w:rsidRPr="00030A6C">
        <w:rPr>
          <w:snapToGrid w:val="0"/>
          <w:kern w:val="22"/>
          <w:szCs w:val="22"/>
          <w:vertAlign w:val="superscript"/>
          <w:lang w:val="fr-CA" w:bidi="fr-FR"/>
        </w:rPr>
        <w:t>er</w:t>
      </w:r>
      <w:r w:rsidR="00CA737C">
        <w:rPr>
          <w:snapToGrid w:val="0"/>
          <w:kern w:val="22"/>
          <w:szCs w:val="22"/>
          <w:lang w:val="fr-CA" w:bidi="fr-FR"/>
        </w:rPr>
        <w:t> juillet </w:t>
      </w:r>
      <w:r w:rsidR="00CA737C" w:rsidRPr="00030A6C">
        <w:rPr>
          <w:snapToGrid w:val="0"/>
          <w:kern w:val="22"/>
          <w:szCs w:val="22"/>
          <w:lang w:val="fr-CA" w:bidi="fr-FR"/>
        </w:rPr>
        <w:t xml:space="preserve">2017, en utilisant le cadre de présentation des rapports financiers, et </w:t>
      </w:r>
      <w:r w:rsidR="00E56633">
        <w:rPr>
          <w:snapToGrid w:val="0"/>
          <w:kern w:val="22"/>
          <w:szCs w:val="22"/>
          <w:lang w:val="fr-CA" w:bidi="fr-FR"/>
        </w:rPr>
        <w:t>a invité</w:t>
      </w:r>
      <w:r w:rsidR="00CA737C" w:rsidRPr="00030A6C">
        <w:rPr>
          <w:snapToGrid w:val="0"/>
          <w:kern w:val="22"/>
          <w:szCs w:val="22"/>
          <w:lang w:val="fr-CA" w:bidi="fr-FR"/>
        </w:rPr>
        <w:t xml:space="preserve"> les Parties à mettre à jour, selon qu</w:t>
      </w:r>
      <w:r w:rsidR="00466152">
        <w:rPr>
          <w:snapToGrid w:val="0"/>
          <w:kern w:val="22"/>
          <w:szCs w:val="22"/>
          <w:lang w:val="fr-CA" w:bidi="fr-FR"/>
        </w:rPr>
        <w:t>’</w:t>
      </w:r>
      <w:r w:rsidR="00CA737C" w:rsidRPr="00030A6C">
        <w:rPr>
          <w:snapToGrid w:val="0"/>
          <w:kern w:val="22"/>
          <w:szCs w:val="22"/>
          <w:lang w:val="fr-CA" w:bidi="fr-FR"/>
        </w:rPr>
        <w:t>il convient, leur cadre de présentation des rapports financiers à mesure que des données co</w:t>
      </w:r>
      <w:r w:rsidR="00CA737C">
        <w:rPr>
          <w:snapToGrid w:val="0"/>
          <w:kern w:val="22"/>
          <w:szCs w:val="22"/>
          <w:lang w:val="fr-CA" w:bidi="fr-FR"/>
        </w:rPr>
        <w:t>nfirmées et/ou définitives pour </w:t>
      </w:r>
      <w:r w:rsidR="00CA737C" w:rsidRPr="00030A6C">
        <w:rPr>
          <w:snapToGrid w:val="0"/>
          <w:kern w:val="22"/>
          <w:szCs w:val="22"/>
          <w:lang w:val="fr-CA" w:bidi="fr-FR"/>
        </w:rPr>
        <w:t>2015 deviennent disponibles, en vue d</w:t>
      </w:r>
      <w:r w:rsidR="00466152">
        <w:rPr>
          <w:snapToGrid w:val="0"/>
          <w:kern w:val="22"/>
          <w:szCs w:val="22"/>
          <w:lang w:val="fr-CA" w:bidi="fr-FR"/>
        </w:rPr>
        <w:t>’</w:t>
      </w:r>
      <w:r w:rsidR="00CA737C" w:rsidRPr="00030A6C">
        <w:rPr>
          <w:snapToGrid w:val="0"/>
          <w:kern w:val="22"/>
          <w:szCs w:val="22"/>
          <w:lang w:val="fr-CA" w:bidi="fr-FR"/>
        </w:rPr>
        <w:t>étayer les données</w:t>
      </w:r>
      <w:r w:rsidR="00CA737C">
        <w:rPr>
          <w:snapToGrid w:val="0"/>
          <w:kern w:val="22"/>
          <w:szCs w:val="22"/>
          <w:lang w:val="fr-CA" w:bidi="fr-FR"/>
        </w:rPr>
        <w:t xml:space="preserve"> (paragraphe 6).</w:t>
      </w:r>
    </w:p>
    <w:p w:rsidR="00855A78" w:rsidRPr="004A0319" w:rsidRDefault="00E56633" w:rsidP="00E56633">
      <w:pPr>
        <w:pStyle w:val="bodytextnoindent"/>
        <w:widowControl/>
        <w:numPr>
          <w:ilvl w:val="0"/>
          <w:numId w:val="52"/>
        </w:numPr>
        <w:suppressLineNumbers/>
        <w:suppressAutoHyphens/>
        <w:kinsoku w:val="0"/>
        <w:snapToGrid w:val="0"/>
        <w:ind w:left="0" w:firstLine="0"/>
        <w:rPr>
          <w:rFonts w:cs="Times New Roman"/>
          <w:snapToGrid w:val="0"/>
          <w:kern w:val="22"/>
          <w:szCs w:val="22"/>
          <w:lang w:val="fr-CA"/>
        </w:rPr>
      </w:pPr>
      <w:r>
        <w:rPr>
          <w:rFonts w:cs="Times New Roman"/>
          <w:snapToGrid w:val="0"/>
          <w:kern w:val="22"/>
          <w:szCs w:val="22"/>
          <w:lang w:val="fr-CA"/>
        </w:rPr>
        <w:t xml:space="preserve">Dans la même décision, la Conférence des Parties a également prié la Secrétaire exécutive </w:t>
      </w:r>
      <w:r w:rsidRPr="00030A6C">
        <w:rPr>
          <w:snapToGrid w:val="0"/>
          <w:kern w:val="22"/>
          <w:szCs w:val="22"/>
          <w:lang w:val="fr-CA" w:bidi="fr-FR"/>
        </w:rPr>
        <w:t>de dresser un bilan et d</w:t>
      </w:r>
      <w:r w:rsidR="00466152">
        <w:rPr>
          <w:snapToGrid w:val="0"/>
          <w:kern w:val="22"/>
          <w:szCs w:val="22"/>
          <w:lang w:val="fr-CA" w:bidi="fr-FR"/>
        </w:rPr>
        <w:t>’</w:t>
      </w:r>
      <w:r w:rsidRPr="00030A6C">
        <w:rPr>
          <w:snapToGrid w:val="0"/>
          <w:kern w:val="22"/>
          <w:szCs w:val="22"/>
          <w:lang w:val="fr-CA" w:bidi="fr-FR"/>
        </w:rPr>
        <w:t>effectuer une analyse actualisée des rapports financiers reçus afin d</w:t>
      </w:r>
      <w:r w:rsidR="00466152">
        <w:rPr>
          <w:snapToGrid w:val="0"/>
          <w:kern w:val="22"/>
          <w:szCs w:val="22"/>
          <w:lang w:val="fr-CA" w:bidi="fr-FR"/>
        </w:rPr>
        <w:t>’</w:t>
      </w:r>
      <w:r w:rsidRPr="00030A6C">
        <w:rPr>
          <w:snapToGrid w:val="0"/>
          <w:kern w:val="22"/>
          <w:szCs w:val="22"/>
          <w:lang w:val="fr-CA" w:bidi="fr-FR"/>
        </w:rPr>
        <w:t>obtenir un tableau plus complet des progrès généraux accomplis dans la réalisation des objectifs mondiaux, y compris une analyse des différences entre les approches méthodologiques, afin de présenter des recommandations à la Conférence des Parties à sa quatorzième réunion</w:t>
      </w:r>
      <w:r>
        <w:rPr>
          <w:snapToGrid w:val="0"/>
          <w:kern w:val="22"/>
          <w:szCs w:val="22"/>
          <w:lang w:val="fr-CA" w:bidi="fr-FR"/>
        </w:rPr>
        <w:t xml:space="preserve"> (paragraphe 9)</w:t>
      </w:r>
      <w:r w:rsidR="008C1A62">
        <w:rPr>
          <w:snapToGrid w:val="0"/>
          <w:kern w:val="22"/>
          <w:szCs w:val="22"/>
          <w:lang w:val="fr-CA" w:bidi="fr-FR"/>
        </w:rPr>
        <w:t>.</w:t>
      </w:r>
    </w:p>
    <w:p w:rsidR="00855A78" w:rsidRPr="002E7A5B" w:rsidRDefault="00E56633" w:rsidP="00FF6124">
      <w:pPr>
        <w:pStyle w:val="ListParagraph"/>
        <w:numPr>
          <w:ilvl w:val="0"/>
          <w:numId w:val="52"/>
        </w:numPr>
        <w:suppressLineNumbers/>
        <w:suppressAutoHyphens/>
        <w:kinsoku w:val="0"/>
        <w:overflowPunct w:val="0"/>
        <w:autoSpaceDE w:val="0"/>
        <w:autoSpaceDN w:val="0"/>
        <w:adjustRightInd w:val="0"/>
        <w:snapToGrid w:val="0"/>
        <w:spacing w:after="120"/>
        <w:ind w:left="0" w:firstLine="0"/>
        <w:contextualSpacing w:val="0"/>
        <w:rPr>
          <w:snapToGrid w:val="0"/>
          <w:kern w:val="22"/>
          <w:szCs w:val="22"/>
          <w:lang w:val="fr-CA"/>
        </w:rPr>
      </w:pPr>
      <w:r>
        <w:rPr>
          <w:snapToGrid w:val="0"/>
          <w:kern w:val="22"/>
          <w:szCs w:val="22"/>
          <w:lang w:val="fr-CA"/>
        </w:rPr>
        <w:t>La plus récente analyse des informations fournies</w:t>
      </w:r>
      <w:r w:rsidRPr="00665C19">
        <w:rPr>
          <w:lang w:val="fr-FR"/>
        </w:rPr>
        <w:t xml:space="preserve"> </w:t>
      </w:r>
      <w:r w:rsidRPr="00030A6C">
        <w:rPr>
          <w:snapToGrid w:val="0"/>
          <w:kern w:val="22"/>
          <w:szCs w:val="22"/>
          <w:lang w:val="fr-CA" w:bidi="fr-FR"/>
        </w:rPr>
        <w:t>au moyen du cadre de présentation des rapports financiers</w:t>
      </w:r>
      <w:r>
        <w:rPr>
          <w:snapToGrid w:val="0"/>
          <w:kern w:val="22"/>
          <w:szCs w:val="22"/>
          <w:lang w:val="fr-CA" w:bidi="fr-FR"/>
        </w:rPr>
        <w:t xml:space="preserve"> a été transmise à la Conférence des Parties à sa treizième réunion.</w:t>
      </w:r>
      <w:r w:rsidRPr="004A0319">
        <w:rPr>
          <w:rStyle w:val="FootnoteReference"/>
          <w:snapToGrid w:val="0"/>
          <w:kern w:val="22"/>
          <w:szCs w:val="22"/>
          <w:lang w:val="fr-CA"/>
        </w:rPr>
        <w:footnoteReference w:id="2"/>
      </w:r>
      <w:r>
        <w:rPr>
          <w:snapToGrid w:val="0"/>
          <w:kern w:val="22"/>
          <w:szCs w:val="22"/>
          <w:lang w:val="fr-CA"/>
        </w:rPr>
        <w:t xml:space="preserve"> La date d</w:t>
      </w:r>
      <w:r w:rsidR="00466152">
        <w:rPr>
          <w:snapToGrid w:val="0"/>
          <w:kern w:val="22"/>
          <w:szCs w:val="22"/>
          <w:lang w:val="fr-CA"/>
        </w:rPr>
        <w:t>’</w:t>
      </w:r>
      <w:r>
        <w:rPr>
          <w:snapToGrid w:val="0"/>
          <w:kern w:val="22"/>
          <w:szCs w:val="22"/>
          <w:lang w:val="fr-CA"/>
        </w:rPr>
        <w:t>échéance de cette analyse était le 15 novembre 2016. Entre cette date et le 1</w:t>
      </w:r>
      <w:r>
        <w:rPr>
          <w:snapToGrid w:val="0"/>
          <w:kern w:val="22"/>
          <w:szCs w:val="22"/>
          <w:vertAlign w:val="superscript"/>
          <w:lang w:val="fr-CA"/>
        </w:rPr>
        <w:t>er</w:t>
      </w:r>
      <w:r>
        <w:rPr>
          <w:snapToGrid w:val="0"/>
          <w:kern w:val="22"/>
          <w:szCs w:val="22"/>
          <w:lang w:val="fr-CA"/>
        </w:rPr>
        <w:t> mars 2018, trois nouvelles soumissions ont été reçues</w:t>
      </w:r>
      <w:r w:rsidR="006F1EEA">
        <w:rPr>
          <w:snapToGrid w:val="0"/>
          <w:kern w:val="22"/>
          <w:szCs w:val="22"/>
          <w:lang w:val="fr-CA"/>
        </w:rPr>
        <w:t xml:space="preserve"> (</w:t>
      </w:r>
      <w:r w:rsidR="006F1EEA" w:rsidRPr="00B17F01">
        <w:rPr>
          <w:kern w:val="22"/>
          <w:szCs w:val="22"/>
          <w:lang w:val="fr-CA"/>
        </w:rPr>
        <w:t>Koweït, Malte et Mauritanie</w:t>
      </w:r>
      <w:r w:rsidR="006F1EEA">
        <w:rPr>
          <w:kern w:val="22"/>
          <w:szCs w:val="22"/>
          <w:lang w:val="fr-CA"/>
        </w:rPr>
        <w:t>). D</w:t>
      </w:r>
      <w:r w:rsidR="006F1EEA" w:rsidRPr="00B17F01">
        <w:rPr>
          <w:kern w:val="22"/>
          <w:szCs w:val="22"/>
          <w:lang w:val="fr-CA"/>
        </w:rPr>
        <w:t>es données actualisées concernant les informations de référence et les progrès accomplis jusqu</w:t>
      </w:r>
      <w:r w:rsidR="00466152">
        <w:rPr>
          <w:kern w:val="22"/>
          <w:szCs w:val="22"/>
          <w:lang w:val="fr-CA"/>
        </w:rPr>
        <w:t>’</w:t>
      </w:r>
      <w:r w:rsidR="006F1EEA" w:rsidRPr="00B17F01">
        <w:rPr>
          <w:kern w:val="22"/>
          <w:szCs w:val="22"/>
          <w:lang w:val="fr-CA"/>
        </w:rPr>
        <w:t>en 201</w:t>
      </w:r>
      <w:r w:rsidR="006F1EEA">
        <w:rPr>
          <w:kern w:val="22"/>
          <w:szCs w:val="22"/>
          <w:lang w:val="fr-CA"/>
        </w:rPr>
        <w:t xml:space="preserve">5 ont été reçues des pays suivants : </w:t>
      </w:r>
      <w:r w:rsidR="006F1EEA" w:rsidRPr="00B17F01">
        <w:rPr>
          <w:kern w:val="22"/>
          <w:szCs w:val="22"/>
          <w:lang w:val="fr-CA"/>
        </w:rPr>
        <w:t>Allemagne, Autriche, Danemark, Espagne, Estonie, Japon, Luxemburg, Pologne, Slovénie, Suède, et Tchéquie</w:t>
      </w:r>
      <w:r w:rsidR="006F1EEA">
        <w:rPr>
          <w:kern w:val="22"/>
          <w:szCs w:val="22"/>
          <w:lang w:val="fr-CA"/>
        </w:rPr>
        <w:t xml:space="preserve"> ainsi que Union européenne. L</w:t>
      </w:r>
      <w:r w:rsidR="00466152">
        <w:rPr>
          <w:kern w:val="22"/>
          <w:szCs w:val="22"/>
          <w:lang w:val="fr-CA"/>
        </w:rPr>
        <w:t>’</w:t>
      </w:r>
      <w:r w:rsidR="006F1EEA">
        <w:rPr>
          <w:kern w:val="22"/>
          <w:szCs w:val="22"/>
          <w:lang w:val="fr-CA"/>
        </w:rPr>
        <w:t xml:space="preserve">Autriche </w:t>
      </w:r>
      <w:r w:rsidR="006F1EEA" w:rsidRPr="00D86ED8">
        <w:rPr>
          <w:lang w:val="fr-CA"/>
        </w:rPr>
        <w:t>et la Suède avaient déjà fait rapport sur les progrès jusqu</w:t>
      </w:r>
      <w:r w:rsidR="00466152">
        <w:rPr>
          <w:lang w:val="fr-CA"/>
        </w:rPr>
        <w:t>’</w:t>
      </w:r>
      <w:r w:rsidR="006F1EEA" w:rsidRPr="00D86ED8">
        <w:rPr>
          <w:lang w:val="fr-CA"/>
        </w:rPr>
        <w:t xml:space="preserve">en 2020, au cours du deuxième cycle </w:t>
      </w:r>
      <w:r w:rsidR="006F1EEA" w:rsidRPr="00D86ED8">
        <w:rPr>
          <w:lang w:val="fr-CA"/>
        </w:rPr>
        <w:lastRenderedPageBreak/>
        <w:t>d</w:t>
      </w:r>
      <w:r w:rsidR="00466152">
        <w:rPr>
          <w:lang w:val="fr-CA"/>
        </w:rPr>
        <w:t>’</w:t>
      </w:r>
      <w:r w:rsidR="006F1EEA" w:rsidRPr="00D86ED8">
        <w:rPr>
          <w:lang w:val="fr-CA"/>
        </w:rPr>
        <w:t>établissement de rapports</w:t>
      </w:r>
      <w:r w:rsidR="00FF6124">
        <w:rPr>
          <w:lang w:val="fr-CA"/>
        </w:rPr>
        <w:t>,</w:t>
      </w:r>
      <w:r w:rsidR="006F1EEA" w:rsidRPr="00D86ED8">
        <w:rPr>
          <w:lang w:val="fr-CA"/>
        </w:rPr>
        <w:t xml:space="preserve"> conformément au paragraphe 8 de la décision XIII/20</w:t>
      </w:r>
      <w:r w:rsidR="00FF6124">
        <w:rPr>
          <w:lang w:val="fr-CA"/>
        </w:rPr>
        <w:t xml:space="preserve">. </w:t>
      </w:r>
      <w:r w:rsidR="00FF6124" w:rsidRPr="00B17F01">
        <w:rPr>
          <w:kern w:val="22"/>
          <w:szCs w:val="22"/>
          <w:lang w:val="fr-CA"/>
        </w:rPr>
        <w:t>Cela porte à 76 le nombre de Parties ayant soumis des informations au moyen du cadre de présentation des rapports financiers. La liste consolidée des Parties ayant soumis des informations par le biais du cadre de présentation des rapports financiers au 1</w:t>
      </w:r>
      <w:r w:rsidR="00FF6124" w:rsidRPr="00B17F01">
        <w:rPr>
          <w:kern w:val="22"/>
          <w:szCs w:val="22"/>
          <w:vertAlign w:val="superscript"/>
          <w:lang w:val="fr-CA"/>
        </w:rPr>
        <w:t>er</w:t>
      </w:r>
      <w:r w:rsidR="00FF6124" w:rsidRPr="00B17F01">
        <w:rPr>
          <w:kern w:val="22"/>
          <w:szCs w:val="22"/>
          <w:lang w:val="fr-CA"/>
        </w:rPr>
        <w:t> mars </w:t>
      </w:r>
      <w:r w:rsidR="00FF6124" w:rsidRPr="00B17F01">
        <w:rPr>
          <w:noProof/>
          <w:kern w:val="22"/>
          <w:szCs w:val="22"/>
          <w:lang w:val="fr-CA"/>
        </w:rPr>
        <w:t>2018 figure</w:t>
      </w:r>
      <w:r w:rsidR="00FF6124">
        <w:rPr>
          <w:kern w:val="22"/>
          <w:szCs w:val="22"/>
          <w:lang w:val="fr-CA"/>
        </w:rPr>
        <w:t xml:space="preserve"> à l</w:t>
      </w:r>
      <w:r w:rsidR="00466152">
        <w:rPr>
          <w:kern w:val="22"/>
          <w:szCs w:val="22"/>
          <w:lang w:val="fr-CA"/>
        </w:rPr>
        <w:t>’</w:t>
      </w:r>
      <w:r w:rsidR="00FF6124">
        <w:rPr>
          <w:kern w:val="22"/>
          <w:szCs w:val="22"/>
          <w:lang w:val="fr-CA"/>
        </w:rPr>
        <w:t xml:space="preserve">annexe II du présent document. </w:t>
      </w:r>
      <w:r w:rsidR="00FF6124" w:rsidRPr="00B17F01">
        <w:rPr>
          <w:kern w:val="22"/>
          <w:szCs w:val="22"/>
          <w:lang w:val="fr-CA"/>
        </w:rPr>
        <w:t>Le nombre encore limité de rapports soumis et les progrès limités dans l</w:t>
      </w:r>
      <w:r w:rsidR="00466152">
        <w:rPr>
          <w:kern w:val="22"/>
          <w:szCs w:val="22"/>
          <w:lang w:val="fr-CA"/>
        </w:rPr>
        <w:t>’</w:t>
      </w:r>
      <w:r w:rsidR="00FF6124" w:rsidRPr="00B17F01">
        <w:rPr>
          <w:kern w:val="22"/>
          <w:szCs w:val="22"/>
          <w:lang w:val="fr-CA"/>
        </w:rPr>
        <w:t>établissement de rapports depuis 2015 doivent être pris en compte dans l</w:t>
      </w:r>
      <w:r w:rsidR="00466152">
        <w:rPr>
          <w:kern w:val="22"/>
          <w:szCs w:val="22"/>
          <w:lang w:val="fr-CA"/>
        </w:rPr>
        <w:t>’</w:t>
      </w:r>
      <w:r w:rsidR="00FF6124" w:rsidRPr="00B17F01">
        <w:rPr>
          <w:kern w:val="22"/>
          <w:szCs w:val="22"/>
          <w:lang w:val="fr-CA"/>
        </w:rPr>
        <w:t>évaluation de certaines informations quantitatives et semi</w:t>
      </w:r>
      <w:r w:rsidR="00466152">
        <w:rPr>
          <w:kern w:val="22"/>
          <w:szCs w:val="22"/>
          <w:lang w:val="fr-CA"/>
        </w:rPr>
        <w:noBreakHyphen/>
      </w:r>
      <w:r w:rsidR="00FF6124" w:rsidRPr="00B17F01">
        <w:rPr>
          <w:kern w:val="22"/>
          <w:szCs w:val="22"/>
          <w:lang w:val="fr-CA"/>
        </w:rPr>
        <w:t>quantitatives figurant dans la présente section</w:t>
      </w:r>
      <w:r w:rsidR="00FF6124">
        <w:rPr>
          <w:kern w:val="22"/>
          <w:szCs w:val="22"/>
          <w:lang w:val="fr-CA"/>
        </w:rPr>
        <w:t>.</w:t>
      </w:r>
    </w:p>
    <w:p w:rsidR="002E7A5B" w:rsidRPr="00665C19" w:rsidRDefault="002E7A5B" w:rsidP="002E7A5B">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fr-FR"/>
        </w:rPr>
      </w:pPr>
      <w:r w:rsidRPr="002E7A5B">
        <w:rPr>
          <w:snapToGrid w:val="0"/>
          <w:kern w:val="22"/>
          <w:szCs w:val="22"/>
          <w:lang w:val="fr-CA"/>
        </w:rPr>
        <w:t>Un bilan et une analyse consolidés sont exposés dans les sections ci</w:t>
      </w:r>
      <w:r w:rsidR="00466152">
        <w:rPr>
          <w:snapToGrid w:val="0"/>
          <w:kern w:val="22"/>
          <w:szCs w:val="22"/>
          <w:lang w:val="fr-CA"/>
        </w:rPr>
        <w:noBreakHyphen/>
      </w:r>
      <w:r w:rsidRPr="002E7A5B">
        <w:rPr>
          <w:snapToGrid w:val="0"/>
          <w:kern w:val="22"/>
          <w:szCs w:val="22"/>
          <w:lang w:val="fr-CA"/>
        </w:rPr>
        <w:t>après, conformément à la structure du cadre de présentation des rapports financiers. Afin de brosser un tableau plus complet, les informations extraites des cadres de présentation des rapports financiers sont complétées, comme il convient, avec des informations émanant d</w:t>
      </w:r>
      <w:r w:rsidR="00466152">
        <w:rPr>
          <w:snapToGrid w:val="0"/>
          <w:kern w:val="22"/>
          <w:szCs w:val="22"/>
          <w:lang w:val="fr-CA"/>
        </w:rPr>
        <w:t>’</w:t>
      </w:r>
      <w:r w:rsidRPr="002E7A5B">
        <w:rPr>
          <w:snapToGrid w:val="0"/>
          <w:kern w:val="22"/>
          <w:szCs w:val="22"/>
          <w:lang w:val="fr-CA"/>
        </w:rPr>
        <w:t>autres sources, telles que l</w:t>
      </w:r>
      <w:r w:rsidR="00466152">
        <w:rPr>
          <w:snapToGrid w:val="0"/>
          <w:kern w:val="22"/>
          <w:szCs w:val="22"/>
          <w:lang w:val="fr-CA"/>
        </w:rPr>
        <w:t>’</w:t>
      </w:r>
      <w:r w:rsidRPr="002E7A5B">
        <w:rPr>
          <w:snapToGrid w:val="0"/>
          <w:kern w:val="22"/>
          <w:szCs w:val="22"/>
          <w:lang w:val="fr-CA"/>
        </w:rPr>
        <w:t>Initiative pour le financement de la biodiversité (BIOFIN) du Programme des Nations Unies pour le développement (PNUD) et l</w:t>
      </w:r>
      <w:r w:rsidR="00466152">
        <w:rPr>
          <w:snapToGrid w:val="0"/>
          <w:kern w:val="22"/>
          <w:szCs w:val="22"/>
          <w:lang w:val="fr-CA"/>
        </w:rPr>
        <w:t>’</w:t>
      </w:r>
      <w:r w:rsidRPr="002E7A5B">
        <w:rPr>
          <w:snapToGrid w:val="0"/>
          <w:kern w:val="22"/>
          <w:szCs w:val="22"/>
          <w:lang w:val="fr-CA"/>
        </w:rPr>
        <w:t>analyse de 153 stratégies et plans d</w:t>
      </w:r>
      <w:r w:rsidR="00466152">
        <w:rPr>
          <w:snapToGrid w:val="0"/>
          <w:kern w:val="22"/>
          <w:szCs w:val="22"/>
          <w:lang w:val="fr-CA"/>
        </w:rPr>
        <w:t>’</w:t>
      </w:r>
      <w:r w:rsidRPr="002E7A5B">
        <w:rPr>
          <w:snapToGrid w:val="0"/>
          <w:kern w:val="22"/>
          <w:szCs w:val="22"/>
          <w:lang w:val="fr-CA"/>
        </w:rPr>
        <w:t>action nationaux pour la biodiversité (SPANB) reçus dans l</w:t>
      </w:r>
      <w:r w:rsidR="00466152">
        <w:rPr>
          <w:snapToGrid w:val="0"/>
          <w:kern w:val="22"/>
          <w:szCs w:val="22"/>
          <w:lang w:val="fr-CA"/>
        </w:rPr>
        <w:t>’</w:t>
      </w:r>
      <w:r w:rsidRPr="002E7A5B">
        <w:rPr>
          <w:snapToGrid w:val="0"/>
          <w:kern w:val="22"/>
          <w:szCs w:val="22"/>
          <w:lang w:val="fr-CA"/>
        </w:rPr>
        <w:t>une des langues officielles des Nations Unies entre l</w:t>
      </w:r>
      <w:r w:rsidR="00466152">
        <w:rPr>
          <w:snapToGrid w:val="0"/>
          <w:kern w:val="22"/>
          <w:szCs w:val="22"/>
          <w:lang w:val="fr-CA"/>
        </w:rPr>
        <w:t>’</w:t>
      </w:r>
      <w:r w:rsidRPr="002E7A5B">
        <w:rPr>
          <w:snapToGrid w:val="0"/>
          <w:kern w:val="22"/>
          <w:szCs w:val="22"/>
          <w:lang w:val="fr-CA"/>
        </w:rPr>
        <w:t>adoption du Plan stratégique 2011</w:t>
      </w:r>
      <w:r w:rsidR="00466152">
        <w:rPr>
          <w:snapToGrid w:val="0"/>
          <w:kern w:val="22"/>
          <w:szCs w:val="22"/>
          <w:lang w:val="fr-CA"/>
        </w:rPr>
        <w:noBreakHyphen/>
      </w:r>
      <w:r w:rsidRPr="002E7A5B">
        <w:rPr>
          <w:snapToGrid w:val="0"/>
          <w:kern w:val="22"/>
          <w:szCs w:val="22"/>
          <w:lang w:val="fr-CA"/>
        </w:rPr>
        <w:t xml:space="preserve">2020 pour la diversité biologique et le 14 mars 2018, comme présenté dans la mise </w:t>
      </w:r>
      <w:proofErr w:type="spellStart"/>
      <w:r w:rsidRPr="002E7A5B">
        <w:rPr>
          <w:snapToGrid w:val="0"/>
          <w:kern w:val="22"/>
          <w:szCs w:val="22"/>
          <w:lang w:val="fr-CA"/>
        </w:rPr>
        <w:t>a</w:t>
      </w:r>
      <w:proofErr w:type="spellEnd"/>
      <w:r w:rsidRPr="002E7A5B">
        <w:rPr>
          <w:snapToGrid w:val="0"/>
          <w:kern w:val="22"/>
          <w:szCs w:val="22"/>
          <w:lang w:val="fr-CA"/>
        </w:rPr>
        <w:t xml:space="preserve"> jour concernant les progrès réalisés dans la révision/mise à jour et la mise en œuvre des stratégies et plans d</w:t>
      </w:r>
      <w:r w:rsidR="00466152">
        <w:rPr>
          <w:snapToGrid w:val="0"/>
          <w:kern w:val="22"/>
          <w:szCs w:val="22"/>
          <w:lang w:val="fr-CA"/>
        </w:rPr>
        <w:t>’</w:t>
      </w:r>
      <w:r w:rsidRPr="002E7A5B">
        <w:rPr>
          <w:snapToGrid w:val="0"/>
          <w:kern w:val="22"/>
          <w:szCs w:val="22"/>
          <w:lang w:val="fr-CA"/>
        </w:rPr>
        <w:t>action nationaux pour la biodiversité, y compris des objectifs nationau</w:t>
      </w:r>
      <w:r w:rsidR="00CB3296">
        <w:rPr>
          <w:snapToGrid w:val="0"/>
          <w:kern w:val="22"/>
          <w:szCs w:val="22"/>
          <w:lang w:val="fr-CA"/>
        </w:rPr>
        <w:t>x</w:t>
      </w:r>
      <w:r w:rsidR="00CB3296" w:rsidRPr="00665C19">
        <w:rPr>
          <w:lang w:val="fr-FR"/>
        </w:rPr>
        <w:t xml:space="preserve"> (</w:t>
      </w:r>
      <w:hyperlink r:id="rId14" w:history="1">
        <w:r w:rsidR="00CB3296">
          <w:rPr>
            <w:rStyle w:val="Hyperlink"/>
            <w:sz w:val="22"/>
            <w:lang w:val="fr-CA"/>
          </w:rPr>
          <w:t>CBD/SBI/2/2/Add.1</w:t>
        </w:r>
      </w:hyperlink>
      <w:r w:rsidR="00CB3296">
        <w:rPr>
          <w:lang w:val="fr-CA"/>
        </w:rPr>
        <w:t xml:space="preserve">). </w:t>
      </w:r>
      <w:r w:rsidRPr="002E7A5B">
        <w:rPr>
          <w:lang w:val="fr-CA"/>
        </w:rPr>
        <w:t xml:space="preserve"> Les objectifs individuels relatifs à la mobilisation des ressources figurent à l</w:t>
      </w:r>
      <w:r w:rsidR="00466152">
        <w:rPr>
          <w:lang w:val="fr-CA"/>
        </w:rPr>
        <w:t>’</w:t>
      </w:r>
      <w:r w:rsidRPr="002E7A5B">
        <w:rPr>
          <w:lang w:val="fr-CA"/>
        </w:rPr>
        <w:t>annexe I, aux fins de référence. Les données, en particulier les informations additionnelles sur les questions de méthodologie et autres, telles que fournies par les Parties dans les champs de commentaires, peuvent également être consultées au moyen de l</w:t>
      </w:r>
      <w:r w:rsidR="00466152">
        <w:rPr>
          <w:lang w:val="fr-CA"/>
        </w:rPr>
        <w:t>’</w:t>
      </w:r>
      <w:r w:rsidRPr="002E7A5B">
        <w:rPr>
          <w:lang w:val="fr-CA"/>
        </w:rPr>
        <w:t>outil d</w:t>
      </w:r>
      <w:r w:rsidR="00466152">
        <w:rPr>
          <w:lang w:val="fr-CA"/>
        </w:rPr>
        <w:t>’</w:t>
      </w:r>
      <w:r w:rsidRPr="002E7A5B">
        <w:rPr>
          <w:lang w:val="fr-CA"/>
        </w:rPr>
        <w:t>analyse en ligne pour les rapports financiers (</w:t>
      </w:r>
      <w:hyperlink r:id="rId15" w:history="1">
        <w:r w:rsidRPr="002E7A5B">
          <w:rPr>
            <w:rStyle w:val="Hyperlink"/>
            <w:snapToGrid w:val="0"/>
            <w:kern w:val="22"/>
            <w:sz w:val="22"/>
            <w:szCs w:val="22"/>
            <w:lang w:val="fr-CA"/>
          </w:rPr>
          <w:t>Financial Report Analyser</w:t>
        </w:r>
      </w:hyperlink>
      <w:r w:rsidRPr="002E7A5B">
        <w:rPr>
          <w:lang w:val="fr-CA"/>
        </w:rPr>
        <w:t>)</w:t>
      </w:r>
      <w:r w:rsidRPr="00665C19">
        <w:rPr>
          <w:snapToGrid w:val="0"/>
          <w:kern w:val="22"/>
          <w:szCs w:val="22"/>
          <w:lang w:val="fr-FR"/>
        </w:rPr>
        <w:t xml:space="preserve"> </w:t>
      </w:r>
    </w:p>
    <w:p w:rsidR="00855A78" w:rsidRPr="004A0319" w:rsidRDefault="00855A78" w:rsidP="00E20545">
      <w:pPr>
        <w:pStyle w:val="Heading1"/>
        <w:suppressLineNumbers/>
        <w:tabs>
          <w:tab w:val="clear" w:pos="720"/>
        </w:tabs>
        <w:suppressAutoHyphens/>
        <w:kinsoku w:val="0"/>
        <w:overflowPunct w:val="0"/>
        <w:autoSpaceDE w:val="0"/>
        <w:autoSpaceDN w:val="0"/>
        <w:adjustRightInd w:val="0"/>
        <w:snapToGrid w:val="0"/>
        <w:spacing w:before="120"/>
        <w:ind w:left="360"/>
        <w:rPr>
          <w:snapToGrid w:val="0"/>
          <w:kern w:val="22"/>
          <w:szCs w:val="22"/>
          <w:lang w:val="fr-CA"/>
        </w:rPr>
      </w:pPr>
      <w:r w:rsidRPr="004A0319">
        <w:rPr>
          <w:snapToGrid w:val="0"/>
          <w:kern w:val="22"/>
          <w:szCs w:val="22"/>
          <w:lang w:val="fr-CA"/>
        </w:rPr>
        <w:t>II.</w:t>
      </w:r>
      <w:r w:rsidR="004A1AC3" w:rsidRPr="004A0319">
        <w:rPr>
          <w:snapToGrid w:val="0"/>
          <w:kern w:val="22"/>
          <w:szCs w:val="22"/>
          <w:lang w:val="fr-CA"/>
        </w:rPr>
        <w:tab/>
      </w:r>
      <w:r w:rsidR="00E20545" w:rsidRPr="00B17F01">
        <w:rPr>
          <w:snapToGrid w:val="0"/>
          <w:kern w:val="22"/>
          <w:szCs w:val="22"/>
          <w:lang w:val="fr-CA"/>
        </w:rPr>
        <w:t>flux de ressources financières internationales</w:t>
      </w:r>
    </w:p>
    <w:p w:rsidR="00855A78" w:rsidRPr="00665C19" w:rsidRDefault="002E7A5B" w:rsidP="002E7A5B">
      <w:pPr>
        <w:numPr>
          <w:ilvl w:val="0"/>
          <w:numId w:val="52"/>
        </w:numPr>
        <w:suppressLineNumbers/>
        <w:suppressAutoHyphens/>
        <w:kinsoku w:val="0"/>
        <w:overflowPunct w:val="0"/>
        <w:autoSpaceDE w:val="0"/>
        <w:autoSpaceDN w:val="0"/>
        <w:adjustRightInd w:val="0"/>
        <w:snapToGrid w:val="0"/>
        <w:spacing w:after="120"/>
        <w:ind w:left="0" w:firstLine="0"/>
        <w:rPr>
          <w:noProof/>
          <w:snapToGrid w:val="0"/>
          <w:kern w:val="22"/>
          <w:szCs w:val="22"/>
          <w:lang w:val="fr-FR"/>
        </w:rPr>
      </w:pPr>
      <w:r w:rsidRPr="002E7A5B">
        <w:rPr>
          <w:snapToGrid w:val="0"/>
          <w:kern w:val="22"/>
          <w:lang w:val="fr-CA"/>
        </w:rPr>
        <w:t>Au total, 30 Parties (23 des 30 membres du Comité d</w:t>
      </w:r>
      <w:r w:rsidR="00466152">
        <w:rPr>
          <w:snapToGrid w:val="0"/>
          <w:kern w:val="22"/>
          <w:lang w:val="fr-CA"/>
        </w:rPr>
        <w:t>’</w:t>
      </w:r>
      <w:r w:rsidRPr="002E7A5B">
        <w:rPr>
          <w:snapToGrid w:val="0"/>
          <w:kern w:val="22"/>
          <w:lang w:val="fr-CA"/>
        </w:rPr>
        <w:t>assistance au développement (CAD) et 7 non</w:t>
      </w:r>
      <w:r w:rsidR="00466152">
        <w:rPr>
          <w:snapToGrid w:val="0"/>
          <w:kern w:val="22"/>
          <w:lang w:val="fr-CA"/>
        </w:rPr>
        <w:noBreakHyphen/>
      </w:r>
      <w:r w:rsidRPr="002E7A5B">
        <w:rPr>
          <w:snapToGrid w:val="0"/>
          <w:kern w:val="22"/>
          <w:lang w:val="fr-CA"/>
        </w:rPr>
        <w:t>membres) ont transmis des informations sur le montant de ressources fournies à l</w:t>
      </w:r>
      <w:r w:rsidR="00466152">
        <w:rPr>
          <w:snapToGrid w:val="0"/>
          <w:kern w:val="22"/>
          <w:lang w:val="fr-CA"/>
        </w:rPr>
        <w:t>’</w:t>
      </w:r>
      <w:r w:rsidRPr="002E7A5B">
        <w:rPr>
          <w:snapToGrid w:val="0"/>
          <w:kern w:val="22"/>
          <w:lang w:val="fr-CA"/>
        </w:rPr>
        <w:t xml:space="preserve">appui de la biodiversité aux pays en </w:t>
      </w:r>
      <w:r w:rsidRPr="002E7A5B">
        <w:rPr>
          <w:noProof/>
          <w:snapToGrid w:val="0"/>
          <w:kern w:val="22"/>
          <w:lang w:val="fr-CA"/>
        </w:rPr>
        <w:t>développement, en particulier aux pays les moins avancés et aux petits États insulaires en développement ainsi qu</w:t>
      </w:r>
      <w:r w:rsidR="00466152">
        <w:rPr>
          <w:noProof/>
          <w:snapToGrid w:val="0"/>
          <w:kern w:val="22"/>
          <w:lang w:val="fr-CA"/>
        </w:rPr>
        <w:t>’</w:t>
      </w:r>
      <w:r w:rsidRPr="002E7A5B">
        <w:rPr>
          <w:noProof/>
          <w:snapToGrid w:val="0"/>
          <w:kern w:val="22"/>
          <w:lang w:val="fr-CA"/>
        </w:rPr>
        <w:t>aux pays à économie en transition :</w:t>
      </w:r>
      <w:r w:rsidRPr="00665C19">
        <w:rPr>
          <w:noProof/>
          <w:snapToGrid w:val="0"/>
          <w:kern w:val="22"/>
          <w:szCs w:val="22"/>
          <w:lang w:val="fr-FR"/>
        </w:rPr>
        <w:t xml:space="preserve"> </w:t>
      </w:r>
    </w:p>
    <w:p w:rsidR="00855A78" w:rsidRPr="004A0319" w:rsidRDefault="00442643" w:rsidP="00442643">
      <w:pPr>
        <w:numPr>
          <w:ilvl w:val="1"/>
          <w:numId w:val="54"/>
        </w:numPr>
        <w:suppressLineNumbers/>
        <w:suppressAutoHyphens/>
        <w:kinsoku w:val="0"/>
        <w:overflowPunct w:val="0"/>
        <w:autoSpaceDE w:val="0"/>
        <w:autoSpaceDN w:val="0"/>
        <w:adjustRightInd w:val="0"/>
        <w:snapToGrid w:val="0"/>
        <w:spacing w:after="120"/>
        <w:ind w:left="0" w:firstLine="720"/>
        <w:rPr>
          <w:noProof/>
          <w:snapToGrid w:val="0"/>
          <w:kern w:val="22"/>
          <w:szCs w:val="22"/>
          <w:lang w:val="fr-CA"/>
        </w:rPr>
      </w:pPr>
      <w:r>
        <w:rPr>
          <w:noProof/>
          <w:snapToGrid w:val="0"/>
          <w:kern w:val="22"/>
          <w:szCs w:val="22"/>
          <w:lang w:val="fr-CA"/>
        </w:rPr>
        <w:t>Vingt</w:t>
      </w:r>
      <w:r w:rsidR="00466152">
        <w:rPr>
          <w:noProof/>
          <w:snapToGrid w:val="0"/>
          <w:kern w:val="22"/>
          <w:szCs w:val="22"/>
          <w:lang w:val="fr-CA"/>
        </w:rPr>
        <w:noBreakHyphen/>
      </w:r>
      <w:r>
        <w:rPr>
          <w:noProof/>
          <w:snapToGrid w:val="0"/>
          <w:kern w:val="22"/>
          <w:szCs w:val="22"/>
          <w:lang w:val="fr-CA"/>
        </w:rPr>
        <w:t>six Parties (22 membres CAD et 4 non</w:t>
      </w:r>
      <w:r w:rsidR="00466152">
        <w:rPr>
          <w:noProof/>
          <w:snapToGrid w:val="0"/>
          <w:kern w:val="22"/>
          <w:szCs w:val="22"/>
          <w:lang w:val="fr-CA"/>
        </w:rPr>
        <w:noBreakHyphen/>
      </w:r>
      <w:r>
        <w:rPr>
          <w:noProof/>
          <w:snapToGrid w:val="0"/>
          <w:kern w:val="22"/>
          <w:szCs w:val="22"/>
          <w:lang w:val="fr-CA"/>
        </w:rPr>
        <w:t>membres) ont fait état de données de référence. Parmi les 22 membres CAD se trouvent les 9 plus importants donateurs à l</w:t>
      </w:r>
      <w:r w:rsidR="00466152">
        <w:rPr>
          <w:noProof/>
          <w:snapToGrid w:val="0"/>
          <w:kern w:val="22"/>
          <w:szCs w:val="22"/>
          <w:lang w:val="fr-CA"/>
        </w:rPr>
        <w:t>’</w:t>
      </w:r>
      <w:r>
        <w:rPr>
          <w:noProof/>
          <w:snapToGrid w:val="0"/>
          <w:kern w:val="22"/>
          <w:szCs w:val="22"/>
          <w:lang w:val="fr-CA"/>
        </w:rPr>
        <w:t>aide bilatérale liée à la biodiversité</w:t>
      </w:r>
      <w:r w:rsidRPr="004A0319">
        <w:rPr>
          <w:rStyle w:val="FootnoteReference"/>
          <w:noProof/>
          <w:snapToGrid w:val="0"/>
          <w:kern w:val="22"/>
          <w:szCs w:val="22"/>
          <w:lang w:val="fr-CA"/>
        </w:rPr>
        <w:footnoteReference w:id="3"/>
      </w:r>
      <w:r>
        <w:rPr>
          <w:noProof/>
          <w:snapToGrid w:val="0"/>
          <w:kern w:val="22"/>
          <w:szCs w:val="22"/>
          <w:lang w:val="fr-CA"/>
        </w:rPr>
        <w:t xml:space="preserve"> pendant les années de référence (sauf pour le deuxième plus important donateur durant cette période, qui n</w:t>
      </w:r>
      <w:r w:rsidR="00466152">
        <w:rPr>
          <w:noProof/>
          <w:snapToGrid w:val="0"/>
          <w:kern w:val="22"/>
          <w:szCs w:val="22"/>
          <w:lang w:val="fr-CA"/>
        </w:rPr>
        <w:t>’</w:t>
      </w:r>
      <w:r>
        <w:rPr>
          <w:noProof/>
          <w:snapToGrid w:val="0"/>
          <w:kern w:val="22"/>
          <w:szCs w:val="22"/>
          <w:lang w:val="fr-CA"/>
        </w:rPr>
        <w:t>est pas une Partie à la Convention). À cause d</w:t>
      </w:r>
      <w:r w:rsidR="00466152">
        <w:rPr>
          <w:noProof/>
          <w:snapToGrid w:val="0"/>
          <w:kern w:val="22"/>
          <w:szCs w:val="22"/>
          <w:lang w:val="fr-CA"/>
        </w:rPr>
        <w:t>’</w:t>
      </w:r>
      <w:r>
        <w:rPr>
          <w:noProof/>
          <w:snapToGrid w:val="0"/>
          <w:kern w:val="22"/>
          <w:szCs w:val="22"/>
          <w:lang w:val="fr-CA"/>
        </w:rPr>
        <w:t>un manque de données ou de leur statut modifié, quatre pays n</w:t>
      </w:r>
      <w:r w:rsidR="00466152">
        <w:rPr>
          <w:noProof/>
          <w:snapToGrid w:val="0"/>
          <w:kern w:val="22"/>
          <w:szCs w:val="22"/>
          <w:lang w:val="fr-CA"/>
        </w:rPr>
        <w:t>’</w:t>
      </w:r>
      <w:r>
        <w:rPr>
          <w:noProof/>
          <w:snapToGrid w:val="0"/>
          <w:kern w:val="22"/>
          <w:szCs w:val="22"/>
          <w:lang w:val="fr-CA"/>
        </w:rPr>
        <w:t>ont pas fait état de données de référence, mais ont tout de même indiqué des progrès (Bulgarie, Chili, Malte, Slovénie);</w:t>
      </w:r>
    </w:p>
    <w:p w:rsidR="00855A78" w:rsidRPr="004A0319" w:rsidRDefault="00442643" w:rsidP="00FA6E0C">
      <w:pPr>
        <w:numPr>
          <w:ilvl w:val="1"/>
          <w:numId w:val="54"/>
        </w:numPr>
        <w:suppressLineNumbers/>
        <w:suppressAutoHyphens/>
        <w:kinsoku w:val="0"/>
        <w:overflowPunct w:val="0"/>
        <w:autoSpaceDE w:val="0"/>
        <w:autoSpaceDN w:val="0"/>
        <w:adjustRightInd w:val="0"/>
        <w:snapToGrid w:val="0"/>
        <w:spacing w:after="120"/>
        <w:ind w:left="0" w:firstLine="720"/>
        <w:rPr>
          <w:noProof/>
          <w:snapToGrid w:val="0"/>
          <w:kern w:val="22"/>
          <w:szCs w:val="22"/>
          <w:lang w:val="fr-CA"/>
        </w:rPr>
      </w:pPr>
      <w:r>
        <w:rPr>
          <w:noProof/>
          <w:snapToGrid w:val="0"/>
          <w:kern w:val="22"/>
          <w:szCs w:val="22"/>
          <w:lang w:val="fr-CA"/>
        </w:rPr>
        <w:t>Vingt</w:t>
      </w:r>
      <w:r w:rsidR="00466152">
        <w:rPr>
          <w:noProof/>
          <w:snapToGrid w:val="0"/>
          <w:kern w:val="22"/>
          <w:szCs w:val="22"/>
          <w:lang w:val="fr-CA"/>
        </w:rPr>
        <w:noBreakHyphen/>
      </w:r>
      <w:r>
        <w:rPr>
          <w:noProof/>
          <w:snapToGrid w:val="0"/>
          <w:kern w:val="22"/>
          <w:szCs w:val="22"/>
          <w:lang w:val="fr-CA"/>
        </w:rPr>
        <w:t>trois Parties (16 membres CAD et 7 non</w:t>
      </w:r>
      <w:r w:rsidR="00466152">
        <w:rPr>
          <w:noProof/>
          <w:snapToGrid w:val="0"/>
          <w:kern w:val="22"/>
          <w:szCs w:val="22"/>
          <w:lang w:val="fr-CA"/>
        </w:rPr>
        <w:noBreakHyphen/>
      </w:r>
      <w:r>
        <w:rPr>
          <w:noProof/>
          <w:snapToGrid w:val="0"/>
          <w:kern w:val="22"/>
          <w:szCs w:val="22"/>
          <w:lang w:val="fr-CA"/>
        </w:rPr>
        <w:t xml:space="preserve">membres) </w:t>
      </w:r>
      <w:r w:rsidR="00FA6E0C">
        <w:rPr>
          <w:noProof/>
          <w:snapToGrid w:val="0"/>
          <w:kern w:val="22"/>
          <w:szCs w:val="22"/>
          <w:lang w:val="fr-CA"/>
        </w:rPr>
        <w:t xml:space="preserve">ont fait état des données de 2015. Ces 23 Parties représentent </w:t>
      </w:r>
      <w:r w:rsidR="00FA6E0C" w:rsidRPr="00B17F01">
        <w:rPr>
          <w:bCs/>
          <w:iCs/>
          <w:noProof/>
          <w:lang w:val="fr-CA"/>
        </w:rPr>
        <w:t>collectivement 85 pour cent du total des informations de référence présentées</w:t>
      </w:r>
      <w:r w:rsidR="00FA6E0C">
        <w:rPr>
          <w:bCs/>
          <w:iCs/>
          <w:noProof/>
          <w:lang w:val="fr-CA"/>
        </w:rPr>
        <w:t>.</w:t>
      </w:r>
      <w:r w:rsidR="00FA6E0C" w:rsidRPr="004A0319">
        <w:rPr>
          <w:rStyle w:val="FootnoteReference"/>
          <w:noProof/>
          <w:snapToGrid w:val="0"/>
          <w:kern w:val="22"/>
          <w:szCs w:val="22"/>
          <w:lang w:val="fr-CA"/>
        </w:rPr>
        <w:footnoteReference w:id="4"/>
      </w:r>
    </w:p>
    <w:p w:rsidR="00855A78" w:rsidRPr="004A0319" w:rsidRDefault="00FA6E0C" w:rsidP="00A84D93">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fr-CA"/>
        </w:rPr>
      </w:pPr>
      <w:r>
        <w:rPr>
          <w:noProof/>
          <w:snapToGrid w:val="0"/>
          <w:kern w:val="22"/>
          <w:szCs w:val="22"/>
          <w:lang w:val="fr-CA"/>
        </w:rPr>
        <w:t>Deux non</w:t>
      </w:r>
      <w:r w:rsidR="00466152">
        <w:rPr>
          <w:noProof/>
          <w:snapToGrid w:val="0"/>
          <w:kern w:val="22"/>
          <w:szCs w:val="22"/>
          <w:lang w:val="fr-CA"/>
        </w:rPr>
        <w:noBreakHyphen/>
      </w:r>
      <w:r>
        <w:rPr>
          <w:noProof/>
          <w:snapToGrid w:val="0"/>
          <w:kern w:val="22"/>
          <w:szCs w:val="22"/>
          <w:lang w:val="fr-CA"/>
        </w:rPr>
        <w:t>membres CAD (Inde et</w:t>
      </w:r>
      <w:r>
        <w:rPr>
          <w:snapToGrid w:val="0"/>
          <w:kern w:val="22"/>
          <w:szCs w:val="22"/>
          <w:lang w:val="fr-CA"/>
        </w:rPr>
        <w:t xml:space="preserve"> Mexique) n</w:t>
      </w:r>
      <w:r w:rsidR="00466152">
        <w:rPr>
          <w:snapToGrid w:val="0"/>
          <w:kern w:val="22"/>
          <w:szCs w:val="22"/>
          <w:lang w:val="fr-CA"/>
        </w:rPr>
        <w:t>’</w:t>
      </w:r>
      <w:r>
        <w:rPr>
          <w:snapToGrid w:val="0"/>
          <w:kern w:val="22"/>
          <w:szCs w:val="22"/>
          <w:lang w:val="fr-CA"/>
        </w:rPr>
        <w:t>ont fourni aucune information quantitative, mais ont fait référence à leurs programmes de coopération au développement</w:t>
      </w:r>
      <w:r w:rsidR="00A84D93">
        <w:rPr>
          <w:snapToGrid w:val="0"/>
          <w:kern w:val="22"/>
          <w:szCs w:val="22"/>
          <w:lang w:val="fr-CA"/>
        </w:rPr>
        <w:t>, notant des contraintes méthodologiques dans l</w:t>
      </w:r>
      <w:r w:rsidR="00466152">
        <w:rPr>
          <w:snapToGrid w:val="0"/>
          <w:kern w:val="22"/>
          <w:szCs w:val="22"/>
          <w:lang w:val="fr-CA"/>
        </w:rPr>
        <w:t>’</w:t>
      </w:r>
      <w:r w:rsidR="00A84D93">
        <w:rPr>
          <w:snapToGrid w:val="0"/>
          <w:kern w:val="22"/>
          <w:szCs w:val="22"/>
          <w:lang w:val="fr-CA"/>
        </w:rPr>
        <w:t>identification de flux financiers liés à la biodiversité.</w:t>
      </w:r>
    </w:p>
    <w:p w:rsidR="00855A78" w:rsidRPr="004A0319" w:rsidRDefault="00A84D93" w:rsidP="00547437">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fr-CA"/>
        </w:rPr>
      </w:pPr>
      <w:r>
        <w:rPr>
          <w:snapToGrid w:val="0"/>
          <w:kern w:val="22"/>
          <w:szCs w:val="22"/>
          <w:lang w:val="fr-CA"/>
        </w:rPr>
        <w:t>Afin de mesurer les progrès accomplis par chaque pays, l</w:t>
      </w:r>
      <w:r w:rsidR="00466152">
        <w:rPr>
          <w:snapToGrid w:val="0"/>
          <w:kern w:val="22"/>
          <w:szCs w:val="22"/>
          <w:lang w:val="fr-CA"/>
        </w:rPr>
        <w:t>’</w:t>
      </w:r>
      <w:r>
        <w:rPr>
          <w:snapToGrid w:val="0"/>
          <w:kern w:val="22"/>
          <w:szCs w:val="22"/>
          <w:lang w:val="fr-CA"/>
        </w:rPr>
        <w:t>annexe IV présente les augmentations</w:t>
      </w:r>
      <w:r w:rsidR="00CC0069">
        <w:rPr>
          <w:snapToGrid w:val="0"/>
          <w:kern w:val="22"/>
          <w:szCs w:val="22"/>
          <w:lang w:val="fr-CA"/>
        </w:rPr>
        <w:t xml:space="preserve"> </w:t>
      </w:r>
      <w:r w:rsidR="00E20CFE">
        <w:rPr>
          <w:snapToGrid w:val="0"/>
          <w:kern w:val="22"/>
          <w:szCs w:val="22"/>
          <w:lang w:val="fr-CA"/>
        </w:rPr>
        <w:t>de</w:t>
      </w:r>
      <w:r>
        <w:rPr>
          <w:snapToGrid w:val="0"/>
          <w:kern w:val="22"/>
          <w:szCs w:val="22"/>
          <w:lang w:val="fr-CA"/>
        </w:rPr>
        <w:t xml:space="preserve"> chaque pays</w:t>
      </w:r>
      <w:r w:rsidR="00CC0069">
        <w:rPr>
          <w:snapToGrid w:val="0"/>
          <w:kern w:val="22"/>
          <w:szCs w:val="22"/>
          <w:lang w:val="fr-CA"/>
        </w:rPr>
        <w:t xml:space="preserve"> dans la devise indiqué</w:t>
      </w:r>
      <w:r w:rsidR="00547437">
        <w:rPr>
          <w:snapToGrid w:val="0"/>
          <w:kern w:val="22"/>
          <w:szCs w:val="22"/>
          <w:lang w:val="fr-CA"/>
        </w:rPr>
        <w:t>e, pour</w:t>
      </w:r>
      <w:r w:rsidR="00CC0069">
        <w:rPr>
          <w:snapToGrid w:val="0"/>
          <w:kern w:val="22"/>
          <w:szCs w:val="22"/>
          <w:lang w:val="fr-CA"/>
        </w:rPr>
        <w:t xml:space="preserve"> 2015 ou la </w:t>
      </w:r>
      <w:r w:rsidR="00877314">
        <w:rPr>
          <w:snapToGrid w:val="0"/>
          <w:kern w:val="22"/>
          <w:szCs w:val="22"/>
          <w:lang w:val="fr-CA"/>
        </w:rPr>
        <w:t>plus récente</w:t>
      </w:r>
      <w:r w:rsidR="00CC0069">
        <w:rPr>
          <w:snapToGrid w:val="0"/>
          <w:kern w:val="22"/>
          <w:szCs w:val="22"/>
          <w:lang w:val="fr-CA"/>
        </w:rPr>
        <w:t xml:space="preserve"> année de production de rapport, </w:t>
      </w:r>
      <w:r w:rsidR="00723FE7">
        <w:rPr>
          <w:snapToGrid w:val="0"/>
          <w:kern w:val="22"/>
          <w:szCs w:val="22"/>
          <w:lang w:val="fr-CA"/>
        </w:rPr>
        <w:t>sous forme de quotients</w:t>
      </w:r>
      <w:r w:rsidR="00877314">
        <w:rPr>
          <w:snapToGrid w:val="0"/>
          <w:kern w:val="22"/>
          <w:szCs w:val="22"/>
          <w:lang w:val="fr-CA"/>
        </w:rPr>
        <w:t>.</w:t>
      </w:r>
      <w:r w:rsidR="00E20CFE" w:rsidRPr="00E20CFE">
        <w:rPr>
          <w:rStyle w:val="FootnoteReference"/>
          <w:snapToGrid w:val="0"/>
          <w:kern w:val="22"/>
          <w:szCs w:val="22"/>
          <w:lang w:val="fr-CA"/>
        </w:rPr>
        <w:t xml:space="preserve"> </w:t>
      </w:r>
      <w:r w:rsidR="00E20CFE" w:rsidRPr="004A0319">
        <w:rPr>
          <w:rStyle w:val="FootnoteReference"/>
          <w:snapToGrid w:val="0"/>
          <w:kern w:val="22"/>
          <w:szCs w:val="22"/>
          <w:lang w:val="fr-CA"/>
        </w:rPr>
        <w:footnoteReference w:id="5"/>
      </w:r>
      <w:r w:rsidR="00877314">
        <w:rPr>
          <w:snapToGrid w:val="0"/>
          <w:kern w:val="22"/>
          <w:szCs w:val="22"/>
          <w:lang w:val="fr-CA"/>
        </w:rPr>
        <w:t xml:space="preserve"> </w:t>
      </w:r>
      <w:r w:rsidR="00A37711">
        <w:rPr>
          <w:snapToGrid w:val="0"/>
          <w:kern w:val="22"/>
          <w:szCs w:val="22"/>
          <w:lang w:val="fr-CA"/>
        </w:rPr>
        <w:t>Parmi les Parties présentant les données de 2015, les Parties suivantes ont au moins doublé leurs flux de ressources financières internationales fournis avant 2015 :</w:t>
      </w:r>
      <w:r>
        <w:rPr>
          <w:snapToGrid w:val="0"/>
          <w:kern w:val="22"/>
          <w:szCs w:val="22"/>
          <w:lang w:val="fr-CA"/>
        </w:rPr>
        <w:t xml:space="preserve"> </w:t>
      </w:r>
      <w:r w:rsidR="00547437">
        <w:rPr>
          <w:snapToGrid w:val="0"/>
          <w:kern w:val="22"/>
          <w:szCs w:val="22"/>
          <w:lang w:val="fr-CA"/>
        </w:rPr>
        <w:t xml:space="preserve">Allemagne, </w:t>
      </w:r>
      <w:r w:rsidR="00A37711">
        <w:rPr>
          <w:snapToGrid w:val="0"/>
          <w:kern w:val="22"/>
          <w:szCs w:val="22"/>
          <w:lang w:val="fr-CA"/>
        </w:rPr>
        <w:t>Chine, Croatie, Estonie</w:t>
      </w:r>
      <w:r w:rsidR="00A37711" w:rsidRPr="004A0319">
        <w:rPr>
          <w:snapToGrid w:val="0"/>
          <w:kern w:val="22"/>
          <w:szCs w:val="22"/>
          <w:lang w:val="fr-CA"/>
        </w:rPr>
        <w:t xml:space="preserve">, France, </w:t>
      </w:r>
      <w:r w:rsidR="00A37711">
        <w:rPr>
          <w:snapToGrid w:val="0"/>
          <w:kern w:val="22"/>
          <w:szCs w:val="22"/>
          <w:lang w:val="fr-CA"/>
        </w:rPr>
        <w:t>Lettonie</w:t>
      </w:r>
      <w:r w:rsidR="00A37711" w:rsidRPr="004A0319">
        <w:rPr>
          <w:snapToGrid w:val="0"/>
          <w:kern w:val="22"/>
          <w:szCs w:val="22"/>
          <w:lang w:val="fr-CA"/>
        </w:rPr>
        <w:t xml:space="preserve">, </w:t>
      </w:r>
      <w:r w:rsidR="00A37711">
        <w:rPr>
          <w:snapToGrid w:val="0"/>
          <w:kern w:val="22"/>
          <w:szCs w:val="22"/>
          <w:lang w:val="fr-CA"/>
        </w:rPr>
        <w:t>Luxembourg, Norvège et institutions de l</w:t>
      </w:r>
      <w:r w:rsidR="00466152">
        <w:rPr>
          <w:snapToGrid w:val="0"/>
          <w:kern w:val="22"/>
          <w:szCs w:val="22"/>
          <w:lang w:val="fr-CA"/>
        </w:rPr>
        <w:t>’</w:t>
      </w:r>
      <w:r w:rsidR="00A37711">
        <w:rPr>
          <w:snapToGrid w:val="0"/>
          <w:kern w:val="22"/>
          <w:szCs w:val="22"/>
          <w:lang w:val="fr-CA"/>
        </w:rPr>
        <w:t>Union européenne.</w:t>
      </w:r>
      <w:r>
        <w:rPr>
          <w:snapToGrid w:val="0"/>
          <w:kern w:val="22"/>
          <w:szCs w:val="22"/>
          <w:lang w:val="fr-CA"/>
        </w:rPr>
        <w:t xml:space="preserve"> </w:t>
      </w:r>
      <w:r w:rsidR="00547437">
        <w:rPr>
          <w:snapToGrid w:val="0"/>
          <w:kern w:val="22"/>
          <w:szCs w:val="22"/>
          <w:lang w:val="fr-CA"/>
        </w:rPr>
        <w:t xml:space="preserve">Les États </w:t>
      </w:r>
      <w:r w:rsidR="00547437">
        <w:rPr>
          <w:snapToGrid w:val="0"/>
          <w:kern w:val="22"/>
          <w:szCs w:val="22"/>
          <w:lang w:val="fr-CA"/>
        </w:rPr>
        <w:lastRenderedPageBreak/>
        <w:t>membres de l</w:t>
      </w:r>
      <w:r w:rsidR="00466152">
        <w:rPr>
          <w:snapToGrid w:val="0"/>
          <w:kern w:val="22"/>
          <w:szCs w:val="22"/>
          <w:lang w:val="fr-CA"/>
        </w:rPr>
        <w:t>’</w:t>
      </w:r>
      <w:r w:rsidR="00547437">
        <w:rPr>
          <w:snapToGrid w:val="0"/>
          <w:kern w:val="22"/>
          <w:szCs w:val="22"/>
          <w:lang w:val="fr-CA"/>
        </w:rPr>
        <w:t>Union européenne faisant état de leurs données pour 2015 ont collectivement presque doublé leurs flux de ressources financières internationales.</w:t>
      </w:r>
    </w:p>
    <w:p w:rsidR="00855A78" w:rsidRPr="004A0319" w:rsidRDefault="00547437" w:rsidP="003B130B">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fr-CA"/>
        </w:rPr>
      </w:pPr>
      <w:r>
        <w:rPr>
          <w:snapToGrid w:val="0"/>
          <w:kern w:val="22"/>
          <w:szCs w:val="22"/>
          <w:lang w:val="fr-CA"/>
        </w:rPr>
        <w:t>Afin d</w:t>
      </w:r>
      <w:r w:rsidR="00466152">
        <w:rPr>
          <w:snapToGrid w:val="0"/>
          <w:kern w:val="22"/>
          <w:szCs w:val="22"/>
          <w:lang w:val="fr-CA"/>
        </w:rPr>
        <w:t>’</w:t>
      </w:r>
      <w:r w:rsidR="003B130B">
        <w:rPr>
          <w:snapToGrid w:val="0"/>
          <w:kern w:val="22"/>
          <w:szCs w:val="22"/>
          <w:lang w:val="fr-CA"/>
        </w:rPr>
        <w:t>évaluer</w:t>
      </w:r>
      <w:r>
        <w:rPr>
          <w:snapToGrid w:val="0"/>
          <w:kern w:val="22"/>
          <w:szCs w:val="22"/>
          <w:lang w:val="fr-CA"/>
        </w:rPr>
        <w:t xml:space="preserve"> les progrès accomplis collectivement, la méthode utilisée dans les rapports précédents était de convertir les données soumises dans les devises nationales en USD, d</w:t>
      </w:r>
      <w:r w:rsidR="00466152">
        <w:rPr>
          <w:snapToGrid w:val="0"/>
          <w:kern w:val="22"/>
          <w:szCs w:val="22"/>
          <w:lang w:val="fr-CA"/>
        </w:rPr>
        <w:t>’</w:t>
      </w:r>
      <w:r>
        <w:rPr>
          <w:snapToGrid w:val="0"/>
          <w:kern w:val="22"/>
          <w:szCs w:val="22"/>
          <w:lang w:val="fr-CA"/>
        </w:rPr>
        <w:t>additionner les données de références individuelles telles que fournies par les Parties (à savoir, la moyenne des données 2006</w:t>
      </w:r>
      <w:r w:rsidR="00466152">
        <w:rPr>
          <w:snapToGrid w:val="0"/>
          <w:kern w:val="22"/>
          <w:szCs w:val="22"/>
          <w:lang w:val="fr-CA"/>
        </w:rPr>
        <w:noBreakHyphen/>
      </w:r>
      <w:r>
        <w:rPr>
          <w:snapToGrid w:val="0"/>
          <w:kern w:val="22"/>
          <w:szCs w:val="22"/>
          <w:lang w:val="fr-CA"/>
        </w:rPr>
        <w:t>2010 par Partie)</w:t>
      </w:r>
      <w:r w:rsidR="00F00E22">
        <w:rPr>
          <w:snapToGrid w:val="0"/>
          <w:kern w:val="22"/>
          <w:szCs w:val="22"/>
          <w:lang w:val="fr-CA"/>
        </w:rPr>
        <w:t xml:space="preserve"> ainsi que les données annuelles, et de diviser les données annuelles agrégées par les données de référence agrégées.</w:t>
      </w:r>
      <w:r w:rsidR="00F00E22" w:rsidRPr="004A0319">
        <w:rPr>
          <w:rStyle w:val="FootnoteReference"/>
          <w:snapToGrid w:val="0"/>
          <w:kern w:val="22"/>
          <w:szCs w:val="22"/>
          <w:lang w:val="fr-CA"/>
        </w:rPr>
        <w:footnoteReference w:id="6"/>
      </w:r>
      <w:r w:rsidR="00F00E22" w:rsidRPr="004A0319">
        <w:rPr>
          <w:snapToGrid w:val="0"/>
          <w:kern w:val="22"/>
          <w:szCs w:val="22"/>
          <w:lang w:val="fr-CA"/>
        </w:rPr>
        <w:t xml:space="preserve"> </w:t>
      </w:r>
      <w:r w:rsidR="005E62D3">
        <w:rPr>
          <w:snapToGrid w:val="0"/>
          <w:kern w:val="22"/>
          <w:szCs w:val="22"/>
          <w:lang w:val="fr-CA"/>
        </w:rPr>
        <w:t>Les quotients obtenus pour 2013, 2014 et 2015 figurent dans le tableau 1 ci</w:t>
      </w:r>
      <w:r w:rsidR="00466152">
        <w:rPr>
          <w:snapToGrid w:val="0"/>
          <w:kern w:val="22"/>
          <w:szCs w:val="22"/>
          <w:lang w:val="fr-CA"/>
        </w:rPr>
        <w:noBreakHyphen/>
      </w:r>
      <w:r w:rsidR="005E62D3">
        <w:rPr>
          <w:snapToGrid w:val="0"/>
          <w:kern w:val="22"/>
          <w:szCs w:val="22"/>
          <w:lang w:val="fr-CA"/>
        </w:rPr>
        <w:t>dessous. Plusieurs variantes sont présentées pour permettre d</w:t>
      </w:r>
      <w:r w:rsidR="00466152">
        <w:rPr>
          <w:snapToGrid w:val="0"/>
          <w:kern w:val="22"/>
          <w:szCs w:val="22"/>
          <w:lang w:val="fr-CA"/>
        </w:rPr>
        <w:t>’</w:t>
      </w:r>
      <w:r w:rsidR="007A4AC3">
        <w:rPr>
          <w:snapToGrid w:val="0"/>
          <w:kern w:val="22"/>
          <w:szCs w:val="22"/>
          <w:lang w:val="fr-CA"/>
        </w:rPr>
        <w:t>apprécier</w:t>
      </w:r>
      <w:r w:rsidR="005E62D3">
        <w:rPr>
          <w:snapToGrid w:val="0"/>
          <w:kern w:val="22"/>
          <w:szCs w:val="22"/>
          <w:lang w:val="fr-CA"/>
        </w:rPr>
        <w:t xml:space="preserve"> les différences entre les approches méthodologiques, comme dem</w:t>
      </w:r>
      <w:r w:rsidR="003B130B">
        <w:rPr>
          <w:snapToGrid w:val="0"/>
          <w:kern w:val="22"/>
          <w:szCs w:val="22"/>
          <w:lang w:val="fr-CA"/>
        </w:rPr>
        <w:t>andé dans la décision XIII/20 :</w:t>
      </w:r>
    </w:p>
    <w:p w:rsidR="00855A78" w:rsidRPr="004A0319" w:rsidRDefault="006A3E8B" w:rsidP="003B130B">
      <w:pPr>
        <w:numPr>
          <w:ilvl w:val="1"/>
          <w:numId w:val="55"/>
        </w:numPr>
        <w:suppressLineNumbers/>
        <w:suppressAutoHyphens/>
        <w:kinsoku w:val="0"/>
        <w:overflowPunct w:val="0"/>
        <w:autoSpaceDE w:val="0"/>
        <w:autoSpaceDN w:val="0"/>
        <w:adjustRightInd w:val="0"/>
        <w:snapToGrid w:val="0"/>
        <w:spacing w:after="120"/>
        <w:ind w:left="0" w:firstLine="720"/>
        <w:rPr>
          <w:snapToGrid w:val="0"/>
          <w:kern w:val="22"/>
          <w:szCs w:val="22"/>
          <w:lang w:val="fr-CA"/>
        </w:rPr>
      </w:pPr>
      <w:r>
        <w:rPr>
          <w:snapToGrid w:val="0"/>
          <w:kern w:val="22"/>
          <w:szCs w:val="22"/>
          <w:lang w:val="fr-CA"/>
        </w:rPr>
        <w:t>S</w:t>
      </w:r>
      <w:r w:rsidR="00466152">
        <w:rPr>
          <w:snapToGrid w:val="0"/>
          <w:kern w:val="22"/>
          <w:szCs w:val="22"/>
          <w:lang w:val="fr-CA"/>
        </w:rPr>
        <w:t>’</w:t>
      </w:r>
      <w:r>
        <w:rPr>
          <w:snapToGrid w:val="0"/>
          <w:kern w:val="22"/>
          <w:szCs w:val="22"/>
          <w:lang w:val="fr-CA"/>
        </w:rPr>
        <w:t>agissant</w:t>
      </w:r>
      <w:r w:rsidR="007A4AC3">
        <w:rPr>
          <w:snapToGrid w:val="0"/>
          <w:kern w:val="22"/>
          <w:szCs w:val="22"/>
          <w:lang w:val="fr-CA"/>
        </w:rPr>
        <w:t xml:space="preserve"> de l</w:t>
      </w:r>
      <w:r w:rsidR="00466152">
        <w:rPr>
          <w:snapToGrid w:val="0"/>
          <w:kern w:val="22"/>
          <w:szCs w:val="22"/>
          <w:lang w:val="fr-CA"/>
        </w:rPr>
        <w:t>’</w:t>
      </w:r>
      <w:r w:rsidR="007A4AC3">
        <w:rPr>
          <w:snapToGrid w:val="0"/>
          <w:kern w:val="22"/>
          <w:szCs w:val="22"/>
          <w:lang w:val="fr-CA"/>
        </w:rPr>
        <w:t>approche I, seules les données de référence des pays qui ont fait état de progrès au cours d</w:t>
      </w:r>
      <w:r w:rsidR="00466152">
        <w:rPr>
          <w:snapToGrid w:val="0"/>
          <w:kern w:val="22"/>
          <w:szCs w:val="22"/>
          <w:lang w:val="fr-CA"/>
        </w:rPr>
        <w:t>’</w:t>
      </w:r>
      <w:r w:rsidR="007A4AC3">
        <w:rPr>
          <w:snapToGrid w:val="0"/>
          <w:kern w:val="22"/>
          <w:szCs w:val="22"/>
          <w:lang w:val="fr-CA"/>
        </w:rPr>
        <w:t xml:space="preserve">une année </w:t>
      </w:r>
      <w:r w:rsidR="00E72197">
        <w:rPr>
          <w:snapToGrid w:val="0"/>
          <w:kern w:val="22"/>
          <w:szCs w:val="22"/>
          <w:lang w:val="fr-CA"/>
        </w:rPr>
        <w:t>donnée</w:t>
      </w:r>
      <w:r w:rsidR="007A4AC3">
        <w:rPr>
          <w:snapToGrid w:val="0"/>
          <w:kern w:val="22"/>
          <w:szCs w:val="22"/>
          <w:lang w:val="fr-CA"/>
        </w:rPr>
        <w:t xml:space="preserve"> sont utilisées pour calculer</w:t>
      </w:r>
      <w:r>
        <w:rPr>
          <w:snapToGrid w:val="0"/>
          <w:kern w:val="22"/>
          <w:szCs w:val="22"/>
          <w:lang w:val="fr-CA"/>
        </w:rPr>
        <w:t xml:space="preserve"> le niveau de référence global</w:t>
      </w:r>
      <w:r w:rsidR="007A4AC3">
        <w:rPr>
          <w:snapToGrid w:val="0"/>
          <w:kern w:val="22"/>
          <w:szCs w:val="22"/>
          <w:lang w:val="fr-CA"/>
        </w:rPr>
        <w:t>;</w:t>
      </w:r>
    </w:p>
    <w:p w:rsidR="00855A78" w:rsidRPr="004A0319" w:rsidRDefault="006A3E8B" w:rsidP="003B130B">
      <w:pPr>
        <w:numPr>
          <w:ilvl w:val="1"/>
          <w:numId w:val="55"/>
        </w:numPr>
        <w:suppressLineNumbers/>
        <w:suppressAutoHyphens/>
        <w:kinsoku w:val="0"/>
        <w:overflowPunct w:val="0"/>
        <w:autoSpaceDE w:val="0"/>
        <w:autoSpaceDN w:val="0"/>
        <w:adjustRightInd w:val="0"/>
        <w:snapToGrid w:val="0"/>
        <w:spacing w:after="120"/>
        <w:ind w:left="0" w:firstLine="720"/>
        <w:rPr>
          <w:snapToGrid w:val="0"/>
          <w:kern w:val="22"/>
          <w:szCs w:val="22"/>
          <w:lang w:val="fr-CA"/>
        </w:rPr>
      </w:pPr>
      <w:r>
        <w:rPr>
          <w:snapToGrid w:val="0"/>
          <w:kern w:val="22"/>
          <w:szCs w:val="22"/>
          <w:lang w:val="fr-CA"/>
        </w:rPr>
        <w:t>S</w:t>
      </w:r>
      <w:r w:rsidR="00466152">
        <w:rPr>
          <w:snapToGrid w:val="0"/>
          <w:kern w:val="22"/>
          <w:szCs w:val="22"/>
          <w:lang w:val="fr-CA"/>
        </w:rPr>
        <w:t>’</w:t>
      </w:r>
      <w:r>
        <w:rPr>
          <w:snapToGrid w:val="0"/>
          <w:kern w:val="22"/>
          <w:szCs w:val="22"/>
          <w:lang w:val="fr-CA"/>
        </w:rPr>
        <w:t>agissant de l</w:t>
      </w:r>
      <w:r w:rsidR="00466152">
        <w:rPr>
          <w:snapToGrid w:val="0"/>
          <w:kern w:val="22"/>
          <w:szCs w:val="22"/>
          <w:lang w:val="fr-CA"/>
        </w:rPr>
        <w:t>’</w:t>
      </w:r>
      <w:r>
        <w:rPr>
          <w:snapToGrid w:val="0"/>
          <w:kern w:val="22"/>
          <w:szCs w:val="22"/>
          <w:lang w:val="fr-CA"/>
        </w:rPr>
        <w:t xml:space="preserve">approche II, toutes les données de </w:t>
      </w:r>
      <w:r w:rsidR="000C32A3">
        <w:rPr>
          <w:snapToGrid w:val="0"/>
          <w:kern w:val="22"/>
          <w:szCs w:val="22"/>
          <w:lang w:val="fr-CA"/>
        </w:rPr>
        <w:t>référence</w:t>
      </w:r>
      <w:r>
        <w:rPr>
          <w:snapToGrid w:val="0"/>
          <w:kern w:val="22"/>
          <w:szCs w:val="22"/>
          <w:lang w:val="fr-CA"/>
        </w:rPr>
        <w:t xml:space="preserve"> nationales sont utilisées pour calculer le niveau de référence global, ce qui signifie que la contribution des pays qui n</w:t>
      </w:r>
      <w:r w:rsidR="00466152">
        <w:rPr>
          <w:snapToGrid w:val="0"/>
          <w:kern w:val="22"/>
          <w:szCs w:val="22"/>
          <w:lang w:val="fr-CA"/>
        </w:rPr>
        <w:t>’</w:t>
      </w:r>
      <w:r>
        <w:rPr>
          <w:snapToGrid w:val="0"/>
          <w:kern w:val="22"/>
          <w:szCs w:val="22"/>
          <w:lang w:val="fr-CA"/>
        </w:rPr>
        <w:t xml:space="preserve">ont pas encore présenté de rapports pour une année </w:t>
      </w:r>
      <w:r w:rsidR="00E72197">
        <w:rPr>
          <w:snapToGrid w:val="0"/>
          <w:kern w:val="22"/>
          <w:szCs w:val="22"/>
          <w:lang w:val="fr-CA"/>
        </w:rPr>
        <w:t>donnée</w:t>
      </w:r>
      <w:r w:rsidR="003B130B">
        <w:rPr>
          <w:snapToGrid w:val="0"/>
          <w:kern w:val="22"/>
          <w:szCs w:val="22"/>
          <w:lang w:val="fr-CA"/>
        </w:rPr>
        <w:t xml:space="preserve"> est comptée comme étant zéro.</w:t>
      </w:r>
    </w:p>
    <w:p w:rsidR="00855A78" w:rsidRPr="004A0319" w:rsidRDefault="00E72197" w:rsidP="00A04A7B">
      <w:pPr>
        <w:numPr>
          <w:ilvl w:val="0"/>
          <w:numId w:val="52"/>
        </w:numPr>
        <w:suppressLineNumbers/>
        <w:suppressAutoHyphens/>
        <w:kinsoku w:val="0"/>
        <w:overflowPunct w:val="0"/>
        <w:autoSpaceDE w:val="0"/>
        <w:autoSpaceDN w:val="0"/>
        <w:adjustRightInd w:val="0"/>
        <w:snapToGrid w:val="0"/>
        <w:spacing w:after="120"/>
        <w:ind w:left="0" w:firstLine="0"/>
        <w:rPr>
          <w:noProof/>
          <w:snapToGrid w:val="0"/>
          <w:kern w:val="22"/>
          <w:szCs w:val="22"/>
          <w:lang w:val="fr-CA"/>
        </w:rPr>
      </w:pPr>
      <w:r>
        <w:rPr>
          <w:snapToGrid w:val="0"/>
          <w:kern w:val="22"/>
          <w:szCs w:val="22"/>
          <w:lang w:val="fr-CA"/>
        </w:rPr>
        <w:t>Les deux approches utilisent les taux de change moyens annuels pour chacune des années.</w:t>
      </w:r>
      <w:r w:rsidRPr="004A0319">
        <w:rPr>
          <w:rStyle w:val="FootnoteReference"/>
          <w:snapToGrid w:val="0"/>
          <w:kern w:val="22"/>
          <w:szCs w:val="22"/>
          <w:lang w:val="fr-CA"/>
        </w:rPr>
        <w:footnoteReference w:id="7"/>
      </w:r>
      <w:r>
        <w:rPr>
          <w:snapToGrid w:val="0"/>
          <w:kern w:val="22"/>
          <w:szCs w:val="22"/>
          <w:lang w:val="fr-CA"/>
        </w:rPr>
        <w:t xml:space="preserve"> </w:t>
      </w:r>
      <w:r w:rsidR="00A10389">
        <w:rPr>
          <w:snapToGrid w:val="0"/>
          <w:kern w:val="22"/>
          <w:szCs w:val="22"/>
          <w:lang w:val="fr-CA"/>
        </w:rPr>
        <w:t>Cependant, la forte appréciation du dollar des É.</w:t>
      </w:r>
      <w:r w:rsidR="00466152">
        <w:rPr>
          <w:snapToGrid w:val="0"/>
          <w:kern w:val="22"/>
          <w:szCs w:val="22"/>
          <w:lang w:val="fr-CA"/>
        </w:rPr>
        <w:noBreakHyphen/>
      </w:r>
      <w:r w:rsidR="00A10389">
        <w:rPr>
          <w:snapToGrid w:val="0"/>
          <w:kern w:val="22"/>
          <w:szCs w:val="22"/>
          <w:lang w:val="fr-CA"/>
        </w:rPr>
        <w:t xml:space="preserve">U. (USD) </w:t>
      </w:r>
      <w:r w:rsidR="00A04A7B">
        <w:rPr>
          <w:snapToGrid w:val="0"/>
          <w:kern w:val="22"/>
          <w:szCs w:val="22"/>
          <w:lang w:val="fr-CA"/>
        </w:rPr>
        <w:t>par rapport à de nombreuses autres devises en 2015 a entraîné une différence sub</w:t>
      </w:r>
      <w:r w:rsidR="00631856">
        <w:rPr>
          <w:snapToGrid w:val="0"/>
          <w:kern w:val="22"/>
          <w:szCs w:val="22"/>
          <w:lang w:val="fr-CA"/>
        </w:rPr>
        <w:t>stantielle</w:t>
      </w:r>
      <w:r w:rsidR="00A04A7B">
        <w:rPr>
          <w:snapToGrid w:val="0"/>
          <w:kern w:val="22"/>
          <w:szCs w:val="22"/>
          <w:lang w:val="fr-CA"/>
        </w:rPr>
        <w:t xml:space="preserve"> entre les </w:t>
      </w:r>
      <w:r w:rsidR="00A04A7B">
        <w:rPr>
          <w:noProof/>
          <w:snapToGrid w:val="0"/>
          <w:kern w:val="22"/>
          <w:szCs w:val="22"/>
          <w:lang w:val="fr-CA"/>
        </w:rPr>
        <w:t>quotients exprimés en monnaies nationales et ceux exprimés en USD (voir annexe IV). Afin d</w:t>
      </w:r>
      <w:r w:rsidR="00466152">
        <w:rPr>
          <w:noProof/>
          <w:snapToGrid w:val="0"/>
          <w:kern w:val="22"/>
          <w:szCs w:val="22"/>
          <w:lang w:val="fr-CA"/>
        </w:rPr>
        <w:t>’</w:t>
      </w:r>
      <w:r w:rsidR="00A04A7B">
        <w:rPr>
          <w:noProof/>
          <w:snapToGrid w:val="0"/>
          <w:kern w:val="22"/>
          <w:szCs w:val="22"/>
          <w:lang w:val="fr-CA"/>
        </w:rPr>
        <w:t>exclure cet effet du taux de change, le tableau I ci</w:t>
      </w:r>
      <w:r w:rsidR="00466152">
        <w:rPr>
          <w:noProof/>
          <w:snapToGrid w:val="0"/>
          <w:kern w:val="22"/>
          <w:szCs w:val="22"/>
          <w:lang w:val="fr-CA"/>
        </w:rPr>
        <w:noBreakHyphen/>
      </w:r>
      <w:r w:rsidR="00A04A7B">
        <w:rPr>
          <w:noProof/>
          <w:snapToGrid w:val="0"/>
          <w:kern w:val="22"/>
          <w:szCs w:val="22"/>
          <w:lang w:val="fr-CA"/>
        </w:rPr>
        <w:t>après présente deux approches, soit I a et II a, en vertu desquelles les données pour 2015 fournies par les Parties sont recalculées en utilisant le taux de change moyen pondéré pour les années de référence, plutôt que le taux de change moyen annuel pour 2015.</w:t>
      </w:r>
    </w:p>
    <w:p w:rsidR="0098644E" w:rsidRPr="004A0319" w:rsidRDefault="00A04A7B" w:rsidP="00A04A7B">
      <w:pPr>
        <w:keepNext/>
        <w:suppressLineNumbers/>
        <w:suppressAutoHyphens/>
        <w:kinsoku w:val="0"/>
        <w:overflowPunct w:val="0"/>
        <w:autoSpaceDE w:val="0"/>
        <w:autoSpaceDN w:val="0"/>
        <w:adjustRightInd w:val="0"/>
        <w:snapToGrid w:val="0"/>
        <w:spacing w:after="120"/>
        <w:rPr>
          <w:snapToGrid w:val="0"/>
          <w:kern w:val="22"/>
          <w:szCs w:val="22"/>
          <w:lang w:val="fr-CA"/>
        </w:rPr>
      </w:pPr>
      <w:r>
        <w:rPr>
          <w:b/>
          <w:snapToGrid w:val="0"/>
          <w:kern w:val="22"/>
          <w:szCs w:val="22"/>
          <w:lang w:val="fr-CA"/>
        </w:rPr>
        <w:t>Tableau </w:t>
      </w:r>
      <w:r w:rsidR="0098644E" w:rsidRPr="004A0319">
        <w:rPr>
          <w:b/>
          <w:snapToGrid w:val="0"/>
          <w:kern w:val="22"/>
          <w:szCs w:val="22"/>
          <w:lang w:val="fr-CA"/>
        </w:rPr>
        <w:t>1.</w:t>
      </w:r>
      <w:r>
        <w:rPr>
          <w:b/>
          <w:snapToGrid w:val="0"/>
          <w:kern w:val="22"/>
          <w:szCs w:val="22"/>
          <w:lang w:val="fr-CA"/>
        </w:rPr>
        <w:t xml:space="preserve"> Flux internationaux : progrès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1260"/>
        <w:gridCol w:w="1170"/>
        <w:gridCol w:w="1170"/>
      </w:tblGrid>
      <w:tr w:rsidR="00855A78" w:rsidRPr="004A0319" w:rsidTr="00490BF5">
        <w:trPr>
          <w:cantSplit/>
          <w:jc w:val="center"/>
        </w:trPr>
        <w:tc>
          <w:tcPr>
            <w:tcW w:w="5958" w:type="dxa"/>
            <w:shd w:val="clear" w:color="auto" w:fill="auto"/>
            <w:tcMar>
              <w:top w:w="43" w:type="dxa"/>
              <w:left w:w="115" w:type="dxa"/>
              <w:bottom w:w="43" w:type="dxa"/>
              <w:right w:w="115" w:type="dxa"/>
            </w:tcMar>
          </w:tcPr>
          <w:p w:rsidR="00855A78" w:rsidRPr="004A0319" w:rsidRDefault="00855A78" w:rsidP="00490BF5">
            <w:pPr>
              <w:suppressLineNumbers/>
              <w:suppressAutoHyphens/>
              <w:kinsoku w:val="0"/>
              <w:overflowPunct w:val="0"/>
              <w:autoSpaceDE w:val="0"/>
              <w:autoSpaceDN w:val="0"/>
              <w:adjustRightInd w:val="0"/>
              <w:snapToGrid w:val="0"/>
              <w:rPr>
                <w:bCs/>
                <w:snapToGrid w:val="0"/>
                <w:kern w:val="22"/>
                <w:szCs w:val="22"/>
                <w:lang w:val="fr-CA"/>
              </w:rPr>
            </w:pPr>
          </w:p>
        </w:tc>
        <w:tc>
          <w:tcPr>
            <w:tcW w:w="1260" w:type="dxa"/>
            <w:shd w:val="clear" w:color="auto" w:fill="auto"/>
            <w:tcMar>
              <w:top w:w="43" w:type="dxa"/>
              <w:left w:w="115" w:type="dxa"/>
              <w:bottom w:w="43" w:type="dxa"/>
              <w:right w:w="115" w:type="dxa"/>
            </w:tcMar>
          </w:tcPr>
          <w:p w:rsidR="00855A78" w:rsidRPr="004A0319" w:rsidRDefault="00855A78" w:rsidP="00490BF5">
            <w:pPr>
              <w:suppressLineNumbers/>
              <w:suppressAutoHyphens/>
              <w:kinsoku w:val="0"/>
              <w:overflowPunct w:val="0"/>
              <w:autoSpaceDE w:val="0"/>
              <w:autoSpaceDN w:val="0"/>
              <w:adjustRightInd w:val="0"/>
              <w:snapToGrid w:val="0"/>
              <w:ind w:left="360"/>
              <w:jc w:val="center"/>
              <w:rPr>
                <w:i/>
                <w:iCs/>
                <w:snapToGrid w:val="0"/>
                <w:kern w:val="22"/>
                <w:szCs w:val="22"/>
                <w:lang w:val="fr-CA"/>
              </w:rPr>
            </w:pPr>
            <w:r w:rsidRPr="004A0319">
              <w:rPr>
                <w:i/>
                <w:iCs/>
                <w:snapToGrid w:val="0"/>
                <w:kern w:val="22"/>
                <w:szCs w:val="22"/>
                <w:lang w:val="fr-CA"/>
              </w:rPr>
              <w:t>2013</w:t>
            </w:r>
          </w:p>
        </w:tc>
        <w:tc>
          <w:tcPr>
            <w:tcW w:w="1170" w:type="dxa"/>
            <w:tcMar>
              <w:top w:w="43" w:type="dxa"/>
              <w:left w:w="115" w:type="dxa"/>
              <w:bottom w:w="43" w:type="dxa"/>
              <w:right w:w="115" w:type="dxa"/>
            </w:tcMar>
          </w:tcPr>
          <w:p w:rsidR="00855A78" w:rsidRPr="004A0319" w:rsidRDefault="00855A78" w:rsidP="00490BF5">
            <w:pPr>
              <w:suppressLineNumbers/>
              <w:suppressAutoHyphens/>
              <w:kinsoku w:val="0"/>
              <w:overflowPunct w:val="0"/>
              <w:autoSpaceDE w:val="0"/>
              <w:autoSpaceDN w:val="0"/>
              <w:adjustRightInd w:val="0"/>
              <w:snapToGrid w:val="0"/>
              <w:ind w:left="360"/>
              <w:jc w:val="center"/>
              <w:rPr>
                <w:i/>
                <w:iCs/>
                <w:snapToGrid w:val="0"/>
                <w:kern w:val="22"/>
                <w:szCs w:val="22"/>
                <w:lang w:val="fr-CA"/>
              </w:rPr>
            </w:pPr>
            <w:r w:rsidRPr="004A0319">
              <w:rPr>
                <w:i/>
                <w:iCs/>
                <w:snapToGrid w:val="0"/>
                <w:kern w:val="22"/>
                <w:szCs w:val="22"/>
                <w:lang w:val="fr-CA"/>
              </w:rPr>
              <w:t>2014</w:t>
            </w:r>
          </w:p>
        </w:tc>
        <w:tc>
          <w:tcPr>
            <w:tcW w:w="1170" w:type="dxa"/>
            <w:tcMar>
              <w:top w:w="43" w:type="dxa"/>
              <w:left w:w="115" w:type="dxa"/>
              <w:bottom w:w="43" w:type="dxa"/>
              <w:right w:w="115" w:type="dxa"/>
            </w:tcMar>
          </w:tcPr>
          <w:p w:rsidR="00855A78" w:rsidRPr="004A0319" w:rsidRDefault="00855A78" w:rsidP="00490BF5">
            <w:pPr>
              <w:suppressLineNumbers/>
              <w:suppressAutoHyphens/>
              <w:kinsoku w:val="0"/>
              <w:overflowPunct w:val="0"/>
              <w:autoSpaceDE w:val="0"/>
              <w:autoSpaceDN w:val="0"/>
              <w:adjustRightInd w:val="0"/>
              <w:snapToGrid w:val="0"/>
              <w:ind w:left="360"/>
              <w:jc w:val="center"/>
              <w:rPr>
                <w:i/>
                <w:iCs/>
                <w:snapToGrid w:val="0"/>
                <w:kern w:val="22"/>
                <w:szCs w:val="22"/>
                <w:lang w:val="fr-CA"/>
              </w:rPr>
            </w:pPr>
            <w:r w:rsidRPr="004A0319">
              <w:rPr>
                <w:i/>
                <w:iCs/>
                <w:snapToGrid w:val="0"/>
                <w:kern w:val="22"/>
                <w:szCs w:val="22"/>
                <w:lang w:val="fr-CA"/>
              </w:rPr>
              <w:t>2015</w:t>
            </w:r>
          </w:p>
        </w:tc>
      </w:tr>
      <w:tr w:rsidR="00855A78" w:rsidRPr="004A0319" w:rsidTr="00490BF5">
        <w:trPr>
          <w:cantSplit/>
          <w:jc w:val="center"/>
        </w:trPr>
        <w:tc>
          <w:tcPr>
            <w:tcW w:w="5958" w:type="dxa"/>
            <w:shd w:val="clear" w:color="auto" w:fill="auto"/>
            <w:tcMar>
              <w:top w:w="43" w:type="dxa"/>
              <w:left w:w="115" w:type="dxa"/>
              <w:bottom w:w="43" w:type="dxa"/>
              <w:right w:w="115" w:type="dxa"/>
            </w:tcMar>
            <w:vAlign w:val="center"/>
          </w:tcPr>
          <w:p w:rsidR="00855A78" w:rsidRPr="004A0319" w:rsidRDefault="00411F12" w:rsidP="00411F12">
            <w:pPr>
              <w:suppressLineNumbers/>
              <w:suppressAutoHyphens/>
              <w:kinsoku w:val="0"/>
              <w:overflowPunct w:val="0"/>
              <w:autoSpaceDE w:val="0"/>
              <w:autoSpaceDN w:val="0"/>
              <w:adjustRightInd w:val="0"/>
              <w:snapToGrid w:val="0"/>
              <w:jc w:val="left"/>
              <w:rPr>
                <w:snapToGrid w:val="0"/>
                <w:kern w:val="22"/>
                <w:szCs w:val="22"/>
                <w:lang w:val="fr-CA"/>
              </w:rPr>
            </w:pPr>
            <w:r>
              <w:rPr>
                <w:snapToGrid w:val="0"/>
                <w:kern w:val="22"/>
                <w:szCs w:val="22"/>
                <w:lang w:val="fr-CA"/>
              </w:rPr>
              <w:t>Parties déclarantes, nombre</w:t>
            </w:r>
          </w:p>
        </w:tc>
        <w:tc>
          <w:tcPr>
            <w:tcW w:w="1260" w:type="dxa"/>
            <w:shd w:val="clear" w:color="auto" w:fill="auto"/>
            <w:tcMar>
              <w:top w:w="43" w:type="dxa"/>
              <w:left w:w="115" w:type="dxa"/>
              <w:bottom w:w="43" w:type="dxa"/>
              <w:right w:w="115" w:type="dxa"/>
            </w:tcMar>
            <w:vAlign w:val="center"/>
          </w:tcPr>
          <w:p w:rsidR="00855A78" w:rsidRPr="004A0319"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4A0319">
              <w:rPr>
                <w:snapToGrid w:val="0"/>
                <w:kern w:val="22"/>
                <w:szCs w:val="22"/>
                <w:lang w:val="fr-CA"/>
              </w:rPr>
              <w:t>29</w:t>
            </w:r>
          </w:p>
        </w:tc>
        <w:tc>
          <w:tcPr>
            <w:tcW w:w="1170" w:type="dxa"/>
            <w:tcMar>
              <w:top w:w="43" w:type="dxa"/>
              <w:left w:w="115" w:type="dxa"/>
              <w:bottom w:w="43" w:type="dxa"/>
              <w:right w:w="115" w:type="dxa"/>
            </w:tcMar>
            <w:vAlign w:val="center"/>
          </w:tcPr>
          <w:p w:rsidR="00855A78" w:rsidRPr="004A0319"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4A0319">
              <w:rPr>
                <w:snapToGrid w:val="0"/>
                <w:kern w:val="22"/>
                <w:szCs w:val="22"/>
                <w:lang w:val="fr-CA"/>
              </w:rPr>
              <w:t>27</w:t>
            </w:r>
          </w:p>
        </w:tc>
        <w:tc>
          <w:tcPr>
            <w:tcW w:w="1170" w:type="dxa"/>
            <w:tcMar>
              <w:top w:w="43" w:type="dxa"/>
              <w:left w:w="115" w:type="dxa"/>
              <w:bottom w:w="43" w:type="dxa"/>
              <w:right w:w="115" w:type="dxa"/>
            </w:tcMar>
          </w:tcPr>
          <w:p w:rsidR="00855A78" w:rsidRPr="004A0319" w:rsidDel="001E10BF"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4A0319">
              <w:rPr>
                <w:snapToGrid w:val="0"/>
                <w:kern w:val="22"/>
                <w:szCs w:val="22"/>
                <w:lang w:val="fr-CA"/>
              </w:rPr>
              <w:t>23</w:t>
            </w:r>
          </w:p>
        </w:tc>
      </w:tr>
      <w:tr w:rsidR="00855A78" w:rsidRPr="004A0319" w:rsidTr="00490BF5">
        <w:trPr>
          <w:cantSplit/>
          <w:jc w:val="center"/>
        </w:trPr>
        <w:tc>
          <w:tcPr>
            <w:tcW w:w="5958" w:type="dxa"/>
            <w:shd w:val="clear" w:color="auto" w:fill="auto"/>
            <w:tcMar>
              <w:top w:w="43" w:type="dxa"/>
              <w:left w:w="115" w:type="dxa"/>
              <w:bottom w:w="43" w:type="dxa"/>
              <w:right w:w="115" w:type="dxa"/>
            </w:tcMar>
            <w:vAlign w:val="center"/>
          </w:tcPr>
          <w:p w:rsidR="00855A78" w:rsidRPr="004A0319" w:rsidRDefault="00411F12" w:rsidP="001D16F4">
            <w:pPr>
              <w:suppressLineNumbers/>
              <w:suppressAutoHyphens/>
              <w:kinsoku w:val="0"/>
              <w:overflowPunct w:val="0"/>
              <w:autoSpaceDE w:val="0"/>
              <w:autoSpaceDN w:val="0"/>
              <w:adjustRightInd w:val="0"/>
              <w:snapToGrid w:val="0"/>
              <w:jc w:val="left"/>
              <w:rPr>
                <w:snapToGrid w:val="0"/>
                <w:kern w:val="22"/>
                <w:szCs w:val="22"/>
                <w:lang w:val="fr-CA"/>
              </w:rPr>
            </w:pPr>
            <w:r>
              <w:rPr>
                <w:snapToGrid w:val="0"/>
                <w:kern w:val="22"/>
                <w:szCs w:val="22"/>
                <w:lang w:val="fr-CA"/>
              </w:rPr>
              <w:t>Parties déclarantes, pourcentage du niveau de référence</w:t>
            </w:r>
          </w:p>
        </w:tc>
        <w:tc>
          <w:tcPr>
            <w:tcW w:w="1260" w:type="dxa"/>
            <w:shd w:val="clear" w:color="auto" w:fill="auto"/>
            <w:tcMar>
              <w:top w:w="43" w:type="dxa"/>
              <w:left w:w="115" w:type="dxa"/>
              <w:bottom w:w="43" w:type="dxa"/>
              <w:right w:w="115" w:type="dxa"/>
            </w:tcMar>
            <w:vAlign w:val="center"/>
          </w:tcPr>
          <w:p w:rsidR="00855A78" w:rsidRPr="004A0319"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4A0319">
              <w:rPr>
                <w:snapToGrid w:val="0"/>
                <w:kern w:val="22"/>
                <w:szCs w:val="22"/>
                <w:lang w:val="fr-CA"/>
              </w:rPr>
              <w:t>100</w:t>
            </w:r>
          </w:p>
        </w:tc>
        <w:tc>
          <w:tcPr>
            <w:tcW w:w="1170" w:type="dxa"/>
            <w:tcMar>
              <w:top w:w="43" w:type="dxa"/>
              <w:left w:w="115" w:type="dxa"/>
              <w:bottom w:w="43" w:type="dxa"/>
              <w:right w:w="115" w:type="dxa"/>
            </w:tcMar>
            <w:vAlign w:val="center"/>
          </w:tcPr>
          <w:p w:rsidR="00855A78" w:rsidRPr="004A0319"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4A0319">
              <w:rPr>
                <w:snapToGrid w:val="0"/>
                <w:kern w:val="22"/>
                <w:szCs w:val="22"/>
                <w:lang w:val="fr-CA"/>
              </w:rPr>
              <w:t>97</w:t>
            </w:r>
          </w:p>
        </w:tc>
        <w:tc>
          <w:tcPr>
            <w:tcW w:w="1170" w:type="dxa"/>
            <w:tcMar>
              <w:top w:w="43" w:type="dxa"/>
              <w:left w:w="115" w:type="dxa"/>
              <w:bottom w:w="43" w:type="dxa"/>
              <w:right w:w="115" w:type="dxa"/>
            </w:tcMar>
          </w:tcPr>
          <w:p w:rsidR="00855A78" w:rsidRPr="004A0319"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4A0319">
              <w:rPr>
                <w:snapToGrid w:val="0"/>
                <w:kern w:val="22"/>
                <w:szCs w:val="22"/>
                <w:lang w:val="fr-CA"/>
              </w:rPr>
              <w:t>85</w:t>
            </w:r>
          </w:p>
        </w:tc>
      </w:tr>
      <w:tr w:rsidR="00855A78" w:rsidRPr="004A0319" w:rsidTr="00490BF5">
        <w:trPr>
          <w:cantSplit/>
          <w:jc w:val="center"/>
        </w:trPr>
        <w:tc>
          <w:tcPr>
            <w:tcW w:w="5958" w:type="dxa"/>
            <w:shd w:val="clear" w:color="auto" w:fill="auto"/>
            <w:tcMar>
              <w:top w:w="43" w:type="dxa"/>
              <w:left w:w="115" w:type="dxa"/>
              <w:bottom w:w="43" w:type="dxa"/>
              <w:right w:w="115" w:type="dxa"/>
            </w:tcMar>
            <w:vAlign w:val="center"/>
          </w:tcPr>
          <w:p w:rsidR="00855A78" w:rsidRPr="004A0319" w:rsidRDefault="00411F12" w:rsidP="00411F12">
            <w:pPr>
              <w:suppressLineNumbers/>
              <w:suppressAutoHyphens/>
              <w:kinsoku w:val="0"/>
              <w:overflowPunct w:val="0"/>
              <w:autoSpaceDE w:val="0"/>
              <w:autoSpaceDN w:val="0"/>
              <w:adjustRightInd w:val="0"/>
              <w:snapToGrid w:val="0"/>
              <w:jc w:val="left"/>
              <w:rPr>
                <w:snapToGrid w:val="0"/>
                <w:kern w:val="22"/>
                <w:szCs w:val="22"/>
                <w:lang w:val="fr-CA"/>
              </w:rPr>
            </w:pPr>
            <w:r>
              <w:rPr>
                <w:snapToGrid w:val="0"/>
                <w:kern w:val="22"/>
                <w:szCs w:val="22"/>
                <w:lang w:val="fr-CA"/>
              </w:rPr>
              <w:t>Approche </w:t>
            </w:r>
            <w:r w:rsidR="00855A78" w:rsidRPr="004A0319">
              <w:rPr>
                <w:snapToGrid w:val="0"/>
                <w:kern w:val="22"/>
                <w:szCs w:val="22"/>
                <w:lang w:val="fr-CA"/>
              </w:rPr>
              <w:t>I</w:t>
            </w:r>
            <w:r>
              <w:rPr>
                <w:snapToGrid w:val="0"/>
                <w:kern w:val="22"/>
                <w:szCs w:val="22"/>
                <w:lang w:val="fr-CA"/>
              </w:rPr>
              <w:t xml:space="preserve"> (données de référence des pays déclarants uniquement, taux de change courant),</w:t>
            </w:r>
            <w:r w:rsidR="00855A78" w:rsidRPr="004A0319">
              <w:rPr>
                <w:snapToGrid w:val="0"/>
                <w:kern w:val="22"/>
                <w:szCs w:val="22"/>
                <w:lang w:val="fr-CA"/>
              </w:rPr>
              <w:t xml:space="preserve"> quotient</w:t>
            </w:r>
          </w:p>
        </w:tc>
        <w:tc>
          <w:tcPr>
            <w:tcW w:w="1260" w:type="dxa"/>
            <w:shd w:val="clear" w:color="auto" w:fill="auto"/>
            <w:tcMar>
              <w:top w:w="43" w:type="dxa"/>
              <w:left w:w="115" w:type="dxa"/>
              <w:bottom w:w="43" w:type="dxa"/>
              <w:right w:w="115" w:type="dxa"/>
            </w:tcMar>
            <w:vAlign w:val="center"/>
          </w:tcPr>
          <w:p w:rsidR="00855A78" w:rsidRPr="004A0319"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4A0319">
              <w:rPr>
                <w:snapToGrid w:val="0"/>
                <w:kern w:val="22"/>
                <w:szCs w:val="22"/>
                <w:lang w:val="fr-CA"/>
              </w:rPr>
              <w:t>1</w:t>
            </w:r>
            <w:r w:rsidR="00411F12">
              <w:rPr>
                <w:snapToGrid w:val="0"/>
                <w:kern w:val="22"/>
                <w:szCs w:val="22"/>
                <w:lang w:val="fr-CA"/>
              </w:rPr>
              <w:t>,</w:t>
            </w:r>
            <w:r w:rsidRPr="004A0319">
              <w:rPr>
                <w:snapToGrid w:val="0"/>
                <w:kern w:val="22"/>
                <w:szCs w:val="22"/>
                <w:lang w:val="fr-CA"/>
              </w:rPr>
              <w:t>23</w:t>
            </w:r>
          </w:p>
        </w:tc>
        <w:tc>
          <w:tcPr>
            <w:tcW w:w="1170" w:type="dxa"/>
            <w:tcMar>
              <w:top w:w="43" w:type="dxa"/>
              <w:left w:w="115" w:type="dxa"/>
              <w:bottom w:w="43" w:type="dxa"/>
              <w:right w:w="115" w:type="dxa"/>
            </w:tcMar>
            <w:vAlign w:val="center"/>
          </w:tcPr>
          <w:p w:rsidR="00855A78" w:rsidRPr="004A0319"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4A0319">
              <w:rPr>
                <w:snapToGrid w:val="0"/>
                <w:kern w:val="22"/>
                <w:szCs w:val="22"/>
                <w:lang w:val="fr-CA"/>
              </w:rPr>
              <w:t>1</w:t>
            </w:r>
            <w:r w:rsidR="00411F12">
              <w:rPr>
                <w:snapToGrid w:val="0"/>
                <w:kern w:val="22"/>
                <w:szCs w:val="22"/>
                <w:lang w:val="fr-CA"/>
              </w:rPr>
              <w:t>,</w:t>
            </w:r>
            <w:r w:rsidRPr="004A0319">
              <w:rPr>
                <w:snapToGrid w:val="0"/>
                <w:kern w:val="22"/>
                <w:szCs w:val="22"/>
                <w:lang w:val="fr-CA"/>
              </w:rPr>
              <w:t>50</w:t>
            </w:r>
          </w:p>
        </w:tc>
        <w:tc>
          <w:tcPr>
            <w:tcW w:w="1170" w:type="dxa"/>
            <w:tcMar>
              <w:top w:w="43" w:type="dxa"/>
              <w:left w:w="115" w:type="dxa"/>
              <w:bottom w:w="43" w:type="dxa"/>
              <w:right w:w="115" w:type="dxa"/>
            </w:tcMar>
            <w:vAlign w:val="center"/>
          </w:tcPr>
          <w:p w:rsidR="00855A78" w:rsidRPr="004A0319"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4A0319">
              <w:rPr>
                <w:snapToGrid w:val="0"/>
                <w:kern w:val="22"/>
                <w:szCs w:val="22"/>
                <w:lang w:val="fr-CA"/>
              </w:rPr>
              <w:t>1</w:t>
            </w:r>
            <w:r w:rsidR="00411F12">
              <w:rPr>
                <w:snapToGrid w:val="0"/>
                <w:kern w:val="22"/>
                <w:szCs w:val="22"/>
                <w:lang w:val="fr-CA"/>
              </w:rPr>
              <w:t>,</w:t>
            </w:r>
            <w:r w:rsidRPr="004A0319">
              <w:rPr>
                <w:snapToGrid w:val="0"/>
                <w:kern w:val="22"/>
                <w:szCs w:val="22"/>
                <w:lang w:val="fr-CA"/>
              </w:rPr>
              <w:t>70</w:t>
            </w:r>
          </w:p>
        </w:tc>
      </w:tr>
      <w:tr w:rsidR="00855A78" w:rsidRPr="004A0319" w:rsidTr="00490BF5">
        <w:trPr>
          <w:cantSplit/>
          <w:jc w:val="center"/>
        </w:trPr>
        <w:tc>
          <w:tcPr>
            <w:tcW w:w="5958" w:type="dxa"/>
            <w:shd w:val="clear" w:color="auto" w:fill="auto"/>
            <w:tcMar>
              <w:top w:w="43" w:type="dxa"/>
              <w:left w:w="115" w:type="dxa"/>
              <w:bottom w:w="43" w:type="dxa"/>
              <w:right w:w="115" w:type="dxa"/>
            </w:tcMar>
            <w:vAlign w:val="center"/>
          </w:tcPr>
          <w:p w:rsidR="00855A78" w:rsidRPr="004A0319" w:rsidRDefault="00411F12" w:rsidP="00411F12">
            <w:pPr>
              <w:suppressLineNumbers/>
              <w:suppressAutoHyphens/>
              <w:kinsoku w:val="0"/>
              <w:overflowPunct w:val="0"/>
              <w:autoSpaceDE w:val="0"/>
              <w:autoSpaceDN w:val="0"/>
              <w:adjustRightInd w:val="0"/>
              <w:snapToGrid w:val="0"/>
              <w:jc w:val="left"/>
              <w:rPr>
                <w:snapToGrid w:val="0"/>
                <w:kern w:val="22"/>
                <w:szCs w:val="22"/>
                <w:lang w:val="fr-CA"/>
              </w:rPr>
            </w:pPr>
            <w:r>
              <w:rPr>
                <w:snapToGrid w:val="0"/>
                <w:kern w:val="22"/>
                <w:szCs w:val="22"/>
                <w:lang w:val="fr-CA"/>
              </w:rPr>
              <w:t>Approche </w:t>
            </w:r>
            <w:r w:rsidR="00855A78" w:rsidRPr="004A0319">
              <w:rPr>
                <w:snapToGrid w:val="0"/>
                <w:kern w:val="22"/>
                <w:szCs w:val="22"/>
                <w:lang w:val="fr-CA"/>
              </w:rPr>
              <w:t>II (</w:t>
            </w:r>
            <w:r w:rsidR="000C32A3">
              <w:rPr>
                <w:snapToGrid w:val="0"/>
                <w:kern w:val="22"/>
                <w:szCs w:val="22"/>
                <w:lang w:val="fr-CA"/>
              </w:rPr>
              <w:t>données de référence</w:t>
            </w:r>
            <w:r>
              <w:rPr>
                <w:snapToGrid w:val="0"/>
                <w:kern w:val="22"/>
                <w:szCs w:val="22"/>
                <w:lang w:val="fr-CA"/>
              </w:rPr>
              <w:t xml:space="preserve"> </w:t>
            </w:r>
            <w:r w:rsidR="00855A78" w:rsidRPr="004A0319">
              <w:rPr>
                <w:snapToGrid w:val="0"/>
                <w:kern w:val="22"/>
                <w:szCs w:val="22"/>
                <w:lang w:val="fr-CA"/>
              </w:rPr>
              <w:t>total</w:t>
            </w:r>
            <w:r>
              <w:rPr>
                <w:snapToGrid w:val="0"/>
                <w:kern w:val="22"/>
                <w:szCs w:val="22"/>
                <w:lang w:val="fr-CA"/>
              </w:rPr>
              <w:t>es, taux de change courant),</w:t>
            </w:r>
            <w:r w:rsidR="00855A78" w:rsidRPr="004A0319">
              <w:rPr>
                <w:snapToGrid w:val="0"/>
                <w:kern w:val="22"/>
                <w:szCs w:val="22"/>
                <w:lang w:val="fr-CA"/>
              </w:rPr>
              <w:t xml:space="preserve"> quotient</w:t>
            </w:r>
          </w:p>
        </w:tc>
        <w:tc>
          <w:tcPr>
            <w:tcW w:w="1260" w:type="dxa"/>
            <w:shd w:val="clear" w:color="auto" w:fill="auto"/>
            <w:tcMar>
              <w:top w:w="43" w:type="dxa"/>
              <w:left w:w="115" w:type="dxa"/>
              <w:bottom w:w="43" w:type="dxa"/>
              <w:right w:w="115" w:type="dxa"/>
            </w:tcMar>
            <w:vAlign w:val="center"/>
          </w:tcPr>
          <w:p w:rsidR="00855A78" w:rsidRPr="004A0319"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4A0319">
              <w:rPr>
                <w:snapToGrid w:val="0"/>
                <w:kern w:val="22"/>
                <w:szCs w:val="22"/>
                <w:lang w:val="fr-CA"/>
              </w:rPr>
              <w:t>1</w:t>
            </w:r>
            <w:r w:rsidR="00411F12">
              <w:rPr>
                <w:snapToGrid w:val="0"/>
                <w:kern w:val="22"/>
                <w:szCs w:val="22"/>
                <w:lang w:val="fr-CA"/>
              </w:rPr>
              <w:t>,</w:t>
            </w:r>
            <w:r w:rsidRPr="004A0319">
              <w:rPr>
                <w:snapToGrid w:val="0"/>
                <w:kern w:val="22"/>
                <w:szCs w:val="22"/>
                <w:lang w:val="fr-CA"/>
              </w:rPr>
              <w:t>23</w:t>
            </w:r>
          </w:p>
        </w:tc>
        <w:tc>
          <w:tcPr>
            <w:tcW w:w="1170" w:type="dxa"/>
            <w:tcMar>
              <w:top w:w="43" w:type="dxa"/>
              <w:left w:w="115" w:type="dxa"/>
              <w:bottom w:w="43" w:type="dxa"/>
              <w:right w:w="115" w:type="dxa"/>
            </w:tcMar>
            <w:vAlign w:val="center"/>
          </w:tcPr>
          <w:p w:rsidR="00855A78" w:rsidRPr="004A0319"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4A0319">
              <w:rPr>
                <w:snapToGrid w:val="0"/>
                <w:kern w:val="22"/>
                <w:szCs w:val="22"/>
                <w:lang w:val="fr-CA"/>
              </w:rPr>
              <w:t>1</w:t>
            </w:r>
            <w:r w:rsidR="00411F12">
              <w:rPr>
                <w:snapToGrid w:val="0"/>
                <w:kern w:val="22"/>
                <w:szCs w:val="22"/>
                <w:lang w:val="fr-CA"/>
              </w:rPr>
              <w:t>,</w:t>
            </w:r>
            <w:r w:rsidRPr="004A0319">
              <w:rPr>
                <w:snapToGrid w:val="0"/>
                <w:kern w:val="22"/>
                <w:szCs w:val="22"/>
                <w:lang w:val="fr-CA"/>
              </w:rPr>
              <w:t>46</w:t>
            </w:r>
          </w:p>
        </w:tc>
        <w:tc>
          <w:tcPr>
            <w:tcW w:w="1170" w:type="dxa"/>
            <w:tcMar>
              <w:top w:w="43" w:type="dxa"/>
              <w:left w:w="115" w:type="dxa"/>
              <w:bottom w:w="43" w:type="dxa"/>
              <w:right w:w="115" w:type="dxa"/>
            </w:tcMar>
          </w:tcPr>
          <w:p w:rsidR="00855A78" w:rsidRPr="004A0319"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4A0319">
              <w:rPr>
                <w:snapToGrid w:val="0"/>
                <w:kern w:val="22"/>
                <w:szCs w:val="22"/>
                <w:lang w:val="fr-CA"/>
              </w:rPr>
              <w:t>1</w:t>
            </w:r>
            <w:r w:rsidR="00411F12">
              <w:rPr>
                <w:snapToGrid w:val="0"/>
                <w:kern w:val="22"/>
                <w:szCs w:val="22"/>
                <w:lang w:val="fr-CA"/>
              </w:rPr>
              <w:t>,</w:t>
            </w:r>
            <w:r w:rsidRPr="004A0319">
              <w:rPr>
                <w:snapToGrid w:val="0"/>
                <w:kern w:val="22"/>
                <w:szCs w:val="22"/>
                <w:lang w:val="fr-CA"/>
              </w:rPr>
              <w:t>44</w:t>
            </w:r>
          </w:p>
        </w:tc>
      </w:tr>
      <w:tr w:rsidR="00855A78" w:rsidRPr="004A0319" w:rsidTr="00490BF5">
        <w:trPr>
          <w:cantSplit/>
          <w:jc w:val="center"/>
        </w:trPr>
        <w:tc>
          <w:tcPr>
            <w:tcW w:w="5958" w:type="dxa"/>
            <w:shd w:val="clear" w:color="auto" w:fill="auto"/>
            <w:tcMar>
              <w:top w:w="43" w:type="dxa"/>
              <w:left w:w="115" w:type="dxa"/>
              <w:bottom w:w="43" w:type="dxa"/>
              <w:right w:w="115" w:type="dxa"/>
            </w:tcMar>
            <w:vAlign w:val="center"/>
          </w:tcPr>
          <w:p w:rsidR="00855A78" w:rsidRPr="004A0319" w:rsidRDefault="000C32A3" w:rsidP="000C32A3">
            <w:pPr>
              <w:suppressLineNumbers/>
              <w:suppressAutoHyphens/>
              <w:kinsoku w:val="0"/>
              <w:overflowPunct w:val="0"/>
              <w:autoSpaceDE w:val="0"/>
              <w:autoSpaceDN w:val="0"/>
              <w:adjustRightInd w:val="0"/>
              <w:snapToGrid w:val="0"/>
              <w:jc w:val="left"/>
              <w:rPr>
                <w:snapToGrid w:val="0"/>
                <w:kern w:val="22"/>
                <w:szCs w:val="22"/>
                <w:lang w:val="fr-CA"/>
              </w:rPr>
            </w:pPr>
            <w:r>
              <w:rPr>
                <w:snapToGrid w:val="0"/>
                <w:kern w:val="22"/>
                <w:szCs w:val="22"/>
                <w:lang w:val="fr-CA"/>
              </w:rPr>
              <w:t>Approche </w:t>
            </w:r>
            <w:r w:rsidR="00855A78" w:rsidRPr="004A0319">
              <w:rPr>
                <w:snapToGrid w:val="0"/>
                <w:kern w:val="22"/>
                <w:szCs w:val="22"/>
                <w:lang w:val="fr-CA"/>
              </w:rPr>
              <w:t>I</w:t>
            </w:r>
            <w:r>
              <w:rPr>
                <w:snapToGrid w:val="0"/>
                <w:kern w:val="22"/>
                <w:szCs w:val="22"/>
                <w:lang w:val="fr-CA"/>
              </w:rPr>
              <w:t> </w:t>
            </w:r>
            <w:r w:rsidR="00855A78" w:rsidRPr="004A0319">
              <w:rPr>
                <w:snapToGrid w:val="0"/>
                <w:kern w:val="22"/>
                <w:szCs w:val="22"/>
                <w:lang w:val="fr-CA"/>
              </w:rPr>
              <w:t>a (</w:t>
            </w:r>
            <w:r>
              <w:rPr>
                <w:snapToGrid w:val="0"/>
                <w:kern w:val="22"/>
                <w:szCs w:val="22"/>
                <w:lang w:val="fr-CA"/>
              </w:rPr>
              <w:t>données de référence des pays déclarants uniquement</w:t>
            </w:r>
            <w:r w:rsidR="00855A78" w:rsidRPr="004A0319">
              <w:rPr>
                <w:snapToGrid w:val="0"/>
                <w:kern w:val="22"/>
                <w:szCs w:val="22"/>
                <w:lang w:val="fr-CA"/>
              </w:rPr>
              <w:t xml:space="preserve">, </w:t>
            </w:r>
            <w:r>
              <w:rPr>
                <w:snapToGrid w:val="0"/>
                <w:kern w:val="22"/>
                <w:szCs w:val="22"/>
                <w:lang w:val="fr-CA"/>
              </w:rPr>
              <w:t>taux de change moyen pondéré 2006</w:t>
            </w:r>
            <w:r w:rsidR="00466152">
              <w:rPr>
                <w:snapToGrid w:val="0"/>
                <w:kern w:val="22"/>
                <w:szCs w:val="22"/>
                <w:lang w:val="fr-CA"/>
              </w:rPr>
              <w:noBreakHyphen/>
            </w:r>
            <w:r w:rsidR="00855A78" w:rsidRPr="004A0319">
              <w:rPr>
                <w:snapToGrid w:val="0"/>
                <w:kern w:val="22"/>
                <w:szCs w:val="22"/>
                <w:lang w:val="fr-CA"/>
              </w:rPr>
              <w:t>2010), quotient</w:t>
            </w:r>
          </w:p>
        </w:tc>
        <w:tc>
          <w:tcPr>
            <w:tcW w:w="1260" w:type="dxa"/>
            <w:shd w:val="clear" w:color="auto" w:fill="auto"/>
            <w:tcMar>
              <w:top w:w="43" w:type="dxa"/>
              <w:left w:w="115" w:type="dxa"/>
              <w:bottom w:w="43" w:type="dxa"/>
              <w:right w:w="115" w:type="dxa"/>
            </w:tcMar>
            <w:vAlign w:val="center"/>
          </w:tcPr>
          <w:p w:rsidR="00855A78" w:rsidRPr="004A0319"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4A0319">
              <w:rPr>
                <w:snapToGrid w:val="0"/>
                <w:kern w:val="22"/>
                <w:szCs w:val="22"/>
                <w:lang w:val="fr-CA"/>
              </w:rPr>
              <w:t>1</w:t>
            </w:r>
            <w:r w:rsidR="00411F12">
              <w:rPr>
                <w:snapToGrid w:val="0"/>
                <w:kern w:val="22"/>
                <w:szCs w:val="22"/>
                <w:lang w:val="fr-CA"/>
              </w:rPr>
              <w:t>,</w:t>
            </w:r>
            <w:r w:rsidRPr="004A0319">
              <w:rPr>
                <w:snapToGrid w:val="0"/>
                <w:kern w:val="22"/>
                <w:szCs w:val="22"/>
                <w:lang w:val="fr-CA"/>
              </w:rPr>
              <w:t>23</w:t>
            </w:r>
          </w:p>
        </w:tc>
        <w:tc>
          <w:tcPr>
            <w:tcW w:w="1170" w:type="dxa"/>
            <w:tcMar>
              <w:top w:w="43" w:type="dxa"/>
              <w:left w:w="115" w:type="dxa"/>
              <w:bottom w:w="43" w:type="dxa"/>
              <w:right w:w="115" w:type="dxa"/>
            </w:tcMar>
            <w:vAlign w:val="center"/>
          </w:tcPr>
          <w:p w:rsidR="00855A78" w:rsidRPr="004A0319"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4A0319">
              <w:rPr>
                <w:snapToGrid w:val="0"/>
                <w:kern w:val="22"/>
                <w:szCs w:val="22"/>
                <w:lang w:val="fr-CA"/>
              </w:rPr>
              <w:t>1</w:t>
            </w:r>
            <w:r w:rsidR="00411F12">
              <w:rPr>
                <w:snapToGrid w:val="0"/>
                <w:kern w:val="22"/>
                <w:szCs w:val="22"/>
                <w:lang w:val="fr-CA"/>
              </w:rPr>
              <w:t>,</w:t>
            </w:r>
            <w:r w:rsidRPr="004A0319">
              <w:rPr>
                <w:snapToGrid w:val="0"/>
                <w:kern w:val="22"/>
                <w:szCs w:val="22"/>
                <w:lang w:val="fr-CA"/>
              </w:rPr>
              <w:t>52</w:t>
            </w:r>
          </w:p>
        </w:tc>
        <w:tc>
          <w:tcPr>
            <w:tcW w:w="1170" w:type="dxa"/>
            <w:tcMar>
              <w:top w:w="43" w:type="dxa"/>
              <w:left w:w="115" w:type="dxa"/>
              <w:bottom w:w="43" w:type="dxa"/>
              <w:right w:w="115" w:type="dxa"/>
            </w:tcMar>
            <w:vAlign w:val="center"/>
          </w:tcPr>
          <w:p w:rsidR="00855A78" w:rsidRPr="004A0319"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4A0319">
              <w:rPr>
                <w:snapToGrid w:val="0"/>
                <w:kern w:val="22"/>
                <w:szCs w:val="22"/>
                <w:lang w:val="fr-CA"/>
              </w:rPr>
              <w:t>1</w:t>
            </w:r>
            <w:r w:rsidR="00411F12">
              <w:rPr>
                <w:snapToGrid w:val="0"/>
                <w:kern w:val="22"/>
                <w:szCs w:val="22"/>
                <w:lang w:val="fr-CA"/>
              </w:rPr>
              <w:t>,</w:t>
            </w:r>
            <w:r w:rsidRPr="004A0319">
              <w:rPr>
                <w:snapToGrid w:val="0"/>
                <w:kern w:val="22"/>
                <w:szCs w:val="22"/>
                <w:lang w:val="fr-CA"/>
              </w:rPr>
              <w:t>92</w:t>
            </w:r>
          </w:p>
        </w:tc>
      </w:tr>
      <w:tr w:rsidR="00855A78" w:rsidRPr="004A0319" w:rsidTr="00490BF5">
        <w:trPr>
          <w:cantSplit/>
          <w:jc w:val="center"/>
        </w:trPr>
        <w:tc>
          <w:tcPr>
            <w:tcW w:w="5958" w:type="dxa"/>
            <w:shd w:val="clear" w:color="auto" w:fill="auto"/>
            <w:tcMar>
              <w:top w:w="43" w:type="dxa"/>
              <w:left w:w="115" w:type="dxa"/>
              <w:bottom w:w="43" w:type="dxa"/>
              <w:right w:w="115" w:type="dxa"/>
            </w:tcMar>
            <w:vAlign w:val="center"/>
          </w:tcPr>
          <w:p w:rsidR="00855A78" w:rsidRPr="004A0319" w:rsidRDefault="000C32A3" w:rsidP="000C32A3">
            <w:pPr>
              <w:suppressLineNumbers/>
              <w:suppressAutoHyphens/>
              <w:kinsoku w:val="0"/>
              <w:overflowPunct w:val="0"/>
              <w:autoSpaceDE w:val="0"/>
              <w:autoSpaceDN w:val="0"/>
              <w:adjustRightInd w:val="0"/>
              <w:snapToGrid w:val="0"/>
              <w:jc w:val="left"/>
              <w:rPr>
                <w:snapToGrid w:val="0"/>
                <w:kern w:val="22"/>
                <w:szCs w:val="22"/>
                <w:lang w:val="fr-CA"/>
              </w:rPr>
            </w:pPr>
            <w:r>
              <w:rPr>
                <w:snapToGrid w:val="0"/>
                <w:kern w:val="22"/>
                <w:szCs w:val="22"/>
                <w:lang w:val="fr-CA"/>
              </w:rPr>
              <w:t>Approche </w:t>
            </w:r>
            <w:r w:rsidR="00855A78" w:rsidRPr="004A0319">
              <w:rPr>
                <w:snapToGrid w:val="0"/>
                <w:kern w:val="22"/>
                <w:szCs w:val="22"/>
                <w:lang w:val="fr-CA"/>
              </w:rPr>
              <w:t>II</w:t>
            </w:r>
            <w:r>
              <w:rPr>
                <w:snapToGrid w:val="0"/>
                <w:kern w:val="22"/>
                <w:szCs w:val="22"/>
                <w:lang w:val="fr-CA"/>
              </w:rPr>
              <w:t> </w:t>
            </w:r>
            <w:r w:rsidR="00855A78" w:rsidRPr="004A0319">
              <w:rPr>
                <w:snapToGrid w:val="0"/>
                <w:kern w:val="22"/>
                <w:szCs w:val="22"/>
                <w:lang w:val="fr-CA"/>
              </w:rPr>
              <w:t>a (</w:t>
            </w:r>
            <w:r>
              <w:rPr>
                <w:snapToGrid w:val="0"/>
                <w:kern w:val="22"/>
                <w:szCs w:val="22"/>
                <w:lang w:val="fr-CA"/>
              </w:rPr>
              <w:t xml:space="preserve">données de référence </w:t>
            </w:r>
            <w:r w:rsidRPr="004A0319">
              <w:rPr>
                <w:snapToGrid w:val="0"/>
                <w:kern w:val="22"/>
                <w:szCs w:val="22"/>
                <w:lang w:val="fr-CA"/>
              </w:rPr>
              <w:t>total</w:t>
            </w:r>
            <w:r>
              <w:rPr>
                <w:snapToGrid w:val="0"/>
                <w:kern w:val="22"/>
                <w:szCs w:val="22"/>
                <w:lang w:val="fr-CA"/>
              </w:rPr>
              <w:t>es</w:t>
            </w:r>
            <w:r w:rsidR="00855A78" w:rsidRPr="004A0319">
              <w:rPr>
                <w:snapToGrid w:val="0"/>
                <w:kern w:val="22"/>
                <w:szCs w:val="22"/>
                <w:lang w:val="fr-CA"/>
              </w:rPr>
              <w:t xml:space="preserve">, </w:t>
            </w:r>
            <w:r>
              <w:rPr>
                <w:snapToGrid w:val="0"/>
                <w:kern w:val="22"/>
                <w:szCs w:val="22"/>
                <w:lang w:val="fr-CA"/>
              </w:rPr>
              <w:t>taux de change moyen pondéré 2006</w:t>
            </w:r>
            <w:r w:rsidR="00466152">
              <w:rPr>
                <w:snapToGrid w:val="0"/>
                <w:kern w:val="22"/>
                <w:szCs w:val="22"/>
                <w:lang w:val="fr-CA"/>
              </w:rPr>
              <w:noBreakHyphen/>
            </w:r>
            <w:r w:rsidRPr="004A0319">
              <w:rPr>
                <w:snapToGrid w:val="0"/>
                <w:kern w:val="22"/>
                <w:szCs w:val="22"/>
                <w:lang w:val="fr-CA"/>
              </w:rPr>
              <w:t>2010</w:t>
            </w:r>
            <w:r w:rsidR="00855A78" w:rsidRPr="004A0319">
              <w:rPr>
                <w:snapToGrid w:val="0"/>
                <w:kern w:val="22"/>
                <w:szCs w:val="22"/>
                <w:lang w:val="fr-CA"/>
              </w:rPr>
              <w:t>), quotient</w:t>
            </w:r>
          </w:p>
        </w:tc>
        <w:tc>
          <w:tcPr>
            <w:tcW w:w="1260" w:type="dxa"/>
            <w:shd w:val="clear" w:color="auto" w:fill="auto"/>
            <w:tcMar>
              <w:top w:w="43" w:type="dxa"/>
              <w:left w:w="115" w:type="dxa"/>
              <w:bottom w:w="43" w:type="dxa"/>
              <w:right w:w="115" w:type="dxa"/>
            </w:tcMar>
            <w:vAlign w:val="center"/>
          </w:tcPr>
          <w:p w:rsidR="00855A78" w:rsidRPr="004A0319"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4A0319">
              <w:rPr>
                <w:snapToGrid w:val="0"/>
                <w:kern w:val="22"/>
                <w:szCs w:val="22"/>
                <w:lang w:val="fr-CA"/>
              </w:rPr>
              <w:t>1</w:t>
            </w:r>
            <w:r w:rsidR="00411F12">
              <w:rPr>
                <w:snapToGrid w:val="0"/>
                <w:kern w:val="22"/>
                <w:szCs w:val="22"/>
                <w:lang w:val="fr-CA"/>
              </w:rPr>
              <w:t>,</w:t>
            </w:r>
            <w:r w:rsidRPr="004A0319">
              <w:rPr>
                <w:snapToGrid w:val="0"/>
                <w:kern w:val="22"/>
                <w:szCs w:val="22"/>
                <w:lang w:val="fr-CA"/>
              </w:rPr>
              <w:t>23</w:t>
            </w:r>
          </w:p>
        </w:tc>
        <w:tc>
          <w:tcPr>
            <w:tcW w:w="1170" w:type="dxa"/>
            <w:tcMar>
              <w:top w:w="43" w:type="dxa"/>
              <w:left w:w="115" w:type="dxa"/>
              <w:bottom w:w="43" w:type="dxa"/>
              <w:right w:w="115" w:type="dxa"/>
            </w:tcMar>
            <w:vAlign w:val="center"/>
          </w:tcPr>
          <w:p w:rsidR="00855A78" w:rsidRPr="004A0319"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4A0319">
              <w:rPr>
                <w:snapToGrid w:val="0"/>
                <w:kern w:val="22"/>
                <w:szCs w:val="22"/>
                <w:lang w:val="fr-CA"/>
              </w:rPr>
              <w:t>1</w:t>
            </w:r>
            <w:r w:rsidR="00411F12">
              <w:rPr>
                <w:snapToGrid w:val="0"/>
                <w:kern w:val="22"/>
                <w:szCs w:val="22"/>
                <w:lang w:val="fr-CA"/>
              </w:rPr>
              <w:t>,</w:t>
            </w:r>
            <w:r w:rsidRPr="004A0319">
              <w:rPr>
                <w:snapToGrid w:val="0"/>
                <w:kern w:val="22"/>
                <w:szCs w:val="22"/>
                <w:lang w:val="fr-CA"/>
              </w:rPr>
              <w:t>48</w:t>
            </w:r>
          </w:p>
        </w:tc>
        <w:tc>
          <w:tcPr>
            <w:tcW w:w="1170" w:type="dxa"/>
            <w:tcMar>
              <w:top w:w="43" w:type="dxa"/>
              <w:left w:w="115" w:type="dxa"/>
              <w:bottom w:w="43" w:type="dxa"/>
              <w:right w:w="115" w:type="dxa"/>
            </w:tcMar>
            <w:vAlign w:val="center"/>
          </w:tcPr>
          <w:p w:rsidR="00855A78" w:rsidRPr="004A0319"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4A0319">
              <w:rPr>
                <w:snapToGrid w:val="0"/>
                <w:kern w:val="22"/>
                <w:szCs w:val="22"/>
                <w:lang w:val="fr-CA"/>
              </w:rPr>
              <w:t>1</w:t>
            </w:r>
            <w:r w:rsidR="00411F12">
              <w:rPr>
                <w:snapToGrid w:val="0"/>
                <w:kern w:val="22"/>
                <w:szCs w:val="22"/>
                <w:lang w:val="fr-CA"/>
              </w:rPr>
              <w:t>,</w:t>
            </w:r>
            <w:r w:rsidRPr="004A0319">
              <w:rPr>
                <w:snapToGrid w:val="0"/>
                <w:kern w:val="22"/>
                <w:szCs w:val="22"/>
                <w:lang w:val="fr-CA"/>
              </w:rPr>
              <w:t>62</w:t>
            </w:r>
          </w:p>
        </w:tc>
      </w:tr>
    </w:tbl>
    <w:p w:rsidR="00855A78" w:rsidRPr="004A0319" w:rsidRDefault="001D16F4" w:rsidP="003B130B">
      <w:pPr>
        <w:numPr>
          <w:ilvl w:val="0"/>
          <w:numId w:val="52"/>
        </w:numPr>
        <w:suppressLineNumbers/>
        <w:suppressAutoHyphens/>
        <w:kinsoku w:val="0"/>
        <w:overflowPunct w:val="0"/>
        <w:autoSpaceDE w:val="0"/>
        <w:autoSpaceDN w:val="0"/>
        <w:adjustRightInd w:val="0"/>
        <w:snapToGrid w:val="0"/>
        <w:spacing w:before="120" w:after="120"/>
        <w:ind w:left="0" w:firstLine="0"/>
        <w:rPr>
          <w:noProof/>
          <w:snapToGrid w:val="0"/>
          <w:kern w:val="22"/>
          <w:szCs w:val="22"/>
          <w:lang w:val="fr-CA"/>
        </w:rPr>
      </w:pPr>
      <w:r>
        <w:rPr>
          <w:noProof/>
          <w:snapToGrid w:val="0"/>
          <w:kern w:val="22"/>
          <w:szCs w:val="22"/>
          <w:lang w:val="fr-CA"/>
        </w:rPr>
        <w:t>Plusieurs non</w:t>
      </w:r>
      <w:r w:rsidR="00466152">
        <w:rPr>
          <w:noProof/>
          <w:snapToGrid w:val="0"/>
          <w:kern w:val="22"/>
          <w:szCs w:val="22"/>
          <w:lang w:val="fr-CA"/>
        </w:rPr>
        <w:noBreakHyphen/>
      </w:r>
      <w:r>
        <w:rPr>
          <w:noProof/>
          <w:snapToGrid w:val="0"/>
          <w:kern w:val="22"/>
          <w:szCs w:val="22"/>
          <w:lang w:val="fr-CA"/>
        </w:rPr>
        <w:t xml:space="preserve">membres du CAD ont fait état de flux internationaux fournis en identifiant des projets spécifiques liés à la biodiversité, et en complétant les </w:t>
      </w:r>
      <w:r w:rsidR="00016DC7">
        <w:rPr>
          <w:noProof/>
          <w:snapToGrid w:val="0"/>
          <w:kern w:val="22"/>
          <w:szCs w:val="22"/>
          <w:lang w:val="fr-CA"/>
        </w:rPr>
        <w:t>montants</w:t>
      </w:r>
      <w:r>
        <w:rPr>
          <w:noProof/>
          <w:snapToGrid w:val="0"/>
          <w:kern w:val="22"/>
          <w:szCs w:val="22"/>
          <w:lang w:val="fr-CA"/>
        </w:rPr>
        <w:t xml:space="preserve"> obtenus avec les contributions des membres</w:t>
      </w:r>
      <w:r w:rsidR="00016DC7">
        <w:rPr>
          <w:noProof/>
          <w:snapToGrid w:val="0"/>
          <w:kern w:val="22"/>
          <w:szCs w:val="22"/>
          <w:lang w:val="fr-CA"/>
        </w:rPr>
        <w:t xml:space="preserve"> à des accords internationaux pertinents ainsi qu</w:t>
      </w:r>
      <w:r w:rsidR="00466152">
        <w:rPr>
          <w:noProof/>
          <w:snapToGrid w:val="0"/>
          <w:kern w:val="22"/>
          <w:szCs w:val="22"/>
          <w:lang w:val="fr-CA"/>
        </w:rPr>
        <w:t>’</w:t>
      </w:r>
      <w:r w:rsidR="00016DC7">
        <w:rPr>
          <w:noProof/>
          <w:snapToGrid w:val="0"/>
          <w:kern w:val="22"/>
          <w:szCs w:val="22"/>
          <w:lang w:val="fr-CA"/>
        </w:rPr>
        <w:t>avec des contributions volontaires au Fonds pour l</w:t>
      </w:r>
      <w:r w:rsidR="00466152">
        <w:rPr>
          <w:noProof/>
          <w:snapToGrid w:val="0"/>
          <w:kern w:val="22"/>
          <w:szCs w:val="22"/>
          <w:lang w:val="fr-CA"/>
        </w:rPr>
        <w:t>’</w:t>
      </w:r>
      <w:r w:rsidR="00016DC7">
        <w:rPr>
          <w:noProof/>
          <w:snapToGrid w:val="0"/>
          <w:kern w:val="22"/>
          <w:szCs w:val="22"/>
          <w:lang w:val="fr-CA"/>
        </w:rPr>
        <w:t>environnement mondial.</w:t>
      </w:r>
    </w:p>
    <w:p w:rsidR="00855A78" w:rsidRPr="004A0319" w:rsidRDefault="0083535B" w:rsidP="00940497">
      <w:pPr>
        <w:numPr>
          <w:ilvl w:val="0"/>
          <w:numId w:val="52"/>
        </w:numPr>
        <w:suppressLineNumbers/>
        <w:suppressAutoHyphens/>
        <w:kinsoku w:val="0"/>
        <w:overflowPunct w:val="0"/>
        <w:autoSpaceDE w:val="0"/>
        <w:autoSpaceDN w:val="0"/>
        <w:adjustRightInd w:val="0"/>
        <w:snapToGrid w:val="0"/>
        <w:spacing w:after="120"/>
        <w:ind w:left="0" w:firstLine="0"/>
        <w:rPr>
          <w:noProof/>
          <w:snapToGrid w:val="0"/>
          <w:kern w:val="22"/>
          <w:szCs w:val="22"/>
          <w:lang w:val="fr-CA"/>
        </w:rPr>
      </w:pPr>
      <w:r>
        <w:rPr>
          <w:noProof/>
          <w:snapToGrid w:val="0"/>
          <w:kern w:val="22"/>
          <w:szCs w:val="22"/>
          <w:lang w:val="fr-CA"/>
        </w:rPr>
        <w:t>Seuls quelques pays (Autriche, Danemark, France, Hongrie et Suisse) font état de montants provenant d</w:t>
      </w:r>
      <w:r w:rsidR="00466152">
        <w:rPr>
          <w:noProof/>
          <w:snapToGrid w:val="0"/>
          <w:kern w:val="22"/>
          <w:szCs w:val="22"/>
          <w:lang w:val="fr-CA"/>
        </w:rPr>
        <w:t>’</w:t>
      </w:r>
      <w:r>
        <w:rPr>
          <w:noProof/>
          <w:snapToGrid w:val="0"/>
          <w:kern w:val="22"/>
          <w:szCs w:val="22"/>
          <w:lang w:val="fr-CA"/>
        </w:rPr>
        <w:t>autres flux internationaux, signalant par ailleurs que les données sont partielles et qu</w:t>
      </w:r>
      <w:r w:rsidR="00466152">
        <w:rPr>
          <w:noProof/>
          <w:snapToGrid w:val="0"/>
          <w:kern w:val="22"/>
          <w:szCs w:val="22"/>
          <w:lang w:val="fr-CA"/>
        </w:rPr>
        <w:t>’</w:t>
      </w:r>
      <w:r>
        <w:rPr>
          <w:noProof/>
          <w:snapToGrid w:val="0"/>
          <w:kern w:val="22"/>
          <w:szCs w:val="22"/>
          <w:lang w:val="fr-CA"/>
        </w:rPr>
        <w:t>elles ont été reçues en prenant</w:t>
      </w:r>
      <w:r w:rsidR="00940497">
        <w:rPr>
          <w:noProof/>
          <w:snapToGrid w:val="0"/>
          <w:kern w:val="22"/>
          <w:szCs w:val="22"/>
          <w:lang w:val="fr-CA"/>
        </w:rPr>
        <w:t xml:space="preserve"> contact avec des institutions universitaires sélectionnées (Danemark)</w:t>
      </w:r>
      <w:r>
        <w:rPr>
          <w:noProof/>
          <w:snapToGrid w:val="0"/>
          <w:kern w:val="22"/>
          <w:szCs w:val="22"/>
          <w:lang w:val="fr-CA"/>
        </w:rPr>
        <w:t xml:space="preserve"> </w:t>
      </w:r>
      <w:r w:rsidR="00940497">
        <w:rPr>
          <w:noProof/>
          <w:snapToGrid w:val="0"/>
          <w:kern w:val="22"/>
          <w:szCs w:val="22"/>
          <w:lang w:val="fr-CA"/>
        </w:rPr>
        <w:t>ou des organisations non gouvernementales (ONG) (Suisse</w:t>
      </w:r>
      <w:r w:rsidR="00940497">
        <w:rPr>
          <w:snapToGrid w:val="0"/>
          <w:kern w:val="22"/>
          <w:szCs w:val="22"/>
          <w:lang w:val="fr-CA"/>
        </w:rPr>
        <w:t>). S</w:t>
      </w:r>
      <w:r w:rsidR="00466152">
        <w:rPr>
          <w:snapToGrid w:val="0"/>
          <w:kern w:val="22"/>
          <w:szCs w:val="22"/>
          <w:lang w:val="fr-CA"/>
        </w:rPr>
        <w:t>’</w:t>
      </w:r>
      <w:r w:rsidR="00940497">
        <w:rPr>
          <w:snapToGrid w:val="0"/>
          <w:kern w:val="22"/>
          <w:szCs w:val="22"/>
          <w:lang w:val="fr-CA"/>
        </w:rPr>
        <w:t xml:space="preserve">agissant des flux du secteur privé, la France a </w:t>
      </w:r>
      <w:r w:rsidR="00940497">
        <w:rPr>
          <w:snapToGrid w:val="0"/>
          <w:kern w:val="22"/>
          <w:szCs w:val="22"/>
          <w:lang w:val="fr-CA"/>
        </w:rPr>
        <w:lastRenderedPageBreak/>
        <w:t>noté qu</w:t>
      </w:r>
      <w:r w:rsidR="00466152">
        <w:rPr>
          <w:snapToGrid w:val="0"/>
          <w:kern w:val="22"/>
          <w:szCs w:val="22"/>
          <w:lang w:val="fr-CA"/>
        </w:rPr>
        <w:t>’</w:t>
      </w:r>
      <w:r w:rsidR="00940497">
        <w:rPr>
          <w:snapToGrid w:val="0"/>
          <w:kern w:val="22"/>
          <w:szCs w:val="22"/>
          <w:lang w:val="fr-CA"/>
        </w:rPr>
        <w:t>il n</w:t>
      </w:r>
      <w:r w:rsidR="00466152">
        <w:rPr>
          <w:snapToGrid w:val="0"/>
          <w:kern w:val="22"/>
          <w:szCs w:val="22"/>
          <w:lang w:val="fr-CA"/>
        </w:rPr>
        <w:t>’</w:t>
      </w:r>
      <w:r w:rsidR="00940497">
        <w:rPr>
          <w:snapToGrid w:val="0"/>
          <w:kern w:val="22"/>
          <w:szCs w:val="22"/>
          <w:lang w:val="fr-CA"/>
        </w:rPr>
        <w:t xml:space="preserve">existait aucune méthode statistique fiable pour évaluer de tels flux, tandis que la Suisse a noté que des efforts </w:t>
      </w:r>
      <w:r w:rsidR="00940497">
        <w:rPr>
          <w:noProof/>
          <w:snapToGrid w:val="0"/>
          <w:kern w:val="22"/>
          <w:szCs w:val="22"/>
          <w:lang w:val="fr-CA"/>
        </w:rPr>
        <w:t xml:space="preserve">concertés/ conjoints pour évaluer de tels flux avaient été déployés mais avec de maigres résultats. </w:t>
      </w:r>
    </w:p>
    <w:p w:rsidR="00855A78" w:rsidRPr="001C5D72" w:rsidRDefault="00940497" w:rsidP="003B130B">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fr-CA"/>
        </w:rPr>
      </w:pPr>
      <w:r>
        <w:rPr>
          <w:noProof/>
          <w:snapToGrid w:val="0"/>
          <w:kern w:val="22"/>
          <w:szCs w:val="22"/>
          <w:lang w:val="fr-CA"/>
        </w:rPr>
        <w:t>Le tableau 2 ci</w:t>
      </w:r>
      <w:r w:rsidR="00466152">
        <w:rPr>
          <w:noProof/>
          <w:snapToGrid w:val="0"/>
          <w:kern w:val="22"/>
          <w:szCs w:val="22"/>
          <w:lang w:val="fr-CA"/>
        </w:rPr>
        <w:noBreakHyphen/>
      </w:r>
      <w:r>
        <w:rPr>
          <w:noProof/>
          <w:snapToGrid w:val="0"/>
          <w:kern w:val="22"/>
          <w:szCs w:val="22"/>
          <w:lang w:val="fr-CA"/>
        </w:rPr>
        <w:t>après présente un aperçu global des informations méthodologiques fournies. Les membres du Comité d</w:t>
      </w:r>
      <w:r w:rsidR="00466152">
        <w:rPr>
          <w:noProof/>
          <w:snapToGrid w:val="0"/>
          <w:kern w:val="22"/>
          <w:szCs w:val="22"/>
          <w:lang w:val="fr-CA"/>
        </w:rPr>
        <w:t>’</w:t>
      </w:r>
      <w:r>
        <w:rPr>
          <w:noProof/>
          <w:snapToGrid w:val="0"/>
          <w:kern w:val="22"/>
          <w:szCs w:val="22"/>
          <w:lang w:val="fr-CA"/>
        </w:rPr>
        <w:t>aide au développement (CAD)</w:t>
      </w:r>
      <w:r w:rsidR="001C5D72">
        <w:rPr>
          <w:noProof/>
          <w:snapToGrid w:val="0"/>
          <w:kern w:val="22"/>
          <w:szCs w:val="22"/>
          <w:lang w:val="fr-CA"/>
        </w:rPr>
        <w:t xml:space="preserve"> </w:t>
      </w:r>
      <w:r>
        <w:rPr>
          <w:noProof/>
          <w:snapToGrid w:val="0"/>
          <w:kern w:val="22"/>
          <w:szCs w:val="22"/>
          <w:lang w:val="fr-CA"/>
        </w:rPr>
        <w:t xml:space="preserve">de </w:t>
      </w:r>
      <w:r w:rsidRPr="001C5D72">
        <w:rPr>
          <w:noProof/>
          <w:snapToGrid w:val="0"/>
          <w:kern w:val="22"/>
          <w:szCs w:val="22"/>
          <w:lang w:val="fr-CA"/>
        </w:rPr>
        <w:t>l</w:t>
      </w:r>
      <w:r w:rsidR="00466152">
        <w:rPr>
          <w:noProof/>
          <w:snapToGrid w:val="0"/>
          <w:kern w:val="22"/>
          <w:szCs w:val="22"/>
          <w:lang w:val="fr-CA"/>
        </w:rPr>
        <w:t>’</w:t>
      </w:r>
      <w:r w:rsidRPr="001C5D72">
        <w:rPr>
          <w:noProof/>
          <w:snapToGrid w:val="0"/>
          <w:kern w:val="22"/>
          <w:szCs w:val="22"/>
          <w:lang w:val="fr-CA"/>
        </w:rPr>
        <w:t>Organisation de coopération et de développement économiques</w:t>
      </w:r>
      <w:r w:rsidR="001C5D72" w:rsidRPr="001C5D72">
        <w:rPr>
          <w:noProof/>
          <w:snapToGrid w:val="0"/>
          <w:kern w:val="22"/>
          <w:szCs w:val="22"/>
          <w:lang w:val="fr-CA"/>
        </w:rPr>
        <w:t xml:space="preserve"> (OCDE) </w:t>
      </w:r>
      <w:r w:rsidR="0036541E">
        <w:rPr>
          <w:noProof/>
          <w:snapToGrid w:val="0"/>
          <w:kern w:val="22"/>
          <w:szCs w:val="22"/>
          <w:lang w:val="fr-CA"/>
        </w:rPr>
        <w:t>utilisent</w:t>
      </w:r>
      <w:r w:rsidR="001C5D72" w:rsidRPr="001C5D72">
        <w:rPr>
          <w:noProof/>
          <w:snapToGrid w:val="0"/>
          <w:kern w:val="22"/>
          <w:szCs w:val="22"/>
          <w:lang w:val="fr-CA"/>
        </w:rPr>
        <w:t xml:space="preserve"> habituellement </w:t>
      </w:r>
      <w:r w:rsidR="001C5D72">
        <w:rPr>
          <w:noProof/>
          <w:snapToGrid w:val="0"/>
          <w:kern w:val="22"/>
          <w:szCs w:val="22"/>
          <w:lang w:val="fr-CA"/>
        </w:rPr>
        <w:t xml:space="preserve">le </w:t>
      </w:r>
      <w:r w:rsidR="001C5D72" w:rsidRPr="001C5D72">
        <w:rPr>
          <w:rStyle w:val="preferred"/>
          <w:noProof/>
          <w:lang w:val="fr-CA"/>
        </w:rPr>
        <w:t>Système de notification des pays créanciers (SNPC)</w:t>
      </w:r>
      <w:r w:rsidR="001C5D72">
        <w:rPr>
          <w:rStyle w:val="preferred"/>
          <w:noProof/>
          <w:lang w:val="fr-CA"/>
        </w:rPr>
        <w:t xml:space="preserve"> de l</w:t>
      </w:r>
      <w:r w:rsidR="00466152">
        <w:rPr>
          <w:rStyle w:val="preferred"/>
          <w:noProof/>
          <w:lang w:val="fr-CA"/>
        </w:rPr>
        <w:t>’</w:t>
      </w:r>
      <w:r w:rsidR="001C5D72">
        <w:rPr>
          <w:rStyle w:val="preferred"/>
          <w:noProof/>
          <w:lang w:val="fr-CA"/>
        </w:rPr>
        <w:t>OCDE comme</w:t>
      </w:r>
      <w:r w:rsidRPr="001C5D72">
        <w:rPr>
          <w:noProof/>
          <w:snapToGrid w:val="0"/>
          <w:kern w:val="22"/>
          <w:szCs w:val="22"/>
          <w:lang w:val="fr-CA"/>
        </w:rPr>
        <w:t xml:space="preserve"> </w:t>
      </w:r>
      <w:r w:rsidR="001C5D72">
        <w:rPr>
          <w:noProof/>
          <w:snapToGrid w:val="0"/>
          <w:kern w:val="22"/>
          <w:szCs w:val="22"/>
          <w:lang w:val="fr-CA"/>
        </w:rPr>
        <w:t>base de leurs évaluations des ressources fournies. Plusieurs Parties (voir Espagne, Royaume</w:t>
      </w:r>
      <w:r w:rsidR="00466152">
        <w:rPr>
          <w:noProof/>
          <w:snapToGrid w:val="0"/>
          <w:kern w:val="22"/>
          <w:szCs w:val="22"/>
          <w:lang w:val="fr-CA"/>
        </w:rPr>
        <w:noBreakHyphen/>
      </w:r>
      <w:r w:rsidR="001C5D72">
        <w:rPr>
          <w:noProof/>
          <w:snapToGrid w:val="0"/>
          <w:kern w:val="22"/>
          <w:szCs w:val="22"/>
          <w:lang w:val="fr-CA"/>
        </w:rPr>
        <w:t xml:space="preserve">Uni) </w:t>
      </w:r>
      <w:r w:rsidR="0036541E">
        <w:rPr>
          <w:noProof/>
          <w:snapToGrid w:val="0"/>
          <w:kern w:val="22"/>
          <w:szCs w:val="22"/>
          <w:lang w:val="fr-CA"/>
        </w:rPr>
        <w:t>ont eu recours à des codes de secteur SNPC spécifiques, tandis que de nombreuses autres Parties ont utilisé la</w:t>
      </w:r>
      <w:r w:rsidR="0036541E">
        <w:rPr>
          <w:snapToGrid w:val="0"/>
          <w:kern w:val="22"/>
          <w:szCs w:val="22"/>
          <w:lang w:val="fr-CA"/>
        </w:rPr>
        <w:t xml:space="preserve"> méthodologie dite des marqueurs de Rio comme base de leurs évaluations.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943"/>
        <w:gridCol w:w="2835"/>
        <w:gridCol w:w="3798"/>
      </w:tblGrid>
      <w:tr w:rsidR="00855A78" w:rsidRPr="00665C19" w:rsidTr="00490BF5">
        <w:trPr>
          <w:cantSplit/>
          <w:jc w:val="center"/>
        </w:trPr>
        <w:tc>
          <w:tcPr>
            <w:tcW w:w="9576" w:type="dxa"/>
            <w:gridSpan w:val="3"/>
            <w:shd w:val="clear" w:color="auto" w:fill="auto"/>
          </w:tcPr>
          <w:p w:rsidR="00855A78" w:rsidRPr="001C5D72" w:rsidRDefault="0036541E" w:rsidP="005974F3">
            <w:pPr>
              <w:keepNext/>
              <w:keepLines/>
              <w:suppressLineNumbers/>
              <w:suppressAutoHyphens/>
              <w:kinsoku w:val="0"/>
              <w:overflowPunct w:val="0"/>
              <w:autoSpaceDE w:val="0"/>
              <w:autoSpaceDN w:val="0"/>
              <w:adjustRightInd w:val="0"/>
              <w:snapToGrid w:val="0"/>
              <w:ind w:left="360"/>
              <w:jc w:val="left"/>
              <w:rPr>
                <w:b/>
                <w:bCs/>
                <w:snapToGrid w:val="0"/>
                <w:kern w:val="22"/>
                <w:szCs w:val="22"/>
                <w:lang w:val="fr-CA"/>
              </w:rPr>
            </w:pPr>
            <w:r>
              <w:rPr>
                <w:b/>
                <w:bCs/>
                <w:snapToGrid w:val="0"/>
                <w:kern w:val="22"/>
                <w:szCs w:val="22"/>
                <w:lang w:val="fr-CA"/>
              </w:rPr>
              <w:t>Tableau </w:t>
            </w:r>
            <w:r w:rsidR="00B34BC8" w:rsidRPr="001C5D72">
              <w:rPr>
                <w:b/>
                <w:bCs/>
                <w:snapToGrid w:val="0"/>
                <w:kern w:val="22"/>
                <w:szCs w:val="22"/>
                <w:lang w:val="fr-CA"/>
              </w:rPr>
              <w:t>2</w:t>
            </w:r>
            <w:r w:rsidR="00855A78" w:rsidRPr="001C5D72">
              <w:rPr>
                <w:b/>
                <w:bCs/>
                <w:snapToGrid w:val="0"/>
                <w:kern w:val="22"/>
                <w:szCs w:val="22"/>
                <w:lang w:val="fr-CA"/>
              </w:rPr>
              <w:t>.</w:t>
            </w:r>
            <w:r>
              <w:rPr>
                <w:b/>
                <w:bCs/>
                <w:snapToGrid w:val="0"/>
                <w:kern w:val="22"/>
                <w:szCs w:val="22"/>
                <w:lang w:val="fr-CA"/>
              </w:rPr>
              <w:t xml:space="preserve"> Informations méthodologiques sur les flux financiers internationaux</w:t>
            </w:r>
          </w:p>
        </w:tc>
      </w:tr>
      <w:tr w:rsidR="00855A78" w:rsidRPr="001C5D72" w:rsidTr="00490BF5">
        <w:trPr>
          <w:cantSplit/>
          <w:jc w:val="center"/>
        </w:trPr>
        <w:tc>
          <w:tcPr>
            <w:tcW w:w="2943" w:type="dxa"/>
            <w:shd w:val="clear" w:color="auto" w:fill="auto"/>
          </w:tcPr>
          <w:p w:rsidR="00855A78" w:rsidRPr="001C5D72" w:rsidRDefault="00855A78" w:rsidP="00490BF5">
            <w:pPr>
              <w:keepNext/>
              <w:keepLines/>
              <w:suppressLineNumbers/>
              <w:suppressAutoHyphens/>
              <w:kinsoku w:val="0"/>
              <w:overflowPunct w:val="0"/>
              <w:autoSpaceDE w:val="0"/>
              <w:autoSpaceDN w:val="0"/>
              <w:adjustRightInd w:val="0"/>
              <w:snapToGrid w:val="0"/>
              <w:ind w:left="360"/>
              <w:rPr>
                <w:snapToGrid w:val="0"/>
                <w:kern w:val="22"/>
                <w:szCs w:val="22"/>
                <w:lang w:val="fr-CA"/>
              </w:rPr>
            </w:pPr>
          </w:p>
        </w:tc>
        <w:tc>
          <w:tcPr>
            <w:tcW w:w="6633" w:type="dxa"/>
            <w:gridSpan w:val="2"/>
            <w:shd w:val="clear" w:color="auto" w:fill="auto"/>
          </w:tcPr>
          <w:p w:rsidR="00855A78" w:rsidRPr="001C5D72" w:rsidRDefault="0036541E" w:rsidP="00490BF5">
            <w:pPr>
              <w:keepNext/>
              <w:keepLines/>
              <w:suppressLineNumbers/>
              <w:suppressAutoHyphens/>
              <w:kinsoku w:val="0"/>
              <w:overflowPunct w:val="0"/>
              <w:autoSpaceDE w:val="0"/>
              <w:autoSpaceDN w:val="0"/>
              <w:adjustRightInd w:val="0"/>
              <w:snapToGrid w:val="0"/>
              <w:ind w:left="360"/>
              <w:jc w:val="center"/>
              <w:rPr>
                <w:iCs/>
                <w:snapToGrid w:val="0"/>
                <w:kern w:val="22"/>
                <w:szCs w:val="22"/>
                <w:lang w:val="fr-CA"/>
              </w:rPr>
            </w:pPr>
            <w:r>
              <w:rPr>
                <w:iCs/>
                <w:snapToGrid w:val="0"/>
                <w:kern w:val="22"/>
                <w:szCs w:val="22"/>
                <w:lang w:val="fr-CA"/>
              </w:rPr>
              <w:t>Nombre de pays :</w:t>
            </w:r>
            <w:r w:rsidR="00855A78" w:rsidRPr="001C5D72">
              <w:rPr>
                <w:iCs/>
                <w:snapToGrid w:val="0"/>
                <w:kern w:val="22"/>
                <w:szCs w:val="22"/>
                <w:lang w:val="fr-CA"/>
              </w:rPr>
              <w:t xml:space="preserve"> 26</w:t>
            </w:r>
          </w:p>
        </w:tc>
      </w:tr>
      <w:tr w:rsidR="00855A78" w:rsidRPr="001C5D72" w:rsidTr="00490BF5">
        <w:trPr>
          <w:cantSplit/>
          <w:jc w:val="center"/>
        </w:trPr>
        <w:tc>
          <w:tcPr>
            <w:tcW w:w="2943" w:type="dxa"/>
            <w:shd w:val="clear" w:color="auto" w:fill="auto"/>
            <w:vAlign w:val="center"/>
          </w:tcPr>
          <w:p w:rsidR="00855A78" w:rsidRPr="001C5D72" w:rsidRDefault="005974F3" w:rsidP="005974F3">
            <w:pPr>
              <w:keepNext/>
              <w:keepLines/>
              <w:suppressLineNumbers/>
              <w:suppressAutoHyphens/>
              <w:kinsoku w:val="0"/>
              <w:overflowPunct w:val="0"/>
              <w:autoSpaceDE w:val="0"/>
              <w:autoSpaceDN w:val="0"/>
              <w:adjustRightInd w:val="0"/>
              <w:snapToGrid w:val="0"/>
              <w:rPr>
                <w:snapToGrid w:val="0"/>
                <w:kern w:val="22"/>
                <w:szCs w:val="22"/>
                <w:lang w:val="fr-CA"/>
              </w:rPr>
            </w:pPr>
            <w:r>
              <w:rPr>
                <w:snapToGrid w:val="0"/>
                <w:kern w:val="22"/>
                <w:szCs w:val="22"/>
                <w:lang w:val="fr-CA"/>
              </w:rPr>
              <w:t>APD</w:t>
            </w:r>
            <w:r w:rsidR="00855A78" w:rsidRPr="001C5D72">
              <w:rPr>
                <w:snapToGrid w:val="0"/>
                <w:kern w:val="22"/>
                <w:szCs w:val="22"/>
                <w:lang w:val="fr-CA"/>
              </w:rPr>
              <w:t xml:space="preserve"> </w:t>
            </w:r>
            <w:r>
              <w:rPr>
                <w:snapToGrid w:val="0"/>
                <w:kern w:val="22"/>
                <w:szCs w:val="22"/>
                <w:lang w:val="fr-CA"/>
              </w:rPr>
              <w:t>comprend :</w:t>
            </w:r>
          </w:p>
        </w:tc>
        <w:tc>
          <w:tcPr>
            <w:tcW w:w="2835" w:type="dxa"/>
            <w:shd w:val="clear" w:color="auto" w:fill="auto"/>
            <w:vAlign w:val="center"/>
          </w:tcPr>
          <w:p w:rsidR="00855A78" w:rsidRPr="001C5D72" w:rsidRDefault="0036541E" w:rsidP="00490BF5">
            <w:pPr>
              <w:keepNext/>
              <w:keepLines/>
              <w:suppressLineNumbers/>
              <w:suppressAutoHyphens/>
              <w:kinsoku w:val="0"/>
              <w:overflowPunct w:val="0"/>
              <w:autoSpaceDE w:val="0"/>
              <w:autoSpaceDN w:val="0"/>
              <w:adjustRightInd w:val="0"/>
              <w:snapToGrid w:val="0"/>
              <w:rPr>
                <w:snapToGrid w:val="0"/>
                <w:kern w:val="22"/>
                <w:szCs w:val="22"/>
                <w:lang w:val="fr-CA"/>
              </w:rPr>
            </w:pPr>
            <w:r>
              <w:rPr>
                <w:snapToGrid w:val="0"/>
                <w:kern w:val="22"/>
                <w:szCs w:val="22"/>
                <w:lang w:val="fr-CA"/>
              </w:rPr>
              <w:t>Bilatéral :</w:t>
            </w:r>
            <w:r w:rsidR="00855A78" w:rsidRPr="001C5D72">
              <w:rPr>
                <w:snapToGrid w:val="0"/>
                <w:kern w:val="22"/>
                <w:szCs w:val="22"/>
                <w:lang w:val="fr-CA"/>
              </w:rPr>
              <w:t xml:space="preserve"> 25</w:t>
            </w:r>
          </w:p>
        </w:tc>
        <w:tc>
          <w:tcPr>
            <w:tcW w:w="3798" w:type="dxa"/>
            <w:shd w:val="clear" w:color="auto" w:fill="auto"/>
            <w:vAlign w:val="center"/>
          </w:tcPr>
          <w:p w:rsidR="00855A78" w:rsidRPr="001C5D72" w:rsidRDefault="0036541E" w:rsidP="00490BF5">
            <w:pPr>
              <w:keepNext/>
              <w:keepLines/>
              <w:suppressLineNumbers/>
              <w:suppressAutoHyphens/>
              <w:kinsoku w:val="0"/>
              <w:overflowPunct w:val="0"/>
              <w:autoSpaceDE w:val="0"/>
              <w:autoSpaceDN w:val="0"/>
              <w:adjustRightInd w:val="0"/>
              <w:snapToGrid w:val="0"/>
              <w:ind w:left="360"/>
              <w:rPr>
                <w:snapToGrid w:val="0"/>
                <w:kern w:val="22"/>
                <w:szCs w:val="22"/>
                <w:lang w:val="fr-CA"/>
              </w:rPr>
            </w:pPr>
            <w:r>
              <w:rPr>
                <w:snapToGrid w:val="0"/>
                <w:kern w:val="22"/>
                <w:szCs w:val="22"/>
                <w:lang w:val="fr-CA"/>
              </w:rPr>
              <w:t xml:space="preserve">Multilatéral : </w:t>
            </w:r>
            <w:r w:rsidR="00855A78" w:rsidRPr="001C5D72">
              <w:rPr>
                <w:snapToGrid w:val="0"/>
                <w:kern w:val="22"/>
                <w:szCs w:val="22"/>
                <w:lang w:val="fr-CA"/>
              </w:rPr>
              <w:t>23</w:t>
            </w:r>
          </w:p>
        </w:tc>
      </w:tr>
      <w:tr w:rsidR="00855A78" w:rsidRPr="001C5D72" w:rsidTr="00490BF5">
        <w:trPr>
          <w:cantSplit/>
          <w:jc w:val="center"/>
        </w:trPr>
        <w:tc>
          <w:tcPr>
            <w:tcW w:w="2943" w:type="dxa"/>
            <w:shd w:val="clear" w:color="auto" w:fill="auto"/>
            <w:vAlign w:val="center"/>
          </w:tcPr>
          <w:p w:rsidR="00855A78" w:rsidRPr="001C5D72" w:rsidRDefault="005974F3" w:rsidP="00490BF5">
            <w:pPr>
              <w:keepNext/>
              <w:keepLines/>
              <w:suppressLineNumbers/>
              <w:suppressAutoHyphens/>
              <w:kinsoku w:val="0"/>
              <w:overflowPunct w:val="0"/>
              <w:autoSpaceDE w:val="0"/>
              <w:autoSpaceDN w:val="0"/>
              <w:adjustRightInd w:val="0"/>
              <w:snapToGrid w:val="0"/>
              <w:rPr>
                <w:snapToGrid w:val="0"/>
                <w:kern w:val="22"/>
                <w:szCs w:val="22"/>
                <w:lang w:val="fr-CA"/>
              </w:rPr>
            </w:pPr>
            <w:r>
              <w:rPr>
                <w:snapToGrid w:val="0"/>
                <w:kern w:val="22"/>
                <w:szCs w:val="22"/>
                <w:lang w:val="fr-CA"/>
              </w:rPr>
              <w:t>APD/AASP :</w:t>
            </w:r>
          </w:p>
        </w:tc>
        <w:tc>
          <w:tcPr>
            <w:tcW w:w="2835" w:type="dxa"/>
            <w:shd w:val="clear" w:color="auto" w:fill="auto"/>
            <w:vAlign w:val="center"/>
          </w:tcPr>
          <w:p w:rsidR="00855A78" w:rsidRPr="001C5D72" w:rsidRDefault="0036541E" w:rsidP="00490BF5">
            <w:pPr>
              <w:keepNext/>
              <w:keepLines/>
              <w:suppressLineNumbers/>
              <w:suppressAutoHyphens/>
              <w:kinsoku w:val="0"/>
              <w:overflowPunct w:val="0"/>
              <w:autoSpaceDE w:val="0"/>
              <w:autoSpaceDN w:val="0"/>
              <w:adjustRightInd w:val="0"/>
              <w:snapToGrid w:val="0"/>
              <w:rPr>
                <w:snapToGrid w:val="0"/>
                <w:kern w:val="22"/>
                <w:szCs w:val="22"/>
                <w:lang w:val="fr-CA"/>
              </w:rPr>
            </w:pPr>
            <w:r>
              <w:rPr>
                <w:snapToGrid w:val="0"/>
                <w:kern w:val="22"/>
                <w:szCs w:val="22"/>
                <w:lang w:val="fr-CA"/>
              </w:rPr>
              <w:t>Engagements :</w:t>
            </w:r>
            <w:r w:rsidR="00855A78" w:rsidRPr="001C5D72">
              <w:rPr>
                <w:snapToGrid w:val="0"/>
                <w:kern w:val="22"/>
                <w:szCs w:val="22"/>
                <w:lang w:val="fr-CA"/>
              </w:rPr>
              <w:t xml:space="preserve"> 8</w:t>
            </w:r>
          </w:p>
        </w:tc>
        <w:tc>
          <w:tcPr>
            <w:tcW w:w="3798" w:type="dxa"/>
            <w:shd w:val="clear" w:color="auto" w:fill="auto"/>
            <w:vAlign w:val="center"/>
          </w:tcPr>
          <w:p w:rsidR="00855A78" w:rsidRPr="001C5D72" w:rsidRDefault="005974F3" w:rsidP="00490BF5">
            <w:pPr>
              <w:keepNext/>
              <w:keepLines/>
              <w:suppressLineNumbers/>
              <w:suppressAutoHyphens/>
              <w:kinsoku w:val="0"/>
              <w:overflowPunct w:val="0"/>
              <w:autoSpaceDE w:val="0"/>
              <w:autoSpaceDN w:val="0"/>
              <w:adjustRightInd w:val="0"/>
              <w:snapToGrid w:val="0"/>
              <w:ind w:left="360"/>
              <w:rPr>
                <w:snapToGrid w:val="0"/>
                <w:kern w:val="22"/>
                <w:szCs w:val="22"/>
                <w:lang w:val="fr-CA"/>
              </w:rPr>
            </w:pPr>
            <w:r>
              <w:rPr>
                <w:snapToGrid w:val="0"/>
                <w:kern w:val="22"/>
                <w:szCs w:val="22"/>
                <w:lang w:val="fr-CA"/>
              </w:rPr>
              <w:t>Décaissements :</w:t>
            </w:r>
            <w:r w:rsidR="00855A78" w:rsidRPr="001C5D72">
              <w:rPr>
                <w:snapToGrid w:val="0"/>
                <w:kern w:val="22"/>
                <w:szCs w:val="22"/>
                <w:lang w:val="fr-CA"/>
              </w:rPr>
              <w:t xml:space="preserve"> 21</w:t>
            </w:r>
          </w:p>
        </w:tc>
      </w:tr>
      <w:tr w:rsidR="00855A78" w:rsidRPr="001C5D72" w:rsidTr="00490BF5">
        <w:trPr>
          <w:cantSplit/>
          <w:jc w:val="center"/>
        </w:trPr>
        <w:tc>
          <w:tcPr>
            <w:tcW w:w="2943" w:type="dxa"/>
            <w:shd w:val="clear" w:color="auto" w:fill="auto"/>
            <w:vAlign w:val="center"/>
          </w:tcPr>
          <w:p w:rsidR="00855A78" w:rsidRPr="001C5D72" w:rsidRDefault="005974F3" w:rsidP="005974F3">
            <w:pPr>
              <w:keepNext/>
              <w:keepLines/>
              <w:suppressLineNumbers/>
              <w:suppressAutoHyphens/>
              <w:kinsoku w:val="0"/>
              <w:overflowPunct w:val="0"/>
              <w:autoSpaceDE w:val="0"/>
              <w:autoSpaceDN w:val="0"/>
              <w:adjustRightInd w:val="0"/>
              <w:snapToGrid w:val="0"/>
              <w:rPr>
                <w:snapToGrid w:val="0"/>
                <w:kern w:val="22"/>
                <w:szCs w:val="22"/>
                <w:lang w:val="fr-CA"/>
              </w:rPr>
            </w:pPr>
            <w:r>
              <w:rPr>
                <w:snapToGrid w:val="0"/>
                <w:kern w:val="22"/>
                <w:szCs w:val="22"/>
                <w:lang w:val="fr-CA"/>
              </w:rPr>
              <w:t>APD/AASP comprennent :</w:t>
            </w:r>
          </w:p>
        </w:tc>
        <w:tc>
          <w:tcPr>
            <w:tcW w:w="2835" w:type="dxa"/>
            <w:shd w:val="clear" w:color="auto" w:fill="auto"/>
            <w:vAlign w:val="center"/>
          </w:tcPr>
          <w:p w:rsidR="00855A78" w:rsidRPr="001C5D72" w:rsidRDefault="005974F3" w:rsidP="005974F3">
            <w:pPr>
              <w:keepNext/>
              <w:keepLines/>
              <w:suppressLineNumbers/>
              <w:suppressAutoHyphens/>
              <w:kinsoku w:val="0"/>
              <w:overflowPunct w:val="0"/>
              <w:autoSpaceDE w:val="0"/>
              <w:autoSpaceDN w:val="0"/>
              <w:adjustRightInd w:val="0"/>
              <w:snapToGrid w:val="0"/>
              <w:rPr>
                <w:snapToGrid w:val="0"/>
                <w:kern w:val="22"/>
                <w:szCs w:val="22"/>
                <w:lang w:val="fr-CA"/>
              </w:rPr>
            </w:pPr>
            <w:r>
              <w:rPr>
                <w:snapToGrid w:val="0"/>
                <w:kern w:val="22"/>
                <w:szCs w:val="22"/>
                <w:lang w:val="fr-CA"/>
              </w:rPr>
              <w:t>Directement liés :</w:t>
            </w:r>
            <w:r w:rsidR="00855A78" w:rsidRPr="001C5D72">
              <w:rPr>
                <w:snapToGrid w:val="0"/>
                <w:kern w:val="22"/>
                <w:szCs w:val="22"/>
                <w:lang w:val="fr-CA"/>
              </w:rPr>
              <w:t xml:space="preserve"> 28</w:t>
            </w:r>
          </w:p>
        </w:tc>
        <w:tc>
          <w:tcPr>
            <w:tcW w:w="3798" w:type="dxa"/>
            <w:shd w:val="clear" w:color="auto" w:fill="auto"/>
            <w:vAlign w:val="center"/>
          </w:tcPr>
          <w:p w:rsidR="00855A78" w:rsidRPr="001C5D72" w:rsidRDefault="005974F3" w:rsidP="00490BF5">
            <w:pPr>
              <w:keepNext/>
              <w:keepLines/>
              <w:suppressLineNumbers/>
              <w:suppressAutoHyphens/>
              <w:kinsoku w:val="0"/>
              <w:overflowPunct w:val="0"/>
              <w:autoSpaceDE w:val="0"/>
              <w:autoSpaceDN w:val="0"/>
              <w:adjustRightInd w:val="0"/>
              <w:snapToGrid w:val="0"/>
              <w:ind w:left="360"/>
              <w:rPr>
                <w:snapToGrid w:val="0"/>
                <w:kern w:val="22"/>
                <w:szCs w:val="22"/>
                <w:lang w:val="fr-CA"/>
              </w:rPr>
            </w:pPr>
            <w:r>
              <w:rPr>
                <w:snapToGrid w:val="0"/>
                <w:kern w:val="22"/>
                <w:szCs w:val="22"/>
                <w:lang w:val="fr-CA"/>
              </w:rPr>
              <w:t>Indirectement liés :</w:t>
            </w:r>
            <w:r w:rsidRPr="001C5D72">
              <w:rPr>
                <w:snapToGrid w:val="0"/>
                <w:kern w:val="22"/>
                <w:szCs w:val="22"/>
                <w:lang w:val="fr-CA"/>
              </w:rPr>
              <w:t xml:space="preserve"> </w:t>
            </w:r>
            <w:r w:rsidR="00855A78" w:rsidRPr="001C5D72">
              <w:rPr>
                <w:snapToGrid w:val="0"/>
                <w:kern w:val="22"/>
                <w:szCs w:val="22"/>
                <w:lang w:val="fr-CA"/>
              </w:rPr>
              <w:t>19</w:t>
            </w:r>
          </w:p>
        </w:tc>
      </w:tr>
      <w:tr w:rsidR="00855A78" w:rsidRPr="001C5D72" w:rsidTr="00490BF5">
        <w:trPr>
          <w:cantSplit/>
          <w:jc w:val="center"/>
        </w:trPr>
        <w:tc>
          <w:tcPr>
            <w:tcW w:w="2943" w:type="dxa"/>
            <w:shd w:val="clear" w:color="auto" w:fill="auto"/>
            <w:vAlign w:val="center"/>
          </w:tcPr>
          <w:p w:rsidR="00855A78" w:rsidRPr="001C5D72" w:rsidRDefault="0036541E" w:rsidP="0036541E">
            <w:pPr>
              <w:keepNext/>
              <w:keepLines/>
              <w:suppressLineNumbers/>
              <w:suppressAutoHyphens/>
              <w:kinsoku w:val="0"/>
              <w:overflowPunct w:val="0"/>
              <w:autoSpaceDE w:val="0"/>
              <w:autoSpaceDN w:val="0"/>
              <w:adjustRightInd w:val="0"/>
              <w:snapToGrid w:val="0"/>
              <w:rPr>
                <w:snapToGrid w:val="0"/>
                <w:kern w:val="22"/>
                <w:szCs w:val="22"/>
                <w:lang w:val="fr-CA"/>
              </w:rPr>
            </w:pPr>
            <w:r>
              <w:rPr>
                <w:snapToGrid w:val="0"/>
                <w:kern w:val="22"/>
                <w:szCs w:val="22"/>
                <w:lang w:val="fr-CA"/>
              </w:rPr>
              <w:t xml:space="preserve">Autres flux comprennent : </w:t>
            </w:r>
          </w:p>
        </w:tc>
        <w:tc>
          <w:tcPr>
            <w:tcW w:w="2835" w:type="dxa"/>
            <w:shd w:val="clear" w:color="auto" w:fill="auto"/>
            <w:vAlign w:val="center"/>
          </w:tcPr>
          <w:p w:rsidR="00855A78" w:rsidRPr="001C5D72" w:rsidRDefault="005974F3" w:rsidP="00490BF5">
            <w:pPr>
              <w:keepNext/>
              <w:keepLines/>
              <w:suppressLineNumbers/>
              <w:suppressAutoHyphens/>
              <w:kinsoku w:val="0"/>
              <w:overflowPunct w:val="0"/>
              <w:autoSpaceDE w:val="0"/>
              <w:autoSpaceDN w:val="0"/>
              <w:adjustRightInd w:val="0"/>
              <w:snapToGrid w:val="0"/>
              <w:rPr>
                <w:snapToGrid w:val="0"/>
                <w:kern w:val="22"/>
                <w:szCs w:val="22"/>
                <w:lang w:val="fr-CA"/>
              </w:rPr>
            </w:pPr>
            <w:r>
              <w:rPr>
                <w:snapToGrid w:val="0"/>
                <w:kern w:val="22"/>
                <w:szCs w:val="22"/>
                <w:lang w:val="fr-CA"/>
              </w:rPr>
              <w:t>Directement liés :</w:t>
            </w:r>
            <w:r w:rsidRPr="001C5D72">
              <w:rPr>
                <w:snapToGrid w:val="0"/>
                <w:kern w:val="22"/>
                <w:szCs w:val="22"/>
                <w:lang w:val="fr-CA"/>
              </w:rPr>
              <w:t xml:space="preserve"> </w:t>
            </w:r>
            <w:r w:rsidR="00855A78" w:rsidRPr="001C5D72">
              <w:rPr>
                <w:snapToGrid w:val="0"/>
                <w:kern w:val="22"/>
                <w:szCs w:val="22"/>
                <w:lang w:val="fr-CA"/>
              </w:rPr>
              <w:t>3</w:t>
            </w:r>
          </w:p>
        </w:tc>
        <w:tc>
          <w:tcPr>
            <w:tcW w:w="3798" w:type="dxa"/>
            <w:shd w:val="clear" w:color="auto" w:fill="auto"/>
            <w:vAlign w:val="center"/>
          </w:tcPr>
          <w:p w:rsidR="00855A78" w:rsidRPr="001C5D72" w:rsidRDefault="005974F3" w:rsidP="00490BF5">
            <w:pPr>
              <w:keepNext/>
              <w:keepLines/>
              <w:suppressLineNumbers/>
              <w:suppressAutoHyphens/>
              <w:kinsoku w:val="0"/>
              <w:overflowPunct w:val="0"/>
              <w:autoSpaceDE w:val="0"/>
              <w:autoSpaceDN w:val="0"/>
              <w:adjustRightInd w:val="0"/>
              <w:snapToGrid w:val="0"/>
              <w:ind w:left="360"/>
              <w:rPr>
                <w:snapToGrid w:val="0"/>
                <w:kern w:val="22"/>
                <w:szCs w:val="22"/>
                <w:lang w:val="fr-CA"/>
              </w:rPr>
            </w:pPr>
            <w:r>
              <w:rPr>
                <w:snapToGrid w:val="0"/>
                <w:kern w:val="22"/>
                <w:szCs w:val="22"/>
                <w:lang w:val="fr-CA"/>
              </w:rPr>
              <w:t>Indirectement liés :</w:t>
            </w:r>
            <w:r w:rsidRPr="001C5D72">
              <w:rPr>
                <w:snapToGrid w:val="0"/>
                <w:kern w:val="22"/>
                <w:szCs w:val="22"/>
                <w:lang w:val="fr-CA"/>
              </w:rPr>
              <w:t xml:space="preserve"> </w:t>
            </w:r>
            <w:r w:rsidR="00855A78" w:rsidRPr="001C5D72">
              <w:rPr>
                <w:snapToGrid w:val="0"/>
                <w:kern w:val="22"/>
                <w:szCs w:val="22"/>
                <w:lang w:val="fr-CA"/>
              </w:rPr>
              <w:t>4</w:t>
            </w:r>
          </w:p>
        </w:tc>
      </w:tr>
      <w:tr w:rsidR="00855A78" w:rsidRPr="001C5D72" w:rsidTr="00490BF5">
        <w:trPr>
          <w:cantSplit/>
          <w:jc w:val="center"/>
        </w:trPr>
        <w:tc>
          <w:tcPr>
            <w:tcW w:w="2943" w:type="dxa"/>
            <w:shd w:val="clear" w:color="auto" w:fill="auto"/>
            <w:vAlign w:val="center"/>
          </w:tcPr>
          <w:p w:rsidR="00855A78" w:rsidRPr="001C5D72" w:rsidRDefault="0036541E" w:rsidP="0036541E">
            <w:pPr>
              <w:keepLines/>
              <w:suppressLineNumbers/>
              <w:suppressAutoHyphens/>
              <w:kinsoku w:val="0"/>
              <w:overflowPunct w:val="0"/>
              <w:autoSpaceDE w:val="0"/>
              <w:autoSpaceDN w:val="0"/>
              <w:adjustRightInd w:val="0"/>
              <w:snapToGrid w:val="0"/>
              <w:spacing w:after="120"/>
              <w:jc w:val="left"/>
              <w:rPr>
                <w:snapToGrid w:val="0"/>
                <w:kern w:val="22"/>
                <w:szCs w:val="22"/>
                <w:lang w:val="fr-CA"/>
              </w:rPr>
            </w:pPr>
            <w:r>
              <w:rPr>
                <w:snapToGrid w:val="0"/>
                <w:kern w:val="22"/>
                <w:szCs w:val="22"/>
                <w:lang w:val="fr-CA"/>
              </w:rPr>
              <w:t>Méthodologie utilisée pour identifier les flux de ressources officiels :</w:t>
            </w:r>
          </w:p>
        </w:tc>
        <w:tc>
          <w:tcPr>
            <w:tcW w:w="2835" w:type="dxa"/>
            <w:shd w:val="clear" w:color="auto" w:fill="auto"/>
            <w:vAlign w:val="center"/>
          </w:tcPr>
          <w:p w:rsidR="00855A78" w:rsidRPr="001C5D72" w:rsidRDefault="0036541E" w:rsidP="0036541E">
            <w:pPr>
              <w:keepLines/>
              <w:suppressLineNumbers/>
              <w:suppressAutoHyphens/>
              <w:kinsoku w:val="0"/>
              <w:overflowPunct w:val="0"/>
              <w:autoSpaceDE w:val="0"/>
              <w:autoSpaceDN w:val="0"/>
              <w:adjustRightInd w:val="0"/>
              <w:snapToGrid w:val="0"/>
              <w:spacing w:after="120"/>
              <w:jc w:val="left"/>
              <w:rPr>
                <w:snapToGrid w:val="0"/>
                <w:kern w:val="22"/>
                <w:szCs w:val="22"/>
                <w:lang w:val="fr-CA"/>
              </w:rPr>
            </w:pPr>
            <w:r>
              <w:rPr>
                <w:snapToGrid w:val="0"/>
                <w:kern w:val="22"/>
                <w:szCs w:val="22"/>
                <w:lang w:val="fr-CA"/>
              </w:rPr>
              <w:t>Marqueurs de Rio CAD</w:t>
            </w:r>
            <w:r w:rsidR="00466152">
              <w:rPr>
                <w:snapToGrid w:val="0"/>
                <w:kern w:val="22"/>
                <w:szCs w:val="22"/>
                <w:lang w:val="fr-CA"/>
              </w:rPr>
              <w:noBreakHyphen/>
            </w:r>
            <w:r>
              <w:rPr>
                <w:snapToGrid w:val="0"/>
                <w:kern w:val="22"/>
                <w:szCs w:val="22"/>
                <w:lang w:val="fr-CA"/>
              </w:rPr>
              <w:t xml:space="preserve">OCDE : </w:t>
            </w:r>
            <w:r w:rsidR="00855A78" w:rsidRPr="001C5D72">
              <w:rPr>
                <w:snapToGrid w:val="0"/>
                <w:kern w:val="22"/>
                <w:szCs w:val="22"/>
                <w:lang w:val="fr-CA"/>
              </w:rPr>
              <w:t>15</w:t>
            </w:r>
          </w:p>
        </w:tc>
        <w:tc>
          <w:tcPr>
            <w:tcW w:w="3798" w:type="dxa"/>
            <w:shd w:val="clear" w:color="auto" w:fill="auto"/>
            <w:vAlign w:val="center"/>
          </w:tcPr>
          <w:p w:rsidR="00855A78" w:rsidRPr="001C5D72" w:rsidRDefault="0036541E" w:rsidP="00490BF5">
            <w:pPr>
              <w:keepLines/>
              <w:suppressLineNumbers/>
              <w:suppressAutoHyphens/>
              <w:kinsoku w:val="0"/>
              <w:overflowPunct w:val="0"/>
              <w:autoSpaceDE w:val="0"/>
              <w:autoSpaceDN w:val="0"/>
              <w:adjustRightInd w:val="0"/>
              <w:snapToGrid w:val="0"/>
              <w:spacing w:after="120"/>
              <w:ind w:left="360"/>
              <w:rPr>
                <w:snapToGrid w:val="0"/>
                <w:kern w:val="22"/>
                <w:szCs w:val="22"/>
                <w:lang w:val="fr-CA"/>
              </w:rPr>
            </w:pPr>
            <w:r>
              <w:rPr>
                <w:snapToGrid w:val="0"/>
                <w:kern w:val="22"/>
                <w:szCs w:val="22"/>
                <w:lang w:val="fr-CA"/>
              </w:rPr>
              <w:t>Autres :</w:t>
            </w:r>
            <w:r w:rsidR="00855A78" w:rsidRPr="001C5D72">
              <w:rPr>
                <w:snapToGrid w:val="0"/>
                <w:kern w:val="22"/>
                <w:szCs w:val="22"/>
                <w:lang w:val="fr-CA"/>
              </w:rPr>
              <w:t xml:space="preserve"> 6</w:t>
            </w:r>
          </w:p>
        </w:tc>
      </w:tr>
    </w:tbl>
    <w:p w:rsidR="00855A78" w:rsidRPr="001C5D72" w:rsidRDefault="001C31C2" w:rsidP="003B130B">
      <w:pPr>
        <w:numPr>
          <w:ilvl w:val="0"/>
          <w:numId w:val="52"/>
        </w:numPr>
        <w:suppressLineNumbers/>
        <w:suppressAutoHyphens/>
        <w:kinsoku w:val="0"/>
        <w:overflowPunct w:val="0"/>
        <w:autoSpaceDE w:val="0"/>
        <w:autoSpaceDN w:val="0"/>
        <w:adjustRightInd w:val="0"/>
        <w:snapToGrid w:val="0"/>
        <w:spacing w:before="240" w:after="120"/>
        <w:ind w:left="0" w:firstLine="0"/>
        <w:rPr>
          <w:snapToGrid w:val="0"/>
          <w:kern w:val="22"/>
          <w:szCs w:val="22"/>
          <w:lang w:val="fr-CA"/>
        </w:rPr>
      </w:pPr>
      <w:r>
        <w:rPr>
          <w:snapToGrid w:val="0"/>
          <w:kern w:val="22"/>
          <w:szCs w:val="22"/>
          <w:lang w:val="fr-CA"/>
        </w:rPr>
        <w:t xml:space="preserve">Dans le cadre du SNPC, le CAD compile les données émanant des États membres </w:t>
      </w:r>
      <w:r w:rsidR="00FC2DA4">
        <w:rPr>
          <w:snapToGrid w:val="0"/>
          <w:kern w:val="22"/>
          <w:szCs w:val="22"/>
          <w:lang w:val="fr-CA"/>
        </w:rPr>
        <w:t>concernant</w:t>
      </w:r>
      <w:r>
        <w:rPr>
          <w:snapToGrid w:val="0"/>
          <w:kern w:val="22"/>
          <w:szCs w:val="22"/>
          <w:lang w:val="fr-CA"/>
        </w:rPr>
        <w:t xml:space="preserve"> la mesure dans laquelle l</w:t>
      </w:r>
      <w:r w:rsidR="00466152">
        <w:rPr>
          <w:snapToGrid w:val="0"/>
          <w:kern w:val="22"/>
          <w:szCs w:val="22"/>
          <w:lang w:val="fr-CA"/>
        </w:rPr>
        <w:t>’</w:t>
      </w:r>
      <w:r>
        <w:rPr>
          <w:snapToGrid w:val="0"/>
          <w:kern w:val="22"/>
          <w:szCs w:val="22"/>
          <w:lang w:val="fr-CA"/>
        </w:rPr>
        <w:t xml:space="preserve">aide bilatérale au développement de ces derniers est marquée soit </w:t>
      </w:r>
      <w:r w:rsidR="00FC2DA4">
        <w:rPr>
          <w:snapToGrid w:val="0"/>
          <w:kern w:val="22"/>
          <w:szCs w:val="22"/>
          <w:lang w:val="fr-CA"/>
        </w:rPr>
        <w:t>« </w:t>
      </w:r>
      <w:r>
        <w:rPr>
          <w:snapToGrid w:val="0"/>
          <w:kern w:val="22"/>
          <w:szCs w:val="22"/>
          <w:lang w:val="fr-CA"/>
        </w:rPr>
        <w:t>objectif principal</w:t>
      </w:r>
      <w:r w:rsidR="00FC2DA4">
        <w:rPr>
          <w:snapToGrid w:val="0"/>
          <w:kern w:val="22"/>
          <w:szCs w:val="22"/>
          <w:lang w:val="fr-CA"/>
        </w:rPr>
        <w:t> »</w:t>
      </w:r>
      <w:r>
        <w:rPr>
          <w:snapToGrid w:val="0"/>
          <w:kern w:val="22"/>
          <w:szCs w:val="22"/>
          <w:lang w:val="fr-CA"/>
        </w:rPr>
        <w:t xml:space="preserve"> soit </w:t>
      </w:r>
      <w:r w:rsidR="00FC2DA4">
        <w:rPr>
          <w:snapToGrid w:val="0"/>
          <w:kern w:val="22"/>
          <w:szCs w:val="22"/>
          <w:lang w:val="fr-CA"/>
        </w:rPr>
        <w:t>« </w:t>
      </w:r>
      <w:r>
        <w:rPr>
          <w:snapToGrid w:val="0"/>
          <w:kern w:val="22"/>
          <w:szCs w:val="22"/>
          <w:lang w:val="fr-CA"/>
        </w:rPr>
        <w:t>objectif significatif</w:t>
      </w:r>
      <w:r w:rsidR="00FC2DA4">
        <w:rPr>
          <w:snapToGrid w:val="0"/>
          <w:kern w:val="22"/>
          <w:szCs w:val="22"/>
          <w:lang w:val="fr-CA"/>
        </w:rPr>
        <w:t> »</w:t>
      </w:r>
      <w:r>
        <w:rPr>
          <w:snapToGrid w:val="0"/>
          <w:kern w:val="22"/>
          <w:szCs w:val="22"/>
          <w:lang w:val="fr-CA"/>
        </w:rPr>
        <w:t>, au titre de la méthodologie des marqueurs de Rio. Le tableau 3 ci</w:t>
      </w:r>
      <w:r w:rsidR="00466152">
        <w:rPr>
          <w:snapToGrid w:val="0"/>
          <w:kern w:val="22"/>
          <w:szCs w:val="22"/>
          <w:lang w:val="fr-CA"/>
        </w:rPr>
        <w:noBreakHyphen/>
      </w:r>
      <w:r>
        <w:rPr>
          <w:snapToGrid w:val="0"/>
          <w:kern w:val="22"/>
          <w:szCs w:val="22"/>
          <w:lang w:val="fr-CA"/>
        </w:rPr>
        <w:t>après présente, aux fins d</w:t>
      </w:r>
      <w:r w:rsidR="00466152">
        <w:rPr>
          <w:snapToGrid w:val="0"/>
          <w:kern w:val="22"/>
          <w:szCs w:val="22"/>
          <w:lang w:val="fr-CA"/>
        </w:rPr>
        <w:t>’</w:t>
      </w:r>
      <w:r>
        <w:rPr>
          <w:snapToGrid w:val="0"/>
          <w:kern w:val="22"/>
          <w:szCs w:val="22"/>
          <w:lang w:val="fr-CA"/>
        </w:rPr>
        <w:t>information, des données pertinentes sur</w:t>
      </w:r>
      <w:r w:rsidR="00066268">
        <w:rPr>
          <w:snapToGrid w:val="0"/>
          <w:kern w:val="22"/>
          <w:szCs w:val="22"/>
          <w:lang w:val="fr-CA"/>
        </w:rPr>
        <w:t xml:space="preserve"> les engagements d</w:t>
      </w:r>
      <w:r w:rsidR="00466152">
        <w:rPr>
          <w:snapToGrid w:val="0"/>
          <w:kern w:val="22"/>
          <w:szCs w:val="22"/>
          <w:lang w:val="fr-CA"/>
        </w:rPr>
        <w:t>’</w:t>
      </w:r>
      <w:r w:rsidR="00066268">
        <w:rPr>
          <w:snapToGrid w:val="0"/>
          <w:kern w:val="22"/>
          <w:szCs w:val="22"/>
          <w:lang w:val="fr-CA"/>
        </w:rPr>
        <w:t>aide liés à la biodiversité, extraites de la base de données du SNPC</w:t>
      </w:r>
      <w:r w:rsidR="00066268" w:rsidRPr="001C5D72">
        <w:rPr>
          <w:rStyle w:val="FootnoteReference"/>
          <w:snapToGrid w:val="0"/>
          <w:kern w:val="22"/>
          <w:szCs w:val="22"/>
          <w:lang w:val="fr-CA"/>
        </w:rPr>
        <w:footnoteReference w:id="8"/>
      </w:r>
      <w:r w:rsidR="00066268" w:rsidRPr="001C5D72">
        <w:rPr>
          <w:snapToGrid w:val="0"/>
          <w:kern w:val="22"/>
          <w:szCs w:val="22"/>
          <w:lang w:val="fr-CA"/>
        </w:rPr>
        <w:t xml:space="preserve"> </w:t>
      </w:r>
      <w:r w:rsidR="00066268">
        <w:rPr>
          <w:snapToGrid w:val="0"/>
          <w:kern w:val="22"/>
          <w:szCs w:val="22"/>
          <w:lang w:val="fr-CA"/>
        </w:rPr>
        <w:t>le 24 mars 2018. En examinant les données, il convient de garder à l</w:t>
      </w:r>
      <w:r w:rsidR="00466152">
        <w:rPr>
          <w:snapToGrid w:val="0"/>
          <w:kern w:val="22"/>
          <w:szCs w:val="22"/>
          <w:lang w:val="fr-CA"/>
        </w:rPr>
        <w:t>’</w:t>
      </w:r>
      <w:r w:rsidR="00066268">
        <w:rPr>
          <w:snapToGrid w:val="0"/>
          <w:kern w:val="22"/>
          <w:szCs w:val="22"/>
          <w:lang w:val="fr-CA"/>
        </w:rPr>
        <w:t>esprit</w:t>
      </w:r>
      <w:r w:rsidR="004F1FF6">
        <w:rPr>
          <w:snapToGrid w:val="0"/>
          <w:kern w:val="22"/>
          <w:szCs w:val="22"/>
          <w:lang w:val="fr-CA"/>
        </w:rPr>
        <w:t xml:space="preserve"> que</w:t>
      </w:r>
      <w:r w:rsidR="00066268">
        <w:rPr>
          <w:snapToGrid w:val="0"/>
          <w:kern w:val="22"/>
          <w:szCs w:val="22"/>
          <w:lang w:val="fr-CA"/>
        </w:rPr>
        <w:t> :</w:t>
      </w:r>
    </w:p>
    <w:p w:rsidR="00855A78" w:rsidRPr="001C5D72" w:rsidRDefault="004F1FF6" w:rsidP="003B130B">
      <w:pPr>
        <w:numPr>
          <w:ilvl w:val="1"/>
          <w:numId w:val="56"/>
        </w:numPr>
        <w:suppressLineNumbers/>
        <w:suppressAutoHyphens/>
        <w:kinsoku w:val="0"/>
        <w:overflowPunct w:val="0"/>
        <w:autoSpaceDE w:val="0"/>
        <w:autoSpaceDN w:val="0"/>
        <w:adjustRightInd w:val="0"/>
        <w:snapToGrid w:val="0"/>
        <w:spacing w:after="120"/>
        <w:ind w:left="0" w:firstLine="720"/>
        <w:rPr>
          <w:snapToGrid w:val="0"/>
          <w:kern w:val="22"/>
          <w:szCs w:val="22"/>
          <w:lang w:val="fr-CA"/>
        </w:rPr>
      </w:pPr>
      <w:r>
        <w:rPr>
          <w:snapToGrid w:val="0"/>
          <w:kern w:val="22"/>
          <w:szCs w:val="22"/>
          <w:lang w:val="fr-CA"/>
        </w:rPr>
        <w:t>Le deuxième donateur en importance d</w:t>
      </w:r>
      <w:r w:rsidR="00466152">
        <w:rPr>
          <w:snapToGrid w:val="0"/>
          <w:kern w:val="22"/>
          <w:szCs w:val="22"/>
          <w:lang w:val="fr-CA"/>
        </w:rPr>
        <w:t>’</w:t>
      </w:r>
      <w:r>
        <w:rPr>
          <w:snapToGrid w:val="0"/>
          <w:kern w:val="22"/>
          <w:szCs w:val="22"/>
          <w:lang w:val="fr-CA"/>
        </w:rPr>
        <w:t>aide liée à la biodiversité n</w:t>
      </w:r>
      <w:r w:rsidR="00466152">
        <w:rPr>
          <w:snapToGrid w:val="0"/>
          <w:kern w:val="22"/>
          <w:szCs w:val="22"/>
          <w:lang w:val="fr-CA"/>
        </w:rPr>
        <w:t>’</w:t>
      </w:r>
      <w:r>
        <w:rPr>
          <w:snapToGrid w:val="0"/>
          <w:kern w:val="22"/>
          <w:szCs w:val="22"/>
          <w:lang w:val="fr-CA"/>
        </w:rPr>
        <w:t>est pas une Partie à la Convention ;</w:t>
      </w:r>
      <w:r w:rsidRPr="001C5D72">
        <w:rPr>
          <w:rStyle w:val="FootnoteReference"/>
          <w:snapToGrid w:val="0"/>
          <w:kern w:val="22"/>
          <w:szCs w:val="22"/>
          <w:lang w:val="fr-CA"/>
        </w:rPr>
        <w:footnoteReference w:id="9"/>
      </w:r>
    </w:p>
    <w:p w:rsidR="00855A78" w:rsidRPr="001C5D72" w:rsidRDefault="00EA75B5" w:rsidP="003B130B">
      <w:pPr>
        <w:numPr>
          <w:ilvl w:val="1"/>
          <w:numId w:val="56"/>
        </w:numPr>
        <w:suppressLineNumbers/>
        <w:suppressAutoHyphens/>
        <w:kinsoku w:val="0"/>
        <w:overflowPunct w:val="0"/>
        <w:autoSpaceDE w:val="0"/>
        <w:autoSpaceDN w:val="0"/>
        <w:adjustRightInd w:val="0"/>
        <w:snapToGrid w:val="0"/>
        <w:spacing w:after="120"/>
        <w:ind w:left="0" w:firstLine="720"/>
        <w:rPr>
          <w:snapToGrid w:val="0"/>
          <w:kern w:val="22"/>
          <w:szCs w:val="22"/>
          <w:lang w:val="fr-CA"/>
        </w:rPr>
      </w:pPr>
      <w:r>
        <w:rPr>
          <w:snapToGrid w:val="0"/>
          <w:kern w:val="22"/>
          <w:szCs w:val="22"/>
          <w:lang w:val="fr-CA"/>
        </w:rPr>
        <w:t>La base de données du SNCP couvre l</w:t>
      </w:r>
      <w:r w:rsidR="00466152">
        <w:rPr>
          <w:snapToGrid w:val="0"/>
          <w:kern w:val="22"/>
          <w:szCs w:val="22"/>
          <w:lang w:val="fr-CA"/>
        </w:rPr>
        <w:t>’</w:t>
      </w:r>
      <w:r>
        <w:rPr>
          <w:snapToGrid w:val="0"/>
          <w:kern w:val="22"/>
          <w:szCs w:val="22"/>
          <w:lang w:val="fr-CA"/>
        </w:rPr>
        <w:t>aide bilatérale, tandis que la plupart des Parties présentant des rapports au titre du cadre de présentation des rapports financiers incluent également l</w:t>
      </w:r>
      <w:r w:rsidR="00466152">
        <w:rPr>
          <w:snapToGrid w:val="0"/>
          <w:kern w:val="22"/>
          <w:szCs w:val="22"/>
          <w:lang w:val="fr-CA"/>
        </w:rPr>
        <w:t>’</w:t>
      </w:r>
      <w:r>
        <w:rPr>
          <w:snapToGrid w:val="0"/>
          <w:kern w:val="22"/>
          <w:szCs w:val="22"/>
          <w:lang w:val="fr-CA"/>
        </w:rPr>
        <w:t>aide au développement multilatérale liée à la biodiversité (cinq Parties ont actualisé leur méthodologie en conséquence);</w:t>
      </w:r>
    </w:p>
    <w:p w:rsidR="00855A78" w:rsidRPr="001C5D72" w:rsidRDefault="00EA75B5" w:rsidP="003B130B">
      <w:pPr>
        <w:numPr>
          <w:ilvl w:val="1"/>
          <w:numId w:val="56"/>
        </w:numPr>
        <w:suppressLineNumbers/>
        <w:suppressAutoHyphens/>
        <w:kinsoku w:val="0"/>
        <w:overflowPunct w:val="0"/>
        <w:autoSpaceDE w:val="0"/>
        <w:autoSpaceDN w:val="0"/>
        <w:adjustRightInd w:val="0"/>
        <w:snapToGrid w:val="0"/>
        <w:spacing w:after="120"/>
        <w:ind w:left="0" w:firstLine="720"/>
        <w:rPr>
          <w:snapToGrid w:val="0"/>
          <w:kern w:val="22"/>
          <w:szCs w:val="22"/>
          <w:lang w:val="fr-CA"/>
        </w:rPr>
      </w:pPr>
      <w:r>
        <w:rPr>
          <w:snapToGrid w:val="0"/>
          <w:kern w:val="22"/>
          <w:szCs w:val="22"/>
          <w:lang w:val="fr-CA"/>
        </w:rPr>
        <w:t>Bien que la plupart des Parties fassent état de décaissements effectifs, les données présentées dans le tableau ci</w:t>
      </w:r>
      <w:r w:rsidR="00466152">
        <w:rPr>
          <w:snapToGrid w:val="0"/>
          <w:kern w:val="22"/>
          <w:szCs w:val="22"/>
          <w:lang w:val="fr-CA"/>
        </w:rPr>
        <w:noBreakHyphen/>
      </w:r>
      <w:r>
        <w:rPr>
          <w:snapToGrid w:val="0"/>
          <w:kern w:val="22"/>
          <w:szCs w:val="22"/>
          <w:lang w:val="fr-CA"/>
        </w:rPr>
        <w:t>dessous couvrent des engagements.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201"/>
        <w:gridCol w:w="1775"/>
        <w:gridCol w:w="1775"/>
        <w:gridCol w:w="1537"/>
      </w:tblGrid>
      <w:tr w:rsidR="00855A78" w:rsidRPr="00665C19" w:rsidTr="00490BF5">
        <w:tc>
          <w:tcPr>
            <w:tcW w:w="9576" w:type="dxa"/>
            <w:gridSpan w:val="5"/>
            <w:shd w:val="clear" w:color="auto" w:fill="auto"/>
            <w:tcMar>
              <w:top w:w="14" w:type="dxa"/>
              <w:left w:w="29" w:type="dxa"/>
              <w:bottom w:w="14" w:type="dxa"/>
              <w:right w:w="29" w:type="dxa"/>
            </w:tcMar>
          </w:tcPr>
          <w:p w:rsidR="00855A78" w:rsidRPr="001C5D72" w:rsidRDefault="00EA75B5" w:rsidP="00EA75B5">
            <w:pPr>
              <w:suppressLineNumbers/>
              <w:suppressAutoHyphens/>
              <w:kinsoku w:val="0"/>
              <w:overflowPunct w:val="0"/>
              <w:autoSpaceDE w:val="0"/>
              <w:autoSpaceDN w:val="0"/>
              <w:adjustRightInd w:val="0"/>
              <w:snapToGrid w:val="0"/>
              <w:ind w:left="360"/>
              <w:rPr>
                <w:b/>
                <w:snapToGrid w:val="0"/>
                <w:kern w:val="22"/>
                <w:szCs w:val="22"/>
                <w:lang w:val="fr-CA"/>
              </w:rPr>
            </w:pPr>
            <w:r>
              <w:rPr>
                <w:b/>
                <w:snapToGrid w:val="0"/>
                <w:kern w:val="22"/>
                <w:szCs w:val="22"/>
                <w:lang w:val="fr-CA"/>
              </w:rPr>
              <w:t>Tableau </w:t>
            </w:r>
            <w:r w:rsidR="00B34BC8" w:rsidRPr="001C5D72">
              <w:rPr>
                <w:b/>
                <w:snapToGrid w:val="0"/>
                <w:kern w:val="22"/>
                <w:szCs w:val="22"/>
                <w:lang w:val="fr-CA"/>
              </w:rPr>
              <w:t>3</w:t>
            </w:r>
            <w:r w:rsidR="00E0326B" w:rsidRPr="001C5D72">
              <w:rPr>
                <w:b/>
                <w:snapToGrid w:val="0"/>
                <w:kern w:val="22"/>
                <w:szCs w:val="22"/>
                <w:lang w:val="fr-CA"/>
              </w:rPr>
              <w:t>.</w:t>
            </w:r>
            <w:r>
              <w:rPr>
                <w:b/>
                <w:snapToGrid w:val="0"/>
                <w:kern w:val="22"/>
                <w:szCs w:val="22"/>
                <w:lang w:val="fr-CA"/>
              </w:rPr>
              <w:t xml:space="preserve"> APD bilatérale liée à la biodiversité, SNCP</w:t>
            </w:r>
            <w:r w:rsidR="00466152">
              <w:rPr>
                <w:b/>
                <w:snapToGrid w:val="0"/>
                <w:kern w:val="22"/>
                <w:szCs w:val="22"/>
                <w:lang w:val="fr-CA"/>
              </w:rPr>
              <w:noBreakHyphen/>
            </w:r>
            <w:r>
              <w:rPr>
                <w:b/>
                <w:snapToGrid w:val="0"/>
                <w:kern w:val="22"/>
                <w:szCs w:val="22"/>
                <w:lang w:val="fr-CA"/>
              </w:rPr>
              <w:t>OCDE</w:t>
            </w:r>
          </w:p>
        </w:tc>
      </w:tr>
      <w:tr w:rsidR="00EA75B5" w:rsidRPr="001C5D72" w:rsidTr="00490BF5">
        <w:tc>
          <w:tcPr>
            <w:tcW w:w="2178" w:type="dxa"/>
            <w:shd w:val="clear" w:color="auto" w:fill="auto"/>
            <w:tcMar>
              <w:top w:w="14" w:type="dxa"/>
              <w:left w:w="29" w:type="dxa"/>
              <w:bottom w:w="14" w:type="dxa"/>
              <w:right w:w="29" w:type="dxa"/>
            </w:tcMar>
          </w:tcPr>
          <w:p w:rsidR="00855A78" w:rsidRPr="001C5D72" w:rsidRDefault="00EA75B5" w:rsidP="00EA75B5">
            <w:pPr>
              <w:suppressLineNumbers/>
              <w:suppressAutoHyphens/>
              <w:kinsoku w:val="0"/>
              <w:overflowPunct w:val="0"/>
              <w:autoSpaceDE w:val="0"/>
              <w:autoSpaceDN w:val="0"/>
              <w:adjustRightInd w:val="0"/>
              <w:snapToGrid w:val="0"/>
              <w:ind w:left="90"/>
              <w:rPr>
                <w:snapToGrid w:val="0"/>
                <w:kern w:val="22"/>
                <w:szCs w:val="22"/>
                <w:lang w:val="fr-CA"/>
              </w:rPr>
            </w:pPr>
            <w:r>
              <w:rPr>
                <w:snapToGrid w:val="0"/>
                <w:kern w:val="22"/>
                <w:szCs w:val="22"/>
                <w:lang w:val="fr-CA"/>
              </w:rPr>
              <w:t>Tous les membres du CAD</w:t>
            </w:r>
          </w:p>
        </w:tc>
        <w:tc>
          <w:tcPr>
            <w:tcW w:w="2250" w:type="dxa"/>
            <w:shd w:val="clear" w:color="auto" w:fill="auto"/>
            <w:tcMar>
              <w:top w:w="14" w:type="dxa"/>
              <w:left w:w="29" w:type="dxa"/>
              <w:bottom w:w="14" w:type="dxa"/>
              <w:right w:w="29" w:type="dxa"/>
            </w:tcMar>
          </w:tcPr>
          <w:p w:rsidR="00855A78" w:rsidRPr="001C5D72" w:rsidRDefault="00AC3C56" w:rsidP="00AC3C56">
            <w:pPr>
              <w:suppressLineNumbers/>
              <w:suppressAutoHyphens/>
              <w:kinsoku w:val="0"/>
              <w:overflowPunct w:val="0"/>
              <w:autoSpaceDE w:val="0"/>
              <w:autoSpaceDN w:val="0"/>
              <w:adjustRightInd w:val="0"/>
              <w:snapToGrid w:val="0"/>
              <w:ind w:left="360"/>
              <w:jc w:val="center"/>
              <w:rPr>
                <w:snapToGrid w:val="0"/>
                <w:kern w:val="22"/>
                <w:szCs w:val="22"/>
                <w:lang w:val="fr-CA"/>
              </w:rPr>
            </w:pPr>
            <w:r>
              <w:rPr>
                <w:snapToGrid w:val="0"/>
                <w:kern w:val="22"/>
                <w:szCs w:val="22"/>
                <w:lang w:val="fr-CA"/>
              </w:rPr>
              <w:t>Moyenne 2006</w:t>
            </w:r>
            <w:r w:rsidR="00466152">
              <w:rPr>
                <w:snapToGrid w:val="0"/>
                <w:kern w:val="22"/>
                <w:szCs w:val="22"/>
                <w:lang w:val="fr-CA"/>
              </w:rPr>
              <w:noBreakHyphen/>
            </w:r>
            <w:r w:rsidR="00855A78" w:rsidRPr="001C5D72">
              <w:rPr>
                <w:snapToGrid w:val="0"/>
                <w:kern w:val="22"/>
                <w:szCs w:val="22"/>
                <w:lang w:val="fr-CA"/>
              </w:rPr>
              <w:t>2010</w:t>
            </w:r>
          </w:p>
        </w:tc>
        <w:tc>
          <w:tcPr>
            <w:tcW w:w="1800" w:type="dxa"/>
            <w:shd w:val="clear" w:color="auto" w:fill="auto"/>
            <w:tcMar>
              <w:top w:w="14" w:type="dxa"/>
              <w:left w:w="29" w:type="dxa"/>
              <w:bottom w:w="14" w:type="dxa"/>
              <w:right w:w="29" w:type="dxa"/>
            </w:tcMar>
          </w:tcPr>
          <w:p w:rsidR="00855A78" w:rsidRPr="001C5D72"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1C5D72">
              <w:rPr>
                <w:snapToGrid w:val="0"/>
                <w:kern w:val="22"/>
                <w:szCs w:val="22"/>
                <w:lang w:val="fr-CA"/>
              </w:rPr>
              <w:t>2013</w:t>
            </w:r>
          </w:p>
        </w:tc>
        <w:tc>
          <w:tcPr>
            <w:tcW w:w="1800" w:type="dxa"/>
            <w:shd w:val="clear" w:color="auto" w:fill="auto"/>
            <w:tcMar>
              <w:top w:w="14" w:type="dxa"/>
              <w:left w:w="29" w:type="dxa"/>
              <w:bottom w:w="14" w:type="dxa"/>
              <w:right w:w="29" w:type="dxa"/>
            </w:tcMar>
          </w:tcPr>
          <w:p w:rsidR="00855A78" w:rsidRPr="001C5D72"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1C5D72">
              <w:rPr>
                <w:snapToGrid w:val="0"/>
                <w:kern w:val="22"/>
                <w:szCs w:val="22"/>
                <w:lang w:val="fr-CA"/>
              </w:rPr>
              <w:t>2014</w:t>
            </w:r>
          </w:p>
        </w:tc>
        <w:tc>
          <w:tcPr>
            <w:tcW w:w="1548" w:type="dxa"/>
            <w:shd w:val="clear" w:color="auto" w:fill="auto"/>
            <w:tcMar>
              <w:top w:w="14" w:type="dxa"/>
              <w:left w:w="29" w:type="dxa"/>
              <w:bottom w:w="14" w:type="dxa"/>
              <w:right w:w="29" w:type="dxa"/>
            </w:tcMar>
          </w:tcPr>
          <w:p w:rsidR="00855A78" w:rsidRPr="001C5D72"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1C5D72">
              <w:rPr>
                <w:snapToGrid w:val="0"/>
                <w:kern w:val="22"/>
                <w:szCs w:val="22"/>
                <w:lang w:val="fr-CA"/>
              </w:rPr>
              <w:t>2015</w:t>
            </w:r>
          </w:p>
        </w:tc>
      </w:tr>
      <w:tr w:rsidR="00EA75B5" w:rsidRPr="001C5D72" w:rsidTr="00490BF5">
        <w:tc>
          <w:tcPr>
            <w:tcW w:w="2178" w:type="dxa"/>
            <w:shd w:val="clear" w:color="auto" w:fill="auto"/>
            <w:tcMar>
              <w:top w:w="14" w:type="dxa"/>
              <w:left w:w="29" w:type="dxa"/>
              <w:bottom w:w="14" w:type="dxa"/>
              <w:right w:w="29" w:type="dxa"/>
            </w:tcMar>
          </w:tcPr>
          <w:p w:rsidR="00855A78" w:rsidRPr="001C5D72" w:rsidRDefault="00EA75B5" w:rsidP="00490BF5">
            <w:pPr>
              <w:suppressLineNumbers/>
              <w:suppressAutoHyphens/>
              <w:kinsoku w:val="0"/>
              <w:overflowPunct w:val="0"/>
              <w:autoSpaceDE w:val="0"/>
              <w:autoSpaceDN w:val="0"/>
              <w:adjustRightInd w:val="0"/>
              <w:snapToGrid w:val="0"/>
              <w:ind w:left="90"/>
              <w:jc w:val="left"/>
              <w:rPr>
                <w:snapToGrid w:val="0"/>
                <w:kern w:val="22"/>
                <w:szCs w:val="22"/>
                <w:lang w:val="fr-CA"/>
              </w:rPr>
            </w:pPr>
            <w:r>
              <w:rPr>
                <w:snapToGrid w:val="0"/>
                <w:kern w:val="22"/>
                <w:szCs w:val="22"/>
                <w:lang w:val="fr-CA"/>
              </w:rPr>
              <w:t>Valeur principale (marqueur </w:t>
            </w:r>
            <w:r w:rsidR="00855A78" w:rsidRPr="001C5D72">
              <w:rPr>
                <w:snapToGrid w:val="0"/>
                <w:kern w:val="22"/>
                <w:szCs w:val="22"/>
                <w:lang w:val="fr-CA"/>
              </w:rPr>
              <w:t>2)</w:t>
            </w:r>
          </w:p>
        </w:tc>
        <w:tc>
          <w:tcPr>
            <w:tcW w:w="2250" w:type="dxa"/>
            <w:shd w:val="clear" w:color="auto" w:fill="auto"/>
            <w:tcMar>
              <w:top w:w="14" w:type="dxa"/>
              <w:left w:w="115" w:type="dxa"/>
              <w:bottom w:w="14" w:type="dxa"/>
              <w:right w:w="115" w:type="dxa"/>
            </w:tcMar>
          </w:tcPr>
          <w:p w:rsidR="00855A78" w:rsidRPr="001C5D72" w:rsidRDefault="00855A78" w:rsidP="00490BF5">
            <w:pPr>
              <w:suppressLineNumbers/>
              <w:suppressAutoHyphens/>
              <w:kinsoku w:val="0"/>
              <w:overflowPunct w:val="0"/>
              <w:autoSpaceDE w:val="0"/>
              <w:autoSpaceDN w:val="0"/>
              <w:adjustRightInd w:val="0"/>
              <w:snapToGrid w:val="0"/>
              <w:ind w:left="360"/>
              <w:jc w:val="right"/>
              <w:rPr>
                <w:snapToGrid w:val="0"/>
                <w:kern w:val="22"/>
                <w:szCs w:val="22"/>
                <w:lang w:val="fr-CA"/>
              </w:rPr>
            </w:pPr>
            <w:r w:rsidRPr="001C5D72">
              <w:rPr>
                <w:snapToGrid w:val="0"/>
                <w:kern w:val="22"/>
                <w:szCs w:val="22"/>
                <w:lang w:val="fr-CA"/>
              </w:rPr>
              <w:t>2</w:t>
            </w:r>
            <w:r w:rsidR="00AC3C56">
              <w:rPr>
                <w:snapToGrid w:val="0"/>
                <w:kern w:val="22"/>
                <w:szCs w:val="22"/>
                <w:lang w:val="fr-CA"/>
              </w:rPr>
              <w:t> </w:t>
            </w:r>
            <w:r w:rsidRPr="001C5D72">
              <w:rPr>
                <w:snapToGrid w:val="0"/>
                <w:kern w:val="22"/>
                <w:szCs w:val="22"/>
                <w:lang w:val="fr-CA"/>
              </w:rPr>
              <w:t>023</w:t>
            </w:r>
            <w:r w:rsidR="00AC3C56">
              <w:rPr>
                <w:snapToGrid w:val="0"/>
                <w:kern w:val="22"/>
                <w:szCs w:val="22"/>
                <w:lang w:val="fr-CA"/>
              </w:rPr>
              <w:t>,</w:t>
            </w:r>
            <w:r w:rsidRPr="001C5D72">
              <w:rPr>
                <w:snapToGrid w:val="0"/>
                <w:kern w:val="22"/>
                <w:szCs w:val="22"/>
                <w:lang w:val="fr-CA"/>
              </w:rPr>
              <w:t>46</w:t>
            </w:r>
          </w:p>
        </w:tc>
        <w:tc>
          <w:tcPr>
            <w:tcW w:w="1800" w:type="dxa"/>
            <w:shd w:val="clear" w:color="auto" w:fill="auto"/>
            <w:tcMar>
              <w:top w:w="14" w:type="dxa"/>
              <w:left w:w="115" w:type="dxa"/>
              <w:bottom w:w="14" w:type="dxa"/>
              <w:right w:w="115" w:type="dxa"/>
            </w:tcMar>
          </w:tcPr>
          <w:p w:rsidR="00855A78" w:rsidRPr="001C5D72" w:rsidRDefault="00855A78" w:rsidP="00490BF5">
            <w:pPr>
              <w:suppressLineNumbers/>
              <w:suppressAutoHyphens/>
              <w:kinsoku w:val="0"/>
              <w:overflowPunct w:val="0"/>
              <w:autoSpaceDE w:val="0"/>
              <w:autoSpaceDN w:val="0"/>
              <w:adjustRightInd w:val="0"/>
              <w:snapToGrid w:val="0"/>
              <w:ind w:left="360"/>
              <w:jc w:val="right"/>
              <w:rPr>
                <w:snapToGrid w:val="0"/>
                <w:kern w:val="22"/>
                <w:szCs w:val="22"/>
                <w:lang w:val="fr-CA"/>
              </w:rPr>
            </w:pPr>
            <w:r w:rsidRPr="001C5D72">
              <w:rPr>
                <w:snapToGrid w:val="0"/>
                <w:kern w:val="22"/>
                <w:szCs w:val="22"/>
                <w:lang w:val="fr-CA"/>
              </w:rPr>
              <w:t>1</w:t>
            </w:r>
            <w:r w:rsidR="00AC3C56">
              <w:rPr>
                <w:snapToGrid w:val="0"/>
                <w:kern w:val="22"/>
                <w:szCs w:val="22"/>
                <w:lang w:val="fr-CA"/>
              </w:rPr>
              <w:t> </w:t>
            </w:r>
            <w:r w:rsidRPr="001C5D72">
              <w:rPr>
                <w:snapToGrid w:val="0"/>
                <w:kern w:val="22"/>
                <w:szCs w:val="22"/>
                <w:lang w:val="fr-CA"/>
              </w:rPr>
              <w:t>682</w:t>
            </w:r>
            <w:r w:rsidR="00AC3C56">
              <w:rPr>
                <w:snapToGrid w:val="0"/>
                <w:kern w:val="22"/>
                <w:szCs w:val="22"/>
                <w:lang w:val="fr-CA"/>
              </w:rPr>
              <w:t>,</w:t>
            </w:r>
            <w:r w:rsidRPr="001C5D72">
              <w:rPr>
                <w:snapToGrid w:val="0"/>
                <w:kern w:val="22"/>
                <w:szCs w:val="22"/>
                <w:lang w:val="fr-CA"/>
              </w:rPr>
              <w:t>13</w:t>
            </w:r>
          </w:p>
        </w:tc>
        <w:tc>
          <w:tcPr>
            <w:tcW w:w="1800" w:type="dxa"/>
            <w:shd w:val="clear" w:color="auto" w:fill="auto"/>
            <w:tcMar>
              <w:top w:w="14" w:type="dxa"/>
              <w:left w:w="115" w:type="dxa"/>
              <w:bottom w:w="14" w:type="dxa"/>
              <w:right w:w="115" w:type="dxa"/>
            </w:tcMar>
          </w:tcPr>
          <w:p w:rsidR="00855A78" w:rsidRPr="001C5D72" w:rsidRDefault="00855A78" w:rsidP="00490BF5">
            <w:pPr>
              <w:suppressLineNumbers/>
              <w:suppressAutoHyphens/>
              <w:kinsoku w:val="0"/>
              <w:overflowPunct w:val="0"/>
              <w:autoSpaceDE w:val="0"/>
              <w:autoSpaceDN w:val="0"/>
              <w:adjustRightInd w:val="0"/>
              <w:snapToGrid w:val="0"/>
              <w:ind w:left="360"/>
              <w:jc w:val="right"/>
              <w:rPr>
                <w:snapToGrid w:val="0"/>
                <w:kern w:val="22"/>
                <w:szCs w:val="22"/>
                <w:lang w:val="fr-CA"/>
              </w:rPr>
            </w:pPr>
            <w:r w:rsidRPr="001C5D72">
              <w:rPr>
                <w:snapToGrid w:val="0"/>
                <w:kern w:val="22"/>
                <w:szCs w:val="22"/>
                <w:lang w:val="fr-CA"/>
              </w:rPr>
              <w:t>3</w:t>
            </w:r>
            <w:r w:rsidR="00AC3C56">
              <w:rPr>
                <w:snapToGrid w:val="0"/>
                <w:kern w:val="22"/>
                <w:szCs w:val="22"/>
                <w:lang w:val="fr-CA"/>
              </w:rPr>
              <w:t> </w:t>
            </w:r>
            <w:r w:rsidRPr="001C5D72">
              <w:rPr>
                <w:snapToGrid w:val="0"/>
                <w:kern w:val="22"/>
                <w:szCs w:val="22"/>
                <w:lang w:val="fr-CA"/>
              </w:rPr>
              <w:t>374</w:t>
            </w:r>
            <w:r w:rsidR="00AC3C56">
              <w:rPr>
                <w:snapToGrid w:val="0"/>
                <w:kern w:val="22"/>
                <w:szCs w:val="22"/>
                <w:lang w:val="fr-CA"/>
              </w:rPr>
              <w:t>,</w:t>
            </w:r>
            <w:r w:rsidRPr="001C5D72">
              <w:rPr>
                <w:snapToGrid w:val="0"/>
                <w:kern w:val="22"/>
                <w:szCs w:val="22"/>
                <w:lang w:val="fr-CA"/>
              </w:rPr>
              <w:t>76</w:t>
            </w:r>
          </w:p>
        </w:tc>
        <w:tc>
          <w:tcPr>
            <w:tcW w:w="1548" w:type="dxa"/>
            <w:shd w:val="clear" w:color="auto" w:fill="auto"/>
            <w:tcMar>
              <w:top w:w="14" w:type="dxa"/>
              <w:left w:w="115" w:type="dxa"/>
              <w:bottom w:w="14" w:type="dxa"/>
              <w:right w:w="115" w:type="dxa"/>
            </w:tcMar>
          </w:tcPr>
          <w:p w:rsidR="00855A78" w:rsidRPr="001C5D72" w:rsidRDefault="00855A78" w:rsidP="00490BF5">
            <w:pPr>
              <w:suppressLineNumbers/>
              <w:suppressAutoHyphens/>
              <w:kinsoku w:val="0"/>
              <w:overflowPunct w:val="0"/>
              <w:autoSpaceDE w:val="0"/>
              <w:autoSpaceDN w:val="0"/>
              <w:adjustRightInd w:val="0"/>
              <w:snapToGrid w:val="0"/>
              <w:ind w:left="360"/>
              <w:jc w:val="right"/>
              <w:rPr>
                <w:snapToGrid w:val="0"/>
                <w:kern w:val="22"/>
                <w:szCs w:val="22"/>
                <w:lang w:val="fr-CA"/>
              </w:rPr>
            </w:pPr>
            <w:r w:rsidRPr="001C5D72">
              <w:rPr>
                <w:snapToGrid w:val="0"/>
                <w:kern w:val="22"/>
                <w:szCs w:val="22"/>
                <w:lang w:val="fr-CA"/>
              </w:rPr>
              <w:t>4</w:t>
            </w:r>
            <w:r w:rsidR="00AC3C56">
              <w:rPr>
                <w:snapToGrid w:val="0"/>
                <w:kern w:val="22"/>
                <w:szCs w:val="22"/>
                <w:lang w:val="fr-CA"/>
              </w:rPr>
              <w:t> </w:t>
            </w:r>
            <w:r w:rsidRPr="001C5D72">
              <w:rPr>
                <w:snapToGrid w:val="0"/>
                <w:kern w:val="22"/>
                <w:szCs w:val="22"/>
                <w:lang w:val="fr-CA"/>
              </w:rPr>
              <w:t>160</w:t>
            </w:r>
            <w:r w:rsidR="00AC3C56">
              <w:rPr>
                <w:snapToGrid w:val="0"/>
                <w:kern w:val="22"/>
                <w:szCs w:val="22"/>
                <w:lang w:val="fr-CA"/>
              </w:rPr>
              <w:t>,</w:t>
            </w:r>
            <w:r w:rsidRPr="001C5D72">
              <w:rPr>
                <w:snapToGrid w:val="0"/>
                <w:kern w:val="22"/>
                <w:szCs w:val="22"/>
                <w:lang w:val="fr-CA"/>
              </w:rPr>
              <w:t>08</w:t>
            </w:r>
          </w:p>
        </w:tc>
      </w:tr>
      <w:tr w:rsidR="00EA75B5" w:rsidRPr="001C5D72" w:rsidTr="00490BF5">
        <w:tc>
          <w:tcPr>
            <w:tcW w:w="2178" w:type="dxa"/>
            <w:shd w:val="clear" w:color="auto" w:fill="auto"/>
            <w:tcMar>
              <w:top w:w="14" w:type="dxa"/>
              <w:left w:w="29" w:type="dxa"/>
              <w:bottom w:w="14" w:type="dxa"/>
              <w:right w:w="29" w:type="dxa"/>
            </w:tcMar>
          </w:tcPr>
          <w:p w:rsidR="00855A78" w:rsidRPr="001C5D72" w:rsidRDefault="00EA75B5" w:rsidP="00490BF5">
            <w:pPr>
              <w:suppressLineNumbers/>
              <w:suppressAutoHyphens/>
              <w:kinsoku w:val="0"/>
              <w:overflowPunct w:val="0"/>
              <w:autoSpaceDE w:val="0"/>
              <w:autoSpaceDN w:val="0"/>
              <w:adjustRightInd w:val="0"/>
              <w:snapToGrid w:val="0"/>
              <w:ind w:left="90"/>
              <w:jc w:val="left"/>
              <w:rPr>
                <w:snapToGrid w:val="0"/>
                <w:kern w:val="22"/>
                <w:szCs w:val="22"/>
                <w:lang w:val="fr-CA"/>
              </w:rPr>
            </w:pPr>
            <w:r>
              <w:rPr>
                <w:snapToGrid w:val="0"/>
                <w:kern w:val="22"/>
                <w:szCs w:val="22"/>
                <w:lang w:val="fr-CA"/>
              </w:rPr>
              <w:t>Valeur significative (marqueur </w:t>
            </w:r>
            <w:r w:rsidR="00855A78" w:rsidRPr="001C5D72">
              <w:rPr>
                <w:snapToGrid w:val="0"/>
                <w:kern w:val="22"/>
                <w:szCs w:val="22"/>
                <w:lang w:val="fr-CA"/>
              </w:rPr>
              <w:t>1)</w:t>
            </w:r>
          </w:p>
        </w:tc>
        <w:tc>
          <w:tcPr>
            <w:tcW w:w="2250" w:type="dxa"/>
            <w:shd w:val="clear" w:color="auto" w:fill="auto"/>
            <w:tcMar>
              <w:top w:w="14" w:type="dxa"/>
              <w:left w:w="115" w:type="dxa"/>
              <w:bottom w:w="14" w:type="dxa"/>
              <w:right w:w="115" w:type="dxa"/>
            </w:tcMar>
          </w:tcPr>
          <w:p w:rsidR="00855A78" w:rsidRPr="001C5D72" w:rsidRDefault="00855A78" w:rsidP="00490BF5">
            <w:pPr>
              <w:suppressLineNumbers/>
              <w:suppressAutoHyphens/>
              <w:kinsoku w:val="0"/>
              <w:overflowPunct w:val="0"/>
              <w:autoSpaceDE w:val="0"/>
              <w:autoSpaceDN w:val="0"/>
              <w:adjustRightInd w:val="0"/>
              <w:snapToGrid w:val="0"/>
              <w:ind w:left="360"/>
              <w:jc w:val="right"/>
              <w:rPr>
                <w:snapToGrid w:val="0"/>
                <w:kern w:val="22"/>
                <w:szCs w:val="22"/>
                <w:lang w:val="fr-CA"/>
              </w:rPr>
            </w:pPr>
            <w:r w:rsidRPr="001C5D72">
              <w:rPr>
                <w:snapToGrid w:val="0"/>
                <w:kern w:val="22"/>
                <w:szCs w:val="22"/>
                <w:lang w:val="fr-CA"/>
              </w:rPr>
              <w:t>2</w:t>
            </w:r>
            <w:r w:rsidR="00AC3C56">
              <w:rPr>
                <w:snapToGrid w:val="0"/>
                <w:kern w:val="22"/>
                <w:szCs w:val="22"/>
                <w:lang w:val="fr-CA"/>
              </w:rPr>
              <w:t> </w:t>
            </w:r>
            <w:r w:rsidRPr="001C5D72">
              <w:rPr>
                <w:snapToGrid w:val="0"/>
                <w:kern w:val="22"/>
                <w:szCs w:val="22"/>
                <w:lang w:val="fr-CA"/>
              </w:rPr>
              <w:t>086</w:t>
            </w:r>
            <w:r w:rsidR="00AC3C56">
              <w:rPr>
                <w:snapToGrid w:val="0"/>
                <w:kern w:val="22"/>
                <w:szCs w:val="22"/>
                <w:lang w:val="fr-CA"/>
              </w:rPr>
              <w:t>,</w:t>
            </w:r>
            <w:r w:rsidRPr="001C5D72">
              <w:rPr>
                <w:snapToGrid w:val="0"/>
                <w:kern w:val="22"/>
                <w:szCs w:val="22"/>
                <w:lang w:val="fr-CA"/>
              </w:rPr>
              <w:t>41</w:t>
            </w:r>
          </w:p>
        </w:tc>
        <w:tc>
          <w:tcPr>
            <w:tcW w:w="1800" w:type="dxa"/>
            <w:shd w:val="clear" w:color="auto" w:fill="auto"/>
            <w:tcMar>
              <w:top w:w="14" w:type="dxa"/>
              <w:left w:w="115" w:type="dxa"/>
              <w:bottom w:w="14" w:type="dxa"/>
              <w:right w:w="115" w:type="dxa"/>
            </w:tcMar>
          </w:tcPr>
          <w:p w:rsidR="00855A78" w:rsidRPr="001C5D72" w:rsidRDefault="00855A78" w:rsidP="00490BF5">
            <w:pPr>
              <w:suppressLineNumbers/>
              <w:suppressAutoHyphens/>
              <w:kinsoku w:val="0"/>
              <w:overflowPunct w:val="0"/>
              <w:autoSpaceDE w:val="0"/>
              <w:autoSpaceDN w:val="0"/>
              <w:adjustRightInd w:val="0"/>
              <w:snapToGrid w:val="0"/>
              <w:ind w:left="360"/>
              <w:jc w:val="right"/>
              <w:rPr>
                <w:snapToGrid w:val="0"/>
                <w:kern w:val="22"/>
                <w:szCs w:val="22"/>
                <w:lang w:val="fr-CA"/>
              </w:rPr>
            </w:pPr>
            <w:r w:rsidRPr="001C5D72">
              <w:rPr>
                <w:snapToGrid w:val="0"/>
                <w:kern w:val="22"/>
                <w:szCs w:val="22"/>
                <w:lang w:val="fr-CA"/>
              </w:rPr>
              <w:t>4</w:t>
            </w:r>
            <w:r w:rsidR="00AC3C56">
              <w:rPr>
                <w:snapToGrid w:val="0"/>
                <w:kern w:val="22"/>
                <w:szCs w:val="22"/>
                <w:lang w:val="fr-CA"/>
              </w:rPr>
              <w:t> </w:t>
            </w:r>
            <w:r w:rsidRPr="001C5D72">
              <w:rPr>
                <w:snapToGrid w:val="0"/>
                <w:kern w:val="22"/>
                <w:szCs w:val="22"/>
                <w:lang w:val="fr-CA"/>
              </w:rPr>
              <w:t>327</w:t>
            </w:r>
            <w:r w:rsidR="00AC3C56">
              <w:rPr>
                <w:snapToGrid w:val="0"/>
                <w:kern w:val="22"/>
                <w:szCs w:val="22"/>
                <w:lang w:val="fr-CA"/>
              </w:rPr>
              <w:t>,</w:t>
            </w:r>
            <w:r w:rsidRPr="001C5D72">
              <w:rPr>
                <w:snapToGrid w:val="0"/>
                <w:kern w:val="22"/>
                <w:szCs w:val="22"/>
                <w:lang w:val="fr-CA"/>
              </w:rPr>
              <w:t>41</w:t>
            </w:r>
          </w:p>
        </w:tc>
        <w:tc>
          <w:tcPr>
            <w:tcW w:w="1800" w:type="dxa"/>
            <w:shd w:val="clear" w:color="auto" w:fill="auto"/>
            <w:tcMar>
              <w:top w:w="14" w:type="dxa"/>
              <w:left w:w="115" w:type="dxa"/>
              <w:bottom w:w="14" w:type="dxa"/>
              <w:right w:w="115" w:type="dxa"/>
            </w:tcMar>
          </w:tcPr>
          <w:p w:rsidR="00855A78" w:rsidRPr="001C5D72" w:rsidRDefault="00855A78" w:rsidP="00490BF5">
            <w:pPr>
              <w:suppressLineNumbers/>
              <w:suppressAutoHyphens/>
              <w:kinsoku w:val="0"/>
              <w:overflowPunct w:val="0"/>
              <w:autoSpaceDE w:val="0"/>
              <w:autoSpaceDN w:val="0"/>
              <w:adjustRightInd w:val="0"/>
              <w:snapToGrid w:val="0"/>
              <w:ind w:left="360"/>
              <w:jc w:val="right"/>
              <w:rPr>
                <w:snapToGrid w:val="0"/>
                <w:kern w:val="22"/>
                <w:szCs w:val="22"/>
                <w:lang w:val="fr-CA"/>
              </w:rPr>
            </w:pPr>
            <w:r w:rsidRPr="001C5D72">
              <w:rPr>
                <w:snapToGrid w:val="0"/>
                <w:kern w:val="22"/>
                <w:szCs w:val="22"/>
                <w:lang w:val="fr-CA"/>
              </w:rPr>
              <w:t>3</w:t>
            </w:r>
            <w:r w:rsidR="00AC3C56">
              <w:rPr>
                <w:snapToGrid w:val="0"/>
                <w:kern w:val="22"/>
                <w:szCs w:val="22"/>
                <w:lang w:val="fr-CA"/>
              </w:rPr>
              <w:t> </w:t>
            </w:r>
            <w:r w:rsidRPr="001C5D72">
              <w:rPr>
                <w:snapToGrid w:val="0"/>
                <w:kern w:val="22"/>
                <w:szCs w:val="22"/>
                <w:lang w:val="fr-CA"/>
              </w:rPr>
              <w:t>870</w:t>
            </w:r>
            <w:r w:rsidR="00AC3C56">
              <w:rPr>
                <w:snapToGrid w:val="0"/>
                <w:kern w:val="22"/>
                <w:szCs w:val="22"/>
                <w:lang w:val="fr-CA"/>
              </w:rPr>
              <w:t>,</w:t>
            </w:r>
            <w:r w:rsidRPr="001C5D72">
              <w:rPr>
                <w:snapToGrid w:val="0"/>
                <w:kern w:val="22"/>
                <w:szCs w:val="22"/>
                <w:lang w:val="fr-CA"/>
              </w:rPr>
              <w:t>26</w:t>
            </w:r>
          </w:p>
        </w:tc>
        <w:tc>
          <w:tcPr>
            <w:tcW w:w="1548" w:type="dxa"/>
            <w:shd w:val="clear" w:color="auto" w:fill="auto"/>
            <w:tcMar>
              <w:top w:w="14" w:type="dxa"/>
              <w:left w:w="115" w:type="dxa"/>
              <w:bottom w:w="14" w:type="dxa"/>
              <w:right w:w="115" w:type="dxa"/>
            </w:tcMar>
          </w:tcPr>
          <w:p w:rsidR="00855A78" w:rsidRPr="001C5D72" w:rsidRDefault="00855A78" w:rsidP="00490BF5">
            <w:pPr>
              <w:suppressLineNumbers/>
              <w:suppressAutoHyphens/>
              <w:kinsoku w:val="0"/>
              <w:overflowPunct w:val="0"/>
              <w:autoSpaceDE w:val="0"/>
              <w:autoSpaceDN w:val="0"/>
              <w:adjustRightInd w:val="0"/>
              <w:snapToGrid w:val="0"/>
              <w:ind w:left="360"/>
              <w:jc w:val="right"/>
              <w:rPr>
                <w:snapToGrid w:val="0"/>
                <w:kern w:val="22"/>
                <w:szCs w:val="22"/>
                <w:lang w:val="fr-CA"/>
              </w:rPr>
            </w:pPr>
            <w:r w:rsidRPr="001C5D72">
              <w:rPr>
                <w:snapToGrid w:val="0"/>
                <w:kern w:val="22"/>
                <w:szCs w:val="22"/>
                <w:lang w:val="fr-CA"/>
              </w:rPr>
              <w:t>4</w:t>
            </w:r>
            <w:r w:rsidR="00AC3C56">
              <w:rPr>
                <w:snapToGrid w:val="0"/>
                <w:kern w:val="22"/>
                <w:szCs w:val="22"/>
                <w:lang w:val="fr-CA"/>
              </w:rPr>
              <w:t> </w:t>
            </w:r>
            <w:r w:rsidRPr="001C5D72">
              <w:rPr>
                <w:snapToGrid w:val="0"/>
                <w:kern w:val="22"/>
                <w:szCs w:val="22"/>
                <w:lang w:val="fr-CA"/>
              </w:rPr>
              <w:t>624</w:t>
            </w:r>
            <w:r w:rsidR="00AC3C56">
              <w:rPr>
                <w:snapToGrid w:val="0"/>
                <w:kern w:val="22"/>
                <w:szCs w:val="22"/>
                <w:lang w:val="fr-CA"/>
              </w:rPr>
              <w:t>,</w:t>
            </w:r>
            <w:r w:rsidRPr="001C5D72">
              <w:rPr>
                <w:snapToGrid w:val="0"/>
                <w:kern w:val="22"/>
                <w:szCs w:val="22"/>
                <w:lang w:val="fr-CA"/>
              </w:rPr>
              <w:t>80</w:t>
            </w:r>
          </w:p>
        </w:tc>
      </w:tr>
      <w:tr w:rsidR="00855A78" w:rsidRPr="00665C19" w:rsidTr="00490BF5">
        <w:tc>
          <w:tcPr>
            <w:tcW w:w="9576" w:type="dxa"/>
            <w:gridSpan w:val="5"/>
            <w:shd w:val="clear" w:color="auto" w:fill="auto"/>
            <w:tcMar>
              <w:top w:w="14" w:type="dxa"/>
              <w:left w:w="29" w:type="dxa"/>
              <w:bottom w:w="14" w:type="dxa"/>
              <w:right w:w="29" w:type="dxa"/>
            </w:tcMar>
          </w:tcPr>
          <w:p w:rsidR="00855A78" w:rsidRPr="001C5D72" w:rsidRDefault="00CE1A84" w:rsidP="00AC3C56">
            <w:pPr>
              <w:suppressLineNumbers/>
              <w:suppressAutoHyphens/>
              <w:kinsoku w:val="0"/>
              <w:overflowPunct w:val="0"/>
              <w:autoSpaceDE w:val="0"/>
              <w:autoSpaceDN w:val="0"/>
              <w:adjustRightInd w:val="0"/>
              <w:snapToGrid w:val="0"/>
              <w:ind w:left="360"/>
              <w:rPr>
                <w:bCs/>
                <w:iCs/>
                <w:snapToGrid w:val="0"/>
                <w:kern w:val="22"/>
                <w:szCs w:val="22"/>
                <w:lang w:val="fr-CA"/>
              </w:rPr>
            </w:pPr>
            <w:r w:rsidRPr="001C5D72">
              <w:rPr>
                <w:bCs/>
                <w:i/>
                <w:snapToGrid w:val="0"/>
                <w:kern w:val="22"/>
                <w:szCs w:val="22"/>
                <w:lang w:val="fr-CA"/>
              </w:rPr>
              <w:t>Note</w:t>
            </w:r>
            <w:r w:rsidR="00AC3C56">
              <w:rPr>
                <w:bCs/>
                <w:i/>
                <w:snapToGrid w:val="0"/>
                <w:kern w:val="22"/>
                <w:szCs w:val="22"/>
                <w:lang w:val="fr-CA"/>
              </w:rPr>
              <w:t> </w:t>
            </w:r>
            <w:r w:rsidR="00AC3C56">
              <w:rPr>
                <w:bCs/>
                <w:iCs/>
                <w:snapToGrid w:val="0"/>
                <w:kern w:val="22"/>
                <w:szCs w:val="22"/>
                <w:lang w:val="fr-CA"/>
              </w:rPr>
              <w:t>: Les engagements sont exprimés en millions USD courants</w:t>
            </w:r>
          </w:p>
          <w:p w:rsidR="00855A78" w:rsidRPr="001C5D72" w:rsidRDefault="00855A78" w:rsidP="00AC3C56">
            <w:pPr>
              <w:suppressLineNumbers/>
              <w:suppressAutoHyphens/>
              <w:kinsoku w:val="0"/>
              <w:overflowPunct w:val="0"/>
              <w:autoSpaceDE w:val="0"/>
              <w:autoSpaceDN w:val="0"/>
              <w:adjustRightInd w:val="0"/>
              <w:snapToGrid w:val="0"/>
              <w:ind w:left="360"/>
              <w:rPr>
                <w:snapToGrid w:val="0"/>
                <w:kern w:val="22"/>
                <w:szCs w:val="22"/>
                <w:lang w:val="fr-CA"/>
              </w:rPr>
            </w:pPr>
            <w:r w:rsidRPr="001C5D72">
              <w:rPr>
                <w:bCs/>
                <w:i/>
                <w:snapToGrid w:val="0"/>
                <w:kern w:val="22"/>
                <w:szCs w:val="22"/>
                <w:lang w:val="fr-CA"/>
              </w:rPr>
              <w:t>Source</w:t>
            </w:r>
            <w:r w:rsidR="00AC3C56">
              <w:rPr>
                <w:bCs/>
                <w:i/>
                <w:snapToGrid w:val="0"/>
                <w:kern w:val="22"/>
                <w:szCs w:val="22"/>
                <w:lang w:val="fr-CA"/>
              </w:rPr>
              <w:t> :</w:t>
            </w:r>
            <w:r w:rsidR="00AC3C56">
              <w:rPr>
                <w:bCs/>
                <w:iCs/>
                <w:snapToGrid w:val="0"/>
                <w:kern w:val="22"/>
                <w:szCs w:val="22"/>
                <w:lang w:val="fr-CA"/>
              </w:rPr>
              <w:t xml:space="preserve"> Base de données du </w:t>
            </w:r>
            <w:r w:rsidR="00AC3C56" w:rsidRPr="001C5D72">
              <w:rPr>
                <w:rStyle w:val="preferred"/>
                <w:lang w:val="fr-CA"/>
              </w:rPr>
              <w:t>Système de notification des pays créanciers</w:t>
            </w:r>
            <w:r w:rsidR="00AC3C56">
              <w:rPr>
                <w:rStyle w:val="preferred"/>
                <w:lang w:val="fr-CA"/>
              </w:rPr>
              <w:t xml:space="preserve"> de l</w:t>
            </w:r>
            <w:r w:rsidR="00466152">
              <w:rPr>
                <w:rStyle w:val="preferred"/>
                <w:lang w:val="fr-CA"/>
              </w:rPr>
              <w:t>’</w:t>
            </w:r>
            <w:r w:rsidR="00AC3C56">
              <w:rPr>
                <w:rStyle w:val="preferred"/>
                <w:lang w:val="fr-CA"/>
              </w:rPr>
              <w:t>OCDE</w:t>
            </w:r>
          </w:p>
        </w:tc>
      </w:tr>
    </w:tbl>
    <w:p w:rsidR="00855A78" w:rsidRPr="001C5D72" w:rsidRDefault="00FC2DA4" w:rsidP="003B130B">
      <w:pPr>
        <w:numPr>
          <w:ilvl w:val="0"/>
          <w:numId w:val="52"/>
        </w:numPr>
        <w:suppressLineNumbers/>
        <w:suppressAutoHyphens/>
        <w:kinsoku w:val="0"/>
        <w:overflowPunct w:val="0"/>
        <w:autoSpaceDE w:val="0"/>
        <w:autoSpaceDN w:val="0"/>
        <w:adjustRightInd w:val="0"/>
        <w:snapToGrid w:val="0"/>
        <w:spacing w:before="240" w:after="120"/>
        <w:ind w:left="0" w:firstLine="0"/>
        <w:rPr>
          <w:noProof/>
          <w:snapToGrid w:val="0"/>
          <w:kern w:val="22"/>
          <w:szCs w:val="22"/>
          <w:lang w:val="fr-CA"/>
        </w:rPr>
      </w:pPr>
      <w:r>
        <w:rPr>
          <w:snapToGrid w:val="0"/>
          <w:kern w:val="22"/>
          <w:szCs w:val="22"/>
          <w:lang w:val="fr-CA"/>
        </w:rPr>
        <w:lastRenderedPageBreak/>
        <w:t>Compte tenu de la nature qualitative des marqueurs de Rio, les Parties ont adopté différentes approches dans l</w:t>
      </w:r>
      <w:r w:rsidR="00466152">
        <w:rPr>
          <w:snapToGrid w:val="0"/>
          <w:kern w:val="22"/>
          <w:szCs w:val="22"/>
          <w:lang w:val="fr-CA"/>
        </w:rPr>
        <w:t>’</w:t>
      </w:r>
      <w:r>
        <w:rPr>
          <w:snapToGrid w:val="0"/>
          <w:kern w:val="22"/>
          <w:szCs w:val="22"/>
          <w:lang w:val="fr-CA"/>
        </w:rPr>
        <w:t>établissement de leurs rapports financiers au titre de la Convention sur la manière d</w:t>
      </w:r>
      <w:r w:rsidR="00466152">
        <w:rPr>
          <w:snapToGrid w:val="0"/>
          <w:kern w:val="22"/>
          <w:szCs w:val="22"/>
          <w:lang w:val="fr-CA"/>
        </w:rPr>
        <w:t>’</w:t>
      </w:r>
      <w:r>
        <w:rPr>
          <w:snapToGrid w:val="0"/>
          <w:kern w:val="22"/>
          <w:szCs w:val="22"/>
          <w:lang w:val="fr-CA"/>
        </w:rPr>
        <w:t>agréger les données sur les flux de ressources liés directement à la biodiversité et celles sur les flux liés indirectement à la biodiversité</w:t>
      </w:r>
      <w:r w:rsidR="0074777E">
        <w:rPr>
          <w:snapToGrid w:val="0"/>
          <w:kern w:val="22"/>
          <w:szCs w:val="22"/>
          <w:lang w:val="fr-CA"/>
        </w:rPr>
        <w:t xml:space="preserve">, en ayant recours aux </w:t>
      </w:r>
      <w:r w:rsidR="0074777E">
        <w:rPr>
          <w:noProof/>
          <w:snapToGrid w:val="0"/>
          <w:kern w:val="22"/>
          <w:szCs w:val="22"/>
          <w:lang w:val="fr-CA"/>
        </w:rPr>
        <w:t xml:space="preserve">marqueurs « principal » et « significatif » comme base. Par exemple, tandis que certaines Parties </w:t>
      </w:r>
      <w:r w:rsidR="009953DD">
        <w:rPr>
          <w:noProof/>
          <w:snapToGrid w:val="0"/>
          <w:kern w:val="22"/>
          <w:szCs w:val="22"/>
          <w:lang w:val="fr-CA"/>
        </w:rPr>
        <w:t>comptent autant les données marquées « principal » que celle marquées « significatif » avec 100 pour cent (par ex. Nouvelle</w:t>
      </w:r>
      <w:r w:rsidR="00466152">
        <w:rPr>
          <w:noProof/>
          <w:snapToGrid w:val="0"/>
          <w:kern w:val="22"/>
          <w:szCs w:val="22"/>
          <w:lang w:val="fr-CA"/>
        </w:rPr>
        <w:noBreakHyphen/>
      </w:r>
      <w:r w:rsidR="009953DD">
        <w:rPr>
          <w:noProof/>
          <w:snapToGrid w:val="0"/>
          <w:kern w:val="22"/>
          <w:szCs w:val="22"/>
          <w:lang w:val="fr-CA"/>
        </w:rPr>
        <w:t>Zélande), d</w:t>
      </w:r>
      <w:r w:rsidR="00466152">
        <w:rPr>
          <w:noProof/>
          <w:snapToGrid w:val="0"/>
          <w:kern w:val="22"/>
          <w:szCs w:val="22"/>
          <w:lang w:val="fr-CA"/>
        </w:rPr>
        <w:t>’</w:t>
      </w:r>
      <w:r w:rsidR="009953DD">
        <w:rPr>
          <w:noProof/>
          <w:snapToGrid w:val="0"/>
          <w:kern w:val="22"/>
          <w:szCs w:val="22"/>
          <w:lang w:val="fr-CA"/>
        </w:rPr>
        <w:t>autres utilisent un « facteur d</w:t>
      </w:r>
      <w:r w:rsidR="00466152">
        <w:rPr>
          <w:noProof/>
          <w:snapToGrid w:val="0"/>
          <w:kern w:val="22"/>
          <w:szCs w:val="22"/>
          <w:lang w:val="fr-CA"/>
        </w:rPr>
        <w:t>’</w:t>
      </w:r>
      <w:r w:rsidR="009953DD">
        <w:rPr>
          <w:noProof/>
          <w:snapToGrid w:val="0"/>
          <w:kern w:val="22"/>
          <w:szCs w:val="22"/>
          <w:lang w:val="fr-CA"/>
        </w:rPr>
        <w:t>actualisation » et comptent les/ attribuent aux fonds marqués « significatif » un</w:t>
      </w:r>
      <w:r w:rsidR="00970EE4">
        <w:rPr>
          <w:noProof/>
          <w:snapToGrid w:val="0"/>
          <w:kern w:val="22"/>
          <w:szCs w:val="22"/>
          <w:lang w:val="fr-CA"/>
        </w:rPr>
        <w:t>e part en</w:t>
      </w:r>
      <w:r w:rsidR="009953DD">
        <w:rPr>
          <w:noProof/>
          <w:snapToGrid w:val="0"/>
          <w:kern w:val="22"/>
          <w:szCs w:val="22"/>
          <w:lang w:val="fr-CA"/>
        </w:rPr>
        <w:t xml:space="preserve"> pourcentage </w:t>
      </w:r>
      <w:r w:rsidR="00970EE4">
        <w:rPr>
          <w:noProof/>
          <w:snapToGrid w:val="0"/>
          <w:kern w:val="22"/>
          <w:szCs w:val="22"/>
          <w:lang w:val="fr-CA"/>
        </w:rPr>
        <w:t>inférieure, par exemple 40 pour cent (Espagne, Grèce, Suède, Suisse, Union européenne) ou 50 pour cent (Autriche, Danemark</w:t>
      </w:r>
      <w:r w:rsidR="00970EE4" w:rsidRPr="001C5D72">
        <w:rPr>
          <w:rStyle w:val="FootnoteReference"/>
          <w:noProof/>
          <w:snapToGrid w:val="0"/>
          <w:kern w:val="22"/>
          <w:szCs w:val="22"/>
          <w:lang w:val="fr-CA"/>
        </w:rPr>
        <w:footnoteReference w:id="10"/>
      </w:r>
      <w:r w:rsidR="003B130B">
        <w:rPr>
          <w:noProof/>
          <w:snapToGrid w:val="0"/>
          <w:kern w:val="22"/>
          <w:szCs w:val="22"/>
          <w:lang w:val="fr-CA"/>
        </w:rPr>
        <w:t>).</w:t>
      </w:r>
    </w:p>
    <w:p w:rsidR="00855A78" w:rsidRPr="001C5D72" w:rsidRDefault="00970EE4" w:rsidP="003B130B">
      <w:pPr>
        <w:numPr>
          <w:ilvl w:val="0"/>
          <w:numId w:val="52"/>
        </w:numPr>
        <w:suppressLineNumbers/>
        <w:suppressAutoHyphens/>
        <w:kinsoku w:val="0"/>
        <w:overflowPunct w:val="0"/>
        <w:autoSpaceDE w:val="0"/>
        <w:autoSpaceDN w:val="0"/>
        <w:adjustRightInd w:val="0"/>
        <w:snapToGrid w:val="0"/>
        <w:spacing w:before="120" w:after="120"/>
        <w:ind w:left="0" w:firstLine="0"/>
        <w:rPr>
          <w:snapToGrid w:val="0"/>
          <w:kern w:val="22"/>
          <w:szCs w:val="22"/>
          <w:lang w:val="fr-CA"/>
        </w:rPr>
      </w:pPr>
      <w:r>
        <w:rPr>
          <w:snapToGrid w:val="0"/>
          <w:kern w:val="22"/>
          <w:szCs w:val="22"/>
          <w:lang w:val="fr-CA"/>
        </w:rPr>
        <w:t>D</w:t>
      </w:r>
      <w:r w:rsidR="00466152">
        <w:rPr>
          <w:snapToGrid w:val="0"/>
          <w:kern w:val="22"/>
          <w:szCs w:val="22"/>
          <w:lang w:val="fr-CA"/>
        </w:rPr>
        <w:t>’</w:t>
      </w:r>
      <w:r>
        <w:rPr>
          <w:snapToGrid w:val="0"/>
          <w:kern w:val="22"/>
          <w:szCs w:val="22"/>
          <w:lang w:val="fr-CA"/>
        </w:rPr>
        <w:t>autres appliquent une gamme de coefficients ou de parts de pourcentage sur la base d</w:t>
      </w:r>
      <w:r w:rsidR="00466152">
        <w:rPr>
          <w:snapToGrid w:val="0"/>
          <w:kern w:val="22"/>
          <w:szCs w:val="22"/>
          <w:lang w:val="fr-CA"/>
        </w:rPr>
        <w:t>’</w:t>
      </w:r>
      <w:r>
        <w:rPr>
          <w:snapToGrid w:val="0"/>
          <w:kern w:val="22"/>
          <w:szCs w:val="22"/>
          <w:lang w:val="fr-CA"/>
        </w:rPr>
        <w:t>évaluations liées à des projets donnés et d</w:t>
      </w:r>
      <w:r w:rsidR="00466152">
        <w:rPr>
          <w:snapToGrid w:val="0"/>
          <w:kern w:val="22"/>
          <w:szCs w:val="22"/>
          <w:lang w:val="fr-CA"/>
        </w:rPr>
        <w:t>’</w:t>
      </w:r>
      <w:r>
        <w:rPr>
          <w:snapToGrid w:val="0"/>
          <w:kern w:val="22"/>
          <w:szCs w:val="22"/>
          <w:lang w:val="fr-CA"/>
        </w:rPr>
        <w:t>un tableau</w:t>
      </w:r>
      <w:r w:rsidR="000F1248">
        <w:rPr>
          <w:snapToGrid w:val="0"/>
          <w:kern w:val="22"/>
          <w:szCs w:val="22"/>
          <w:lang w:val="fr-CA"/>
        </w:rPr>
        <w:t xml:space="preserve"> fournissant des orientations. La France a compté 100 pour cent des fonds marqués « principal » et 5, 30 et 80 pour cent des fonds marqués « significatif »</w:t>
      </w:r>
      <w:r w:rsidR="0097506E">
        <w:rPr>
          <w:snapToGrid w:val="0"/>
          <w:kern w:val="22"/>
          <w:szCs w:val="22"/>
          <w:lang w:val="fr-CA"/>
        </w:rPr>
        <w:t>. La Finlande a appliqué des parts de pourcentage pour les fonds marqués « significatif » allant de 10 à 50 pour cent, et pour les fonds marqués « principal » allant de 50 à 100 pour cent.</w:t>
      </w:r>
    </w:p>
    <w:p w:rsidR="00855A78" w:rsidRPr="001C5D72" w:rsidRDefault="0097506E" w:rsidP="003B130B">
      <w:pPr>
        <w:numPr>
          <w:ilvl w:val="0"/>
          <w:numId w:val="52"/>
        </w:numPr>
        <w:suppressLineNumbers/>
        <w:suppressAutoHyphens/>
        <w:kinsoku w:val="0"/>
        <w:overflowPunct w:val="0"/>
        <w:autoSpaceDE w:val="0"/>
        <w:autoSpaceDN w:val="0"/>
        <w:adjustRightInd w:val="0"/>
        <w:snapToGrid w:val="0"/>
        <w:spacing w:before="120" w:after="120"/>
        <w:ind w:left="0" w:firstLine="0"/>
        <w:rPr>
          <w:snapToGrid w:val="0"/>
          <w:kern w:val="22"/>
          <w:szCs w:val="22"/>
          <w:lang w:val="fr-CA"/>
        </w:rPr>
      </w:pPr>
      <w:r>
        <w:rPr>
          <w:snapToGrid w:val="0"/>
          <w:kern w:val="22"/>
          <w:szCs w:val="22"/>
          <w:lang w:val="fr-CA"/>
        </w:rPr>
        <w:t>S</w:t>
      </w:r>
      <w:r w:rsidR="00466152">
        <w:rPr>
          <w:snapToGrid w:val="0"/>
          <w:kern w:val="22"/>
          <w:szCs w:val="22"/>
          <w:lang w:val="fr-CA"/>
        </w:rPr>
        <w:t>’</w:t>
      </w:r>
      <w:r>
        <w:rPr>
          <w:snapToGrid w:val="0"/>
          <w:kern w:val="22"/>
          <w:szCs w:val="22"/>
          <w:lang w:val="fr-CA"/>
        </w:rPr>
        <w:t>agissant de projets qui sont seulement partiellement liés à la biodiversité (marqueur 1), l</w:t>
      </w:r>
      <w:r w:rsidR="00466152">
        <w:rPr>
          <w:snapToGrid w:val="0"/>
          <w:kern w:val="22"/>
          <w:szCs w:val="22"/>
          <w:lang w:val="fr-CA"/>
        </w:rPr>
        <w:t>’</w:t>
      </w:r>
      <w:r>
        <w:rPr>
          <w:snapToGrid w:val="0"/>
          <w:kern w:val="22"/>
          <w:szCs w:val="22"/>
          <w:lang w:val="fr-CA"/>
        </w:rPr>
        <w:t>Allemagne ventile davantage et compte à 100 pour cent uniquement les composantes sectorielles qui sont directement liées à la biodiversité. De même, la Slovaquie a recours à des critères d</w:t>
      </w:r>
      <w:r w:rsidR="00466152">
        <w:rPr>
          <w:snapToGrid w:val="0"/>
          <w:kern w:val="22"/>
          <w:szCs w:val="22"/>
          <w:lang w:val="fr-CA"/>
        </w:rPr>
        <w:t>’</w:t>
      </w:r>
      <w:r>
        <w:rPr>
          <w:snapToGrid w:val="0"/>
          <w:kern w:val="22"/>
          <w:szCs w:val="22"/>
          <w:lang w:val="fr-CA"/>
        </w:rPr>
        <w:t>identification plus stricts pour les projets ou activités pertinents pour la biodiversité.</w:t>
      </w:r>
    </w:p>
    <w:p w:rsidR="00855A78" w:rsidRPr="001C5D72" w:rsidRDefault="0097506E" w:rsidP="00005157">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fr-CA"/>
        </w:rPr>
      </w:pPr>
      <w:r>
        <w:rPr>
          <w:snapToGrid w:val="0"/>
          <w:kern w:val="22"/>
          <w:szCs w:val="22"/>
          <w:lang w:val="fr-CA"/>
        </w:rPr>
        <w:t>S</w:t>
      </w:r>
      <w:r w:rsidR="00466152">
        <w:rPr>
          <w:snapToGrid w:val="0"/>
          <w:kern w:val="22"/>
          <w:szCs w:val="22"/>
          <w:lang w:val="fr-CA"/>
        </w:rPr>
        <w:t>’</w:t>
      </w:r>
      <w:r>
        <w:rPr>
          <w:snapToGrid w:val="0"/>
          <w:kern w:val="22"/>
          <w:szCs w:val="22"/>
          <w:lang w:val="fr-CA"/>
        </w:rPr>
        <w:t>agissant de</w:t>
      </w:r>
      <w:r w:rsidR="00CC292E">
        <w:rPr>
          <w:snapToGrid w:val="0"/>
          <w:kern w:val="22"/>
          <w:szCs w:val="22"/>
          <w:lang w:val="fr-CA"/>
        </w:rPr>
        <w:t>s</w:t>
      </w:r>
      <w:r>
        <w:rPr>
          <w:snapToGrid w:val="0"/>
          <w:kern w:val="22"/>
          <w:szCs w:val="22"/>
          <w:lang w:val="fr-CA"/>
        </w:rPr>
        <w:t xml:space="preserve"> mesures prises par le secteur privé ainsi que les ONG, les fondations et les établissements universitaires pour fournir un appui international en faveur de la mise en œuvre du Plan stratégique 2011</w:t>
      </w:r>
      <w:r w:rsidR="00466152">
        <w:rPr>
          <w:snapToGrid w:val="0"/>
          <w:kern w:val="22"/>
          <w:szCs w:val="22"/>
          <w:lang w:val="fr-CA"/>
        </w:rPr>
        <w:noBreakHyphen/>
      </w:r>
      <w:r>
        <w:rPr>
          <w:snapToGrid w:val="0"/>
          <w:kern w:val="22"/>
          <w:szCs w:val="22"/>
          <w:lang w:val="fr-CA"/>
        </w:rPr>
        <w:t>2020 pour la diversité biologique, 52 Parties ont répondu</w:t>
      </w:r>
      <w:r w:rsidR="00CC292E">
        <w:rPr>
          <w:snapToGrid w:val="0"/>
          <w:kern w:val="22"/>
          <w:szCs w:val="22"/>
          <w:lang w:val="fr-CA"/>
        </w:rPr>
        <w:t>, dont 24 ont déclaré qu</w:t>
      </w:r>
      <w:r w:rsidR="00466152">
        <w:rPr>
          <w:snapToGrid w:val="0"/>
          <w:kern w:val="22"/>
          <w:szCs w:val="22"/>
          <w:lang w:val="fr-CA"/>
        </w:rPr>
        <w:t>’</w:t>
      </w:r>
      <w:r w:rsidR="00CC292E">
        <w:rPr>
          <w:snapToGrid w:val="0"/>
          <w:kern w:val="22"/>
          <w:szCs w:val="22"/>
          <w:lang w:val="fr-CA"/>
        </w:rPr>
        <w:t>aucune mesure n</w:t>
      </w:r>
      <w:r w:rsidR="00466152">
        <w:rPr>
          <w:snapToGrid w:val="0"/>
          <w:kern w:val="22"/>
          <w:szCs w:val="22"/>
          <w:lang w:val="fr-CA"/>
        </w:rPr>
        <w:t>’</w:t>
      </w:r>
      <w:r w:rsidR="00CC292E">
        <w:rPr>
          <w:snapToGrid w:val="0"/>
          <w:kern w:val="22"/>
          <w:szCs w:val="22"/>
          <w:lang w:val="fr-CA"/>
        </w:rPr>
        <w:t>avait été prise, 27 ont indiqué que certaines mesures avaient été adoptées, tandis que les Pays</w:t>
      </w:r>
      <w:r w:rsidR="00466152">
        <w:rPr>
          <w:snapToGrid w:val="0"/>
          <w:kern w:val="22"/>
          <w:szCs w:val="22"/>
          <w:lang w:val="fr-CA"/>
        </w:rPr>
        <w:noBreakHyphen/>
      </w:r>
      <w:r w:rsidR="00CC292E">
        <w:rPr>
          <w:snapToGrid w:val="0"/>
          <w:kern w:val="22"/>
          <w:szCs w:val="22"/>
          <w:lang w:val="fr-CA"/>
        </w:rPr>
        <w:t>Bas ont révélé que des mesures exhaustives avaient été prises. Au total, 23 Parties ont signalé des exemples spécifiques d</w:t>
      </w:r>
      <w:r w:rsidR="00466152">
        <w:rPr>
          <w:snapToGrid w:val="0"/>
          <w:kern w:val="22"/>
          <w:szCs w:val="22"/>
          <w:lang w:val="fr-CA"/>
        </w:rPr>
        <w:t>’</w:t>
      </w:r>
      <w:r w:rsidR="00CC292E">
        <w:rPr>
          <w:snapToGrid w:val="0"/>
          <w:kern w:val="22"/>
          <w:szCs w:val="22"/>
          <w:lang w:val="fr-CA"/>
        </w:rPr>
        <w:t>importantes initiatives et activités, y compris dans le cadre d</w:t>
      </w:r>
      <w:r w:rsidR="00466152">
        <w:rPr>
          <w:snapToGrid w:val="0"/>
          <w:kern w:val="22"/>
          <w:szCs w:val="22"/>
          <w:lang w:val="fr-CA"/>
        </w:rPr>
        <w:t>’</w:t>
      </w:r>
      <w:r w:rsidR="00CC292E">
        <w:rPr>
          <w:snapToGrid w:val="0"/>
          <w:kern w:val="22"/>
          <w:szCs w:val="22"/>
          <w:lang w:val="fr-CA"/>
        </w:rPr>
        <w:t>initiatives nationales liées au commerce et à la biodiversité, qui peuvent être directement consultées à l</w:t>
      </w:r>
      <w:r w:rsidR="00466152">
        <w:rPr>
          <w:snapToGrid w:val="0"/>
          <w:kern w:val="22"/>
          <w:szCs w:val="22"/>
          <w:lang w:val="fr-CA"/>
        </w:rPr>
        <w:t>’</w:t>
      </w:r>
      <w:r w:rsidR="00CC292E">
        <w:rPr>
          <w:snapToGrid w:val="0"/>
          <w:kern w:val="22"/>
          <w:szCs w:val="22"/>
          <w:lang w:val="fr-CA"/>
        </w:rPr>
        <w:t xml:space="preserve">adresse </w:t>
      </w:r>
      <w:hyperlink r:id="rId16" w:history="1">
        <w:r w:rsidR="00CC292E" w:rsidRPr="001C5D72">
          <w:rPr>
            <w:rStyle w:val="Hyperlink"/>
            <w:snapToGrid w:val="0"/>
            <w:kern w:val="22"/>
            <w:sz w:val="22"/>
            <w:szCs w:val="22"/>
            <w:lang w:val="fr-CA"/>
          </w:rPr>
          <w:t>https://chm.cbd.int/search/financial</w:t>
        </w:r>
        <w:r w:rsidR="00466152">
          <w:rPr>
            <w:rStyle w:val="Hyperlink"/>
            <w:snapToGrid w:val="0"/>
            <w:kern w:val="22"/>
            <w:sz w:val="22"/>
            <w:szCs w:val="22"/>
            <w:lang w:val="fr-CA"/>
          </w:rPr>
          <w:noBreakHyphen/>
        </w:r>
        <w:r w:rsidR="00CC292E" w:rsidRPr="001C5D72">
          <w:rPr>
            <w:rStyle w:val="Hyperlink"/>
            <w:snapToGrid w:val="0"/>
            <w:kern w:val="22"/>
            <w:sz w:val="22"/>
            <w:szCs w:val="22"/>
            <w:lang w:val="fr-CA"/>
          </w:rPr>
          <w:t>analyzer</w:t>
        </w:r>
      </w:hyperlink>
      <w:r w:rsidR="00CC292E">
        <w:rPr>
          <w:lang w:val="fr-CA"/>
        </w:rPr>
        <w:t>. En voici quelques exemples</w:t>
      </w:r>
      <w:r w:rsidR="0051296D">
        <w:rPr>
          <w:lang w:val="fr-CA"/>
        </w:rPr>
        <w:t> :</w:t>
      </w:r>
    </w:p>
    <w:p w:rsidR="00855A78" w:rsidRPr="001C5D72" w:rsidRDefault="00BD61E7" w:rsidP="00F266DF">
      <w:pPr>
        <w:numPr>
          <w:ilvl w:val="1"/>
          <w:numId w:val="57"/>
        </w:numPr>
        <w:suppressLineNumbers/>
        <w:suppressAutoHyphens/>
        <w:kinsoku w:val="0"/>
        <w:overflowPunct w:val="0"/>
        <w:autoSpaceDE w:val="0"/>
        <w:autoSpaceDN w:val="0"/>
        <w:adjustRightInd w:val="0"/>
        <w:snapToGrid w:val="0"/>
        <w:spacing w:after="120"/>
        <w:ind w:left="0" w:firstLine="720"/>
        <w:rPr>
          <w:snapToGrid w:val="0"/>
          <w:kern w:val="22"/>
          <w:szCs w:val="22"/>
          <w:lang w:val="fr-CA"/>
        </w:rPr>
      </w:pPr>
      <w:r>
        <w:rPr>
          <w:snapToGrid w:val="0"/>
          <w:kern w:val="22"/>
          <w:szCs w:val="22"/>
          <w:lang w:val="fr-CA"/>
        </w:rPr>
        <w:t>Les Pays</w:t>
      </w:r>
      <w:r w:rsidR="00466152">
        <w:rPr>
          <w:snapToGrid w:val="0"/>
          <w:kern w:val="22"/>
          <w:szCs w:val="22"/>
          <w:lang w:val="fr-CA"/>
        </w:rPr>
        <w:noBreakHyphen/>
      </w:r>
      <w:r>
        <w:rPr>
          <w:snapToGrid w:val="0"/>
          <w:kern w:val="22"/>
          <w:szCs w:val="22"/>
          <w:lang w:val="fr-CA"/>
        </w:rPr>
        <w:t>Bas ont noté que l</w:t>
      </w:r>
      <w:r w:rsidR="00466152">
        <w:rPr>
          <w:snapToGrid w:val="0"/>
          <w:kern w:val="22"/>
          <w:szCs w:val="22"/>
          <w:lang w:val="fr-CA"/>
        </w:rPr>
        <w:t>’</w:t>
      </w:r>
      <w:r>
        <w:rPr>
          <w:snapToGrid w:val="0"/>
          <w:kern w:val="22"/>
          <w:szCs w:val="22"/>
          <w:lang w:val="fr-CA"/>
        </w:rPr>
        <w:t>approche des zone</w:t>
      </w:r>
      <w:r w:rsidR="003327B1">
        <w:rPr>
          <w:snapToGrid w:val="0"/>
          <w:kern w:val="22"/>
          <w:szCs w:val="22"/>
          <w:lang w:val="fr-CA"/>
        </w:rPr>
        <w:t>s</w:t>
      </w:r>
      <w:r>
        <w:rPr>
          <w:snapToGrid w:val="0"/>
          <w:kern w:val="22"/>
          <w:szCs w:val="22"/>
          <w:lang w:val="fr-CA"/>
        </w:rPr>
        <w:t xml:space="preserve"> de conservation vérifiées, élaborée avec leur appui, cherche à mobiliser le financement par le secteur privé de la conservation de la biodiversité et de son utilisation </w:t>
      </w:r>
      <w:r w:rsidRPr="003327B1">
        <w:rPr>
          <w:snapToGrid w:val="0"/>
          <w:kern w:val="22"/>
          <w:szCs w:val="22"/>
          <w:lang w:val="fr-CA"/>
        </w:rPr>
        <w:t>durable, et</w:t>
      </w:r>
      <w:r w:rsidR="003327B1" w:rsidRPr="003327B1">
        <w:rPr>
          <w:snapToGrid w:val="0"/>
          <w:kern w:val="22"/>
          <w:szCs w:val="22"/>
          <w:lang w:val="fr-CA"/>
        </w:rPr>
        <w:t xml:space="preserve"> ont</w:t>
      </w:r>
      <w:r w:rsidRPr="003327B1">
        <w:rPr>
          <w:snapToGrid w:val="0"/>
          <w:kern w:val="22"/>
          <w:szCs w:val="22"/>
          <w:lang w:val="fr-CA"/>
        </w:rPr>
        <w:t xml:space="preserve"> aussi mentionné l</w:t>
      </w:r>
      <w:r w:rsidR="00466152">
        <w:rPr>
          <w:snapToGrid w:val="0"/>
          <w:kern w:val="22"/>
          <w:szCs w:val="22"/>
          <w:lang w:val="fr-CA"/>
        </w:rPr>
        <w:t>’</w:t>
      </w:r>
      <w:r w:rsidRPr="003327B1">
        <w:rPr>
          <w:snapToGrid w:val="0"/>
          <w:kern w:val="22"/>
          <w:szCs w:val="22"/>
          <w:lang w:val="fr-CA"/>
        </w:rPr>
        <w:t xml:space="preserve">initiative </w:t>
      </w:r>
      <w:r w:rsidR="003327B1" w:rsidRPr="003327B1">
        <w:rPr>
          <w:snapToGrid w:val="0"/>
          <w:kern w:val="22"/>
          <w:szCs w:val="22"/>
          <w:lang w:val="fr-CA"/>
        </w:rPr>
        <w:t>pour le commerce durable</w:t>
      </w:r>
      <w:r w:rsidRPr="003327B1">
        <w:rPr>
          <w:snapToGrid w:val="0"/>
          <w:kern w:val="22"/>
          <w:szCs w:val="22"/>
          <w:lang w:val="fr-CA"/>
        </w:rPr>
        <w:t xml:space="preserve"> </w:t>
      </w:r>
      <w:r w:rsidR="003327B1" w:rsidRPr="003327B1">
        <w:rPr>
          <w:snapToGrid w:val="0"/>
          <w:kern w:val="22"/>
          <w:szCs w:val="22"/>
          <w:lang w:val="fr-CA"/>
        </w:rPr>
        <w:t xml:space="preserve">(IDH), en collaboration avec la </w:t>
      </w:r>
      <w:r w:rsidR="003327B1" w:rsidRPr="003327B1">
        <w:rPr>
          <w:rStyle w:val="preferred"/>
          <w:lang w:val="fr-CA"/>
        </w:rPr>
        <w:t>Société financière internationale</w:t>
      </w:r>
      <w:r w:rsidR="003327B1">
        <w:rPr>
          <w:rStyle w:val="preferred"/>
          <w:lang w:val="fr-CA"/>
        </w:rPr>
        <w:t xml:space="preserve"> (SFI), ainsi que leur </w:t>
      </w:r>
      <w:proofErr w:type="spellStart"/>
      <w:r w:rsidR="003327B1">
        <w:rPr>
          <w:rStyle w:val="preferred"/>
          <w:lang w:val="fr-CA"/>
        </w:rPr>
        <w:t>app</w:t>
      </w:r>
      <w:r w:rsidR="003327B1" w:rsidRPr="00665C19">
        <w:rPr>
          <w:snapToGrid w:val="0"/>
          <w:kern w:val="22"/>
          <w:szCs w:val="22"/>
          <w:lang w:val="fr-FR"/>
        </w:rPr>
        <w:t>ui</w:t>
      </w:r>
      <w:proofErr w:type="spellEnd"/>
      <w:r w:rsidR="003327B1">
        <w:rPr>
          <w:rStyle w:val="preferred"/>
          <w:lang w:val="fr-CA"/>
        </w:rPr>
        <w:t xml:space="preserve"> </w:t>
      </w:r>
      <w:r w:rsidR="003327B1">
        <w:rPr>
          <w:snapToGrid w:val="0"/>
          <w:kern w:val="22"/>
          <w:szCs w:val="22"/>
          <w:lang w:val="fr-CA"/>
        </w:rPr>
        <w:t>a</w:t>
      </w:r>
      <w:r w:rsidR="003327B1" w:rsidRPr="003327B1">
        <w:rPr>
          <w:snapToGrid w:val="0"/>
          <w:kern w:val="22"/>
          <w:szCs w:val="22"/>
          <w:lang w:val="fr-CA"/>
        </w:rPr>
        <w:t xml:space="preserve">u </w:t>
      </w:r>
      <w:hyperlink r:id="rId17" w:history="1">
        <w:r w:rsidR="003327B1" w:rsidRPr="003327B1">
          <w:rPr>
            <w:snapToGrid w:val="0"/>
            <w:kern w:val="22"/>
            <w:szCs w:val="22"/>
            <w:lang w:val="fr-CA"/>
          </w:rPr>
          <w:t>Partenariat</w:t>
        </w:r>
      </w:hyperlink>
      <w:r w:rsidR="003327B1">
        <w:rPr>
          <w:snapToGrid w:val="0"/>
          <w:kern w:val="22"/>
          <w:szCs w:val="22"/>
          <w:lang w:val="fr-CA"/>
        </w:rPr>
        <w:t xml:space="preserve"> </w:t>
      </w:r>
      <w:r w:rsidR="003327B1" w:rsidRPr="003327B1">
        <w:rPr>
          <w:snapToGrid w:val="0"/>
          <w:kern w:val="22"/>
          <w:szCs w:val="22"/>
          <w:lang w:val="fr-CA"/>
        </w:rPr>
        <w:t>pour la comptabilisation de la richesse naturelle et la valorisation des systèmes écosystémiques</w:t>
      </w:r>
      <w:r w:rsidR="003327B1">
        <w:rPr>
          <w:snapToGrid w:val="0"/>
          <w:kern w:val="22"/>
          <w:szCs w:val="22"/>
          <w:lang w:val="fr-CA"/>
        </w:rPr>
        <w:t xml:space="preserve"> (WAVES);</w:t>
      </w:r>
    </w:p>
    <w:p w:rsidR="00855A78" w:rsidRPr="001C5D72" w:rsidRDefault="003327B1" w:rsidP="00F266DF">
      <w:pPr>
        <w:numPr>
          <w:ilvl w:val="1"/>
          <w:numId w:val="57"/>
        </w:numPr>
        <w:suppressLineNumbers/>
        <w:suppressAutoHyphens/>
        <w:kinsoku w:val="0"/>
        <w:overflowPunct w:val="0"/>
        <w:autoSpaceDE w:val="0"/>
        <w:autoSpaceDN w:val="0"/>
        <w:adjustRightInd w:val="0"/>
        <w:snapToGrid w:val="0"/>
        <w:spacing w:after="120"/>
        <w:ind w:left="0" w:firstLine="720"/>
        <w:rPr>
          <w:snapToGrid w:val="0"/>
          <w:kern w:val="22"/>
          <w:szCs w:val="22"/>
          <w:lang w:val="fr-CA"/>
        </w:rPr>
      </w:pPr>
      <w:r>
        <w:rPr>
          <w:snapToGrid w:val="0"/>
          <w:kern w:val="22"/>
          <w:szCs w:val="22"/>
          <w:lang w:val="fr-CA"/>
        </w:rPr>
        <w:t xml:space="preserve">Le Canada a mentionné les travaux pertinents du </w:t>
      </w:r>
      <w:r w:rsidRPr="003327B1">
        <w:rPr>
          <w:snapToGrid w:val="0"/>
          <w:kern w:val="22"/>
          <w:szCs w:val="22"/>
          <w:lang w:val="fr-CA"/>
        </w:rPr>
        <w:t>Conseil</w:t>
      </w:r>
      <w:r>
        <w:rPr>
          <w:snapToGrid w:val="0"/>
          <w:kern w:val="22"/>
          <w:szCs w:val="22"/>
          <w:lang w:val="fr-CA"/>
        </w:rPr>
        <w:t xml:space="preserve"> </w:t>
      </w:r>
      <w:r w:rsidRPr="003327B1">
        <w:rPr>
          <w:snapToGrid w:val="0"/>
          <w:kern w:val="22"/>
          <w:szCs w:val="22"/>
          <w:lang w:val="fr-CA"/>
        </w:rPr>
        <w:t>canadien</w:t>
      </w:r>
      <w:r>
        <w:rPr>
          <w:snapToGrid w:val="0"/>
          <w:kern w:val="22"/>
          <w:szCs w:val="22"/>
          <w:lang w:val="fr-CA"/>
        </w:rPr>
        <w:t xml:space="preserve"> </w:t>
      </w:r>
      <w:r w:rsidRPr="003327B1">
        <w:rPr>
          <w:snapToGrid w:val="0"/>
          <w:kern w:val="22"/>
          <w:szCs w:val="22"/>
          <w:lang w:val="fr-CA"/>
        </w:rPr>
        <w:t>pour</w:t>
      </w:r>
      <w:r>
        <w:rPr>
          <w:snapToGrid w:val="0"/>
          <w:kern w:val="22"/>
          <w:szCs w:val="22"/>
          <w:lang w:val="fr-CA"/>
        </w:rPr>
        <w:t xml:space="preserve"> </w:t>
      </w:r>
      <w:r w:rsidRPr="003327B1">
        <w:rPr>
          <w:snapToGrid w:val="0"/>
          <w:kern w:val="22"/>
          <w:szCs w:val="22"/>
          <w:lang w:val="fr-CA"/>
        </w:rPr>
        <w:t>les</w:t>
      </w:r>
      <w:r>
        <w:rPr>
          <w:snapToGrid w:val="0"/>
          <w:kern w:val="22"/>
          <w:szCs w:val="22"/>
          <w:lang w:val="fr-CA"/>
        </w:rPr>
        <w:t xml:space="preserve"> </w:t>
      </w:r>
      <w:r w:rsidRPr="003327B1">
        <w:rPr>
          <w:snapToGrid w:val="0"/>
          <w:kern w:val="22"/>
          <w:szCs w:val="22"/>
          <w:lang w:val="fr-CA"/>
        </w:rPr>
        <w:t>entreprises</w:t>
      </w:r>
      <w:r>
        <w:rPr>
          <w:snapToGrid w:val="0"/>
          <w:kern w:val="22"/>
          <w:szCs w:val="22"/>
          <w:lang w:val="fr-CA"/>
        </w:rPr>
        <w:t xml:space="preserve"> </w:t>
      </w:r>
      <w:r w:rsidRPr="003327B1">
        <w:rPr>
          <w:snapToGrid w:val="0"/>
          <w:kern w:val="22"/>
          <w:szCs w:val="22"/>
          <w:lang w:val="fr-CA"/>
        </w:rPr>
        <w:t>et</w:t>
      </w:r>
      <w:r>
        <w:rPr>
          <w:snapToGrid w:val="0"/>
          <w:kern w:val="22"/>
          <w:szCs w:val="22"/>
          <w:lang w:val="fr-CA"/>
        </w:rPr>
        <w:t xml:space="preserve"> </w:t>
      </w:r>
      <w:r w:rsidRPr="003327B1">
        <w:rPr>
          <w:snapToGrid w:val="0"/>
          <w:kern w:val="22"/>
          <w:szCs w:val="22"/>
          <w:lang w:val="fr-CA"/>
        </w:rPr>
        <w:t>la biodiversité</w:t>
      </w:r>
      <w:r>
        <w:rPr>
          <w:snapToGrid w:val="0"/>
          <w:kern w:val="22"/>
          <w:szCs w:val="22"/>
          <w:lang w:val="fr-CA"/>
        </w:rPr>
        <w:t xml:space="preserve"> (CCEB), de l</w:t>
      </w:r>
      <w:r w:rsidR="00466152">
        <w:rPr>
          <w:snapToGrid w:val="0"/>
          <w:kern w:val="22"/>
          <w:szCs w:val="22"/>
          <w:lang w:val="fr-CA"/>
        </w:rPr>
        <w:t>’</w:t>
      </w:r>
      <w:r>
        <w:rPr>
          <w:snapToGrid w:val="0"/>
          <w:kern w:val="22"/>
          <w:szCs w:val="22"/>
          <w:lang w:val="fr-CA"/>
        </w:rPr>
        <w:t>Institut Jane Goodall du Canada, qui a établi des bourses d</w:t>
      </w:r>
      <w:r w:rsidR="00466152">
        <w:rPr>
          <w:snapToGrid w:val="0"/>
          <w:kern w:val="22"/>
          <w:szCs w:val="22"/>
          <w:lang w:val="fr-CA"/>
        </w:rPr>
        <w:t>’</w:t>
      </w:r>
      <w:r>
        <w:rPr>
          <w:snapToGrid w:val="0"/>
          <w:kern w:val="22"/>
          <w:szCs w:val="22"/>
          <w:lang w:val="fr-CA"/>
        </w:rPr>
        <w:t xml:space="preserve">études </w:t>
      </w:r>
      <w:r w:rsidR="00741902">
        <w:rPr>
          <w:snapToGrid w:val="0"/>
          <w:kern w:val="22"/>
          <w:szCs w:val="22"/>
          <w:lang w:val="fr-CA"/>
        </w:rPr>
        <w:t>axées sur l</w:t>
      </w:r>
      <w:r w:rsidR="00466152">
        <w:rPr>
          <w:snapToGrid w:val="0"/>
          <w:kern w:val="22"/>
          <w:szCs w:val="22"/>
          <w:lang w:val="fr-CA"/>
        </w:rPr>
        <w:t>’</w:t>
      </w:r>
      <w:r w:rsidR="00741902">
        <w:rPr>
          <w:snapToGrid w:val="0"/>
          <w:kern w:val="22"/>
          <w:szCs w:val="22"/>
          <w:lang w:val="fr-CA"/>
        </w:rPr>
        <w:t>Afrique</w:t>
      </w:r>
      <w:r w:rsidR="00741902" w:rsidRPr="00665C19">
        <w:rPr>
          <w:rFonts w:ascii="Arial" w:hAnsi="Arial" w:cs="Arial"/>
          <w:color w:val="242424"/>
          <w:sz w:val="10"/>
          <w:szCs w:val="10"/>
          <w:shd w:val="clear" w:color="auto" w:fill="FFFEEF"/>
          <w:lang w:val="fr-FR"/>
        </w:rPr>
        <w:t> </w:t>
      </w:r>
      <w:r w:rsidR="00741902">
        <w:rPr>
          <w:snapToGrid w:val="0"/>
          <w:kern w:val="22"/>
          <w:szCs w:val="22"/>
          <w:lang w:val="fr-CA"/>
        </w:rPr>
        <w:t xml:space="preserve"> </w:t>
      </w:r>
      <w:r>
        <w:rPr>
          <w:snapToGrid w:val="0"/>
          <w:kern w:val="22"/>
          <w:szCs w:val="22"/>
          <w:lang w:val="fr-CA"/>
        </w:rPr>
        <w:t>pour les filles</w:t>
      </w:r>
      <w:r w:rsidR="00741902">
        <w:rPr>
          <w:snapToGrid w:val="0"/>
          <w:kern w:val="22"/>
          <w:szCs w:val="22"/>
          <w:lang w:val="fr-CA"/>
        </w:rPr>
        <w:t xml:space="preserve">, les microcrédits destinés aux </w:t>
      </w:r>
      <w:r w:rsidR="000505E9">
        <w:rPr>
          <w:snapToGrid w:val="0"/>
          <w:kern w:val="22"/>
          <w:szCs w:val="22"/>
          <w:lang w:val="fr-CA"/>
        </w:rPr>
        <w:t>activités</w:t>
      </w:r>
      <w:r w:rsidR="00741902">
        <w:rPr>
          <w:snapToGrid w:val="0"/>
          <w:kern w:val="22"/>
          <w:szCs w:val="22"/>
          <w:lang w:val="fr-CA"/>
        </w:rPr>
        <w:t xml:space="preserve"> commerciales durables locales,</w:t>
      </w:r>
      <w:r>
        <w:rPr>
          <w:snapToGrid w:val="0"/>
          <w:kern w:val="22"/>
          <w:szCs w:val="22"/>
          <w:lang w:val="fr-CA"/>
        </w:rPr>
        <w:t xml:space="preserve"> </w:t>
      </w:r>
      <w:r w:rsidR="000505E9">
        <w:rPr>
          <w:snapToGrid w:val="0"/>
          <w:kern w:val="22"/>
          <w:szCs w:val="22"/>
          <w:lang w:val="fr-CA"/>
        </w:rPr>
        <w:t>les programmes d</w:t>
      </w:r>
      <w:r w:rsidR="00466152">
        <w:rPr>
          <w:snapToGrid w:val="0"/>
          <w:kern w:val="22"/>
          <w:szCs w:val="22"/>
          <w:lang w:val="fr-CA"/>
        </w:rPr>
        <w:t>’</w:t>
      </w:r>
      <w:r w:rsidR="000505E9">
        <w:rPr>
          <w:snapToGrid w:val="0"/>
          <w:kern w:val="22"/>
          <w:szCs w:val="22"/>
          <w:lang w:val="fr-CA"/>
        </w:rPr>
        <w:t>éducation et de formation en conservation de la faune, et plusieurs initiatives internationales menées par des universités canadiennes;</w:t>
      </w:r>
    </w:p>
    <w:p w:rsidR="00855A78" w:rsidRPr="001C5D72" w:rsidRDefault="000505E9" w:rsidP="00F266DF">
      <w:pPr>
        <w:numPr>
          <w:ilvl w:val="1"/>
          <w:numId w:val="57"/>
        </w:numPr>
        <w:suppressLineNumbers/>
        <w:suppressAutoHyphens/>
        <w:kinsoku w:val="0"/>
        <w:overflowPunct w:val="0"/>
        <w:autoSpaceDE w:val="0"/>
        <w:autoSpaceDN w:val="0"/>
        <w:adjustRightInd w:val="0"/>
        <w:snapToGrid w:val="0"/>
        <w:spacing w:after="120"/>
        <w:ind w:left="0" w:firstLine="720"/>
        <w:rPr>
          <w:snapToGrid w:val="0"/>
          <w:kern w:val="22"/>
          <w:szCs w:val="22"/>
          <w:lang w:val="fr-CA"/>
        </w:rPr>
      </w:pPr>
      <w:r>
        <w:rPr>
          <w:snapToGrid w:val="0"/>
          <w:kern w:val="22"/>
          <w:szCs w:val="22"/>
          <w:lang w:val="fr-CA"/>
        </w:rPr>
        <w:t>La Chine a mentionné une série de normes et de lignes directrices facultatives pour les investissements et opérations internationaux des entreprises chinoises, en vue de les aider à s</w:t>
      </w:r>
      <w:r w:rsidR="00466152">
        <w:rPr>
          <w:snapToGrid w:val="0"/>
          <w:kern w:val="22"/>
          <w:szCs w:val="22"/>
          <w:lang w:val="fr-CA"/>
        </w:rPr>
        <w:t>’</w:t>
      </w:r>
      <w:r>
        <w:rPr>
          <w:snapToGrid w:val="0"/>
          <w:kern w:val="22"/>
          <w:szCs w:val="22"/>
          <w:lang w:val="fr-CA"/>
        </w:rPr>
        <w:t>acquitter de leurs responsabilités en matière d</w:t>
      </w:r>
      <w:r w:rsidR="00466152">
        <w:rPr>
          <w:snapToGrid w:val="0"/>
          <w:kern w:val="22"/>
          <w:szCs w:val="22"/>
          <w:lang w:val="fr-CA"/>
        </w:rPr>
        <w:t>’</w:t>
      </w:r>
      <w:r>
        <w:rPr>
          <w:snapToGrid w:val="0"/>
          <w:kern w:val="22"/>
          <w:szCs w:val="22"/>
          <w:lang w:val="fr-CA"/>
        </w:rPr>
        <w:t>environnement, y compris la c</w:t>
      </w:r>
      <w:r w:rsidR="00F266DF">
        <w:rPr>
          <w:snapToGrid w:val="0"/>
          <w:kern w:val="22"/>
          <w:szCs w:val="22"/>
          <w:lang w:val="fr-CA"/>
        </w:rPr>
        <w:t>onservation de la biodiversité.</w:t>
      </w:r>
    </w:p>
    <w:p w:rsidR="00855A78" w:rsidRPr="001C5D72" w:rsidRDefault="00855A78" w:rsidP="00F266DF">
      <w:pPr>
        <w:pStyle w:val="Heading1"/>
        <w:suppressLineNumbers/>
        <w:suppressAutoHyphens/>
        <w:kinsoku w:val="0"/>
        <w:overflowPunct w:val="0"/>
        <w:autoSpaceDE w:val="0"/>
        <w:autoSpaceDN w:val="0"/>
        <w:adjustRightInd w:val="0"/>
        <w:snapToGrid w:val="0"/>
        <w:spacing w:before="120"/>
        <w:ind w:left="1440" w:hanging="720"/>
        <w:jc w:val="left"/>
        <w:rPr>
          <w:snapToGrid w:val="0"/>
          <w:kern w:val="22"/>
          <w:szCs w:val="22"/>
          <w:lang w:val="fr-CA"/>
        </w:rPr>
      </w:pPr>
      <w:r w:rsidRPr="001C5D72">
        <w:rPr>
          <w:snapToGrid w:val="0"/>
          <w:kern w:val="22"/>
          <w:szCs w:val="22"/>
          <w:lang w:val="fr-CA"/>
        </w:rPr>
        <w:t xml:space="preserve">III. </w:t>
      </w:r>
      <w:r w:rsidR="006E604B" w:rsidRPr="001C5D72">
        <w:rPr>
          <w:snapToGrid w:val="0"/>
          <w:kern w:val="22"/>
          <w:szCs w:val="22"/>
          <w:lang w:val="fr-CA"/>
        </w:rPr>
        <w:tab/>
      </w:r>
      <w:r w:rsidR="000505E9">
        <w:rPr>
          <w:snapToGrid w:val="0"/>
          <w:kern w:val="22"/>
          <w:szCs w:val="22"/>
          <w:lang w:val="fr-CA"/>
        </w:rPr>
        <w:t>inclusion de la biodiversité dans les priorités et les plans et examen et/ou évaluation des valeurs</w:t>
      </w:r>
    </w:p>
    <w:p w:rsidR="00855A78" w:rsidRPr="001C5D72" w:rsidRDefault="002E7A5B" w:rsidP="00F266DF">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fr-CA"/>
        </w:rPr>
      </w:pPr>
      <w:r w:rsidRPr="002540FA">
        <w:rPr>
          <w:snapToGrid w:val="0"/>
          <w:kern w:val="22"/>
          <w:szCs w:val="22"/>
          <w:lang w:val="fr-CA"/>
        </w:rPr>
        <w:t>Au total, 72 Parties ont</w:t>
      </w:r>
      <w:r>
        <w:rPr>
          <w:snapToGrid w:val="0"/>
          <w:kern w:val="22"/>
          <w:szCs w:val="22"/>
          <w:lang w:val="fr-CA"/>
        </w:rPr>
        <w:t xml:space="preserve"> répondu à la question demandant s</w:t>
      </w:r>
      <w:r w:rsidR="00466152">
        <w:rPr>
          <w:snapToGrid w:val="0"/>
          <w:kern w:val="22"/>
          <w:szCs w:val="22"/>
          <w:lang w:val="fr-CA"/>
        </w:rPr>
        <w:t>’</w:t>
      </w:r>
      <w:r>
        <w:rPr>
          <w:snapToGrid w:val="0"/>
          <w:kern w:val="22"/>
          <w:szCs w:val="22"/>
          <w:lang w:val="fr-CA"/>
        </w:rPr>
        <w:t xml:space="preserve">ils avaient intégré la biodiversité à leurs priorités nationales et à leurs plans de développement nationaux, et toutes ont fait état de quelque progrès au minimum : 49 Parties (68 pour cent) ont </w:t>
      </w:r>
      <w:r w:rsidRPr="00EB7D8D">
        <w:rPr>
          <w:snapToGrid w:val="0"/>
          <w:kern w:val="22"/>
          <w:szCs w:val="22"/>
          <w:lang w:val="fr-CA"/>
        </w:rPr>
        <w:t>indiqué qu</w:t>
      </w:r>
      <w:r w:rsidR="00466152">
        <w:rPr>
          <w:snapToGrid w:val="0"/>
          <w:kern w:val="22"/>
          <w:szCs w:val="22"/>
          <w:lang w:val="fr-CA"/>
        </w:rPr>
        <w:t>’</w:t>
      </w:r>
      <w:r w:rsidRPr="00EB7D8D">
        <w:rPr>
          <w:snapToGrid w:val="0"/>
          <w:kern w:val="22"/>
          <w:szCs w:val="22"/>
          <w:lang w:val="fr-CA"/>
        </w:rPr>
        <w:t>une certaine intégration avait été réalisée, tandis que 23 pays (32 pour cent) ont indiqué qu</w:t>
      </w:r>
      <w:r w:rsidR="00466152">
        <w:rPr>
          <w:snapToGrid w:val="0"/>
          <w:kern w:val="22"/>
          <w:szCs w:val="22"/>
          <w:lang w:val="fr-CA"/>
        </w:rPr>
        <w:t>’</w:t>
      </w:r>
      <w:r w:rsidRPr="00EB7D8D">
        <w:rPr>
          <w:snapToGrid w:val="0"/>
          <w:kern w:val="22"/>
          <w:szCs w:val="22"/>
          <w:lang w:val="fr-CA"/>
        </w:rPr>
        <w:t>une intégration complète avait été réalisée. Cela semble indiquer des progrès encourageants en ce qui concerne l</w:t>
      </w:r>
      <w:r w:rsidR="00466152">
        <w:rPr>
          <w:snapToGrid w:val="0"/>
          <w:kern w:val="22"/>
          <w:szCs w:val="22"/>
          <w:lang w:val="fr-CA"/>
        </w:rPr>
        <w:t>’</w:t>
      </w:r>
      <w:r w:rsidRPr="00EB7D8D">
        <w:rPr>
          <w:snapToGrid w:val="0"/>
          <w:kern w:val="22"/>
          <w:szCs w:val="22"/>
          <w:lang w:val="fr-CA"/>
        </w:rPr>
        <w:t>objectif 1</w:t>
      </w:r>
      <w:r w:rsidRPr="00EB7D8D">
        <w:rPr>
          <w:lang w:val="fr-CA"/>
        </w:rPr>
        <w:t> b) de la décision XII/3</w:t>
      </w:r>
      <w:r>
        <w:rPr>
          <w:lang w:val="fr-CA"/>
        </w:rPr>
        <w:t xml:space="preserve">. Les pays font </w:t>
      </w:r>
      <w:r>
        <w:rPr>
          <w:lang w:val="fr-CA"/>
        </w:rPr>
        <w:lastRenderedPageBreak/>
        <w:t>surtout référence aux liens avec des plans sectoriels ou des plans ou politiques</w:t>
      </w:r>
      <w:r w:rsidRPr="00EB7D8D">
        <w:rPr>
          <w:snapToGrid w:val="0"/>
          <w:kern w:val="22"/>
          <w:szCs w:val="22"/>
          <w:lang w:val="fr-CA"/>
        </w:rPr>
        <w:t xml:space="preserve"> </w:t>
      </w:r>
      <w:r>
        <w:rPr>
          <w:snapToGrid w:val="0"/>
          <w:kern w:val="22"/>
          <w:szCs w:val="22"/>
          <w:lang w:val="fr-CA"/>
        </w:rPr>
        <w:t>au plus haut niveau, tels que les plans nationaux de développement ou de croissance (durable), les cadres pour l</w:t>
      </w:r>
      <w:r w:rsidR="00466152">
        <w:rPr>
          <w:snapToGrid w:val="0"/>
          <w:kern w:val="22"/>
          <w:szCs w:val="22"/>
          <w:lang w:val="fr-CA"/>
        </w:rPr>
        <w:t>’</w:t>
      </w:r>
      <w:r>
        <w:rPr>
          <w:snapToGrid w:val="0"/>
          <w:kern w:val="22"/>
          <w:szCs w:val="22"/>
          <w:lang w:val="fr-CA"/>
        </w:rPr>
        <w:t>efficacité de l</w:t>
      </w:r>
      <w:r w:rsidR="00466152">
        <w:rPr>
          <w:snapToGrid w:val="0"/>
          <w:kern w:val="22"/>
          <w:szCs w:val="22"/>
          <w:lang w:val="fr-CA"/>
        </w:rPr>
        <w:t>’</w:t>
      </w:r>
      <w:r>
        <w:rPr>
          <w:snapToGrid w:val="0"/>
          <w:kern w:val="22"/>
          <w:szCs w:val="22"/>
          <w:lang w:val="fr-CA"/>
        </w:rPr>
        <w:t>utilisation des ressources, voire même les Constitutions nationales, comme principaux moyens pour réaliser une intégration efficace de la biodiversité. Parmi les pays qui ont fait été d</w:t>
      </w:r>
      <w:r w:rsidR="00466152">
        <w:rPr>
          <w:snapToGrid w:val="0"/>
          <w:kern w:val="22"/>
          <w:szCs w:val="22"/>
          <w:lang w:val="fr-CA"/>
        </w:rPr>
        <w:t>’</w:t>
      </w:r>
      <w:r>
        <w:rPr>
          <w:snapToGrid w:val="0"/>
          <w:kern w:val="22"/>
          <w:szCs w:val="22"/>
          <w:lang w:val="fr-CA"/>
        </w:rPr>
        <w:t>une intégration complète :</w:t>
      </w:r>
    </w:p>
    <w:p w:rsidR="00855A78" w:rsidRPr="001C5D72" w:rsidRDefault="002E7A5B" w:rsidP="00F266DF">
      <w:pPr>
        <w:numPr>
          <w:ilvl w:val="1"/>
          <w:numId w:val="58"/>
        </w:numPr>
        <w:suppressLineNumbers/>
        <w:suppressAutoHyphens/>
        <w:kinsoku w:val="0"/>
        <w:overflowPunct w:val="0"/>
        <w:autoSpaceDE w:val="0"/>
        <w:autoSpaceDN w:val="0"/>
        <w:adjustRightInd w:val="0"/>
        <w:snapToGrid w:val="0"/>
        <w:spacing w:after="120"/>
        <w:ind w:left="0" w:firstLine="720"/>
        <w:rPr>
          <w:snapToGrid w:val="0"/>
          <w:kern w:val="22"/>
          <w:szCs w:val="22"/>
          <w:lang w:val="fr-CA"/>
        </w:rPr>
      </w:pPr>
      <w:r>
        <w:rPr>
          <w:snapToGrid w:val="0"/>
          <w:kern w:val="22"/>
          <w:szCs w:val="22"/>
          <w:lang w:val="fr-CA"/>
        </w:rPr>
        <w:t>L</w:t>
      </w:r>
      <w:r w:rsidR="00466152">
        <w:rPr>
          <w:snapToGrid w:val="0"/>
          <w:kern w:val="22"/>
          <w:szCs w:val="22"/>
          <w:lang w:val="fr-CA"/>
        </w:rPr>
        <w:t>’</w:t>
      </w:r>
      <w:r>
        <w:rPr>
          <w:snapToGrid w:val="0"/>
          <w:kern w:val="22"/>
          <w:szCs w:val="22"/>
          <w:lang w:val="fr-CA"/>
        </w:rPr>
        <w:t>Allemagne a cité à la fois le plan national de développement et un vaste éventail de pla</w:t>
      </w:r>
      <w:r w:rsidR="00F266DF">
        <w:rPr>
          <w:snapToGrid w:val="0"/>
          <w:kern w:val="22"/>
          <w:szCs w:val="22"/>
          <w:lang w:val="fr-CA"/>
        </w:rPr>
        <w:t>ns sectoriels à divers niveaux;</w:t>
      </w:r>
    </w:p>
    <w:p w:rsidR="00855A78" w:rsidRPr="001C5D72" w:rsidRDefault="002E7A5B" w:rsidP="00F266DF">
      <w:pPr>
        <w:numPr>
          <w:ilvl w:val="1"/>
          <w:numId w:val="58"/>
        </w:numPr>
        <w:suppressLineNumbers/>
        <w:suppressAutoHyphens/>
        <w:kinsoku w:val="0"/>
        <w:overflowPunct w:val="0"/>
        <w:autoSpaceDE w:val="0"/>
        <w:autoSpaceDN w:val="0"/>
        <w:adjustRightInd w:val="0"/>
        <w:snapToGrid w:val="0"/>
        <w:spacing w:after="120"/>
        <w:ind w:left="0" w:firstLine="720"/>
        <w:rPr>
          <w:snapToGrid w:val="0"/>
          <w:kern w:val="22"/>
          <w:szCs w:val="22"/>
          <w:lang w:val="fr-CA"/>
        </w:rPr>
      </w:pPr>
      <w:r>
        <w:rPr>
          <w:snapToGrid w:val="0"/>
          <w:kern w:val="22"/>
          <w:szCs w:val="22"/>
          <w:lang w:val="fr-CA"/>
        </w:rPr>
        <w:t>La Pologne a expliqué que la biodiversité fait partie intégrante de la « Stratégie sur la sécurité énergétique et l</w:t>
      </w:r>
      <w:r w:rsidR="00466152">
        <w:rPr>
          <w:snapToGrid w:val="0"/>
          <w:kern w:val="22"/>
          <w:szCs w:val="22"/>
          <w:lang w:val="fr-CA"/>
        </w:rPr>
        <w:t>’</w:t>
      </w:r>
      <w:r>
        <w:rPr>
          <w:snapToGrid w:val="0"/>
          <w:kern w:val="22"/>
          <w:szCs w:val="22"/>
          <w:lang w:val="fr-CA"/>
        </w:rPr>
        <w:t>environnement », approuvée en 2014, qui est l</w:t>
      </w:r>
      <w:r w:rsidR="00466152">
        <w:rPr>
          <w:snapToGrid w:val="0"/>
          <w:kern w:val="22"/>
          <w:szCs w:val="22"/>
          <w:lang w:val="fr-CA"/>
        </w:rPr>
        <w:t>’</w:t>
      </w:r>
      <w:r>
        <w:rPr>
          <w:snapToGrid w:val="0"/>
          <w:kern w:val="22"/>
          <w:szCs w:val="22"/>
          <w:lang w:val="fr-CA"/>
        </w:rPr>
        <w:t>une de neuf stratégies en Pologne</w:t>
      </w:r>
      <w:r w:rsidR="00F266DF">
        <w:rPr>
          <w:snapToGrid w:val="0"/>
          <w:kern w:val="22"/>
          <w:szCs w:val="22"/>
          <w:lang w:val="fr-CA"/>
        </w:rPr>
        <w:t>;</w:t>
      </w:r>
    </w:p>
    <w:p w:rsidR="00855A78" w:rsidRPr="001C5D72" w:rsidRDefault="002E7A5B" w:rsidP="00243B81">
      <w:pPr>
        <w:numPr>
          <w:ilvl w:val="1"/>
          <w:numId w:val="58"/>
        </w:numPr>
        <w:suppressLineNumbers/>
        <w:suppressAutoHyphens/>
        <w:kinsoku w:val="0"/>
        <w:overflowPunct w:val="0"/>
        <w:autoSpaceDE w:val="0"/>
        <w:autoSpaceDN w:val="0"/>
        <w:adjustRightInd w:val="0"/>
        <w:snapToGrid w:val="0"/>
        <w:spacing w:after="120"/>
        <w:ind w:left="0" w:firstLine="720"/>
        <w:rPr>
          <w:snapToGrid w:val="0"/>
          <w:kern w:val="22"/>
          <w:szCs w:val="22"/>
          <w:lang w:val="fr-CA"/>
        </w:rPr>
      </w:pPr>
      <w:r>
        <w:rPr>
          <w:snapToGrid w:val="0"/>
          <w:kern w:val="22"/>
          <w:szCs w:val="22"/>
          <w:lang w:val="fr-CA"/>
        </w:rPr>
        <w:t>L</w:t>
      </w:r>
      <w:r w:rsidR="00466152">
        <w:rPr>
          <w:snapToGrid w:val="0"/>
          <w:kern w:val="22"/>
          <w:szCs w:val="22"/>
          <w:lang w:val="fr-CA"/>
        </w:rPr>
        <w:t>’</w:t>
      </w:r>
      <w:r>
        <w:rPr>
          <w:snapToGrid w:val="0"/>
          <w:kern w:val="22"/>
          <w:szCs w:val="22"/>
          <w:lang w:val="fr-CA"/>
        </w:rPr>
        <w:t>Ouganda a noté que ses Stratégie et plan d</w:t>
      </w:r>
      <w:r w:rsidR="00466152">
        <w:rPr>
          <w:snapToGrid w:val="0"/>
          <w:kern w:val="22"/>
          <w:szCs w:val="22"/>
          <w:lang w:val="fr-CA"/>
        </w:rPr>
        <w:t>’</w:t>
      </w:r>
      <w:r>
        <w:rPr>
          <w:snapToGrid w:val="0"/>
          <w:kern w:val="22"/>
          <w:szCs w:val="22"/>
          <w:lang w:val="fr-CA"/>
        </w:rPr>
        <w:t>action nationaux pour la biodiversité 2015</w:t>
      </w:r>
      <w:r w:rsidR="00466152">
        <w:rPr>
          <w:snapToGrid w:val="0"/>
          <w:kern w:val="22"/>
          <w:szCs w:val="22"/>
          <w:lang w:val="fr-CA"/>
        </w:rPr>
        <w:noBreakHyphen/>
      </w:r>
      <w:r>
        <w:rPr>
          <w:snapToGrid w:val="0"/>
          <w:kern w:val="22"/>
          <w:szCs w:val="22"/>
          <w:lang w:val="fr-CA"/>
        </w:rPr>
        <w:t>2025 ont été intégrés dans son Plan national de développement. Le plan est contient sept objectifs relatifs à l</w:t>
      </w:r>
      <w:r w:rsidR="00466152">
        <w:rPr>
          <w:snapToGrid w:val="0"/>
          <w:kern w:val="22"/>
          <w:szCs w:val="22"/>
          <w:lang w:val="fr-CA"/>
        </w:rPr>
        <w:t>’</w:t>
      </w:r>
      <w:r>
        <w:rPr>
          <w:snapToGrid w:val="0"/>
          <w:kern w:val="22"/>
          <w:szCs w:val="22"/>
          <w:lang w:val="fr-CA"/>
        </w:rPr>
        <w:t>environnement et aux ressources naturelles, et l</w:t>
      </w:r>
      <w:r w:rsidR="00466152">
        <w:rPr>
          <w:snapToGrid w:val="0"/>
          <w:kern w:val="22"/>
          <w:szCs w:val="22"/>
          <w:lang w:val="fr-CA"/>
        </w:rPr>
        <w:t>’</w:t>
      </w:r>
      <w:r>
        <w:rPr>
          <w:snapToGrid w:val="0"/>
          <w:kern w:val="22"/>
          <w:szCs w:val="22"/>
          <w:lang w:val="fr-CA"/>
        </w:rPr>
        <w:t>objectif 2 est doté d</w:t>
      </w:r>
      <w:r w:rsidR="00466152">
        <w:rPr>
          <w:snapToGrid w:val="0"/>
          <w:kern w:val="22"/>
          <w:szCs w:val="22"/>
          <w:lang w:val="fr-CA"/>
        </w:rPr>
        <w:t>’</w:t>
      </w:r>
      <w:r>
        <w:rPr>
          <w:snapToGrid w:val="0"/>
          <w:kern w:val="22"/>
          <w:szCs w:val="22"/>
          <w:lang w:val="fr-CA"/>
        </w:rPr>
        <w:t>une disposition spécifique sur la mise en œuvre d</w:t>
      </w:r>
      <w:r w:rsidR="00466152">
        <w:rPr>
          <w:snapToGrid w:val="0"/>
          <w:kern w:val="22"/>
          <w:szCs w:val="22"/>
          <w:lang w:val="fr-CA"/>
        </w:rPr>
        <w:t>’</w:t>
      </w:r>
      <w:r>
        <w:rPr>
          <w:snapToGrid w:val="0"/>
          <w:kern w:val="22"/>
          <w:szCs w:val="22"/>
          <w:lang w:val="fr-CA"/>
        </w:rPr>
        <w:t>objectifs nationaux relatifs à la biodiversité (qui fi</w:t>
      </w:r>
      <w:r w:rsidR="00243B81">
        <w:rPr>
          <w:snapToGrid w:val="0"/>
          <w:kern w:val="22"/>
          <w:szCs w:val="22"/>
          <w:lang w:val="fr-CA"/>
        </w:rPr>
        <w:t>gurent dans le SPANB révisé).</w:t>
      </w:r>
    </w:p>
    <w:p w:rsidR="00855A78" w:rsidRPr="001C5D72" w:rsidRDefault="004C6B94" w:rsidP="00243B81">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fr-CA"/>
        </w:rPr>
      </w:pPr>
      <w:r>
        <w:rPr>
          <w:snapToGrid w:val="0"/>
          <w:kern w:val="22"/>
          <w:szCs w:val="22"/>
          <w:lang w:val="fr-CA"/>
        </w:rPr>
        <w:t>Dans le SPANB révisé, 31 Parties au total déclarent que la biodiversité a été intégrée dans leurs plans nationaux de développement ou instrument équivalent, tandis que 20 Parties mentionnent l</w:t>
      </w:r>
      <w:r w:rsidR="00466152">
        <w:rPr>
          <w:snapToGrid w:val="0"/>
          <w:kern w:val="22"/>
          <w:szCs w:val="22"/>
          <w:lang w:val="fr-CA"/>
        </w:rPr>
        <w:t>’</w:t>
      </w:r>
      <w:r>
        <w:rPr>
          <w:snapToGrid w:val="0"/>
          <w:kern w:val="22"/>
          <w:szCs w:val="22"/>
          <w:lang w:val="fr-CA"/>
        </w:rPr>
        <w:t>intégration dans leurs plans de développement durable ou instruments équivalents, et 43 Parties font référence aux liens avec l</w:t>
      </w:r>
      <w:r w:rsidR="00466152">
        <w:rPr>
          <w:snapToGrid w:val="0"/>
          <w:kern w:val="22"/>
          <w:szCs w:val="22"/>
          <w:lang w:val="fr-CA"/>
        </w:rPr>
        <w:t>’</w:t>
      </w:r>
      <w:r>
        <w:rPr>
          <w:snapToGrid w:val="0"/>
          <w:kern w:val="22"/>
          <w:szCs w:val="22"/>
          <w:lang w:val="fr-CA"/>
        </w:rPr>
        <w:t>éradication de la pauvreté et/ou à l</w:t>
      </w:r>
      <w:r w:rsidR="00466152">
        <w:rPr>
          <w:snapToGrid w:val="0"/>
          <w:kern w:val="22"/>
          <w:szCs w:val="22"/>
          <w:lang w:val="fr-CA"/>
        </w:rPr>
        <w:t>’</w:t>
      </w:r>
      <w:r>
        <w:rPr>
          <w:snapToGrid w:val="0"/>
          <w:kern w:val="22"/>
          <w:szCs w:val="22"/>
          <w:lang w:val="fr-CA"/>
        </w:rPr>
        <w:t>intégration de cet objectif à leurs principes, objectifs et/ou actions.</w:t>
      </w:r>
      <w:r w:rsidRPr="002540FA">
        <w:rPr>
          <w:rStyle w:val="FootnoteReference"/>
          <w:snapToGrid w:val="0"/>
          <w:kern w:val="22"/>
          <w:szCs w:val="22"/>
          <w:lang w:val="fr-CA"/>
        </w:rPr>
        <w:footnoteReference w:id="11"/>
      </w:r>
    </w:p>
    <w:p w:rsidR="00855A78" w:rsidRPr="001C5D72" w:rsidRDefault="004C6B94" w:rsidP="00243B81">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fr-CA"/>
        </w:rPr>
      </w:pPr>
      <w:r>
        <w:rPr>
          <w:snapToGrid w:val="0"/>
          <w:kern w:val="22"/>
          <w:szCs w:val="22"/>
          <w:lang w:val="fr-CA"/>
        </w:rPr>
        <w:t xml:space="preserve">Au total, 70 Parties ont répondu à la </w:t>
      </w:r>
      <w:r w:rsidRPr="00185D23">
        <w:rPr>
          <w:snapToGrid w:val="0"/>
          <w:kern w:val="22"/>
          <w:szCs w:val="22"/>
          <w:lang w:val="fr-CA"/>
        </w:rPr>
        <w:t>question demandant si elles avaient examiné et/ou évalué</w:t>
      </w:r>
      <w:r w:rsidRPr="00615AFB">
        <w:rPr>
          <w:bCs/>
          <w:kern w:val="20"/>
          <w:lang w:val="fr-FR"/>
        </w:rPr>
        <w:t xml:space="preserve"> </w:t>
      </w:r>
      <w:r w:rsidRPr="00065E8C">
        <w:rPr>
          <w:bCs/>
          <w:kern w:val="20"/>
          <w:lang w:val="fr-FR"/>
        </w:rPr>
        <w:t xml:space="preserve">les valeurs </w:t>
      </w:r>
      <w:r w:rsidRPr="00065E8C">
        <w:rPr>
          <w:bCs/>
          <w:iCs/>
          <w:kern w:val="20"/>
          <w:lang w:val="fr-CA"/>
        </w:rPr>
        <w:t xml:space="preserve">intrinsèques, écologiques, </w:t>
      </w:r>
      <w:r w:rsidRPr="00065E8C">
        <w:rPr>
          <w:bCs/>
          <w:iCs/>
          <w:noProof/>
          <w:kern w:val="20"/>
          <w:lang w:val="fr-CA"/>
        </w:rPr>
        <w:t>génétiques, socioéconomiques, scientifiques, pédagogiques, culturelles, récréatives et esthétiques de la diversité biologique et de ses composantes</w:t>
      </w:r>
      <w:r>
        <w:rPr>
          <w:bCs/>
          <w:iCs/>
          <w:noProof/>
          <w:kern w:val="20"/>
          <w:lang w:val="fr-CA"/>
        </w:rPr>
        <w:t>.</w:t>
      </w:r>
      <w:r w:rsidRPr="00185D23">
        <w:rPr>
          <w:noProof/>
          <w:snapToGrid w:val="0"/>
          <w:kern w:val="22"/>
          <w:szCs w:val="22"/>
          <w:lang w:val="fr-CA"/>
        </w:rPr>
        <w:t xml:space="preserve"> </w:t>
      </w:r>
      <w:r w:rsidRPr="00185D23">
        <w:rPr>
          <w:noProof/>
          <w:lang w:val="fr-CA"/>
        </w:rPr>
        <w:t>Bien que quatre Parties seulement (Finlande, Japon, Norvège, Pays</w:t>
      </w:r>
      <w:r w:rsidR="00466152">
        <w:rPr>
          <w:noProof/>
          <w:lang w:val="fr-CA"/>
        </w:rPr>
        <w:noBreakHyphen/>
      </w:r>
      <w:r w:rsidRPr="00185D23">
        <w:rPr>
          <w:noProof/>
          <w:lang w:val="fr-CA"/>
        </w:rPr>
        <w:t>Bas), soit 6 pour cent, aient indiqué que des évaluations exhaustives avaient été entreprises, 81 </w:t>
      </w:r>
      <w:r>
        <w:rPr>
          <w:noProof/>
          <w:lang w:val="fr-CA"/>
        </w:rPr>
        <w:t>pour cent des pays déclarants, ou 29 pour cent de toutes les Parties, ont déclaré avoir entrepris au minimum quelques évaluations. Par rapport à l</w:t>
      </w:r>
      <w:r w:rsidR="00466152">
        <w:rPr>
          <w:noProof/>
          <w:lang w:val="fr-CA"/>
        </w:rPr>
        <w:t>’</w:t>
      </w:r>
      <w:r>
        <w:rPr>
          <w:noProof/>
          <w:lang w:val="fr-CA"/>
        </w:rPr>
        <w:t>objectif de 30 pour cent, ces chiffres semblent indiquer des progrès plutôt satisfaisants au regard de l</w:t>
      </w:r>
      <w:r w:rsidR="00466152">
        <w:rPr>
          <w:noProof/>
          <w:lang w:val="fr-CA"/>
        </w:rPr>
        <w:t>’</w:t>
      </w:r>
      <w:r>
        <w:rPr>
          <w:noProof/>
          <w:lang w:val="fr-CA"/>
        </w:rPr>
        <w:t>élément pertinent de l</w:t>
      </w:r>
      <w:r w:rsidR="00466152">
        <w:rPr>
          <w:noProof/>
          <w:lang w:val="fr-CA"/>
        </w:rPr>
        <w:t>’</w:t>
      </w:r>
      <w:r>
        <w:rPr>
          <w:noProof/>
          <w:lang w:val="fr-CA"/>
        </w:rPr>
        <w:t>objectif 1 d) de la décision XII/3. Les quatre pays ayant indiqué des évaluations exhaustives ont fait référence à de vastes exercices d</w:t>
      </w:r>
      <w:r w:rsidR="00466152">
        <w:rPr>
          <w:noProof/>
          <w:lang w:val="fr-CA"/>
        </w:rPr>
        <w:t>’</w:t>
      </w:r>
      <w:r>
        <w:rPr>
          <w:noProof/>
          <w:lang w:val="fr-CA"/>
        </w:rPr>
        <w:t>évaluation, achevés ou en cours, tels que d</w:t>
      </w:r>
      <w:r w:rsidRPr="00615AFB">
        <w:rPr>
          <w:noProof/>
          <w:lang w:val="fr-CA"/>
        </w:rPr>
        <w:t>es études TEEB (</w:t>
      </w:r>
      <w:r w:rsidRPr="00615AFB">
        <w:rPr>
          <w:rStyle w:val="preferred"/>
          <w:noProof/>
          <w:lang w:val="fr-CA"/>
        </w:rPr>
        <w:t>Économie des écosystèmes et de la biodiversité)</w:t>
      </w:r>
      <w:r>
        <w:rPr>
          <w:rStyle w:val="preferred"/>
          <w:noProof/>
          <w:lang w:val="fr-CA"/>
        </w:rPr>
        <w:t xml:space="preserve"> nationales, des évaluations d</w:t>
      </w:r>
      <w:r w:rsidR="00466152">
        <w:rPr>
          <w:rStyle w:val="preferred"/>
          <w:noProof/>
          <w:lang w:val="fr-CA"/>
        </w:rPr>
        <w:t>’</w:t>
      </w:r>
      <w:r>
        <w:rPr>
          <w:rStyle w:val="preferred"/>
          <w:noProof/>
          <w:lang w:val="fr-CA"/>
        </w:rPr>
        <w:t>écosystèmes ou autres initiatives semblables. D</w:t>
      </w:r>
      <w:r w:rsidR="00466152">
        <w:rPr>
          <w:rStyle w:val="preferred"/>
          <w:noProof/>
          <w:lang w:val="fr-CA"/>
        </w:rPr>
        <w:t>’</w:t>
      </w:r>
      <w:r>
        <w:rPr>
          <w:rStyle w:val="preferred"/>
          <w:noProof/>
          <w:lang w:val="fr-CA"/>
        </w:rPr>
        <w:t>autres pays mentionnent autant de vastes études que des évaluations à des échelles plus restreintes. Par exemple, la Tchéquie a indiqué qu</w:t>
      </w:r>
      <w:r w:rsidR="00466152">
        <w:rPr>
          <w:rStyle w:val="preferred"/>
          <w:noProof/>
          <w:lang w:val="fr-CA"/>
        </w:rPr>
        <w:t>’</w:t>
      </w:r>
      <w:r>
        <w:rPr>
          <w:rStyle w:val="preferred"/>
          <w:noProof/>
          <w:lang w:val="fr-CA"/>
        </w:rPr>
        <w:t>elle avait entrepris une étude complexe des services écosystémiques, qui a montré q</w:t>
      </w:r>
      <w:proofErr w:type="spellStart"/>
      <w:r>
        <w:rPr>
          <w:rStyle w:val="preferred"/>
          <w:lang w:val="fr-CA"/>
        </w:rPr>
        <w:t>ue</w:t>
      </w:r>
      <w:proofErr w:type="spellEnd"/>
      <w:r>
        <w:rPr>
          <w:rStyle w:val="preferred"/>
          <w:lang w:val="fr-CA"/>
        </w:rPr>
        <w:t xml:space="preserve"> la valeur moyenne de ces services était 1,5 fois plus élevée que le PNB actuel.</w:t>
      </w:r>
    </w:p>
    <w:p w:rsidR="00855A78" w:rsidRPr="001C5D72" w:rsidRDefault="004C6B94" w:rsidP="00243B81">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fr-CA"/>
        </w:rPr>
      </w:pPr>
      <w:r>
        <w:rPr>
          <w:snapToGrid w:val="0"/>
          <w:kern w:val="22"/>
          <w:szCs w:val="22"/>
          <w:lang w:val="fr-CA"/>
        </w:rPr>
        <w:t xml:space="preserve">Au total, </w:t>
      </w:r>
      <w:r w:rsidRPr="00665C19">
        <w:rPr>
          <w:lang w:val="fr-FR"/>
        </w:rPr>
        <w:t>43 </w:t>
      </w:r>
      <w:r w:rsidRPr="00B257FA">
        <w:rPr>
          <w:lang w:val="fr-CA"/>
        </w:rPr>
        <w:t>Parties</w:t>
      </w:r>
      <w:r>
        <w:rPr>
          <w:lang w:val="fr-CA"/>
        </w:rPr>
        <w:t xml:space="preserve"> ont indiqué dans leur SPANB révisés qu</w:t>
      </w:r>
      <w:r w:rsidR="00466152">
        <w:rPr>
          <w:lang w:val="fr-CA"/>
        </w:rPr>
        <w:t>’</w:t>
      </w:r>
      <w:r>
        <w:rPr>
          <w:lang w:val="fr-CA"/>
        </w:rPr>
        <w:t>elles avaient déjà mené à bien des études d</w:t>
      </w:r>
      <w:r w:rsidR="00466152">
        <w:rPr>
          <w:lang w:val="fr-CA"/>
        </w:rPr>
        <w:t>’</w:t>
      </w:r>
      <w:r>
        <w:rPr>
          <w:lang w:val="fr-CA"/>
        </w:rPr>
        <w:t>évaluation de la biodiversité dans certaines régions ou dans tout le pays. Parmi les 153 pays qui ont transmis leur SPANB, 37 pays ont fixé des objectifs nationaux en matière d</w:t>
      </w:r>
      <w:r w:rsidR="00466152">
        <w:rPr>
          <w:lang w:val="fr-CA"/>
        </w:rPr>
        <w:t>’</w:t>
      </w:r>
      <w:r>
        <w:rPr>
          <w:lang w:val="fr-CA"/>
        </w:rPr>
        <w:t>évaluation et 50 déclarent leur intention de mener à bien des études d</w:t>
      </w:r>
      <w:r w:rsidR="00466152">
        <w:rPr>
          <w:lang w:val="fr-CA"/>
        </w:rPr>
        <w:t>’</w:t>
      </w:r>
      <w:r>
        <w:rPr>
          <w:lang w:val="fr-CA"/>
        </w:rPr>
        <w:t>évaluation dans le futur.</w:t>
      </w:r>
      <w:r w:rsidRPr="00B257FA">
        <w:rPr>
          <w:rStyle w:val="FootnoteReference"/>
          <w:snapToGrid w:val="0"/>
          <w:kern w:val="22"/>
          <w:szCs w:val="22"/>
          <w:lang w:val="fr-CA"/>
        </w:rPr>
        <w:footnoteReference w:id="12"/>
      </w:r>
    </w:p>
    <w:p w:rsidR="00855A78" w:rsidRPr="001C5D72" w:rsidRDefault="00855A78" w:rsidP="00703994">
      <w:pPr>
        <w:pStyle w:val="Heading1"/>
        <w:suppressLineNumbers/>
        <w:tabs>
          <w:tab w:val="clear" w:pos="720"/>
          <w:tab w:val="left" w:pos="360"/>
        </w:tabs>
        <w:suppressAutoHyphens/>
        <w:kinsoku w:val="0"/>
        <w:overflowPunct w:val="0"/>
        <w:autoSpaceDE w:val="0"/>
        <w:autoSpaceDN w:val="0"/>
        <w:adjustRightInd w:val="0"/>
        <w:snapToGrid w:val="0"/>
        <w:spacing w:before="120"/>
        <w:ind w:left="360"/>
        <w:rPr>
          <w:snapToGrid w:val="0"/>
          <w:kern w:val="22"/>
          <w:szCs w:val="22"/>
          <w:lang w:val="fr-CA"/>
        </w:rPr>
      </w:pPr>
      <w:r w:rsidRPr="001C5D72">
        <w:rPr>
          <w:snapToGrid w:val="0"/>
          <w:kern w:val="22"/>
          <w:szCs w:val="22"/>
          <w:lang w:val="fr-CA"/>
        </w:rPr>
        <w:t xml:space="preserve">IV. </w:t>
      </w:r>
      <w:r w:rsidR="006E604B" w:rsidRPr="001C5D72">
        <w:rPr>
          <w:snapToGrid w:val="0"/>
          <w:kern w:val="22"/>
          <w:szCs w:val="22"/>
          <w:lang w:val="fr-CA"/>
        </w:rPr>
        <w:tab/>
      </w:r>
      <w:r w:rsidR="004C6B94">
        <w:rPr>
          <w:snapToGrid w:val="0"/>
          <w:kern w:val="22"/>
          <w:szCs w:val="22"/>
          <w:lang w:val="fr-CA"/>
        </w:rPr>
        <w:t>Rapport sur les dépenses nationales actuelles en matière de biodiversité</w:t>
      </w:r>
    </w:p>
    <w:p w:rsidR="00855A78" w:rsidRPr="001C5D72" w:rsidRDefault="004C6B94" w:rsidP="00703994">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fr-CA"/>
        </w:rPr>
      </w:pPr>
      <w:r>
        <w:rPr>
          <w:snapToGrid w:val="0"/>
          <w:kern w:val="22"/>
          <w:szCs w:val="22"/>
          <w:lang w:val="fr-CA"/>
        </w:rPr>
        <w:t>Parmi les 76 Parties déclarantes, 71, soit presque 94 pour cent, ont fait état de leur soutien financier annuel fourni aux activités nationales liées à la biodiversité. Bien que ces données puissent sembler satisfaisantes, cela ne représente en fait que 36 pour cent du nombre total de Parties. Aussi, au sens strict/ si l</w:t>
      </w:r>
      <w:r w:rsidR="00466152">
        <w:rPr>
          <w:snapToGrid w:val="0"/>
          <w:kern w:val="22"/>
          <w:szCs w:val="22"/>
          <w:lang w:val="fr-CA"/>
        </w:rPr>
        <w:t>’</w:t>
      </w:r>
      <w:r>
        <w:rPr>
          <w:snapToGrid w:val="0"/>
          <w:kern w:val="22"/>
          <w:szCs w:val="22"/>
          <w:lang w:val="fr-CA"/>
        </w:rPr>
        <w:t>on s</w:t>
      </w:r>
      <w:r w:rsidR="00466152">
        <w:rPr>
          <w:snapToGrid w:val="0"/>
          <w:kern w:val="22"/>
          <w:szCs w:val="22"/>
          <w:lang w:val="fr-CA"/>
        </w:rPr>
        <w:t>’</w:t>
      </w:r>
      <w:r>
        <w:rPr>
          <w:snapToGrid w:val="0"/>
          <w:kern w:val="22"/>
          <w:szCs w:val="22"/>
          <w:lang w:val="fr-CA"/>
        </w:rPr>
        <w:t>en tient à une interprétation stricte, cet élément de l</w:t>
      </w:r>
      <w:r w:rsidR="00466152">
        <w:rPr>
          <w:snapToGrid w:val="0"/>
          <w:kern w:val="22"/>
          <w:szCs w:val="22"/>
          <w:lang w:val="fr-CA"/>
        </w:rPr>
        <w:t>’</w:t>
      </w:r>
      <w:r>
        <w:rPr>
          <w:snapToGrid w:val="0"/>
          <w:kern w:val="22"/>
          <w:szCs w:val="22"/>
          <w:lang w:val="fr-CA"/>
        </w:rPr>
        <w:t>objectif 1 c) de la décision XII/3 n</w:t>
      </w:r>
      <w:r w:rsidR="00466152">
        <w:rPr>
          <w:snapToGrid w:val="0"/>
          <w:kern w:val="22"/>
          <w:szCs w:val="22"/>
          <w:lang w:val="fr-CA"/>
        </w:rPr>
        <w:t>’</w:t>
      </w:r>
      <w:r w:rsidR="00703994">
        <w:rPr>
          <w:snapToGrid w:val="0"/>
          <w:kern w:val="22"/>
          <w:szCs w:val="22"/>
          <w:lang w:val="fr-CA"/>
        </w:rPr>
        <w:t>a pas été réalisé.</w:t>
      </w:r>
    </w:p>
    <w:p w:rsidR="00855A78" w:rsidRPr="00665C19" w:rsidRDefault="004C6B94" w:rsidP="00703994">
      <w:pPr>
        <w:numPr>
          <w:ilvl w:val="0"/>
          <w:numId w:val="52"/>
        </w:numPr>
        <w:suppressLineNumbers/>
        <w:suppressAutoHyphens/>
        <w:kinsoku w:val="0"/>
        <w:overflowPunct w:val="0"/>
        <w:autoSpaceDE w:val="0"/>
        <w:autoSpaceDN w:val="0"/>
        <w:adjustRightInd w:val="0"/>
        <w:snapToGrid w:val="0"/>
        <w:spacing w:after="240"/>
        <w:ind w:left="0" w:firstLine="0"/>
        <w:rPr>
          <w:snapToGrid w:val="0"/>
          <w:kern w:val="22"/>
          <w:szCs w:val="22"/>
          <w:lang w:val="fr-FR"/>
        </w:rPr>
      </w:pPr>
      <w:r>
        <w:rPr>
          <w:snapToGrid w:val="0"/>
          <w:kern w:val="22"/>
          <w:szCs w:val="22"/>
          <w:lang w:val="fr-CA"/>
        </w:rPr>
        <w:t xml:space="preserve">Le tableau 4 présente un aperçu des sources et catégories incluses dans les chiffres fournis, reflétant diverses approches méthodologiques. Un nombre moins élevé de pays couvrent les échelons </w:t>
      </w:r>
      <w:r>
        <w:rPr>
          <w:snapToGrid w:val="0"/>
          <w:kern w:val="22"/>
          <w:szCs w:val="22"/>
          <w:lang w:val="fr-CA"/>
        </w:rPr>
        <w:lastRenderedPageBreak/>
        <w:t>inférieurs de gouvernement, les sources non gouvernementales ou les dépenses indirectement liées à la biodiversité. Par ailleurs, les pays ont présenté des données concernant différentes années. Si les données ne permettent pas de faire des comparaisons entre les pays ou d</w:t>
      </w:r>
      <w:r w:rsidR="00466152">
        <w:rPr>
          <w:snapToGrid w:val="0"/>
          <w:kern w:val="22"/>
          <w:szCs w:val="22"/>
          <w:lang w:val="fr-CA"/>
        </w:rPr>
        <w:t>’</w:t>
      </w:r>
      <w:r>
        <w:rPr>
          <w:snapToGrid w:val="0"/>
          <w:kern w:val="22"/>
          <w:szCs w:val="22"/>
          <w:lang w:val="fr-CA"/>
        </w:rPr>
        <w:t>extraire un chiffre global significatif de dépenses nationales en matière de biodiversité, elles permettent parfois de réaliser une analyse des tendances de la manière dont les dépenses relatives à la biodiversité évoluent dans le temps, bien que non dans tous les cas (par exemple, à cause de modifications méthodologiques, comme dans le cas de l</w:t>
      </w:r>
      <w:r w:rsidR="00466152">
        <w:rPr>
          <w:snapToGrid w:val="0"/>
          <w:kern w:val="22"/>
          <w:szCs w:val="22"/>
          <w:lang w:val="fr-CA"/>
        </w:rPr>
        <w:t>’</w:t>
      </w:r>
      <w:r>
        <w:rPr>
          <w:snapToGrid w:val="0"/>
          <w:kern w:val="22"/>
          <w:szCs w:val="22"/>
          <w:lang w:val="fr-CA"/>
        </w:rPr>
        <w:t>Estonie ou du Japon, ou parce que les pays font rapport sur un an ou ne donnent que des moyennes). Le tableau 4 ci</w:t>
      </w:r>
      <w:r w:rsidR="00466152">
        <w:rPr>
          <w:snapToGrid w:val="0"/>
          <w:kern w:val="22"/>
          <w:szCs w:val="22"/>
          <w:lang w:val="fr-CA"/>
        </w:rPr>
        <w:noBreakHyphen/>
      </w:r>
      <w:r>
        <w:rPr>
          <w:snapToGrid w:val="0"/>
          <w:kern w:val="22"/>
          <w:szCs w:val="22"/>
          <w:lang w:val="fr-CA"/>
        </w:rPr>
        <w:t>après résume cette analyse, entreprise dans la mesure du possible, indiquant des tendances à la hausse, ou du moins neutres, dans la plupart des pa</w:t>
      </w:r>
      <w:r w:rsidR="00703994">
        <w:rPr>
          <w:snapToGrid w:val="0"/>
          <w:kern w:val="22"/>
          <w:szCs w:val="22"/>
          <w:lang w:val="fr-CA"/>
        </w:rPr>
        <w:t>ys.</w:t>
      </w:r>
    </w:p>
    <w:p w:rsidR="00B34BC8" w:rsidRPr="00665C19" w:rsidRDefault="004C6B94" w:rsidP="00490BF5">
      <w:pPr>
        <w:keepNext/>
        <w:suppressLineNumbers/>
        <w:suppressAutoHyphens/>
        <w:kinsoku w:val="0"/>
        <w:overflowPunct w:val="0"/>
        <w:autoSpaceDE w:val="0"/>
        <w:autoSpaceDN w:val="0"/>
        <w:adjustRightInd w:val="0"/>
        <w:snapToGrid w:val="0"/>
        <w:spacing w:after="120"/>
        <w:ind w:left="360"/>
        <w:jc w:val="left"/>
        <w:rPr>
          <w:snapToGrid w:val="0"/>
          <w:kern w:val="22"/>
          <w:szCs w:val="22"/>
          <w:lang w:val="fr-FR"/>
        </w:rPr>
      </w:pPr>
      <w:r w:rsidRPr="002540FA">
        <w:rPr>
          <w:b/>
          <w:snapToGrid w:val="0"/>
          <w:kern w:val="22"/>
          <w:szCs w:val="22"/>
          <w:lang w:val="fr-CA"/>
        </w:rPr>
        <w:t>Table</w:t>
      </w:r>
      <w:r>
        <w:rPr>
          <w:b/>
          <w:snapToGrid w:val="0"/>
          <w:kern w:val="22"/>
          <w:szCs w:val="22"/>
          <w:lang w:val="fr-CA"/>
        </w:rPr>
        <w:t>au </w:t>
      </w:r>
      <w:r w:rsidRPr="002540FA">
        <w:rPr>
          <w:b/>
          <w:snapToGrid w:val="0"/>
          <w:kern w:val="22"/>
          <w:szCs w:val="22"/>
          <w:lang w:val="fr-CA"/>
        </w:rPr>
        <w:t>4.</w:t>
      </w:r>
      <w:r>
        <w:rPr>
          <w:b/>
          <w:snapToGrid w:val="0"/>
          <w:kern w:val="22"/>
          <w:szCs w:val="22"/>
          <w:lang w:val="fr-CA"/>
        </w:rPr>
        <w:t xml:space="preserve"> Sources et catégories de dépenses nationales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6"/>
        <w:gridCol w:w="2020"/>
        <w:gridCol w:w="2020"/>
      </w:tblGrid>
      <w:tr w:rsidR="00855A78" w:rsidRPr="00490BF5" w:rsidTr="000B2CC8">
        <w:tc>
          <w:tcPr>
            <w:tcW w:w="5455" w:type="dxa"/>
            <w:shd w:val="clear" w:color="auto" w:fill="auto"/>
          </w:tcPr>
          <w:p w:rsidR="00855A78" w:rsidRPr="00665C19" w:rsidRDefault="00855A78" w:rsidP="00490BF5">
            <w:pPr>
              <w:suppressLineNumbers/>
              <w:suppressAutoHyphens/>
              <w:kinsoku w:val="0"/>
              <w:overflowPunct w:val="0"/>
              <w:autoSpaceDE w:val="0"/>
              <w:autoSpaceDN w:val="0"/>
              <w:adjustRightInd w:val="0"/>
              <w:snapToGrid w:val="0"/>
              <w:ind w:left="360"/>
              <w:jc w:val="left"/>
              <w:rPr>
                <w:bCs/>
                <w:snapToGrid w:val="0"/>
                <w:kern w:val="22"/>
                <w:szCs w:val="22"/>
                <w:lang w:val="fr-FR"/>
              </w:rPr>
            </w:pPr>
          </w:p>
        </w:tc>
        <w:tc>
          <w:tcPr>
            <w:tcW w:w="4121" w:type="dxa"/>
            <w:gridSpan w:val="2"/>
            <w:shd w:val="clear" w:color="auto" w:fill="auto"/>
          </w:tcPr>
          <w:p w:rsidR="00855A78" w:rsidRPr="00490BF5" w:rsidRDefault="004C6B94" w:rsidP="00490BF5">
            <w:pPr>
              <w:suppressLineNumbers/>
              <w:suppressAutoHyphens/>
              <w:kinsoku w:val="0"/>
              <w:overflowPunct w:val="0"/>
              <w:autoSpaceDE w:val="0"/>
              <w:autoSpaceDN w:val="0"/>
              <w:adjustRightInd w:val="0"/>
              <w:snapToGrid w:val="0"/>
              <w:ind w:left="360"/>
              <w:jc w:val="center"/>
              <w:rPr>
                <w:i/>
                <w:iCs/>
                <w:snapToGrid w:val="0"/>
                <w:kern w:val="22"/>
                <w:szCs w:val="22"/>
              </w:rPr>
            </w:pPr>
            <w:r>
              <w:rPr>
                <w:i/>
                <w:iCs/>
                <w:snapToGrid w:val="0"/>
                <w:kern w:val="22"/>
                <w:szCs w:val="22"/>
                <w:lang w:val="fr-CA"/>
              </w:rPr>
              <w:t>Nombre de pays</w:t>
            </w:r>
          </w:p>
        </w:tc>
      </w:tr>
      <w:tr w:rsidR="00855A78" w:rsidRPr="00665C19" w:rsidTr="000B2CC8">
        <w:tc>
          <w:tcPr>
            <w:tcW w:w="0" w:type="auto"/>
            <w:shd w:val="clear" w:color="auto" w:fill="auto"/>
            <w:hideMark/>
          </w:tcPr>
          <w:p w:rsidR="00855A78" w:rsidRPr="00490BF5" w:rsidRDefault="004C6B94" w:rsidP="00490BF5">
            <w:pPr>
              <w:suppressLineNumbers/>
              <w:suppressAutoHyphens/>
              <w:kinsoku w:val="0"/>
              <w:overflowPunct w:val="0"/>
              <w:autoSpaceDE w:val="0"/>
              <w:autoSpaceDN w:val="0"/>
              <w:adjustRightInd w:val="0"/>
              <w:snapToGrid w:val="0"/>
              <w:ind w:left="360"/>
              <w:jc w:val="center"/>
              <w:rPr>
                <w:i/>
                <w:iCs/>
                <w:snapToGrid w:val="0"/>
                <w:kern w:val="22"/>
                <w:szCs w:val="22"/>
                <w:lang w:eastAsia="fr-FR"/>
              </w:rPr>
            </w:pPr>
            <w:r>
              <w:rPr>
                <w:i/>
                <w:iCs/>
                <w:snapToGrid w:val="0"/>
                <w:kern w:val="22"/>
                <w:szCs w:val="22"/>
                <w:lang w:val="fr-CA" w:eastAsia="fr-FR"/>
              </w:rPr>
              <w:t>Les montants fournis couvrent</w:t>
            </w:r>
          </w:p>
        </w:tc>
        <w:tc>
          <w:tcPr>
            <w:tcW w:w="0" w:type="auto"/>
            <w:shd w:val="clear" w:color="auto" w:fill="auto"/>
            <w:hideMark/>
          </w:tcPr>
          <w:p w:rsidR="00855A78" w:rsidRPr="00665C19" w:rsidRDefault="004C6B94" w:rsidP="00490BF5">
            <w:pPr>
              <w:suppressLineNumbers/>
              <w:suppressAutoHyphens/>
              <w:kinsoku w:val="0"/>
              <w:overflowPunct w:val="0"/>
              <w:autoSpaceDE w:val="0"/>
              <w:autoSpaceDN w:val="0"/>
              <w:adjustRightInd w:val="0"/>
              <w:snapToGrid w:val="0"/>
              <w:ind w:left="360"/>
              <w:jc w:val="center"/>
              <w:rPr>
                <w:i/>
                <w:iCs/>
                <w:snapToGrid w:val="0"/>
                <w:kern w:val="22"/>
                <w:szCs w:val="22"/>
                <w:lang w:val="fr-FR" w:eastAsia="fr-FR"/>
              </w:rPr>
            </w:pPr>
            <w:r>
              <w:rPr>
                <w:i/>
                <w:iCs/>
                <w:snapToGrid w:val="0"/>
                <w:kern w:val="22"/>
                <w:szCs w:val="22"/>
                <w:lang w:val="fr-CA" w:eastAsia="fr-FR"/>
              </w:rPr>
              <w:t>Dépenses directement liées à la biodiversité</w:t>
            </w:r>
          </w:p>
        </w:tc>
        <w:tc>
          <w:tcPr>
            <w:tcW w:w="0" w:type="auto"/>
            <w:shd w:val="clear" w:color="auto" w:fill="auto"/>
            <w:hideMark/>
          </w:tcPr>
          <w:p w:rsidR="00855A78" w:rsidRPr="00665C19" w:rsidRDefault="004C6B94" w:rsidP="00490BF5">
            <w:pPr>
              <w:suppressLineNumbers/>
              <w:suppressAutoHyphens/>
              <w:kinsoku w:val="0"/>
              <w:overflowPunct w:val="0"/>
              <w:autoSpaceDE w:val="0"/>
              <w:autoSpaceDN w:val="0"/>
              <w:adjustRightInd w:val="0"/>
              <w:snapToGrid w:val="0"/>
              <w:ind w:left="360"/>
              <w:jc w:val="center"/>
              <w:rPr>
                <w:i/>
                <w:iCs/>
                <w:snapToGrid w:val="0"/>
                <w:kern w:val="22"/>
                <w:szCs w:val="22"/>
                <w:lang w:val="fr-FR" w:eastAsia="fr-FR"/>
              </w:rPr>
            </w:pPr>
            <w:r>
              <w:rPr>
                <w:i/>
                <w:iCs/>
                <w:snapToGrid w:val="0"/>
                <w:kern w:val="22"/>
                <w:szCs w:val="22"/>
                <w:lang w:val="fr-CA" w:eastAsia="fr-FR"/>
              </w:rPr>
              <w:t>Dépenses indirectement liées à la biodiversité</w:t>
            </w:r>
          </w:p>
        </w:tc>
      </w:tr>
      <w:tr w:rsidR="00855A78" w:rsidRPr="00490BF5" w:rsidTr="000B2CC8">
        <w:tc>
          <w:tcPr>
            <w:tcW w:w="0" w:type="auto"/>
            <w:shd w:val="clear" w:color="auto" w:fill="auto"/>
            <w:hideMark/>
          </w:tcPr>
          <w:p w:rsidR="00855A78" w:rsidRPr="00490BF5" w:rsidRDefault="00AE21E4" w:rsidP="00490BF5">
            <w:pPr>
              <w:suppressLineNumbers/>
              <w:suppressAutoHyphens/>
              <w:kinsoku w:val="0"/>
              <w:overflowPunct w:val="0"/>
              <w:autoSpaceDE w:val="0"/>
              <w:autoSpaceDN w:val="0"/>
              <w:adjustRightInd w:val="0"/>
              <w:snapToGrid w:val="0"/>
              <w:ind w:left="360"/>
              <w:jc w:val="left"/>
              <w:rPr>
                <w:snapToGrid w:val="0"/>
                <w:kern w:val="22"/>
                <w:szCs w:val="22"/>
                <w:lang w:eastAsia="fr-FR"/>
              </w:rPr>
            </w:pPr>
            <w:r>
              <w:rPr>
                <w:snapToGrid w:val="0"/>
                <w:kern w:val="22"/>
                <w:szCs w:val="22"/>
                <w:lang w:val="fr-CA" w:eastAsia="fr-FR"/>
              </w:rPr>
              <w:t>Budgets gouvernementaux – central</w:t>
            </w:r>
          </w:p>
        </w:tc>
        <w:tc>
          <w:tcPr>
            <w:tcW w:w="0" w:type="auto"/>
            <w:shd w:val="clear" w:color="auto" w:fill="auto"/>
            <w:noWrap/>
            <w:tcMar>
              <w:left w:w="720" w:type="dxa"/>
              <w:right w:w="720" w:type="dxa"/>
            </w:tcMar>
            <w:vAlign w:val="center"/>
          </w:tcPr>
          <w:p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6</w:t>
            </w:r>
            <w:r w:rsidR="0067018B" w:rsidRPr="00490BF5">
              <w:rPr>
                <w:snapToGrid w:val="0"/>
                <w:kern w:val="22"/>
                <w:szCs w:val="22"/>
              </w:rPr>
              <w:t>7</w:t>
            </w:r>
          </w:p>
        </w:tc>
        <w:tc>
          <w:tcPr>
            <w:tcW w:w="0" w:type="auto"/>
            <w:shd w:val="clear" w:color="auto" w:fill="auto"/>
            <w:noWrap/>
            <w:tcMar>
              <w:left w:w="720" w:type="dxa"/>
              <w:right w:w="720" w:type="dxa"/>
            </w:tcMar>
            <w:vAlign w:val="center"/>
          </w:tcPr>
          <w:p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40</w:t>
            </w:r>
          </w:p>
        </w:tc>
      </w:tr>
      <w:tr w:rsidR="00855A78" w:rsidRPr="00490BF5" w:rsidTr="000B2CC8">
        <w:tc>
          <w:tcPr>
            <w:tcW w:w="0" w:type="auto"/>
            <w:shd w:val="clear" w:color="auto" w:fill="auto"/>
            <w:hideMark/>
          </w:tcPr>
          <w:p w:rsidR="00855A78" w:rsidRPr="00490BF5" w:rsidRDefault="00AE21E4" w:rsidP="00490BF5">
            <w:pPr>
              <w:suppressLineNumbers/>
              <w:suppressAutoHyphens/>
              <w:kinsoku w:val="0"/>
              <w:overflowPunct w:val="0"/>
              <w:autoSpaceDE w:val="0"/>
              <w:autoSpaceDN w:val="0"/>
              <w:adjustRightInd w:val="0"/>
              <w:snapToGrid w:val="0"/>
              <w:ind w:left="360"/>
              <w:jc w:val="left"/>
              <w:rPr>
                <w:snapToGrid w:val="0"/>
                <w:kern w:val="22"/>
                <w:szCs w:val="22"/>
                <w:lang w:eastAsia="fr-FR"/>
              </w:rPr>
            </w:pPr>
            <w:r>
              <w:rPr>
                <w:snapToGrid w:val="0"/>
                <w:kern w:val="22"/>
                <w:szCs w:val="22"/>
                <w:lang w:val="fr-CA" w:eastAsia="fr-FR"/>
              </w:rPr>
              <w:t>Budgets gouvernementaux – étatique / provincial</w:t>
            </w:r>
          </w:p>
        </w:tc>
        <w:tc>
          <w:tcPr>
            <w:tcW w:w="0" w:type="auto"/>
            <w:shd w:val="clear" w:color="auto" w:fill="auto"/>
            <w:noWrap/>
            <w:tcMar>
              <w:left w:w="720" w:type="dxa"/>
              <w:right w:w="720" w:type="dxa"/>
            </w:tcMar>
            <w:vAlign w:val="center"/>
          </w:tcPr>
          <w:p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27</w:t>
            </w:r>
          </w:p>
        </w:tc>
        <w:tc>
          <w:tcPr>
            <w:tcW w:w="0" w:type="auto"/>
            <w:shd w:val="clear" w:color="auto" w:fill="auto"/>
            <w:noWrap/>
            <w:tcMar>
              <w:left w:w="720" w:type="dxa"/>
              <w:right w:w="720" w:type="dxa"/>
            </w:tcMar>
            <w:vAlign w:val="center"/>
          </w:tcPr>
          <w:p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17</w:t>
            </w:r>
          </w:p>
        </w:tc>
      </w:tr>
      <w:tr w:rsidR="00855A78" w:rsidRPr="00490BF5" w:rsidTr="000B2CC8">
        <w:tc>
          <w:tcPr>
            <w:tcW w:w="0" w:type="auto"/>
            <w:shd w:val="clear" w:color="auto" w:fill="auto"/>
            <w:hideMark/>
          </w:tcPr>
          <w:p w:rsidR="00855A78" w:rsidRPr="00490BF5" w:rsidRDefault="00AE21E4" w:rsidP="00490BF5">
            <w:pPr>
              <w:suppressLineNumbers/>
              <w:suppressAutoHyphens/>
              <w:kinsoku w:val="0"/>
              <w:overflowPunct w:val="0"/>
              <w:autoSpaceDE w:val="0"/>
              <w:autoSpaceDN w:val="0"/>
              <w:adjustRightInd w:val="0"/>
              <w:snapToGrid w:val="0"/>
              <w:ind w:left="360"/>
              <w:jc w:val="left"/>
              <w:rPr>
                <w:snapToGrid w:val="0"/>
                <w:kern w:val="22"/>
                <w:szCs w:val="22"/>
                <w:lang w:eastAsia="fr-FR"/>
              </w:rPr>
            </w:pPr>
            <w:r>
              <w:rPr>
                <w:snapToGrid w:val="0"/>
                <w:kern w:val="22"/>
                <w:szCs w:val="22"/>
                <w:lang w:val="fr-CA" w:eastAsia="fr-FR"/>
              </w:rPr>
              <w:t>Budgets gouvernementaux – local / municipal</w:t>
            </w:r>
          </w:p>
        </w:tc>
        <w:tc>
          <w:tcPr>
            <w:tcW w:w="0" w:type="auto"/>
            <w:shd w:val="clear" w:color="auto" w:fill="auto"/>
            <w:noWrap/>
            <w:tcMar>
              <w:left w:w="720" w:type="dxa"/>
              <w:right w:w="720" w:type="dxa"/>
            </w:tcMar>
            <w:vAlign w:val="center"/>
          </w:tcPr>
          <w:p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23</w:t>
            </w:r>
          </w:p>
        </w:tc>
        <w:tc>
          <w:tcPr>
            <w:tcW w:w="0" w:type="auto"/>
            <w:shd w:val="clear" w:color="auto" w:fill="auto"/>
            <w:noWrap/>
            <w:tcMar>
              <w:left w:w="720" w:type="dxa"/>
              <w:right w:w="720" w:type="dxa"/>
            </w:tcMar>
            <w:vAlign w:val="center"/>
          </w:tcPr>
          <w:p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14</w:t>
            </w:r>
          </w:p>
        </w:tc>
      </w:tr>
      <w:tr w:rsidR="00855A78" w:rsidRPr="00490BF5" w:rsidTr="000B2CC8">
        <w:tc>
          <w:tcPr>
            <w:tcW w:w="0" w:type="auto"/>
            <w:shd w:val="clear" w:color="auto" w:fill="auto"/>
            <w:hideMark/>
          </w:tcPr>
          <w:p w:rsidR="00855A78" w:rsidRPr="00490BF5" w:rsidRDefault="00AE21E4" w:rsidP="00490BF5">
            <w:pPr>
              <w:suppressLineNumbers/>
              <w:suppressAutoHyphens/>
              <w:kinsoku w:val="0"/>
              <w:overflowPunct w:val="0"/>
              <w:autoSpaceDE w:val="0"/>
              <w:autoSpaceDN w:val="0"/>
              <w:adjustRightInd w:val="0"/>
              <w:snapToGrid w:val="0"/>
              <w:ind w:left="360"/>
              <w:jc w:val="left"/>
              <w:rPr>
                <w:snapToGrid w:val="0"/>
                <w:kern w:val="22"/>
                <w:szCs w:val="22"/>
                <w:lang w:eastAsia="fr-FR"/>
              </w:rPr>
            </w:pPr>
            <w:r>
              <w:rPr>
                <w:snapToGrid w:val="0"/>
                <w:kern w:val="22"/>
                <w:szCs w:val="22"/>
                <w:lang w:val="fr-CA" w:eastAsia="fr-FR"/>
              </w:rPr>
              <w:t>Extrabudgétaire</w:t>
            </w:r>
          </w:p>
        </w:tc>
        <w:tc>
          <w:tcPr>
            <w:tcW w:w="0" w:type="auto"/>
            <w:shd w:val="clear" w:color="auto" w:fill="auto"/>
            <w:noWrap/>
            <w:tcMar>
              <w:left w:w="720" w:type="dxa"/>
              <w:right w:w="720" w:type="dxa"/>
            </w:tcMar>
            <w:vAlign w:val="center"/>
          </w:tcPr>
          <w:p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23</w:t>
            </w:r>
          </w:p>
        </w:tc>
        <w:tc>
          <w:tcPr>
            <w:tcW w:w="0" w:type="auto"/>
            <w:shd w:val="clear" w:color="auto" w:fill="auto"/>
            <w:noWrap/>
            <w:tcMar>
              <w:left w:w="720" w:type="dxa"/>
              <w:right w:w="720" w:type="dxa"/>
            </w:tcMar>
            <w:vAlign w:val="center"/>
          </w:tcPr>
          <w:p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15</w:t>
            </w:r>
          </w:p>
        </w:tc>
      </w:tr>
      <w:tr w:rsidR="00855A78" w:rsidRPr="00490BF5" w:rsidTr="000B2CC8">
        <w:tc>
          <w:tcPr>
            <w:tcW w:w="0" w:type="auto"/>
            <w:shd w:val="clear" w:color="auto" w:fill="auto"/>
            <w:hideMark/>
          </w:tcPr>
          <w:p w:rsidR="00855A78" w:rsidRPr="00490BF5" w:rsidRDefault="00AE21E4" w:rsidP="00490BF5">
            <w:pPr>
              <w:suppressLineNumbers/>
              <w:suppressAutoHyphens/>
              <w:kinsoku w:val="0"/>
              <w:overflowPunct w:val="0"/>
              <w:autoSpaceDE w:val="0"/>
              <w:autoSpaceDN w:val="0"/>
              <w:adjustRightInd w:val="0"/>
              <w:snapToGrid w:val="0"/>
              <w:ind w:left="360"/>
              <w:jc w:val="left"/>
              <w:rPr>
                <w:snapToGrid w:val="0"/>
                <w:kern w:val="22"/>
                <w:szCs w:val="22"/>
                <w:lang w:eastAsia="fr-FR"/>
              </w:rPr>
            </w:pPr>
            <w:r>
              <w:rPr>
                <w:snapToGrid w:val="0"/>
                <w:kern w:val="22"/>
                <w:szCs w:val="22"/>
                <w:lang w:val="fr-CA" w:eastAsia="fr-FR"/>
              </w:rPr>
              <w:t>Secteur privé/ Marché</w:t>
            </w:r>
          </w:p>
        </w:tc>
        <w:tc>
          <w:tcPr>
            <w:tcW w:w="0" w:type="auto"/>
            <w:shd w:val="clear" w:color="auto" w:fill="auto"/>
            <w:noWrap/>
            <w:tcMar>
              <w:left w:w="720" w:type="dxa"/>
              <w:right w:w="720" w:type="dxa"/>
            </w:tcMar>
            <w:vAlign w:val="center"/>
          </w:tcPr>
          <w:p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16</w:t>
            </w:r>
          </w:p>
        </w:tc>
        <w:tc>
          <w:tcPr>
            <w:tcW w:w="0" w:type="auto"/>
            <w:shd w:val="clear" w:color="auto" w:fill="auto"/>
            <w:noWrap/>
            <w:tcMar>
              <w:left w:w="720" w:type="dxa"/>
              <w:right w:w="720" w:type="dxa"/>
            </w:tcMar>
            <w:vAlign w:val="center"/>
          </w:tcPr>
          <w:p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10</w:t>
            </w:r>
          </w:p>
        </w:tc>
      </w:tr>
      <w:tr w:rsidR="00855A78" w:rsidRPr="00490BF5" w:rsidTr="000B2CC8">
        <w:tc>
          <w:tcPr>
            <w:tcW w:w="0" w:type="auto"/>
            <w:shd w:val="clear" w:color="auto" w:fill="auto"/>
            <w:hideMark/>
          </w:tcPr>
          <w:p w:rsidR="00855A78" w:rsidRPr="00665C19" w:rsidRDefault="00AE21E4" w:rsidP="00490BF5">
            <w:pPr>
              <w:suppressLineNumbers/>
              <w:suppressAutoHyphens/>
              <w:kinsoku w:val="0"/>
              <w:overflowPunct w:val="0"/>
              <w:autoSpaceDE w:val="0"/>
              <w:autoSpaceDN w:val="0"/>
              <w:adjustRightInd w:val="0"/>
              <w:snapToGrid w:val="0"/>
              <w:ind w:left="360"/>
              <w:jc w:val="left"/>
              <w:rPr>
                <w:snapToGrid w:val="0"/>
                <w:kern w:val="22"/>
                <w:szCs w:val="22"/>
                <w:lang w:val="fr-FR" w:eastAsia="fr-FR"/>
              </w:rPr>
            </w:pPr>
            <w:r>
              <w:rPr>
                <w:snapToGrid w:val="0"/>
                <w:kern w:val="22"/>
                <w:szCs w:val="22"/>
                <w:lang w:val="fr-CA" w:eastAsia="fr-FR"/>
              </w:rPr>
              <w:t>Autres</w:t>
            </w:r>
            <w:r w:rsidRPr="002540FA">
              <w:rPr>
                <w:snapToGrid w:val="0"/>
                <w:kern w:val="22"/>
                <w:szCs w:val="22"/>
                <w:lang w:val="fr-CA" w:eastAsia="fr-FR"/>
              </w:rPr>
              <w:t xml:space="preserve"> (</w:t>
            </w:r>
            <w:r>
              <w:rPr>
                <w:snapToGrid w:val="0"/>
                <w:kern w:val="22"/>
                <w:szCs w:val="22"/>
                <w:lang w:val="fr-CA" w:eastAsia="fr-FR"/>
              </w:rPr>
              <w:t>ONG, fondations, milieu universitaire)</w:t>
            </w:r>
          </w:p>
        </w:tc>
        <w:tc>
          <w:tcPr>
            <w:tcW w:w="0" w:type="auto"/>
            <w:shd w:val="clear" w:color="auto" w:fill="auto"/>
            <w:noWrap/>
            <w:tcMar>
              <w:left w:w="720" w:type="dxa"/>
              <w:right w:w="720" w:type="dxa"/>
            </w:tcMar>
            <w:vAlign w:val="center"/>
          </w:tcPr>
          <w:p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28</w:t>
            </w:r>
          </w:p>
        </w:tc>
        <w:tc>
          <w:tcPr>
            <w:tcW w:w="0" w:type="auto"/>
            <w:shd w:val="clear" w:color="auto" w:fill="auto"/>
            <w:noWrap/>
            <w:tcMar>
              <w:left w:w="720" w:type="dxa"/>
              <w:right w:w="720" w:type="dxa"/>
            </w:tcMar>
            <w:vAlign w:val="center"/>
          </w:tcPr>
          <w:p w:rsidR="00855A78" w:rsidRPr="00490BF5" w:rsidRDefault="0067018B"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17</w:t>
            </w:r>
          </w:p>
        </w:tc>
      </w:tr>
      <w:tr w:rsidR="00855A78" w:rsidRPr="00490BF5" w:rsidTr="000B2CC8">
        <w:tc>
          <w:tcPr>
            <w:tcW w:w="0" w:type="auto"/>
            <w:shd w:val="clear" w:color="auto" w:fill="auto"/>
            <w:hideMark/>
          </w:tcPr>
          <w:p w:rsidR="00855A78" w:rsidRPr="00665C19" w:rsidRDefault="00AE21E4" w:rsidP="00490BF5">
            <w:pPr>
              <w:suppressLineNumbers/>
              <w:suppressAutoHyphens/>
              <w:kinsoku w:val="0"/>
              <w:overflowPunct w:val="0"/>
              <w:autoSpaceDE w:val="0"/>
              <w:autoSpaceDN w:val="0"/>
              <w:adjustRightInd w:val="0"/>
              <w:snapToGrid w:val="0"/>
              <w:ind w:left="360"/>
              <w:jc w:val="left"/>
              <w:rPr>
                <w:snapToGrid w:val="0"/>
                <w:kern w:val="22"/>
                <w:szCs w:val="22"/>
                <w:lang w:val="fr-FR" w:eastAsia="fr-FR"/>
              </w:rPr>
            </w:pPr>
            <w:r>
              <w:rPr>
                <w:snapToGrid w:val="0"/>
                <w:kern w:val="22"/>
                <w:szCs w:val="22"/>
                <w:lang w:val="fr-CA" w:eastAsia="fr-FR"/>
              </w:rPr>
              <w:t>Action collective des peuples autochtones et des communautés locales</w:t>
            </w:r>
          </w:p>
        </w:tc>
        <w:tc>
          <w:tcPr>
            <w:tcW w:w="0" w:type="auto"/>
            <w:shd w:val="clear" w:color="auto" w:fill="auto"/>
            <w:noWrap/>
            <w:tcMar>
              <w:left w:w="720" w:type="dxa"/>
              <w:right w:w="720" w:type="dxa"/>
            </w:tcMar>
            <w:vAlign w:val="center"/>
            <w:hideMark/>
          </w:tcPr>
          <w:p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6</w:t>
            </w:r>
          </w:p>
        </w:tc>
        <w:tc>
          <w:tcPr>
            <w:tcW w:w="0" w:type="auto"/>
            <w:shd w:val="clear" w:color="auto" w:fill="auto"/>
            <w:noWrap/>
            <w:tcMar>
              <w:left w:w="720" w:type="dxa"/>
              <w:right w:w="720" w:type="dxa"/>
            </w:tcMar>
            <w:vAlign w:val="center"/>
            <w:hideMark/>
          </w:tcPr>
          <w:p w:rsidR="00855A78" w:rsidRPr="00490BF5" w:rsidRDefault="00855A78" w:rsidP="00490BF5">
            <w:pPr>
              <w:suppressLineNumbers/>
              <w:suppressAutoHyphens/>
              <w:kinsoku w:val="0"/>
              <w:overflowPunct w:val="0"/>
              <w:autoSpaceDE w:val="0"/>
              <w:autoSpaceDN w:val="0"/>
              <w:adjustRightInd w:val="0"/>
              <w:snapToGrid w:val="0"/>
              <w:ind w:left="360"/>
              <w:jc w:val="right"/>
              <w:rPr>
                <w:snapToGrid w:val="0"/>
                <w:kern w:val="22"/>
                <w:szCs w:val="22"/>
              </w:rPr>
            </w:pPr>
            <w:r w:rsidRPr="00490BF5">
              <w:rPr>
                <w:snapToGrid w:val="0"/>
                <w:kern w:val="22"/>
                <w:szCs w:val="22"/>
              </w:rPr>
              <w:t>3</w:t>
            </w:r>
          </w:p>
        </w:tc>
      </w:tr>
    </w:tbl>
    <w:p w:rsidR="00855A78" w:rsidRPr="007201B0" w:rsidRDefault="007201B0" w:rsidP="00703994">
      <w:pPr>
        <w:pStyle w:val="ListParagraph"/>
        <w:numPr>
          <w:ilvl w:val="0"/>
          <w:numId w:val="52"/>
        </w:numPr>
        <w:suppressLineNumbers/>
        <w:suppressAutoHyphens/>
        <w:kinsoku w:val="0"/>
        <w:overflowPunct w:val="0"/>
        <w:autoSpaceDE w:val="0"/>
        <w:autoSpaceDN w:val="0"/>
        <w:adjustRightInd w:val="0"/>
        <w:snapToGrid w:val="0"/>
        <w:spacing w:before="240" w:after="120"/>
        <w:ind w:left="0" w:firstLine="0"/>
        <w:rPr>
          <w:snapToGrid w:val="0"/>
          <w:kern w:val="22"/>
          <w:szCs w:val="22"/>
          <w:lang w:val="fr-CA"/>
        </w:rPr>
      </w:pPr>
      <w:r w:rsidRPr="007201B0">
        <w:rPr>
          <w:snapToGrid w:val="0"/>
          <w:kern w:val="22"/>
          <w:szCs w:val="22"/>
          <w:lang w:val="fr-CA"/>
        </w:rPr>
        <w:t>Parmi</w:t>
      </w:r>
      <w:r w:rsidR="00E55821" w:rsidRPr="007201B0">
        <w:rPr>
          <w:snapToGrid w:val="0"/>
          <w:kern w:val="22"/>
          <w:szCs w:val="22"/>
          <w:lang w:val="fr-CA"/>
        </w:rPr>
        <w:t xml:space="preserve"> </w:t>
      </w:r>
      <w:r w:rsidR="00E678C1">
        <w:rPr>
          <w:snapToGrid w:val="0"/>
          <w:kern w:val="22"/>
          <w:szCs w:val="22"/>
          <w:lang w:val="fr-CA"/>
        </w:rPr>
        <w:t>les Parties qui ont fourni davantage d</w:t>
      </w:r>
      <w:r w:rsidR="00466152">
        <w:rPr>
          <w:snapToGrid w:val="0"/>
          <w:kern w:val="22"/>
          <w:szCs w:val="22"/>
          <w:lang w:val="fr-CA"/>
        </w:rPr>
        <w:t>’</w:t>
      </w:r>
      <w:r w:rsidR="00E678C1">
        <w:rPr>
          <w:snapToGrid w:val="0"/>
          <w:kern w:val="22"/>
          <w:szCs w:val="22"/>
          <w:lang w:val="fr-CA"/>
        </w:rPr>
        <w:t>informations méthodologiques, la plupart d</w:t>
      </w:r>
      <w:r w:rsidR="00466152">
        <w:rPr>
          <w:snapToGrid w:val="0"/>
          <w:kern w:val="22"/>
          <w:szCs w:val="22"/>
          <w:lang w:val="fr-CA"/>
        </w:rPr>
        <w:t>’</w:t>
      </w:r>
      <w:r w:rsidR="00E678C1">
        <w:rPr>
          <w:snapToGrid w:val="0"/>
          <w:kern w:val="22"/>
          <w:szCs w:val="22"/>
          <w:lang w:val="fr-CA"/>
        </w:rPr>
        <w:t>entre elles (27) ont men</w:t>
      </w:r>
      <w:r w:rsidR="008C79CF">
        <w:rPr>
          <w:snapToGrid w:val="0"/>
          <w:kern w:val="22"/>
          <w:szCs w:val="22"/>
          <w:lang w:val="fr-CA"/>
        </w:rPr>
        <w:t>tionné l</w:t>
      </w:r>
      <w:r w:rsidR="00466152">
        <w:rPr>
          <w:snapToGrid w:val="0"/>
          <w:kern w:val="22"/>
          <w:szCs w:val="22"/>
          <w:lang w:val="fr-CA"/>
        </w:rPr>
        <w:t>’</w:t>
      </w:r>
      <w:r w:rsidR="008C79CF">
        <w:rPr>
          <w:snapToGrid w:val="0"/>
          <w:kern w:val="22"/>
          <w:szCs w:val="22"/>
          <w:lang w:val="fr-CA"/>
        </w:rPr>
        <w:t>analyse de documents relatifs aux</w:t>
      </w:r>
      <w:r w:rsidR="00E678C1">
        <w:rPr>
          <w:snapToGrid w:val="0"/>
          <w:kern w:val="22"/>
          <w:szCs w:val="22"/>
          <w:lang w:val="fr-CA"/>
        </w:rPr>
        <w:t xml:space="preserve"> budget</w:t>
      </w:r>
      <w:r w:rsidR="008C79CF">
        <w:rPr>
          <w:snapToGrid w:val="0"/>
          <w:kern w:val="22"/>
          <w:szCs w:val="22"/>
          <w:lang w:val="fr-CA"/>
        </w:rPr>
        <w:t>s</w:t>
      </w:r>
      <w:r w:rsidR="00E678C1">
        <w:rPr>
          <w:snapToGrid w:val="0"/>
          <w:kern w:val="22"/>
          <w:szCs w:val="22"/>
          <w:lang w:val="fr-CA"/>
        </w:rPr>
        <w:t>, comprenant possiblement l</w:t>
      </w:r>
      <w:r w:rsidR="00466152">
        <w:rPr>
          <w:snapToGrid w:val="0"/>
          <w:kern w:val="22"/>
          <w:szCs w:val="22"/>
          <w:lang w:val="fr-CA"/>
        </w:rPr>
        <w:t>’</w:t>
      </w:r>
      <w:r w:rsidR="00E678C1">
        <w:rPr>
          <w:snapToGrid w:val="0"/>
          <w:kern w:val="22"/>
          <w:szCs w:val="22"/>
          <w:lang w:val="fr-CA"/>
        </w:rPr>
        <w:t xml:space="preserve">attribution de coefficients pour les contributions indirectes à la biodiversité. Un plus petit groupe de onze Parties ont indiqué avoir utilisé des statistiques nationales, possiblement basées sur les comptes des dépenses publiques en matière </w:t>
      </w:r>
      <w:r w:rsidR="00E678C1" w:rsidRPr="00E678C1">
        <w:rPr>
          <w:snapToGrid w:val="0"/>
          <w:kern w:val="22"/>
          <w:szCs w:val="22"/>
          <w:lang w:val="fr-CA"/>
        </w:rPr>
        <w:t>d</w:t>
      </w:r>
      <w:r w:rsidR="00466152">
        <w:rPr>
          <w:snapToGrid w:val="0"/>
          <w:kern w:val="22"/>
          <w:szCs w:val="22"/>
          <w:lang w:val="fr-CA"/>
        </w:rPr>
        <w:t>’</w:t>
      </w:r>
      <w:r w:rsidR="00E678C1" w:rsidRPr="00E678C1">
        <w:rPr>
          <w:snapToGrid w:val="0"/>
          <w:kern w:val="22"/>
          <w:szCs w:val="22"/>
          <w:lang w:val="fr-CA"/>
        </w:rPr>
        <w:t>environnement, mentionnant les classifications adoptées à l</w:t>
      </w:r>
      <w:r w:rsidR="00466152">
        <w:rPr>
          <w:snapToGrid w:val="0"/>
          <w:kern w:val="22"/>
          <w:szCs w:val="22"/>
          <w:lang w:val="fr-CA"/>
        </w:rPr>
        <w:t>’</w:t>
      </w:r>
      <w:r w:rsidR="00E678C1" w:rsidRPr="00E678C1">
        <w:rPr>
          <w:snapToGrid w:val="0"/>
          <w:kern w:val="22"/>
          <w:szCs w:val="22"/>
          <w:lang w:val="fr-CA"/>
        </w:rPr>
        <w:t xml:space="preserve">échelle internationale, telles que la </w:t>
      </w:r>
      <w:r w:rsidR="00E678C1" w:rsidRPr="00E678C1">
        <w:rPr>
          <w:rStyle w:val="Emphasis"/>
          <w:i w:val="0"/>
          <w:iCs w:val="0"/>
          <w:lang w:val="fr-CA"/>
        </w:rPr>
        <w:t>Classification</w:t>
      </w:r>
      <w:r w:rsidR="00E678C1" w:rsidRPr="00E678C1">
        <w:rPr>
          <w:rStyle w:val="preferred"/>
          <w:i/>
          <w:iCs/>
          <w:lang w:val="fr-CA"/>
        </w:rPr>
        <w:t xml:space="preserve"> </w:t>
      </w:r>
      <w:r w:rsidR="00E678C1" w:rsidRPr="00E678C1">
        <w:rPr>
          <w:rStyle w:val="preferred"/>
          <w:lang w:val="fr-CA"/>
        </w:rPr>
        <w:t xml:space="preserve">des activités et dépenses de </w:t>
      </w:r>
      <w:r w:rsidR="00E678C1" w:rsidRPr="00E678C1">
        <w:rPr>
          <w:rStyle w:val="Emphasis"/>
          <w:i w:val="0"/>
          <w:iCs w:val="0"/>
          <w:lang w:val="fr-CA"/>
        </w:rPr>
        <w:t>protection</w:t>
      </w:r>
      <w:r w:rsidR="00E678C1" w:rsidRPr="00E678C1">
        <w:rPr>
          <w:rStyle w:val="preferred"/>
          <w:lang w:val="fr-CA"/>
        </w:rPr>
        <w:t xml:space="preserve"> de l</w:t>
      </w:r>
      <w:r w:rsidR="00466152">
        <w:rPr>
          <w:rStyle w:val="preferred"/>
          <w:lang w:val="fr-CA"/>
        </w:rPr>
        <w:t>’</w:t>
      </w:r>
      <w:r w:rsidR="00E678C1" w:rsidRPr="00E678C1">
        <w:rPr>
          <w:rStyle w:val="preferred"/>
          <w:lang w:val="fr-CA"/>
        </w:rPr>
        <w:t>environn</w:t>
      </w:r>
      <w:r w:rsidR="00E678C1">
        <w:rPr>
          <w:rStyle w:val="preferred"/>
          <w:lang w:val="fr-CA"/>
        </w:rPr>
        <w:t>e</w:t>
      </w:r>
      <w:r w:rsidR="00E678C1" w:rsidRPr="00E678C1">
        <w:rPr>
          <w:rStyle w:val="preferred"/>
          <w:lang w:val="fr-CA"/>
        </w:rPr>
        <w:t>ment</w:t>
      </w:r>
      <w:r w:rsidR="00E678C1">
        <w:rPr>
          <w:rStyle w:val="preferred"/>
          <w:lang w:val="fr-CA"/>
        </w:rPr>
        <w:t xml:space="preserve"> </w:t>
      </w:r>
      <w:r w:rsidR="00E678C1" w:rsidRPr="00E678C1">
        <w:rPr>
          <w:rStyle w:val="preferred"/>
          <w:lang w:val="fr-CA"/>
        </w:rPr>
        <w:t xml:space="preserve">ou la </w:t>
      </w:r>
      <w:r w:rsidR="00E678C1" w:rsidRPr="00E678C1">
        <w:rPr>
          <w:rStyle w:val="Emphasis"/>
          <w:i w:val="0"/>
          <w:iCs w:val="0"/>
          <w:lang w:val="fr-CA"/>
        </w:rPr>
        <w:t>Classification</w:t>
      </w:r>
      <w:r w:rsidR="00E678C1" w:rsidRPr="00E678C1">
        <w:rPr>
          <w:rStyle w:val="preferred"/>
          <w:i/>
          <w:iCs/>
          <w:lang w:val="fr-CA"/>
        </w:rPr>
        <w:t xml:space="preserve"> </w:t>
      </w:r>
      <w:r w:rsidR="00E678C1" w:rsidRPr="00E678C1">
        <w:rPr>
          <w:rStyle w:val="preferred"/>
          <w:lang w:val="fr-CA"/>
        </w:rPr>
        <w:t>des fonctions des administrations publiques</w:t>
      </w:r>
      <w:r w:rsidR="00E678C1">
        <w:rPr>
          <w:rStyle w:val="preferred"/>
          <w:lang w:val="fr-CA"/>
        </w:rPr>
        <w:t xml:space="preserve"> et, en</w:t>
      </w:r>
      <w:r w:rsidR="008C79CF">
        <w:rPr>
          <w:rStyle w:val="preferred"/>
          <w:lang w:val="fr-CA"/>
        </w:rPr>
        <w:t xml:space="preserve"> particulier, la </w:t>
      </w:r>
      <w:r w:rsidR="008C79CF">
        <w:rPr>
          <w:rStyle w:val="preferred"/>
          <w:noProof/>
          <w:lang w:val="fr-CA"/>
        </w:rPr>
        <w:t>sous</w:t>
      </w:r>
      <w:r w:rsidR="00466152">
        <w:rPr>
          <w:rStyle w:val="preferred"/>
          <w:noProof/>
          <w:lang w:val="fr-CA"/>
        </w:rPr>
        <w:noBreakHyphen/>
      </w:r>
      <w:r w:rsidR="008C79CF">
        <w:rPr>
          <w:rStyle w:val="preferred"/>
          <w:noProof/>
          <w:lang w:val="fr-CA"/>
        </w:rPr>
        <w:t>classe</w:t>
      </w:r>
      <w:r w:rsidR="008C79CF">
        <w:rPr>
          <w:rStyle w:val="preferred"/>
          <w:lang w:val="fr-CA"/>
        </w:rPr>
        <w:t xml:space="preserve"> « P</w:t>
      </w:r>
      <w:r w:rsidR="00E678C1">
        <w:rPr>
          <w:rStyle w:val="preferred"/>
          <w:lang w:val="fr-CA"/>
        </w:rPr>
        <w:t>rotection de la biodiversité et des paysages »</w:t>
      </w:r>
      <w:r w:rsidR="00E678C1" w:rsidRPr="00E678C1">
        <w:rPr>
          <w:snapToGrid w:val="0"/>
          <w:kern w:val="22"/>
          <w:szCs w:val="22"/>
          <w:lang w:val="fr-CA"/>
        </w:rPr>
        <w:t xml:space="preserve"> </w:t>
      </w:r>
      <w:r w:rsidR="008C79CF">
        <w:rPr>
          <w:snapToGrid w:val="0"/>
          <w:kern w:val="22"/>
          <w:szCs w:val="22"/>
          <w:lang w:val="fr-CA"/>
        </w:rPr>
        <w:t>qui y figure.</w:t>
      </w:r>
    </w:p>
    <w:p w:rsidR="00855A78" w:rsidRPr="007201B0" w:rsidRDefault="008C79CF" w:rsidP="00703994">
      <w:pPr>
        <w:pStyle w:val="ListParagraph"/>
        <w:numPr>
          <w:ilvl w:val="0"/>
          <w:numId w:val="52"/>
        </w:numPr>
        <w:suppressLineNumbers/>
        <w:suppressAutoHyphens/>
        <w:kinsoku w:val="0"/>
        <w:overflowPunct w:val="0"/>
        <w:autoSpaceDE w:val="0"/>
        <w:autoSpaceDN w:val="0"/>
        <w:adjustRightInd w:val="0"/>
        <w:snapToGrid w:val="0"/>
        <w:spacing w:after="120"/>
        <w:ind w:left="0" w:firstLine="0"/>
        <w:contextualSpacing w:val="0"/>
        <w:rPr>
          <w:snapToGrid w:val="0"/>
          <w:kern w:val="22"/>
          <w:szCs w:val="22"/>
          <w:lang w:val="fr-CA"/>
        </w:rPr>
      </w:pPr>
      <w:r>
        <w:rPr>
          <w:snapToGrid w:val="0"/>
          <w:kern w:val="22"/>
          <w:szCs w:val="22"/>
          <w:lang w:val="fr-CA"/>
        </w:rPr>
        <w:t xml:space="preserve">Au sein de ce groupe, la Tchéquie et la Finlande ont mentionné la couverture de sources privées dans les comptes des dépenses publiques en matière </w:t>
      </w:r>
      <w:r w:rsidRPr="00E678C1">
        <w:rPr>
          <w:snapToGrid w:val="0"/>
          <w:kern w:val="22"/>
          <w:szCs w:val="22"/>
          <w:lang w:val="fr-CA"/>
        </w:rPr>
        <w:t>d</w:t>
      </w:r>
      <w:r w:rsidR="00466152">
        <w:rPr>
          <w:snapToGrid w:val="0"/>
          <w:kern w:val="22"/>
          <w:szCs w:val="22"/>
          <w:lang w:val="fr-CA"/>
        </w:rPr>
        <w:t>’</w:t>
      </w:r>
      <w:r w:rsidRPr="00E678C1">
        <w:rPr>
          <w:snapToGrid w:val="0"/>
          <w:kern w:val="22"/>
          <w:szCs w:val="22"/>
          <w:lang w:val="fr-CA"/>
        </w:rPr>
        <w:t>environnement</w:t>
      </w:r>
      <w:r w:rsidR="00E551C4">
        <w:rPr>
          <w:snapToGrid w:val="0"/>
          <w:kern w:val="22"/>
          <w:szCs w:val="22"/>
          <w:lang w:val="fr-CA"/>
        </w:rPr>
        <w:t>, et la Finlande a noté que les données statistiques sur les dépenses liées à la protection de l</w:t>
      </w:r>
      <w:r w:rsidR="00466152">
        <w:rPr>
          <w:snapToGrid w:val="0"/>
          <w:kern w:val="22"/>
          <w:szCs w:val="22"/>
          <w:lang w:val="fr-CA"/>
        </w:rPr>
        <w:t>’</w:t>
      </w:r>
      <w:r w:rsidR="00E551C4">
        <w:rPr>
          <w:snapToGrid w:val="0"/>
          <w:kern w:val="22"/>
          <w:szCs w:val="22"/>
          <w:lang w:val="fr-CA"/>
        </w:rPr>
        <w:t>environnement du secteur public comprennent les échelons inférieurs de gouvernement de manière consolidée (les transferts entre le gouvernement central et les municipalités sont pris en compte). En revanche, les pays du dernier groupe utilisaient habituellement une identification et compilation spéciales des données pour aborder ces sources; par exemple, le Canada, la Croatie, le Danemark, le Japon, le Liban et la Suisse ont utilisé des données fiables émanant d</w:t>
      </w:r>
      <w:r w:rsidR="00466152">
        <w:rPr>
          <w:snapToGrid w:val="0"/>
          <w:kern w:val="22"/>
          <w:szCs w:val="22"/>
          <w:lang w:val="fr-CA"/>
        </w:rPr>
        <w:t>’</w:t>
      </w:r>
      <w:r w:rsidR="00E551C4">
        <w:rPr>
          <w:snapToGrid w:val="0"/>
          <w:kern w:val="22"/>
          <w:szCs w:val="22"/>
          <w:lang w:val="fr-CA"/>
        </w:rPr>
        <w:t>entreprises, de fondations et d</w:t>
      </w:r>
      <w:r w:rsidR="00466152">
        <w:rPr>
          <w:snapToGrid w:val="0"/>
          <w:kern w:val="22"/>
          <w:szCs w:val="22"/>
          <w:lang w:val="fr-CA"/>
        </w:rPr>
        <w:t>’</w:t>
      </w:r>
      <w:r w:rsidR="00E551C4">
        <w:rPr>
          <w:snapToGrid w:val="0"/>
          <w:kern w:val="22"/>
          <w:szCs w:val="22"/>
          <w:lang w:val="fr-CA"/>
        </w:rPr>
        <w:t>établissements universitaires. S</w:t>
      </w:r>
      <w:r w:rsidR="00466152">
        <w:rPr>
          <w:snapToGrid w:val="0"/>
          <w:kern w:val="22"/>
          <w:szCs w:val="22"/>
          <w:lang w:val="fr-CA"/>
        </w:rPr>
        <w:t>’</w:t>
      </w:r>
      <w:r w:rsidR="00E551C4">
        <w:rPr>
          <w:snapToGrid w:val="0"/>
          <w:kern w:val="22"/>
          <w:szCs w:val="22"/>
          <w:lang w:val="fr-CA"/>
        </w:rPr>
        <w:t>agissant des dépenses directement liées à l</w:t>
      </w:r>
      <w:r w:rsidR="00466152">
        <w:rPr>
          <w:snapToGrid w:val="0"/>
          <w:kern w:val="22"/>
          <w:szCs w:val="22"/>
          <w:lang w:val="fr-CA"/>
        </w:rPr>
        <w:t>’</w:t>
      </w:r>
      <w:r w:rsidR="00E551C4">
        <w:rPr>
          <w:snapToGrid w:val="0"/>
          <w:kern w:val="22"/>
          <w:szCs w:val="22"/>
          <w:lang w:val="fr-CA"/>
        </w:rPr>
        <w:t>environnement engagées au niveau infranational, le Japon utilise des sondages envoyés aux préfectures et aux municipalités, et le Canada a signalé des</w:t>
      </w:r>
      <w:r w:rsidR="001B30DD">
        <w:rPr>
          <w:snapToGrid w:val="0"/>
          <w:kern w:val="22"/>
          <w:szCs w:val="22"/>
          <w:lang w:val="fr-CA"/>
        </w:rPr>
        <w:t xml:space="preserve"> incohérences dans les données qui ont li</w:t>
      </w:r>
      <w:r w:rsidR="00703994">
        <w:rPr>
          <w:snapToGrid w:val="0"/>
          <w:kern w:val="22"/>
          <w:szCs w:val="22"/>
          <w:lang w:val="fr-CA"/>
        </w:rPr>
        <w:t>mité les rapports à leur sujet.</w:t>
      </w:r>
    </w:p>
    <w:p w:rsidR="00855A78" w:rsidRPr="007201B0" w:rsidRDefault="001B30DD" w:rsidP="00703994">
      <w:pPr>
        <w:pStyle w:val="ListParagraph"/>
        <w:numPr>
          <w:ilvl w:val="0"/>
          <w:numId w:val="52"/>
        </w:numPr>
        <w:suppressLineNumbers/>
        <w:suppressAutoHyphens/>
        <w:kinsoku w:val="0"/>
        <w:overflowPunct w:val="0"/>
        <w:autoSpaceDE w:val="0"/>
        <w:autoSpaceDN w:val="0"/>
        <w:adjustRightInd w:val="0"/>
        <w:snapToGrid w:val="0"/>
        <w:spacing w:after="120"/>
        <w:ind w:left="0" w:firstLine="0"/>
        <w:contextualSpacing w:val="0"/>
        <w:rPr>
          <w:snapToGrid w:val="0"/>
          <w:kern w:val="22"/>
          <w:szCs w:val="22"/>
          <w:lang w:val="fr-CA"/>
        </w:rPr>
      </w:pPr>
      <w:r>
        <w:rPr>
          <w:snapToGrid w:val="0"/>
          <w:kern w:val="22"/>
          <w:szCs w:val="22"/>
          <w:lang w:val="fr-CA"/>
        </w:rPr>
        <w:t>S</w:t>
      </w:r>
      <w:r w:rsidR="00466152">
        <w:rPr>
          <w:snapToGrid w:val="0"/>
          <w:kern w:val="22"/>
          <w:szCs w:val="22"/>
          <w:lang w:val="fr-CA"/>
        </w:rPr>
        <w:t>’</w:t>
      </w:r>
      <w:r>
        <w:rPr>
          <w:snapToGrid w:val="0"/>
          <w:kern w:val="22"/>
          <w:szCs w:val="22"/>
          <w:lang w:val="fr-CA"/>
        </w:rPr>
        <w:t>agissant des dépenses extrabudgétaires, sept Parties ont expliqué qu</w:t>
      </w:r>
      <w:r w:rsidR="00466152">
        <w:rPr>
          <w:snapToGrid w:val="0"/>
          <w:kern w:val="22"/>
          <w:szCs w:val="22"/>
          <w:lang w:val="fr-CA"/>
        </w:rPr>
        <w:t>’</w:t>
      </w:r>
      <w:r>
        <w:rPr>
          <w:snapToGrid w:val="0"/>
          <w:kern w:val="22"/>
          <w:szCs w:val="22"/>
          <w:lang w:val="fr-CA"/>
        </w:rPr>
        <w:t>elles avaient entrepris une évaluation des projets de coopération au développement afin d</w:t>
      </w:r>
      <w:r w:rsidR="00466152">
        <w:rPr>
          <w:snapToGrid w:val="0"/>
          <w:kern w:val="22"/>
          <w:szCs w:val="22"/>
          <w:lang w:val="fr-CA"/>
        </w:rPr>
        <w:t>’</w:t>
      </w:r>
      <w:r>
        <w:rPr>
          <w:snapToGrid w:val="0"/>
          <w:kern w:val="22"/>
          <w:szCs w:val="22"/>
          <w:lang w:val="fr-CA"/>
        </w:rPr>
        <w:t>identifier les dépenses extrabudgétaires pertinentes pour la biodiversité, de nouveau en attribuant des parts de pourcentage à celles qui sont indirectement liées, et éventuellement en ayant</w:t>
      </w:r>
      <w:r w:rsidR="00272C96">
        <w:rPr>
          <w:snapToGrid w:val="0"/>
          <w:kern w:val="22"/>
          <w:szCs w:val="22"/>
          <w:lang w:val="fr-CA"/>
        </w:rPr>
        <w:t xml:space="preserve"> recours à la base de données SNPC</w:t>
      </w:r>
      <w:r w:rsidR="00466152">
        <w:rPr>
          <w:snapToGrid w:val="0"/>
          <w:kern w:val="22"/>
          <w:szCs w:val="22"/>
          <w:lang w:val="fr-CA"/>
        </w:rPr>
        <w:noBreakHyphen/>
      </w:r>
      <w:r w:rsidR="00272C96">
        <w:rPr>
          <w:snapToGrid w:val="0"/>
          <w:kern w:val="22"/>
          <w:szCs w:val="22"/>
          <w:lang w:val="fr-CA"/>
        </w:rPr>
        <w:t>OCDE pour recenser les projets pertinents et les dépenses associées.</w:t>
      </w:r>
    </w:p>
    <w:p w:rsidR="00855A78" w:rsidRPr="007201B0" w:rsidRDefault="0045492A" w:rsidP="00A60F99">
      <w:pPr>
        <w:pStyle w:val="ListParagraph"/>
        <w:numPr>
          <w:ilvl w:val="0"/>
          <w:numId w:val="52"/>
        </w:numPr>
        <w:suppressLineNumbers/>
        <w:suppressAutoHyphens/>
        <w:kinsoku w:val="0"/>
        <w:overflowPunct w:val="0"/>
        <w:autoSpaceDE w:val="0"/>
        <w:autoSpaceDN w:val="0"/>
        <w:adjustRightInd w:val="0"/>
        <w:snapToGrid w:val="0"/>
        <w:spacing w:after="120"/>
        <w:ind w:left="0" w:firstLine="0"/>
        <w:contextualSpacing w:val="0"/>
        <w:rPr>
          <w:noProof/>
          <w:snapToGrid w:val="0"/>
          <w:kern w:val="22"/>
          <w:szCs w:val="22"/>
          <w:lang w:val="fr-CA"/>
        </w:rPr>
      </w:pPr>
      <w:r>
        <w:rPr>
          <w:snapToGrid w:val="0"/>
          <w:kern w:val="22"/>
          <w:szCs w:val="22"/>
          <w:lang w:val="fr-CA"/>
        </w:rPr>
        <w:t>L</w:t>
      </w:r>
      <w:r w:rsidR="00466152">
        <w:rPr>
          <w:snapToGrid w:val="0"/>
          <w:kern w:val="22"/>
          <w:szCs w:val="22"/>
          <w:lang w:val="fr-CA"/>
        </w:rPr>
        <w:t>’</w:t>
      </w:r>
      <w:r>
        <w:rPr>
          <w:snapToGrid w:val="0"/>
          <w:kern w:val="22"/>
          <w:szCs w:val="22"/>
          <w:lang w:val="fr-CA"/>
        </w:rPr>
        <w:t xml:space="preserve">initiative BIOFIN du PNUD a fourni des informations actualisées sur les progrès accomplis par les pays participants suivant les étapes de la méthodologie BIOFIN, qui correspondent à certains objectifs </w:t>
      </w:r>
      <w:r>
        <w:rPr>
          <w:snapToGrid w:val="0"/>
          <w:kern w:val="22"/>
          <w:szCs w:val="22"/>
          <w:lang w:val="fr-CA"/>
        </w:rPr>
        <w:lastRenderedPageBreak/>
        <w:t>de mobilisation de ressources. Ces informations sont présentées à l</w:t>
      </w:r>
      <w:r w:rsidR="00466152">
        <w:rPr>
          <w:snapToGrid w:val="0"/>
          <w:kern w:val="22"/>
          <w:szCs w:val="22"/>
          <w:lang w:val="fr-CA"/>
        </w:rPr>
        <w:t>’</w:t>
      </w:r>
      <w:r>
        <w:rPr>
          <w:snapToGrid w:val="0"/>
          <w:kern w:val="22"/>
          <w:szCs w:val="22"/>
          <w:lang w:val="fr-CA"/>
        </w:rPr>
        <w:t>annexe II. Au total, 14 pays en sont à l</w:t>
      </w:r>
      <w:r w:rsidR="00466152">
        <w:rPr>
          <w:snapToGrid w:val="0"/>
          <w:kern w:val="22"/>
          <w:szCs w:val="22"/>
          <w:lang w:val="fr-CA"/>
        </w:rPr>
        <w:t>’</w:t>
      </w:r>
      <w:r>
        <w:rPr>
          <w:snapToGrid w:val="0"/>
          <w:kern w:val="22"/>
          <w:szCs w:val="22"/>
          <w:lang w:val="fr-CA"/>
        </w:rPr>
        <w:t xml:space="preserve">étape de préparation de </w:t>
      </w:r>
      <w:r>
        <w:rPr>
          <w:noProof/>
          <w:snapToGrid w:val="0"/>
          <w:kern w:val="22"/>
          <w:szCs w:val="22"/>
          <w:lang w:val="fr-CA"/>
        </w:rPr>
        <w:t>leur rapport final sur l</w:t>
      </w:r>
      <w:r w:rsidR="00466152">
        <w:rPr>
          <w:noProof/>
          <w:snapToGrid w:val="0"/>
          <w:kern w:val="22"/>
          <w:szCs w:val="22"/>
          <w:lang w:val="fr-CA"/>
        </w:rPr>
        <w:t>’</w:t>
      </w:r>
      <w:r>
        <w:rPr>
          <w:noProof/>
          <w:snapToGrid w:val="0"/>
          <w:kern w:val="22"/>
          <w:szCs w:val="22"/>
          <w:lang w:val="fr-CA"/>
        </w:rPr>
        <w:t>analyse des dépenses</w:t>
      </w:r>
      <w:r w:rsidR="001003BB">
        <w:rPr>
          <w:noProof/>
          <w:snapToGrid w:val="0"/>
          <w:kern w:val="22"/>
          <w:szCs w:val="22"/>
          <w:lang w:val="fr-CA"/>
        </w:rPr>
        <w:t xml:space="preserve"> liées à la biodiversité. Les équipes de pays BIOFIN ont présenté les résultats de leurs évaluations à la troisième conférence mondiale sur l</w:t>
      </w:r>
      <w:r w:rsidR="00466152">
        <w:rPr>
          <w:noProof/>
          <w:snapToGrid w:val="0"/>
          <w:kern w:val="22"/>
          <w:szCs w:val="22"/>
          <w:lang w:val="fr-CA"/>
        </w:rPr>
        <w:t>’</w:t>
      </w:r>
      <w:r w:rsidR="001003BB">
        <w:rPr>
          <w:noProof/>
          <w:snapToGrid w:val="0"/>
          <w:kern w:val="22"/>
          <w:szCs w:val="22"/>
          <w:lang w:val="fr-CA"/>
        </w:rPr>
        <w:t>initiative BIOFIN, tenue à Chennai (Inde), du 6 au 8 mars 2018.</w:t>
      </w:r>
      <w:r w:rsidR="001003BB" w:rsidRPr="007201B0">
        <w:rPr>
          <w:rStyle w:val="FootnoteReference"/>
          <w:noProof/>
          <w:snapToGrid w:val="0"/>
          <w:kern w:val="22"/>
          <w:szCs w:val="22"/>
          <w:lang w:val="fr-CA"/>
        </w:rPr>
        <w:footnoteReference w:id="13"/>
      </w:r>
      <w:r w:rsidR="001003BB" w:rsidRPr="007201B0">
        <w:rPr>
          <w:noProof/>
          <w:snapToGrid w:val="0"/>
          <w:kern w:val="22"/>
          <w:szCs w:val="22"/>
          <w:lang w:val="fr-CA"/>
        </w:rPr>
        <w:t xml:space="preserve"> </w:t>
      </w:r>
      <w:r w:rsidR="001003BB">
        <w:rPr>
          <w:noProof/>
          <w:snapToGrid w:val="0"/>
          <w:kern w:val="22"/>
          <w:szCs w:val="22"/>
          <w:lang w:val="fr-CA"/>
        </w:rPr>
        <w:t>Par exemple :</w:t>
      </w:r>
    </w:p>
    <w:p w:rsidR="00855A78" w:rsidRPr="007201B0" w:rsidRDefault="001003BB" w:rsidP="00A60F99">
      <w:pPr>
        <w:numPr>
          <w:ilvl w:val="0"/>
          <w:numId w:val="59"/>
        </w:numPr>
        <w:suppressLineNumbers/>
        <w:suppressAutoHyphens/>
        <w:kinsoku w:val="0"/>
        <w:overflowPunct w:val="0"/>
        <w:autoSpaceDE w:val="0"/>
        <w:autoSpaceDN w:val="0"/>
        <w:adjustRightInd w:val="0"/>
        <w:snapToGrid w:val="0"/>
        <w:spacing w:after="120"/>
        <w:ind w:left="0" w:firstLine="720"/>
        <w:rPr>
          <w:snapToGrid w:val="0"/>
          <w:kern w:val="22"/>
          <w:szCs w:val="22"/>
          <w:lang w:val="fr-CA"/>
        </w:rPr>
      </w:pPr>
      <w:r>
        <w:rPr>
          <w:noProof/>
          <w:snapToGrid w:val="0"/>
          <w:kern w:val="22"/>
          <w:szCs w:val="22"/>
          <w:lang w:val="fr-CA"/>
        </w:rPr>
        <w:t xml:space="preserve">En Colombie, </w:t>
      </w:r>
      <w:r w:rsidR="006C4FEA">
        <w:rPr>
          <w:noProof/>
          <w:snapToGrid w:val="0"/>
          <w:kern w:val="22"/>
          <w:szCs w:val="22"/>
          <w:lang w:val="fr-CA"/>
        </w:rPr>
        <w:t>les dépenses totales liées à la biodiversité s</w:t>
      </w:r>
      <w:r w:rsidR="00466152">
        <w:rPr>
          <w:noProof/>
          <w:snapToGrid w:val="0"/>
          <w:kern w:val="22"/>
          <w:szCs w:val="22"/>
          <w:lang w:val="fr-CA"/>
        </w:rPr>
        <w:t>’</w:t>
      </w:r>
      <w:r w:rsidR="006C4FEA">
        <w:rPr>
          <w:noProof/>
          <w:snapToGrid w:val="0"/>
          <w:kern w:val="22"/>
          <w:szCs w:val="22"/>
          <w:lang w:val="fr-CA"/>
        </w:rPr>
        <w:t>élèvent à près de</w:t>
      </w:r>
      <w:r>
        <w:rPr>
          <w:noProof/>
          <w:snapToGrid w:val="0"/>
          <w:kern w:val="22"/>
          <w:szCs w:val="22"/>
          <w:lang w:val="fr-CA"/>
        </w:rPr>
        <w:t xml:space="preserve"> </w:t>
      </w:r>
      <w:r w:rsidR="006C4FEA">
        <w:rPr>
          <w:noProof/>
          <w:snapToGrid w:val="0"/>
          <w:kern w:val="22"/>
          <w:szCs w:val="22"/>
          <w:lang w:val="fr-CA"/>
        </w:rPr>
        <w:t>272 </w:t>
      </w:r>
      <w:r w:rsidR="006C4FEA" w:rsidRPr="007201B0">
        <w:rPr>
          <w:noProof/>
          <w:snapToGrid w:val="0"/>
          <w:kern w:val="22"/>
          <w:szCs w:val="22"/>
          <w:lang w:val="fr-CA"/>
        </w:rPr>
        <w:t>million</w:t>
      </w:r>
      <w:r w:rsidR="006C4FEA">
        <w:rPr>
          <w:noProof/>
          <w:snapToGrid w:val="0"/>
          <w:kern w:val="22"/>
          <w:szCs w:val="22"/>
          <w:lang w:val="fr-CA"/>
        </w:rPr>
        <w:t>s USD, en moyenne 0,23 pour cent du produit intérieur brut (PIB), 0,5 pour cent des dépenses publiques, et 24 pour cent des dépenses</w:t>
      </w:r>
      <w:r w:rsidR="006C4FEA">
        <w:rPr>
          <w:snapToGrid w:val="0"/>
          <w:kern w:val="22"/>
          <w:szCs w:val="22"/>
          <w:lang w:val="fr-CA"/>
        </w:rPr>
        <w:t xml:space="preserve"> nationales liées à l</w:t>
      </w:r>
      <w:r w:rsidR="00466152">
        <w:rPr>
          <w:snapToGrid w:val="0"/>
          <w:kern w:val="22"/>
          <w:szCs w:val="22"/>
          <w:lang w:val="fr-CA"/>
        </w:rPr>
        <w:t>’</w:t>
      </w:r>
      <w:r w:rsidR="006C4FEA">
        <w:rPr>
          <w:snapToGrid w:val="0"/>
          <w:kern w:val="22"/>
          <w:szCs w:val="22"/>
          <w:lang w:val="fr-CA"/>
        </w:rPr>
        <w:t>environnement;</w:t>
      </w:r>
    </w:p>
    <w:p w:rsidR="00855A78" w:rsidRPr="007201B0" w:rsidRDefault="00A853E9" w:rsidP="00A60F99">
      <w:pPr>
        <w:numPr>
          <w:ilvl w:val="0"/>
          <w:numId w:val="59"/>
        </w:numPr>
        <w:suppressLineNumbers/>
        <w:suppressAutoHyphens/>
        <w:kinsoku w:val="0"/>
        <w:overflowPunct w:val="0"/>
        <w:autoSpaceDE w:val="0"/>
        <w:autoSpaceDN w:val="0"/>
        <w:adjustRightInd w:val="0"/>
        <w:snapToGrid w:val="0"/>
        <w:spacing w:after="120"/>
        <w:ind w:left="0" w:firstLine="720"/>
        <w:rPr>
          <w:snapToGrid w:val="0"/>
          <w:kern w:val="22"/>
          <w:szCs w:val="22"/>
          <w:lang w:val="fr-CA"/>
        </w:rPr>
      </w:pPr>
      <w:r>
        <w:rPr>
          <w:snapToGrid w:val="0"/>
          <w:kern w:val="22"/>
          <w:szCs w:val="22"/>
          <w:lang w:val="fr-CA"/>
        </w:rPr>
        <w:t>Au Mexique, les dépenses liées à la biodiversité</w:t>
      </w:r>
      <w:r w:rsidR="004905B0">
        <w:rPr>
          <w:snapToGrid w:val="0"/>
          <w:kern w:val="22"/>
          <w:szCs w:val="22"/>
          <w:lang w:val="fr-CA"/>
        </w:rPr>
        <w:t xml:space="preserve"> ont augmenté de 248 pour cent de 2006 à 2015 (de 425,6 </w:t>
      </w:r>
      <w:r w:rsidR="004905B0" w:rsidRPr="007201B0">
        <w:rPr>
          <w:snapToGrid w:val="0"/>
          <w:kern w:val="22"/>
          <w:szCs w:val="22"/>
          <w:lang w:val="fr-CA"/>
        </w:rPr>
        <w:t>million</w:t>
      </w:r>
      <w:r w:rsidR="004905B0">
        <w:rPr>
          <w:snapToGrid w:val="0"/>
          <w:kern w:val="22"/>
          <w:szCs w:val="22"/>
          <w:lang w:val="fr-CA"/>
        </w:rPr>
        <w:t>s USD</w:t>
      </w:r>
      <w:r w:rsidR="004905B0" w:rsidRPr="007201B0">
        <w:rPr>
          <w:snapToGrid w:val="0"/>
          <w:kern w:val="22"/>
          <w:szCs w:val="22"/>
          <w:lang w:val="fr-CA"/>
        </w:rPr>
        <w:t xml:space="preserve"> </w:t>
      </w:r>
      <w:r w:rsidR="004905B0">
        <w:rPr>
          <w:snapToGrid w:val="0"/>
          <w:kern w:val="22"/>
          <w:szCs w:val="22"/>
          <w:lang w:val="fr-CA"/>
        </w:rPr>
        <w:t>à</w:t>
      </w:r>
      <w:r w:rsidR="004905B0" w:rsidRPr="007201B0">
        <w:rPr>
          <w:snapToGrid w:val="0"/>
          <w:kern w:val="22"/>
          <w:szCs w:val="22"/>
          <w:lang w:val="fr-CA"/>
        </w:rPr>
        <w:t xml:space="preserve"> </w:t>
      </w:r>
      <w:r w:rsidR="004905B0">
        <w:rPr>
          <w:snapToGrid w:val="0"/>
          <w:kern w:val="22"/>
          <w:szCs w:val="22"/>
          <w:lang w:val="fr-CA"/>
        </w:rPr>
        <w:t>1 169,8 </w:t>
      </w:r>
      <w:r w:rsidR="004905B0" w:rsidRPr="007201B0">
        <w:rPr>
          <w:snapToGrid w:val="0"/>
          <w:kern w:val="22"/>
          <w:szCs w:val="22"/>
          <w:lang w:val="fr-CA"/>
        </w:rPr>
        <w:t>million</w:t>
      </w:r>
      <w:r w:rsidR="004905B0">
        <w:rPr>
          <w:snapToGrid w:val="0"/>
          <w:kern w:val="22"/>
          <w:szCs w:val="22"/>
          <w:lang w:val="fr-CA"/>
        </w:rPr>
        <w:t>s USD); en 2015, les dépenses publiques liées à la biodiversité ont représenté 0,1 pour cent</w:t>
      </w:r>
      <w:r w:rsidR="00A60F99">
        <w:rPr>
          <w:snapToGrid w:val="0"/>
          <w:kern w:val="22"/>
          <w:szCs w:val="22"/>
          <w:lang w:val="fr-CA"/>
        </w:rPr>
        <w:t xml:space="preserve"> du PBI;</w:t>
      </w:r>
    </w:p>
    <w:p w:rsidR="00855A78" w:rsidRPr="007201B0" w:rsidRDefault="00380136" w:rsidP="00A60F99">
      <w:pPr>
        <w:numPr>
          <w:ilvl w:val="0"/>
          <w:numId w:val="59"/>
        </w:numPr>
        <w:suppressLineNumbers/>
        <w:suppressAutoHyphens/>
        <w:kinsoku w:val="0"/>
        <w:overflowPunct w:val="0"/>
        <w:autoSpaceDE w:val="0"/>
        <w:autoSpaceDN w:val="0"/>
        <w:adjustRightInd w:val="0"/>
        <w:snapToGrid w:val="0"/>
        <w:spacing w:after="120"/>
        <w:ind w:left="0" w:firstLine="720"/>
        <w:rPr>
          <w:snapToGrid w:val="0"/>
          <w:kern w:val="22"/>
          <w:szCs w:val="22"/>
          <w:lang w:val="fr-CA"/>
        </w:rPr>
      </w:pPr>
      <w:r>
        <w:rPr>
          <w:snapToGrid w:val="0"/>
          <w:kern w:val="22"/>
          <w:szCs w:val="22"/>
          <w:lang w:val="fr-CA"/>
        </w:rPr>
        <w:t>Dans les Philippines, 4,9 milliards de pesos ont été dépensés sur la biodiversité par année entre 2008 et 2013, ce qui représente 0,08 pour cent du PIB pour 2008 à 2013, et 0,31 pour cent</w:t>
      </w:r>
      <w:r w:rsidR="00A60F99">
        <w:rPr>
          <w:snapToGrid w:val="0"/>
          <w:kern w:val="22"/>
          <w:szCs w:val="22"/>
          <w:lang w:val="fr-CA"/>
        </w:rPr>
        <w:t xml:space="preserve"> des budgets nationaux;</w:t>
      </w:r>
    </w:p>
    <w:p w:rsidR="00FF546A" w:rsidRPr="007201B0" w:rsidRDefault="00380136" w:rsidP="00A60F99">
      <w:pPr>
        <w:numPr>
          <w:ilvl w:val="0"/>
          <w:numId w:val="52"/>
        </w:numPr>
        <w:suppressLineNumbers/>
        <w:suppressAutoHyphens/>
        <w:kinsoku w:val="0"/>
        <w:overflowPunct w:val="0"/>
        <w:autoSpaceDE w:val="0"/>
        <w:autoSpaceDN w:val="0"/>
        <w:adjustRightInd w:val="0"/>
        <w:snapToGrid w:val="0"/>
        <w:spacing w:after="240"/>
        <w:ind w:left="0" w:firstLine="0"/>
        <w:rPr>
          <w:snapToGrid w:val="0"/>
          <w:kern w:val="22"/>
          <w:szCs w:val="22"/>
          <w:lang w:val="fr-CA"/>
        </w:rPr>
      </w:pPr>
      <w:r>
        <w:rPr>
          <w:snapToGrid w:val="0"/>
          <w:kern w:val="22"/>
          <w:szCs w:val="22"/>
          <w:lang w:val="fr-CA"/>
        </w:rPr>
        <w:t>Au niveau régional, les dépenses liées à la biodiversité des pays BIOFIN dans la région Amérique latine et Caraïbes s</w:t>
      </w:r>
      <w:r w:rsidR="00466152">
        <w:rPr>
          <w:snapToGrid w:val="0"/>
          <w:kern w:val="22"/>
          <w:szCs w:val="22"/>
          <w:lang w:val="fr-CA"/>
        </w:rPr>
        <w:t>’</w:t>
      </w:r>
      <w:r>
        <w:rPr>
          <w:snapToGrid w:val="0"/>
          <w:kern w:val="22"/>
          <w:szCs w:val="22"/>
          <w:lang w:val="fr-CA"/>
        </w:rPr>
        <w:t>élève, en moyenne, à 0,14 pour cent du PIB.</w:t>
      </w:r>
    </w:p>
    <w:p w:rsidR="00FF546A" w:rsidRPr="007201B0" w:rsidRDefault="00FF546A" w:rsidP="00490BF5">
      <w:pPr>
        <w:keepNext/>
        <w:suppressLineNumbers/>
        <w:suppressAutoHyphens/>
        <w:kinsoku w:val="0"/>
        <w:overflowPunct w:val="0"/>
        <w:autoSpaceDE w:val="0"/>
        <w:autoSpaceDN w:val="0"/>
        <w:adjustRightInd w:val="0"/>
        <w:snapToGrid w:val="0"/>
        <w:spacing w:after="120"/>
        <w:jc w:val="left"/>
        <w:rPr>
          <w:snapToGrid w:val="0"/>
          <w:kern w:val="22"/>
          <w:szCs w:val="22"/>
          <w:lang w:val="fr-CA"/>
        </w:rPr>
      </w:pPr>
      <w:r w:rsidRPr="007201B0">
        <w:rPr>
          <w:b/>
          <w:snapToGrid w:val="0"/>
          <w:kern w:val="22"/>
          <w:szCs w:val="22"/>
          <w:lang w:val="fr-CA"/>
        </w:rPr>
        <w:t>Table</w:t>
      </w:r>
      <w:r w:rsidR="003A650A">
        <w:rPr>
          <w:b/>
          <w:snapToGrid w:val="0"/>
          <w:kern w:val="22"/>
          <w:szCs w:val="22"/>
          <w:lang w:val="fr-CA"/>
        </w:rPr>
        <w:t>au </w:t>
      </w:r>
      <w:r w:rsidR="00921B38" w:rsidRPr="007201B0">
        <w:rPr>
          <w:b/>
          <w:snapToGrid w:val="0"/>
          <w:kern w:val="22"/>
          <w:szCs w:val="22"/>
          <w:lang w:val="fr-CA"/>
        </w:rPr>
        <w:t>5.</w:t>
      </w:r>
      <w:r w:rsidRPr="007201B0">
        <w:rPr>
          <w:b/>
          <w:snapToGrid w:val="0"/>
          <w:kern w:val="22"/>
          <w:szCs w:val="22"/>
          <w:lang w:val="fr-CA"/>
        </w:rPr>
        <w:t xml:space="preserve"> </w:t>
      </w:r>
      <w:r w:rsidR="001439F6">
        <w:rPr>
          <w:b/>
          <w:snapToGrid w:val="0"/>
          <w:kern w:val="22"/>
          <w:szCs w:val="22"/>
          <w:lang w:val="fr-CA"/>
        </w:rPr>
        <w:t>Tendances d</w:t>
      </w:r>
      <w:r w:rsidR="003A650A">
        <w:rPr>
          <w:b/>
          <w:snapToGrid w:val="0"/>
          <w:kern w:val="22"/>
          <w:szCs w:val="22"/>
          <w:lang w:val="fr-CA"/>
        </w:rPr>
        <w:t>es dépenses national</w:t>
      </w:r>
      <w:r w:rsidR="001439F6">
        <w:rPr>
          <w:b/>
          <w:snapToGrid w:val="0"/>
          <w:kern w:val="22"/>
          <w:szCs w:val="22"/>
          <w:lang w:val="fr-CA"/>
        </w:rPr>
        <w: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224"/>
        <w:gridCol w:w="1151"/>
        <w:gridCol w:w="1167"/>
        <w:gridCol w:w="906"/>
        <w:gridCol w:w="1022"/>
      </w:tblGrid>
      <w:tr w:rsidR="00855A78" w:rsidRPr="007201B0" w:rsidTr="00490BF5">
        <w:trPr>
          <w:cantSplit/>
          <w:jc w:val="center"/>
        </w:trPr>
        <w:tc>
          <w:tcPr>
            <w:tcW w:w="4248" w:type="dxa"/>
            <w:shd w:val="clear" w:color="auto" w:fill="auto"/>
          </w:tcPr>
          <w:p w:rsidR="00855A78" w:rsidRPr="007201B0" w:rsidRDefault="00855A78" w:rsidP="00490BF5">
            <w:pPr>
              <w:suppressLineNumbers/>
              <w:suppressAutoHyphens/>
              <w:kinsoku w:val="0"/>
              <w:overflowPunct w:val="0"/>
              <w:autoSpaceDE w:val="0"/>
              <w:autoSpaceDN w:val="0"/>
              <w:adjustRightInd w:val="0"/>
              <w:snapToGrid w:val="0"/>
              <w:ind w:left="360"/>
              <w:rPr>
                <w:bCs/>
                <w:snapToGrid w:val="0"/>
                <w:kern w:val="22"/>
                <w:szCs w:val="22"/>
                <w:lang w:val="fr-CA"/>
              </w:rPr>
            </w:pPr>
          </w:p>
        </w:tc>
        <w:tc>
          <w:tcPr>
            <w:tcW w:w="1170" w:type="dxa"/>
            <w:shd w:val="clear" w:color="auto" w:fill="auto"/>
          </w:tcPr>
          <w:p w:rsidR="00855A78" w:rsidRPr="007201B0" w:rsidRDefault="001439F6" w:rsidP="00490BF5">
            <w:pPr>
              <w:suppressLineNumbers/>
              <w:suppressAutoHyphens/>
              <w:kinsoku w:val="0"/>
              <w:overflowPunct w:val="0"/>
              <w:autoSpaceDE w:val="0"/>
              <w:autoSpaceDN w:val="0"/>
              <w:adjustRightInd w:val="0"/>
              <w:snapToGrid w:val="0"/>
              <w:ind w:left="360"/>
              <w:rPr>
                <w:i/>
                <w:snapToGrid w:val="0"/>
                <w:kern w:val="22"/>
                <w:szCs w:val="22"/>
                <w:lang w:val="fr-CA"/>
              </w:rPr>
            </w:pPr>
            <w:r>
              <w:rPr>
                <w:i/>
                <w:snapToGrid w:val="0"/>
                <w:kern w:val="22"/>
                <w:szCs w:val="22"/>
                <w:lang w:val="fr-CA"/>
              </w:rPr>
              <w:t>Hausse</w:t>
            </w:r>
          </w:p>
        </w:tc>
        <w:tc>
          <w:tcPr>
            <w:tcW w:w="1080" w:type="dxa"/>
            <w:shd w:val="clear" w:color="auto" w:fill="auto"/>
          </w:tcPr>
          <w:p w:rsidR="00855A78" w:rsidRPr="007201B0" w:rsidRDefault="001439F6" w:rsidP="00490BF5">
            <w:pPr>
              <w:suppressLineNumbers/>
              <w:suppressAutoHyphens/>
              <w:kinsoku w:val="0"/>
              <w:overflowPunct w:val="0"/>
              <w:autoSpaceDE w:val="0"/>
              <w:autoSpaceDN w:val="0"/>
              <w:adjustRightInd w:val="0"/>
              <w:snapToGrid w:val="0"/>
              <w:ind w:left="360"/>
              <w:rPr>
                <w:i/>
                <w:snapToGrid w:val="0"/>
                <w:kern w:val="22"/>
                <w:szCs w:val="22"/>
                <w:lang w:val="fr-CA"/>
              </w:rPr>
            </w:pPr>
            <w:r>
              <w:rPr>
                <w:i/>
                <w:snapToGrid w:val="0"/>
                <w:kern w:val="22"/>
                <w:szCs w:val="22"/>
                <w:lang w:val="fr-CA"/>
              </w:rPr>
              <w:t>Baisse</w:t>
            </w:r>
          </w:p>
        </w:tc>
        <w:tc>
          <w:tcPr>
            <w:tcW w:w="1080" w:type="dxa"/>
            <w:shd w:val="clear" w:color="auto" w:fill="auto"/>
          </w:tcPr>
          <w:p w:rsidR="00855A78" w:rsidRPr="007201B0" w:rsidRDefault="001439F6" w:rsidP="00490BF5">
            <w:pPr>
              <w:suppressLineNumbers/>
              <w:suppressAutoHyphens/>
              <w:kinsoku w:val="0"/>
              <w:overflowPunct w:val="0"/>
              <w:autoSpaceDE w:val="0"/>
              <w:autoSpaceDN w:val="0"/>
              <w:adjustRightInd w:val="0"/>
              <w:snapToGrid w:val="0"/>
              <w:ind w:left="360"/>
              <w:rPr>
                <w:i/>
                <w:snapToGrid w:val="0"/>
                <w:kern w:val="22"/>
                <w:szCs w:val="22"/>
                <w:lang w:val="fr-CA"/>
              </w:rPr>
            </w:pPr>
            <w:r>
              <w:rPr>
                <w:i/>
                <w:snapToGrid w:val="0"/>
                <w:kern w:val="22"/>
                <w:szCs w:val="22"/>
                <w:lang w:val="fr-CA"/>
              </w:rPr>
              <w:t>Neutre</w:t>
            </w:r>
          </w:p>
        </w:tc>
        <w:tc>
          <w:tcPr>
            <w:tcW w:w="900" w:type="dxa"/>
            <w:shd w:val="clear" w:color="auto" w:fill="auto"/>
          </w:tcPr>
          <w:p w:rsidR="00855A78" w:rsidRPr="007201B0" w:rsidRDefault="001439F6" w:rsidP="00490BF5">
            <w:pPr>
              <w:suppressLineNumbers/>
              <w:suppressAutoHyphens/>
              <w:kinsoku w:val="0"/>
              <w:overflowPunct w:val="0"/>
              <w:autoSpaceDE w:val="0"/>
              <w:autoSpaceDN w:val="0"/>
              <w:adjustRightInd w:val="0"/>
              <w:snapToGrid w:val="0"/>
              <w:ind w:left="360"/>
              <w:rPr>
                <w:i/>
                <w:snapToGrid w:val="0"/>
                <w:kern w:val="22"/>
                <w:szCs w:val="22"/>
                <w:lang w:val="fr-CA"/>
              </w:rPr>
            </w:pPr>
            <w:r>
              <w:rPr>
                <w:i/>
                <w:snapToGrid w:val="0"/>
                <w:kern w:val="22"/>
                <w:szCs w:val="22"/>
                <w:lang w:val="fr-CA"/>
              </w:rPr>
              <w:t>S/O</w:t>
            </w:r>
          </w:p>
        </w:tc>
        <w:tc>
          <w:tcPr>
            <w:tcW w:w="1022" w:type="dxa"/>
            <w:shd w:val="clear" w:color="auto" w:fill="auto"/>
          </w:tcPr>
          <w:p w:rsidR="00855A78" w:rsidRPr="007201B0" w:rsidRDefault="00855A78" w:rsidP="00490BF5">
            <w:pPr>
              <w:suppressLineNumbers/>
              <w:suppressAutoHyphens/>
              <w:kinsoku w:val="0"/>
              <w:overflowPunct w:val="0"/>
              <w:autoSpaceDE w:val="0"/>
              <w:autoSpaceDN w:val="0"/>
              <w:adjustRightInd w:val="0"/>
              <w:snapToGrid w:val="0"/>
              <w:ind w:left="360"/>
              <w:rPr>
                <w:i/>
                <w:snapToGrid w:val="0"/>
                <w:kern w:val="22"/>
                <w:szCs w:val="22"/>
                <w:lang w:val="fr-CA"/>
              </w:rPr>
            </w:pPr>
            <w:r w:rsidRPr="007201B0">
              <w:rPr>
                <w:i/>
                <w:snapToGrid w:val="0"/>
                <w:kern w:val="22"/>
                <w:szCs w:val="22"/>
                <w:lang w:val="fr-CA"/>
              </w:rPr>
              <w:t>Total</w:t>
            </w:r>
          </w:p>
        </w:tc>
      </w:tr>
      <w:tr w:rsidR="00855A78" w:rsidRPr="007201B0" w:rsidTr="00490BF5">
        <w:trPr>
          <w:cantSplit/>
          <w:jc w:val="center"/>
        </w:trPr>
        <w:tc>
          <w:tcPr>
            <w:tcW w:w="4248" w:type="dxa"/>
            <w:shd w:val="clear" w:color="auto" w:fill="auto"/>
          </w:tcPr>
          <w:p w:rsidR="00855A78" w:rsidRPr="001439F6" w:rsidRDefault="001439F6" w:rsidP="00490BF5">
            <w:pPr>
              <w:suppressLineNumbers/>
              <w:suppressAutoHyphens/>
              <w:kinsoku w:val="0"/>
              <w:overflowPunct w:val="0"/>
              <w:autoSpaceDE w:val="0"/>
              <w:autoSpaceDN w:val="0"/>
              <w:adjustRightInd w:val="0"/>
              <w:snapToGrid w:val="0"/>
              <w:rPr>
                <w:snapToGrid w:val="0"/>
                <w:kern w:val="22"/>
                <w:szCs w:val="22"/>
                <w:lang w:val="fr-CA"/>
              </w:rPr>
            </w:pPr>
            <w:r w:rsidRPr="001439F6">
              <w:rPr>
                <w:snapToGrid w:val="0"/>
                <w:kern w:val="22"/>
                <w:szCs w:val="22"/>
                <w:lang w:val="fr-CA"/>
              </w:rPr>
              <w:t>Membres CAD</w:t>
            </w:r>
          </w:p>
        </w:tc>
        <w:tc>
          <w:tcPr>
            <w:tcW w:w="1170" w:type="dxa"/>
            <w:shd w:val="clear" w:color="auto" w:fill="auto"/>
          </w:tcPr>
          <w:p w:rsidR="00855A78" w:rsidRPr="007201B0"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7201B0">
              <w:rPr>
                <w:snapToGrid w:val="0"/>
                <w:kern w:val="22"/>
                <w:szCs w:val="22"/>
                <w:lang w:val="fr-CA"/>
              </w:rPr>
              <w:t>7</w:t>
            </w:r>
          </w:p>
        </w:tc>
        <w:tc>
          <w:tcPr>
            <w:tcW w:w="1080" w:type="dxa"/>
            <w:shd w:val="clear" w:color="auto" w:fill="auto"/>
          </w:tcPr>
          <w:p w:rsidR="00855A78" w:rsidRPr="007201B0"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7201B0">
              <w:rPr>
                <w:snapToGrid w:val="0"/>
                <w:kern w:val="22"/>
                <w:szCs w:val="22"/>
                <w:lang w:val="fr-CA"/>
              </w:rPr>
              <w:t>4</w:t>
            </w:r>
          </w:p>
        </w:tc>
        <w:tc>
          <w:tcPr>
            <w:tcW w:w="1080" w:type="dxa"/>
            <w:shd w:val="clear" w:color="auto" w:fill="auto"/>
          </w:tcPr>
          <w:p w:rsidR="00855A78" w:rsidRPr="007201B0"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7201B0">
              <w:rPr>
                <w:snapToGrid w:val="0"/>
                <w:kern w:val="22"/>
                <w:szCs w:val="22"/>
                <w:lang w:val="fr-CA"/>
              </w:rPr>
              <w:t>7</w:t>
            </w:r>
          </w:p>
        </w:tc>
        <w:tc>
          <w:tcPr>
            <w:tcW w:w="900" w:type="dxa"/>
            <w:shd w:val="clear" w:color="auto" w:fill="auto"/>
          </w:tcPr>
          <w:p w:rsidR="00855A78" w:rsidRPr="007201B0"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7201B0">
              <w:rPr>
                <w:snapToGrid w:val="0"/>
                <w:kern w:val="22"/>
                <w:szCs w:val="22"/>
                <w:lang w:val="fr-CA"/>
              </w:rPr>
              <w:t>3</w:t>
            </w:r>
          </w:p>
        </w:tc>
        <w:tc>
          <w:tcPr>
            <w:tcW w:w="1022" w:type="dxa"/>
            <w:shd w:val="clear" w:color="auto" w:fill="auto"/>
          </w:tcPr>
          <w:p w:rsidR="00855A78" w:rsidRPr="007201B0"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7201B0">
              <w:rPr>
                <w:snapToGrid w:val="0"/>
                <w:kern w:val="22"/>
                <w:szCs w:val="22"/>
                <w:lang w:val="fr-CA"/>
              </w:rPr>
              <w:t>21</w:t>
            </w:r>
          </w:p>
        </w:tc>
      </w:tr>
      <w:tr w:rsidR="00855A78" w:rsidRPr="007201B0" w:rsidTr="00490BF5">
        <w:trPr>
          <w:cantSplit/>
          <w:jc w:val="center"/>
        </w:trPr>
        <w:tc>
          <w:tcPr>
            <w:tcW w:w="4248" w:type="dxa"/>
            <w:shd w:val="clear" w:color="auto" w:fill="auto"/>
          </w:tcPr>
          <w:p w:rsidR="00855A78" w:rsidRPr="001439F6" w:rsidRDefault="001439F6" w:rsidP="00490BF5">
            <w:pPr>
              <w:suppressLineNumbers/>
              <w:suppressAutoHyphens/>
              <w:kinsoku w:val="0"/>
              <w:overflowPunct w:val="0"/>
              <w:autoSpaceDE w:val="0"/>
              <w:autoSpaceDN w:val="0"/>
              <w:adjustRightInd w:val="0"/>
              <w:snapToGrid w:val="0"/>
              <w:rPr>
                <w:noProof/>
                <w:snapToGrid w:val="0"/>
                <w:kern w:val="22"/>
                <w:szCs w:val="22"/>
                <w:lang w:val="fr-CA"/>
              </w:rPr>
            </w:pPr>
            <w:r w:rsidRPr="001439F6">
              <w:rPr>
                <w:noProof/>
                <w:snapToGrid w:val="0"/>
                <w:kern w:val="22"/>
                <w:szCs w:val="22"/>
                <w:lang w:val="fr-CA"/>
              </w:rPr>
              <w:t>Non</w:t>
            </w:r>
            <w:r w:rsidR="00466152">
              <w:rPr>
                <w:noProof/>
                <w:snapToGrid w:val="0"/>
                <w:kern w:val="22"/>
                <w:szCs w:val="22"/>
                <w:lang w:val="fr-CA"/>
              </w:rPr>
              <w:noBreakHyphen/>
            </w:r>
            <w:r w:rsidRPr="001439F6">
              <w:rPr>
                <w:noProof/>
                <w:snapToGrid w:val="0"/>
                <w:kern w:val="22"/>
                <w:szCs w:val="22"/>
                <w:lang w:val="fr-CA"/>
              </w:rPr>
              <w:t>membres CAD</w:t>
            </w:r>
          </w:p>
        </w:tc>
        <w:tc>
          <w:tcPr>
            <w:tcW w:w="1170" w:type="dxa"/>
            <w:shd w:val="clear" w:color="auto" w:fill="auto"/>
          </w:tcPr>
          <w:p w:rsidR="00855A78" w:rsidRPr="007201B0"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7201B0">
              <w:rPr>
                <w:snapToGrid w:val="0"/>
                <w:kern w:val="22"/>
                <w:szCs w:val="22"/>
                <w:lang w:val="fr-CA"/>
              </w:rPr>
              <w:t>16</w:t>
            </w:r>
          </w:p>
        </w:tc>
        <w:tc>
          <w:tcPr>
            <w:tcW w:w="1080" w:type="dxa"/>
            <w:shd w:val="clear" w:color="auto" w:fill="auto"/>
          </w:tcPr>
          <w:p w:rsidR="00855A78" w:rsidRPr="007201B0"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7201B0">
              <w:rPr>
                <w:snapToGrid w:val="0"/>
                <w:kern w:val="22"/>
                <w:szCs w:val="22"/>
                <w:lang w:val="fr-CA"/>
              </w:rPr>
              <w:t>3</w:t>
            </w:r>
          </w:p>
        </w:tc>
        <w:tc>
          <w:tcPr>
            <w:tcW w:w="1080" w:type="dxa"/>
            <w:shd w:val="clear" w:color="auto" w:fill="auto"/>
          </w:tcPr>
          <w:p w:rsidR="00855A78" w:rsidRPr="007201B0"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7201B0">
              <w:rPr>
                <w:snapToGrid w:val="0"/>
                <w:kern w:val="22"/>
                <w:szCs w:val="22"/>
                <w:lang w:val="fr-CA"/>
              </w:rPr>
              <w:t>10</w:t>
            </w:r>
          </w:p>
        </w:tc>
        <w:tc>
          <w:tcPr>
            <w:tcW w:w="900" w:type="dxa"/>
            <w:shd w:val="clear" w:color="auto" w:fill="auto"/>
          </w:tcPr>
          <w:p w:rsidR="00855A78" w:rsidRPr="007201B0"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7201B0">
              <w:rPr>
                <w:snapToGrid w:val="0"/>
                <w:kern w:val="22"/>
                <w:szCs w:val="22"/>
                <w:lang w:val="fr-CA"/>
              </w:rPr>
              <w:t>8</w:t>
            </w:r>
          </w:p>
        </w:tc>
        <w:tc>
          <w:tcPr>
            <w:tcW w:w="1022" w:type="dxa"/>
            <w:shd w:val="clear" w:color="auto" w:fill="auto"/>
          </w:tcPr>
          <w:p w:rsidR="00855A78" w:rsidRPr="007201B0"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7201B0">
              <w:rPr>
                <w:snapToGrid w:val="0"/>
                <w:kern w:val="22"/>
                <w:szCs w:val="22"/>
                <w:lang w:val="fr-CA"/>
              </w:rPr>
              <w:t>37</w:t>
            </w:r>
          </w:p>
        </w:tc>
      </w:tr>
      <w:tr w:rsidR="00855A78" w:rsidRPr="007201B0" w:rsidTr="00490BF5">
        <w:trPr>
          <w:cantSplit/>
          <w:jc w:val="center"/>
        </w:trPr>
        <w:tc>
          <w:tcPr>
            <w:tcW w:w="4248" w:type="dxa"/>
            <w:shd w:val="clear" w:color="auto" w:fill="auto"/>
          </w:tcPr>
          <w:p w:rsidR="00855A78" w:rsidRPr="001439F6" w:rsidRDefault="001439F6" w:rsidP="00490BF5">
            <w:pPr>
              <w:suppressLineNumbers/>
              <w:suppressAutoHyphens/>
              <w:kinsoku w:val="0"/>
              <w:overflowPunct w:val="0"/>
              <w:autoSpaceDE w:val="0"/>
              <w:autoSpaceDN w:val="0"/>
              <w:adjustRightInd w:val="0"/>
              <w:snapToGrid w:val="0"/>
              <w:rPr>
                <w:noProof/>
                <w:snapToGrid w:val="0"/>
                <w:kern w:val="22"/>
                <w:szCs w:val="22"/>
                <w:lang w:val="fr-CA"/>
              </w:rPr>
            </w:pPr>
            <w:r w:rsidRPr="001439F6">
              <w:rPr>
                <w:rStyle w:val="preferred"/>
                <w:noProof/>
                <w:lang w:val="fr-CA"/>
              </w:rPr>
              <w:t>Groupe de pays hyperdivers animés du même esprit</w:t>
            </w:r>
          </w:p>
        </w:tc>
        <w:tc>
          <w:tcPr>
            <w:tcW w:w="1170" w:type="dxa"/>
            <w:shd w:val="clear" w:color="auto" w:fill="auto"/>
          </w:tcPr>
          <w:p w:rsidR="00855A78" w:rsidRPr="007201B0"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7201B0">
              <w:rPr>
                <w:snapToGrid w:val="0"/>
                <w:kern w:val="22"/>
                <w:szCs w:val="22"/>
                <w:lang w:val="fr-CA"/>
              </w:rPr>
              <w:t>5</w:t>
            </w:r>
          </w:p>
        </w:tc>
        <w:tc>
          <w:tcPr>
            <w:tcW w:w="1080" w:type="dxa"/>
            <w:shd w:val="clear" w:color="auto" w:fill="auto"/>
          </w:tcPr>
          <w:p w:rsidR="00855A78" w:rsidRPr="007201B0"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7201B0">
              <w:rPr>
                <w:snapToGrid w:val="0"/>
                <w:kern w:val="22"/>
                <w:szCs w:val="22"/>
                <w:lang w:val="fr-CA"/>
              </w:rPr>
              <w:t>1</w:t>
            </w:r>
          </w:p>
        </w:tc>
        <w:tc>
          <w:tcPr>
            <w:tcW w:w="1080" w:type="dxa"/>
            <w:shd w:val="clear" w:color="auto" w:fill="auto"/>
          </w:tcPr>
          <w:p w:rsidR="00855A78" w:rsidRPr="007201B0"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7201B0">
              <w:rPr>
                <w:snapToGrid w:val="0"/>
                <w:kern w:val="22"/>
                <w:szCs w:val="22"/>
                <w:lang w:val="fr-CA"/>
              </w:rPr>
              <w:t>2</w:t>
            </w:r>
          </w:p>
        </w:tc>
        <w:tc>
          <w:tcPr>
            <w:tcW w:w="900" w:type="dxa"/>
            <w:shd w:val="clear" w:color="auto" w:fill="auto"/>
          </w:tcPr>
          <w:p w:rsidR="00855A78" w:rsidRPr="007201B0"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7201B0">
              <w:rPr>
                <w:snapToGrid w:val="0"/>
                <w:kern w:val="22"/>
                <w:szCs w:val="22"/>
                <w:lang w:val="fr-CA"/>
              </w:rPr>
              <w:t>0</w:t>
            </w:r>
          </w:p>
        </w:tc>
        <w:tc>
          <w:tcPr>
            <w:tcW w:w="1022" w:type="dxa"/>
            <w:shd w:val="clear" w:color="auto" w:fill="auto"/>
          </w:tcPr>
          <w:p w:rsidR="00855A78" w:rsidRPr="007201B0" w:rsidRDefault="00855A78" w:rsidP="00490BF5">
            <w:pPr>
              <w:suppressLineNumbers/>
              <w:suppressAutoHyphens/>
              <w:kinsoku w:val="0"/>
              <w:overflowPunct w:val="0"/>
              <w:autoSpaceDE w:val="0"/>
              <w:autoSpaceDN w:val="0"/>
              <w:adjustRightInd w:val="0"/>
              <w:snapToGrid w:val="0"/>
              <w:ind w:left="360"/>
              <w:jc w:val="center"/>
              <w:rPr>
                <w:snapToGrid w:val="0"/>
                <w:kern w:val="22"/>
                <w:szCs w:val="22"/>
                <w:lang w:val="fr-CA"/>
              </w:rPr>
            </w:pPr>
            <w:r w:rsidRPr="007201B0">
              <w:rPr>
                <w:snapToGrid w:val="0"/>
                <w:kern w:val="22"/>
                <w:szCs w:val="22"/>
                <w:lang w:val="fr-CA"/>
              </w:rPr>
              <w:t>8</w:t>
            </w:r>
          </w:p>
        </w:tc>
      </w:tr>
    </w:tbl>
    <w:p w:rsidR="00855A78" w:rsidRPr="007201B0" w:rsidRDefault="00855A78" w:rsidP="00FD728A">
      <w:pPr>
        <w:pStyle w:val="Heading1"/>
        <w:suppressLineNumbers/>
        <w:tabs>
          <w:tab w:val="clear" w:pos="720"/>
        </w:tabs>
        <w:suppressAutoHyphens/>
        <w:kinsoku w:val="0"/>
        <w:overflowPunct w:val="0"/>
        <w:autoSpaceDE w:val="0"/>
        <w:autoSpaceDN w:val="0"/>
        <w:adjustRightInd w:val="0"/>
        <w:snapToGrid w:val="0"/>
        <w:ind w:left="360"/>
        <w:rPr>
          <w:snapToGrid w:val="0"/>
          <w:kern w:val="22"/>
          <w:szCs w:val="22"/>
          <w:lang w:val="fr-CA"/>
        </w:rPr>
      </w:pPr>
      <w:r w:rsidRPr="007201B0">
        <w:rPr>
          <w:snapToGrid w:val="0"/>
          <w:kern w:val="22"/>
          <w:szCs w:val="22"/>
          <w:lang w:val="fr-CA"/>
        </w:rPr>
        <w:t>V.</w:t>
      </w:r>
      <w:r w:rsidR="00212214" w:rsidRPr="007201B0">
        <w:rPr>
          <w:snapToGrid w:val="0"/>
          <w:kern w:val="22"/>
          <w:szCs w:val="22"/>
          <w:lang w:val="fr-CA"/>
        </w:rPr>
        <w:tab/>
      </w:r>
      <w:r w:rsidR="00FD728A">
        <w:rPr>
          <w:snapToGrid w:val="0"/>
          <w:kern w:val="22"/>
          <w:szCs w:val="22"/>
          <w:lang w:val="fr-CA"/>
        </w:rPr>
        <w:t>évaluation du rôle des mesures collectives</w:t>
      </w:r>
    </w:p>
    <w:p w:rsidR="00855A78" w:rsidRPr="007201B0" w:rsidRDefault="00FD728A" w:rsidP="0048754E">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fr-CA"/>
        </w:rPr>
      </w:pPr>
      <w:r>
        <w:rPr>
          <w:snapToGrid w:val="0"/>
          <w:kern w:val="22"/>
          <w:szCs w:val="22"/>
          <w:lang w:val="fr-CA"/>
        </w:rPr>
        <w:t xml:space="preserve">Au total, 60 Parties ont fourni des informations </w:t>
      </w:r>
      <w:r w:rsidR="00ED7857">
        <w:rPr>
          <w:snapToGrid w:val="0"/>
          <w:kern w:val="22"/>
          <w:szCs w:val="22"/>
          <w:lang w:val="fr-CA"/>
        </w:rPr>
        <w:t>concernant l</w:t>
      </w:r>
      <w:r w:rsidR="00466152">
        <w:rPr>
          <w:snapToGrid w:val="0"/>
          <w:kern w:val="22"/>
          <w:szCs w:val="22"/>
          <w:lang w:val="fr-CA"/>
        </w:rPr>
        <w:t>’</w:t>
      </w:r>
      <w:r w:rsidR="00ED7857">
        <w:rPr>
          <w:snapToGrid w:val="0"/>
          <w:kern w:val="22"/>
          <w:szCs w:val="22"/>
          <w:lang w:val="fr-CA"/>
        </w:rPr>
        <w:t>évaluation du</w:t>
      </w:r>
      <w:r>
        <w:rPr>
          <w:snapToGrid w:val="0"/>
          <w:kern w:val="22"/>
          <w:szCs w:val="22"/>
          <w:lang w:val="fr-CA"/>
        </w:rPr>
        <w:t xml:space="preserve"> rôle des mesures collectives, y compris par les peuples autochtones et les communautés locales, et des approches non axées sur les ma</w:t>
      </w:r>
      <w:r w:rsidR="00ED7857">
        <w:rPr>
          <w:snapToGrid w:val="0"/>
          <w:kern w:val="22"/>
          <w:szCs w:val="22"/>
          <w:lang w:val="fr-CA"/>
        </w:rPr>
        <w:t>rchés pour</w:t>
      </w:r>
      <w:r>
        <w:rPr>
          <w:snapToGrid w:val="0"/>
          <w:kern w:val="22"/>
          <w:szCs w:val="22"/>
          <w:lang w:val="fr-CA"/>
        </w:rPr>
        <w:t xml:space="preserve"> la mobilisation de ressources</w:t>
      </w:r>
      <w:r w:rsidR="00ED7857">
        <w:rPr>
          <w:snapToGrid w:val="0"/>
          <w:kern w:val="22"/>
          <w:szCs w:val="22"/>
          <w:lang w:val="fr-CA"/>
        </w:rPr>
        <w:t xml:space="preserve"> afin de réaliser les objectifs de la Convention. Au total, 18 Parties ont estimé que ces évaluations étaient superflues, tandis que 36 Parties n</w:t>
      </w:r>
      <w:r w:rsidR="00466152">
        <w:rPr>
          <w:snapToGrid w:val="0"/>
          <w:kern w:val="22"/>
          <w:szCs w:val="22"/>
          <w:lang w:val="fr-CA"/>
        </w:rPr>
        <w:t>’</w:t>
      </w:r>
      <w:r w:rsidR="00ED7857">
        <w:rPr>
          <w:snapToGrid w:val="0"/>
          <w:kern w:val="22"/>
          <w:szCs w:val="22"/>
          <w:lang w:val="fr-CA"/>
        </w:rPr>
        <w:t>avaient pas encore commencé, et six ont indiqué que quelques évaluations avaient été faites.</w:t>
      </w:r>
      <w:r w:rsidR="004731A1">
        <w:rPr>
          <w:snapToGrid w:val="0"/>
          <w:kern w:val="22"/>
          <w:szCs w:val="22"/>
          <w:lang w:val="fr-CA"/>
        </w:rPr>
        <w:t xml:space="preserve"> Aucun pays n</w:t>
      </w:r>
      <w:r w:rsidR="00466152">
        <w:rPr>
          <w:snapToGrid w:val="0"/>
          <w:kern w:val="22"/>
          <w:szCs w:val="22"/>
          <w:lang w:val="fr-CA"/>
        </w:rPr>
        <w:t>’</w:t>
      </w:r>
      <w:r w:rsidR="004731A1">
        <w:rPr>
          <w:snapToGrid w:val="0"/>
          <w:kern w:val="22"/>
          <w:szCs w:val="22"/>
          <w:lang w:val="fr-CA"/>
        </w:rPr>
        <w:t>a indiqué que des évaluations exhaustives avaient été entreprises. Au total cinq pays (Afrique du Sud, Bolivie, Canada, Costa</w:t>
      </w:r>
      <w:r w:rsidR="00246A27">
        <w:rPr>
          <w:snapToGrid w:val="0"/>
          <w:kern w:val="22"/>
          <w:szCs w:val="22"/>
          <w:lang w:val="fr-CA"/>
        </w:rPr>
        <w:t> Rica, et Pérou) ont fourni des informations additionnelles sur cet aspect, qui est demeuré inchangé par rapport au dernier rapport.</w:t>
      </w:r>
      <w:r w:rsidR="00246A27" w:rsidRPr="007201B0">
        <w:rPr>
          <w:rStyle w:val="FootnoteReference"/>
          <w:snapToGrid w:val="0"/>
          <w:kern w:val="22"/>
          <w:szCs w:val="22"/>
          <w:lang w:val="fr-CA"/>
        </w:rPr>
        <w:footnoteReference w:id="14"/>
      </w:r>
      <w:r w:rsidR="00246A27" w:rsidRPr="007201B0">
        <w:rPr>
          <w:snapToGrid w:val="0"/>
          <w:kern w:val="22"/>
          <w:szCs w:val="22"/>
          <w:lang w:val="fr-CA"/>
        </w:rPr>
        <w:t xml:space="preserve"> </w:t>
      </w:r>
      <w:r w:rsidR="00854F2D">
        <w:rPr>
          <w:snapToGrid w:val="0"/>
          <w:kern w:val="22"/>
          <w:szCs w:val="22"/>
          <w:lang w:val="fr-CA"/>
        </w:rPr>
        <w:t>Ces informations comprennent des données monétaires ou autres : a) dans son rapport préliminaire, la Bolivie</w:t>
      </w:r>
      <w:r w:rsidR="00431BC6">
        <w:rPr>
          <w:snapToGrid w:val="0"/>
          <w:kern w:val="22"/>
          <w:szCs w:val="22"/>
          <w:lang w:val="fr-CA"/>
        </w:rPr>
        <w:t xml:space="preserve"> a évalué le rôle des mesures collectives à un équivalent monétaire approximatif de 360 </w:t>
      </w:r>
      <w:r w:rsidR="00431BC6" w:rsidRPr="007201B0">
        <w:rPr>
          <w:snapToGrid w:val="0"/>
          <w:kern w:val="22"/>
          <w:szCs w:val="22"/>
          <w:lang w:val="fr-CA"/>
        </w:rPr>
        <w:t>million</w:t>
      </w:r>
      <w:r w:rsidR="00431BC6">
        <w:rPr>
          <w:snapToGrid w:val="0"/>
          <w:kern w:val="22"/>
          <w:szCs w:val="22"/>
          <w:lang w:val="fr-CA"/>
        </w:rPr>
        <w:t> USD</w:t>
      </w:r>
      <w:r w:rsidR="00E14347">
        <w:rPr>
          <w:snapToGrid w:val="0"/>
          <w:kern w:val="22"/>
          <w:szCs w:val="22"/>
          <w:lang w:val="fr-CA"/>
        </w:rPr>
        <w:t xml:space="preserve"> annuellement entre 2006 et 2015; b) le Canada a mené à bien une évaluation partielle du rôle des mesures collectives sur la base d</w:t>
      </w:r>
      <w:r w:rsidR="008D4FDF">
        <w:rPr>
          <w:snapToGrid w:val="0"/>
          <w:kern w:val="22"/>
          <w:szCs w:val="22"/>
          <w:lang w:val="fr-CA"/>
        </w:rPr>
        <w:t xml:space="preserve">e 19 exemples de programmes ou </w:t>
      </w:r>
      <w:r w:rsidR="00E14347">
        <w:rPr>
          <w:snapToGrid w:val="0"/>
          <w:kern w:val="22"/>
          <w:szCs w:val="22"/>
          <w:lang w:val="fr-CA"/>
        </w:rPr>
        <w:t>initiatives d</w:t>
      </w:r>
      <w:r w:rsidR="00466152">
        <w:rPr>
          <w:snapToGrid w:val="0"/>
          <w:kern w:val="22"/>
          <w:szCs w:val="22"/>
          <w:lang w:val="fr-CA"/>
        </w:rPr>
        <w:t>’</w:t>
      </w:r>
      <w:r w:rsidR="00E14347">
        <w:rPr>
          <w:snapToGrid w:val="0"/>
          <w:kern w:val="22"/>
          <w:szCs w:val="22"/>
          <w:lang w:val="fr-CA"/>
        </w:rPr>
        <w:t>action collective s</w:t>
      </w:r>
      <w:r w:rsidR="00466152">
        <w:rPr>
          <w:snapToGrid w:val="0"/>
          <w:kern w:val="22"/>
          <w:szCs w:val="22"/>
          <w:lang w:val="fr-CA"/>
        </w:rPr>
        <w:t>’</w:t>
      </w:r>
      <w:r w:rsidR="00E14347">
        <w:rPr>
          <w:snapToGrid w:val="0"/>
          <w:kern w:val="22"/>
          <w:szCs w:val="22"/>
          <w:lang w:val="fr-CA"/>
        </w:rPr>
        <w:t>élevant à une moyenne annuelle de 151 </w:t>
      </w:r>
      <w:r w:rsidR="00E14347" w:rsidRPr="007201B0">
        <w:rPr>
          <w:snapToGrid w:val="0"/>
          <w:kern w:val="22"/>
          <w:szCs w:val="22"/>
          <w:lang w:val="fr-CA"/>
        </w:rPr>
        <w:t>million</w:t>
      </w:r>
      <w:r w:rsidR="00E14347">
        <w:rPr>
          <w:snapToGrid w:val="0"/>
          <w:kern w:val="22"/>
          <w:szCs w:val="22"/>
          <w:lang w:val="fr-CA"/>
        </w:rPr>
        <w:t>s CAD entre 2006 et 2014;</w:t>
      </w:r>
      <w:r w:rsidR="0048754E">
        <w:rPr>
          <w:snapToGrid w:val="0"/>
          <w:kern w:val="22"/>
          <w:szCs w:val="22"/>
          <w:lang w:val="fr-CA"/>
        </w:rPr>
        <w:t xml:space="preserve"> le Costa Rica a mentionné que 3 millions USD en paiements pour des </w:t>
      </w:r>
      <w:r w:rsidR="0048754E">
        <w:rPr>
          <w:noProof/>
          <w:snapToGrid w:val="0"/>
          <w:kern w:val="22"/>
          <w:szCs w:val="22"/>
          <w:lang w:val="fr-CA"/>
        </w:rPr>
        <w:t>services écosystémiques</w:t>
      </w:r>
      <w:r w:rsidR="0048754E">
        <w:rPr>
          <w:snapToGrid w:val="0"/>
          <w:kern w:val="22"/>
          <w:szCs w:val="22"/>
          <w:lang w:val="fr-CA"/>
        </w:rPr>
        <w:t xml:space="preserve"> ont été versés annuellement entre 2007 et 2011 aux peuples autochtones et aux communautés locales pour leur contribution à la conservation de la biodiversité; d) le Pérou a fait état de la contribution de petits exploitants agricoles à la conservation de la diversité génétique des pommes de terres qui s</w:t>
      </w:r>
      <w:r w:rsidR="00466152">
        <w:rPr>
          <w:snapToGrid w:val="0"/>
          <w:kern w:val="22"/>
          <w:szCs w:val="22"/>
          <w:lang w:val="fr-CA"/>
        </w:rPr>
        <w:t>’</w:t>
      </w:r>
      <w:r w:rsidR="0048754E">
        <w:rPr>
          <w:snapToGrid w:val="0"/>
          <w:kern w:val="22"/>
          <w:szCs w:val="22"/>
          <w:lang w:val="fr-CA"/>
        </w:rPr>
        <w:t>élève à un équivalent monétaire de 66 </w:t>
      </w:r>
      <w:r w:rsidR="0048754E" w:rsidRPr="007201B0">
        <w:rPr>
          <w:snapToGrid w:val="0"/>
          <w:kern w:val="22"/>
          <w:szCs w:val="22"/>
          <w:lang w:val="fr-CA"/>
        </w:rPr>
        <w:t>million</w:t>
      </w:r>
      <w:r w:rsidR="0048754E">
        <w:rPr>
          <w:snapToGrid w:val="0"/>
          <w:kern w:val="22"/>
          <w:szCs w:val="22"/>
          <w:lang w:val="fr-CA"/>
        </w:rPr>
        <w:t>s USD e</w:t>
      </w:r>
      <w:r w:rsidR="0048754E" w:rsidRPr="007201B0">
        <w:rPr>
          <w:snapToGrid w:val="0"/>
          <w:kern w:val="22"/>
          <w:szCs w:val="22"/>
          <w:lang w:val="fr-CA"/>
        </w:rPr>
        <w:t>n 2014</w:t>
      </w:r>
      <w:r w:rsidR="0048754E">
        <w:rPr>
          <w:snapToGrid w:val="0"/>
          <w:kern w:val="22"/>
          <w:szCs w:val="22"/>
          <w:lang w:val="fr-CA"/>
        </w:rPr>
        <w:t>; e) l</w:t>
      </w:r>
      <w:r w:rsidR="00466152">
        <w:rPr>
          <w:snapToGrid w:val="0"/>
          <w:kern w:val="22"/>
          <w:szCs w:val="22"/>
          <w:lang w:val="fr-CA"/>
        </w:rPr>
        <w:t>’</w:t>
      </w:r>
      <w:r w:rsidR="0048754E">
        <w:rPr>
          <w:snapToGrid w:val="0"/>
          <w:kern w:val="22"/>
          <w:szCs w:val="22"/>
          <w:lang w:val="fr-CA"/>
        </w:rPr>
        <w:t>Afrique du Sud a mentionné les aires terrestres conservées par les propriétaires privés et communaux s</w:t>
      </w:r>
      <w:r w:rsidR="00466152">
        <w:rPr>
          <w:snapToGrid w:val="0"/>
          <w:kern w:val="22"/>
          <w:szCs w:val="22"/>
          <w:lang w:val="fr-CA"/>
        </w:rPr>
        <w:t>’</w:t>
      </w:r>
      <w:r w:rsidR="0048754E">
        <w:rPr>
          <w:snapToGrid w:val="0"/>
          <w:kern w:val="22"/>
          <w:szCs w:val="22"/>
          <w:lang w:val="fr-CA"/>
        </w:rPr>
        <w:t xml:space="preserve">élevant à </w:t>
      </w:r>
      <w:r w:rsidR="0048754E" w:rsidRPr="007201B0">
        <w:rPr>
          <w:snapToGrid w:val="0"/>
          <w:kern w:val="22"/>
          <w:szCs w:val="22"/>
          <w:lang w:val="fr-CA"/>
        </w:rPr>
        <w:t>3</w:t>
      </w:r>
      <w:r w:rsidR="0048754E">
        <w:rPr>
          <w:snapToGrid w:val="0"/>
          <w:kern w:val="22"/>
          <w:szCs w:val="22"/>
          <w:lang w:val="fr-CA"/>
        </w:rPr>
        <w:t> </w:t>
      </w:r>
      <w:r w:rsidR="0048754E" w:rsidRPr="007201B0">
        <w:rPr>
          <w:snapToGrid w:val="0"/>
          <w:kern w:val="22"/>
          <w:szCs w:val="22"/>
          <w:lang w:val="fr-CA"/>
        </w:rPr>
        <w:t>440</w:t>
      </w:r>
      <w:r w:rsidR="0048754E">
        <w:rPr>
          <w:snapToGrid w:val="0"/>
          <w:kern w:val="22"/>
          <w:szCs w:val="22"/>
          <w:lang w:val="fr-CA"/>
        </w:rPr>
        <w:t xml:space="preserve"> 009 </w:t>
      </w:r>
      <w:r w:rsidR="0048754E" w:rsidRPr="007201B0">
        <w:rPr>
          <w:snapToGrid w:val="0"/>
          <w:kern w:val="22"/>
          <w:szCs w:val="22"/>
          <w:lang w:val="fr-CA"/>
        </w:rPr>
        <w:t>hectares</w:t>
      </w:r>
      <w:r w:rsidR="0048754E">
        <w:rPr>
          <w:snapToGrid w:val="0"/>
          <w:kern w:val="22"/>
          <w:szCs w:val="22"/>
          <w:lang w:val="fr-CA"/>
        </w:rPr>
        <w:t>, soit près de 30 pour cent de la superficie totale des zones protégées en Afrique du Sud.</w:t>
      </w:r>
    </w:p>
    <w:p w:rsidR="00855A78" w:rsidRPr="007201B0" w:rsidRDefault="0048754E" w:rsidP="006C76D0">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fr-CA"/>
        </w:rPr>
      </w:pPr>
      <w:r>
        <w:rPr>
          <w:snapToGrid w:val="0"/>
          <w:kern w:val="22"/>
          <w:szCs w:val="22"/>
          <w:lang w:val="fr-CA"/>
        </w:rPr>
        <w:t>La Bolivie</w:t>
      </w:r>
      <w:r w:rsidR="00855A78" w:rsidRPr="007201B0">
        <w:rPr>
          <w:snapToGrid w:val="0"/>
          <w:kern w:val="22"/>
          <w:szCs w:val="22"/>
          <w:lang w:val="fr-CA"/>
        </w:rPr>
        <w:t xml:space="preserve">, </w:t>
      </w:r>
      <w:r>
        <w:rPr>
          <w:snapToGrid w:val="0"/>
          <w:kern w:val="22"/>
          <w:szCs w:val="22"/>
          <w:lang w:val="fr-CA"/>
        </w:rPr>
        <w:t>le Canada et le Pé</w:t>
      </w:r>
      <w:r w:rsidR="00855A78" w:rsidRPr="007201B0">
        <w:rPr>
          <w:snapToGrid w:val="0"/>
          <w:kern w:val="22"/>
          <w:szCs w:val="22"/>
          <w:lang w:val="fr-CA"/>
        </w:rPr>
        <w:t>r</w:t>
      </w:r>
      <w:r>
        <w:rPr>
          <w:snapToGrid w:val="0"/>
          <w:kern w:val="22"/>
          <w:szCs w:val="22"/>
          <w:lang w:val="fr-CA"/>
        </w:rPr>
        <w:t>o</w:t>
      </w:r>
      <w:r w:rsidR="00855A78" w:rsidRPr="007201B0">
        <w:rPr>
          <w:snapToGrid w:val="0"/>
          <w:kern w:val="22"/>
          <w:szCs w:val="22"/>
          <w:lang w:val="fr-CA"/>
        </w:rPr>
        <w:t>u</w:t>
      </w:r>
      <w:r>
        <w:rPr>
          <w:snapToGrid w:val="0"/>
          <w:kern w:val="22"/>
          <w:szCs w:val="22"/>
          <w:lang w:val="fr-CA"/>
        </w:rPr>
        <w:t xml:space="preserve"> ont fourni des informations méthodologiques additionnelles</w:t>
      </w:r>
      <w:r w:rsidR="006C76D0">
        <w:rPr>
          <w:snapToGrid w:val="0"/>
          <w:kern w:val="22"/>
          <w:szCs w:val="22"/>
          <w:lang w:val="fr-CA"/>
        </w:rPr>
        <w:t xml:space="preserve"> sur l</w:t>
      </w:r>
      <w:r w:rsidR="00466152">
        <w:rPr>
          <w:snapToGrid w:val="0"/>
          <w:kern w:val="22"/>
          <w:szCs w:val="22"/>
          <w:lang w:val="fr-CA"/>
        </w:rPr>
        <w:t>’</w:t>
      </w:r>
      <w:r w:rsidR="006C76D0">
        <w:rPr>
          <w:snapToGrid w:val="0"/>
          <w:kern w:val="22"/>
          <w:szCs w:val="22"/>
          <w:lang w:val="fr-CA"/>
        </w:rPr>
        <w:t>évaluation de la contribution des mesures collectives :</w:t>
      </w:r>
    </w:p>
    <w:p w:rsidR="00855A78" w:rsidRPr="007201B0" w:rsidRDefault="006C76D0" w:rsidP="00AE6436">
      <w:pPr>
        <w:numPr>
          <w:ilvl w:val="1"/>
          <w:numId w:val="60"/>
        </w:numPr>
        <w:suppressLineNumbers/>
        <w:suppressAutoHyphens/>
        <w:kinsoku w:val="0"/>
        <w:overflowPunct w:val="0"/>
        <w:autoSpaceDE w:val="0"/>
        <w:autoSpaceDN w:val="0"/>
        <w:adjustRightInd w:val="0"/>
        <w:snapToGrid w:val="0"/>
        <w:spacing w:after="120"/>
        <w:ind w:left="0" w:firstLine="720"/>
        <w:rPr>
          <w:snapToGrid w:val="0"/>
          <w:kern w:val="22"/>
          <w:szCs w:val="22"/>
          <w:lang w:val="fr-CA"/>
        </w:rPr>
      </w:pPr>
      <w:r>
        <w:rPr>
          <w:snapToGrid w:val="0"/>
          <w:kern w:val="22"/>
          <w:szCs w:val="22"/>
          <w:lang w:val="fr-CA"/>
        </w:rPr>
        <w:lastRenderedPageBreak/>
        <w:t>La Bolivie a approximé la contribution des mesures collectives au sein des zones protégées en utilisant le nombre d</w:t>
      </w:r>
      <w:r w:rsidR="00466152">
        <w:rPr>
          <w:snapToGrid w:val="0"/>
          <w:kern w:val="22"/>
          <w:szCs w:val="22"/>
          <w:lang w:val="fr-CA"/>
        </w:rPr>
        <w:t>’</w:t>
      </w:r>
      <w:r>
        <w:rPr>
          <w:snapToGrid w:val="0"/>
          <w:kern w:val="22"/>
          <w:szCs w:val="22"/>
          <w:lang w:val="fr-CA"/>
        </w:rPr>
        <w:t xml:space="preserve">habitants des communautés autochtones et locales dans les zones protégées et le salaire minimum. </w:t>
      </w:r>
      <w:r w:rsidR="00A15BB0">
        <w:rPr>
          <w:snapToGrid w:val="0"/>
          <w:kern w:val="22"/>
          <w:szCs w:val="22"/>
          <w:lang w:val="fr-CA"/>
        </w:rPr>
        <w:t>Pour les contributions des mesures collectives à l</w:t>
      </w:r>
      <w:r w:rsidR="00466152">
        <w:rPr>
          <w:snapToGrid w:val="0"/>
          <w:kern w:val="22"/>
          <w:szCs w:val="22"/>
          <w:lang w:val="fr-CA"/>
        </w:rPr>
        <w:t>’</w:t>
      </w:r>
      <w:r w:rsidR="00A15BB0">
        <w:rPr>
          <w:snapToGrid w:val="0"/>
          <w:kern w:val="22"/>
          <w:szCs w:val="22"/>
          <w:lang w:val="fr-CA"/>
        </w:rPr>
        <w:t>extérieur des zones protégées, la Bolivie a appliqué le cadre conceptuel et méthodologique pour l</w:t>
      </w:r>
      <w:r w:rsidR="00466152">
        <w:rPr>
          <w:snapToGrid w:val="0"/>
          <w:kern w:val="22"/>
          <w:szCs w:val="22"/>
          <w:lang w:val="fr-CA"/>
        </w:rPr>
        <w:t>’</w:t>
      </w:r>
      <w:r w:rsidR="00A15BB0">
        <w:rPr>
          <w:snapToGrid w:val="0"/>
          <w:kern w:val="22"/>
          <w:szCs w:val="22"/>
          <w:lang w:val="fr-CA"/>
        </w:rPr>
        <w:t>évaluation de la contribution des mesures collectives à la conservation de la biodiversité en utilisant la superficie habitée par les peuples autochtones et les communautés locales à l</w:t>
      </w:r>
      <w:r w:rsidR="00466152">
        <w:rPr>
          <w:snapToGrid w:val="0"/>
          <w:kern w:val="22"/>
          <w:szCs w:val="22"/>
          <w:lang w:val="fr-CA"/>
        </w:rPr>
        <w:t>’</w:t>
      </w:r>
      <w:r w:rsidR="00A15BB0">
        <w:rPr>
          <w:snapToGrid w:val="0"/>
          <w:kern w:val="22"/>
          <w:szCs w:val="22"/>
          <w:lang w:val="fr-CA"/>
        </w:rPr>
        <w:t xml:space="preserve">extérieur des zones protégées et les dépenses officielles par hectare </w:t>
      </w:r>
      <w:r w:rsidR="00AE6436">
        <w:rPr>
          <w:snapToGrid w:val="0"/>
          <w:kern w:val="22"/>
          <w:szCs w:val="22"/>
          <w:lang w:val="fr-CA"/>
        </w:rPr>
        <w:t>attribuées à la</w:t>
      </w:r>
      <w:r w:rsidR="00A15BB0">
        <w:rPr>
          <w:snapToGrid w:val="0"/>
          <w:kern w:val="22"/>
          <w:szCs w:val="22"/>
          <w:lang w:val="fr-CA"/>
        </w:rPr>
        <w:t xml:space="preserve"> gestion des aires protégées;</w:t>
      </w:r>
    </w:p>
    <w:p w:rsidR="00855A78" w:rsidRPr="007201B0" w:rsidRDefault="00AE6436" w:rsidP="00877474">
      <w:pPr>
        <w:numPr>
          <w:ilvl w:val="1"/>
          <w:numId w:val="60"/>
        </w:numPr>
        <w:suppressLineNumbers/>
        <w:suppressAutoHyphens/>
        <w:kinsoku w:val="0"/>
        <w:overflowPunct w:val="0"/>
        <w:autoSpaceDE w:val="0"/>
        <w:autoSpaceDN w:val="0"/>
        <w:adjustRightInd w:val="0"/>
        <w:snapToGrid w:val="0"/>
        <w:spacing w:after="120"/>
        <w:ind w:left="0" w:firstLine="720"/>
        <w:rPr>
          <w:snapToGrid w:val="0"/>
          <w:kern w:val="22"/>
          <w:szCs w:val="22"/>
          <w:lang w:val="fr-CA"/>
        </w:rPr>
      </w:pPr>
      <w:r>
        <w:rPr>
          <w:snapToGrid w:val="0"/>
          <w:kern w:val="22"/>
          <w:szCs w:val="22"/>
          <w:lang w:val="fr-CA"/>
        </w:rPr>
        <w:t xml:space="preserve">Le Canada a utilisé le montant total du financement obtenu de deux partenaires ou plus (par ex. groupes autochtones, ONG, établissements universitaires), </w:t>
      </w:r>
      <w:r w:rsidR="0008344B">
        <w:rPr>
          <w:snapToGrid w:val="0"/>
          <w:kern w:val="22"/>
          <w:szCs w:val="22"/>
          <w:lang w:val="fr-CA"/>
        </w:rPr>
        <w:t>comprenant</w:t>
      </w:r>
      <w:r>
        <w:rPr>
          <w:snapToGrid w:val="0"/>
          <w:kern w:val="22"/>
          <w:szCs w:val="22"/>
          <w:lang w:val="fr-CA"/>
        </w:rPr>
        <w:t xml:space="preserve"> surtout des programmes du gouvernement fédéral visant à réaliser </w:t>
      </w:r>
      <w:r w:rsidR="007E203A">
        <w:rPr>
          <w:snapToGrid w:val="0"/>
          <w:kern w:val="22"/>
          <w:szCs w:val="22"/>
          <w:lang w:val="fr-CA"/>
        </w:rPr>
        <w:t>au minimum un ratio de 1 :1 quant aux fonds investis</w:t>
      </w:r>
      <w:r w:rsidR="00877474">
        <w:rPr>
          <w:snapToGrid w:val="0"/>
          <w:kern w:val="22"/>
          <w:szCs w:val="22"/>
          <w:lang w:val="fr-CA"/>
        </w:rPr>
        <w:t>,</w:t>
      </w:r>
      <w:r w:rsidR="007E203A">
        <w:rPr>
          <w:snapToGrid w:val="0"/>
          <w:kern w:val="22"/>
          <w:szCs w:val="22"/>
          <w:lang w:val="fr-CA"/>
        </w:rPr>
        <w:t xml:space="preserve"> de manière à ce que pour chaque dollar fourni par le programme, au moins un dollar est cofinancé par les bénéficiaires de projets par le biais de ressources financières ou en nature (par ex. </w:t>
      </w:r>
      <w:r w:rsidR="00610F70">
        <w:rPr>
          <w:snapToGrid w:val="0"/>
          <w:kern w:val="22"/>
          <w:szCs w:val="22"/>
          <w:lang w:val="fr-CA"/>
        </w:rPr>
        <w:t>bénévolat</w:t>
      </w:r>
      <w:r w:rsidR="007E203A">
        <w:rPr>
          <w:snapToGrid w:val="0"/>
          <w:kern w:val="22"/>
          <w:szCs w:val="22"/>
          <w:lang w:val="fr-CA"/>
        </w:rPr>
        <w:t xml:space="preserve">, produits ou services). </w:t>
      </w:r>
      <w:r w:rsidR="00C45132">
        <w:rPr>
          <w:snapToGrid w:val="0"/>
          <w:kern w:val="22"/>
          <w:szCs w:val="22"/>
          <w:lang w:val="fr-CA"/>
        </w:rPr>
        <w:t>Le Canada a eu recours à des indicateurs financiers puisque ces informations étaient très facilement disponibles et pouvaient être comparées entre un grand nombre d</w:t>
      </w:r>
      <w:r w:rsidR="00466152">
        <w:rPr>
          <w:snapToGrid w:val="0"/>
          <w:kern w:val="22"/>
          <w:szCs w:val="22"/>
          <w:lang w:val="fr-CA"/>
        </w:rPr>
        <w:t>’</w:t>
      </w:r>
      <w:r w:rsidR="00C45132">
        <w:rPr>
          <w:snapToGrid w:val="0"/>
          <w:kern w:val="22"/>
          <w:szCs w:val="22"/>
          <w:lang w:val="fr-CA"/>
        </w:rPr>
        <w:t>exemples.</w:t>
      </w:r>
      <w:r w:rsidR="009E0408">
        <w:rPr>
          <w:snapToGrid w:val="0"/>
          <w:kern w:val="22"/>
          <w:szCs w:val="22"/>
          <w:lang w:val="fr-CA"/>
        </w:rPr>
        <w:t xml:space="preserve"> La soumission souligne qu</w:t>
      </w:r>
      <w:r w:rsidR="00466152">
        <w:rPr>
          <w:snapToGrid w:val="0"/>
          <w:kern w:val="22"/>
          <w:szCs w:val="22"/>
          <w:lang w:val="fr-CA"/>
        </w:rPr>
        <w:t>’</w:t>
      </w:r>
      <w:r w:rsidR="009E0408">
        <w:rPr>
          <w:snapToGrid w:val="0"/>
          <w:kern w:val="22"/>
          <w:szCs w:val="22"/>
          <w:lang w:val="fr-CA"/>
        </w:rPr>
        <w:t>il s</w:t>
      </w:r>
      <w:r w:rsidR="00466152">
        <w:rPr>
          <w:snapToGrid w:val="0"/>
          <w:kern w:val="22"/>
          <w:szCs w:val="22"/>
          <w:lang w:val="fr-CA"/>
        </w:rPr>
        <w:t>’</w:t>
      </w:r>
      <w:r w:rsidR="009E0408">
        <w:rPr>
          <w:snapToGrid w:val="0"/>
          <w:kern w:val="22"/>
          <w:szCs w:val="22"/>
          <w:lang w:val="fr-CA"/>
        </w:rPr>
        <w:t xml:space="preserve">est avéré difficile de quantifier des indicateurs non financiers de manière comparable, puisque divers programmes ou initiatives utilisent différentes mesures </w:t>
      </w:r>
      <w:r w:rsidR="00DB51FE">
        <w:rPr>
          <w:snapToGrid w:val="0"/>
          <w:kern w:val="22"/>
          <w:szCs w:val="22"/>
          <w:lang w:val="fr-CA"/>
        </w:rPr>
        <w:t>de résultats liés à la biodiversité;</w:t>
      </w:r>
    </w:p>
    <w:p w:rsidR="00855A78" w:rsidRPr="007201B0" w:rsidRDefault="00877474" w:rsidP="00877474">
      <w:pPr>
        <w:numPr>
          <w:ilvl w:val="1"/>
          <w:numId w:val="60"/>
        </w:numPr>
        <w:suppressLineNumbers/>
        <w:suppressAutoHyphens/>
        <w:kinsoku w:val="0"/>
        <w:overflowPunct w:val="0"/>
        <w:autoSpaceDE w:val="0"/>
        <w:autoSpaceDN w:val="0"/>
        <w:adjustRightInd w:val="0"/>
        <w:snapToGrid w:val="0"/>
        <w:spacing w:after="120"/>
        <w:ind w:left="0" w:firstLine="720"/>
        <w:rPr>
          <w:snapToGrid w:val="0"/>
          <w:kern w:val="22"/>
          <w:szCs w:val="22"/>
          <w:lang w:val="fr-CA"/>
        </w:rPr>
      </w:pPr>
      <w:r>
        <w:rPr>
          <w:snapToGrid w:val="0"/>
          <w:kern w:val="22"/>
          <w:szCs w:val="22"/>
          <w:lang w:val="fr-CA"/>
        </w:rPr>
        <w:t>L</w:t>
      </w:r>
      <w:r w:rsidR="00466152">
        <w:rPr>
          <w:snapToGrid w:val="0"/>
          <w:kern w:val="22"/>
          <w:szCs w:val="22"/>
          <w:lang w:val="fr-CA"/>
        </w:rPr>
        <w:t>’</w:t>
      </w:r>
      <w:r>
        <w:rPr>
          <w:snapToGrid w:val="0"/>
          <w:kern w:val="22"/>
          <w:szCs w:val="22"/>
          <w:lang w:val="fr-CA"/>
        </w:rPr>
        <w:t>évaluation par le Pérou de la contribution des petits exploitants agricoles à la conservation de la diversité génétique des pommes de terre a couvert les petits exploitants possédant un hectare ou moins de terre, sur la base des données du Recensement agricole national de 2013. Les contributions couvertes comprennent le transfert de connaissances, l</w:t>
      </w:r>
      <w:r w:rsidR="00466152">
        <w:rPr>
          <w:snapToGrid w:val="0"/>
          <w:kern w:val="22"/>
          <w:szCs w:val="22"/>
          <w:lang w:val="fr-CA"/>
        </w:rPr>
        <w:t>’</w:t>
      </w:r>
      <w:r>
        <w:rPr>
          <w:snapToGrid w:val="0"/>
          <w:kern w:val="22"/>
          <w:szCs w:val="22"/>
          <w:lang w:val="fr-CA"/>
        </w:rPr>
        <w:t>échange et l</w:t>
      </w:r>
      <w:r w:rsidR="00466152">
        <w:rPr>
          <w:snapToGrid w:val="0"/>
          <w:kern w:val="22"/>
          <w:szCs w:val="22"/>
          <w:lang w:val="fr-CA"/>
        </w:rPr>
        <w:t>’</w:t>
      </w:r>
      <w:r>
        <w:rPr>
          <w:snapToGrid w:val="0"/>
          <w:kern w:val="22"/>
          <w:szCs w:val="22"/>
          <w:lang w:val="fr-CA"/>
        </w:rPr>
        <w:t>entreposage de semences.</w:t>
      </w:r>
    </w:p>
    <w:p w:rsidR="00855A78" w:rsidRPr="007201B0" w:rsidRDefault="00855A78" w:rsidP="00235BF3">
      <w:pPr>
        <w:pStyle w:val="Heading1"/>
        <w:suppressLineNumbers/>
        <w:tabs>
          <w:tab w:val="clear" w:pos="720"/>
          <w:tab w:val="left" w:pos="450"/>
        </w:tabs>
        <w:suppressAutoHyphens/>
        <w:kinsoku w:val="0"/>
        <w:overflowPunct w:val="0"/>
        <w:autoSpaceDE w:val="0"/>
        <w:autoSpaceDN w:val="0"/>
        <w:adjustRightInd w:val="0"/>
        <w:snapToGrid w:val="0"/>
        <w:spacing w:before="120"/>
        <w:rPr>
          <w:snapToGrid w:val="0"/>
          <w:kern w:val="22"/>
          <w:szCs w:val="22"/>
          <w:lang w:val="fr-CA"/>
        </w:rPr>
      </w:pPr>
      <w:r w:rsidRPr="007201B0">
        <w:rPr>
          <w:snapToGrid w:val="0"/>
          <w:kern w:val="22"/>
          <w:szCs w:val="22"/>
          <w:lang w:val="fr-CA"/>
        </w:rPr>
        <w:t>VI.</w:t>
      </w:r>
      <w:r w:rsidR="006E604B" w:rsidRPr="007201B0">
        <w:rPr>
          <w:snapToGrid w:val="0"/>
          <w:kern w:val="22"/>
          <w:szCs w:val="22"/>
          <w:lang w:val="fr-CA"/>
        </w:rPr>
        <w:tab/>
      </w:r>
      <w:r w:rsidR="00503A6F">
        <w:rPr>
          <w:snapToGrid w:val="0"/>
          <w:kern w:val="22"/>
          <w:szCs w:val="22"/>
          <w:lang w:val="fr-CA"/>
        </w:rPr>
        <w:t xml:space="preserve">rapports </w:t>
      </w:r>
      <w:r w:rsidR="00235BF3" w:rsidRPr="00235BF3">
        <w:rPr>
          <w:snapToGrid w:val="0"/>
          <w:kern w:val="22"/>
          <w:szCs w:val="22"/>
          <w:lang w:val="fr-CA"/>
        </w:rPr>
        <w:t>sur les besoins de financement, les insuffisances et les priorités</w:t>
      </w:r>
    </w:p>
    <w:p w:rsidR="00855A78" w:rsidRPr="007201B0" w:rsidRDefault="00D92DF5" w:rsidP="003075F6">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fr-CA"/>
        </w:rPr>
      </w:pPr>
      <w:r>
        <w:rPr>
          <w:snapToGrid w:val="0"/>
          <w:kern w:val="22"/>
          <w:szCs w:val="22"/>
          <w:lang w:val="fr-CA"/>
        </w:rPr>
        <w:t xml:space="preserve">Au total, 35 Parties déclarantes (un peu plus de 45 pour cent) ont indiqué leurs besoins de financement estimés (habituellement basés sur le SPANB révisé; voir </w:t>
      </w:r>
      <w:r>
        <w:rPr>
          <w:noProof/>
          <w:snapToGrid w:val="0"/>
          <w:kern w:val="22"/>
          <w:szCs w:val="22"/>
          <w:lang w:val="fr-CA"/>
        </w:rPr>
        <w:t>ci</w:t>
      </w:r>
      <w:r w:rsidR="00466152">
        <w:rPr>
          <w:noProof/>
          <w:snapToGrid w:val="0"/>
          <w:kern w:val="22"/>
          <w:szCs w:val="22"/>
          <w:lang w:val="fr-CA"/>
        </w:rPr>
        <w:noBreakHyphen/>
      </w:r>
      <w:r>
        <w:rPr>
          <w:noProof/>
          <w:snapToGrid w:val="0"/>
          <w:kern w:val="22"/>
          <w:szCs w:val="22"/>
          <w:lang w:val="fr-CA"/>
        </w:rPr>
        <w:t>dessous),</w:t>
      </w:r>
      <w:r>
        <w:rPr>
          <w:snapToGrid w:val="0"/>
          <w:kern w:val="22"/>
          <w:szCs w:val="22"/>
          <w:lang w:val="fr-CA"/>
        </w:rPr>
        <w:t xml:space="preserve"> et la plupart d</w:t>
      </w:r>
      <w:r w:rsidR="00466152">
        <w:rPr>
          <w:snapToGrid w:val="0"/>
          <w:kern w:val="22"/>
          <w:szCs w:val="22"/>
          <w:lang w:val="fr-CA"/>
        </w:rPr>
        <w:t>’</w:t>
      </w:r>
      <w:r>
        <w:rPr>
          <w:snapToGrid w:val="0"/>
          <w:kern w:val="22"/>
          <w:szCs w:val="22"/>
          <w:lang w:val="fr-CA"/>
        </w:rPr>
        <w:t>entre eux ont calculé les insuffisances de financement en soustrayant les ressources disponibles estimées. Au total, 21 pays</w:t>
      </w:r>
      <w:r w:rsidR="008142ED">
        <w:rPr>
          <w:snapToGrid w:val="0"/>
          <w:kern w:val="22"/>
          <w:szCs w:val="22"/>
          <w:lang w:val="fr-CA"/>
        </w:rPr>
        <w:t>, soit environ 30 pour cent, ont également indiqué des mesures pour financer les priorités. Les pays déclarants</w:t>
      </w:r>
      <w:r w:rsidR="005C2EEF">
        <w:rPr>
          <w:snapToGrid w:val="0"/>
          <w:kern w:val="22"/>
          <w:szCs w:val="22"/>
          <w:lang w:val="fr-CA"/>
        </w:rPr>
        <w:t xml:space="preserve"> ont particulièrement fait référence à leur SPANB révisé en tant que base pour leur évaluation, et dans certains cas</w:t>
      </w:r>
      <w:r w:rsidR="008F3606">
        <w:rPr>
          <w:snapToGrid w:val="0"/>
          <w:kern w:val="22"/>
          <w:szCs w:val="22"/>
          <w:lang w:val="fr-CA"/>
        </w:rPr>
        <w:t>,</w:t>
      </w:r>
      <w:r w:rsidR="005C2EEF">
        <w:rPr>
          <w:snapToGrid w:val="0"/>
          <w:kern w:val="22"/>
          <w:szCs w:val="22"/>
          <w:lang w:val="fr-CA"/>
        </w:rPr>
        <w:t xml:space="preserve"> spécifiquement à leur plan de </w:t>
      </w:r>
      <w:r w:rsidR="005C2EEF">
        <w:rPr>
          <w:noProof/>
          <w:snapToGrid w:val="0"/>
          <w:kern w:val="22"/>
          <w:szCs w:val="22"/>
          <w:lang w:val="fr-CA"/>
        </w:rPr>
        <w:t>mobilisation de ressources.</w:t>
      </w:r>
      <w:r w:rsidR="008F3606">
        <w:rPr>
          <w:noProof/>
          <w:snapToGrid w:val="0"/>
          <w:kern w:val="22"/>
          <w:szCs w:val="22"/>
          <w:lang w:val="fr-CA"/>
        </w:rPr>
        <w:t xml:space="preserve"> Dans plusieurs cas, les pays ont </w:t>
      </w:r>
      <w:r w:rsidR="00F819AF">
        <w:rPr>
          <w:noProof/>
          <w:snapToGrid w:val="0"/>
          <w:kern w:val="22"/>
          <w:szCs w:val="22"/>
          <w:lang w:val="fr-CA"/>
        </w:rPr>
        <w:t>signalé</w:t>
      </w:r>
      <w:r w:rsidR="008F3606">
        <w:rPr>
          <w:noProof/>
          <w:snapToGrid w:val="0"/>
          <w:kern w:val="22"/>
          <w:szCs w:val="22"/>
          <w:lang w:val="fr-CA"/>
        </w:rPr>
        <w:t xml:space="preserve"> leurs travaux en cours sur le</w:t>
      </w:r>
      <w:r w:rsidR="00F819AF">
        <w:rPr>
          <w:noProof/>
          <w:snapToGrid w:val="0"/>
          <w:kern w:val="22"/>
          <w:szCs w:val="22"/>
          <w:lang w:val="fr-CA"/>
        </w:rPr>
        <w:t>ur</w:t>
      </w:r>
      <w:r w:rsidR="008F3606">
        <w:rPr>
          <w:noProof/>
          <w:snapToGrid w:val="0"/>
          <w:kern w:val="22"/>
          <w:szCs w:val="22"/>
          <w:lang w:val="fr-CA"/>
        </w:rPr>
        <w:t xml:space="preserve"> SPANB révisé ou </w:t>
      </w:r>
      <w:r w:rsidR="00F819AF">
        <w:rPr>
          <w:noProof/>
          <w:snapToGrid w:val="0"/>
          <w:kern w:val="22"/>
          <w:szCs w:val="22"/>
          <w:lang w:val="fr-CA"/>
        </w:rPr>
        <w:t>au titre de</w:t>
      </w:r>
      <w:r w:rsidR="008F3606">
        <w:rPr>
          <w:noProof/>
          <w:snapToGrid w:val="0"/>
          <w:kern w:val="22"/>
          <w:szCs w:val="22"/>
          <w:lang w:val="fr-CA"/>
        </w:rPr>
        <w:t xml:space="preserve"> l</w:t>
      </w:r>
      <w:r w:rsidR="00466152">
        <w:rPr>
          <w:noProof/>
          <w:snapToGrid w:val="0"/>
          <w:kern w:val="22"/>
          <w:szCs w:val="22"/>
          <w:lang w:val="fr-CA"/>
        </w:rPr>
        <w:t>’</w:t>
      </w:r>
      <w:r w:rsidR="008F3606">
        <w:rPr>
          <w:noProof/>
          <w:snapToGrid w:val="0"/>
          <w:kern w:val="22"/>
          <w:szCs w:val="22"/>
          <w:lang w:val="fr-CA"/>
        </w:rPr>
        <w:t>initiative BIOFIN</w:t>
      </w:r>
      <w:r w:rsidR="003075F6">
        <w:rPr>
          <w:noProof/>
          <w:snapToGrid w:val="0"/>
          <w:kern w:val="22"/>
          <w:szCs w:val="22"/>
          <w:lang w:val="fr-CA"/>
        </w:rPr>
        <w:t>. Bien que p</w:t>
      </w:r>
      <w:r w:rsidR="00F819AF">
        <w:rPr>
          <w:noProof/>
          <w:snapToGrid w:val="0"/>
          <w:kern w:val="22"/>
          <w:szCs w:val="22"/>
          <w:lang w:val="fr-CA"/>
        </w:rPr>
        <w:t>lusieurs Parties (Chine, Espagne, Estonie, Lettonie, Madagascar, Royaume</w:t>
      </w:r>
      <w:r w:rsidR="00466152">
        <w:rPr>
          <w:noProof/>
          <w:snapToGrid w:val="0"/>
          <w:kern w:val="22"/>
          <w:szCs w:val="22"/>
          <w:lang w:val="fr-CA"/>
        </w:rPr>
        <w:noBreakHyphen/>
      </w:r>
      <w:r w:rsidR="00F819AF">
        <w:rPr>
          <w:noProof/>
          <w:snapToGrid w:val="0"/>
          <w:kern w:val="22"/>
          <w:szCs w:val="22"/>
          <w:lang w:val="fr-CA"/>
        </w:rPr>
        <w:t>Uni</w:t>
      </w:r>
      <w:r w:rsidR="00FA1A1A">
        <w:rPr>
          <w:noProof/>
          <w:snapToGrid w:val="0"/>
          <w:kern w:val="22"/>
          <w:szCs w:val="22"/>
          <w:lang w:val="fr-CA"/>
        </w:rPr>
        <w:t>,</w:t>
      </w:r>
      <w:r w:rsidR="00F819AF">
        <w:rPr>
          <w:noProof/>
          <w:snapToGrid w:val="0"/>
          <w:kern w:val="22"/>
          <w:szCs w:val="22"/>
          <w:lang w:val="fr-CA"/>
        </w:rPr>
        <w:t xml:space="preserve"> Soudan, Suisse et Union européenne</w:t>
      </w:r>
      <w:r w:rsidR="00FA1A1A">
        <w:rPr>
          <w:noProof/>
          <w:snapToGrid w:val="0"/>
          <w:kern w:val="22"/>
          <w:szCs w:val="22"/>
          <w:lang w:val="fr-CA"/>
        </w:rPr>
        <w:t>)</w:t>
      </w:r>
      <w:r w:rsidR="003075F6">
        <w:rPr>
          <w:noProof/>
          <w:snapToGrid w:val="0"/>
          <w:kern w:val="22"/>
          <w:szCs w:val="22"/>
          <w:lang w:val="fr-CA"/>
        </w:rPr>
        <w:t xml:space="preserve"> n</w:t>
      </w:r>
      <w:r w:rsidR="00466152">
        <w:rPr>
          <w:noProof/>
          <w:snapToGrid w:val="0"/>
          <w:kern w:val="22"/>
          <w:szCs w:val="22"/>
          <w:lang w:val="fr-CA"/>
        </w:rPr>
        <w:t>’</w:t>
      </w:r>
      <w:r w:rsidR="003075F6">
        <w:rPr>
          <w:noProof/>
          <w:snapToGrid w:val="0"/>
          <w:kern w:val="22"/>
          <w:szCs w:val="22"/>
          <w:lang w:val="fr-CA"/>
        </w:rPr>
        <w:t>aient pas fourni de données dans le tableau, elles ont néanmoins fourni des informations additionnelles, notant par exemple, des besoins spécifiques qui</w:t>
      </w:r>
      <w:r w:rsidR="003075F6">
        <w:rPr>
          <w:snapToGrid w:val="0"/>
          <w:kern w:val="22"/>
          <w:szCs w:val="22"/>
          <w:lang w:val="fr-CA"/>
        </w:rPr>
        <w:t xml:space="preserve"> pouvaient être identifiés.</w:t>
      </w:r>
    </w:p>
    <w:p w:rsidR="00855A78" w:rsidRPr="007201B0" w:rsidRDefault="003075F6" w:rsidP="003075F6">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fr-CA"/>
        </w:rPr>
      </w:pPr>
      <w:r>
        <w:rPr>
          <w:snapToGrid w:val="0"/>
          <w:kern w:val="22"/>
          <w:szCs w:val="22"/>
          <w:lang w:val="fr-CA"/>
        </w:rPr>
        <w:t>Au total, 59 SPANB révisés ont inclus un calcul des coûts pour leurs plans d</w:t>
      </w:r>
      <w:r w:rsidR="00466152">
        <w:rPr>
          <w:snapToGrid w:val="0"/>
          <w:kern w:val="22"/>
          <w:szCs w:val="22"/>
          <w:lang w:val="fr-CA"/>
        </w:rPr>
        <w:t>’</w:t>
      </w:r>
      <w:r>
        <w:rPr>
          <w:snapToGrid w:val="0"/>
          <w:kern w:val="22"/>
          <w:szCs w:val="22"/>
          <w:lang w:val="fr-CA"/>
        </w:rPr>
        <w:t>action (bien que pas nécessairement en termes de coûts annualisés).</w:t>
      </w:r>
      <w:r w:rsidRPr="007201B0">
        <w:rPr>
          <w:rStyle w:val="FootnoteReference"/>
          <w:snapToGrid w:val="0"/>
          <w:color w:val="000000"/>
          <w:kern w:val="22"/>
          <w:szCs w:val="22"/>
          <w:lang w:val="fr-CA"/>
        </w:rPr>
        <w:footnoteReference w:id="15"/>
      </w:r>
    </w:p>
    <w:p w:rsidR="00855A78" w:rsidRPr="007201B0" w:rsidRDefault="003075F6" w:rsidP="005E05D1">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fr-CA"/>
        </w:rPr>
      </w:pPr>
      <w:r>
        <w:rPr>
          <w:snapToGrid w:val="0"/>
          <w:kern w:val="22"/>
          <w:szCs w:val="22"/>
          <w:lang w:val="fr-CA"/>
        </w:rPr>
        <w:t>Dans la table de progression actualisée de l</w:t>
      </w:r>
      <w:r w:rsidR="00466152">
        <w:rPr>
          <w:snapToGrid w:val="0"/>
          <w:kern w:val="22"/>
          <w:szCs w:val="22"/>
          <w:lang w:val="fr-CA"/>
        </w:rPr>
        <w:t>’</w:t>
      </w:r>
      <w:r>
        <w:rPr>
          <w:snapToGrid w:val="0"/>
          <w:kern w:val="22"/>
          <w:szCs w:val="22"/>
          <w:lang w:val="fr-CA"/>
        </w:rPr>
        <w:t>initiative BIOFIN</w:t>
      </w:r>
      <w:r w:rsidR="00466152">
        <w:rPr>
          <w:snapToGrid w:val="0"/>
          <w:kern w:val="22"/>
          <w:szCs w:val="22"/>
          <w:lang w:val="fr-CA"/>
        </w:rPr>
        <w:noBreakHyphen/>
      </w:r>
      <w:r>
        <w:rPr>
          <w:snapToGrid w:val="0"/>
          <w:kern w:val="22"/>
          <w:szCs w:val="22"/>
          <w:lang w:val="fr-CA"/>
        </w:rPr>
        <w:t>PNUD, au total neuf pays ont complété l</w:t>
      </w:r>
      <w:r w:rsidR="00466152">
        <w:rPr>
          <w:snapToGrid w:val="0"/>
          <w:kern w:val="22"/>
          <w:szCs w:val="22"/>
          <w:lang w:val="fr-CA"/>
        </w:rPr>
        <w:t>’</w:t>
      </w:r>
      <w:r>
        <w:rPr>
          <w:snapToGrid w:val="0"/>
          <w:kern w:val="22"/>
          <w:szCs w:val="22"/>
          <w:lang w:val="fr-CA"/>
        </w:rPr>
        <w:t>évaluation de leurs besoins et insuffisances de financement. Quelques</w:t>
      </w:r>
      <w:r w:rsidR="005E05D1">
        <w:rPr>
          <w:snapToGrid w:val="0"/>
          <w:kern w:val="22"/>
          <w:szCs w:val="22"/>
          <w:lang w:val="fr-CA"/>
        </w:rPr>
        <w:t xml:space="preserve"> conclusions présentées à la troisième Conférence BIOFIN sont résumées comme suit :</w:t>
      </w:r>
    </w:p>
    <w:p w:rsidR="00855A78" w:rsidRPr="007201B0" w:rsidRDefault="005E05D1" w:rsidP="005E05D1">
      <w:pPr>
        <w:numPr>
          <w:ilvl w:val="1"/>
          <w:numId w:val="61"/>
        </w:numPr>
        <w:suppressLineNumbers/>
        <w:suppressAutoHyphens/>
        <w:kinsoku w:val="0"/>
        <w:overflowPunct w:val="0"/>
        <w:autoSpaceDE w:val="0"/>
        <w:autoSpaceDN w:val="0"/>
        <w:adjustRightInd w:val="0"/>
        <w:snapToGrid w:val="0"/>
        <w:spacing w:after="120"/>
        <w:ind w:left="0" w:firstLine="720"/>
        <w:rPr>
          <w:snapToGrid w:val="0"/>
          <w:kern w:val="22"/>
          <w:szCs w:val="22"/>
          <w:lang w:val="fr-CA"/>
        </w:rPr>
      </w:pPr>
      <w:r>
        <w:rPr>
          <w:snapToGrid w:val="0"/>
          <w:kern w:val="22"/>
          <w:szCs w:val="22"/>
          <w:lang w:val="fr-CA"/>
        </w:rPr>
        <w:t>En Colombie</w:t>
      </w:r>
      <w:r w:rsidR="00855A78" w:rsidRPr="007201B0">
        <w:rPr>
          <w:snapToGrid w:val="0"/>
          <w:kern w:val="22"/>
          <w:szCs w:val="22"/>
          <w:lang w:val="fr-CA"/>
        </w:rPr>
        <w:t xml:space="preserve">, </w:t>
      </w:r>
      <w:r>
        <w:rPr>
          <w:snapToGrid w:val="0"/>
          <w:kern w:val="22"/>
          <w:szCs w:val="22"/>
          <w:lang w:val="fr-CA"/>
        </w:rPr>
        <w:t>4,</w:t>
      </w:r>
      <w:r w:rsidR="00855A78" w:rsidRPr="007201B0">
        <w:rPr>
          <w:snapToGrid w:val="0"/>
          <w:kern w:val="22"/>
          <w:szCs w:val="22"/>
          <w:lang w:val="fr-CA"/>
        </w:rPr>
        <w:t>8</w:t>
      </w:r>
      <w:r>
        <w:rPr>
          <w:snapToGrid w:val="0"/>
          <w:kern w:val="22"/>
          <w:szCs w:val="22"/>
          <w:lang w:val="fr-CA"/>
        </w:rPr>
        <w:t> milliards USD sont nécessaires pour mettre en œuvre le SPANB, dont 1,4 milliards USD ne sont pas encore provisionnés. Des ressources additionnelles sont requises de sources internationales et privées qui s</w:t>
      </w:r>
      <w:r w:rsidR="00466152">
        <w:rPr>
          <w:snapToGrid w:val="0"/>
          <w:kern w:val="22"/>
          <w:szCs w:val="22"/>
          <w:lang w:val="fr-CA"/>
        </w:rPr>
        <w:t>’</w:t>
      </w:r>
      <w:r>
        <w:rPr>
          <w:snapToGrid w:val="0"/>
          <w:kern w:val="22"/>
          <w:szCs w:val="22"/>
          <w:lang w:val="fr-CA"/>
        </w:rPr>
        <w:t>élèvent annuellement à près de 100 millions USD;</w:t>
      </w:r>
    </w:p>
    <w:p w:rsidR="00855A78" w:rsidRPr="007201B0" w:rsidRDefault="005E05D1" w:rsidP="005E05D1">
      <w:pPr>
        <w:numPr>
          <w:ilvl w:val="1"/>
          <w:numId w:val="61"/>
        </w:numPr>
        <w:suppressLineNumbers/>
        <w:suppressAutoHyphens/>
        <w:kinsoku w:val="0"/>
        <w:overflowPunct w:val="0"/>
        <w:autoSpaceDE w:val="0"/>
        <w:autoSpaceDN w:val="0"/>
        <w:adjustRightInd w:val="0"/>
        <w:snapToGrid w:val="0"/>
        <w:spacing w:after="120"/>
        <w:ind w:left="0" w:firstLine="720"/>
        <w:rPr>
          <w:snapToGrid w:val="0"/>
          <w:kern w:val="22"/>
          <w:szCs w:val="22"/>
          <w:lang w:val="fr-CA"/>
        </w:rPr>
      </w:pPr>
      <w:r>
        <w:rPr>
          <w:snapToGrid w:val="0"/>
          <w:kern w:val="22"/>
          <w:szCs w:val="22"/>
          <w:lang w:val="fr-CA"/>
        </w:rPr>
        <w:lastRenderedPageBreak/>
        <w:t>Au Mexique, les besoins de financement pour la mise en œuvre du SPANB sont de l</w:t>
      </w:r>
      <w:r w:rsidR="00466152">
        <w:rPr>
          <w:snapToGrid w:val="0"/>
          <w:kern w:val="22"/>
          <w:szCs w:val="22"/>
          <w:lang w:val="fr-CA"/>
        </w:rPr>
        <w:t>’</w:t>
      </w:r>
      <w:r>
        <w:rPr>
          <w:snapToGrid w:val="0"/>
          <w:kern w:val="22"/>
          <w:szCs w:val="22"/>
          <w:lang w:val="fr-CA"/>
        </w:rPr>
        <w:t xml:space="preserve">ordre de 1,8 milliards USD entre 2017 et 2020, ou </w:t>
      </w:r>
      <w:r w:rsidRPr="007201B0">
        <w:rPr>
          <w:snapToGrid w:val="0"/>
          <w:kern w:val="22"/>
          <w:szCs w:val="22"/>
          <w:lang w:val="fr-CA"/>
        </w:rPr>
        <w:t>461</w:t>
      </w:r>
      <w:r>
        <w:rPr>
          <w:snapToGrid w:val="0"/>
          <w:kern w:val="22"/>
          <w:szCs w:val="22"/>
          <w:lang w:val="fr-CA"/>
        </w:rPr>
        <w:t>,9 </w:t>
      </w:r>
      <w:r w:rsidRPr="007201B0">
        <w:rPr>
          <w:snapToGrid w:val="0"/>
          <w:kern w:val="22"/>
          <w:szCs w:val="22"/>
          <w:lang w:val="fr-CA"/>
        </w:rPr>
        <w:t>million</w:t>
      </w:r>
      <w:r>
        <w:rPr>
          <w:snapToGrid w:val="0"/>
          <w:kern w:val="22"/>
          <w:szCs w:val="22"/>
          <w:lang w:val="fr-CA"/>
        </w:rPr>
        <w:t>s USD par année, ce qui représente une hausse de 46,7 pour cent des dépenses liées à la biodiversité par rapport à 2015;</w:t>
      </w:r>
    </w:p>
    <w:p w:rsidR="00855A78" w:rsidRPr="007201B0" w:rsidRDefault="007A327F" w:rsidP="00873DE2">
      <w:pPr>
        <w:numPr>
          <w:ilvl w:val="1"/>
          <w:numId w:val="61"/>
        </w:numPr>
        <w:suppressLineNumbers/>
        <w:suppressAutoHyphens/>
        <w:kinsoku w:val="0"/>
        <w:overflowPunct w:val="0"/>
        <w:autoSpaceDE w:val="0"/>
        <w:autoSpaceDN w:val="0"/>
        <w:adjustRightInd w:val="0"/>
        <w:snapToGrid w:val="0"/>
        <w:spacing w:after="120"/>
        <w:ind w:left="0" w:firstLine="720"/>
        <w:rPr>
          <w:snapToGrid w:val="0"/>
          <w:kern w:val="22"/>
          <w:szCs w:val="22"/>
          <w:lang w:val="fr-CA"/>
        </w:rPr>
      </w:pPr>
      <w:r>
        <w:rPr>
          <w:snapToGrid w:val="0"/>
          <w:kern w:val="22"/>
          <w:szCs w:val="22"/>
          <w:lang w:val="fr-CA"/>
        </w:rPr>
        <w:t>La mise en œuvre du SPANB dans les Philippines nécessite 24 milliards de pesos par année de 2015 à 2018, ce qui correspond à un déficit de financement de 80 pour cent.</w:t>
      </w:r>
    </w:p>
    <w:p w:rsidR="00855A78" w:rsidRPr="007201B0" w:rsidRDefault="00855A78" w:rsidP="00873DE2">
      <w:pPr>
        <w:pStyle w:val="Heading1"/>
        <w:suppressLineNumbers/>
        <w:tabs>
          <w:tab w:val="clear" w:pos="720"/>
          <w:tab w:val="left" w:pos="540"/>
        </w:tabs>
        <w:suppressAutoHyphens/>
        <w:kinsoku w:val="0"/>
        <w:overflowPunct w:val="0"/>
        <w:autoSpaceDE w:val="0"/>
        <w:autoSpaceDN w:val="0"/>
        <w:adjustRightInd w:val="0"/>
        <w:snapToGrid w:val="0"/>
        <w:spacing w:before="120"/>
        <w:rPr>
          <w:snapToGrid w:val="0"/>
          <w:kern w:val="22"/>
          <w:szCs w:val="22"/>
          <w:lang w:val="fr-CA"/>
        </w:rPr>
      </w:pPr>
      <w:r w:rsidRPr="007201B0">
        <w:rPr>
          <w:snapToGrid w:val="0"/>
          <w:kern w:val="22"/>
          <w:szCs w:val="22"/>
          <w:lang w:val="fr-CA"/>
        </w:rPr>
        <w:t>VII.</w:t>
      </w:r>
      <w:r w:rsidR="006E604B" w:rsidRPr="007201B0">
        <w:rPr>
          <w:snapToGrid w:val="0"/>
          <w:kern w:val="22"/>
          <w:szCs w:val="22"/>
          <w:lang w:val="fr-CA"/>
        </w:rPr>
        <w:tab/>
      </w:r>
      <w:r w:rsidR="00873DE2">
        <w:rPr>
          <w:snapToGrid w:val="0"/>
          <w:kern w:val="22"/>
          <w:szCs w:val="22"/>
          <w:lang w:val="fr-CA"/>
        </w:rPr>
        <w:t>plans financiers nationaux</w:t>
      </w:r>
    </w:p>
    <w:p w:rsidR="00855A78" w:rsidRPr="007201B0" w:rsidRDefault="00873DE2" w:rsidP="006C0DD6">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fr-CA"/>
        </w:rPr>
      </w:pPr>
      <w:r>
        <w:rPr>
          <w:snapToGrid w:val="0"/>
          <w:kern w:val="22"/>
          <w:szCs w:val="22"/>
          <w:lang w:val="fr-CA"/>
        </w:rPr>
        <w:t>Au total, 15 Parties, soit 25 pour cent, ont fourni des éléments d</w:t>
      </w:r>
      <w:r w:rsidR="00466152">
        <w:rPr>
          <w:snapToGrid w:val="0"/>
          <w:kern w:val="22"/>
          <w:szCs w:val="22"/>
          <w:lang w:val="fr-CA"/>
        </w:rPr>
        <w:t>’</w:t>
      </w:r>
      <w:r>
        <w:rPr>
          <w:snapToGrid w:val="0"/>
          <w:kern w:val="22"/>
          <w:szCs w:val="22"/>
          <w:lang w:val="fr-CA"/>
        </w:rPr>
        <w:t>un plan financier dans le tableau pertinent du cadre de présentation des rapports financiers, principalement en présentant des données agrégées sur les montants de ressources nationales et internationales qu</w:t>
      </w:r>
      <w:r w:rsidR="00466152">
        <w:rPr>
          <w:snapToGrid w:val="0"/>
          <w:kern w:val="22"/>
          <w:szCs w:val="22"/>
          <w:lang w:val="fr-CA"/>
        </w:rPr>
        <w:t>’</w:t>
      </w:r>
      <w:r>
        <w:rPr>
          <w:snapToGrid w:val="0"/>
          <w:kern w:val="22"/>
          <w:szCs w:val="22"/>
          <w:lang w:val="fr-CA"/>
        </w:rPr>
        <w:t xml:space="preserve">elles prévoient mobiliser. </w:t>
      </w:r>
      <w:r w:rsidR="00BD7E77">
        <w:rPr>
          <w:snapToGrid w:val="0"/>
          <w:kern w:val="22"/>
          <w:szCs w:val="22"/>
          <w:lang w:val="fr-CA"/>
        </w:rPr>
        <w:t>L</w:t>
      </w:r>
      <w:r w:rsidR="00466152">
        <w:rPr>
          <w:snapToGrid w:val="0"/>
          <w:kern w:val="22"/>
          <w:szCs w:val="22"/>
          <w:lang w:val="fr-CA"/>
        </w:rPr>
        <w:t>’</w:t>
      </w:r>
      <w:r w:rsidR="00BD7E77">
        <w:rPr>
          <w:snapToGrid w:val="0"/>
          <w:kern w:val="22"/>
          <w:szCs w:val="22"/>
          <w:lang w:val="fr-CA"/>
        </w:rPr>
        <w:t>Afrique du Sud, la Guinée et la Tunisie ont également indiqué des sources de financement individuelles, autant nationales qu</w:t>
      </w:r>
      <w:r w:rsidR="00466152">
        <w:rPr>
          <w:snapToGrid w:val="0"/>
          <w:kern w:val="22"/>
          <w:szCs w:val="22"/>
          <w:lang w:val="fr-CA"/>
        </w:rPr>
        <w:t>’</w:t>
      </w:r>
      <w:r w:rsidR="00BD7E77">
        <w:rPr>
          <w:snapToGrid w:val="0"/>
          <w:kern w:val="22"/>
          <w:szCs w:val="22"/>
          <w:lang w:val="fr-CA"/>
        </w:rPr>
        <w:t>internationales, grâce auxquelles elles prévoient réduire leur</w:t>
      </w:r>
      <w:r w:rsidR="006C0DD6">
        <w:rPr>
          <w:snapToGrid w:val="0"/>
          <w:kern w:val="22"/>
          <w:szCs w:val="22"/>
          <w:lang w:val="fr-CA"/>
        </w:rPr>
        <w:t>s</w:t>
      </w:r>
      <w:r w:rsidR="00BD7E77">
        <w:rPr>
          <w:snapToGrid w:val="0"/>
          <w:kern w:val="22"/>
          <w:szCs w:val="22"/>
          <w:lang w:val="fr-CA"/>
        </w:rPr>
        <w:t xml:space="preserve"> déficit</w:t>
      </w:r>
      <w:r w:rsidR="006C0DD6">
        <w:rPr>
          <w:snapToGrid w:val="0"/>
          <w:kern w:val="22"/>
          <w:szCs w:val="22"/>
          <w:lang w:val="fr-CA"/>
        </w:rPr>
        <w:t>s</w:t>
      </w:r>
      <w:r w:rsidR="00BD7E77">
        <w:rPr>
          <w:snapToGrid w:val="0"/>
          <w:kern w:val="22"/>
          <w:szCs w:val="22"/>
          <w:lang w:val="fr-CA"/>
        </w:rPr>
        <w:t xml:space="preserve"> de financement dans les années à venir. La Tunisie a également fourni son plan national complet de mobilisation de ressources, dont elle a tiré un nombre choisi de sources de financement pour les inclure dans le tableau pertinent, notamment la fiscalité écologique et des mécanismes de paiement/ compensation</w:t>
      </w:r>
      <w:r w:rsidR="006C0DD6">
        <w:rPr>
          <w:snapToGrid w:val="0"/>
          <w:kern w:val="22"/>
          <w:szCs w:val="22"/>
          <w:lang w:val="fr-CA"/>
        </w:rPr>
        <w:t>.</w:t>
      </w:r>
    </w:p>
    <w:p w:rsidR="00855A78" w:rsidRPr="007201B0" w:rsidRDefault="006A3F9E" w:rsidP="0046107B">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fr-CA"/>
        </w:rPr>
      </w:pPr>
      <w:r>
        <w:rPr>
          <w:snapToGrid w:val="0"/>
          <w:kern w:val="22"/>
          <w:szCs w:val="22"/>
          <w:lang w:val="fr-CA"/>
        </w:rPr>
        <w:t>Sur les mesures prises pour encourager le secteur privé ainsi que les ONG, les fondations et le milieu universitaire à fournir un soutien interne pour la mise en œuvre du Plan stratégique, 66 pays ont répondu, dont 23 ont indiqué qu</w:t>
      </w:r>
      <w:r w:rsidR="00466152">
        <w:rPr>
          <w:snapToGrid w:val="0"/>
          <w:kern w:val="22"/>
          <w:szCs w:val="22"/>
          <w:lang w:val="fr-CA"/>
        </w:rPr>
        <w:t>’</w:t>
      </w:r>
      <w:r>
        <w:rPr>
          <w:snapToGrid w:val="0"/>
          <w:kern w:val="22"/>
          <w:szCs w:val="22"/>
          <w:lang w:val="fr-CA"/>
        </w:rPr>
        <w:t>aucune mesure n</w:t>
      </w:r>
      <w:r w:rsidR="00466152">
        <w:rPr>
          <w:snapToGrid w:val="0"/>
          <w:kern w:val="22"/>
          <w:szCs w:val="22"/>
          <w:lang w:val="fr-CA"/>
        </w:rPr>
        <w:t>’</w:t>
      </w:r>
      <w:r>
        <w:rPr>
          <w:snapToGrid w:val="0"/>
          <w:kern w:val="22"/>
          <w:szCs w:val="22"/>
          <w:lang w:val="fr-CA"/>
        </w:rPr>
        <w:t>a été prise, tandis que 53 Parties ont indiqué que certaines mesures avaient été prises et un pays a indiqué que des mesures exhaustives avaient été adoptées.</w:t>
      </w:r>
      <w:r w:rsidR="0046107B">
        <w:rPr>
          <w:snapToGrid w:val="0"/>
          <w:kern w:val="22"/>
          <w:szCs w:val="22"/>
          <w:lang w:val="fr-CA"/>
        </w:rPr>
        <w:t xml:space="preserve"> Au total, 43 pays ont fourni des informations additionnelles sur leur engagement auprès des ONG, des fondations et du milieu universitaire.</w:t>
      </w:r>
      <w:r w:rsidR="006C0DD6">
        <w:rPr>
          <w:snapToGrid w:val="0"/>
          <w:kern w:val="22"/>
          <w:szCs w:val="22"/>
          <w:lang w:val="fr-CA"/>
        </w:rPr>
        <w:t xml:space="preserve"> </w:t>
      </w:r>
      <w:r w:rsidR="0046107B">
        <w:rPr>
          <w:snapToGrid w:val="0"/>
          <w:kern w:val="22"/>
          <w:szCs w:val="22"/>
          <w:lang w:val="fr-CA"/>
        </w:rPr>
        <w:t>Par exemple, le Burkina Faso a souligné la collaboration entre le secteur public et privé dans la gestion des concessions pour la chasse et le tourisme. La Chine a mis sur pied un modèle de cofinancement en vertu duquel des partenariats publics et privés investissent conjointement dans des projets de conservation et de restauration écologique, en vue d</w:t>
      </w:r>
      <w:r w:rsidR="00466152">
        <w:rPr>
          <w:snapToGrid w:val="0"/>
          <w:kern w:val="22"/>
          <w:szCs w:val="22"/>
          <w:lang w:val="fr-CA"/>
        </w:rPr>
        <w:t>’</w:t>
      </w:r>
      <w:r w:rsidR="0046107B">
        <w:rPr>
          <w:snapToGrid w:val="0"/>
          <w:kern w:val="22"/>
          <w:szCs w:val="22"/>
          <w:lang w:val="fr-CA"/>
        </w:rPr>
        <w:t>attirer plus de fonds privés à ces projets et accroître l</w:t>
      </w:r>
      <w:r w:rsidR="00466152">
        <w:rPr>
          <w:snapToGrid w:val="0"/>
          <w:kern w:val="22"/>
          <w:szCs w:val="22"/>
          <w:lang w:val="fr-CA"/>
        </w:rPr>
        <w:t>’</w:t>
      </w:r>
      <w:r w:rsidR="0046107B">
        <w:rPr>
          <w:snapToGrid w:val="0"/>
          <w:kern w:val="22"/>
          <w:szCs w:val="22"/>
          <w:lang w:val="fr-CA"/>
        </w:rPr>
        <w:t>efficacité de l</w:t>
      </w:r>
      <w:r w:rsidR="00466152">
        <w:rPr>
          <w:snapToGrid w:val="0"/>
          <w:kern w:val="22"/>
          <w:szCs w:val="22"/>
          <w:lang w:val="fr-CA"/>
        </w:rPr>
        <w:t>’</w:t>
      </w:r>
      <w:r w:rsidR="0046107B">
        <w:rPr>
          <w:snapToGrid w:val="0"/>
          <w:kern w:val="22"/>
          <w:szCs w:val="22"/>
          <w:lang w:val="fr-CA"/>
        </w:rPr>
        <w:t>utilisation des fonds publics. La Finlande, l</w:t>
      </w:r>
      <w:r w:rsidR="00466152">
        <w:rPr>
          <w:snapToGrid w:val="0"/>
          <w:kern w:val="22"/>
          <w:szCs w:val="22"/>
          <w:lang w:val="fr-CA"/>
        </w:rPr>
        <w:t>’</w:t>
      </w:r>
      <w:r w:rsidR="0046107B">
        <w:rPr>
          <w:snapToGrid w:val="0"/>
          <w:kern w:val="22"/>
          <w:szCs w:val="22"/>
          <w:lang w:val="fr-CA"/>
        </w:rPr>
        <w:t>Inde, le Pérou et l</w:t>
      </w:r>
      <w:r w:rsidR="00466152">
        <w:rPr>
          <w:snapToGrid w:val="0"/>
          <w:kern w:val="22"/>
          <w:szCs w:val="22"/>
          <w:lang w:val="fr-CA"/>
        </w:rPr>
        <w:t>’</w:t>
      </w:r>
      <w:r w:rsidR="0046107B">
        <w:rPr>
          <w:snapToGrid w:val="0"/>
          <w:kern w:val="22"/>
          <w:szCs w:val="22"/>
          <w:lang w:val="fr-CA"/>
        </w:rPr>
        <w:t>Union européenne ont indiqué l</w:t>
      </w:r>
      <w:r w:rsidR="00466152">
        <w:rPr>
          <w:snapToGrid w:val="0"/>
          <w:kern w:val="22"/>
          <w:szCs w:val="22"/>
          <w:lang w:val="fr-CA"/>
        </w:rPr>
        <w:t>’</w:t>
      </w:r>
      <w:r w:rsidR="0046107B">
        <w:rPr>
          <w:snapToGrid w:val="0"/>
          <w:kern w:val="22"/>
          <w:szCs w:val="22"/>
          <w:lang w:val="fr-CA"/>
        </w:rPr>
        <w:t>établissement et/ou les travaux en cours d</w:t>
      </w:r>
      <w:r w:rsidR="00466152">
        <w:rPr>
          <w:snapToGrid w:val="0"/>
          <w:kern w:val="22"/>
          <w:szCs w:val="22"/>
          <w:lang w:val="fr-CA"/>
        </w:rPr>
        <w:t>’</w:t>
      </w:r>
      <w:r w:rsidR="0046107B">
        <w:rPr>
          <w:snapToGrid w:val="0"/>
          <w:kern w:val="22"/>
          <w:szCs w:val="22"/>
          <w:lang w:val="fr-CA"/>
        </w:rPr>
        <w:t>initiatives commerciales et liées à la biodiversité, tandis que Malte a indiqué que les banques ont été d</w:t>
      </w:r>
      <w:r w:rsidR="00466152">
        <w:rPr>
          <w:snapToGrid w:val="0"/>
          <w:kern w:val="22"/>
          <w:szCs w:val="22"/>
          <w:lang w:val="fr-CA"/>
        </w:rPr>
        <w:t>’</w:t>
      </w:r>
      <w:r w:rsidR="0046107B">
        <w:rPr>
          <w:snapToGrid w:val="0"/>
          <w:kern w:val="22"/>
          <w:szCs w:val="22"/>
          <w:lang w:val="fr-CA"/>
        </w:rPr>
        <w:t>importantes sources de financement pour les efforts de conservation directs et indirects du pays.</w:t>
      </w:r>
    </w:p>
    <w:p w:rsidR="00855A78" w:rsidRPr="007201B0" w:rsidRDefault="00F80805" w:rsidP="008636A4">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fr-CA"/>
        </w:rPr>
      </w:pPr>
      <w:r>
        <w:rPr>
          <w:snapToGrid w:val="0"/>
          <w:kern w:val="22"/>
          <w:szCs w:val="22"/>
          <w:lang w:val="fr-CA"/>
        </w:rPr>
        <w:t>Selon la table de progression BIOFIN</w:t>
      </w:r>
      <w:r w:rsidR="00466152">
        <w:rPr>
          <w:snapToGrid w:val="0"/>
          <w:kern w:val="22"/>
          <w:szCs w:val="22"/>
          <w:lang w:val="fr-CA"/>
        </w:rPr>
        <w:noBreakHyphen/>
      </w:r>
      <w:r>
        <w:rPr>
          <w:snapToGrid w:val="0"/>
          <w:kern w:val="22"/>
          <w:szCs w:val="22"/>
          <w:lang w:val="fr-CA"/>
        </w:rPr>
        <w:t>PNUD actualisée, seuls quatre pays se trouvent dans la dernière phase de préparation de leur plan financier, et six autres en sont à une étape avancée. Par exemple,</w:t>
      </w:r>
      <w:r w:rsidR="006D4DBA">
        <w:rPr>
          <w:snapToGrid w:val="0"/>
          <w:kern w:val="22"/>
          <w:szCs w:val="22"/>
          <w:lang w:val="fr-CA"/>
        </w:rPr>
        <w:t xml:space="preserve"> à la troisième Conférence BIOFIN, l</w:t>
      </w:r>
      <w:r w:rsidR="00466152">
        <w:rPr>
          <w:snapToGrid w:val="0"/>
          <w:kern w:val="22"/>
          <w:szCs w:val="22"/>
          <w:lang w:val="fr-CA"/>
        </w:rPr>
        <w:t>’</w:t>
      </w:r>
      <w:r w:rsidR="006D4DBA">
        <w:rPr>
          <w:snapToGrid w:val="0"/>
          <w:kern w:val="22"/>
          <w:szCs w:val="22"/>
          <w:lang w:val="fr-CA"/>
        </w:rPr>
        <w:t>équipe de pays BIOFIN Colombie a noté que l</w:t>
      </w:r>
      <w:r w:rsidR="00466152">
        <w:rPr>
          <w:snapToGrid w:val="0"/>
          <w:kern w:val="22"/>
          <w:szCs w:val="22"/>
          <w:lang w:val="fr-CA"/>
        </w:rPr>
        <w:t>’</w:t>
      </w:r>
      <w:r w:rsidR="006D4DBA">
        <w:rPr>
          <w:snapToGrid w:val="0"/>
          <w:kern w:val="22"/>
          <w:szCs w:val="22"/>
          <w:lang w:val="fr-CA"/>
        </w:rPr>
        <w:t>utilisation a) d</w:t>
      </w:r>
      <w:r w:rsidR="00466152">
        <w:rPr>
          <w:snapToGrid w:val="0"/>
          <w:kern w:val="22"/>
          <w:szCs w:val="22"/>
          <w:lang w:val="fr-CA"/>
        </w:rPr>
        <w:t>’</w:t>
      </w:r>
      <w:r w:rsidR="006D4DBA">
        <w:rPr>
          <w:snapToGrid w:val="0"/>
          <w:kern w:val="22"/>
          <w:szCs w:val="22"/>
          <w:lang w:val="fr-CA"/>
        </w:rPr>
        <w:t xml:space="preserve">une taxe sur le carbone pour arrêter la déforestation; b) de paiements de redevances pour la biodiversité; et c) </w:t>
      </w:r>
      <w:r w:rsidR="008636A4">
        <w:rPr>
          <w:snapToGrid w:val="0"/>
          <w:kern w:val="22"/>
          <w:szCs w:val="22"/>
          <w:lang w:val="fr-CA"/>
        </w:rPr>
        <w:t>d</w:t>
      </w:r>
      <w:r w:rsidR="00466152">
        <w:rPr>
          <w:snapToGrid w:val="0"/>
          <w:kern w:val="22"/>
          <w:szCs w:val="22"/>
          <w:lang w:val="fr-CA"/>
        </w:rPr>
        <w:t>’</w:t>
      </w:r>
      <w:r w:rsidR="008636A4">
        <w:rPr>
          <w:snapToGrid w:val="0"/>
          <w:kern w:val="22"/>
          <w:szCs w:val="22"/>
          <w:lang w:val="fr-CA"/>
        </w:rPr>
        <w:t>une plateforme de compensations pour la biodiversité, le tout allié aux dépenses habituelles, pourrait potentiellement couvrir 88 pour cent des besoins de financement pour la mise en œuvre des SPANB.</w:t>
      </w:r>
    </w:p>
    <w:p w:rsidR="00855A78" w:rsidRPr="007201B0" w:rsidRDefault="008636A4" w:rsidP="00466152">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fr-CA"/>
        </w:rPr>
      </w:pPr>
      <w:r>
        <w:rPr>
          <w:snapToGrid w:val="0"/>
          <w:color w:val="000000"/>
          <w:kern w:val="22"/>
          <w:szCs w:val="22"/>
          <w:lang w:val="fr-CA"/>
        </w:rPr>
        <w:t xml:space="preserve">Au total, 23 SPANB révisés contiennent spécifiquement une stratégie </w:t>
      </w:r>
      <w:r w:rsidR="00637D6A">
        <w:rPr>
          <w:snapToGrid w:val="0"/>
          <w:color w:val="000000"/>
          <w:kern w:val="22"/>
          <w:szCs w:val="22"/>
          <w:lang w:val="fr-CA"/>
        </w:rPr>
        <w:t>nationale de mobilisation de ressources ou l</w:t>
      </w:r>
      <w:r w:rsidR="00466152">
        <w:rPr>
          <w:snapToGrid w:val="0"/>
          <w:color w:val="000000"/>
          <w:kern w:val="22"/>
          <w:szCs w:val="22"/>
          <w:lang w:val="fr-CA"/>
        </w:rPr>
        <w:t>’</w:t>
      </w:r>
      <w:r w:rsidR="00637D6A">
        <w:rPr>
          <w:snapToGrid w:val="0"/>
          <w:color w:val="000000"/>
          <w:kern w:val="22"/>
          <w:szCs w:val="22"/>
          <w:lang w:val="fr-CA"/>
        </w:rPr>
        <w:t>équivalent, bien que pas nécessairement basée sur le calcul des coûts tel que prévu par la méthodologie BIOFIN et le cadre de présentation des rapports financiers, ou pas en termes de ressources planifiées à mobiliser par année et source.</w:t>
      </w:r>
      <w:r w:rsidR="00637D6A" w:rsidRPr="007201B0">
        <w:rPr>
          <w:rStyle w:val="FootnoteReference"/>
          <w:snapToGrid w:val="0"/>
          <w:color w:val="000000"/>
          <w:kern w:val="22"/>
          <w:szCs w:val="22"/>
          <w:lang w:val="fr-CA"/>
        </w:rPr>
        <w:footnoteReference w:id="16"/>
      </w:r>
      <w:r w:rsidR="00637D6A">
        <w:rPr>
          <w:snapToGrid w:val="0"/>
          <w:color w:val="000000"/>
          <w:kern w:val="22"/>
          <w:szCs w:val="22"/>
          <w:lang w:val="fr-CA"/>
        </w:rPr>
        <w:t xml:space="preserve"> Voir </w:t>
      </w:r>
      <w:r w:rsidR="00637D6A" w:rsidRPr="007201B0">
        <w:rPr>
          <w:snapToGrid w:val="0"/>
          <w:color w:val="000000"/>
          <w:kern w:val="22"/>
          <w:szCs w:val="22"/>
          <w:lang w:val="fr-CA"/>
        </w:rPr>
        <w:t xml:space="preserve">CBD/SBI/2/2/Add.1 </w:t>
      </w:r>
      <w:r w:rsidR="00637D6A">
        <w:rPr>
          <w:snapToGrid w:val="0"/>
          <w:color w:val="000000"/>
          <w:kern w:val="22"/>
          <w:szCs w:val="22"/>
          <w:lang w:val="fr-CA"/>
        </w:rPr>
        <w:t>pour des exemples de la Bosnie et Herzégovine, du Botswana, du Costa Rica, des Maldives et du Rwanda.</w:t>
      </w:r>
    </w:p>
    <w:p w:rsidR="00855A78" w:rsidRPr="00490BF5" w:rsidRDefault="00855A78" w:rsidP="00490BF5">
      <w:pPr>
        <w:pStyle w:val="Heading1"/>
        <w:suppressLineNumbers/>
        <w:tabs>
          <w:tab w:val="clear" w:pos="720"/>
          <w:tab w:val="left" w:pos="540"/>
        </w:tabs>
        <w:suppressAutoHyphens/>
        <w:kinsoku w:val="0"/>
        <w:overflowPunct w:val="0"/>
        <w:autoSpaceDE w:val="0"/>
        <w:autoSpaceDN w:val="0"/>
        <w:adjustRightInd w:val="0"/>
        <w:snapToGrid w:val="0"/>
        <w:spacing w:before="120"/>
        <w:rPr>
          <w:snapToGrid w:val="0"/>
          <w:kern w:val="22"/>
          <w:szCs w:val="22"/>
        </w:rPr>
      </w:pPr>
      <w:r w:rsidRPr="00490BF5">
        <w:rPr>
          <w:snapToGrid w:val="0"/>
          <w:kern w:val="22"/>
          <w:szCs w:val="22"/>
        </w:rPr>
        <w:t>V</w:t>
      </w:r>
      <w:r w:rsidR="006E604B" w:rsidRPr="00490BF5">
        <w:rPr>
          <w:snapToGrid w:val="0"/>
          <w:kern w:val="22"/>
          <w:szCs w:val="22"/>
        </w:rPr>
        <w:t>III</w:t>
      </w:r>
      <w:r w:rsidRPr="00490BF5">
        <w:rPr>
          <w:snapToGrid w:val="0"/>
          <w:kern w:val="22"/>
          <w:szCs w:val="22"/>
        </w:rPr>
        <w:t>.</w:t>
      </w:r>
      <w:r w:rsidRPr="00490BF5">
        <w:rPr>
          <w:snapToGrid w:val="0"/>
          <w:kern w:val="22"/>
          <w:szCs w:val="22"/>
        </w:rPr>
        <w:tab/>
        <w:t>Conclusions</w:t>
      </w:r>
    </w:p>
    <w:p w:rsidR="00855A78" w:rsidRPr="00665C19" w:rsidRDefault="008A3EDF" w:rsidP="00A60F99">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fr-FR"/>
        </w:rPr>
      </w:pPr>
      <w:r w:rsidRPr="00B17F01">
        <w:rPr>
          <w:snapToGrid w:val="0"/>
          <w:kern w:val="22"/>
          <w:szCs w:val="22"/>
          <w:lang w:val="fr-CA"/>
        </w:rPr>
        <w:t>Les progrès dans la présentation de rapports en regard des objectifs relatifs à la mobilisation de ressources sont lents dans l</w:t>
      </w:r>
      <w:r w:rsidR="00466152">
        <w:rPr>
          <w:snapToGrid w:val="0"/>
          <w:kern w:val="22"/>
          <w:szCs w:val="22"/>
          <w:lang w:val="fr-CA"/>
        </w:rPr>
        <w:t>’</w:t>
      </w:r>
      <w:r w:rsidRPr="00B17F01">
        <w:rPr>
          <w:snapToGrid w:val="0"/>
          <w:kern w:val="22"/>
          <w:szCs w:val="22"/>
          <w:lang w:val="fr-CA"/>
        </w:rPr>
        <w:t>ensemble</w:t>
      </w:r>
      <w:r>
        <w:rPr>
          <w:snapToGrid w:val="0"/>
          <w:kern w:val="22"/>
          <w:szCs w:val="22"/>
          <w:lang w:val="fr-CA"/>
        </w:rPr>
        <w:t xml:space="preserve">. </w:t>
      </w:r>
      <w:r w:rsidRPr="00B17F01">
        <w:rPr>
          <w:snapToGrid w:val="0"/>
          <w:kern w:val="22"/>
          <w:szCs w:val="22"/>
          <w:lang w:val="fr-CA"/>
        </w:rPr>
        <w:t>Des 30 Parties ayant présenté des rapports comparant leurs résultats à l</w:t>
      </w:r>
      <w:r w:rsidR="00466152">
        <w:rPr>
          <w:snapToGrid w:val="0"/>
          <w:kern w:val="22"/>
          <w:szCs w:val="22"/>
          <w:lang w:val="fr-CA"/>
        </w:rPr>
        <w:t>’</w:t>
      </w:r>
      <w:r w:rsidRPr="00B17F01">
        <w:rPr>
          <w:snapToGrid w:val="0"/>
          <w:kern w:val="22"/>
          <w:szCs w:val="22"/>
          <w:lang w:val="fr-CA"/>
        </w:rPr>
        <w:t>objectif 1 a), 7 Parties, soit 15 pour cent du niveau de référence rapporté, n</w:t>
      </w:r>
      <w:r w:rsidR="00466152">
        <w:rPr>
          <w:snapToGrid w:val="0"/>
          <w:kern w:val="22"/>
          <w:szCs w:val="22"/>
          <w:lang w:val="fr-CA"/>
        </w:rPr>
        <w:t>’</w:t>
      </w:r>
      <w:r w:rsidRPr="00B17F01">
        <w:rPr>
          <w:snapToGrid w:val="0"/>
          <w:kern w:val="22"/>
          <w:szCs w:val="22"/>
          <w:lang w:val="fr-CA"/>
        </w:rPr>
        <w:t>ont pas encore communiqué leurs données pour </w:t>
      </w:r>
      <w:r>
        <w:rPr>
          <w:snapToGrid w:val="0"/>
          <w:kern w:val="22"/>
          <w:szCs w:val="22"/>
          <w:lang w:val="fr-CA"/>
        </w:rPr>
        <w:t>2015, et six</w:t>
      </w:r>
      <w:r w:rsidRPr="00B17F01">
        <w:rPr>
          <w:snapToGrid w:val="0"/>
          <w:kern w:val="22"/>
          <w:szCs w:val="22"/>
          <w:lang w:val="fr-CA"/>
        </w:rPr>
        <w:t xml:space="preserve"> membres du Comité d</w:t>
      </w:r>
      <w:r w:rsidR="00466152">
        <w:rPr>
          <w:snapToGrid w:val="0"/>
          <w:kern w:val="22"/>
          <w:szCs w:val="22"/>
          <w:lang w:val="fr-CA"/>
        </w:rPr>
        <w:t>’</w:t>
      </w:r>
      <w:r w:rsidRPr="00B17F01">
        <w:rPr>
          <w:snapToGrid w:val="0"/>
          <w:kern w:val="22"/>
          <w:szCs w:val="22"/>
          <w:lang w:val="fr-CA"/>
        </w:rPr>
        <w:t>assistance au développement (CAD)</w:t>
      </w:r>
      <w:r>
        <w:rPr>
          <w:snapToGrid w:val="0"/>
          <w:kern w:val="22"/>
          <w:szCs w:val="22"/>
          <w:lang w:val="fr-CA"/>
        </w:rPr>
        <w:t xml:space="preserve"> Parties à la Convention n</w:t>
      </w:r>
      <w:r w:rsidR="00466152">
        <w:rPr>
          <w:snapToGrid w:val="0"/>
          <w:kern w:val="22"/>
          <w:szCs w:val="22"/>
          <w:lang w:val="fr-CA"/>
        </w:rPr>
        <w:t>’</w:t>
      </w:r>
      <w:r>
        <w:rPr>
          <w:snapToGrid w:val="0"/>
          <w:kern w:val="22"/>
          <w:szCs w:val="22"/>
          <w:lang w:val="fr-CA"/>
        </w:rPr>
        <w:t xml:space="preserve">ont pas encore présenté de rapports. </w:t>
      </w:r>
      <w:r w:rsidRPr="00B17F01">
        <w:rPr>
          <w:snapToGrid w:val="0"/>
          <w:kern w:val="22"/>
          <w:szCs w:val="22"/>
          <w:lang w:val="fr-CA"/>
        </w:rPr>
        <w:t>S</w:t>
      </w:r>
      <w:r w:rsidR="00466152">
        <w:rPr>
          <w:snapToGrid w:val="0"/>
          <w:kern w:val="22"/>
          <w:szCs w:val="22"/>
          <w:lang w:val="fr-CA"/>
        </w:rPr>
        <w:t>’</w:t>
      </w:r>
      <w:r w:rsidRPr="00B17F01">
        <w:rPr>
          <w:snapToGrid w:val="0"/>
          <w:kern w:val="22"/>
          <w:szCs w:val="22"/>
          <w:lang w:val="fr-CA"/>
        </w:rPr>
        <w:t xml:space="preserve">agissant des autres objectifs, la lenteur </w:t>
      </w:r>
      <w:r w:rsidRPr="00B17F01">
        <w:rPr>
          <w:snapToGrid w:val="0"/>
          <w:kern w:val="22"/>
          <w:szCs w:val="22"/>
          <w:lang w:val="fr-CA"/>
        </w:rPr>
        <w:lastRenderedPageBreak/>
        <w:t xml:space="preserve">des progrès </w:t>
      </w:r>
      <w:r>
        <w:rPr>
          <w:snapToGrid w:val="0"/>
          <w:kern w:val="22"/>
          <w:szCs w:val="22"/>
          <w:lang w:val="fr-CA"/>
        </w:rPr>
        <w:t>n</w:t>
      </w:r>
      <w:r w:rsidR="00466152">
        <w:rPr>
          <w:snapToGrid w:val="0"/>
          <w:kern w:val="22"/>
          <w:szCs w:val="22"/>
          <w:lang w:val="fr-CA"/>
        </w:rPr>
        <w:t>’</w:t>
      </w:r>
      <w:r w:rsidRPr="00B17F01">
        <w:rPr>
          <w:snapToGrid w:val="0"/>
          <w:kern w:val="22"/>
          <w:szCs w:val="22"/>
          <w:lang w:val="fr-CA"/>
        </w:rPr>
        <w:t>est probablement</w:t>
      </w:r>
      <w:r>
        <w:rPr>
          <w:snapToGrid w:val="0"/>
          <w:kern w:val="22"/>
          <w:szCs w:val="22"/>
          <w:lang w:val="fr-CA"/>
        </w:rPr>
        <w:t xml:space="preserve"> pas</w:t>
      </w:r>
      <w:r w:rsidRPr="00B17F01">
        <w:rPr>
          <w:snapToGrid w:val="0"/>
          <w:kern w:val="22"/>
          <w:szCs w:val="22"/>
          <w:lang w:val="fr-CA"/>
        </w:rPr>
        <w:t xml:space="preserve"> due</w:t>
      </w:r>
      <w:r>
        <w:rPr>
          <w:snapToGrid w:val="0"/>
          <w:kern w:val="22"/>
          <w:szCs w:val="22"/>
          <w:lang w:val="fr-CA"/>
        </w:rPr>
        <w:t xml:space="preserve"> à</w:t>
      </w:r>
      <w:r w:rsidR="0053143A">
        <w:rPr>
          <w:snapToGrid w:val="0"/>
          <w:kern w:val="22"/>
          <w:szCs w:val="22"/>
          <w:lang w:val="fr-CA"/>
        </w:rPr>
        <w:t xml:space="preserve"> une lacune prédominante</w:t>
      </w:r>
      <w:r>
        <w:rPr>
          <w:snapToGrid w:val="0"/>
          <w:kern w:val="22"/>
          <w:szCs w:val="22"/>
          <w:lang w:val="fr-CA"/>
        </w:rPr>
        <w:t xml:space="preserve"> dans la présentation de rapports</w:t>
      </w:r>
      <w:r w:rsidR="0053143A">
        <w:rPr>
          <w:snapToGrid w:val="0"/>
          <w:kern w:val="22"/>
          <w:szCs w:val="22"/>
          <w:lang w:val="fr-CA"/>
        </w:rPr>
        <w:t xml:space="preserve"> en tant que telle : une comparaison avec les SPANB présentés par les Parties montre que les chiffres ne sont pas dans l</w:t>
      </w:r>
      <w:r w:rsidR="00466152">
        <w:rPr>
          <w:snapToGrid w:val="0"/>
          <w:kern w:val="22"/>
          <w:szCs w:val="22"/>
          <w:lang w:val="fr-CA"/>
        </w:rPr>
        <w:t>’</w:t>
      </w:r>
      <w:r w:rsidR="0053143A">
        <w:rPr>
          <w:snapToGrid w:val="0"/>
          <w:kern w:val="22"/>
          <w:szCs w:val="22"/>
          <w:lang w:val="fr-CA"/>
        </w:rPr>
        <w:t>ensemble très divergents.</w:t>
      </w:r>
      <w:r w:rsidR="00E32098">
        <w:rPr>
          <w:snapToGrid w:val="0"/>
          <w:kern w:val="22"/>
          <w:szCs w:val="22"/>
          <w:lang w:val="fr-CA"/>
        </w:rPr>
        <w:t xml:space="preserve"> </w:t>
      </w:r>
      <w:r w:rsidR="00E32098" w:rsidRPr="00A60F99">
        <w:rPr>
          <w:snapToGrid w:val="0"/>
          <w:kern w:val="22"/>
          <w:szCs w:val="22"/>
          <w:lang w:val="fr-CA"/>
        </w:rPr>
        <w:t xml:space="preserve">Même </w:t>
      </w:r>
      <w:r w:rsidR="00E32098">
        <w:rPr>
          <w:snapToGrid w:val="0"/>
          <w:kern w:val="22"/>
          <w:szCs w:val="22"/>
          <w:lang w:val="fr-CA"/>
        </w:rPr>
        <w:t>lorsque certaines Parties, qui ont établi, par exemple, une évaluation des coûts entourant la préparation de leur SPANB révisé ou des éléments d</w:t>
      </w:r>
      <w:r w:rsidR="00466152">
        <w:rPr>
          <w:snapToGrid w:val="0"/>
          <w:kern w:val="22"/>
          <w:szCs w:val="22"/>
          <w:lang w:val="fr-CA"/>
        </w:rPr>
        <w:t>’</w:t>
      </w:r>
      <w:r w:rsidR="00E32098">
        <w:rPr>
          <w:snapToGrid w:val="0"/>
          <w:kern w:val="22"/>
          <w:szCs w:val="22"/>
          <w:lang w:val="fr-CA"/>
        </w:rPr>
        <w:t xml:space="preserve">une stratégie de mobilisation de ressources, </w:t>
      </w:r>
      <w:r w:rsidR="00A60F99">
        <w:rPr>
          <w:snapToGrid w:val="0"/>
          <w:kern w:val="22"/>
          <w:szCs w:val="22"/>
          <w:lang w:val="fr-CA"/>
        </w:rPr>
        <w:t xml:space="preserve">et </w:t>
      </w:r>
      <w:r w:rsidR="00E32098">
        <w:rPr>
          <w:snapToGrid w:val="0"/>
          <w:kern w:val="22"/>
          <w:szCs w:val="22"/>
          <w:lang w:val="fr-CA"/>
        </w:rPr>
        <w:t xml:space="preserve">doivent tout de même présenter leur </w:t>
      </w:r>
      <w:r w:rsidR="00E32098" w:rsidRPr="00B17F01">
        <w:rPr>
          <w:snapToGrid w:val="0"/>
          <w:kern w:val="22"/>
          <w:szCs w:val="22"/>
          <w:lang w:val="fr-CA"/>
        </w:rPr>
        <w:t>cadre d</w:t>
      </w:r>
      <w:r w:rsidR="00466152">
        <w:rPr>
          <w:snapToGrid w:val="0"/>
          <w:kern w:val="22"/>
          <w:szCs w:val="22"/>
          <w:lang w:val="fr-CA"/>
        </w:rPr>
        <w:t>’</w:t>
      </w:r>
      <w:r w:rsidR="00E32098" w:rsidRPr="00B17F01">
        <w:rPr>
          <w:snapToGrid w:val="0"/>
          <w:kern w:val="22"/>
          <w:szCs w:val="22"/>
          <w:lang w:val="fr-CA"/>
        </w:rPr>
        <w:t>établissement des rapports financiers</w:t>
      </w:r>
      <w:r w:rsidR="00E32098">
        <w:rPr>
          <w:snapToGrid w:val="0"/>
          <w:kern w:val="22"/>
          <w:szCs w:val="22"/>
          <w:lang w:val="fr-CA"/>
        </w:rPr>
        <w:t xml:space="preserve">, les chiffres </w:t>
      </w:r>
      <w:r w:rsidR="00B65F3C">
        <w:rPr>
          <w:snapToGrid w:val="0"/>
          <w:kern w:val="22"/>
          <w:szCs w:val="22"/>
          <w:lang w:val="fr-CA"/>
        </w:rPr>
        <w:t>associés</w:t>
      </w:r>
      <w:r w:rsidR="00E32098">
        <w:rPr>
          <w:snapToGrid w:val="0"/>
          <w:kern w:val="22"/>
          <w:szCs w:val="22"/>
          <w:lang w:val="fr-CA"/>
        </w:rPr>
        <w:t xml:space="preserve"> sont relativement faibles.</w:t>
      </w:r>
      <w:r w:rsidR="009057F6">
        <w:rPr>
          <w:snapToGrid w:val="0"/>
          <w:kern w:val="22"/>
          <w:szCs w:val="22"/>
          <w:lang w:val="fr-CA"/>
        </w:rPr>
        <w:t xml:space="preserve"> À la lumière de ce qui précède, les </w:t>
      </w:r>
      <w:r w:rsidR="009057F6" w:rsidRPr="00B17F01">
        <w:rPr>
          <w:snapToGrid w:val="0"/>
          <w:kern w:val="22"/>
          <w:szCs w:val="22"/>
          <w:lang w:val="fr-CA"/>
        </w:rPr>
        <w:t>défis constants entourant la mise en œuvre</w:t>
      </w:r>
      <w:r w:rsidR="009057F6">
        <w:rPr>
          <w:snapToGrid w:val="0"/>
          <w:kern w:val="22"/>
          <w:szCs w:val="22"/>
          <w:lang w:val="fr-CA"/>
        </w:rPr>
        <w:t xml:space="preserve"> constituent une contrainte importante,</w:t>
      </w:r>
      <w:r w:rsidR="009057F6" w:rsidRPr="00B17F01">
        <w:rPr>
          <w:snapToGrid w:val="0"/>
          <w:kern w:val="22"/>
          <w:szCs w:val="22"/>
          <w:lang w:val="fr-CA"/>
        </w:rPr>
        <w:t xml:space="preserve"> en particulier en ce qui concerne les objectifs  1 c) et 1 d), associés à une absence générale de capacités, en particulier des pays qui ne participent pas à l</w:t>
      </w:r>
      <w:r w:rsidR="00466152">
        <w:rPr>
          <w:snapToGrid w:val="0"/>
          <w:kern w:val="22"/>
          <w:szCs w:val="22"/>
          <w:lang w:val="fr-CA"/>
        </w:rPr>
        <w:t>’</w:t>
      </w:r>
      <w:r w:rsidR="009057F6" w:rsidRPr="00B17F01">
        <w:rPr>
          <w:snapToGrid w:val="0"/>
          <w:kern w:val="22"/>
          <w:szCs w:val="22"/>
          <w:lang w:val="fr-CA"/>
        </w:rPr>
        <w:t>Initiative pour le financement de la biodiversité (BIOFIN)</w:t>
      </w:r>
      <w:r w:rsidR="009057F6">
        <w:rPr>
          <w:snapToGrid w:val="0"/>
          <w:kern w:val="22"/>
          <w:szCs w:val="22"/>
          <w:lang w:val="fr-CA"/>
        </w:rPr>
        <w:t xml:space="preserve">. Cependant, même </w:t>
      </w:r>
      <w:r w:rsidR="009057F6" w:rsidRPr="00B17F01">
        <w:rPr>
          <w:snapToGrid w:val="0"/>
          <w:kern w:val="22"/>
          <w:szCs w:val="22"/>
          <w:lang w:val="fr-CA"/>
        </w:rPr>
        <w:t>dans les pays directement appuyées par BIOFIN</w:t>
      </w:r>
      <w:r w:rsidR="009057F6">
        <w:rPr>
          <w:snapToGrid w:val="0"/>
          <w:kern w:val="22"/>
          <w:szCs w:val="22"/>
          <w:lang w:val="fr-CA"/>
        </w:rPr>
        <w:t>, les progrès sont lents dans l</w:t>
      </w:r>
      <w:r w:rsidR="00466152">
        <w:rPr>
          <w:snapToGrid w:val="0"/>
          <w:kern w:val="22"/>
          <w:szCs w:val="22"/>
          <w:lang w:val="fr-CA"/>
        </w:rPr>
        <w:t>’</w:t>
      </w:r>
      <w:r w:rsidR="009057F6">
        <w:rPr>
          <w:snapToGrid w:val="0"/>
          <w:kern w:val="22"/>
          <w:szCs w:val="22"/>
          <w:lang w:val="fr-CA"/>
        </w:rPr>
        <w:t>ensemble, probablement à cause de diverses difficultés techniques et méthodologi</w:t>
      </w:r>
      <w:r w:rsidR="00B65F3C">
        <w:rPr>
          <w:snapToGrid w:val="0"/>
          <w:kern w:val="22"/>
          <w:szCs w:val="22"/>
          <w:lang w:val="fr-CA"/>
        </w:rPr>
        <w:t>ques, par exemple, les SPANB qui selon</w:t>
      </w:r>
      <w:r w:rsidR="009057F6">
        <w:rPr>
          <w:snapToGrid w:val="0"/>
          <w:kern w:val="22"/>
          <w:szCs w:val="22"/>
          <w:lang w:val="fr-CA"/>
        </w:rPr>
        <w:t xml:space="preserve"> les équipes des pays BIOFIN ne se prêtent pas facilement à une évaluation des besoins en matière de financement.</w:t>
      </w:r>
    </w:p>
    <w:p w:rsidR="00855A78" w:rsidRPr="00665C19" w:rsidRDefault="005C68C5" w:rsidP="009E2C02">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fr-FR"/>
        </w:rPr>
      </w:pPr>
      <w:r w:rsidRPr="00B17F01">
        <w:rPr>
          <w:i/>
          <w:iCs/>
          <w:kern w:val="22"/>
          <w:szCs w:val="22"/>
          <w:lang w:val="fr-CA"/>
        </w:rPr>
        <w:t>Objectif 1 a) (</w:t>
      </w:r>
      <w:r w:rsidRPr="00B17F01">
        <w:rPr>
          <w:bCs/>
          <w:i/>
          <w:iCs/>
          <w:kern w:val="20"/>
          <w:lang w:val="fr-CA"/>
        </w:rPr>
        <w:t>Doubler le total des flux internationaux de ressources financières d</w:t>
      </w:r>
      <w:r w:rsidR="00466152">
        <w:rPr>
          <w:bCs/>
          <w:i/>
          <w:iCs/>
          <w:kern w:val="20"/>
          <w:lang w:val="fr-CA"/>
        </w:rPr>
        <w:t>’</w:t>
      </w:r>
      <w:r w:rsidRPr="00B17F01">
        <w:rPr>
          <w:bCs/>
          <w:i/>
          <w:iCs/>
          <w:kern w:val="20"/>
          <w:lang w:val="fr-CA"/>
        </w:rPr>
        <w:t>ici à 2015 et maintenir ce niveau jusqu</w:t>
      </w:r>
      <w:r w:rsidR="00466152">
        <w:rPr>
          <w:bCs/>
          <w:i/>
          <w:iCs/>
          <w:kern w:val="20"/>
          <w:lang w:val="fr-CA"/>
        </w:rPr>
        <w:t>’</w:t>
      </w:r>
      <w:r w:rsidRPr="00B17F01">
        <w:rPr>
          <w:bCs/>
          <w:i/>
          <w:iCs/>
          <w:kern w:val="20"/>
          <w:lang w:val="fr-CA"/>
        </w:rPr>
        <w:t>en 2020) </w:t>
      </w:r>
      <w:r w:rsidRPr="00B17F01">
        <w:rPr>
          <w:kern w:val="22"/>
          <w:szCs w:val="22"/>
          <w:lang w:val="fr-CA"/>
        </w:rPr>
        <w:t>:</w:t>
      </w:r>
      <w:r>
        <w:rPr>
          <w:kern w:val="22"/>
          <w:szCs w:val="22"/>
          <w:lang w:val="fr-CA"/>
        </w:rPr>
        <w:t xml:space="preserve"> Les Parties en mesure de présenter des données pour 2015 à temps pour la préparation du présent rapport, ce qui </w:t>
      </w:r>
      <w:r w:rsidRPr="00B17F01">
        <w:rPr>
          <w:bCs/>
          <w:iCs/>
          <w:lang w:val="fr-CA"/>
        </w:rPr>
        <w:t>représente collectivement 85 pour cent du total des informations de référence présentées</w:t>
      </w:r>
      <w:r>
        <w:rPr>
          <w:bCs/>
          <w:iCs/>
          <w:lang w:val="fr-CA"/>
        </w:rPr>
        <w:t>,</w:t>
      </w:r>
      <w:r>
        <w:rPr>
          <w:kern w:val="22"/>
          <w:szCs w:val="22"/>
          <w:lang w:val="fr-CA"/>
        </w:rPr>
        <w:t xml:space="preserve"> </w:t>
      </w:r>
      <w:r w:rsidRPr="00B17F01">
        <w:rPr>
          <w:bCs/>
          <w:iCs/>
          <w:lang w:val="fr-CA"/>
        </w:rPr>
        <w:t>ont collectivement réalisé une augmentation de 92 pour cent par rapport à leurs données de référence, en excluant les impacts liés à la conversion des devises</w:t>
      </w:r>
      <w:r>
        <w:rPr>
          <w:bCs/>
          <w:iCs/>
          <w:lang w:val="fr-CA"/>
        </w:rPr>
        <w:t>.</w:t>
      </w:r>
      <w:r w:rsidRPr="00B17F01">
        <w:rPr>
          <w:bCs/>
          <w:iCs/>
          <w:lang w:val="fr-CA"/>
        </w:rPr>
        <w:t xml:space="preserve"> Les progrès mesurés par rapport au total des données de référence communiquées indiquent une augmentation de 62 pour cent. Avec la moyenne du taux de change pour 2015, ces progrès s</w:t>
      </w:r>
      <w:r w:rsidR="00466152">
        <w:rPr>
          <w:bCs/>
          <w:iCs/>
          <w:lang w:val="fr-CA"/>
        </w:rPr>
        <w:t>’</w:t>
      </w:r>
      <w:r w:rsidRPr="00B17F01">
        <w:rPr>
          <w:bCs/>
          <w:iCs/>
          <w:lang w:val="fr-CA"/>
        </w:rPr>
        <w:t>établissent à 70 pour cent et 44 pour cent respectivement.</w:t>
      </w:r>
    </w:p>
    <w:p w:rsidR="00855A78" w:rsidRPr="00665C19" w:rsidRDefault="00634CF8" w:rsidP="00F71C78">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fr-FR"/>
        </w:rPr>
      </w:pPr>
      <w:r w:rsidRPr="00B17F01">
        <w:rPr>
          <w:i/>
          <w:iCs/>
          <w:kern w:val="22"/>
          <w:szCs w:val="22"/>
          <w:lang w:val="fr-CA"/>
        </w:rPr>
        <w:t>Objectif 1 b) (inclure la diversité biologique aux priorités nationales ou dans les plans nationaux de développement d</w:t>
      </w:r>
      <w:r w:rsidR="00466152">
        <w:rPr>
          <w:i/>
          <w:iCs/>
          <w:kern w:val="22"/>
          <w:szCs w:val="22"/>
          <w:lang w:val="fr-CA"/>
        </w:rPr>
        <w:t>’</w:t>
      </w:r>
      <w:r w:rsidRPr="00B17F01">
        <w:rPr>
          <w:i/>
          <w:iCs/>
          <w:kern w:val="22"/>
          <w:szCs w:val="22"/>
          <w:lang w:val="fr-CA"/>
        </w:rPr>
        <w:t>ici à 2015) </w:t>
      </w:r>
      <w:r w:rsidRPr="00B17F01">
        <w:rPr>
          <w:kern w:val="22"/>
          <w:szCs w:val="22"/>
          <w:lang w:val="fr-CA"/>
        </w:rPr>
        <w:t>:</w:t>
      </w:r>
      <w:r>
        <w:rPr>
          <w:kern w:val="22"/>
          <w:szCs w:val="22"/>
          <w:lang w:val="fr-CA"/>
        </w:rPr>
        <w:t xml:space="preserve"> Au total, 72 Parties ont répondu à la question concernant l</w:t>
      </w:r>
      <w:r w:rsidR="00466152">
        <w:rPr>
          <w:kern w:val="22"/>
          <w:szCs w:val="22"/>
          <w:lang w:val="fr-CA"/>
        </w:rPr>
        <w:t>’</w:t>
      </w:r>
      <w:r>
        <w:rPr>
          <w:kern w:val="22"/>
          <w:szCs w:val="22"/>
          <w:lang w:val="fr-CA"/>
        </w:rPr>
        <w:t xml:space="preserve">inclusion de la biodiversité dans les priorités nationales ou plans nationaux de développement, et toutes ont </w:t>
      </w:r>
      <w:r w:rsidR="00F71C78">
        <w:rPr>
          <w:kern w:val="22"/>
          <w:szCs w:val="22"/>
          <w:lang w:val="fr-CA"/>
        </w:rPr>
        <w:t xml:space="preserve">fait état de </w:t>
      </w:r>
      <w:r>
        <w:rPr>
          <w:kern w:val="22"/>
          <w:szCs w:val="22"/>
          <w:lang w:val="fr-CA"/>
        </w:rPr>
        <w:t xml:space="preserve">quelque progrès : </w:t>
      </w:r>
      <w:r w:rsidR="00F71C78">
        <w:rPr>
          <w:kern w:val="22"/>
          <w:szCs w:val="22"/>
          <w:lang w:val="fr-CA"/>
        </w:rPr>
        <w:t>49 Parties (68 pour cent) ont indiqué qu</w:t>
      </w:r>
      <w:r w:rsidR="00466152">
        <w:rPr>
          <w:kern w:val="22"/>
          <w:szCs w:val="22"/>
          <w:lang w:val="fr-CA"/>
        </w:rPr>
        <w:t>’</w:t>
      </w:r>
      <w:r w:rsidR="00F71C78">
        <w:rPr>
          <w:kern w:val="22"/>
          <w:szCs w:val="22"/>
          <w:lang w:val="fr-CA"/>
        </w:rPr>
        <w:t>une certaine inclusion avait été réalisée, tandis que 23 pays (32 pour cent) ont déclaré qu</w:t>
      </w:r>
      <w:r w:rsidR="00466152">
        <w:rPr>
          <w:kern w:val="22"/>
          <w:szCs w:val="22"/>
          <w:lang w:val="fr-CA"/>
        </w:rPr>
        <w:t>’</w:t>
      </w:r>
      <w:r w:rsidR="00F71C78">
        <w:rPr>
          <w:kern w:val="22"/>
          <w:szCs w:val="22"/>
          <w:lang w:val="fr-CA"/>
        </w:rPr>
        <w:t>une inclusion complète avait été accomplie.</w:t>
      </w:r>
      <w:r>
        <w:rPr>
          <w:kern w:val="22"/>
          <w:szCs w:val="22"/>
          <w:lang w:val="fr-CA"/>
        </w:rPr>
        <w:t xml:space="preserve"> </w:t>
      </w:r>
      <w:r w:rsidRPr="00B17F01">
        <w:rPr>
          <w:kern w:val="22"/>
          <w:szCs w:val="22"/>
          <w:lang w:val="fr-CA"/>
        </w:rPr>
        <w:t xml:space="preserve">Compte tenu du nombre limité de rapports reçus, </w:t>
      </w:r>
      <w:r w:rsidR="00F71C78">
        <w:rPr>
          <w:kern w:val="22"/>
          <w:szCs w:val="22"/>
          <w:lang w:val="fr-CA"/>
        </w:rPr>
        <w:t>les progrès dans la réalisation de cet objectif semblent encourageants.</w:t>
      </w:r>
    </w:p>
    <w:p w:rsidR="00855A78" w:rsidRPr="00665C19" w:rsidRDefault="0052003F" w:rsidP="001D5C71">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fr-FR"/>
        </w:rPr>
      </w:pPr>
      <w:r w:rsidRPr="00B17F01">
        <w:rPr>
          <w:i/>
          <w:iCs/>
          <w:kern w:val="22"/>
          <w:szCs w:val="22"/>
          <w:lang w:val="fr-CA"/>
        </w:rPr>
        <w:t>Objectif 1 c)</w:t>
      </w:r>
      <w:r>
        <w:rPr>
          <w:i/>
          <w:iCs/>
          <w:kern w:val="22"/>
          <w:szCs w:val="22"/>
          <w:lang w:val="fr-CA"/>
        </w:rPr>
        <w:t xml:space="preserve"> de la décision XII/3</w:t>
      </w:r>
      <w:r w:rsidRPr="00B17F01">
        <w:rPr>
          <w:i/>
          <w:iCs/>
          <w:kern w:val="22"/>
          <w:szCs w:val="22"/>
          <w:lang w:val="fr-CA"/>
        </w:rPr>
        <w:t xml:space="preserve"> (</w:t>
      </w:r>
      <w:r w:rsidRPr="00B17F01">
        <w:rPr>
          <w:bCs/>
          <w:i/>
          <w:iCs/>
          <w:kern w:val="20"/>
          <w:lang w:val="fr-CA"/>
        </w:rPr>
        <w:t>faire rapport sur les dépenses relatives à la diversité biologique, ainsi que sur les besoins de financement, les insuffisances et les priorités, d</w:t>
      </w:r>
      <w:r w:rsidR="00466152">
        <w:rPr>
          <w:bCs/>
          <w:i/>
          <w:iCs/>
          <w:kern w:val="20"/>
          <w:lang w:val="fr-CA"/>
        </w:rPr>
        <w:t>’</w:t>
      </w:r>
      <w:r w:rsidRPr="00B17F01">
        <w:rPr>
          <w:bCs/>
          <w:i/>
          <w:iCs/>
          <w:kern w:val="20"/>
          <w:lang w:val="fr-CA"/>
        </w:rPr>
        <w:t>ici à 2015</w:t>
      </w:r>
      <w:r w:rsidRPr="00B17F01">
        <w:rPr>
          <w:i/>
          <w:iCs/>
          <w:kern w:val="22"/>
          <w:szCs w:val="22"/>
          <w:lang w:val="fr-CA"/>
        </w:rPr>
        <w:t>)</w:t>
      </w:r>
      <w:r w:rsidRPr="0052003F">
        <w:rPr>
          <w:kern w:val="22"/>
          <w:szCs w:val="22"/>
          <w:lang w:val="fr-CA"/>
        </w:rPr>
        <w:t xml:space="preserve"> : </w:t>
      </w:r>
      <w:r w:rsidRPr="00B17F01">
        <w:rPr>
          <w:kern w:val="22"/>
          <w:szCs w:val="22"/>
          <w:lang w:val="fr-CA"/>
        </w:rPr>
        <w:t>Selon une interprétation stricte de l</w:t>
      </w:r>
      <w:r w:rsidR="00466152">
        <w:rPr>
          <w:kern w:val="22"/>
          <w:szCs w:val="22"/>
          <w:lang w:val="fr-CA"/>
        </w:rPr>
        <w:t>’</w:t>
      </w:r>
      <w:r w:rsidRPr="00B17F01">
        <w:rPr>
          <w:kern w:val="22"/>
          <w:szCs w:val="22"/>
          <w:lang w:val="fr-CA"/>
        </w:rPr>
        <w:t>objectif, ce dernier n</w:t>
      </w:r>
      <w:r w:rsidR="00466152">
        <w:rPr>
          <w:kern w:val="22"/>
          <w:szCs w:val="22"/>
          <w:lang w:val="fr-CA"/>
        </w:rPr>
        <w:t>’</w:t>
      </w:r>
      <w:r w:rsidRPr="00B17F01">
        <w:rPr>
          <w:kern w:val="22"/>
          <w:szCs w:val="22"/>
          <w:lang w:val="fr-CA"/>
        </w:rPr>
        <w:t>a pas été réalisé d</w:t>
      </w:r>
      <w:r w:rsidR="00466152">
        <w:rPr>
          <w:kern w:val="22"/>
          <w:szCs w:val="22"/>
          <w:lang w:val="fr-CA"/>
        </w:rPr>
        <w:t>’</w:t>
      </w:r>
      <w:r w:rsidRPr="00B17F01">
        <w:rPr>
          <w:kern w:val="22"/>
          <w:szCs w:val="22"/>
          <w:lang w:val="fr-CA"/>
        </w:rPr>
        <w:t xml:space="preserve">ici à 2015, car moins de 75 pour cent des Parties </w:t>
      </w:r>
      <w:r w:rsidRPr="00B17F01">
        <w:rPr>
          <w:bCs/>
          <w:kern w:val="20"/>
          <w:lang w:val="fr-CA"/>
        </w:rPr>
        <w:t>ont fait rapport sur leurs dépenses</w:t>
      </w:r>
      <w:r>
        <w:rPr>
          <w:bCs/>
          <w:kern w:val="20"/>
          <w:lang w:val="fr-CA"/>
        </w:rPr>
        <w:t xml:space="preserve"> nationales</w:t>
      </w:r>
      <w:r w:rsidRPr="00B17F01">
        <w:rPr>
          <w:bCs/>
          <w:kern w:val="20"/>
          <w:lang w:val="fr-CA"/>
        </w:rPr>
        <w:t xml:space="preserve"> relatives à la diversité biologique, ainsi que sur leurs besoins de financement, leurs insuffisances et leurs priorités. Cependant, parmi les pays </w:t>
      </w:r>
      <w:r>
        <w:rPr>
          <w:bCs/>
          <w:kern w:val="20"/>
          <w:lang w:val="fr-CA"/>
        </w:rPr>
        <w:t>déclarants</w:t>
      </w:r>
      <w:r w:rsidRPr="00B17F01">
        <w:rPr>
          <w:bCs/>
          <w:kern w:val="20"/>
          <w:lang w:val="fr-CA"/>
        </w:rPr>
        <w:t>, les progrès en matière de</w:t>
      </w:r>
      <w:r w:rsidRPr="00B17F01">
        <w:rPr>
          <w:i/>
          <w:iCs/>
          <w:kern w:val="22"/>
          <w:szCs w:val="22"/>
          <w:lang w:val="fr-CA"/>
        </w:rPr>
        <w:t xml:space="preserve"> </w:t>
      </w:r>
      <w:r w:rsidRPr="00B17F01">
        <w:rPr>
          <w:kern w:val="22"/>
          <w:szCs w:val="22"/>
          <w:lang w:val="fr-CA"/>
        </w:rPr>
        <w:t xml:space="preserve">présentation de </w:t>
      </w:r>
      <w:r w:rsidRPr="00B17F01">
        <w:rPr>
          <w:bCs/>
          <w:kern w:val="20"/>
          <w:lang w:val="fr-CA"/>
        </w:rPr>
        <w:t>rapports sur les dépenses</w:t>
      </w:r>
      <w:r>
        <w:rPr>
          <w:bCs/>
          <w:kern w:val="20"/>
          <w:lang w:val="fr-CA"/>
        </w:rPr>
        <w:t xml:space="preserve"> nationales</w:t>
      </w:r>
      <w:r w:rsidRPr="00B17F01">
        <w:rPr>
          <w:bCs/>
          <w:kern w:val="20"/>
          <w:lang w:val="fr-CA"/>
        </w:rPr>
        <w:t xml:space="preserve"> relative</w:t>
      </w:r>
      <w:r>
        <w:rPr>
          <w:bCs/>
          <w:kern w:val="20"/>
          <w:lang w:val="fr-CA"/>
        </w:rPr>
        <w:t>s à la diversité biologique semblent</w:t>
      </w:r>
      <w:r w:rsidRPr="00B17F01">
        <w:rPr>
          <w:bCs/>
          <w:kern w:val="20"/>
          <w:lang w:val="fr-CA"/>
        </w:rPr>
        <w:t xml:space="preserve"> encourageants</w:t>
      </w:r>
      <w:r>
        <w:rPr>
          <w:bCs/>
          <w:kern w:val="20"/>
          <w:lang w:val="fr-CA"/>
        </w:rPr>
        <w:t>, à la lumière également du fait que la moitié des pays déclarants indiquent qu</w:t>
      </w:r>
      <w:r w:rsidR="00466152">
        <w:rPr>
          <w:bCs/>
          <w:kern w:val="20"/>
          <w:lang w:val="fr-CA"/>
        </w:rPr>
        <w:t>’</w:t>
      </w:r>
      <w:r>
        <w:rPr>
          <w:bCs/>
          <w:kern w:val="20"/>
          <w:lang w:val="fr-CA"/>
        </w:rPr>
        <w:t>ils ne disposent pas de ressources financières adéquates pour faire état des dépenses nationales</w:t>
      </w:r>
      <w:r w:rsidRPr="00B17F01">
        <w:rPr>
          <w:bCs/>
          <w:kern w:val="20"/>
          <w:lang w:val="fr-CA"/>
        </w:rPr>
        <w:t xml:space="preserve"> relative</w:t>
      </w:r>
      <w:r>
        <w:rPr>
          <w:bCs/>
          <w:kern w:val="20"/>
          <w:lang w:val="fr-CA"/>
        </w:rPr>
        <w:t>s à la diversité biologique</w:t>
      </w:r>
      <w:r w:rsidR="001D5C71">
        <w:rPr>
          <w:bCs/>
          <w:kern w:val="20"/>
          <w:lang w:val="fr-CA"/>
        </w:rPr>
        <w:t>. Cependant, l</w:t>
      </w:r>
      <w:r w:rsidRPr="00B17F01">
        <w:rPr>
          <w:bCs/>
          <w:kern w:val="20"/>
          <w:lang w:val="fr-CA"/>
        </w:rPr>
        <w:t xml:space="preserve">es rapports sur les </w:t>
      </w:r>
      <w:r w:rsidRPr="00B17F01">
        <w:rPr>
          <w:snapToGrid w:val="0"/>
          <w:kern w:val="22"/>
          <w:sz w:val="24"/>
          <w:lang w:val="fr-CA" w:bidi="fr-FR"/>
        </w:rPr>
        <w:t xml:space="preserve">besoins, </w:t>
      </w:r>
      <w:r w:rsidR="001D5C71">
        <w:rPr>
          <w:snapToGrid w:val="0"/>
          <w:kern w:val="22"/>
          <w:sz w:val="24"/>
          <w:lang w:val="fr-CA" w:bidi="fr-FR"/>
        </w:rPr>
        <w:t>insuffisances</w:t>
      </w:r>
      <w:r w:rsidRPr="00B17F01">
        <w:rPr>
          <w:snapToGrid w:val="0"/>
          <w:kern w:val="22"/>
          <w:sz w:val="24"/>
          <w:lang w:val="fr-CA" w:bidi="fr-FR"/>
        </w:rPr>
        <w:t xml:space="preserve"> et priorités en matière de financement </w:t>
      </w:r>
      <w:r w:rsidRPr="00B17F01">
        <w:rPr>
          <w:bCs/>
          <w:kern w:val="20"/>
          <w:lang w:val="fr-CA"/>
        </w:rPr>
        <w:t>semblent être plus difficiles</w:t>
      </w:r>
      <w:r w:rsidR="001D5C71">
        <w:rPr>
          <w:bCs/>
          <w:kern w:val="20"/>
          <w:lang w:val="fr-CA"/>
        </w:rPr>
        <w:t xml:space="preserve"> à établir, avec plus de la moitié des Parties déclarantes indiquant ne pas disposer de ressources financières adéquates pour faire état des besoins de financement, insuffisances et priorités.</w:t>
      </w:r>
    </w:p>
    <w:p w:rsidR="00855A78" w:rsidRPr="00C53B14" w:rsidRDefault="008F61E5" w:rsidP="00531675">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fr-CA"/>
        </w:rPr>
      </w:pPr>
      <w:r w:rsidRPr="00B17F01">
        <w:rPr>
          <w:i/>
          <w:iCs/>
          <w:kern w:val="22"/>
          <w:szCs w:val="22"/>
          <w:lang w:val="fr-CA"/>
        </w:rPr>
        <w:t xml:space="preserve">Objectif 1 d) </w:t>
      </w:r>
      <w:r>
        <w:rPr>
          <w:i/>
          <w:iCs/>
          <w:kern w:val="22"/>
          <w:szCs w:val="22"/>
          <w:lang w:val="fr-CA"/>
        </w:rPr>
        <w:t xml:space="preserve">de la décision XII/3 </w:t>
      </w:r>
      <w:r w:rsidRPr="00B17F01">
        <w:rPr>
          <w:i/>
          <w:iCs/>
          <w:kern w:val="22"/>
          <w:szCs w:val="22"/>
          <w:lang w:val="fr-CA"/>
        </w:rPr>
        <w:t>(</w:t>
      </w:r>
      <w:r w:rsidRPr="00B17F01">
        <w:rPr>
          <w:bCs/>
          <w:i/>
          <w:iCs/>
          <w:kern w:val="20"/>
          <w:lang w:val="fr-CA"/>
        </w:rPr>
        <w:t>élaborer des plans financiers nationaux d</w:t>
      </w:r>
      <w:r w:rsidR="00466152">
        <w:rPr>
          <w:bCs/>
          <w:i/>
          <w:iCs/>
          <w:kern w:val="20"/>
          <w:lang w:val="fr-CA"/>
        </w:rPr>
        <w:t>’</w:t>
      </w:r>
      <w:r w:rsidRPr="00B17F01">
        <w:rPr>
          <w:bCs/>
          <w:i/>
          <w:iCs/>
          <w:kern w:val="20"/>
          <w:lang w:val="fr-CA"/>
        </w:rPr>
        <w:t>ici à 2015, et évaluer les valeurs)</w:t>
      </w:r>
      <w:r w:rsidRPr="00B17F01">
        <w:rPr>
          <w:bCs/>
          <w:kern w:val="20"/>
          <w:lang w:val="fr-CA"/>
        </w:rPr>
        <w:t> :</w:t>
      </w:r>
      <w:r w:rsidRPr="00B17F01">
        <w:rPr>
          <w:i/>
          <w:iCs/>
          <w:kern w:val="22"/>
          <w:szCs w:val="22"/>
          <w:lang w:val="fr-CA"/>
        </w:rPr>
        <w:t xml:space="preserve"> </w:t>
      </w:r>
      <w:r w:rsidR="003C1EBA">
        <w:rPr>
          <w:kern w:val="22"/>
          <w:szCs w:val="22"/>
          <w:lang w:val="fr-CA"/>
        </w:rPr>
        <w:t xml:space="preserve">Au total, 70 Parties ont répondu à la question leur demandant si elles avaient examiné et/ou évalué </w:t>
      </w:r>
      <w:r w:rsidR="003C1EBA" w:rsidRPr="00065E8C">
        <w:rPr>
          <w:bCs/>
          <w:kern w:val="20"/>
          <w:lang w:val="fr-FR"/>
        </w:rPr>
        <w:t xml:space="preserve">les valeurs </w:t>
      </w:r>
      <w:r w:rsidR="003C1EBA" w:rsidRPr="00065E8C">
        <w:rPr>
          <w:bCs/>
          <w:iCs/>
          <w:kern w:val="20"/>
          <w:lang w:val="fr-CA"/>
        </w:rPr>
        <w:t>intrinsèques, écologiques, génétiques, socioéconomiques, scientifiques, pédagogiques, culturelles, récréatives et esthétiques de la diversité biologique et de ses composantes</w:t>
      </w:r>
      <w:r w:rsidR="003C1EBA">
        <w:rPr>
          <w:bCs/>
          <w:iCs/>
          <w:kern w:val="20"/>
          <w:lang w:val="fr-CA"/>
        </w:rPr>
        <w:t xml:space="preserve"> et, bien que quatre pays </w:t>
      </w:r>
      <w:r w:rsidR="00C53B14">
        <w:rPr>
          <w:bCs/>
          <w:iCs/>
          <w:kern w:val="20"/>
          <w:lang w:val="fr-CA"/>
        </w:rPr>
        <w:t xml:space="preserve">seulement </w:t>
      </w:r>
      <w:r w:rsidR="003C1EBA">
        <w:rPr>
          <w:bCs/>
          <w:iCs/>
          <w:kern w:val="20"/>
          <w:lang w:val="fr-CA"/>
        </w:rPr>
        <w:t>aient indiqué qu</w:t>
      </w:r>
      <w:r w:rsidR="00466152">
        <w:rPr>
          <w:bCs/>
          <w:iCs/>
          <w:kern w:val="20"/>
          <w:lang w:val="fr-CA"/>
        </w:rPr>
        <w:t>’</w:t>
      </w:r>
      <w:r w:rsidR="003C1EBA">
        <w:rPr>
          <w:bCs/>
          <w:iCs/>
          <w:kern w:val="20"/>
          <w:lang w:val="fr-CA"/>
        </w:rPr>
        <w:t>ils avaient entrepris des évaluations exhaustives, 81 pour cent des pays déclarants</w:t>
      </w:r>
      <w:r w:rsidR="00C53B14">
        <w:rPr>
          <w:bCs/>
          <w:iCs/>
          <w:kern w:val="20"/>
          <w:lang w:val="fr-CA"/>
        </w:rPr>
        <w:t xml:space="preserve"> ont entrepris au moins quelques évaluations, ce qui semble indiquer des progrès plutôt satisfaisants en ce qui concerne cet élément de l</w:t>
      </w:r>
      <w:r w:rsidR="00466152">
        <w:rPr>
          <w:bCs/>
          <w:iCs/>
          <w:kern w:val="20"/>
          <w:lang w:val="fr-CA"/>
        </w:rPr>
        <w:t>’</w:t>
      </w:r>
      <w:r w:rsidR="00C53B14">
        <w:rPr>
          <w:bCs/>
          <w:iCs/>
          <w:kern w:val="20"/>
          <w:lang w:val="fr-CA"/>
        </w:rPr>
        <w:t>objectif 1 d).</w:t>
      </w:r>
      <w:r w:rsidR="003C1EBA">
        <w:rPr>
          <w:bCs/>
          <w:iCs/>
          <w:kern w:val="20"/>
          <w:lang w:val="fr-CA"/>
        </w:rPr>
        <w:t xml:space="preserve"> </w:t>
      </w:r>
      <w:r w:rsidR="00C53B14">
        <w:rPr>
          <w:bCs/>
          <w:iCs/>
          <w:kern w:val="20"/>
          <w:lang w:val="fr-CA"/>
        </w:rPr>
        <w:t xml:space="preserve">Cependant, seules 15 Parties, soit 25 pour cent des Parties déclarantes, ont </w:t>
      </w:r>
      <w:r w:rsidR="00C53B14" w:rsidRPr="00C53B14">
        <w:rPr>
          <w:bCs/>
          <w:iCs/>
          <w:kern w:val="20"/>
          <w:lang w:val="fr-CA"/>
        </w:rPr>
        <w:t>présenté des éléments de plan financier dans le tableau pertinent, essentiellement en fournissant des données agrégées sur les montants de ressources nationales et internationales qu</w:t>
      </w:r>
      <w:r w:rsidR="00466152">
        <w:rPr>
          <w:bCs/>
          <w:iCs/>
          <w:kern w:val="20"/>
          <w:lang w:val="fr-CA"/>
        </w:rPr>
        <w:t>’</w:t>
      </w:r>
      <w:r w:rsidR="00C53B14" w:rsidRPr="00C53B14">
        <w:rPr>
          <w:bCs/>
          <w:iCs/>
          <w:kern w:val="20"/>
          <w:lang w:val="fr-CA"/>
        </w:rPr>
        <w:t>elles prévoient mobiliser.</w:t>
      </w:r>
      <w:r w:rsidRPr="00C53B14">
        <w:rPr>
          <w:i/>
          <w:snapToGrid w:val="0"/>
          <w:kern w:val="22"/>
          <w:szCs w:val="22"/>
          <w:lang w:val="fr-CA"/>
        </w:rPr>
        <w:t xml:space="preserve"> </w:t>
      </w:r>
      <w:r w:rsidR="00C53B14">
        <w:rPr>
          <w:iCs/>
          <w:snapToGrid w:val="0"/>
          <w:kern w:val="22"/>
          <w:szCs w:val="22"/>
          <w:lang w:val="fr-CA"/>
        </w:rPr>
        <w:t>L</w:t>
      </w:r>
      <w:r w:rsidR="00C53B14" w:rsidRPr="00C53B14">
        <w:rPr>
          <w:iCs/>
          <w:snapToGrid w:val="0"/>
          <w:kern w:val="22"/>
          <w:szCs w:val="22"/>
          <w:lang w:val="fr-CA"/>
        </w:rPr>
        <w:t xml:space="preserve">e </w:t>
      </w:r>
      <w:r w:rsidR="00C53B14">
        <w:rPr>
          <w:iCs/>
          <w:snapToGrid w:val="0"/>
          <w:kern w:val="22"/>
          <w:szCs w:val="22"/>
          <w:lang w:val="fr-CA"/>
        </w:rPr>
        <w:t>nombre restreint de rapports, nouveaux et actualisés, semble indiquer des difficultés persistantes dans l</w:t>
      </w:r>
      <w:r w:rsidR="00466152">
        <w:rPr>
          <w:iCs/>
          <w:snapToGrid w:val="0"/>
          <w:kern w:val="22"/>
          <w:szCs w:val="22"/>
          <w:lang w:val="fr-CA"/>
        </w:rPr>
        <w:t>’</w:t>
      </w:r>
      <w:r w:rsidR="00C53B14">
        <w:rPr>
          <w:iCs/>
          <w:snapToGrid w:val="0"/>
          <w:kern w:val="22"/>
          <w:szCs w:val="22"/>
          <w:lang w:val="fr-CA"/>
        </w:rPr>
        <w:t>élaboration de plans</w:t>
      </w:r>
      <w:r w:rsidR="00531675">
        <w:rPr>
          <w:iCs/>
          <w:snapToGrid w:val="0"/>
          <w:kern w:val="22"/>
          <w:szCs w:val="22"/>
          <w:lang w:val="fr-CA"/>
        </w:rPr>
        <w:t xml:space="preserve"> financiers</w:t>
      </w:r>
      <w:r w:rsidR="00C53B14">
        <w:rPr>
          <w:iCs/>
          <w:snapToGrid w:val="0"/>
          <w:kern w:val="22"/>
          <w:szCs w:val="22"/>
          <w:lang w:val="fr-CA"/>
        </w:rPr>
        <w:t xml:space="preserve"> nationaux e</w:t>
      </w:r>
      <w:r w:rsidR="00531675">
        <w:rPr>
          <w:iCs/>
          <w:snapToGrid w:val="0"/>
          <w:kern w:val="22"/>
          <w:szCs w:val="22"/>
          <w:lang w:val="fr-CA"/>
        </w:rPr>
        <w:t xml:space="preserve">t </w:t>
      </w:r>
      <w:r w:rsidR="00531675">
        <w:rPr>
          <w:iCs/>
          <w:snapToGrid w:val="0"/>
          <w:kern w:val="22"/>
          <w:szCs w:val="22"/>
          <w:lang w:val="fr-CA"/>
        </w:rPr>
        <w:lastRenderedPageBreak/>
        <w:t>l</w:t>
      </w:r>
      <w:r w:rsidR="00466152">
        <w:rPr>
          <w:iCs/>
          <w:snapToGrid w:val="0"/>
          <w:kern w:val="22"/>
          <w:szCs w:val="22"/>
          <w:lang w:val="fr-CA"/>
        </w:rPr>
        <w:t>’</w:t>
      </w:r>
      <w:r w:rsidR="00531675">
        <w:rPr>
          <w:iCs/>
          <w:snapToGrid w:val="0"/>
          <w:kern w:val="22"/>
          <w:szCs w:val="22"/>
          <w:lang w:val="fr-CA"/>
        </w:rPr>
        <w:t>établissement de rapports les concernant</w:t>
      </w:r>
      <w:r w:rsidR="00C53B14">
        <w:rPr>
          <w:iCs/>
          <w:snapToGrid w:val="0"/>
          <w:kern w:val="22"/>
          <w:szCs w:val="22"/>
          <w:lang w:val="fr-CA"/>
        </w:rPr>
        <w:t>.</w:t>
      </w:r>
      <w:r w:rsidR="00531675">
        <w:rPr>
          <w:kern w:val="22"/>
          <w:szCs w:val="22"/>
          <w:lang w:val="fr-CA"/>
        </w:rPr>
        <w:t xml:space="preserve"> Aussi, les deux tiers des Parties déclarantes ont indiqué ne pas disposer de ressources financières adéquates pour préparer des plans financiers.</w:t>
      </w:r>
    </w:p>
    <w:p w:rsidR="00855A78" w:rsidRPr="00C53B14" w:rsidRDefault="00E86D90" w:rsidP="008A3EDF">
      <w:pPr>
        <w:numPr>
          <w:ilvl w:val="0"/>
          <w:numId w:val="52"/>
        </w:numPr>
        <w:suppressLineNumbers/>
        <w:suppressAutoHyphens/>
        <w:kinsoku w:val="0"/>
        <w:overflowPunct w:val="0"/>
        <w:autoSpaceDE w:val="0"/>
        <w:autoSpaceDN w:val="0"/>
        <w:adjustRightInd w:val="0"/>
        <w:snapToGrid w:val="0"/>
        <w:spacing w:after="120"/>
        <w:ind w:left="0" w:firstLine="0"/>
        <w:rPr>
          <w:snapToGrid w:val="0"/>
          <w:kern w:val="22"/>
          <w:szCs w:val="22"/>
          <w:lang w:val="fr-CA"/>
        </w:rPr>
      </w:pPr>
      <w:r w:rsidRPr="00B17F01">
        <w:rPr>
          <w:i/>
          <w:iCs/>
          <w:kern w:val="22"/>
          <w:szCs w:val="22"/>
          <w:lang w:val="fr-CA"/>
        </w:rPr>
        <w:t xml:space="preserve">Objectif 1 e) </w:t>
      </w:r>
      <w:r>
        <w:rPr>
          <w:i/>
          <w:iCs/>
          <w:kern w:val="22"/>
          <w:szCs w:val="22"/>
          <w:lang w:val="fr-CA"/>
        </w:rPr>
        <w:t xml:space="preserve">de la décision XII/3 </w:t>
      </w:r>
      <w:r w:rsidRPr="00B17F01">
        <w:rPr>
          <w:i/>
          <w:iCs/>
          <w:kern w:val="22"/>
          <w:szCs w:val="22"/>
          <w:lang w:val="fr-CA"/>
        </w:rPr>
        <w:t>(</w:t>
      </w:r>
      <w:r w:rsidRPr="00B17F01">
        <w:rPr>
          <w:i/>
          <w:iCs/>
          <w:kern w:val="20"/>
          <w:lang w:val="fr-CA"/>
        </w:rPr>
        <w:t>mobiliser des ressources financières nationales</w:t>
      </w:r>
      <w:r w:rsidRPr="00B17F01">
        <w:rPr>
          <w:i/>
          <w:iCs/>
          <w:kern w:val="22"/>
          <w:szCs w:val="22"/>
          <w:lang w:val="fr-CA"/>
        </w:rPr>
        <w:t>) </w:t>
      </w:r>
      <w:r w:rsidRPr="00B17F01">
        <w:rPr>
          <w:kern w:val="22"/>
          <w:szCs w:val="22"/>
          <w:lang w:val="fr-CA"/>
        </w:rPr>
        <w:t>: Cet objectif n</w:t>
      </w:r>
      <w:r w:rsidR="00466152">
        <w:rPr>
          <w:kern w:val="22"/>
          <w:szCs w:val="22"/>
          <w:lang w:val="fr-CA"/>
        </w:rPr>
        <w:t>’</w:t>
      </w:r>
      <w:r w:rsidRPr="00B17F01">
        <w:rPr>
          <w:kern w:val="22"/>
          <w:szCs w:val="22"/>
          <w:lang w:val="fr-CA"/>
        </w:rPr>
        <w:t xml:space="preserve">a pas de délai fixé à 2015, et les progrès le concernant seront par conséquent évalués au cours du deuxième cycle de présentation de rapports, conjointement avec les sixièmes rapports nationaux. </w:t>
      </w:r>
      <w:r>
        <w:rPr>
          <w:kern w:val="22"/>
          <w:szCs w:val="22"/>
          <w:lang w:val="fr-CA"/>
        </w:rPr>
        <w:t>Cependant, afin d</w:t>
      </w:r>
      <w:r w:rsidR="00466152">
        <w:rPr>
          <w:kern w:val="22"/>
          <w:szCs w:val="22"/>
          <w:lang w:val="fr-CA"/>
        </w:rPr>
        <w:t>’</w:t>
      </w:r>
      <w:r>
        <w:rPr>
          <w:kern w:val="22"/>
          <w:szCs w:val="22"/>
          <w:lang w:val="fr-CA"/>
        </w:rPr>
        <w:t>évaluer si les insuffisances de financement ont été réduites par la mobilisation de ressources financières additionnelles, lesdites insuffisances doivent en premier lieu être établies et déclarées, et des progrès limités dans l</w:t>
      </w:r>
      <w:r w:rsidR="008A3EDF">
        <w:rPr>
          <w:kern w:val="22"/>
          <w:szCs w:val="22"/>
          <w:lang w:val="fr-CA"/>
        </w:rPr>
        <w:t>e recensement des insuffisances financières et leur déclaration ainsi que dans l</w:t>
      </w:r>
      <w:r w:rsidR="00466152">
        <w:rPr>
          <w:kern w:val="22"/>
          <w:szCs w:val="22"/>
          <w:lang w:val="fr-CA"/>
        </w:rPr>
        <w:t>’</w:t>
      </w:r>
      <w:r w:rsidR="008A3EDF">
        <w:rPr>
          <w:kern w:val="22"/>
          <w:szCs w:val="22"/>
          <w:lang w:val="fr-CA"/>
        </w:rPr>
        <w:t>élaboration de plans financiers nationaux auront également un impact sur l</w:t>
      </w:r>
      <w:r w:rsidR="00466152">
        <w:rPr>
          <w:kern w:val="22"/>
          <w:szCs w:val="22"/>
          <w:lang w:val="fr-CA"/>
        </w:rPr>
        <w:t>’</w:t>
      </w:r>
      <w:r w:rsidR="008A3EDF">
        <w:rPr>
          <w:kern w:val="22"/>
          <w:szCs w:val="22"/>
          <w:lang w:val="fr-CA"/>
        </w:rPr>
        <w:t>évaluation des progrès accomplis par rapport à cet objectif.</w:t>
      </w:r>
    </w:p>
    <w:p w:rsidR="00855A78" w:rsidRPr="00C53B14" w:rsidRDefault="00855A78" w:rsidP="00490BF5">
      <w:pPr>
        <w:suppressLineNumbers/>
        <w:suppressAutoHyphens/>
        <w:kinsoku w:val="0"/>
        <w:overflowPunct w:val="0"/>
        <w:autoSpaceDE w:val="0"/>
        <w:autoSpaceDN w:val="0"/>
        <w:adjustRightInd w:val="0"/>
        <w:snapToGrid w:val="0"/>
        <w:spacing w:after="120"/>
        <w:rPr>
          <w:snapToGrid w:val="0"/>
          <w:kern w:val="22"/>
          <w:szCs w:val="22"/>
          <w:lang w:val="fr-CA"/>
        </w:rPr>
      </w:pPr>
    </w:p>
    <w:p w:rsidR="00795DD1" w:rsidRPr="00665C19" w:rsidRDefault="00795DD1" w:rsidP="00490BF5">
      <w:pPr>
        <w:suppressLineNumbers/>
        <w:suppressAutoHyphens/>
        <w:kinsoku w:val="0"/>
        <w:overflowPunct w:val="0"/>
        <w:autoSpaceDE w:val="0"/>
        <w:autoSpaceDN w:val="0"/>
        <w:adjustRightInd w:val="0"/>
        <w:snapToGrid w:val="0"/>
        <w:spacing w:after="120"/>
        <w:rPr>
          <w:snapToGrid w:val="0"/>
          <w:kern w:val="22"/>
          <w:szCs w:val="22"/>
          <w:lang w:val="fr-FR"/>
        </w:rPr>
        <w:sectPr w:rsidR="00795DD1" w:rsidRPr="00665C19" w:rsidSect="006E604B">
          <w:headerReference w:type="even" r:id="rId18"/>
          <w:headerReference w:type="default" r:id="rId19"/>
          <w:footerReference w:type="even" r:id="rId20"/>
          <w:footerReference w:type="default" r:id="rId21"/>
          <w:pgSz w:w="12240" w:h="15840" w:code="1"/>
          <w:pgMar w:top="1134" w:right="1440" w:bottom="1140" w:left="1440" w:header="454" w:footer="720" w:gutter="0"/>
          <w:cols w:space="720"/>
          <w:titlePg/>
          <w:docGrid w:linePitch="299"/>
        </w:sectPr>
      </w:pPr>
    </w:p>
    <w:p w:rsidR="00855A78" w:rsidRPr="007E11CA" w:rsidRDefault="00855A78" w:rsidP="00490BF5">
      <w:pPr>
        <w:pStyle w:val="Heading1"/>
        <w:keepNext w:val="0"/>
        <w:suppressLineNumbers/>
        <w:suppressAutoHyphens/>
        <w:kinsoku w:val="0"/>
        <w:overflowPunct w:val="0"/>
        <w:autoSpaceDE w:val="0"/>
        <w:autoSpaceDN w:val="0"/>
        <w:adjustRightInd w:val="0"/>
        <w:snapToGrid w:val="0"/>
        <w:spacing w:before="0" w:after="0"/>
        <w:rPr>
          <w:b w:val="0"/>
          <w:i/>
          <w:snapToGrid w:val="0"/>
          <w:kern w:val="22"/>
          <w:szCs w:val="22"/>
          <w:lang w:val="fr-CA"/>
        </w:rPr>
      </w:pPr>
      <w:r w:rsidRPr="007E11CA">
        <w:rPr>
          <w:b w:val="0"/>
          <w:i/>
          <w:snapToGrid w:val="0"/>
          <w:kern w:val="22"/>
          <w:szCs w:val="22"/>
          <w:lang w:val="fr-CA"/>
        </w:rPr>
        <w:lastRenderedPageBreak/>
        <w:t>A</w:t>
      </w:r>
      <w:r w:rsidR="006E604B" w:rsidRPr="007E11CA">
        <w:rPr>
          <w:b w:val="0"/>
          <w:i/>
          <w:caps w:val="0"/>
          <w:snapToGrid w:val="0"/>
          <w:kern w:val="22"/>
          <w:szCs w:val="22"/>
          <w:lang w:val="fr-CA"/>
        </w:rPr>
        <w:t>nne</w:t>
      </w:r>
      <w:r w:rsidR="007E11CA" w:rsidRPr="007E11CA">
        <w:rPr>
          <w:b w:val="0"/>
          <w:i/>
          <w:caps w:val="0"/>
          <w:snapToGrid w:val="0"/>
          <w:kern w:val="22"/>
          <w:szCs w:val="22"/>
          <w:lang w:val="fr-CA"/>
        </w:rPr>
        <w:t>xe </w:t>
      </w:r>
      <w:r w:rsidRPr="007E11CA">
        <w:rPr>
          <w:b w:val="0"/>
          <w:i/>
          <w:snapToGrid w:val="0"/>
          <w:kern w:val="22"/>
          <w:szCs w:val="22"/>
          <w:lang w:val="fr-CA"/>
        </w:rPr>
        <w:t>I</w:t>
      </w:r>
    </w:p>
    <w:p w:rsidR="00855A78" w:rsidRPr="007E11CA" w:rsidRDefault="007E11CA" w:rsidP="00490BF5">
      <w:pPr>
        <w:pStyle w:val="Heading1"/>
        <w:keepNext w:val="0"/>
        <w:suppressLineNumbers/>
        <w:suppressAutoHyphens/>
        <w:kinsoku w:val="0"/>
        <w:overflowPunct w:val="0"/>
        <w:autoSpaceDE w:val="0"/>
        <w:autoSpaceDN w:val="0"/>
        <w:adjustRightInd w:val="0"/>
        <w:snapToGrid w:val="0"/>
        <w:spacing w:before="120"/>
        <w:rPr>
          <w:snapToGrid w:val="0"/>
          <w:kern w:val="22"/>
          <w:szCs w:val="22"/>
          <w:lang w:val="fr-CA"/>
        </w:rPr>
      </w:pPr>
      <w:r w:rsidRPr="007E11CA">
        <w:rPr>
          <w:snapToGrid w:val="0"/>
          <w:kern w:val="22"/>
          <w:szCs w:val="22"/>
          <w:lang w:val="fr-CA"/>
        </w:rPr>
        <w:t xml:space="preserve">objectifs pour la mobilisation de ressources    </w:t>
      </w:r>
      <w:r w:rsidR="00855A78" w:rsidRPr="007E11CA">
        <w:rPr>
          <w:snapToGrid w:val="0"/>
          <w:kern w:val="22"/>
          <w:szCs w:val="22"/>
          <w:lang w:val="fr-CA"/>
        </w:rPr>
        <w:t>Targets for Resource Mobilization</w:t>
      </w:r>
    </w:p>
    <w:p w:rsidR="00855A78" w:rsidRPr="007E11CA" w:rsidRDefault="006E604B" w:rsidP="00CC4496">
      <w:pPr>
        <w:suppressLineNumbers/>
        <w:suppressAutoHyphens/>
        <w:kinsoku w:val="0"/>
        <w:overflowPunct w:val="0"/>
        <w:autoSpaceDE w:val="0"/>
        <w:autoSpaceDN w:val="0"/>
        <w:adjustRightInd w:val="0"/>
        <w:snapToGrid w:val="0"/>
        <w:spacing w:after="120"/>
        <w:rPr>
          <w:snapToGrid w:val="0"/>
          <w:kern w:val="22"/>
          <w:szCs w:val="22"/>
          <w:lang w:val="fr-CA"/>
        </w:rPr>
      </w:pPr>
      <w:r w:rsidRPr="007E11CA">
        <w:rPr>
          <w:snapToGrid w:val="0"/>
          <w:kern w:val="22"/>
          <w:szCs w:val="22"/>
          <w:lang w:val="fr-CA"/>
        </w:rPr>
        <w:t>1.</w:t>
      </w:r>
      <w:r w:rsidRPr="007E11CA">
        <w:rPr>
          <w:snapToGrid w:val="0"/>
          <w:kern w:val="22"/>
          <w:szCs w:val="22"/>
          <w:lang w:val="fr-CA"/>
        </w:rPr>
        <w:tab/>
      </w:r>
      <w:r w:rsidR="00CC4496">
        <w:rPr>
          <w:snapToGrid w:val="0"/>
          <w:kern w:val="22"/>
          <w:szCs w:val="22"/>
          <w:lang w:val="fr-CA"/>
        </w:rPr>
        <w:t>Au paragraphe 1 de la</w:t>
      </w:r>
      <w:r w:rsidR="00855A78" w:rsidRPr="007E11CA">
        <w:rPr>
          <w:snapToGrid w:val="0"/>
          <w:kern w:val="22"/>
          <w:szCs w:val="22"/>
          <w:lang w:val="fr-CA"/>
        </w:rPr>
        <w:t xml:space="preserve"> d</w:t>
      </w:r>
      <w:r w:rsidR="00CC4496">
        <w:rPr>
          <w:snapToGrid w:val="0"/>
          <w:kern w:val="22"/>
          <w:szCs w:val="22"/>
          <w:lang w:val="fr-CA"/>
        </w:rPr>
        <w:t>é</w:t>
      </w:r>
      <w:r w:rsidR="00855A78" w:rsidRPr="007E11CA">
        <w:rPr>
          <w:snapToGrid w:val="0"/>
          <w:kern w:val="22"/>
          <w:szCs w:val="22"/>
          <w:lang w:val="fr-CA"/>
        </w:rPr>
        <w:t>cision</w:t>
      </w:r>
      <w:r w:rsidR="002D795B">
        <w:rPr>
          <w:snapToGrid w:val="0"/>
          <w:kern w:val="22"/>
          <w:szCs w:val="22"/>
          <w:lang w:val="fr-CA"/>
        </w:rPr>
        <w:t> </w:t>
      </w:r>
      <w:hyperlink r:id="rId22" w:history="1">
        <w:r w:rsidR="002D795B">
          <w:rPr>
            <w:rStyle w:val="Hyperlink"/>
            <w:snapToGrid w:val="0"/>
            <w:kern w:val="22"/>
            <w:sz w:val="22"/>
            <w:szCs w:val="22"/>
            <w:lang w:val="fr-CA"/>
          </w:rPr>
          <w:t>XII/3</w:t>
        </w:r>
      </w:hyperlink>
      <w:r w:rsidR="002D795B">
        <w:rPr>
          <w:snapToGrid w:val="0"/>
          <w:kern w:val="22"/>
          <w:szCs w:val="22"/>
          <w:lang w:val="fr-CA"/>
        </w:rPr>
        <w:t xml:space="preserve">, </w:t>
      </w:r>
      <w:r w:rsidR="00CC4496">
        <w:rPr>
          <w:snapToGrid w:val="0"/>
          <w:kern w:val="22"/>
          <w:szCs w:val="22"/>
          <w:lang w:val="fr-CA"/>
        </w:rPr>
        <w:t xml:space="preserve"> la Conférence des Parties </w:t>
      </w:r>
      <w:r w:rsidR="00CC4496" w:rsidRPr="00CC4496">
        <w:rPr>
          <w:snapToGrid w:val="0"/>
          <w:kern w:val="22"/>
          <w:szCs w:val="22"/>
          <w:lang w:val="fr-CA"/>
        </w:rPr>
        <w:t>r</w:t>
      </w:r>
      <w:r w:rsidR="00CC4496" w:rsidRPr="00CC4496">
        <w:rPr>
          <w:kern w:val="20"/>
          <w:lang w:val="fr-CA"/>
        </w:rPr>
        <w:t>é</w:t>
      </w:r>
      <w:r w:rsidR="00CC4496" w:rsidRPr="00CC4496">
        <w:rPr>
          <w:bCs/>
          <w:kern w:val="20"/>
          <w:lang w:val="fr-CA"/>
        </w:rPr>
        <w:t>affirme</w:t>
      </w:r>
      <w:r w:rsidR="00CC4496" w:rsidRPr="00280D50">
        <w:rPr>
          <w:bCs/>
          <w:i/>
          <w:kern w:val="20"/>
          <w:lang w:val="fr-CA"/>
        </w:rPr>
        <w:t xml:space="preserve"> </w:t>
      </w:r>
      <w:r w:rsidR="00CC4496" w:rsidRPr="00280D50">
        <w:rPr>
          <w:bCs/>
          <w:kern w:val="20"/>
          <w:lang w:val="fr-CA"/>
        </w:rPr>
        <w:t>son engagement en faveur d</w:t>
      </w:r>
      <w:r w:rsidR="00466152">
        <w:rPr>
          <w:bCs/>
          <w:kern w:val="20"/>
          <w:lang w:val="fr-CA"/>
        </w:rPr>
        <w:t>’</w:t>
      </w:r>
      <w:r w:rsidR="00CC4496" w:rsidRPr="00280D50">
        <w:rPr>
          <w:bCs/>
          <w:kern w:val="20"/>
          <w:lang w:val="fr-CA"/>
        </w:rPr>
        <w:t>une forte augmentation globale du montant total des fonds alloués à la diversité biologique, en diversifiant les sources, afin de mettre en œuvre le Plan stratégique pour la diversité biologique 2011</w:t>
      </w:r>
      <w:r w:rsidR="00466152">
        <w:rPr>
          <w:bCs/>
          <w:kern w:val="20"/>
          <w:lang w:val="fr-CA"/>
        </w:rPr>
        <w:noBreakHyphen/>
      </w:r>
      <w:r w:rsidR="00CC4496" w:rsidRPr="00280D50">
        <w:rPr>
          <w:bCs/>
          <w:kern w:val="20"/>
          <w:lang w:val="fr-CA"/>
        </w:rPr>
        <w:t xml:space="preserve">2020, et </w:t>
      </w:r>
      <w:r w:rsidR="00CC4496" w:rsidRPr="00CC4496">
        <w:rPr>
          <w:bCs/>
          <w:iCs/>
          <w:kern w:val="20"/>
          <w:lang w:val="fr-CA"/>
        </w:rPr>
        <w:t>adopte</w:t>
      </w:r>
      <w:r w:rsidR="00CC4496" w:rsidRPr="00280D50">
        <w:rPr>
          <w:bCs/>
          <w:i/>
          <w:kern w:val="20"/>
          <w:lang w:val="fr-CA"/>
        </w:rPr>
        <w:t xml:space="preserve"> </w:t>
      </w:r>
      <w:r w:rsidR="00CC4496" w:rsidRPr="00280D50">
        <w:rPr>
          <w:bCs/>
          <w:kern w:val="20"/>
          <w:lang w:val="fr-CA"/>
        </w:rPr>
        <w:t>les objectifs suivants pour la mobilisation de re</w:t>
      </w:r>
      <w:r w:rsidR="00CC4496">
        <w:rPr>
          <w:bCs/>
          <w:kern w:val="20"/>
          <w:lang w:val="fr-CA"/>
        </w:rPr>
        <w:t>ssources au titre de l</w:t>
      </w:r>
      <w:r w:rsidR="00466152">
        <w:rPr>
          <w:bCs/>
          <w:kern w:val="20"/>
          <w:lang w:val="fr-CA"/>
        </w:rPr>
        <w:t>’</w:t>
      </w:r>
      <w:r w:rsidR="00CC4496">
        <w:rPr>
          <w:bCs/>
          <w:kern w:val="20"/>
          <w:lang w:val="fr-CA"/>
        </w:rPr>
        <w:t>Objectif </w:t>
      </w:r>
      <w:r w:rsidR="00CC4496" w:rsidRPr="00280D50">
        <w:rPr>
          <w:bCs/>
          <w:kern w:val="20"/>
          <w:lang w:val="fr-CA"/>
        </w:rPr>
        <w:t>20 d</w:t>
      </w:r>
      <w:r w:rsidR="00466152">
        <w:rPr>
          <w:bCs/>
          <w:kern w:val="20"/>
          <w:lang w:val="fr-CA"/>
        </w:rPr>
        <w:t>’</w:t>
      </w:r>
      <w:r w:rsidR="00CC4496" w:rsidRPr="00280D50">
        <w:rPr>
          <w:bCs/>
          <w:kern w:val="20"/>
          <w:lang w:val="fr-CA"/>
        </w:rPr>
        <w:t>Aichi du Plan stratégique 2011–2020 pour la diversité biologique, comme suit</w:t>
      </w:r>
      <w:r w:rsidR="00CC4496">
        <w:rPr>
          <w:bCs/>
          <w:kern w:val="20"/>
          <w:lang w:val="fr-CA"/>
        </w:rPr>
        <w:t> </w:t>
      </w:r>
      <w:r w:rsidR="00CC4496">
        <w:rPr>
          <w:snapToGrid w:val="0"/>
          <w:kern w:val="22"/>
          <w:szCs w:val="22"/>
          <w:lang w:val="fr-CA"/>
        </w:rPr>
        <w:t>:</w:t>
      </w:r>
    </w:p>
    <w:p w:rsidR="00855A78" w:rsidRPr="007E11CA" w:rsidRDefault="00CC4496" w:rsidP="00CC4496">
      <w:pPr>
        <w:pStyle w:val="aident"/>
        <w:numPr>
          <w:ilvl w:val="0"/>
          <w:numId w:val="3"/>
        </w:numPr>
        <w:suppressLineNumbers/>
        <w:tabs>
          <w:tab w:val="clear" w:pos="1080"/>
        </w:tabs>
        <w:suppressAutoHyphens/>
        <w:kinsoku w:val="0"/>
        <w:overflowPunct w:val="0"/>
        <w:adjustRightInd w:val="0"/>
        <w:snapToGrid w:val="0"/>
        <w:ind w:left="0" w:firstLine="709"/>
        <w:rPr>
          <w:rFonts w:cs="Times New Roman"/>
          <w:kern w:val="22"/>
          <w:szCs w:val="22"/>
          <w:lang w:val="fr-CA"/>
        </w:rPr>
      </w:pPr>
      <w:r w:rsidRPr="00280D50">
        <w:rPr>
          <w:bCs/>
          <w:kern w:val="20"/>
          <w:lang w:val="fr-CA"/>
        </w:rPr>
        <w:t>Doubler le total des flux internationaux de ressources financières allouées à la biodiversité aux pays en développement – en particulier aux pays les moins avancés et aux petits États insulaires en développement, ainsi qu</w:t>
      </w:r>
      <w:r w:rsidR="00466152">
        <w:rPr>
          <w:bCs/>
          <w:kern w:val="20"/>
          <w:lang w:val="fr-CA"/>
        </w:rPr>
        <w:t>’</w:t>
      </w:r>
      <w:r w:rsidRPr="00280D50">
        <w:rPr>
          <w:bCs/>
          <w:kern w:val="20"/>
          <w:lang w:val="fr-CA"/>
        </w:rPr>
        <w:t>aux pays à économies en transition – en prenant comme référence les fonds annuels moyens consacrés à la diversité biologique pour les années 2006</w:t>
      </w:r>
      <w:r w:rsidR="00466152">
        <w:rPr>
          <w:bCs/>
          <w:kern w:val="20"/>
          <w:lang w:val="fr-CA"/>
        </w:rPr>
        <w:noBreakHyphen/>
      </w:r>
      <w:r w:rsidRPr="00280D50">
        <w:rPr>
          <w:bCs/>
          <w:kern w:val="20"/>
          <w:lang w:val="fr-CA"/>
        </w:rPr>
        <w:t>2010, d</w:t>
      </w:r>
      <w:r w:rsidR="00466152">
        <w:rPr>
          <w:bCs/>
          <w:kern w:val="20"/>
          <w:lang w:val="fr-CA"/>
        </w:rPr>
        <w:t>’</w:t>
      </w:r>
      <w:r w:rsidRPr="00280D50">
        <w:rPr>
          <w:bCs/>
          <w:kern w:val="20"/>
          <w:lang w:val="fr-CA"/>
        </w:rPr>
        <w:t>ici à 2015, et au minimum maintenir ce niveau jusqu</w:t>
      </w:r>
      <w:r w:rsidR="00466152">
        <w:rPr>
          <w:bCs/>
          <w:kern w:val="20"/>
          <w:lang w:val="fr-CA"/>
        </w:rPr>
        <w:t>’</w:t>
      </w:r>
      <w:r w:rsidRPr="00280D50">
        <w:rPr>
          <w:bCs/>
          <w:kern w:val="20"/>
          <w:lang w:val="fr-CA"/>
        </w:rPr>
        <w:t>en 2020, conformément à l</w:t>
      </w:r>
      <w:r w:rsidR="00466152">
        <w:rPr>
          <w:bCs/>
          <w:kern w:val="20"/>
          <w:lang w:val="fr-CA"/>
        </w:rPr>
        <w:t>’</w:t>
      </w:r>
      <w:r w:rsidRPr="00280D50">
        <w:rPr>
          <w:bCs/>
          <w:kern w:val="20"/>
          <w:lang w:val="fr-CA"/>
        </w:rPr>
        <w:t>article 20 de la Convention, pour contribuer à la réalisation des trois objectifs de la Convention, y compris au moyen de l</w:t>
      </w:r>
      <w:r w:rsidR="00466152">
        <w:rPr>
          <w:bCs/>
          <w:kern w:val="20"/>
          <w:lang w:val="fr-CA"/>
        </w:rPr>
        <w:t>’</w:t>
      </w:r>
      <w:r w:rsidRPr="00280D50">
        <w:rPr>
          <w:bCs/>
          <w:kern w:val="20"/>
          <w:lang w:val="fr-CA"/>
        </w:rPr>
        <w:t>établissement par les pays récipiendaires de priorités relatives à la biodiversité dans le cadre de leurs plans de développement</w:t>
      </w:r>
      <w:r>
        <w:rPr>
          <w:rFonts w:cs="Times New Roman"/>
          <w:kern w:val="22"/>
          <w:szCs w:val="22"/>
          <w:lang w:val="fr-CA"/>
        </w:rPr>
        <w:t>;</w:t>
      </w:r>
    </w:p>
    <w:p w:rsidR="00855A78" w:rsidRPr="007E11CA" w:rsidRDefault="00CC4496" w:rsidP="00CC4496">
      <w:pPr>
        <w:pStyle w:val="aident"/>
        <w:numPr>
          <w:ilvl w:val="0"/>
          <w:numId w:val="3"/>
        </w:numPr>
        <w:suppressLineNumbers/>
        <w:tabs>
          <w:tab w:val="clear" w:pos="1080"/>
        </w:tabs>
        <w:suppressAutoHyphens/>
        <w:kinsoku w:val="0"/>
        <w:overflowPunct w:val="0"/>
        <w:adjustRightInd w:val="0"/>
        <w:snapToGrid w:val="0"/>
        <w:ind w:left="0" w:firstLine="709"/>
        <w:rPr>
          <w:rFonts w:cs="Times New Roman"/>
          <w:kern w:val="22"/>
          <w:szCs w:val="22"/>
          <w:lang w:val="fr-CA"/>
        </w:rPr>
      </w:pPr>
      <w:r w:rsidRPr="00280D50">
        <w:rPr>
          <w:bCs/>
          <w:kern w:val="20"/>
          <w:lang w:val="fr-CA"/>
        </w:rPr>
        <w:t>S</w:t>
      </w:r>
      <w:r w:rsidR="00466152">
        <w:rPr>
          <w:bCs/>
          <w:kern w:val="20"/>
          <w:lang w:val="fr-CA"/>
        </w:rPr>
        <w:t>’</w:t>
      </w:r>
      <w:r w:rsidRPr="00280D50">
        <w:rPr>
          <w:bCs/>
          <w:kern w:val="20"/>
          <w:lang w:val="fr-CA"/>
        </w:rPr>
        <w:t>efforcer de faire en sorte que 100</w:t>
      </w:r>
      <w:r w:rsidR="005F0C58">
        <w:rPr>
          <w:bCs/>
          <w:kern w:val="20"/>
          <w:lang w:val="fr-CA"/>
        </w:rPr>
        <w:t> pour cent</w:t>
      </w:r>
      <w:r w:rsidRPr="00280D50">
        <w:rPr>
          <w:bCs/>
          <w:kern w:val="20"/>
          <w:lang w:val="fr-CA"/>
        </w:rPr>
        <w:t xml:space="preserve"> des Parties, et au moins 75</w:t>
      </w:r>
      <w:r w:rsidR="005F0C58">
        <w:rPr>
          <w:bCs/>
          <w:kern w:val="20"/>
          <w:lang w:val="fr-CA"/>
        </w:rPr>
        <w:t> pour cent</w:t>
      </w:r>
      <w:r w:rsidRPr="00280D50">
        <w:rPr>
          <w:bCs/>
          <w:kern w:val="20"/>
          <w:lang w:val="fr-CA"/>
        </w:rPr>
        <w:t xml:space="preserve"> d</w:t>
      </w:r>
      <w:r w:rsidR="00466152">
        <w:rPr>
          <w:bCs/>
          <w:kern w:val="20"/>
          <w:lang w:val="fr-CA"/>
        </w:rPr>
        <w:t>’</w:t>
      </w:r>
      <w:r w:rsidRPr="00280D50">
        <w:rPr>
          <w:bCs/>
          <w:kern w:val="20"/>
          <w:lang w:val="fr-CA"/>
        </w:rPr>
        <w:t>entre elles, aient inclus la diversité biologique dans leurs priorités nationales ou leurs plans de développement d</w:t>
      </w:r>
      <w:r w:rsidR="00466152">
        <w:rPr>
          <w:bCs/>
          <w:kern w:val="20"/>
          <w:lang w:val="fr-CA"/>
        </w:rPr>
        <w:t>’</w:t>
      </w:r>
      <w:r w:rsidRPr="00280D50">
        <w:rPr>
          <w:bCs/>
          <w:kern w:val="20"/>
          <w:lang w:val="fr-CA"/>
        </w:rPr>
        <w:t>ici à 2015, et qu</w:t>
      </w:r>
      <w:r w:rsidR="00466152">
        <w:rPr>
          <w:bCs/>
          <w:kern w:val="20"/>
          <w:lang w:val="fr-CA"/>
        </w:rPr>
        <w:t>’</w:t>
      </w:r>
      <w:r w:rsidRPr="00280D50">
        <w:rPr>
          <w:bCs/>
          <w:kern w:val="20"/>
          <w:lang w:val="fr-CA"/>
        </w:rPr>
        <w:t>elles aient donc pris des dispositions financières nationales appropriées</w:t>
      </w:r>
      <w:r w:rsidR="00855A78" w:rsidRPr="007E11CA">
        <w:rPr>
          <w:rFonts w:cs="Times New Roman"/>
          <w:kern w:val="22"/>
          <w:szCs w:val="22"/>
          <w:lang w:val="fr-CA"/>
        </w:rPr>
        <w:t>;</w:t>
      </w:r>
    </w:p>
    <w:p w:rsidR="00855A78" w:rsidRPr="007E11CA" w:rsidRDefault="00CC4496" w:rsidP="00CC4496">
      <w:pPr>
        <w:pStyle w:val="aident"/>
        <w:numPr>
          <w:ilvl w:val="0"/>
          <w:numId w:val="3"/>
        </w:numPr>
        <w:suppressLineNumbers/>
        <w:tabs>
          <w:tab w:val="clear" w:pos="1080"/>
        </w:tabs>
        <w:suppressAutoHyphens/>
        <w:kinsoku w:val="0"/>
        <w:overflowPunct w:val="0"/>
        <w:adjustRightInd w:val="0"/>
        <w:snapToGrid w:val="0"/>
        <w:ind w:left="0" w:firstLine="709"/>
        <w:rPr>
          <w:rFonts w:cs="Times New Roman"/>
          <w:kern w:val="22"/>
          <w:szCs w:val="22"/>
          <w:lang w:val="fr-CA"/>
        </w:rPr>
      </w:pPr>
      <w:r w:rsidRPr="00280D50">
        <w:rPr>
          <w:bCs/>
          <w:kern w:val="20"/>
          <w:lang w:val="fr-CA"/>
        </w:rPr>
        <w:t>S</w:t>
      </w:r>
      <w:r w:rsidR="00466152">
        <w:rPr>
          <w:bCs/>
          <w:kern w:val="20"/>
          <w:lang w:val="fr-CA"/>
        </w:rPr>
        <w:t>’</w:t>
      </w:r>
      <w:r w:rsidRPr="00280D50">
        <w:rPr>
          <w:bCs/>
          <w:kern w:val="20"/>
          <w:lang w:val="fr-CA"/>
        </w:rPr>
        <w:t>efforcer de faire en sorte que 100</w:t>
      </w:r>
      <w:r w:rsidR="005F0C58">
        <w:rPr>
          <w:bCs/>
          <w:kern w:val="20"/>
          <w:lang w:val="fr-CA"/>
        </w:rPr>
        <w:t> pour cent</w:t>
      </w:r>
      <w:r w:rsidRPr="00280D50">
        <w:rPr>
          <w:bCs/>
          <w:kern w:val="20"/>
          <w:lang w:val="fr-CA"/>
        </w:rPr>
        <w:t xml:space="preserve"> des Parties, et au moins 75</w:t>
      </w:r>
      <w:r w:rsidR="005F0C58">
        <w:rPr>
          <w:bCs/>
          <w:kern w:val="20"/>
          <w:lang w:val="fr-CA"/>
        </w:rPr>
        <w:t> pour cent</w:t>
      </w:r>
      <w:r w:rsidRPr="00280D50">
        <w:rPr>
          <w:bCs/>
          <w:kern w:val="20"/>
          <w:lang w:val="fr-CA"/>
        </w:rPr>
        <w:t xml:space="preserve"> d</w:t>
      </w:r>
      <w:r w:rsidR="00466152">
        <w:rPr>
          <w:bCs/>
          <w:kern w:val="20"/>
          <w:lang w:val="fr-CA"/>
        </w:rPr>
        <w:t>’</w:t>
      </w:r>
      <w:r w:rsidRPr="00280D50">
        <w:rPr>
          <w:bCs/>
          <w:kern w:val="20"/>
          <w:lang w:val="fr-CA"/>
        </w:rPr>
        <w:t>entre elles, fournissent des ressources financières adéquates pour faire rapport sur leurs dépenses relatives à la diversité biologique, ainsi que sur leurs besoins de financement, leurs insuffisances et leurs priorités, d</w:t>
      </w:r>
      <w:r w:rsidR="00466152">
        <w:rPr>
          <w:bCs/>
          <w:kern w:val="20"/>
          <w:lang w:val="fr-CA"/>
        </w:rPr>
        <w:t>’</w:t>
      </w:r>
      <w:r w:rsidRPr="00280D50">
        <w:rPr>
          <w:bCs/>
          <w:kern w:val="20"/>
          <w:lang w:val="fr-CA"/>
        </w:rPr>
        <w:t>ici à 2015, afin de consolider le niveau de référence</w:t>
      </w:r>
      <w:r>
        <w:rPr>
          <w:rFonts w:cs="Times New Roman"/>
          <w:kern w:val="22"/>
          <w:szCs w:val="22"/>
          <w:lang w:val="fr-CA"/>
        </w:rPr>
        <w:t>;</w:t>
      </w:r>
    </w:p>
    <w:p w:rsidR="00855A78" w:rsidRPr="007E11CA" w:rsidRDefault="00CC4496" w:rsidP="00CC4496">
      <w:pPr>
        <w:pStyle w:val="aident"/>
        <w:numPr>
          <w:ilvl w:val="0"/>
          <w:numId w:val="3"/>
        </w:numPr>
        <w:suppressLineNumbers/>
        <w:tabs>
          <w:tab w:val="clear" w:pos="1080"/>
        </w:tabs>
        <w:suppressAutoHyphens/>
        <w:kinsoku w:val="0"/>
        <w:overflowPunct w:val="0"/>
        <w:adjustRightInd w:val="0"/>
        <w:snapToGrid w:val="0"/>
        <w:ind w:left="0" w:firstLine="709"/>
        <w:rPr>
          <w:rFonts w:cs="Times New Roman"/>
          <w:kern w:val="22"/>
          <w:szCs w:val="22"/>
          <w:lang w:val="fr-CA"/>
        </w:rPr>
      </w:pPr>
      <w:r w:rsidRPr="00280D50">
        <w:rPr>
          <w:bCs/>
          <w:kern w:val="20"/>
          <w:lang w:val="fr-CA"/>
        </w:rPr>
        <w:t>S</w:t>
      </w:r>
      <w:r w:rsidR="00466152">
        <w:rPr>
          <w:bCs/>
          <w:kern w:val="20"/>
          <w:lang w:val="fr-CA"/>
        </w:rPr>
        <w:t>’</w:t>
      </w:r>
      <w:r w:rsidRPr="00280D50">
        <w:rPr>
          <w:bCs/>
          <w:kern w:val="20"/>
          <w:lang w:val="fr-CA"/>
        </w:rPr>
        <w:t>efforcer de faire en sorte que 100</w:t>
      </w:r>
      <w:r w:rsidR="005F0C58">
        <w:rPr>
          <w:bCs/>
          <w:kern w:val="20"/>
          <w:lang w:val="fr-CA"/>
        </w:rPr>
        <w:t> pour cent</w:t>
      </w:r>
      <w:r w:rsidRPr="00280D50">
        <w:rPr>
          <w:bCs/>
          <w:kern w:val="20"/>
          <w:lang w:val="fr-CA"/>
        </w:rPr>
        <w:t xml:space="preserve"> des Parties, et au moins 75</w:t>
      </w:r>
      <w:r w:rsidR="005F0C58">
        <w:rPr>
          <w:bCs/>
          <w:kern w:val="20"/>
          <w:lang w:val="fr-CA"/>
        </w:rPr>
        <w:t> pour cent</w:t>
      </w:r>
      <w:r w:rsidRPr="00280D50">
        <w:rPr>
          <w:bCs/>
          <w:kern w:val="20"/>
          <w:lang w:val="fr-CA"/>
        </w:rPr>
        <w:t xml:space="preserve"> d</w:t>
      </w:r>
      <w:r w:rsidR="00466152">
        <w:rPr>
          <w:bCs/>
          <w:kern w:val="20"/>
          <w:lang w:val="fr-CA"/>
        </w:rPr>
        <w:t>’</w:t>
      </w:r>
      <w:r w:rsidRPr="00280D50">
        <w:rPr>
          <w:bCs/>
          <w:kern w:val="20"/>
          <w:lang w:val="fr-CA"/>
        </w:rPr>
        <w:t>entre elles, fournissent des ressources financières adéquates pour élaborer des plans financiers nationaux en faveur de la diversité biologique d</w:t>
      </w:r>
      <w:r w:rsidR="00466152">
        <w:rPr>
          <w:bCs/>
          <w:kern w:val="20"/>
          <w:lang w:val="fr-CA"/>
        </w:rPr>
        <w:t>’</w:t>
      </w:r>
      <w:r w:rsidRPr="00280D50">
        <w:rPr>
          <w:bCs/>
          <w:kern w:val="20"/>
          <w:lang w:val="fr-CA"/>
        </w:rPr>
        <w:t>ici à 2015, et que 30</w:t>
      </w:r>
      <w:r w:rsidR="005F0C58">
        <w:rPr>
          <w:bCs/>
          <w:kern w:val="20"/>
          <w:lang w:val="fr-CA"/>
        </w:rPr>
        <w:t> pour cent</w:t>
      </w:r>
      <w:r w:rsidRPr="00280D50">
        <w:rPr>
          <w:bCs/>
          <w:kern w:val="20"/>
          <w:lang w:val="fr-CA"/>
        </w:rPr>
        <w:t xml:space="preserve"> d</w:t>
      </w:r>
      <w:r w:rsidR="00466152">
        <w:rPr>
          <w:bCs/>
          <w:kern w:val="20"/>
          <w:lang w:val="fr-CA"/>
        </w:rPr>
        <w:t>’</w:t>
      </w:r>
      <w:r w:rsidRPr="00280D50">
        <w:rPr>
          <w:bCs/>
          <w:kern w:val="20"/>
          <w:lang w:val="fr-CA"/>
        </w:rPr>
        <w:t xml:space="preserve">entre elles aient apprécié ou évalué les valeurs </w:t>
      </w:r>
      <w:r w:rsidRPr="00280D50">
        <w:rPr>
          <w:bCs/>
          <w:iCs/>
          <w:kern w:val="20"/>
          <w:lang w:val="fr-CA"/>
        </w:rPr>
        <w:t>intrinsèques, écologiques, génétiques, socioéconomiques, scientifiques, pédagogiques, culturelles, récréatives et esthétiques de la diversité biologique et de ses composantes</w:t>
      </w:r>
      <w:r w:rsidR="00855A78" w:rsidRPr="007E11CA">
        <w:rPr>
          <w:rFonts w:cs="Times New Roman"/>
          <w:kern w:val="22"/>
          <w:szCs w:val="22"/>
          <w:lang w:val="fr-CA"/>
        </w:rPr>
        <w:t>;</w:t>
      </w:r>
    </w:p>
    <w:p w:rsidR="00855A78" w:rsidRPr="007E11CA" w:rsidRDefault="00CC4496" w:rsidP="00CC4496">
      <w:pPr>
        <w:pStyle w:val="aident"/>
        <w:numPr>
          <w:ilvl w:val="0"/>
          <w:numId w:val="3"/>
        </w:numPr>
        <w:suppressLineNumbers/>
        <w:tabs>
          <w:tab w:val="clear" w:pos="1080"/>
        </w:tabs>
        <w:suppressAutoHyphens/>
        <w:kinsoku w:val="0"/>
        <w:overflowPunct w:val="0"/>
        <w:adjustRightInd w:val="0"/>
        <w:snapToGrid w:val="0"/>
        <w:ind w:left="0" w:firstLine="709"/>
        <w:rPr>
          <w:rFonts w:cs="Times New Roman"/>
          <w:noProof/>
          <w:kern w:val="22"/>
          <w:szCs w:val="22"/>
          <w:lang w:val="fr-CA"/>
        </w:rPr>
      </w:pPr>
      <w:r w:rsidRPr="00280D50">
        <w:rPr>
          <w:kern w:val="20"/>
          <w:lang w:val="fr-CA"/>
        </w:rPr>
        <w:t xml:space="preserve">Mobiliser des ressources financières </w:t>
      </w:r>
      <w:r w:rsidRPr="00280D50">
        <w:rPr>
          <w:noProof/>
          <w:kern w:val="20"/>
          <w:lang w:val="fr-CA"/>
        </w:rPr>
        <w:t>nationales de toutes les sources afin de réduire l</w:t>
      </w:r>
      <w:r w:rsidR="00466152">
        <w:rPr>
          <w:noProof/>
          <w:kern w:val="20"/>
          <w:lang w:val="fr-CA"/>
        </w:rPr>
        <w:t>’</w:t>
      </w:r>
      <w:r w:rsidRPr="00280D50">
        <w:rPr>
          <w:noProof/>
          <w:kern w:val="20"/>
          <w:lang w:val="fr-CA"/>
        </w:rPr>
        <w:t>écart entre les besoins identifiés et les ressources disponibles au niveau national, pour mettre en œuvre efficacement les stratégies et plans d</w:t>
      </w:r>
      <w:r w:rsidR="00466152">
        <w:rPr>
          <w:noProof/>
          <w:kern w:val="20"/>
          <w:lang w:val="fr-CA"/>
        </w:rPr>
        <w:t>’</w:t>
      </w:r>
      <w:r w:rsidRPr="00280D50">
        <w:rPr>
          <w:noProof/>
          <w:kern w:val="20"/>
          <w:lang w:val="fr-CA"/>
        </w:rPr>
        <w:t>action nationaux pour la diversité biologique des Parties d</w:t>
      </w:r>
      <w:r w:rsidR="00466152">
        <w:rPr>
          <w:noProof/>
          <w:kern w:val="20"/>
          <w:lang w:val="fr-CA"/>
        </w:rPr>
        <w:t>’</w:t>
      </w:r>
      <w:r w:rsidRPr="00280D50">
        <w:rPr>
          <w:noProof/>
          <w:kern w:val="20"/>
          <w:lang w:val="fr-CA"/>
        </w:rPr>
        <w:t>ici à</w:t>
      </w:r>
      <w:r>
        <w:rPr>
          <w:noProof/>
          <w:kern w:val="20"/>
          <w:lang w:val="fr-CA"/>
        </w:rPr>
        <w:t> 2020, conformément à l</w:t>
      </w:r>
      <w:r w:rsidR="00466152">
        <w:rPr>
          <w:noProof/>
          <w:kern w:val="20"/>
          <w:lang w:val="fr-CA"/>
        </w:rPr>
        <w:t>’</w:t>
      </w:r>
      <w:r>
        <w:rPr>
          <w:noProof/>
          <w:kern w:val="20"/>
          <w:lang w:val="fr-CA"/>
        </w:rPr>
        <w:t>article </w:t>
      </w:r>
      <w:r w:rsidRPr="00280D50">
        <w:rPr>
          <w:noProof/>
          <w:kern w:val="20"/>
          <w:lang w:val="fr-CA"/>
        </w:rPr>
        <w:t>20</w:t>
      </w:r>
      <w:r w:rsidR="00855A78" w:rsidRPr="007E11CA">
        <w:rPr>
          <w:rFonts w:cs="Times New Roman"/>
          <w:noProof/>
          <w:kern w:val="22"/>
          <w:szCs w:val="22"/>
          <w:lang w:val="fr-CA"/>
        </w:rPr>
        <w:t>;</w:t>
      </w:r>
    </w:p>
    <w:p w:rsidR="00855A78" w:rsidRPr="007E11CA" w:rsidRDefault="006E604B" w:rsidP="00CC4496">
      <w:pPr>
        <w:suppressLineNumbers/>
        <w:suppressAutoHyphens/>
        <w:kinsoku w:val="0"/>
        <w:overflowPunct w:val="0"/>
        <w:autoSpaceDE w:val="0"/>
        <w:autoSpaceDN w:val="0"/>
        <w:adjustRightInd w:val="0"/>
        <w:snapToGrid w:val="0"/>
        <w:spacing w:after="120"/>
        <w:rPr>
          <w:noProof/>
          <w:snapToGrid w:val="0"/>
          <w:kern w:val="22"/>
          <w:szCs w:val="22"/>
          <w:lang w:val="fr-CA"/>
        </w:rPr>
      </w:pPr>
      <w:r w:rsidRPr="007E11CA">
        <w:rPr>
          <w:noProof/>
          <w:snapToGrid w:val="0"/>
          <w:kern w:val="22"/>
          <w:szCs w:val="22"/>
          <w:lang w:val="fr-CA"/>
        </w:rPr>
        <w:t>2.</w:t>
      </w:r>
      <w:r w:rsidRPr="007E11CA">
        <w:rPr>
          <w:noProof/>
          <w:snapToGrid w:val="0"/>
          <w:kern w:val="22"/>
          <w:szCs w:val="22"/>
          <w:lang w:val="fr-CA"/>
        </w:rPr>
        <w:tab/>
      </w:r>
      <w:r w:rsidR="00CC4496">
        <w:rPr>
          <w:noProof/>
          <w:snapToGrid w:val="0"/>
          <w:kern w:val="22"/>
          <w:szCs w:val="22"/>
          <w:lang w:val="fr-CA"/>
        </w:rPr>
        <w:t>Au</w:t>
      </w:r>
      <w:r w:rsidR="00855A78" w:rsidRPr="007E11CA">
        <w:rPr>
          <w:noProof/>
          <w:snapToGrid w:val="0"/>
          <w:kern w:val="22"/>
          <w:szCs w:val="22"/>
          <w:lang w:val="fr-CA"/>
        </w:rPr>
        <w:t xml:space="preserve"> paragraph</w:t>
      </w:r>
      <w:r w:rsidR="00CC4496">
        <w:rPr>
          <w:noProof/>
          <w:snapToGrid w:val="0"/>
          <w:kern w:val="22"/>
          <w:szCs w:val="22"/>
          <w:lang w:val="fr-CA"/>
        </w:rPr>
        <w:t>e </w:t>
      </w:r>
      <w:r w:rsidR="00855A78" w:rsidRPr="007E11CA">
        <w:rPr>
          <w:noProof/>
          <w:snapToGrid w:val="0"/>
          <w:kern w:val="22"/>
          <w:szCs w:val="22"/>
          <w:lang w:val="fr-CA"/>
        </w:rPr>
        <w:t xml:space="preserve">2 </w:t>
      </w:r>
      <w:r w:rsidR="00CC4496">
        <w:rPr>
          <w:noProof/>
          <w:snapToGrid w:val="0"/>
          <w:kern w:val="22"/>
          <w:szCs w:val="22"/>
          <w:lang w:val="fr-CA"/>
        </w:rPr>
        <w:t xml:space="preserve">de la même décision, la Conférence des Parties, </w:t>
      </w:r>
      <w:r w:rsidR="00CC4496">
        <w:rPr>
          <w:iCs/>
          <w:noProof/>
          <w:kern w:val="20"/>
          <w:lang w:val="fr-CA"/>
        </w:rPr>
        <w:t>r</w:t>
      </w:r>
      <w:r w:rsidR="00CC4496" w:rsidRPr="00CC4496">
        <w:rPr>
          <w:iCs/>
          <w:noProof/>
          <w:kern w:val="20"/>
          <w:lang w:val="fr-CA"/>
        </w:rPr>
        <w:t>appelant</w:t>
      </w:r>
      <w:r w:rsidR="00CC4496" w:rsidRPr="00280D50">
        <w:rPr>
          <w:i/>
          <w:noProof/>
          <w:kern w:val="20"/>
          <w:lang w:val="fr-CA"/>
        </w:rPr>
        <w:t xml:space="preserve"> </w:t>
      </w:r>
      <w:r w:rsidR="00CC4496">
        <w:rPr>
          <w:noProof/>
          <w:kern w:val="20"/>
          <w:lang w:val="fr-CA"/>
        </w:rPr>
        <w:t>l</w:t>
      </w:r>
      <w:r w:rsidR="00466152">
        <w:rPr>
          <w:noProof/>
          <w:kern w:val="20"/>
          <w:lang w:val="fr-CA"/>
        </w:rPr>
        <w:t>’</w:t>
      </w:r>
      <w:r w:rsidR="00CC4496">
        <w:rPr>
          <w:noProof/>
          <w:kern w:val="20"/>
          <w:lang w:val="fr-CA"/>
        </w:rPr>
        <w:t>article </w:t>
      </w:r>
      <w:r w:rsidR="00CC4496" w:rsidRPr="00280D50">
        <w:rPr>
          <w:noProof/>
          <w:kern w:val="20"/>
          <w:lang w:val="fr-CA"/>
        </w:rPr>
        <w:t>20</w:t>
      </w:r>
      <w:r w:rsidR="00CC4496">
        <w:rPr>
          <w:noProof/>
          <w:kern w:val="20"/>
          <w:lang w:val="fr-CA"/>
        </w:rPr>
        <w:t xml:space="preserve"> de la Convention</w:t>
      </w:r>
      <w:r w:rsidR="00CC4496" w:rsidRPr="00280D50">
        <w:rPr>
          <w:noProof/>
          <w:kern w:val="20"/>
          <w:lang w:val="fr-CA"/>
        </w:rPr>
        <w:t xml:space="preserve">, </w:t>
      </w:r>
      <w:r w:rsidR="00CC4496" w:rsidRPr="00CC4496">
        <w:rPr>
          <w:iCs/>
          <w:noProof/>
          <w:kern w:val="20"/>
          <w:lang w:val="fr-CA"/>
        </w:rPr>
        <w:t xml:space="preserve">décide </w:t>
      </w:r>
      <w:r w:rsidR="00CC4496" w:rsidRPr="00280D50">
        <w:rPr>
          <w:noProof/>
          <w:kern w:val="20"/>
          <w:lang w:val="fr-CA"/>
        </w:rPr>
        <w:t>que les objectifs des alinéas a) à e) ci</w:t>
      </w:r>
      <w:r w:rsidR="00466152">
        <w:rPr>
          <w:noProof/>
          <w:kern w:val="20"/>
          <w:lang w:val="fr-CA"/>
        </w:rPr>
        <w:noBreakHyphen/>
      </w:r>
      <w:r w:rsidR="00CC4496" w:rsidRPr="00280D50">
        <w:rPr>
          <w:noProof/>
          <w:kern w:val="20"/>
          <w:lang w:val="fr-CA"/>
        </w:rPr>
        <w:t xml:space="preserve">dessus </w:t>
      </w:r>
      <w:r w:rsidR="00CC4496" w:rsidRPr="00280D50">
        <w:rPr>
          <w:bCs/>
          <w:noProof/>
          <w:snapToGrid w:val="0"/>
          <w:kern w:val="20"/>
          <w:lang w:val="fr-CA"/>
        </w:rPr>
        <w:t>seront considérés comme complémentaires</w:t>
      </w:r>
      <w:r w:rsidR="00CC4496">
        <w:rPr>
          <w:bCs/>
          <w:noProof/>
          <w:snapToGrid w:val="0"/>
          <w:kern w:val="20"/>
          <w:lang w:val="fr-CA"/>
        </w:rPr>
        <w:t xml:space="preserve">, et au paragraphe 4, </w:t>
      </w:r>
      <w:r w:rsidR="00CC4496">
        <w:rPr>
          <w:iCs/>
          <w:noProof/>
          <w:kern w:val="20"/>
          <w:lang w:val="fr-CA"/>
        </w:rPr>
        <w:t>e</w:t>
      </w:r>
      <w:r w:rsidR="00CC4496" w:rsidRPr="00CC4496">
        <w:rPr>
          <w:iCs/>
          <w:noProof/>
          <w:kern w:val="20"/>
          <w:lang w:val="fr-CA"/>
        </w:rPr>
        <w:t>xhorte</w:t>
      </w:r>
      <w:r w:rsidR="00CC4496" w:rsidRPr="00280D50">
        <w:rPr>
          <w:i/>
          <w:noProof/>
          <w:kern w:val="20"/>
          <w:lang w:val="fr-CA"/>
        </w:rPr>
        <w:t xml:space="preserve"> </w:t>
      </w:r>
      <w:r w:rsidR="00CC4496" w:rsidRPr="00280D50">
        <w:rPr>
          <w:noProof/>
          <w:kern w:val="20"/>
          <w:lang w:val="fr-CA"/>
        </w:rPr>
        <w:t>les Parties et les autres gouvernements, avec l</w:t>
      </w:r>
      <w:r w:rsidR="00466152">
        <w:rPr>
          <w:noProof/>
          <w:kern w:val="20"/>
          <w:lang w:val="fr-CA"/>
        </w:rPr>
        <w:t>’</w:t>
      </w:r>
      <w:r w:rsidR="00CC4496" w:rsidRPr="00280D50">
        <w:rPr>
          <w:noProof/>
          <w:kern w:val="20"/>
          <w:lang w:val="fr-CA"/>
        </w:rPr>
        <w:t>appui des organisations internationales et régionales, à élaborer leurs stratégies de mobilisation de ressources ou plans financiers nationaux en accord avec les besoins et priorités identifiés, en utilisant les objectifs de mobilisation de ressources susmentionnés comme cadre souple</w:t>
      </w:r>
      <w:r w:rsidR="00CC4496">
        <w:rPr>
          <w:noProof/>
          <w:snapToGrid w:val="0"/>
          <w:kern w:val="22"/>
          <w:szCs w:val="22"/>
          <w:lang w:val="fr-CA"/>
        </w:rPr>
        <w:t>.</w:t>
      </w:r>
    </w:p>
    <w:p w:rsidR="00855A78" w:rsidRPr="007E11CA" w:rsidRDefault="00855A78" w:rsidP="00490BF5">
      <w:pPr>
        <w:suppressLineNumbers/>
        <w:suppressAutoHyphens/>
        <w:kinsoku w:val="0"/>
        <w:overflowPunct w:val="0"/>
        <w:autoSpaceDE w:val="0"/>
        <w:autoSpaceDN w:val="0"/>
        <w:adjustRightInd w:val="0"/>
        <w:snapToGrid w:val="0"/>
        <w:spacing w:after="120"/>
        <w:rPr>
          <w:snapToGrid w:val="0"/>
          <w:kern w:val="22"/>
          <w:szCs w:val="22"/>
          <w:lang w:val="fr-CA"/>
        </w:rPr>
      </w:pPr>
    </w:p>
    <w:p w:rsidR="00795DD1" w:rsidRPr="007E11CA" w:rsidRDefault="00795DD1" w:rsidP="00490BF5">
      <w:pPr>
        <w:suppressLineNumbers/>
        <w:suppressAutoHyphens/>
        <w:kinsoku w:val="0"/>
        <w:overflowPunct w:val="0"/>
        <w:autoSpaceDE w:val="0"/>
        <w:autoSpaceDN w:val="0"/>
        <w:adjustRightInd w:val="0"/>
        <w:snapToGrid w:val="0"/>
        <w:spacing w:after="120"/>
        <w:rPr>
          <w:snapToGrid w:val="0"/>
          <w:kern w:val="22"/>
          <w:szCs w:val="22"/>
          <w:lang w:val="fr-CA"/>
        </w:rPr>
        <w:sectPr w:rsidR="00795DD1" w:rsidRPr="007E11CA" w:rsidSect="00490BF5">
          <w:pgSz w:w="12240" w:h="15840" w:code="1"/>
          <w:pgMar w:top="1134" w:right="1440" w:bottom="1140" w:left="1440" w:header="454" w:footer="720" w:gutter="0"/>
          <w:cols w:space="720"/>
          <w:docGrid w:linePitch="299"/>
        </w:sectPr>
      </w:pPr>
    </w:p>
    <w:p w:rsidR="006E604B" w:rsidRPr="007E11CA" w:rsidRDefault="006E604B" w:rsidP="00490BF5">
      <w:pPr>
        <w:pStyle w:val="Heading1"/>
        <w:keepNext w:val="0"/>
        <w:suppressLineNumbers/>
        <w:suppressAutoHyphens/>
        <w:kinsoku w:val="0"/>
        <w:overflowPunct w:val="0"/>
        <w:autoSpaceDE w:val="0"/>
        <w:autoSpaceDN w:val="0"/>
        <w:adjustRightInd w:val="0"/>
        <w:snapToGrid w:val="0"/>
        <w:rPr>
          <w:snapToGrid w:val="0"/>
          <w:kern w:val="22"/>
          <w:szCs w:val="22"/>
          <w:lang w:val="fr-CA"/>
        </w:rPr>
      </w:pPr>
      <w:r w:rsidRPr="007E11CA">
        <w:rPr>
          <w:snapToGrid w:val="0"/>
          <w:kern w:val="22"/>
          <w:szCs w:val="22"/>
          <w:lang w:val="fr-CA"/>
        </w:rPr>
        <w:lastRenderedPageBreak/>
        <w:br w:type="page"/>
      </w:r>
    </w:p>
    <w:p w:rsidR="004A2D2F" w:rsidRPr="007E11CA" w:rsidRDefault="004A2D2F" w:rsidP="00490BF5">
      <w:pPr>
        <w:pStyle w:val="Heading1"/>
        <w:keepNext w:val="0"/>
        <w:suppressLineNumbers/>
        <w:suppressAutoHyphens/>
        <w:kinsoku w:val="0"/>
        <w:overflowPunct w:val="0"/>
        <w:autoSpaceDE w:val="0"/>
        <w:autoSpaceDN w:val="0"/>
        <w:adjustRightInd w:val="0"/>
        <w:snapToGrid w:val="0"/>
        <w:rPr>
          <w:snapToGrid w:val="0"/>
          <w:kern w:val="22"/>
          <w:szCs w:val="22"/>
          <w:lang w:val="fr-CA"/>
        </w:rPr>
        <w:sectPr w:rsidR="004A2D2F" w:rsidRPr="007E11CA" w:rsidSect="006E604B">
          <w:type w:val="continuous"/>
          <w:pgSz w:w="12240" w:h="15840" w:code="1"/>
          <w:pgMar w:top="1134" w:right="1440" w:bottom="1140" w:left="1440" w:header="454" w:footer="720" w:gutter="0"/>
          <w:cols w:num="3" w:space="720"/>
          <w:docGrid w:linePitch="299"/>
        </w:sectPr>
      </w:pPr>
    </w:p>
    <w:p w:rsidR="00855A78" w:rsidRPr="007E11CA" w:rsidRDefault="00855A78" w:rsidP="00490BF5">
      <w:pPr>
        <w:pStyle w:val="Heading1"/>
        <w:keepNext w:val="0"/>
        <w:suppressLineNumbers/>
        <w:suppressAutoHyphens/>
        <w:kinsoku w:val="0"/>
        <w:overflowPunct w:val="0"/>
        <w:autoSpaceDE w:val="0"/>
        <w:autoSpaceDN w:val="0"/>
        <w:adjustRightInd w:val="0"/>
        <w:snapToGrid w:val="0"/>
        <w:spacing w:before="0" w:after="0"/>
        <w:rPr>
          <w:b w:val="0"/>
          <w:i/>
          <w:snapToGrid w:val="0"/>
          <w:kern w:val="22"/>
          <w:szCs w:val="22"/>
          <w:lang w:val="fr-CA"/>
        </w:rPr>
      </w:pPr>
      <w:r w:rsidRPr="007E11CA">
        <w:rPr>
          <w:b w:val="0"/>
          <w:i/>
          <w:snapToGrid w:val="0"/>
          <w:kern w:val="22"/>
          <w:szCs w:val="22"/>
          <w:lang w:val="fr-CA"/>
        </w:rPr>
        <w:lastRenderedPageBreak/>
        <w:t>A</w:t>
      </w:r>
      <w:r w:rsidR="006E604B" w:rsidRPr="007E11CA">
        <w:rPr>
          <w:b w:val="0"/>
          <w:i/>
          <w:caps w:val="0"/>
          <w:snapToGrid w:val="0"/>
          <w:kern w:val="22"/>
          <w:szCs w:val="22"/>
          <w:lang w:val="fr-CA"/>
        </w:rPr>
        <w:t>nne</w:t>
      </w:r>
      <w:r w:rsidR="00D57D7A">
        <w:rPr>
          <w:b w:val="0"/>
          <w:i/>
          <w:caps w:val="0"/>
          <w:snapToGrid w:val="0"/>
          <w:kern w:val="22"/>
          <w:szCs w:val="22"/>
          <w:lang w:val="fr-CA"/>
        </w:rPr>
        <w:t>xe </w:t>
      </w:r>
      <w:r w:rsidRPr="007E11CA">
        <w:rPr>
          <w:b w:val="0"/>
          <w:i/>
          <w:snapToGrid w:val="0"/>
          <w:kern w:val="22"/>
          <w:szCs w:val="22"/>
          <w:lang w:val="fr-CA"/>
        </w:rPr>
        <w:t>II</w:t>
      </w:r>
    </w:p>
    <w:p w:rsidR="004A2D2F" w:rsidRPr="007E11CA" w:rsidRDefault="00D57D7A" w:rsidP="00D57D7A">
      <w:pPr>
        <w:pStyle w:val="Heading1"/>
        <w:keepNext w:val="0"/>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szCs w:val="22"/>
          <w:lang w:val="fr-CA"/>
        </w:rPr>
        <w:sectPr w:rsidR="004A2D2F" w:rsidRPr="007E11CA" w:rsidSect="00490BF5">
          <w:type w:val="continuous"/>
          <w:pgSz w:w="12240" w:h="15840" w:code="1"/>
          <w:pgMar w:top="1134" w:right="1440" w:bottom="1140" w:left="1440" w:header="454" w:footer="720" w:gutter="0"/>
          <w:cols w:space="720"/>
          <w:docGrid w:linePitch="299"/>
        </w:sectPr>
      </w:pPr>
      <w:r>
        <w:rPr>
          <w:rFonts w:ascii="Times New Roman Bold" w:hAnsi="Times New Roman Bold" w:cs="Times New Roman Bold"/>
          <w:bCs/>
          <w:snapToGrid w:val="0"/>
          <w:kern w:val="22"/>
          <w:szCs w:val="22"/>
          <w:lang w:val="fr-CA"/>
        </w:rPr>
        <w:t>liste récapitulative des parties ayant transmis des informations à l</w:t>
      </w:r>
      <w:r w:rsidR="00466152">
        <w:rPr>
          <w:rFonts w:ascii="Times New Roman Bold" w:hAnsi="Times New Roman Bold" w:cs="Times New Roman Bold"/>
          <w:bCs/>
          <w:snapToGrid w:val="0"/>
          <w:kern w:val="22"/>
          <w:szCs w:val="22"/>
          <w:lang w:val="fr-CA"/>
        </w:rPr>
        <w:t>’</w:t>
      </w:r>
      <w:r>
        <w:rPr>
          <w:rFonts w:ascii="Times New Roman Bold" w:hAnsi="Times New Roman Bold" w:cs="Times New Roman Bold"/>
          <w:bCs/>
          <w:snapToGrid w:val="0"/>
          <w:kern w:val="22"/>
          <w:szCs w:val="22"/>
          <w:lang w:val="fr-CA"/>
        </w:rPr>
        <w:t>aide du cadre de présentation des rapports financiers</w:t>
      </w:r>
    </w:p>
    <w:p w:rsidR="004A2D2F" w:rsidRPr="007E11CA" w:rsidRDefault="004A2D2F" w:rsidP="00490BF5">
      <w:pPr>
        <w:suppressLineNumbers/>
        <w:suppressAutoHyphens/>
        <w:kinsoku w:val="0"/>
        <w:overflowPunct w:val="0"/>
        <w:autoSpaceDE w:val="0"/>
        <w:autoSpaceDN w:val="0"/>
        <w:adjustRightInd w:val="0"/>
        <w:snapToGrid w:val="0"/>
        <w:rPr>
          <w:snapToGrid w:val="0"/>
          <w:kern w:val="22"/>
          <w:szCs w:val="22"/>
          <w:lang w:val="fr-CA"/>
        </w:rPr>
        <w:sectPr w:rsidR="004A2D2F" w:rsidRPr="007E11CA" w:rsidSect="006E604B">
          <w:type w:val="continuous"/>
          <w:pgSz w:w="12240" w:h="15840" w:code="1"/>
          <w:pgMar w:top="1134" w:right="1440" w:bottom="1140" w:left="1440" w:header="454" w:footer="720" w:gutter="0"/>
          <w:cols w:num="3" w:space="720"/>
          <w:docGrid w:linePitch="299"/>
        </w:sectPr>
      </w:pPr>
    </w:p>
    <w:p w:rsidR="006E604B" w:rsidRPr="007E11CA" w:rsidRDefault="006E604B" w:rsidP="00490BF5">
      <w:pPr>
        <w:suppressLineNumbers/>
        <w:suppressAutoHyphens/>
        <w:kinsoku w:val="0"/>
        <w:overflowPunct w:val="0"/>
        <w:autoSpaceDE w:val="0"/>
        <w:autoSpaceDN w:val="0"/>
        <w:adjustRightInd w:val="0"/>
        <w:snapToGrid w:val="0"/>
        <w:rPr>
          <w:snapToGrid w:val="0"/>
          <w:kern w:val="22"/>
          <w:szCs w:val="22"/>
          <w:lang w:val="fr-CA"/>
        </w:rPr>
      </w:pP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Afrique du Sud</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Allemagne</w:t>
      </w:r>
    </w:p>
    <w:p w:rsidR="00533024" w:rsidRPr="007E11CA"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Pr>
          <w:snapToGrid w:val="0"/>
          <w:kern w:val="22"/>
          <w:szCs w:val="22"/>
          <w:lang w:val="fr-CA"/>
        </w:rPr>
        <w:t>Autriche</w:t>
      </w:r>
    </w:p>
    <w:p w:rsidR="00533024" w:rsidRPr="007E11CA"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Pr>
          <w:snapToGrid w:val="0"/>
          <w:kern w:val="22"/>
          <w:szCs w:val="22"/>
          <w:lang w:val="fr-CA"/>
        </w:rPr>
        <w:t>Barbade</w:t>
      </w:r>
    </w:p>
    <w:p w:rsidR="00533024" w:rsidRPr="007E11CA"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7E11CA">
        <w:rPr>
          <w:snapToGrid w:val="0"/>
          <w:kern w:val="22"/>
          <w:szCs w:val="22"/>
          <w:lang w:val="fr-CA"/>
        </w:rPr>
        <w:t>Bh</w:t>
      </w:r>
      <w:r>
        <w:rPr>
          <w:snapToGrid w:val="0"/>
          <w:kern w:val="22"/>
          <w:szCs w:val="22"/>
          <w:lang w:val="fr-CA"/>
        </w:rPr>
        <w:t>o</w:t>
      </w:r>
      <w:r w:rsidRPr="007E11CA">
        <w:rPr>
          <w:snapToGrid w:val="0"/>
          <w:kern w:val="22"/>
          <w:szCs w:val="22"/>
          <w:lang w:val="fr-CA"/>
        </w:rPr>
        <w:t>utan</w:t>
      </w:r>
    </w:p>
    <w:p w:rsidR="00533024" w:rsidRPr="007E11CA"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Pr>
          <w:snapToGrid w:val="0"/>
          <w:kern w:val="22"/>
          <w:szCs w:val="22"/>
          <w:lang w:val="fr-CA"/>
        </w:rPr>
        <w:t>Bolivie</w:t>
      </w:r>
    </w:p>
    <w:p w:rsidR="00533024" w:rsidRPr="007E11CA" w:rsidRDefault="00533024" w:rsidP="00D57D7A">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Pr>
          <w:snapToGrid w:val="0"/>
          <w:kern w:val="22"/>
          <w:szCs w:val="22"/>
          <w:lang w:val="fr-CA"/>
        </w:rPr>
        <w:t>Bosnie</w:t>
      </w:r>
      <w:r w:rsidRPr="007E11CA">
        <w:rPr>
          <w:snapToGrid w:val="0"/>
          <w:kern w:val="22"/>
          <w:szCs w:val="22"/>
          <w:lang w:val="fr-CA"/>
        </w:rPr>
        <w:t xml:space="preserve"> </w:t>
      </w:r>
      <w:r>
        <w:rPr>
          <w:snapToGrid w:val="0"/>
          <w:kern w:val="22"/>
          <w:szCs w:val="22"/>
          <w:lang w:val="fr-CA"/>
        </w:rPr>
        <w:t>et Herzégovine</w:t>
      </w:r>
    </w:p>
    <w:p w:rsidR="00533024" w:rsidRPr="007E11CA"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Pr>
          <w:snapToGrid w:val="0"/>
          <w:kern w:val="22"/>
          <w:szCs w:val="22"/>
          <w:lang w:val="fr-CA"/>
        </w:rPr>
        <w:t>Bulgarie</w:t>
      </w:r>
    </w:p>
    <w:p w:rsidR="00533024" w:rsidRPr="007E11CA"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Pr>
          <w:snapToGrid w:val="0"/>
          <w:kern w:val="22"/>
          <w:szCs w:val="22"/>
          <w:lang w:val="fr-CA"/>
        </w:rPr>
        <w:t>Burkina </w:t>
      </w:r>
      <w:r w:rsidRPr="007E11CA">
        <w:rPr>
          <w:snapToGrid w:val="0"/>
          <w:kern w:val="22"/>
          <w:szCs w:val="22"/>
          <w:lang w:val="fr-CA"/>
        </w:rPr>
        <w:t>Faso</w:t>
      </w:r>
    </w:p>
    <w:p w:rsidR="00533024" w:rsidRPr="007E11CA"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7E11CA">
        <w:rPr>
          <w:snapToGrid w:val="0"/>
          <w:kern w:val="22"/>
          <w:szCs w:val="22"/>
          <w:lang w:val="fr-CA"/>
        </w:rPr>
        <w:t>Burundi</w:t>
      </w:r>
    </w:p>
    <w:p w:rsidR="00533024" w:rsidRPr="007E11CA"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7E11CA">
        <w:rPr>
          <w:snapToGrid w:val="0"/>
          <w:kern w:val="22"/>
          <w:szCs w:val="22"/>
          <w:lang w:val="fr-CA"/>
        </w:rPr>
        <w:t>Canada</w:t>
      </w:r>
    </w:p>
    <w:p w:rsidR="00533024" w:rsidRPr="007E11CA"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Pr>
          <w:snapToGrid w:val="0"/>
          <w:kern w:val="22"/>
          <w:szCs w:val="22"/>
          <w:lang w:val="fr-CA"/>
        </w:rPr>
        <w:t>Chili</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Pr>
          <w:snapToGrid w:val="0"/>
          <w:kern w:val="22"/>
          <w:szCs w:val="22"/>
          <w:lang w:val="fr-CA"/>
        </w:rPr>
        <w:t>Chine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Colombie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Costa Rica</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Côte d</w:t>
      </w:r>
      <w:r w:rsidR="00466152">
        <w:rPr>
          <w:snapToGrid w:val="0"/>
          <w:kern w:val="22"/>
          <w:szCs w:val="22"/>
          <w:lang w:val="fr-CA"/>
        </w:rPr>
        <w:t>’</w:t>
      </w:r>
      <w:r w:rsidRPr="00533024">
        <w:rPr>
          <w:snapToGrid w:val="0"/>
          <w:kern w:val="22"/>
          <w:szCs w:val="22"/>
          <w:lang w:val="fr-CA"/>
        </w:rPr>
        <w:t>Ivoire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Croatie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Cuba</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Danemark</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Égypte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Équateur</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Érythrée</w:t>
      </w:r>
    </w:p>
    <w:p w:rsidR="00533024" w:rsidRPr="00533024" w:rsidRDefault="00533024" w:rsidP="00D57D7A">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Espagne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Estonie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Éthiopie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Finlande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France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Géorgie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Grèce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Guinée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Hongrie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lastRenderedPageBreak/>
        <w:t>Inde</w:t>
      </w:r>
    </w:p>
    <w:p w:rsidR="00533024" w:rsidRPr="00533024" w:rsidRDefault="00533024" w:rsidP="00D57D7A">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Iran (République islamique d</w:t>
      </w:r>
      <w:r w:rsidR="00466152">
        <w:rPr>
          <w:snapToGrid w:val="0"/>
          <w:kern w:val="22"/>
          <w:szCs w:val="22"/>
          <w:lang w:val="fr-CA"/>
        </w:rPr>
        <w:t>’</w:t>
      </w:r>
      <w:r w:rsidRPr="00533024">
        <w:rPr>
          <w:snapToGrid w:val="0"/>
          <w:kern w:val="22"/>
          <w:szCs w:val="22"/>
          <w:lang w:val="fr-CA"/>
        </w:rPr>
        <w:t>)</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Japon</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Koweït</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Lettonie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Liban</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Luxembourg</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Madagascar</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Malawi</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Maldives</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Malte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Maroc</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Mauritanie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Mexique</w:t>
      </w:r>
    </w:p>
    <w:p w:rsidR="00533024" w:rsidRPr="00533024" w:rsidRDefault="00533024" w:rsidP="00D57D7A">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Micronésie (États fédérés de)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Mozambique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noProof/>
          <w:snapToGrid w:val="0"/>
          <w:kern w:val="22"/>
          <w:szCs w:val="22"/>
          <w:lang w:val="fr-CA"/>
        </w:rPr>
      </w:pPr>
      <w:r w:rsidRPr="00533024">
        <w:rPr>
          <w:noProof/>
          <w:snapToGrid w:val="0"/>
          <w:kern w:val="22"/>
          <w:szCs w:val="22"/>
          <w:lang w:val="fr-CA"/>
        </w:rPr>
        <w:t>Myanmar</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noProof/>
          <w:snapToGrid w:val="0"/>
          <w:kern w:val="22"/>
          <w:szCs w:val="22"/>
          <w:lang w:val="fr-CA"/>
        </w:rPr>
      </w:pPr>
      <w:r w:rsidRPr="00533024">
        <w:rPr>
          <w:noProof/>
          <w:snapToGrid w:val="0"/>
          <w:kern w:val="22"/>
          <w:szCs w:val="22"/>
          <w:lang w:val="fr-CA"/>
        </w:rPr>
        <w:t>Nioué</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noProof/>
          <w:snapToGrid w:val="0"/>
          <w:kern w:val="22"/>
          <w:szCs w:val="22"/>
          <w:lang w:val="fr-CA"/>
        </w:rPr>
      </w:pPr>
      <w:r w:rsidRPr="00533024">
        <w:rPr>
          <w:noProof/>
          <w:snapToGrid w:val="0"/>
          <w:kern w:val="22"/>
          <w:szCs w:val="22"/>
          <w:lang w:val="fr-CA"/>
        </w:rPr>
        <w:t>Norvège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noProof/>
          <w:snapToGrid w:val="0"/>
          <w:kern w:val="22"/>
          <w:szCs w:val="22"/>
          <w:lang w:val="fr-CA"/>
        </w:rPr>
      </w:pPr>
      <w:r w:rsidRPr="00533024">
        <w:rPr>
          <w:noProof/>
          <w:snapToGrid w:val="0"/>
          <w:kern w:val="22"/>
          <w:szCs w:val="22"/>
          <w:lang w:val="fr-CA"/>
        </w:rPr>
        <w:t>Nouvelle</w:t>
      </w:r>
      <w:r w:rsidR="00466152">
        <w:rPr>
          <w:noProof/>
          <w:snapToGrid w:val="0"/>
          <w:kern w:val="22"/>
          <w:szCs w:val="22"/>
          <w:lang w:val="fr-CA"/>
        </w:rPr>
        <w:noBreakHyphen/>
      </w:r>
      <w:r w:rsidRPr="00533024">
        <w:rPr>
          <w:noProof/>
          <w:snapToGrid w:val="0"/>
          <w:kern w:val="22"/>
          <w:szCs w:val="22"/>
          <w:lang w:val="fr-CA"/>
        </w:rPr>
        <w:t>Zélande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rPr>
          <w:snapToGrid w:val="0"/>
          <w:kern w:val="22"/>
          <w:szCs w:val="22"/>
          <w:lang w:val="fr-CA"/>
        </w:rPr>
      </w:pPr>
      <w:r w:rsidRPr="00533024">
        <w:rPr>
          <w:snapToGrid w:val="0"/>
          <w:kern w:val="22"/>
          <w:szCs w:val="22"/>
          <w:lang w:val="fr-CA"/>
        </w:rPr>
        <w:t>Ouganda</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noProof/>
          <w:snapToGrid w:val="0"/>
          <w:kern w:val="22"/>
          <w:szCs w:val="22"/>
          <w:lang w:val="fr-CA"/>
        </w:rPr>
        <w:t>Panama</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noProof/>
          <w:snapToGrid w:val="0"/>
          <w:kern w:val="22"/>
          <w:szCs w:val="22"/>
          <w:lang w:val="fr-CA"/>
        </w:rPr>
      </w:pPr>
      <w:r w:rsidRPr="00533024">
        <w:rPr>
          <w:noProof/>
          <w:snapToGrid w:val="0"/>
          <w:kern w:val="22"/>
          <w:szCs w:val="22"/>
          <w:lang w:val="fr-CA"/>
        </w:rPr>
        <w:t>Pays</w:t>
      </w:r>
      <w:r w:rsidR="00466152">
        <w:rPr>
          <w:noProof/>
          <w:snapToGrid w:val="0"/>
          <w:kern w:val="22"/>
          <w:szCs w:val="22"/>
          <w:lang w:val="fr-CA"/>
        </w:rPr>
        <w:noBreakHyphen/>
      </w:r>
      <w:r w:rsidRPr="00533024">
        <w:rPr>
          <w:noProof/>
          <w:snapToGrid w:val="0"/>
          <w:kern w:val="22"/>
          <w:szCs w:val="22"/>
          <w:lang w:val="fr-CA"/>
        </w:rPr>
        <w:t>Bas</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Pérou</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Philippines</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Pologne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République de Corée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République de Moldova</w:t>
      </w:r>
    </w:p>
    <w:p w:rsidR="00533024" w:rsidRPr="00533024" w:rsidRDefault="00533024" w:rsidP="00D57D7A">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République démocratique du Congo</w:t>
      </w:r>
    </w:p>
    <w:p w:rsidR="00533024" w:rsidRPr="00533024" w:rsidRDefault="00533024" w:rsidP="00533024">
      <w:pPr>
        <w:numPr>
          <w:ilvl w:val="0"/>
          <w:numId w:val="40"/>
        </w:numPr>
        <w:suppressLineNumbers/>
        <w:suppressAutoHyphens/>
        <w:kinsoku w:val="0"/>
        <w:overflowPunct w:val="0"/>
        <w:autoSpaceDE w:val="0"/>
        <w:autoSpaceDN w:val="0"/>
        <w:adjustRightInd w:val="0"/>
        <w:snapToGrid w:val="0"/>
        <w:spacing w:after="120"/>
        <w:jc w:val="left"/>
        <w:rPr>
          <w:noProof/>
          <w:snapToGrid w:val="0"/>
          <w:kern w:val="22"/>
          <w:szCs w:val="22"/>
          <w:lang w:val="fr-CA"/>
        </w:rPr>
      </w:pPr>
      <w:r w:rsidRPr="00533024">
        <w:rPr>
          <w:noProof/>
          <w:snapToGrid w:val="0"/>
          <w:kern w:val="22"/>
          <w:szCs w:val="22"/>
          <w:lang w:val="fr-CA"/>
        </w:rPr>
        <w:lastRenderedPageBreak/>
        <w:t>Royaume</w:t>
      </w:r>
      <w:r w:rsidR="00466152">
        <w:rPr>
          <w:noProof/>
          <w:snapToGrid w:val="0"/>
          <w:kern w:val="22"/>
          <w:szCs w:val="22"/>
          <w:lang w:val="fr-CA"/>
        </w:rPr>
        <w:noBreakHyphen/>
      </w:r>
      <w:r w:rsidRPr="00533024">
        <w:rPr>
          <w:noProof/>
          <w:snapToGrid w:val="0"/>
          <w:kern w:val="22"/>
          <w:szCs w:val="22"/>
          <w:lang w:val="fr-CA"/>
        </w:rPr>
        <w:t>Uni de Grande</w:t>
      </w:r>
      <w:r w:rsidR="00466152">
        <w:rPr>
          <w:noProof/>
          <w:snapToGrid w:val="0"/>
          <w:kern w:val="22"/>
          <w:szCs w:val="22"/>
          <w:lang w:val="fr-CA"/>
        </w:rPr>
        <w:noBreakHyphen/>
      </w:r>
      <w:r w:rsidRPr="00533024">
        <w:rPr>
          <w:noProof/>
          <w:snapToGrid w:val="0"/>
          <w:kern w:val="22"/>
          <w:szCs w:val="22"/>
          <w:lang w:val="fr-CA"/>
        </w:rPr>
        <w:t>Bretagne et d</w:t>
      </w:r>
      <w:r w:rsidR="00466152">
        <w:rPr>
          <w:noProof/>
          <w:snapToGrid w:val="0"/>
          <w:kern w:val="22"/>
          <w:szCs w:val="22"/>
          <w:lang w:val="fr-CA"/>
        </w:rPr>
        <w:t>’</w:t>
      </w:r>
      <w:r w:rsidRPr="00533024">
        <w:rPr>
          <w:noProof/>
          <w:snapToGrid w:val="0"/>
          <w:kern w:val="22"/>
          <w:szCs w:val="22"/>
          <w:lang w:val="fr-CA"/>
        </w:rPr>
        <w:t>Irlande du Nord</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Rwanda</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Serbie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Slovaquie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Slovénie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Soudan</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Soudan du Sud</w:t>
      </w:r>
    </w:p>
    <w:p w:rsidR="00533024" w:rsidRPr="00533024" w:rsidRDefault="00533024" w:rsidP="00533024">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Su</w:t>
      </w:r>
      <w:r>
        <w:rPr>
          <w:snapToGrid w:val="0"/>
          <w:kern w:val="22"/>
          <w:szCs w:val="22"/>
          <w:lang w:val="fr-CA"/>
        </w:rPr>
        <w:t>ède</w:t>
      </w:r>
    </w:p>
    <w:p w:rsidR="00533024" w:rsidRPr="00533024" w:rsidRDefault="00533024" w:rsidP="00533024">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Suisse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Suriname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Swaziland</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Tchéquie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rPr>
          <w:snapToGrid w:val="0"/>
          <w:kern w:val="22"/>
          <w:szCs w:val="22"/>
          <w:lang w:val="fr-CA"/>
        </w:rPr>
      </w:pPr>
      <w:r w:rsidRPr="00533024">
        <w:rPr>
          <w:snapToGrid w:val="0"/>
          <w:kern w:val="22"/>
          <w:szCs w:val="22"/>
          <w:lang w:val="fr-CA"/>
        </w:rPr>
        <w:t>Tunisie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Union européenne</w:t>
      </w:r>
    </w:p>
    <w:p w:rsidR="00533024" w:rsidRPr="00533024" w:rsidRDefault="00533024" w:rsidP="00490BF5">
      <w:pPr>
        <w:numPr>
          <w:ilvl w:val="0"/>
          <w:numId w:val="40"/>
        </w:numPr>
        <w:suppressLineNumbers/>
        <w:suppressAutoHyphens/>
        <w:kinsoku w:val="0"/>
        <w:overflowPunct w:val="0"/>
        <w:autoSpaceDE w:val="0"/>
        <w:autoSpaceDN w:val="0"/>
        <w:adjustRightInd w:val="0"/>
        <w:snapToGrid w:val="0"/>
        <w:spacing w:after="120"/>
        <w:rPr>
          <w:snapToGrid w:val="0"/>
          <w:kern w:val="22"/>
          <w:szCs w:val="22"/>
          <w:lang w:val="fr-CA"/>
        </w:rPr>
      </w:pPr>
      <w:r w:rsidRPr="00533024">
        <w:rPr>
          <w:snapToGrid w:val="0"/>
          <w:kern w:val="22"/>
          <w:szCs w:val="22"/>
          <w:lang w:val="fr-CA"/>
        </w:rPr>
        <w:t>Uruguay</w:t>
      </w:r>
    </w:p>
    <w:p w:rsidR="00533024" w:rsidRPr="00533024" w:rsidRDefault="00533024" w:rsidP="00533024">
      <w:pPr>
        <w:numPr>
          <w:ilvl w:val="0"/>
          <w:numId w:val="40"/>
        </w:numPr>
        <w:suppressLineNumbers/>
        <w:suppressAutoHyphens/>
        <w:kinsoku w:val="0"/>
        <w:overflowPunct w:val="0"/>
        <w:autoSpaceDE w:val="0"/>
        <w:autoSpaceDN w:val="0"/>
        <w:adjustRightInd w:val="0"/>
        <w:snapToGrid w:val="0"/>
        <w:spacing w:after="120"/>
        <w:jc w:val="left"/>
        <w:rPr>
          <w:snapToGrid w:val="0"/>
          <w:kern w:val="22"/>
          <w:szCs w:val="22"/>
          <w:lang w:val="fr-CA"/>
        </w:rPr>
      </w:pPr>
      <w:r w:rsidRPr="00533024">
        <w:rPr>
          <w:snapToGrid w:val="0"/>
          <w:kern w:val="22"/>
          <w:szCs w:val="22"/>
          <w:lang w:val="fr-CA"/>
        </w:rPr>
        <w:t>Venezuela (</w:t>
      </w:r>
      <w:r w:rsidRPr="00533024">
        <w:rPr>
          <w:rStyle w:val="preferred"/>
          <w:lang w:val="fr-CA"/>
        </w:rPr>
        <w:t>République bolivarienne du)</w:t>
      </w:r>
    </w:p>
    <w:p w:rsidR="004A2D2F" w:rsidRPr="007E11CA" w:rsidRDefault="004A2D2F" w:rsidP="00490BF5">
      <w:pPr>
        <w:pStyle w:val="Heading1"/>
        <w:keepNext w:val="0"/>
        <w:suppressLineNumbers/>
        <w:suppressAutoHyphens/>
        <w:kinsoku w:val="0"/>
        <w:overflowPunct w:val="0"/>
        <w:autoSpaceDE w:val="0"/>
        <w:autoSpaceDN w:val="0"/>
        <w:adjustRightInd w:val="0"/>
        <w:snapToGrid w:val="0"/>
        <w:rPr>
          <w:snapToGrid w:val="0"/>
          <w:kern w:val="22"/>
          <w:szCs w:val="22"/>
          <w:lang w:val="fr-CA"/>
        </w:rPr>
        <w:sectPr w:rsidR="004A2D2F" w:rsidRPr="007E11CA" w:rsidSect="00490BF5">
          <w:type w:val="continuous"/>
          <w:pgSz w:w="12240" w:h="15840" w:code="1"/>
          <w:pgMar w:top="1134" w:right="1440" w:bottom="1140" w:left="1440" w:header="454" w:footer="720" w:gutter="0"/>
          <w:cols w:num="3" w:space="720"/>
          <w:titlePg/>
          <w:docGrid w:linePitch="299"/>
        </w:sectPr>
      </w:pPr>
    </w:p>
    <w:p w:rsidR="00855A78" w:rsidRPr="007E11CA" w:rsidRDefault="00855A78" w:rsidP="00490BF5">
      <w:pPr>
        <w:pStyle w:val="Heading1"/>
        <w:keepNext w:val="0"/>
        <w:suppressLineNumbers/>
        <w:suppressAutoHyphens/>
        <w:kinsoku w:val="0"/>
        <w:overflowPunct w:val="0"/>
        <w:autoSpaceDE w:val="0"/>
        <w:autoSpaceDN w:val="0"/>
        <w:adjustRightInd w:val="0"/>
        <w:snapToGrid w:val="0"/>
        <w:spacing w:before="0" w:after="0"/>
        <w:rPr>
          <w:b w:val="0"/>
          <w:i/>
          <w:snapToGrid w:val="0"/>
          <w:kern w:val="22"/>
          <w:szCs w:val="22"/>
          <w:lang w:val="fr-CA"/>
        </w:rPr>
      </w:pPr>
      <w:r w:rsidRPr="007E11CA">
        <w:rPr>
          <w:b w:val="0"/>
          <w:i/>
          <w:snapToGrid w:val="0"/>
          <w:kern w:val="22"/>
          <w:szCs w:val="22"/>
          <w:lang w:val="fr-CA"/>
        </w:rPr>
        <w:lastRenderedPageBreak/>
        <w:t>A</w:t>
      </w:r>
      <w:r w:rsidR="006E604B" w:rsidRPr="007E11CA">
        <w:rPr>
          <w:b w:val="0"/>
          <w:i/>
          <w:caps w:val="0"/>
          <w:snapToGrid w:val="0"/>
          <w:kern w:val="22"/>
          <w:szCs w:val="22"/>
          <w:lang w:val="fr-CA"/>
        </w:rPr>
        <w:t>nne</w:t>
      </w:r>
      <w:r w:rsidR="006E6F88">
        <w:rPr>
          <w:b w:val="0"/>
          <w:i/>
          <w:caps w:val="0"/>
          <w:snapToGrid w:val="0"/>
          <w:kern w:val="22"/>
          <w:szCs w:val="22"/>
          <w:lang w:val="fr-CA"/>
        </w:rPr>
        <w:t>xe </w:t>
      </w:r>
      <w:r w:rsidRPr="007E11CA">
        <w:rPr>
          <w:b w:val="0"/>
          <w:i/>
          <w:snapToGrid w:val="0"/>
          <w:kern w:val="22"/>
          <w:szCs w:val="22"/>
          <w:lang w:val="fr-CA"/>
        </w:rPr>
        <w:t>III</w:t>
      </w:r>
    </w:p>
    <w:p w:rsidR="00855A78" w:rsidRPr="007E11CA" w:rsidRDefault="006E6F88" w:rsidP="00490BF5">
      <w:pPr>
        <w:pStyle w:val="Heading1"/>
        <w:keepNext w:val="0"/>
        <w:suppressLineNumbers/>
        <w:tabs>
          <w:tab w:val="clear" w:pos="720"/>
        </w:tabs>
        <w:suppressAutoHyphens/>
        <w:kinsoku w:val="0"/>
        <w:overflowPunct w:val="0"/>
        <w:autoSpaceDE w:val="0"/>
        <w:autoSpaceDN w:val="0"/>
        <w:adjustRightInd w:val="0"/>
        <w:snapToGrid w:val="0"/>
        <w:spacing w:before="120"/>
        <w:rPr>
          <w:snapToGrid w:val="0"/>
          <w:kern w:val="22"/>
          <w:szCs w:val="22"/>
          <w:lang w:val="fr-CA"/>
        </w:rPr>
      </w:pPr>
      <w:r>
        <w:rPr>
          <w:snapToGrid w:val="0"/>
          <w:kern w:val="22"/>
          <w:szCs w:val="22"/>
          <w:lang w:val="fr-CA"/>
        </w:rPr>
        <w:t>progrès a</w:t>
      </w:r>
      <w:r w:rsidR="003267A0">
        <w:rPr>
          <w:snapToGrid w:val="0"/>
          <w:kern w:val="22"/>
          <w:szCs w:val="22"/>
          <w:lang w:val="fr-CA"/>
        </w:rPr>
        <w:t>ccomplis par les pays biofin</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6"/>
        <w:gridCol w:w="1259"/>
        <w:gridCol w:w="1383"/>
        <w:gridCol w:w="1440"/>
        <w:gridCol w:w="1350"/>
        <w:gridCol w:w="1350"/>
        <w:gridCol w:w="1260"/>
      </w:tblGrid>
      <w:tr w:rsidR="00CF2212" w:rsidRPr="007E11CA" w:rsidTr="00490BF5">
        <w:trPr>
          <w:jc w:val="center"/>
        </w:trPr>
        <w:tc>
          <w:tcPr>
            <w:tcW w:w="1606" w:type="dxa"/>
            <w:tcMar>
              <w:top w:w="43" w:type="dxa"/>
              <w:left w:w="43" w:type="dxa"/>
              <w:bottom w:w="43" w:type="dxa"/>
              <w:right w:w="43" w:type="dxa"/>
            </w:tcMar>
            <w:vAlign w:val="center"/>
            <w:hideMark/>
          </w:tcPr>
          <w:p w:rsidR="00855A78" w:rsidRPr="007E11CA" w:rsidRDefault="006E6F88" w:rsidP="006E6F88">
            <w:pPr>
              <w:suppressLineNumbers/>
              <w:suppressAutoHyphens/>
              <w:kinsoku w:val="0"/>
              <w:overflowPunct w:val="0"/>
              <w:autoSpaceDE w:val="0"/>
              <w:autoSpaceDN w:val="0"/>
              <w:adjustRightInd w:val="0"/>
              <w:snapToGrid w:val="0"/>
              <w:jc w:val="left"/>
              <w:rPr>
                <w:rFonts w:eastAsia="Calibri"/>
                <w:bCs/>
                <w:i/>
                <w:iCs/>
                <w:snapToGrid w:val="0"/>
                <w:kern w:val="22"/>
                <w:szCs w:val="22"/>
                <w:lang w:val="fr-CA"/>
              </w:rPr>
            </w:pPr>
            <w:r>
              <w:rPr>
                <w:bCs/>
                <w:i/>
                <w:iCs/>
                <w:snapToGrid w:val="0"/>
                <w:kern w:val="22"/>
                <w:szCs w:val="22"/>
                <w:lang w:val="fr-CA"/>
              </w:rPr>
              <w:t xml:space="preserve">Pays </w:t>
            </w:r>
            <w:r w:rsidR="00855A78" w:rsidRPr="007E11CA">
              <w:rPr>
                <w:bCs/>
                <w:i/>
                <w:iCs/>
                <w:snapToGrid w:val="0"/>
                <w:kern w:val="22"/>
                <w:szCs w:val="22"/>
                <w:lang w:val="fr-CA"/>
              </w:rPr>
              <w:t>BIOFIN</w:t>
            </w:r>
          </w:p>
        </w:tc>
        <w:tc>
          <w:tcPr>
            <w:tcW w:w="1259" w:type="dxa"/>
            <w:tcMar>
              <w:top w:w="43" w:type="dxa"/>
              <w:left w:w="43" w:type="dxa"/>
              <w:bottom w:w="43" w:type="dxa"/>
              <w:right w:w="43" w:type="dxa"/>
            </w:tcMar>
            <w:vAlign w:val="center"/>
            <w:hideMark/>
          </w:tcPr>
          <w:p w:rsidR="00855A78" w:rsidRPr="007E11CA" w:rsidRDefault="006E6F88" w:rsidP="00490BF5">
            <w:pPr>
              <w:suppressLineNumbers/>
              <w:suppressAutoHyphens/>
              <w:kinsoku w:val="0"/>
              <w:overflowPunct w:val="0"/>
              <w:autoSpaceDE w:val="0"/>
              <w:autoSpaceDN w:val="0"/>
              <w:adjustRightInd w:val="0"/>
              <w:snapToGrid w:val="0"/>
              <w:jc w:val="center"/>
              <w:rPr>
                <w:rFonts w:eastAsia="Calibri"/>
                <w:bCs/>
                <w:i/>
                <w:iCs/>
                <w:snapToGrid w:val="0"/>
                <w:kern w:val="22"/>
                <w:szCs w:val="22"/>
                <w:lang w:val="fr-CA"/>
              </w:rPr>
            </w:pPr>
            <w:r>
              <w:rPr>
                <w:bCs/>
                <w:i/>
                <w:iCs/>
                <w:snapToGrid w:val="0"/>
                <w:kern w:val="22"/>
                <w:szCs w:val="22"/>
                <w:lang w:val="fr-CA"/>
              </w:rPr>
              <w:t>Phase de cadrage</w:t>
            </w:r>
          </w:p>
        </w:tc>
        <w:tc>
          <w:tcPr>
            <w:tcW w:w="1383" w:type="dxa"/>
            <w:tcMar>
              <w:top w:w="43" w:type="dxa"/>
              <w:left w:w="43" w:type="dxa"/>
              <w:bottom w:w="43" w:type="dxa"/>
              <w:right w:w="43" w:type="dxa"/>
            </w:tcMar>
            <w:vAlign w:val="center"/>
            <w:hideMark/>
          </w:tcPr>
          <w:p w:rsidR="00855A78" w:rsidRPr="007E11CA" w:rsidRDefault="006E6F88" w:rsidP="00490BF5">
            <w:pPr>
              <w:suppressLineNumbers/>
              <w:suppressAutoHyphens/>
              <w:kinsoku w:val="0"/>
              <w:overflowPunct w:val="0"/>
              <w:autoSpaceDE w:val="0"/>
              <w:autoSpaceDN w:val="0"/>
              <w:adjustRightInd w:val="0"/>
              <w:snapToGrid w:val="0"/>
              <w:jc w:val="center"/>
              <w:rPr>
                <w:rFonts w:eastAsia="Calibri"/>
                <w:bCs/>
                <w:i/>
                <w:iCs/>
                <w:snapToGrid w:val="0"/>
                <w:kern w:val="22"/>
                <w:szCs w:val="22"/>
                <w:lang w:val="fr-CA"/>
              </w:rPr>
            </w:pPr>
            <w:r>
              <w:rPr>
                <w:bCs/>
                <w:i/>
                <w:iCs/>
                <w:snapToGrid w:val="0"/>
                <w:kern w:val="22"/>
                <w:szCs w:val="22"/>
                <w:lang w:val="fr-CA"/>
              </w:rPr>
              <w:t>Examen institutionnel</w:t>
            </w:r>
          </w:p>
        </w:tc>
        <w:tc>
          <w:tcPr>
            <w:tcW w:w="1440" w:type="dxa"/>
            <w:tcMar>
              <w:top w:w="43" w:type="dxa"/>
              <w:left w:w="43" w:type="dxa"/>
              <w:bottom w:w="43" w:type="dxa"/>
              <w:right w:w="43" w:type="dxa"/>
            </w:tcMar>
            <w:vAlign w:val="center"/>
            <w:hideMark/>
          </w:tcPr>
          <w:p w:rsidR="00855A78" w:rsidRPr="007E11CA" w:rsidRDefault="006E6F88" w:rsidP="00490BF5">
            <w:pPr>
              <w:suppressLineNumbers/>
              <w:suppressAutoHyphens/>
              <w:kinsoku w:val="0"/>
              <w:overflowPunct w:val="0"/>
              <w:autoSpaceDE w:val="0"/>
              <w:autoSpaceDN w:val="0"/>
              <w:adjustRightInd w:val="0"/>
              <w:snapToGrid w:val="0"/>
              <w:jc w:val="center"/>
              <w:rPr>
                <w:rFonts w:eastAsia="Calibri"/>
                <w:bCs/>
                <w:i/>
                <w:iCs/>
                <w:snapToGrid w:val="0"/>
                <w:kern w:val="22"/>
                <w:szCs w:val="22"/>
                <w:lang w:val="fr-CA"/>
              </w:rPr>
            </w:pPr>
            <w:r>
              <w:rPr>
                <w:bCs/>
                <w:i/>
                <w:iCs/>
                <w:snapToGrid w:val="0"/>
                <w:kern w:val="22"/>
                <w:szCs w:val="22"/>
                <w:lang w:val="fr-CA"/>
              </w:rPr>
              <w:t>Examen des dépenses</w:t>
            </w:r>
          </w:p>
        </w:tc>
        <w:tc>
          <w:tcPr>
            <w:tcW w:w="1350" w:type="dxa"/>
            <w:tcMar>
              <w:top w:w="43" w:type="dxa"/>
              <w:left w:w="43" w:type="dxa"/>
              <w:bottom w:w="43" w:type="dxa"/>
              <w:right w:w="43" w:type="dxa"/>
            </w:tcMar>
            <w:vAlign w:val="center"/>
            <w:hideMark/>
          </w:tcPr>
          <w:p w:rsidR="00855A78" w:rsidRPr="007E11CA" w:rsidRDefault="006E6F88" w:rsidP="00490BF5">
            <w:pPr>
              <w:suppressLineNumbers/>
              <w:suppressAutoHyphens/>
              <w:kinsoku w:val="0"/>
              <w:overflowPunct w:val="0"/>
              <w:autoSpaceDE w:val="0"/>
              <w:autoSpaceDN w:val="0"/>
              <w:adjustRightInd w:val="0"/>
              <w:snapToGrid w:val="0"/>
              <w:jc w:val="center"/>
              <w:rPr>
                <w:rFonts w:eastAsia="Calibri"/>
                <w:bCs/>
                <w:i/>
                <w:iCs/>
                <w:snapToGrid w:val="0"/>
                <w:kern w:val="22"/>
                <w:szCs w:val="22"/>
                <w:lang w:val="fr-CA"/>
              </w:rPr>
            </w:pPr>
            <w:r>
              <w:rPr>
                <w:bCs/>
                <w:i/>
                <w:iCs/>
                <w:snapToGrid w:val="0"/>
                <w:kern w:val="22"/>
                <w:szCs w:val="22"/>
                <w:lang w:val="fr-CA"/>
              </w:rPr>
              <w:t>Besoins et déficits de financement</w:t>
            </w:r>
          </w:p>
        </w:tc>
        <w:tc>
          <w:tcPr>
            <w:tcW w:w="1350" w:type="dxa"/>
            <w:tcMar>
              <w:top w:w="43" w:type="dxa"/>
              <w:left w:w="43" w:type="dxa"/>
              <w:bottom w:w="43" w:type="dxa"/>
              <w:right w:w="43" w:type="dxa"/>
            </w:tcMar>
            <w:vAlign w:val="center"/>
            <w:hideMark/>
          </w:tcPr>
          <w:p w:rsidR="00855A78" w:rsidRPr="007E11CA" w:rsidRDefault="00053CFE" w:rsidP="00490BF5">
            <w:pPr>
              <w:suppressLineNumbers/>
              <w:suppressAutoHyphens/>
              <w:kinsoku w:val="0"/>
              <w:overflowPunct w:val="0"/>
              <w:autoSpaceDE w:val="0"/>
              <w:autoSpaceDN w:val="0"/>
              <w:adjustRightInd w:val="0"/>
              <w:snapToGrid w:val="0"/>
              <w:jc w:val="center"/>
              <w:rPr>
                <w:rFonts w:eastAsia="Calibri"/>
                <w:bCs/>
                <w:i/>
                <w:iCs/>
                <w:snapToGrid w:val="0"/>
                <w:kern w:val="22"/>
                <w:szCs w:val="22"/>
                <w:lang w:val="fr-CA"/>
              </w:rPr>
            </w:pPr>
            <w:r>
              <w:rPr>
                <w:bCs/>
                <w:i/>
                <w:iCs/>
                <w:snapToGrid w:val="0"/>
                <w:kern w:val="22"/>
                <w:szCs w:val="22"/>
                <w:lang w:val="fr-CA"/>
              </w:rPr>
              <w:t>Plan de financement</w:t>
            </w:r>
          </w:p>
        </w:tc>
        <w:tc>
          <w:tcPr>
            <w:tcW w:w="1260" w:type="dxa"/>
            <w:shd w:val="clear" w:color="auto" w:fill="FFFFFF"/>
            <w:tcMar>
              <w:top w:w="43" w:type="dxa"/>
              <w:left w:w="43" w:type="dxa"/>
              <w:bottom w:w="43" w:type="dxa"/>
              <w:right w:w="43" w:type="dxa"/>
            </w:tcMar>
            <w:vAlign w:val="center"/>
          </w:tcPr>
          <w:p w:rsidR="00855A78" w:rsidRPr="007E11CA" w:rsidRDefault="00053CFE" w:rsidP="00053CFE">
            <w:pPr>
              <w:suppressLineNumbers/>
              <w:suppressAutoHyphens/>
              <w:kinsoku w:val="0"/>
              <w:overflowPunct w:val="0"/>
              <w:autoSpaceDE w:val="0"/>
              <w:autoSpaceDN w:val="0"/>
              <w:adjustRightInd w:val="0"/>
              <w:snapToGrid w:val="0"/>
              <w:jc w:val="center"/>
              <w:rPr>
                <w:bCs/>
                <w:i/>
                <w:iCs/>
                <w:snapToGrid w:val="0"/>
                <w:kern w:val="22"/>
                <w:szCs w:val="22"/>
                <w:lang w:val="fr-CA"/>
              </w:rPr>
            </w:pPr>
            <w:r>
              <w:rPr>
                <w:bCs/>
                <w:i/>
                <w:iCs/>
                <w:snapToGrid w:val="0"/>
                <w:kern w:val="22"/>
                <w:szCs w:val="22"/>
                <w:lang w:val="fr-CA"/>
              </w:rPr>
              <w:t>CDB</w:t>
            </w:r>
            <w:r w:rsidR="00855A78" w:rsidRPr="007E11CA">
              <w:rPr>
                <w:bCs/>
                <w:i/>
                <w:iCs/>
                <w:snapToGrid w:val="0"/>
                <w:kern w:val="22"/>
                <w:szCs w:val="22"/>
                <w:lang w:val="fr-CA"/>
              </w:rPr>
              <w:t xml:space="preserve"> </w:t>
            </w:r>
            <w:r>
              <w:rPr>
                <w:bCs/>
                <w:i/>
                <w:iCs/>
                <w:snapToGrid w:val="0"/>
                <w:kern w:val="22"/>
                <w:szCs w:val="22"/>
                <w:lang w:val="fr-CA"/>
              </w:rPr>
              <w:t>Rapports financiers</w:t>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Afrique du Sud</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440"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350"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350"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50"/>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sidRPr="007E11CA">
              <w:rPr>
                <w:snapToGrid w:val="0"/>
                <w:kern w:val="22"/>
                <w:szCs w:val="22"/>
                <w:lang w:val="fr-CA"/>
              </w:rPr>
              <w:t>Belize</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44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4F"/>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sidRPr="007E11CA">
              <w:rPr>
                <w:snapToGrid w:val="0"/>
                <w:kern w:val="22"/>
                <w:szCs w:val="22"/>
                <w:lang w:val="fr-CA"/>
              </w:rPr>
              <w:t>Bh</w:t>
            </w:r>
            <w:r>
              <w:rPr>
                <w:snapToGrid w:val="0"/>
                <w:kern w:val="22"/>
                <w:szCs w:val="22"/>
                <w:lang w:val="fr-CA"/>
              </w:rPr>
              <w:t>o</w:t>
            </w:r>
            <w:r w:rsidRPr="007E11CA">
              <w:rPr>
                <w:snapToGrid w:val="0"/>
                <w:kern w:val="22"/>
                <w:szCs w:val="22"/>
                <w:lang w:val="fr-CA"/>
              </w:rPr>
              <w:t>utan</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44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50"/>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sidRPr="007E11CA">
              <w:rPr>
                <w:snapToGrid w:val="0"/>
                <w:kern w:val="22"/>
                <w:szCs w:val="22"/>
                <w:lang w:val="fr-CA"/>
              </w:rPr>
              <w:t>Botswana</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44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4F"/>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sidRPr="007E11CA">
              <w:rPr>
                <w:snapToGrid w:val="0"/>
                <w:kern w:val="22"/>
                <w:szCs w:val="22"/>
                <w:lang w:val="fr-CA"/>
              </w:rPr>
              <w:t>Br</w:t>
            </w:r>
            <w:r>
              <w:rPr>
                <w:snapToGrid w:val="0"/>
                <w:kern w:val="22"/>
                <w:szCs w:val="22"/>
                <w:lang w:val="fr-CA"/>
              </w:rPr>
              <w:t>ésil</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44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4F"/>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sidRPr="007E11CA">
              <w:rPr>
                <w:snapToGrid w:val="0"/>
                <w:kern w:val="22"/>
                <w:szCs w:val="22"/>
                <w:lang w:val="fr-CA"/>
              </w:rPr>
              <w:t>Cambod</w:t>
            </w:r>
            <w:r>
              <w:rPr>
                <w:snapToGrid w:val="0"/>
                <w:kern w:val="22"/>
                <w:szCs w:val="22"/>
                <w:lang w:val="fr-CA"/>
              </w:rPr>
              <w:t>ge</w:t>
            </w:r>
          </w:p>
        </w:tc>
        <w:tc>
          <w:tcPr>
            <w:tcW w:w="1259"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Entamé</w:t>
            </w:r>
          </w:p>
        </w:tc>
        <w:tc>
          <w:tcPr>
            <w:tcW w:w="1383"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À démarrer</w:t>
            </w:r>
          </w:p>
        </w:tc>
        <w:tc>
          <w:tcPr>
            <w:tcW w:w="144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À démarrer</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À démarrer</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À démarrer</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4F"/>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sidRPr="007E11CA">
              <w:rPr>
                <w:snapToGrid w:val="0"/>
                <w:kern w:val="22"/>
                <w:szCs w:val="22"/>
                <w:lang w:val="fr-CA"/>
              </w:rPr>
              <w:t>Chil</w:t>
            </w:r>
            <w:r>
              <w:rPr>
                <w:snapToGrid w:val="0"/>
                <w:kern w:val="22"/>
                <w:szCs w:val="22"/>
                <w:lang w:val="fr-CA"/>
              </w:rPr>
              <w:t>i</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440"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350"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50"/>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sidRPr="007E11CA">
              <w:rPr>
                <w:snapToGrid w:val="0"/>
                <w:kern w:val="22"/>
                <w:szCs w:val="22"/>
                <w:lang w:val="fr-CA"/>
              </w:rPr>
              <w:t>Colombi</w:t>
            </w:r>
            <w:r>
              <w:rPr>
                <w:snapToGrid w:val="0"/>
                <w:kern w:val="22"/>
                <w:szCs w:val="22"/>
                <w:lang w:val="fr-CA"/>
              </w:rPr>
              <w:t>e</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440"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350"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50"/>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sidRPr="007E11CA">
              <w:rPr>
                <w:snapToGrid w:val="0"/>
                <w:kern w:val="22"/>
                <w:szCs w:val="22"/>
                <w:lang w:val="fr-CA"/>
              </w:rPr>
              <w:t>C</w:t>
            </w:r>
            <w:r>
              <w:rPr>
                <w:snapToGrid w:val="0"/>
                <w:kern w:val="22"/>
                <w:szCs w:val="22"/>
                <w:lang w:val="fr-CA"/>
              </w:rPr>
              <w:t>osta </w:t>
            </w:r>
            <w:r w:rsidRPr="007E11CA">
              <w:rPr>
                <w:snapToGrid w:val="0"/>
                <w:kern w:val="22"/>
                <w:szCs w:val="22"/>
                <w:lang w:val="fr-CA"/>
              </w:rPr>
              <w:t>Rica</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440"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350"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350"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50"/>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sidRPr="007E11CA">
              <w:rPr>
                <w:snapToGrid w:val="0"/>
                <w:kern w:val="22"/>
                <w:szCs w:val="22"/>
                <w:lang w:val="fr-CA"/>
              </w:rPr>
              <w:t>Cuba</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44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50"/>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Équateur</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440"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350"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350"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50"/>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sidRPr="007E11CA">
              <w:rPr>
                <w:snapToGrid w:val="0"/>
                <w:kern w:val="22"/>
                <w:szCs w:val="22"/>
                <w:lang w:val="fr-CA"/>
              </w:rPr>
              <w:t>Fi</w:t>
            </w:r>
            <w:r>
              <w:rPr>
                <w:snapToGrid w:val="0"/>
                <w:kern w:val="22"/>
                <w:szCs w:val="22"/>
                <w:lang w:val="fr-CA"/>
              </w:rPr>
              <w:t>d</w:t>
            </w:r>
            <w:r w:rsidRPr="007E11CA">
              <w:rPr>
                <w:snapToGrid w:val="0"/>
                <w:kern w:val="22"/>
                <w:szCs w:val="22"/>
                <w:lang w:val="fr-CA"/>
              </w:rPr>
              <w:t>ji</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440"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4F"/>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Gé</w:t>
            </w:r>
            <w:r w:rsidRPr="007E11CA">
              <w:rPr>
                <w:snapToGrid w:val="0"/>
                <w:kern w:val="22"/>
                <w:szCs w:val="22"/>
                <w:lang w:val="fr-CA"/>
              </w:rPr>
              <w:t>orgi</w:t>
            </w:r>
            <w:r>
              <w:rPr>
                <w:snapToGrid w:val="0"/>
                <w:kern w:val="22"/>
                <w:szCs w:val="22"/>
                <w:lang w:val="fr-CA"/>
              </w:rPr>
              <w:t>e</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44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50"/>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sidRPr="007E11CA">
              <w:rPr>
                <w:snapToGrid w:val="0"/>
                <w:kern w:val="22"/>
                <w:szCs w:val="22"/>
                <w:lang w:val="fr-CA"/>
              </w:rPr>
              <w:t>Guatemala</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440"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350"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350"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4F"/>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sidRPr="007E11CA">
              <w:rPr>
                <w:snapToGrid w:val="0"/>
                <w:kern w:val="22"/>
                <w:szCs w:val="22"/>
                <w:lang w:val="fr-CA"/>
              </w:rPr>
              <w:t>Ind</w:t>
            </w:r>
            <w:r>
              <w:rPr>
                <w:snapToGrid w:val="0"/>
                <w:kern w:val="22"/>
                <w:szCs w:val="22"/>
                <w:lang w:val="fr-CA"/>
              </w:rPr>
              <w:t>e</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44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50"/>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Indoné</w:t>
            </w:r>
            <w:r w:rsidRPr="007E11CA">
              <w:rPr>
                <w:snapToGrid w:val="0"/>
                <w:kern w:val="22"/>
                <w:szCs w:val="22"/>
                <w:lang w:val="fr-CA"/>
              </w:rPr>
              <w:t>si</w:t>
            </w:r>
            <w:r>
              <w:rPr>
                <w:snapToGrid w:val="0"/>
                <w:kern w:val="22"/>
                <w:szCs w:val="22"/>
                <w:lang w:val="fr-CA"/>
              </w:rPr>
              <w:t>e</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44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4F"/>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sidRPr="007E11CA">
              <w:rPr>
                <w:snapToGrid w:val="0"/>
                <w:kern w:val="22"/>
                <w:szCs w:val="22"/>
                <w:lang w:val="fr-CA"/>
              </w:rPr>
              <w:t>Kazakhstan</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440"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350"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4F"/>
            </w:r>
          </w:p>
        </w:tc>
      </w:tr>
      <w:tr w:rsidR="00651B73" w:rsidRPr="007E11CA" w:rsidTr="00490BF5">
        <w:trPr>
          <w:jc w:val="center"/>
        </w:trPr>
        <w:tc>
          <w:tcPr>
            <w:tcW w:w="1606" w:type="dxa"/>
            <w:tcMar>
              <w:top w:w="43" w:type="dxa"/>
              <w:left w:w="43" w:type="dxa"/>
              <w:bottom w:w="43" w:type="dxa"/>
              <w:right w:w="43" w:type="dxa"/>
            </w:tcMar>
            <w:hideMark/>
          </w:tcPr>
          <w:p w:rsidR="00651B73" w:rsidRPr="003267A0"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rStyle w:val="preferred"/>
                <w:lang w:val="fr-CA"/>
              </w:rPr>
              <w:t>Kirghizistan</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44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4F"/>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sidRPr="007E11CA">
              <w:rPr>
                <w:snapToGrid w:val="0"/>
                <w:kern w:val="22"/>
                <w:szCs w:val="22"/>
                <w:lang w:val="fr-CA"/>
              </w:rPr>
              <w:t>Mala</w:t>
            </w:r>
            <w:r>
              <w:rPr>
                <w:snapToGrid w:val="0"/>
                <w:kern w:val="22"/>
                <w:szCs w:val="22"/>
                <w:lang w:val="fr-CA"/>
              </w:rPr>
              <w:t>isie</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r w:rsidRPr="007E11CA">
              <w:rPr>
                <w:snapToGrid w:val="0"/>
                <w:kern w:val="22"/>
                <w:szCs w:val="22"/>
                <w:lang w:val="fr-CA"/>
              </w:rPr>
              <w:t xml:space="preserve"> </w:t>
            </w:r>
          </w:p>
        </w:tc>
        <w:tc>
          <w:tcPr>
            <w:tcW w:w="144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4F"/>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sidRPr="007E11CA">
              <w:rPr>
                <w:snapToGrid w:val="0"/>
                <w:kern w:val="22"/>
                <w:szCs w:val="22"/>
                <w:lang w:val="fr-CA"/>
              </w:rPr>
              <w:t>Mexi</w:t>
            </w:r>
            <w:r>
              <w:rPr>
                <w:snapToGrid w:val="0"/>
                <w:kern w:val="22"/>
                <w:szCs w:val="22"/>
                <w:lang w:val="fr-CA"/>
              </w:rPr>
              <w:t>que</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440"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50"/>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sidRPr="007E11CA">
              <w:rPr>
                <w:snapToGrid w:val="0"/>
                <w:kern w:val="22"/>
                <w:szCs w:val="22"/>
                <w:lang w:val="fr-CA"/>
              </w:rPr>
              <w:t>Mongoli</w:t>
            </w:r>
            <w:r>
              <w:rPr>
                <w:snapToGrid w:val="0"/>
                <w:kern w:val="22"/>
                <w:szCs w:val="22"/>
                <w:lang w:val="fr-CA"/>
              </w:rPr>
              <w:t>e</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44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4F"/>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sidRPr="007E11CA">
              <w:rPr>
                <w:snapToGrid w:val="0"/>
                <w:kern w:val="22"/>
                <w:szCs w:val="22"/>
                <w:lang w:val="fr-CA"/>
              </w:rPr>
              <w:t>Mozambique</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44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50"/>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Ou</w:t>
            </w:r>
            <w:r w:rsidRPr="007E11CA">
              <w:rPr>
                <w:snapToGrid w:val="0"/>
                <w:kern w:val="22"/>
                <w:szCs w:val="22"/>
                <w:lang w:val="fr-CA"/>
              </w:rPr>
              <w:t>ganda</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440"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50"/>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sidRPr="007E11CA">
              <w:rPr>
                <w:snapToGrid w:val="0"/>
                <w:kern w:val="22"/>
                <w:szCs w:val="22"/>
                <w:lang w:val="fr-CA"/>
              </w:rPr>
              <w:t>P</w:t>
            </w:r>
            <w:r>
              <w:rPr>
                <w:snapToGrid w:val="0"/>
                <w:kern w:val="22"/>
                <w:szCs w:val="22"/>
                <w:lang w:val="fr-CA"/>
              </w:rPr>
              <w:t>érou</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 xml:space="preserve">Ébauche </w:t>
            </w:r>
            <w:r>
              <w:rPr>
                <w:snapToGrid w:val="0"/>
                <w:kern w:val="22"/>
                <w:szCs w:val="22"/>
                <w:lang w:val="fr-CA"/>
              </w:rPr>
              <w:lastRenderedPageBreak/>
              <w:t>définitive</w:t>
            </w:r>
          </w:p>
        </w:tc>
        <w:tc>
          <w:tcPr>
            <w:tcW w:w="144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lastRenderedPageBreak/>
              <w:t>En cours</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50"/>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sidRPr="007E11CA">
              <w:rPr>
                <w:snapToGrid w:val="0"/>
                <w:kern w:val="22"/>
                <w:szCs w:val="22"/>
                <w:lang w:val="fr-CA"/>
              </w:rPr>
              <w:lastRenderedPageBreak/>
              <w:t>Philippines</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44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50"/>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sidRPr="007E11CA">
              <w:rPr>
                <w:snapToGrid w:val="0"/>
                <w:kern w:val="22"/>
                <w:szCs w:val="22"/>
                <w:lang w:val="fr-CA"/>
              </w:rPr>
              <w:t>Rwanda</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440"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50"/>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sidRPr="007E11CA">
              <w:rPr>
                <w:snapToGrid w:val="0"/>
                <w:kern w:val="22"/>
                <w:szCs w:val="22"/>
                <w:lang w:val="fr-CA"/>
              </w:rPr>
              <w:t>Seychelles</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440"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350"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4F"/>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Sri </w:t>
            </w:r>
            <w:r w:rsidRPr="007E11CA">
              <w:rPr>
                <w:snapToGrid w:val="0"/>
                <w:kern w:val="22"/>
                <w:szCs w:val="22"/>
                <w:lang w:val="fr-CA"/>
              </w:rPr>
              <w:t>Lanka</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44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4F"/>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Thaï</w:t>
            </w:r>
            <w:r w:rsidRPr="007E11CA">
              <w:rPr>
                <w:snapToGrid w:val="0"/>
                <w:kern w:val="22"/>
                <w:szCs w:val="22"/>
                <w:lang w:val="fr-CA"/>
              </w:rPr>
              <w:t>land</w:t>
            </w:r>
            <w:r>
              <w:rPr>
                <w:snapToGrid w:val="0"/>
                <w:kern w:val="22"/>
                <w:szCs w:val="22"/>
                <w:lang w:val="fr-CA"/>
              </w:rPr>
              <w:t>e</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440"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Rapport final</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4F"/>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sidRPr="007E11CA">
              <w:rPr>
                <w:snapToGrid w:val="0"/>
                <w:kern w:val="22"/>
                <w:szCs w:val="22"/>
                <w:lang w:val="fr-CA"/>
              </w:rPr>
              <w:t>Viet</w:t>
            </w:r>
            <w:r>
              <w:rPr>
                <w:snapToGrid w:val="0"/>
                <w:kern w:val="22"/>
                <w:szCs w:val="22"/>
                <w:lang w:val="fr-CA"/>
              </w:rPr>
              <w:t> </w:t>
            </w:r>
            <w:r w:rsidRPr="007E11CA">
              <w:rPr>
                <w:snapToGrid w:val="0"/>
                <w:kern w:val="22"/>
                <w:szCs w:val="22"/>
                <w:lang w:val="fr-CA"/>
              </w:rPr>
              <w:t>Nam</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44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4F"/>
            </w:r>
          </w:p>
        </w:tc>
      </w:tr>
      <w:tr w:rsidR="00651B73" w:rsidRPr="007E11CA" w:rsidTr="00490BF5">
        <w:trPr>
          <w:jc w:val="center"/>
        </w:trPr>
        <w:tc>
          <w:tcPr>
            <w:tcW w:w="1606"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sidRPr="007E11CA">
              <w:rPr>
                <w:snapToGrid w:val="0"/>
                <w:kern w:val="22"/>
                <w:szCs w:val="22"/>
                <w:lang w:val="fr-CA"/>
              </w:rPr>
              <w:t>Zambi</w:t>
            </w:r>
            <w:r>
              <w:rPr>
                <w:snapToGrid w:val="0"/>
                <w:kern w:val="22"/>
                <w:szCs w:val="22"/>
                <w:lang w:val="fr-CA"/>
              </w:rPr>
              <w:t>e</w:t>
            </w:r>
          </w:p>
        </w:tc>
        <w:tc>
          <w:tcPr>
            <w:tcW w:w="1259" w:type="dxa"/>
            <w:shd w:val="pct5" w:color="auto" w:fill="auto"/>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Finalisée</w:t>
            </w:r>
          </w:p>
        </w:tc>
        <w:tc>
          <w:tcPr>
            <w:tcW w:w="1383"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44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Ébauche définitive</w:t>
            </w:r>
          </w:p>
        </w:tc>
        <w:tc>
          <w:tcPr>
            <w:tcW w:w="1350" w:type="dxa"/>
            <w:tcMar>
              <w:top w:w="43" w:type="dxa"/>
              <w:left w:w="43" w:type="dxa"/>
              <w:bottom w:w="43" w:type="dxa"/>
              <w:right w:w="43" w:type="dxa"/>
            </w:tcMar>
            <w:hideMark/>
          </w:tcPr>
          <w:p w:rsidR="00651B73" w:rsidRPr="007E11CA" w:rsidRDefault="00651B73" w:rsidP="00490BF5">
            <w:pPr>
              <w:suppressLineNumbers/>
              <w:suppressAutoHyphens/>
              <w:kinsoku w:val="0"/>
              <w:overflowPunct w:val="0"/>
              <w:autoSpaceDE w:val="0"/>
              <w:autoSpaceDN w:val="0"/>
              <w:adjustRightInd w:val="0"/>
              <w:snapToGrid w:val="0"/>
              <w:rPr>
                <w:rFonts w:eastAsia="Calibri"/>
                <w:snapToGrid w:val="0"/>
                <w:kern w:val="22"/>
                <w:szCs w:val="22"/>
                <w:lang w:val="fr-CA"/>
              </w:rPr>
            </w:pPr>
            <w:r>
              <w:rPr>
                <w:snapToGrid w:val="0"/>
                <w:kern w:val="22"/>
                <w:szCs w:val="22"/>
                <w:lang w:val="fr-CA"/>
              </w:rPr>
              <w:t>En cours</w:t>
            </w:r>
          </w:p>
        </w:tc>
        <w:tc>
          <w:tcPr>
            <w:tcW w:w="1260" w:type="dxa"/>
            <w:shd w:val="clear" w:color="auto" w:fill="FFFFFF"/>
            <w:tcMar>
              <w:top w:w="43" w:type="dxa"/>
              <w:left w:w="43" w:type="dxa"/>
              <w:bottom w:w="43" w:type="dxa"/>
              <w:right w:w="43" w:type="dxa"/>
            </w:tcMar>
          </w:tcPr>
          <w:p w:rsidR="00651B73" w:rsidRPr="007E11CA" w:rsidRDefault="00651B73" w:rsidP="00490BF5">
            <w:pPr>
              <w:suppressLineNumbers/>
              <w:suppressAutoHyphens/>
              <w:kinsoku w:val="0"/>
              <w:overflowPunct w:val="0"/>
              <w:autoSpaceDE w:val="0"/>
              <w:autoSpaceDN w:val="0"/>
              <w:adjustRightInd w:val="0"/>
              <w:snapToGrid w:val="0"/>
              <w:jc w:val="center"/>
              <w:rPr>
                <w:snapToGrid w:val="0"/>
                <w:kern w:val="22"/>
                <w:szCs w:val="22"/>
                <w:lang w:val="fr-CA"/>
              </w:rPr>
            </w:pPr>
            <w:r w:rsidRPr="007E11CA">
              <w:rPr>
                <w:snapToGrid w:val="0"/>
                <w:kern w:val="22"/>
                <w:szCs w:val="22"/>
                <w:lang w:val="fr-CA"/>
              </w:rPr>
              <w:sym w:font="Wingdings 2" w:char="F04F"/>
            </w:r>
          </w:p>
        </w:tc>
      </w:tr>
    </w:tbl>
    <w:p w:rsidR="00795DD1" w:rsidRPr="007E11CA" w:rsidRDefault="00795DD1" w:rsidP="00490BF5">
      <w:pPr>
        <w:jc w:val="left"/>
        <w:rPr>
          <w:snapToGrid w:val="0"/>
          <w:kern w:val="22"/>
          <w:szCs w:val="22"/>
          <w:lang w:val="fr-CA"/>
        </w:rPr>
      </w:pPr>
    </w:p>
    <w:p w:rsidR="00227B47" w:rsidRPr="007E11CA" w:rsidRDefault="00227B47" w:rsidP="00490BF5">
      <w:pPr>
        <w:jc w:val="left"/>
        <w:rPr>
          <w:snapToGrid w:val="0"/>
          <w:kern w:val="22"/>
          <w:szCs w:val="22"/>
          <w:lang w:val="fr-CA"/>
        </w:rPr>
      </w:pPr>
    </w:p>
    <w:p w:rsidR="00227B47" w:rsidRPr="007E11CA" w:rsidRDefault="00227B47" w:rsidP="00490BF5">
      <w:pPr>
        <w:jc w:val="left"/>
        <w:rPr>
          <w:snapToGrid w:val="0"/>
          <w:kern w:val="22"/>
          <w:szCs w:val="22"/>
          <w:lang w:val="fr-CA"/>
        </w:rPr>
      </w:pPr>
    </w:p>
    <w:p w:rsidR="00227B47" w:rsidRPr="007E11CA" w:rsidRDefault="00227B47" w:rsidP="00490BF5">
      <w:pPr>
        <w:jc w:val="left"/>
        <w:rPr>
          <w:b/>
          <w:caps/>
          <w:snapToGrid w:val="0"/>
          <w:kern w:val="22"/>
          <w:szCs w:val="22"/>
          <w:lang w:val="fr-CA"/>
        </w:rPr>
        <w:sectPr w:rsidR="00227B47" w:rsidRPr="007E11CA" w:rsidSect="00227B47">
          <w:pgSz w:w="12240" w:h="15840" w:code="1"/>
          <w:pgMar w:top="1138" w:right="1440" w:bottom="1138" w:left="1440" w:header="461" w:footer="720" w:gutter="0"/>
          <w:cols w:space="720"/>
          <w:docGrid w:linePitch="299"/>
        </w:sectPr>
      </w:pPr>
    </w:p>
    <w:p w:rsidR="0002739A" w:rsidRPr="007E11CA" w:rsidRDefault="00651B73" w:rsidP="00490BF5">
      <w:pPr>
        <w:jc w:val="center"/>
        <w:rPr>
          <w:bCs/>
          <w:i/>
          <w:iCs/>
          <w:snapToGrid w:val="0"/>
          <w:kern w:val="22"/>
          <w:szCs w:val="22"/>
          <w:lang w:val="fr-CA"/>
        </w:rPr>
      </w:pPr>
      <w:r>
        <w:rPr>
          <w:bCs/>
          <w:i/>
          <w:iCs/>
          <w:snapToGrid w:val="0"/>
          <w:kern w:val="22"/>
          <w:szCs w:val="22"/>
          <w:lang w:val="fr-CA"/>
        </w:rPr>
        <w:lastRenderedPageBreak/>
        <w:t>Annexe </w:t>
      </w:r>
      <w:r w:rsidR="0002739A" w:rsidRPr="007E11CA">
        <w:rPr>
          <w:bCs/>
          <w:i/>
          <w:iCs/>
          <w:snapToGrid w:val="0"/>
          <w:kern w:val="22"/>
          <w:szCs w:val="22"/>
          <w:lang w:val="fr-CA"/>
        </w:rPr>
        <w:t>IV</w:t>
      </w:r>
    </w:p>
    <w:p w:rsidR="00384F6F" w:rsidRPr="007E11CA" w:rsidRDefault="00294907" w:rsidP="006B3F7D">
      <w:pPr>
        <w:spacing w:before="40" w:after="40"/>
        <w:jc w:val="center"/>
        <w:rPr>
          <w:bCs/>
          <w:snapToGrid w:val="0"/>
          <w:kern w:val="22"/>
          <w:szCs w:val="22"/>
          <w:lang w:val="fr-CA"/>
        </w:rPr>
      </w:pPr>
      <w:r>
        <w:rPr>
          <w:b/>
          <w:snapToGrid w:val="0"/>
          <w:kern w:val="22"/>
          <w:szCs w:val="22"/>
          <w:lang w:val="fr-CA"/>
        </w:rPr>
        <w:t>QUOTIENTS NATIONAUX (FLUX INTERNATIONAUX ANNUELS PRÉSENTÉS DIVISÉS PAR LE NIVEAU DE RÉFÉRENCE PRÉSENTÉ)</w:t>
      </w:r>
    </w:p>
    <w:tbl>
      <w:tblPr>
        <w:tblpPr w:leftFromText="180" w:rightFromText="180" w:vertAnchor="text" w:tblpXSpec="center" w:tblpY="1"/>
        <w:tblOverlap w:val="never"/>
        <w:tblW w:w="5400" w:type="pct"/>
        <w:jc w:val="center"/>
        <w:tblLayout w:type="fixed"/>
        <w:tblLook w:val="04A0" w:firstRow="1" w:lastRow="0" w:firstColumn="1" w:lastColumn="0" w:noHBand="0" w:noVBand="1"/>
      </w:tblPr>
      <w:tblGrid>
        <w:gridCol w:w="1372"/>
        <w:gridCol w:w="1135"/>
        <w:gridCol w:w="1135"/>
        <w:gridCol w:w="1135"/>
        <w:gridCol w:w="1135"/>
        <w:gridCol w:w="1135"/>
        <w:gridCol w:w="1135"/>
        <w:gridCol w:w="1135"/>
        <w:gridCol w:w="1135"/>
      </w:tblGrid>
      <w:tr w:rsidR="00384F6F" w:rsidRPr="00665C19" w:rsidTr="008A502D">
        <w:trPr>
          <w:trHeight w:val="1825"/>
          <w:jc w:val="center"/>
        </w:trPr>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4F6F" w:rsidRPr="007E11CA" w:rsidRDefault="00651B73" w:rsidP="00C420BD">
            <w:pPr>
              <w:suppressLineNumbers/>
              <w:suppressAutoHyphens/>
              <w:kinsoku w:val="0"/>
              <w:overflowPunct w:val="0"/>
              <w:autoSpaceDE w:val="0"/>
              <w:autoSpaceDN w:val="0"/>
              <w:adjustRightInd w:val="0"/>
              <w:snapToGrid w:val="0"/>
              <w:jc w:val="center"/>
              <w:rPr>
                <w:bCs/>
                <w:i/>
                <w:iCs/>
                <w:snapToGrid w:val="0"/>
                <w:kern w:val="22"/>
                <w:szCs w:val="22"/>
                <w:lang w:val="fr-CA"/>
              </w:rPr>
            </w:pPr>
            <w:r>
              <w:rPr>
                <w:bCs/>
                <w:i/>
                <w:iCs/>
                <w:snapToGrid w:val="0"/>
                <w:kern w:val="22"/>
                <w:szCs w:val="22"/>
                <w:lang w:val="fr-CA"/>
              </w:rPr>
              <w:t>Pays déclarants</w:t>
            </w:r>
          </w:p>
        </w:tc>
        <w:tc>
          <w:tcPr>
            <w:tcW w:w="1135" w:type="dxa"/>
            <w:tcBorders>
              <w:top w:val="single" w:sz="4" w:space="0" w:color="auto"/>
              <w:left w:val="nil"/>
              <w:bottom w:val="single" w:sz="4" w:space="0" w:color="auto"/>
              <w:right w:val="single" w:sz="4" w:space="0" w:color="auto"/>
            </w:tcBorders>
            <w:shd w:val="clear" w:color="000000" w:fill="auto"/>
          </w:tcPr>
          <w:p w:rsidR="00384F6F" w:rsidRPr="007E11CA" w:rsidRDefault="00E20CFE" w:rsidP="00294907">
            <w:pPr>
              <w:suppressLineNumbers/>
              <w:suppressAutoHyphens/>
              <w:kinsoku w:val="0"/>
              <w:overflowPunct w:val="0"/>
              <w:autoSpaceDE w:val="0"/>
              <w:autoSpaceDN w:val="0"/>
              <w:adjustRightInd w:val="0"/>
              <w:snapToGrid w:val="0"/>
              <w:jc w:val="center"/>
              <w:rPr>
                <w:bCs/>
                <w:i/>
                <w:iCs/>
                <w:snapToGrid w:val="0"/>
                <w:spacing w:val="-18"/>
                <w:kern w:val="22"/>
                <w:szCs w:val="22"/>
                <w:lang w:val="fr-CA"/>
              </w:rPr>
            </w:pPr>
            <w:r>
              <w:rPr>
                <w:bCs/>
                <w:i/>
                <w:iCs/>
                <w:snapToGrid w:val="0"/>
                <w:spacing w:val="-18"/>
                <w:kern w:val="22"/>
                <w:szCs w:val="22"/>
                <w:lang w:val="fr-CA"/>
              </w:rPr>
              <w:t xml:space="preserve">Données de référence présentées </w:t>
            </w:r>
            <w:r w:rsidR="00384F6F" w:rsidRPr="007E11CA">
              <w:rPr>
                <w:bCs/>
                <w:i/>
                <w:iCs/>
                <w:snapToGrid w:val="0"/>
                <w:spacing w:val="-18"/>
                <w:kern w:val="22"/>
                <w:szCs w:val="22"/>
                <w:lang w:val="fr-CA"/>
              </w:rPr>
              <w:t>(</w:t>
            </w:r>
            <w:r w:rsidR="00651B73">
              <w:rPr>
                <w:bCs/>
                <w:i/>
                <w:iCs/>
                <w:snapToGrid w:val="0"/>
                <w:spacing w:val="-18"/>
                <w:kern w:val="22"/>
                <w:szCs w:val="22"/>
                <w:lang w:val="fr-CA"/>
              </w:rPr>
              <w:t>en milliers USD</w:t>
            </w:r>
            <w:r w:rsidR="00384F6F" w:rsidRPr="007E11CA">
              <w:rPr>
                <w:bCs/>
                <w:i/>
                <w:iCs/>
                <w:snapToGrid w:val="0"/>
                <w:spacing w:val="-18"/>
                <w:kern w:val="22"/>
                <w:szCs w:val="22"/>
                <w:lang w:val="fr-CA"/>
              </w:rPr>
              <w:t>)</w:t>
            </w:r>
          </w:p>
        </w:tc>
        <w:tc>
          <w:tcPr>
            <w:tcW w:w="1135" w:type="dxa"/>
            <w:tcBorders>
              <w:top w:val="single" w:sz="4" w:space="0" w:color="auto"/>
              <w:left w:val="nil"/>
              <w:bottom w:val="single" w:sz="4" w:space="0" w:color="auto"/>
              <w:right w:val="single" w:sz="4" w:space="0" w:color="auto"/>
            </w:tcBorders>
            <w:shd w:val="clear" w:color="000000" w:fill="auto"/>
          </w:tcPr>
          <w:p w:rsidR="00384F6F" w:rsidRPr="007E11CA" w:rsidRDefault="00E20CFE" w:rsidP="00294907">
            <w:pPr>
              <w:suppressLineNumbers/>
              <w:suppressAutoHyphens/>
              <w:kinsoku w:val="0"/>
              <w:overflowPunct w:val="0"/>
              <w:autoSpaceDE w:val="0"/>
              <w:autoSpaceDN w:val="0"/>
              <w:adjustRightInd w:val="0"/>
              <w:snapToGrid w:val="0"/>
              <w:jc w:val="center"/>
              <w:rPr>
                <w:bCs/>
                <w:i/>
                <w:iCs/>
                <w:snapToGrid w:val="0"/>
                <w:spacing w:val="-18"/>
                <w:kern w:val="22"/>
                <w:szCs w:val="22"/>
                <w:lang w:val="fr-CA"/>
              </w:rPr>
            </w:pPr>
            <w:r>
              <w:rPr>
                <w:bCs/>
                <w:i/>
                <w:iCs/>
                <w:snapToGrid w:val="0"/>
                <w:spacing w:val="-18"/>
                <w:kern w:val="22"/>
                <w:szCs w:val="22"/>
                <w:lang w:val="fr-CA"/>
              </w:rPr>
              <w:t xml:space="preserve">Données les plus récentes présentées </w:t>
            </w:r>
            <w:r w:rsidR="00384F6F" w:rsidRPr="007E11CA">
              <w:rPr>
                <w:bCs/>
                <w:i/>
                <w:iCs/>
                <w:snapToGrid w:val="0"/>
                <w:spacing w:val="-18"/>
                <w:kern w:val="22"/>
                <w:szCs w:val="22"/>
                <w:lang w:val="fr-CA"/>
              </w:rPr>
              <w:t>(</w:t>
            </w:r>
            <w:r w:rsidR="00651B73">
              <w:rPr>
                <w:bCs/>
                <w:i/>
                <w:iCs/>
                <w:snapToGrid w:val="0"/>
                <w:spacing w:val="-18"/>
                <w:kern w:val="22"/>
                <w:szCs w:val="22"/>
                <w:lang w:val="fr-CA"/>
              </w:rPr>
              <w:t>en milliers USD</w:t>
            </w:r>
            <w:r w:rsidR="00980D7E">
              <w:rPr>
                <w:bCs/>
                <w:i/>
                <w:iCs/>
                <w:snapToGrid w:val="0"/>
                <w:spacing w:val="-18"/>
                <w:kern w:val="22"/>
                <w:szCs w:val="22"/>
                <w:lang w:val="fr-CA"/>
              </w:rPr>
              <w:t xml:space="preserve"> courants</w:t>
            </w:r>
            <w:r w:rsidR="00384F6F" w:rsidRPr="007E11CA">
              <w:rPr>
                <w:bCs/>
                <w:i/>
                <w:iCs/>
                <w:snapToGrid w:val="0"/>
                <w:spacing w:val="-18"/>
                <w:kern w:val="22"/>
                <w:szCs w:val="22"/>
                <w:lang w:val="fr-CA"/>
              </w:rPr>
              <w:t>)</w:t>
            </w:r>
          </w:p>
        </w:tc>
        <w:tc>
          <w:tcPr>
            <w:tcW w:w="1135" w:type="dxa"/>
            <w:tcBorders>
              <w:top w:val="single" w:sz="4" w:space="0" w:color="auto"/>
              <w:left w:val="nil"/>
              <w:bottom w:val="single" w:sz="4" w:space="0" w:color="auto"/>
              <w:right w:val="single" w:sz="4" w:space="0" w:color="auto"/>
            </w:tcBorders>
            <w:shd w:val="clear" w:color="000000" w:fill="auto"/>
          </w:tcPr>
          <w:p w:rsidR="00384F6F" w:rsidRPr="007E11CA" w:rsidRDefault="00384F6F" w:rsidP="00C420BD">
            <w:pPr>
              <w:suppressLineNumbers/>
              <w:suppressAutoHyphens/>
              <w:kinsoku w:val="0"/>
              <w:overflowPunct w:val="0"/>
              <w:autoSpaceDE w:val="0"/>
              <w:autoSpaceDN w:val="0"/>
              <w:adjustRightInd w:val="0"/>
              <w:snapToGrid w:val="0"/>
              <w:jc w:val="center"/>
              <w:rPr>
                <w:bCs/>
                <w:i/>
                <w:iCs/>
                <w:snapToGrid w:val="0"/>
                <w:spacing w:val="-20"/>
                <w:kern w:val="22"/>
                <w:szCs w:val="22"/>
                <w:lang w:val="fr-CA"/>
              </w:rPr>
            </w:pPr>
            <w:r w:rsidRPr="007E11CA">
              <w:rPr>
                <w:bCs/>
                <w:i/>
                <w:iCs/>
                <w:snapToGrid w:val="0"/>
                <w:spacing w:val="-20"/>
                <w:kern w:val="22"/>
                <w:szCs w:val="22"/>
                <w:lang w:val="fr-CA"/>
              </w:rPr>
              <w:t>Quotient</w:t>
            </w:r>
          </w:p>
          <w:p w:rsidR="00384F6F" w:rsidRPr="007E11CA" w:rsidRDefault="00384F6F" w:rsidP="00980D7E">
            <w:pPr>
              <w:suppressLineNumbers/>
              <w:suppressAutoHyphens/>
              <w:kinsoku w:val="0"/>
              <w:overflowPunct w:val="0"/>
              <w:autoSpaceDE w:val="0"/>
              <w:autoSpaceDN w:val="0"/>
              <w:adjustRightInd w:val="0"/>
              <w:snapToGrid w:val="0"/>
              <w:jc w:val="center"/>
              <w:rPr>
                <w:bCs/>
                <w:i/>
                <w:iCs/>
                <w:snapToGrid w:val="0"/>
                <w:spacing w:val="-20"/>
                <w:kern w:val="22"/>
                <w:szCs w:val="22"/>
                <w:lang w:val="fr-CA"/>
              </w:rPr>
            </w:pPr>
            <w:r w:rsidRPr="007E11CA">
              <w:rPr>
                <w:bCs/>
                <w:i/>
                <w:iCs/>
                <w:snapToGrid w:val="0"/>
                <w:spacing w:val="-20"/>
                <w:kern w:val="22"/>
                <w:szCs w:val="22"/>
                <w:lang w:val="fr-CA"/>
              </w:rPr>
              <w:t>(</w:t>
            </w:r>
            <w:r w:rsidR="00980D7E">
              <w:rPr>
                <w:bCs/>
                <w:i/>
                <w:iCs/>
                <w:snapToGrid w:val="0"/>
                <w:spacing w:val="-20"/>
                <w:kern w:val="22"/>
                <w:szCs w:val="22"/>
                <w:lang w:val="fr-CA"/>
              </w:rPr>
              <w:t>en USD</w:t>
            </w:r>
            <w:r w:rsidR="00C21A51">
              <w:rPr>
                <w:bCs/>
                <w:i/>
                <w:iCs/>
                <w:snapToGrid w:val="0"/>
                <w:spacing w:val="-20"/>
                <w:kern w:val="22"/>
                <w:szCs w:val="22"/>
                <w:lang w:val="fr-CA"/>
              </w:rPr>
              <w:t>)</w:t>
            </w:r>
          </w:p>
        </w:tc>
        <w:tc>
          <w:tcPr>
            <w:tcW w:w="1135" w:type="dxa"/>
            <w:tcBorders>
              <w:top w:val="single" w:sz="4" w:space="0" w:color="auto"/>
              <w:left w:val="nil"/>
              <w:bottom w:val="single" w:sz="4" w:space="0" w:color="auto"/>
              <w:right w:val="single" w:sz="4" w:space="0" w:color="auto"/>
            </w:tcBorders>
            <w:shd w:val="clear" w:color="000000" w:fill="auto"/>
          </w:tcPr>
          <w:p w:rsidR="00384F6F" w:rsidRPr="007E11CA" w:rsidRDefault="00E20CFE" w:rsidP="00294907">
            <w:pPr>
              <w:suppressLineNumbers/>
              <w:suppressAutoHyphens/>
              <w:kinsoku w:val="0"/>
              <w:overflowPunct w:val="0"/>
              <w:autoSpaceDE w:val="0"/>
              <w:autoSpaceDN w:val="0"/>
              <w:adjustRightInd w:val="0"/>
              <w:snapToGrid w:val="0"/>
              <w:jc w:val="center"/>
              <w:rPr>
                <w:bCs/>
                <w:i/>
                <w:iCs/>
                <w:snapToGrid w:val="0"/>
                <w:spacing w:val="-18"/>
                <w:kern w:val="22"/>
                <w:szCs w:val="22"/>
                <w:lang w:val="fr-CA"/>
              </w:rPr>
            </w:pPr>
            <w:r>
              <w:rPr>
                <w:bCs/>
                <w:i/>
                <w:iCs/>
                <w:snapToGrid w:val="0"/>
                <w:spacing w:val="-18"/>
                <w:kern w:val="22"/>
                <w:szCs w:val="22"/>
                <w:lang w:val="fr-CA"/>
              </w:rPr>
              <w:t xml:space="preserve">Données de référence présentées </w:t>
            </w:r>
            <w:r w:rsidR="00C3798A">
              <w:rPr>
                <w:bCs/>
                <w:i/>
                <w:iCs/>
                <w:snapToGrid w:val="0"/>
                <w:spacing w:val="-18"/>
                <w:kern w:val="22"/>
                <w:szCs w:val="22"/>
                <w:lang w:val="fr-CA"/>
              </w:rPr>
              <w:t>(devise indiquée</w:t>
            </w:r>
            <w:r w:rsidR="00384F6F" w:rsidRPr="007E11CA">
              <w:rPr>
                <w:bCs/>
                <w:i/>
                <w:iCs/>
                <w:snapToGrid w:val="0"/>
                <w:spacing w:val="-18"/>
                <w:kern w:val="22"/>
                <w:szCs w:val="22"/>
                <w:lang w:val="fr-CA"/>
              </w:rPr>
              <w:t xml:space="preserve">, </w:t>
            </w:r>
            <w:r w:rsidR="00C3798A">
              <w:rPr>
                <w:bCs/>
                <w:i/>
                <w:iCs/>
                <w:snapToGrid w:val="0"/>
                <w:spacing w:val="-18"/>
                <w:kern w:val="22"/>
                <w:szCs w:val="22"/>
                <w:lang w:val="fr-CA"/>
              </w:rPr>
              <w:t>milliers</w:t>
            </w:r>
            <w:r w:rsidR="00384F6F" w:rsidRPr="007E11CA">
              <w:rPr>
                <w:bCs/>
                <w:i/>
                <w:iCs/>
                <w:snapToGrid w:val="0"/>
                <w:spacing w:val="-18"/>
                <w:kern w:val="22"/>
                <w:szCs w:val="22"/>
                <w:lang w:val="fr-CA"/>
              </w:rPr>
              <w:t>)</w:t>
            </w:r>
          </w:p>
        </w:tc>
        <w:tc>
          <w:tcPr>
            <w:tcW w:w="1135" w:type="dxa"/>
            <w:tcBorders>
              <w:top w:val="single" w:sz="4" w:space="0" w:color="auto"/>
              <w:left w:val="nil"/>
              <w:bottom w:val="single" w:sz="4" w:space="0" w:color="auto"/>
              <w:right w:val="single" w:sz="4" w:space="0" w:color="auto"/>
            </w:tcBorders>
            <w:shd w:val="clear" w:color="000000" w:fill="auto"/>
          </w:tcPr>
          <w:p w:rsidR="00384F6F" w:rsidRPr="007E11CA" w:rsidRDefault="00E20CFE" w:rsidP="00294907">
            <w:pPr>
              <w:suppressLineNumbers/>
              <w:suppressAutoHyphens/>
              <w:kinsoku w:val="0"/>
              <w:overflowPunct w:val="0"/>
              <w:autoSpaceDE w:val="0"/>
              <w:autoSpaceDN w:val="0"/>
              <w:adjustRightInd w:val="0"/>
              <w:snapToGrid w:val="0"/>
              <w:jc w:val="center"/>
              <w:rPr>
                <w:bCs/>
                <w:i/>
                <w:iCs/>
                <w:snapToGrid w:val="0"/>
                <w:spacing w:val="-18"/>
                <w:kern w:val="22"/>
                <w:szCs w:val="22"/>
                <w:lang w:val="fr-CA"/>
              </w:rPr>
            </w:pPr>
            <w:r>
              <w:rPr>
                <w:bCs/>
                <w:i/>
                <w:iCs/>
                <w:snapToGrid w:val="0"/>
                <w:spacing w:val="-18"/>
                <w:kern w:val="22"/>
                <w:szCs w:val="22"/>
                <w:lang w:val="fr-CA"/>
              </w:rPr>
              <w:t xml:space="preserve">Données les plus récentes présentées </w:t>
            </w:r>
            <w:r w:rsidR="00C3798A">
              <w:rPr>
                <w:bCs/>
                <w:i/>
                <w:iCs/>
                <w:snapToGrid w:val="0"/>
                <w:spacing w:val="-18"/>
                <w:kern w:val="22"/>
                <w:szCs w:val="22"/>
                <w:lang w:val="fr-CA"/>
              </w:rPr>
              <w:t>(devise indiquée</w:t>
            </w:r>
            <w:r w:rsidR="00C3798A" w:rsidRPr="007E11CA">
              <w:rPr>
                <w:bCs/>
                <w:i/>
                <w:iCs/>
                <w:snapToGrid w:val="0"/>
                <w:spacing w:val="-18"/>
                <w:kern w:val="22"/>
                <w:szCs w:val="22"/>
                <w:lang w:val="fr-CA"/>
              </w:rPr>
              <w:t xml:space="preserve">, </w:t>
            </w:r>
            <w:r w:rsidR="00C3798A">
              <w:rPr>
                <w:bCs/>
                <w:i/>
                <w:iCs/>
                <w:snapToGrid w:val="0"/>
                <w:spacing w:val="-18"/>
                <w:kern w:val="22"/>
                <w:szCs w:val="22"/>
                <w:lang w:val="fr-CA"/>
              </w:rPr>
              <w:t>milliers</w:t>
            </w:r>
            <w:r w:rsidR="00C3798A" w:rsidRPr="007E11CA">
              <w:rPr>
                <w:bCs/>
                <w:i/>
                <w:iCs/>
                <w:snapToGrid w:val="0"/>
                <w:spacing w:val="-18"/>
                <w:kern w:val="22"/>
                <w:szCs w:val="22"/>
                <w:lang w:val="fr-CA"/>
              </w:rPr>
              <w:t>)</w:t>
            </w:r>
          </w:p>
        </w:tc>
        <w:tc>
          <w:tcPr>
            <w:tcW w:w="1135" w:type="dxa"/>
            <w:tcBorders>
              <w:top w:val="single" w:sz="4" w:space="0" w:color="auto"/>
              <w:left w:val="nil"/>
              <w:bottom w:val="single" w:sz="4" w:space="0" w:color="auto"/>
              <w:right w:val="single" w:sz="4" w:space="0" w:color="auto"/>
            </w:tcBorders>
            <w:shd w:val="clear" w:color="000000" w:fill="auto"/>
          </w:tcPr>
          <w:p w:rsidR="00384F6F" w:rsidRPr="007E11CA" w:rsidRDefault="00C21A51" w:rsidP="00C420BD">
            <w:pPr>
              <w:suppressLineNumbers/>
              <w:suppressAutoHyphens/>
              <w:kinsoku w:val="0"/>
              <w:overflowPunct w:val="0"/>
              <w:autoSpaceDE w:val="0"/>
              <w:autoSpaceDN w:val="0"/>
              <w:adjustRightInd w:val="0"/>
              <w:snapToGrid w:val="0"/>
              <w:jc w:val="center"/>
              <w:rPr>
                <w:bCs/>
                <w:i/>
                <w:iCs/>
                <w:snapToGrid w:val="0"/>
                <w:spacing w:val="-18"/>
                <w:kern w:val="22"/>
                <w:szCs w:val="22"/>
                <w:lang w:val="fr-CA"/>
              </w:rPr>
            </w:pPr>
            <w:r>
              <w:rPr>
                <w:bCs/>
                <w:i/>
                <w:iCs/>
                <w:snapToGrid w:val="0"/>
                <w:spacing w:val="-18"/>
                <w:kern w:val="22"/>
                <w:szCs w:val="22"/>
                <w:lang w:val="fr-CA"/>
              </w:rPr>
              <w:t>Devise indiquée</w:t>
            </w:r>
          </w:p>
        </w:tc>
        <w:tc>
          <w:tcPr>
            <w:tcW w:w="1135" w:type="dxa"/>
            <w:tcBorders>
              <w:top w:val="single" w:sz="4" w:space="0" w:color="auto"/>
              <w:left w:val="nil"/>
              <w:bottom w:val="single" w:sz="4" w:space="0" w:color="auto"/>
              <w:right w:val="single" w:sz="4" w:space="0" w:color="auto"/>
            </w:tcBorders>
            <w:shd w:val="clear" w:color="000000" w:fill="auto"/>
          </w:tcPr>
          <w:p w:rsidR="00384F6F" w:rsidRPr="007E11CA" w:rsidRDefault="00384F6F" w:rsidP="00C420BD">
            <w:pPr>
              <w:suppressLineNumbers/>
              <w:suppressAutoHyphens/>
              <w:kinsoku w:val="0"/>
              <w:overflowPunct w:val="0"/>
              <w:autoSpaceDE w:val="0"/>
              <w:autoSpaceDN w:val="0"/>
              <w:adjustRightInd w:val="0"/>
              <w:snapToGrid w:val="0"/>
              <w:jc w:val="center"/>
              <w:rPr>
                <w:bCs/>
                <w:i/>
                <w:iCs/>
                <w:snapToGrid w:val="0"/>
                <w:spacing w:val="-18"/>
                <w:kern w:val="22"/>
                <w:szCs w:val="22"/>
                <w:lang w:val="fr-CA"/>
              </w:rPr>
            </w:pPr>
            <w:r w:rsidRPr="007E11CA">
              <w:rPr>
                <w:bCs/>
                <w:i/>
                <w:iCs/>
                <w:snapToGrid w:val="0"/>
                <w:spacing w:val="-18"/>
                <w:kern w:val="22"/>
                <w:szCs w:val="22"/>
                <w:lang w:val="fr-CA"/>
              </w:rPr>
              <w:t>Quotient</w:t>
            </w:r>
          </w:p>
          <w:p w:rsidR="00384F6F" w:rsidRPr="007E11CA" w:rsidRDefault="00384F6F" w:rsidP="00C21A51">
            <w:pPr>
              <w:suppressLineNumbers/>
              <w:suppressAutoHyphens/>
              <w:kinsoku w:val="0"/>
              <w:overflowPunct w:val="0"/>
              <w:autoSpaceDE w:val="0"/>
              <w:autoSpaceDN w:val="0"/>
              <w:adjustRightInd w:val="0"/>
              <w:snapToGrid w:val="0"/>
              <w:jc w:val="center"/>
              <w:rPr>
                <w:bCs/>
                <w:i/>
                <w:iCs/>
                <w:snapToGrid w:val="0"/>
                <w:spacing w:val="-18"/>
                <w:kern w:val="22"/>
                <w:szCs w:val="22"/>
                <w:lang w:val="fr-CA"/>
              </w:rPr>
            </w:pPr>
            <w:r w:rsidRPr="007E11CA">
              <w:rPr>
                <w:bCs/>
                <w:i/>
                <w:iCs/>
                <w:snapToGrid w:val="0"/>
                <w:spacing w:val="-18"/>
                <w:kern w:val="22"/>
                <w:szCs w:val="22"/>
                <w:lang w:val="fr-CA"/>
              </w:rPr>
              <w:t>(</w:t>
            </w:r>
            <w:r w:rsidR="00C21A51">
              <w:rPr>
                <w:bCs/>
                <w:i/>
                <w:iCs/>
                <w:snapToGrid w:val="0"/>
                <w:spacing w:val="-18"/>
                <w:kern w:val="22"/>
                <w:szCs w:val="22"/>
                <w:lang w:val="fr-CA"/>
              </w:rPr>
              <w:t>dans la devise indiquée</w:t>
            </w:r>
            <w:r w:rsidRPr="007E11CA">
              <w:rPr>
                <w:bCs/>
                <w:i/>
                <w:iCs/>
                <w:snapToGrid w:val="0"/>
                <w:spacing w:val="-18"/>
                <w:kern w:val="22"/>
                <w:szCs w:val="22"/>
                <w:lang w:val="fr-CA"/>
              </w:rPr>
              <w:t>)</w:t>
            </w:r>
          </w:p>
        </w:tc>
        <w:tc>
          <w:tcPr>
            <w:tcW w:w="1135" w:type="dxa"/>
            <w:tcBorders>
              <w:top w:val="single" w:sz="4" w:space="0" w:color="auto"/>
              <w:left w:val="single" w:sz="4" w:space="0" w:color="auto"/>
              <w:bottom w:val="single" w:sz="4" w:space="0" w:color="auto"/>
              <w:right w:val="single" w:sz="4" w:space="0" w:color="auto"/>
            </w:tcBorders>
            <w:shd w:val="clear" w:color="000000" w:fill="auto"/>
          </w:tcPr>
          <w:p w:rsidR="00384F6F" w:rsidRPr="007E11CA" w:rsidRDefault="009122DD" w:rsidP="00E20CFE">
            <w:pPr>
              <w:suppressLineNumbers/>
              <w:suppressAutoHyphens/>
              <w:kinsoku w:val="0"/>
              <w:overflowPunct w:val="0"/>
              <w:autoSpaceDE w:val="0"/>
              <w:autoSpaceDN w:val="0"/>
              <w:adjustRightInd w:val="0"/>
              <w:snapToGrid w:val="0"/>
              <w:jc w:val="center"/>
              <w:rPr>
                <w:bCs/>
                <w:i/>
                <w:iCs/>
                <w:snapToGrid w:val="0"/>
                <w:spacing w:val="-18"/>
                <w:kern w:val="22"/>
                <w:szCs w:val="22"/>
                <w:lang w:val="fr-CA"/>
              </w:rPr>
            </w:pPr>
            <w:r>
              <w:rPr>
                <w:bCs/>
                <w:i/>
                <w:iCs/>
                <w:snapToGrid w:val="0"/>
                <w:spacing w:val="-18"/>
                <w:kern w:val="22"/>
                <w:szCs w:val="22"/>
                <w:lang w:val="fr-CA"/>
              </w:rPr>
              <w:t xml:space="preserve">Année du </w:t>
            </w:r>
            <w:r w:rsidR="00E20CFE">
              <w:rPr>
                <w:bCs/>
                <w:i/>
                <w:iCs/>
                <w:snapToGrid w:val="0"/>
                <w:spacing w:val="-18"/>
                <w:kern w:val="22"/>
                <w:szCs w:val="22"/>
                <w:lang w:val="fr-CA"/>
              </w:rPr>
              <w:t xml:space="preserve">plus récent </w:t>
            </w:r>
            <w:r>
              <w:rPr>
                <w:bCs/>
                <w:i/>
                <w:iCs/>
                <w:snapToGrid w:val="0"/>
                <w:spacing w:val="-18"/>
                <w:kern w:val="22"/>
                <w:szCs w:val="22"/>
                <w:lang w:val="fr-CA"/>
              </w:rPr>
              <w:t>rapport</w:t>
            </w:r>
          </w:p>
        </w:tc>
      </w:tr>
      <w:tr w:rsidR="00685F80" w:rsidRPr="007E11CA" w:rsidTr="008A502D">
        <w:trPr>
          <w:trHeight w:val="232"/>
          <w:jc w:val="center"/>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685F80" w:rsidRPr="007E11CA" w:rsidRDefault="00685F80" w:rsidP="00C420BD">
            <w:pPr>
              <w:suppressLineNumbers/>
              <w:suppressAutoHyphens/>
              <w:kinsoku w:val="0"/>
              <w:overflowPunct w:val="0"/>
              <w:autoSpaceDE w:val="0"/>
              <w:autoSpaceDN w:val="0"/>
              <w:adjustRightInd w:val="0"/>
              <w:snapToGrid w:val="0"/>
              <w:jc w:val="left"/>
              <w:rPr>
                <w:snapToGrid w:val="0"/>
                <w:kern w:val="22"/>
                <w:sz w:val="20"/>
                <w:szCs w:val="20"/>
                <w:lang w:val="fr-CA"/>
              </w:rPr>
            </w:pPr>
            <w:r>
              <w:rPr>
                <w:snapToGrid w:val="0"/>
                <w:kern w:val="22"/>
                <w:sz w:val="20"/>
                <w:szCs w:val="20"/>
                <w:lang w:val="fr-CA"/>
              </w:rPr>
              <w:t>Allemagne</w:t>
            </w:r>
            <w:r w:rsidRPr="007E11CA">
              <w:rPr>
                <w:snapToGrid w:val="0"/>
                <w:kern w:val="22"/>
                <w:sz w:val="20"/>
                <w:szCs w:val="20"/>
                <w:vertAlign w:val="superscript"/>
                <w:lang w:val="fr-CA"/>
              </w:rPr>
              <w:t>*</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266</w:t>
            </w:r>
            <w:r>
              <w:rPr>
                <w:bCs/>
                <w:snapToGrid w:val="0"/>
                <w:color w:val="000000"/>
                <w:kern w:val="22"/>
                <w:sz w:val="20"/>
                <w:szCs w:val="20"/>
                <w:lang w:val="fr-CA"/>
              </w:rPr>
              <w:t> </w:t>
            </w:r>
            <w:r w:rsidRPr="007E11CA">
              <w:rPr>
                <w:bCs/>
                <w:snapToGrid w:val="0"/>
                <w:color w:val="000000"/>
                <w:kern w:val="22"/>
                <w:sz w:val="20"/>
                <w:szCs w:val="20"/>
                <w:lang w:val="fr-CA"/>
              </w:rPr>
              <w:t>815</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598 567</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bCs/>
                <w:snapToGrid w:val="0"/>
                <w:color w:val="000000"/>
                <w:kern w:val="22"/>
                <w:sz w:val="20"/>
                <w:szCs w:val="20"/>
                <w:lang w:val="fr-CA"/>
              </w:rPr>
              <w:t>2,</w:t>
            </w:r>
            <w:r w:rsidRPr="007E11CA">
              <w:rPr>
                <w:bCs/>
                <w:snapToGrid w:val="0"/>
                <w:color w:val="000000"/>
                <w:kern w:val="22"/>
                <w:sz w:val="20"/>
                <w:szCs w:val="20"/>
                <w:lang w:val="fr-CA"/>
              </w:rPr>
              <w:t>24</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194 000</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538 000</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EUR</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t>2,</w:t>
            </w:r>
            <w:r w:rsidRPr="007E11CA">
              <w:rPr>
                <w:snapToGrid w:val="0"/>
                <w:color w:val="000000"/>
                <w:kern w:val="22"/>
                <w:sz w:val="20"/>
                <w:szCs w:val="20"/>
                <w:lang w:val="fr-CA"/>
              </w:rPr>
              <w:t>77</w:t>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2015</w:t>
            </w:r>
          </w:p>
        </w:tc>
      </w:tr>
      <w:tr w:rsidR="00685F80" w:rsidRPr="007E11CA" w:rsidTr="008A502D">
        <w:trPr>
          <w:trHeight w:val="232"/>
          <w:jc w:val="center"/>
        </w:trPr>
        <w:tc>
          <w:tcPr>
            <w:tcW w:w="1373" w:type="dxa"/>
            <w:tcBorders>
              <w:top w:val="nil"/>
              <w:left w:val="single" w:sz="4" w:space="0" w:color="auto"/>
              <w:bottom w:val="single" w:sz="4" w:space="0" w:color="auto"/>
              <w:right w:val="single" w:sz="4" w:space="0" w:color="auto"/>
            </w:tcBorders>
            <w:shd w:val="clear" w:color="auto" w:fill="auto"/>
            <w:noWrap/>
            <w:vAlign w:val="center"/>
          </w:tcPr>
          <w:p w:rsidR="00685F80" w:rsidRPr="007E11CA" w:rsidRDefault="00685F80" w:rsidP="00C420BD">
            <w:pPr>
              <w:suppressLineNumbers/>
              <w:suppressAutoHyphens/>
              <w:kinsoku w:val="0"/>
              <w:overflowPunct w:val="0"/>
              <w:autoSpaceDE w:val="0"/>
              <w:autoSpaceDN w:val="0"/>
              <w:adjustRightInd w:val="0"/>
              <w:snapToGrid w:val="0"/>
              <w:jc w:val="left"/>
              <w:rPr>
                <w:snapToGrid w:val="0"/>
                <w:kern w:val="22"/>
                <w:sz w:val="20"/>
                <w:szCs w:val="20"/>
                <w:lang w:val="fr-CA"/>
              </w:rPr>
            </w:pPr>
            <w:r w:rsidRPr="007E11CA">
              <w:rPr>
                <w:snapToGrid w:val="0"/>
                <w:kern w:val="22"/>
                <w:sz w:val="20"/>
                <w:szCs w:val="20"/>
                <w:lang w:val="fr-CA"/>
              </w:rPr>
              <w:t>Au</w:t>
            </w:r>
            <w:r>
              <w:rPr>
                <w:snapToGrid w:val="0"/>
                <w:kern w:val="22"/>
                <w:sz w:val="20"/>
                <w:szCs w:val="20"/>
                <w:lang w:val="fr-CA"/>
              </w:rPr>
              <w:t>triche</w:t>
            </w:r>
            <w:r w:rsidRPr="007E11CA">
              <w:rPr>
                <w:snapToGrid w:val="0"/>
                <w:kern w:val="22"/>
                <w:sz w:val="20"/>
                <w:szCs w:val="20"/>
                <w:vertAlign w:val="superscript"/>
                <w:lang w:val="fr-CA"/>
              </w:rPr>
              <w:t>*</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18</w:t>
            </w:r>
            <w:r>
              <w:rPr>
                <w:bCs/>
                <w:snapToGrid w:val="0"/>
                <w:color w:val="000000"/>
                <w:kern w:val="22"/>
                <w:sz w:val="20"/>
                <w:szCs w:val="20"/>
                <w:lang w:val="fr-CA"/>
              </w:rPr>
              <w:t> </w:t>
            </w:r>
            <w:r w:rsidRPr="007E11CA">
              <w:rPr>
                <w:bCs/>
                <w:snapToGrid w:val="0"/>
                <w:color w:val="000000"/>
                <w:kern w:val="22"/>
                <w:sz w:val="20"/>
                <w:szCs w:val="20"/>
                <w:lang w:val="fr-CA"/>
              </w:rPr>
              <w:t>040</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20 578</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bCs/>
                <w:snapToGrid w:val="0"/>
                <w:color w:val="000000"/>
                <w:kern w:val="22"/>
                <w:sz w:val="20"/>
                <w:szCs w:val="20"/>
                <w:lang w:val="fr-CA"/>
              </w:rPr>
              <w:t>1,</w:t>
            </w:r>
            <w:r w:rsidRPr="007E11CA">
              <w:rPr>
                <w:bCs/>
                <w:snapToGrid w:val="0"/>
                <w:color w:val="000000"/>
                <w:kern w:val="22"/>
                <w:sz w:val="20"/>
                <w:szCs w:val="20"/>
                <w:lang w:val="fr-CA"/>
              </w:rPr>
              <w:t>14</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13 100</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18 496</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EUR</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t>1,</w:t>
            </w:r>
            <w:r w:rsidRPr="007E11CA">
              <w:rPr>
                <w:snapToGrid w:val="0"/>
                <w:color w:val="000000"/>
                <w:kern w:val="22"/>
                <w:sz w:val="20"/>
                <w:szCs w:val="20"/>
                <w:lang w:val="fr-CA"/>
              </w:rPr>
              <w:t>41</w:t>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2015</w:t>
            </w:r>
          </w:p>
        </w:tc>
      </w:tr>
      <w:tr w:rsidR="00685F80" w:rsidRPr="007E11CA" w:rsidTr="008A502D">
        <w:trPr>
          <w:trHeight w:val="232"/>
          <w:jc w:val="center"/>
        </w:trPr>
        <w:tc>
          <w:tcPr>
            <w:tcW w:w="1373" w:type="dxa"/>
            <w:tcBorders>
              <w:top w:val="nil"/>
              <w:left w:val="single" w:sz="4" w:space="0" w:color="auto"/>
              <w:bottom w:val="single" w:sz="4" w:space="0" w:color="auto"/>
              <w:right w:val="single" w:sz="4" w:space="0" w:color="auto"/>
            </w:tcBorders>
            <w:shd w:val="clear" w:color="auto" w:fill="auto"/>
            <w:noWrap/>
            <w:vAlign w:val="center"/>
          </w:tcPr>
          <w:p w:rsidR="00685F80" w:rsidRPr="007E11CA" w:rsidRDefault="00685F80" w:rsidP="00C420BD">
            <w:pPr>
              <w:suppressLineNumbers/>
              <w:suppressAutoHyphens/>
              <w:kinsoku w:val="0"/>
              <w:overflowPunct w:val="0"/>
              <w:autoSpaceDE w:val="0"/>
              <w:autoSpaceDN w:val="0"/>
              <w:adjustRightInd w:val="0"/>
              <w:snapToGrid w:val="0"/>
              <w:jc w:val="left"/>
              <w:rPr>
                <w:snapToGrid w:val="0"/>
                <w:kern w:val="22"/>
                <w:sz w:val="20"/>
                <w:szCs w:val="20"/>
                <w:lang w:val="fr-CA"/>
              </w:rPr>
            </w:pPr>
            <w:r w:rsidRPr="007E11CA">
              <w:rPr>
                <w:snapToGrid w:val="0"/>
                <w:kern w:val="22"/>
                <w:sz w:val="20"/>
                <w:szCs w:val="20"/>
                <w:lang w:val="fr-CA"/>
              </w:rPr>
              <w:t>Bulgari</w:t>
            </w:r>
            <w:r>
              <w:rPr>
                <w:snapToGrid w:val="0"/>
                <w:kern w:val="22"/>
                <w:sz w:val="20"/>
                <w:szCs w:val="20"/>
                <w:lang w:val="fr-CA"/>
              </w:rPr>
              <w:t>e</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466152"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bCs/>
                <w:snapToGrid w:val="0"/>
                <w:color w:val="000000"/>
                <w:kern w:val="22"/>
                <w:sz w:val="20"/>
                <w:szCs w:val="20"/>
                <w:lang w:val="fr-CA"/>
              </w:rPr>
              <w:noBreakHyphen/>
            </w:r>
            <w:r>
              <w:rPr>
                <w:bCs/>
                <w:snapToGrid w:val="0"/>
                <w:color w:val="000000"/>
                <w:kern w:val="22"/>
                <w:sz w:val="20"/>
                <w:szCs w:val="20"/>
                <w:lang w:val="fr-CA"/>
              </w:rPr>
              <w:noBreakHyphen/>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111 258</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466152"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bCs/>
                <w:snapToGrid w:val="0"/>
                <w:color w:val="000000"/>
                <w:kern w:val="22"/>
                <w:sz w:val="20"/>
                <w:szCs w:val="20"/>
                <w:lang w:val="fr-CA"/>
              </w:rPr>
              <w:noBreakHyphen/>
            </w:r>
            <w:r>
              <w:rPr>
                <w:bCs/>
                <w:snapToGrid w:val="0"/>
                <w:color w:val="000000"/>
                <w:kern w:val="22"/>
                <w:sz w:val="20"/>
                <w:szCs w:val="20"/>
                <w:lang w:val="fr-CA"/>
              </w:rPr>
              <w:noBreakHyphen/>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466152"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snapToGrid w:val="0"/>
                <w:color w:val="000000"/>
                <w:kern w:val="22"/>
                <w:sz w:val="20"/>
                <w:szCs w:val="20"/>
                <w:lang w:val="fr-CA"/>
              </w:rPr>
              <w:noBreakHyphen/>
            </w:r>
            <w:r>
              <w:rPr>
                <w:snapToGrid w:val="0"/>
                <w:color w:val="000000"/>
                <w:kern w:val="22"/>
                <w:sz w:val="20"/>
                <w:szCs w:val="20"/>
                <w:lang w:val="fr-CA"/>
              </w:rPr>
              <w:noBreakHyphen/>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195 583</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BGN</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466152"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noBreakHyphen/>
            </w:r>
            <w:r>
              <w:rPr>
                <w:snapToGrid w:val="0"/>
                <w:color w:val="000000"/>
                <w:kern w:val="22"/>
                <w:sz w:val="20"/>
                <w:szCs w:val="20"/>
                <w:lang w:val="fr-CA"/>
              </w:rPr>
              <w:noBreakHyphen/>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2015</w:t>
            </w:r>
          </w:p>
        </w:tc>
      </w:tr>
      <w:tr w:rsidR="00685F80" w:rsidRPr="007E11CA" w:rsidTr="008A502D">
        <w:trPr>
          <w:trHeight w:val="232"/>
          <w:jc w:val="center"/>
        </w:trPr>
        <w:tc>
          <w:tcPr>
            <w:tcW w:w="1373" w:type="dxa"/>
            <w:tcBorders>
              <w:top w:val="nil"/>
              <w:left w:val="single" w:sz="4" w:space="0" w:color="auto"/>
              <w:bottom w:val="single" w:sz="4" w:space="0" w:color="auto"/>
              <w:right w:val="single" w:sz="4" w:space="0" w:color="auto"/>
            </w:tcBorders>
            <w:shd w:val="clear" w:color="auto" w:fill="auto"/>
            <w:noWrap/>
            <w:vAlign w:val="center"/>
          </w:tcPr>
          <w:p w:rsidR="00685F80" w:rsidRPr="007E11CA" w:rsidRDefault="00685F80" w:rsidP="00C420BD">
            <w:pPr>
              <w:suppressLineNumbers/>
              <w:suppressAutoHyphens/>
              <w:kinsoku w:val="0"/>
              <w:overflowPunct w:val="0"/>
              <w:autoSpaceDE w:val="0"/>
              <w:autoSpaceDN w:val="0"/>
              <w:adjustRightInd w:val="0"/>
              <w:snapToGrid w:val="0"/>
              <w:jc w:val="left"/>
              <w:rPr>
                <w:snapToGrid w:val="0"/>
                <w:kern w:val="22"/>
                <w:sz w:val="20"/>
                <w:szCs w:val="20"/>
                <w:lang w:val="fr-CA"/>
              </w:rPr>
            </w:pPr>
            <w:r w:rsidRPr="007E11CA">
              <w:rPr>
                <w:snapToGrid w:val="0"/>
                <w:kern w:val="22"/>
                <w:sz w:val="20"/>
                <w:szCs w:val="20"/>
                <w:lang w:val="fr-CA"/>
              </w:rPr>
              <w:t>Canada</w:t>
            </w:r>
            <w:r w:rsidRPr="007E11CA">
              <w:rPr>
                <w:snapToGrid w:val="0"/>
                <w:kern w:val="22"/>
                <w:sz w:val="20"/>
                <w:szCs w:val="20"/>
                <w:vertAlign w:val="superscript"/>
                <w:lang w:val="fr-CA"/>
              </w:rPr>
              <w:t>*</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77</w:t>
            </w:r>
            <w:r>
              <w:rPr>
                <w:bCs/>
                <w:snapToGrid w:val="0"/>
                <w:color w:val="000000"/>
                <w:kern w:val="22"/>
                <w:sz w:val="20"/>
                <w:szCs w:val="20"/>
                <w:lang w:val="fr-CA"/>
              </w:rPr>
              <w:t> </w:t>
            </w:r>
            <w:r w:rsidRPr="007E11CA">
              <w:rPr>
                <w:bCs/>
                <w:snapToGrid w:val="0"/>
                <w:color w:val="000000"/>
                <w:kern w:val="22"/>
                <w:sz w:val="20"/>
                <w:szCs w:val="20"/>
                <w:lang w:val="fr-CA"/>
              </w:rPr>
              <w:t>160</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94 193</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bCs/>
                <w:snapToGrid w:val="0"/>
                <w:color w:val="000000"/>
                <w:kern w:val="22"/>
                <w:sz w:val="20"/>
                <w:szCs w:val="20"/>
                <w:lang w:val="fr-CA"/>
              </w:rPr>
              <w:t>1,</w:t>
            </w:r>
            <w:r w:rsidRPr="007E11CA">
              <w:rPr>
                <w:bCs/>
                <w:snapToGrid w:val="0"/>
                <w:color w:val="000000"/>
                <w:kern w:val="22"/>
                <w:sz w:val="20"/>
                <w:szCs w:val="20"/>
                <w:lang w:val="fr-CA"/>
              </w:rPr>
              <w:t>22</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83 000</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97 000</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CAD</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t>1,</w:t>
            </w:r>
            <w:r w:rsidRPr="007E11CA">
              <w:rPr>
                <w:snapToGrid w:val="0"/>
                <w:color w:val="000000"/>
                <w:kern w:val="22"/>
                <w:sz w:val="20"/>
                <w:szCs w:val="20"/>
                <w:lang w:val="fr-CA"/>
              </w:rPr>
              <w:t>17</w:t>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2013</w:t>
            </w:r>
          </w:p>
        </w:tc>
      </w:tr>
      <w:tr w:rsidR="00685F80" w:rsidRPr="007E11CA" w:rsidTr="008A502D">
        <w:trPr>
          <w:trHeight w:val="232"/>
          <w:jc w:val="center"/>
        </w:trPr>
        <w:tc>
          <w:tcPr>
            <w:tcW w:w="1373" w:type="dxa"/>
            <w:tcBorders>
              <w:top w:val="nil"/>
              <w:left w:val="single" w:sz="4" w:space="0" w:color="auto"/>
              <w:bottom w:val="single" w:sz="4" w:space="0" w:color="auto"/>
              <w:right w:val="single" w:sz="4" w:space="0" w:color="auto"/>
            </w:tcBorders>
            <w:shd w:val="clear" w:color="auto" w:fill="auto"/>
            <w:noWrap/>
            <w:vAlign w:val="center"/>
          </w:tcPr>
          <w:p w:rsidR="00685F80" w:rsidRPr="007E11CA" w:rsidRDefault="00685F80" w:rsidP="00C420BD">
            <w:pPr>
              <w:suppressLineNumbers/>
              <w:suppressAutoHyphens/>
              <w:kinsoku w:val="0"/>
              <w:overflowPunct w:val="0"/>
              <w:autoSpaceDE w:val="0"/>
              <w:autoSpaceDN w:val="0"/>
              <w:adjustRightInd w:val="0"/>
              <w:snapToGrid w:val="0"/>
              <w:jc w:val="left"/>
              <w:rPr>
                <w:snapToGrid w:val="0"/>
                <w:kern w:val="22"/>
                <w:sz w:val="20"/>
                <w:szCs w:val="20"/>
                <w:lang w:val="fr-CA"/>
              </w:rPr>
            </w:pPr>
            <w:r w:rsidRPr="007E11CA">
              <w:rPr>
                <w:snapToGrid w:val="0"/>
                <w:kern w:val="22"/>
                <w:sz w:val="20"/>
                <w:szCs w:val="20"/>
                <w:lang w:val="fr-CA"/>
              </w:rPr>
              <w:t>Chil</w:t>
            </w:r>
            <w:r>
              <w:rPr>
                <w:snapToGrid w:val="0"/>
                <w:kern w:val="22"/>
                <w:sz w:val="20"/>
                <w:szCs w:val="20"/>
                <w:lang w:val="fr-CA"/>
              </w:rPr>
              <w:t>i</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466152"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bCs/>
                <w:snapToGrid w:val="0"/>
                <w:color w:val="000000"/>
                <w:kern w:val="22"/>
                <w:sz w:val="20"/>
                <w:szCs w:val="20"/>
                <w:lang w:val="fr-CA"/>
              </w:rPr>
              <w:noBreakHyphen/>
            </w:r>
            <w:r>
              <w:rPr>
                <w:bCs/>
                <w:snapToGrid w:val="0"/>
                <w:color w:val="000000"/>
                <w:kern w:val="22"/>
                <w:sz w:val="20"/>
                <w:szCs w:val="20"/>
                <w:lang w:val="fr-CA"/>
              </w:rPr>
              <w:noBreakHyphen/>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11</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466152"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bCs/>
                <w:snapToGrid w:val="0"/>
                <w:color w:val="000000"/>
                <w:kern w:val="22"/>
                <w:sz w:val="20"/>
                <w:szCs w:val="20"/>
                <w:lang w:val="fr-CA"/>
              </w:rPr>
              <w:noBreakHyphen/>
            </w:r>
            <w:r>
              <w:rPr>
                <w:bCs/>
                <w:snapToGrid w:val="0"/>
                <w:color w:val="000000"/>
                <w:kern w:val="22"/>
                <w:sz w:val="20"/>
                <w:szCs w:val="20"/>
                <w:lang w:val="fr-CA"/>
              </w:rPr>
              <w:noBreakHyphen/>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466152"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snapToGrid w:val="0"/>
                <w:color w:val="000000"/>
                <w:kern w:val="22"/>
                <w:sz w:val="20"/>
                <w:szCs w:val="20"/>
                <w:lang w:val="fr-CA"/>
              </w:rPr>
              <w:noBreakHyphen/>
            </w:r>
            <w:r>
              <w:rPr>
                <w:snapToGrid w:val="0"/>
                <w:color w:val="000000"/>
                <w:kern w:val="22"/>
                <w:sz w:val="20"/>
                <w:szCs w:val="20"/>
                <w:lang w:val="fr-CA"/>
              </w:rPr>
              <w:noBreakHyphen/>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11</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USD</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466152"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noBreakHyphen/>
            </w:r>
            <w:r>
              <w:rPr>
                <w:snapToGrid w:val="0"/>
                <w:color w:val="000000"/>
                <w:kern w:val="22"/>
                <w:sz w:val="20"/>
                <w:szCs w:val="20"/>
                <w:lang w:val="fr-CA"/>
              </w:rPr>
              <w:noBreakHyphen/>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2015</w:t>
            </w:r>
          </w:p>
        </w:tc>
      </w:tr>
      <w:tr w:rsidR="00685F80" w:rsidRPr="007E11CA" w:rsidTr="008A502D">
        <w:trPr>
          <w:trHeight w:val="232"/>
          <w:jc w:val="center"/>
        </w:trPr>
        <w:tc>
          <w:tcPr>
            <w:tcW w:w="1373" w:type="dxa"/>
            <w:tcBorders>
              <w:top w:val="nil"/>
              <w:left w:val="single" w:sz="4" w:space="0" w:color="auto"/>
              <w:bottom w:val="single" w:sz="4" w:space="0" w:color="auto"/>
              <w:right w:val="single" w:sz="4" w:space="0" w:color="auto"/>
            </w:tcBorders>
            <w:shd w:val="clear" w:color="auto" w:fill="auto"/>
            <w:noWrap/>
            <w:vAlign w:val="center"/>
          </w:tcPr>
          <w:p w:rsidR="00685F80" w:rsidRPr="007E11CA" w:rsidRDefault="00685F80" w:rsidP="00C420BD">
            <w:pPr>
              <w:suppressLineNumbers/>
              <w:suppressAutoHyphens/>
              <w:kinsoku w:val="0"/>
              <w:overflowPunct w:val="0"/>
              <w:autoSpaceDE w:val="0"/>
              <w:autoSpaceDN w:val="0"/>
              <w:adjustRightInd w:val="0"/>
              <w:snapToGrid w:val="0"/>
              <w:jc w:val="left"/>
              <w:rPr>
                <w:snapToGrid w:val="0"/>
                <w:kern w:val="22"/>
                <w:sz w:val="20"/>
                <w:szCs w:val="20"/>
                <w:lang w:val="fr-CA"/>
              </w:rPr>
            </w:pPr>
            <w:r w:rsidRPr="007E11CA">
              <w:rPr>
                <w:snapToGrid w:val="0"/>
                <w:kern w:val="22"/>
                <w:sz w:val="20"/>
                <w:szCs w:val="20"/>
                <w:lang w:val="fr-CA"/>
              </w:rPr>
              <w:t>Chin</w:t>
            </w:r>
            <w:r>
              <w:rPr>
                <w:snapToGrid w:val="0"/>
                <w:kern w:val="22"/>
                <w:sz w:val="20"/>
                <w:szCs w:val="20"/>
                <w:lang w:val="fr-CA"/>
              </w:rPr>
              <w:t>e</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600</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6 500</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bCs/>
                <w:snapToGrid w:val="0"/>
                <w:color w:val="000000"/>
                <w:kern w:val="22"/>
                <w:sz w:val="20"/>
                <w:szCs w:val="20"/>
                <w:lang w:val="fr-CA"/>
              </w:rPr>
              <w:t>10,</w:t>
            </w:r>
            <w:r w:rsidRPr="007E11CA">
              <w:rPr>
                <w:bCs/>
                <w:snapToGrid w:val="0"/>
                <w:color w:val="000000"/>
                <w:kern w:val="22"/>
                <w:sz w:val="20"/>
                <w:szCs w:val="20"/>
                <w:lang w:val="fr-CA"/>
              </w:rPr>
              <w:t>83</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600</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6 500</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USD</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t>10,</w:t>
            </w:r>
            <w:r w:rsidRPr="007E11CA">
              <w:rPr>
                <w:snapToGrid w:val="0"/>
                <w:color w:val="000000"/>
                <w:kern w:val="22"/>
                <w:sz w:val="20"/>
                <w:szCs w:val="20"/>
                <w:lang w:val="fr-CA"/>
              </w:rPr>
              <w:t>83</w:t>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2015</w:t>
            </w:r>
          </w:p>
        </w:tc>
      </w:tr>
      <w:tr w:rsidR="00685F80" w:rsidRPr="007E11CA" w:rsidTr="008A502D">
        <w:trPr>
          <w:trHeight w:val="232"/>
          <w:jc w:val="center"/>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685F80" w:rsidRPr="007E11CA" w:rsidRDefault="00685F80" w:rsidP="00C420BD">
            <w:pPr>
              <w:suppressLineNumbers/>
              <w:suppressAutoHyphens/>
              <w:kinsoku w:val="0"/>
              <w:overflowPunct w:val="0"/>
              <w:autoSpaceDE w:val="0"/>
              <w:autoSpaceDN w:val="0"/>
              <w:adjustRightInd w:val="0"/>
              <w:snapToGrid w:val="0"/>
              <w:jc w:val="left"/>
              <w:rPr>
                <w:snapToGrid w:val="0"/>
                <w:kern w:val="22"/>
                <w:sz w:val="20"/>
                <w:szCs w:val="20"/>
                <w:lang w:val="fr-CA"/>
              </w:rPr>
            </w:pPr>
            <w:r w:rsidRPr="007E11CA">
              <w:rPr>
                <w:snapToGrid w:val="0"/>
                <w:kern w:val="22"/>
                <w:sz w:val="20"/>
                <w:szCs w:val="20"/>
                <w:lang w:val="fr-CA"/>
              </w:rPr>
              <w:t>Croati</w:t>
            </w:r>
            <w:r>
              <w:rPr>
                <w:snapToGrid w:val="0"/>
                <w:kern w:val="22"/>
                <w:sz w:val="20"/>
                <w:szCs w:val="20"/>
                <w:lang w:val="fr-CA"/>
              </w:rPr>
              <w:t>e</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21</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86</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bCs/>
                <w:snapToGrid w:val="0"/>
                <w:color w:val="000000"/>
                <w:kern w:val="22"/>
                <w:sz w:val="20"/>
                <w:szCs w:val="20"/>
                <w:lang w:val="fr-CA"/>
              </w:rPr>
              <w:t>4,</w:t>
            </w:r>
            <w:r w:rsidRPr="007E11CA">
              <w:rPr>
                <w:bCs/>
                <w:snapToGrid w:val="0"/>
                <w:color w:val="000000"/>
                <w:kern w:val="22"/>
                <w:sz w:val="20"/>
                <w:szCs w:val="20"/>
                <w:lang w:val="fr-CA"/>
              </w:rPr>
              <w:t>10</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15</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77</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EUR</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t>5,</w:t>
            </w:r>
            <w:r w:rsidRPr="007E11CA">
              <w:rPr>
                <w:snapToGrid w:val="0"/>
                <w:color w:val="000000"/>
                <w:kern w:val="22"/>
                <w:sz w:val="20"/>
                <w:szCs w:val="20"/>
                <w:lang w:val="fr-CA"/>
              </w:rPr>
              <w:t>12</w:t>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2015</w:t>
            </w:r>
          </w:p>
        </w:tc>
      </w:tr>
      <w:tr w:rsidR="00685F80" w:rsidRPr="007E11CA" w:rsidTr="008A502D">
        <w:trPr>
          <w:trHeight w:val="232"/>
          <w:jc w:val="center"/>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685F80" w:rsidRPr="007E11CA" w:rsidRDefault="00685F80" w:rsidP="00C420BD">
            <w:pPr>
              <w:suppressLineNumbers/>
              <w:suppressAutoHyphens/>
              <w:kinsoku w:val="0"/>
              <w:overflowPunct w:val="0"/>
              <w:autoSpaceDE w:val="0"/>
              <w:autoSpaceDN w:val="0"/>
              <w:adjustRightInd w:val="0"/>
              <w:snapToGrid w:val="0"/>
              <w:jc w:val="left"/>
              <w:rPr>
                <w:snapToGrid w:val="0"/>
                <w:kern w:val="22"/>
                <w:sz w:val="20"/>
                <w:szCs w:val="20"/>
                <w:lang w:val="fr-CA"/>
              </w:rPr>
            </w:pPr>
            <w:r w:rsidRPr="007E11CA">
              <w:rPr>
                <w:snapToGrid w:val="0"/>
                <w:kern w:val="22"/>
                <w:sz w:val="20"/>
                <w:szCs w:val="20"/>
                <w:lang w:val="fr-CA"/>
              </w:rPr>
              <w:t>D</w:t>
            </w:r>
            <w:r>
              <w:rPr>
                <w:snapToGrid w:val="0"/>
                <w:kern w:val="22"/>
                <w:sz w:val="20"/>
                <w:szCs w:val="20"/>
                <w:lang w:val="fr-CA"/>
              </w:rPr>
              <w:t>anemark</w:t>
            </w:r>
            <w:r w:rsidRPr="007E11CA">
              <w:rPr>
                <w:snapToGrid w:val="0"/>
                <w:kern w:val="22"/>
                <w:sz w:val="20"/>
                <w:szCs w:val="20"/>
                <w:vertAlign w:val="superscript"/>
                <w:lang w:val="fr-CA"/>
              </w:rPr>
              <w:t>*</w:t>
            </w:r>
          </w:p>
        </w:tc>
        <w:tc>
          <w:tcPr>
            <w:tcW w:w="1135" w:type="dxa"/>
            <w:tcBorders>
              <w:top w:val="single" w:sz="4" w:space="0" w:color="auto"/>
              <w:left w:val="nil"/>
              <w:bottom w:val="single" w:sz="4" w:space="0" w:color="auto"/>
              <w:right w:val="single" w:sz="4" w:space="0" w:color="auto"/>
            </w:tcBorders>
            <w:shd w:val="clear" w:color="auto"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107</w:t>
            </w:r>
            <w:r>
              <w:rPr>
                <w:bCs/>
                <w:snapToGrid w:val="0"/>
                <w:color w:val="000000"/>
                <w:kern w:val="22"/>
                <w:sz w:val="20"/>
                <w:szCs w:val="20"/>
                <w:lang w:val="fr-CA"/>
              </w:rPr>
              <w:t> </w:t>
            </w:r>
            <w:r w:rsidRPr="007E11CA">
              <w:rPr>
                <w:bCs/>
                <w:snapToGrid w:val="0"/>
                <w:color w:val="000000"/>
                <w:kern w:val="22"/>
                <w:sz w:val="20"/>
                <w:szCs w:val="20"/>
                <w:lang w:val="fr-CA"/>
              </w:rPr>
              <w:t>181</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97 666</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bCs/>
                <w:snapToGrid w:val="0"/>
                <w:color w:val="000000"/>
                <w:kern w:val="22"/>
                <w:sz w:val="20"/>
                <w:szCs w:val="20"/>
                <w:lang w:val="fr-CA"/>
              </w:rPr>
              <w:t>0,</w:t>
            </w:r>
            <w:r w:rsidRPr="007E11CA">
              <w:rPr>
                <w:bCs/>
                <w:snapToGrid w:val="0"/>
                <w:color w:val="000000"/>
                <w:kern w:val="22"/>
                <w:sz w:val="20"/>
                <w:szCs w:val="20"/>
                <w:lang w:val="fr-CA"/>
              </w:rPr>
              <w:t>91</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588 000</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658 000</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DKK</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t>1,</w:t>
            </w:r>
            <w:r w:rsidRPr="007E11CA">
              <w:rPr>
                <w:snapToGrid w:val="0"/>
                <w:color w:val="000000"/>
                <w:kern w:val="22"/>
                <w:sz w:val="20"/>
                <w:szCs w:val="20"/>
                <w:lang w:val="fr-CA"/>
              </w:rPr>
              <w:t>12</w:t>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2015</w:t>
            </w:r>
          </w:p>
        </w:tc>
      </w:tr>
      <w:tr w:rsidR="00685F80" w:rsidRPr="007E11CA" w:rsidTr="008A502D">
        <w:trPr>
          <w:trHeight w:val="232"/>
          <w:jc w:val="center"/>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685F80" w:rsidRPr="007E11CA" w:rsidRDefault="00685F80" w:rsidP="00C420BD">
            <w:pPr>
              <w:suppressLineNumbers/>
              <w:suppressAutoHyphens/>
              <w:kinsoku w:val="0"/>
              <w:overflowPunct w:val="0"/>
              <w:autoSpaceDE w:val="0"/>
              <w:autoSpaceDN w:val="0"/>
              <w:adjustRightInd w:val="0"/>
              <w:snapToGrid w:val="0"/>
              <w:jc w:val="left"/>
              <w:rPr>
                <w:snapToGrid w:val="0"/>
                <w:kern w:val="22"/>
                <w:sz w:val="20"/>
                <w:szCs w:val="20"/>
                <w:lang w:val="fr-CA"/>
              </w:rPr>
            </w:pPr>
            <w:r>
              <w:rPr>
                <w:snapToGrid w:val="0"/>
                <w:kern w:val="22"/>
                <w:sz w:val="20"/>
                <w:szCs w:val="20"/>
                <w:lang w:val="fr-CA"/>
              </w:rPr>
              <w:t>Espagne</w:t>
            </w:r>
            <w:r w:rsidRPr="007E11CA">
              <w:rPr>
                <w:snapToGrid w:val="0"/>
                <w:kern w:val="22"/>
                <w:sz w:val="20"/>
                <w:szCs w:val="20"/>
                <w:vertAlign w:val="superscript"/>
                <w:lang w:val="fr-CA"/>
              </w:rPr>
              <w:t>*</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69</w:t>
            </w:r>
            <w:r>
              <w:rPr>
                <w:bCs/>
                <w:snapToGrid w:val="0"/>
                <w:color w:val="000000"/>
                <w:kern w:val="22"/>
                <w:sz w:val="20"/>
                <w:szCs w:val="20"/>
                <w:lang w:val="fr-CA"/>
              </w:rPr>
              <w:t> </w:t>
            </w:r>
            <w:r w:rsidRPr="007E11CA">
              <w:rPr>
                <w:bCs/>
                <w:snapToGrid w:val="0"/>
                <w:color w:val="000000"/>
                <w:kern w:val="22"/>
                <w:sz w:val="20"/>
                <w:szCs w:val="20"/>
                <w:lang w:val="fr-CA"/>
              </w:rPr>
              <w:t>409</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28 020</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bCs/>
                <w:snapToGrid w:val="0"/>
                <w:color w:val="000000"/>
                <w:kern w:val="22"/>
                <w:sz w:val="20"/>
                <w:szCs w:val="20"/>
                <w:lang w:val="fr-CA"/>
              </w:rPr>
              <w:t>0,</w:t>
            </w:r>
            <w:r w:rsidRPr="007E11CA">
              <w:rPr>
                <w:bCs/>
                <w:snapToGrid w:val="0"/>
                <w:color w:val="000000"/>
                <w:kern w:val="22"/>
                <w:sz w:val="20"/>
                <w:szCs w:val="20"/>
                <w:lang w:val="fr-CA"/>
              </w:rPr>
              <w:t>40</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50 642</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25 184</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EUR</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t>0,</w:t>
            </w:r>
            <w:r w:rsidRPr="007E11CA">
              <w:rPr>
                <w:snapToGrid w:val="0"/>
                <w:color w:val="000000"/>
                <w:kern w:val="22"/>
                <w:sz w:val="20"/>
                <w:szCs w:val="20"/>
                <w:lang w:val="fr-CA"/>
              </w:rPr>
              <w:t>50</w:t>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2015</w:t>
            </w:r>
          </w:p>
        </w:tc>
      </w:tr>
      <w:tr w:rsidR="00685F80" w:rsidRPr="007E11CA" w:rsidTr="008A502D">
        <w:trPr>
          <w:trHeight w:val="232"/>
          <w:jc w:val="center"/>
        </w:trPr>
        <w:tc>
          <w:tcPr>
            <w:tcW w:w="1373" w:type="dxa"/>
            <w:tcBorders>
              <w:top w:val="nil"/>
              <w:left w:val="single" w:sz="4" w:space="0" w:color="auto"/>
              <w:bottom w:val="single" w:sz="4" w:space="0" w:color="auto"/>
              <w:right w:val="single" w:sz="4" w:space="0" w:color="auto"/>
            </w:tcBorders>
            <w:shd w:val="clear" w:color="auto" w:fill="auto"/>
            <w:noWrap/>
            <w:vAlign w:val="center"/>
          </w:tcPr>
          <w:p w:rsidR="00685F80" w:rsidRPr="007E11CA" w:rsidRDefault="00685F80" w:rsidP="00C420BD">
            <w:pPr>
              <w:suppressLineNumbers/>
              <w:suppressAutoHyphens/>
              <w:kinsoku w:val="0"/>
              <w:overflowPunct w:val="0"/>
              <w:autoSpaceDE w:val="0"/>
              <w:autoSpaceDN w:val="0"/>
              <w:adjustRightInd w:val="0"/>
              <w:snapToGrid w:val="0"/>
              <w:jc w:val="left"/>
              <w:rPr>
                <w:snapToGrid w:val="0"/>
                <w:kern w:val="22"/>
                <w:sz w:val="20"/>
                <w:szCs w:val="20"/>
                <w:lang w:val="fr-CA"/>
              </w:rPr>
            </w:pPr>
            <w:r w:rsidRPr="007E11CA">
              <w:rPr>
                <w:snapToGrid w:val="0"/>
                <w:kern w:val="22"/>
                <w:sz w:val="20"/>
                <w:szCs w:val="20"/>
                <w:lang w:val="fr-CA"/>
              </w:rPr>
              <w:t>Estoni</w:t>
            </w:r>
            <w:r>
              <w:rPr>
                <w:snapToGrid w:val="0"/>
                <w:kern w:val="22"/>
                <w:sz w:val="20"/>
                <w:szCs w:val="20"/>
                <w:lang w:val="fr-CA"/>
              </w:rPr>
              <w:t>e</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19</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359</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bCs/>
                <w:snapToGrid w:val="0"/>
                <w:color w:val="000000"/>
                <w:kern w:val="22"/>
                <w:sz w:val="20"/>
                <w:szCs w:val="20"/>
                <w:lang w:val="fr-CA"/>
              </w:rPr>
              <w:t>18,</w:t>
            </w:r>
            <w:r w:rsidRPr="007E11CA">
              <w:rPr>
                <w:bCs/>
                <w:snapToGrid w:val="0"/>
                <w:color w:val="000000"/>
                <w:kern w:val="22"/>
                <w:sz w:val="20"/>
                <w:szCs w:val="20"/>
                <w:lang w:val="fr-CA"/>
              </w:rPr>
              <w:t>89</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14</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323</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EUR</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t>23,</w:t>
            </w:r>
            <w:r w:rsidRPr="007E11CA">
              <w:rPr>
                <w:snapToGrid w:val="0"/>
                <w:color w:val="000000"/>
                <w:kern w:val="22"/>
                <w:sz w:val="20"/>
                <w:szCs w:val="20"/>
                <w:lang w:val="fr-CA"/>
              </w:rPr>
              <w:t>07</w:t>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2015</w:t>
            </w:r>
          </w:p>
        </w:tc>
      </w:tr>
      <w:tr w:rsidR="00685F80" w:rsidRPr="007E11CA" w:rsidTr="008A502D">
        <w:trPr>
          <w:trHeight w:val="232"/>
          <w:jc w:val="center"/>
        </w:trPr>
        <w:tc>
          <w:tcPr>
            <w:tcW w:w="1373" w:type="dxa"/>
            <w:tcBorders>
              <w:top w:val="nil"/>
              <w:left w:val="single" w:sz="4" w:space="0" w:color="auto"/>
              <w:bottom w:val="single" w:sz="4" w:space="0" w:color="auto"/>
              <w:right w:val="single" w:sz="4" w:space="0" w:color="auto"/>
            </w:tcBorders>
            <w:shd w:val="clear" w:color="auto" w:fill="auto"/>
            <w:noWrap/>
            <w:vAlign w:val="center"/>
          </w:tcPr>
          <w:p w:rsidR="00685F80" w:rsidRPr="007E11CA" w:rsidRDefault="00685F80" w:rsidP="00C420BD">
            <w:pPr>
              <w:suppressLineNumbers/>
              <w:suppressAutoHyphens/>
              <w:kinsoku w:val="0"/>
              <w:overflowPunct w:val="0"/>
              <w:autoSpaceDE w:val="0"/>
              <w:autoSpaceDN w:val="0"/>
              <w:adjustRightInd w:val="0"/>
              <w:snapToGrid w:val="0"/>
              <w:jc w:val="left"/>
              <w:rPr>
                <w:snapToGrid w:val="0"/>
                <w:kern w:val="22"/>
                <w:sz w:val="20"/>
                <w:szCs w:val="20"/>
                <w:lang w:val="fr-CA"/>
              </w:rPr>
            </w:pPr>
            <w:r w:rsidRPr="007E11CA">
              <w:rPr>
                <w:snapToGrid w:val="0"/>
                <w:kern w:val="22"/>
                <w:sz w:val="20"/>
                <w:szCs w:val="20"/>
                <w:lang w:val="fr-CA"/>
              </w:rPr>
              <w:t>Finland</w:t>
            </w:r>
            <w:r>
              <w:rPr>
                <w:snapToGrid w:val="0"/>
                <w:kern w:val="22"/>
                <w:sz w:val="20"/>
                <w:szCs w:val="20"/>
                <w:lang w:val="fr-CA"/>
              </w:rPr>
              <w:t>e</w:t>
            </w:r>
            <w:r w:rsidRPr="007E11CA">
              <w:rPr>
                <w:snapToGrid w:val="0"/>
                <w:kern w:val="22"/>
                <w:sz w:val="20"/>
                <w:szCs w:val="20"/>
                <w:vertAlign w:val="superscript"/>
                <w:lang w:val="fr-CA"/>
              </w:rPr>
              <w:t>*</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19</w:t>
            </w:r>
            <w:r>
              <w:rPr>
                <w:bCs/>
                <w:snapToGrid w:val="0"/>
                <w:color w:val="000000"/>
                <w:kern w:val="22"/>
                <w:sz w:val="20"/>
                <w:szCs w:val="20"/>
                <w:lang w:val="fr-CA"/>
              </w:rPr>
              <w:t> </w:t>
            </w:r>
            <w:r w:rsidRPr="007E11CA">
              <w:rPr>
                <w:bCs/>
                <w:snapToGrid w:val="0"/>
                <w:color w:val="000000"/>
                <w:kern w:val="22"/>
                <w:sz w:val="20"/>
                <w:szCs w:val="20"/>
                <w:lang w:val="fr-CA"/>
              </w:rPr>
              <w:t>945</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26 200</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bCs/>
                <w:snapToGrid w:val="0"/>
                <w:color w:val="000000"/>
                <w:kern w:val="22"/>
                <w:sz w:val="20"/>
                <w:szCs w:val="20"/>
                <w:lang w:val="fr-CA"/>
              </w:rPr>
              <w:t>1,</w:t>
            </w:r>
            <w:r w:rsidRPr="007E11CA">
              <w:rPr>
                <w:bCs/>
                <w:snapToGrid w:val="0"/>
                <w:color w:val="000000"/>
                <w:kern w:val="22"/>
                <w:sz w:val="20"/>
                <w:szCs w:val="20"/>
                <w:lang w:val="fr-CA"/>
              </w:rPr>
              <w:t>31</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14 598</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23 549</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EUR</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t>1,</w:t>
            </w:r>
            <w:r w:rsidRPr="007E11CA">
              <w:rPr>
                <w:snapToGrid w:val="0"/>
                <w:color w:val="000000"/>
                <w:kern w:val="22"/>
                <w:sz w:val="20"/>
                <w:szCs w:val="20"/>
                <w:lang w:val="fr-CA"/>
              </w:rPr>
              <w:t>61</w:t>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2015</w:t>
            </w:r>
          </w:p>
        </w:tc>
      </w:tr>
      <w:tr w:rsidR="00685F80" w:rsidRPr="007E11CA" w:rsidTr="008A502D">
        <w:trPr>
          <w:trHeight w:val="232"/>
          <w:jc w:val="center"/>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685F80" w:rsidRPr="007E11CA" w:rsidRDefault="00685F80" w:rsidP="00C420BD">
            <w:pPr>
              <w:suppressLineNumbers/>
              <w:suppressAutoHyphens/>
              <w:kinsoku w:val="0"/>
              <w:overflowPunct w:val="0"/>
              <w:autoSpaceDE w:val="0"/>
              <w:autoSpaceDN w:val="0"/>
              <w:adjustRightInd w:val="0"/>
              <w:snapToGrid w:val="0"/>
              <w:jc w:val="left"/>
              <w:rPr>
                <w:snapToGrid w:val="0"/>
                <w:kern w:val="22"/>
                <w:sz w:val="20"/>
                <w:szCs w:val="20"/>
                <w:lang w:val="fr-CA"/>
              </w:rPr>
            </w:pPr>
            <w:r w:rsidRPr="007E11CA">
              <w:rPr>
                <w:snapToGrid w:val="0"/>
                <w:kern w:val="22"/>
                <w:sz w:val="20"/>
                <w:szCs w:val="20"/>
                <w:lang w:val="fr-CA"/>
              </w:rPr>
              <w:t>France</w:t>
            </w:r>
            <w:r w:rsidRPr="007E11CA">
              <w:rPr>
                <w:snapToGrid w:val="0"/>
                <w:kern w:val="22"/>
                <w:sz w:val="20"/>
                <w:szCs w:val="20"/>
                <w:vertAlign w:val="superscript"/>
                <w:lang w:val="fr-CA"/>
              </w:rPr>
              <w:t>*</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144</w:t>
            </w:r>
            <w:r>
              <w:rPr>
                <w:bCs/>
                <w:snapToGrid w:val="0"/>
                <w:color w:val="000000"/>
                <w:kern w:val="22"/>
                <w:sz w:val="20"/>
                <w:szCs w:val="20"/>
                <w:lang w:val="fr-CA"/>
              </w:rPr>
              <w:t> </w:t>
            </w:r>
            <w:r w:rsidRPr="007E11CA">
              <w:rPr>
                <w:bCs/>
                <w:snapToGrid w:val="0"/>
                <w:color w:val="000000"/>
                <w:kern w:val="22"/>
                <w:sz w:val="20"/>
                <w:szCs w:val="20"/>
                <w:lang w:val="fr-CA"/>
              </w:rPr>
              <w:t>392</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333 963</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bCs/>
                <w:snapToGrid w:val="0"/>
                <w:color w:val="000000"/>
                <w:kern w:val="22"/>
                <w:sz w:val="20"/>
                <w:szCs w:val="20"/>
                <w:lang w:val="fr-CA"/>
              </w:rPr>
              <w:t>2,</w:t>
            </w:r>
            <w:r w:rsidRPr="007E11CA">
              <w:rPr>
                <w:bCs/>
                <w:snapToGrid w:val="0"/>
                <w:color w:val="000000"/>
                <w:kern w:val="22"/>
                <w:sz w:val="20"/>
                <w:szCs w:val="20"/>
                <w:lang w:val="fr-CA"/>
              </w:rPr>
              <w:t>31</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105 690</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300 170</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EUR</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t>2,</w:t>
            </w:r>
            <w:r w:rsidRPr="007E11CA">
              <w:rPr>
                <w:snapToGrid w:val="0"/>
                <w:color w:val="000000"/>
                <w:kern w:val="22"/>
                <w:sz w:val="20"/>
                <w:szCs w:val="20"/>
                <w:lang w:val="fr-CA"/>
              </w:rPr>
              <w:t>84</w:t>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2015</w:t>
            </w:r>
          </w:p>
        </w:tc>
      </w:tr>
      <w:tr w:rsidR="00685F80" w:rsidRPr="007E11CA" w:rsidTr="008A502D">
        <w:trPr>
          <w:trHeight w:val="232"/>
          <w:jc w:val="center"/>
        </w:trPr>
        <w:tc>
          <w:tcPr>
            <w:tcW w:w="1373" w:type="dxa"/>
            <w:tcBorders>
              <w:top w:val="nil"/>
              <w:left w:val="single" w:sz="4" w:space="0" w:color="auto"/>
              <w:bottom w:val="single" w:sz="4" w:space="0" w:color="auto"/>
              <w:right w:val="single" w:sz="4" w:space="0" w:color="auto"/>
            </w:tcBorders>
            <w:shd w:val="clear" w:color="auto" w:fill="auto"/>
            <w:noWrap/>
            <w:vAlign w:val="center"/>
          </w:tcPr>
          <w:p w:rsidR="00685F80" w:rsidRPr="007E11CA" w:rsidRDefault="00685F80" w:rsidP="00C420BD">
            <w:pPr>
              <w:suppressLineNumbers/>
              <w:suppressAutoHyphens/>
              <w:kinsoku w:val="0"/>
              <w:overflowPunct w:val="0"/>
              <w:autoSpaceDE w:val="0"/>
              <w:autoSpaceDN w:val="0"/>
              <w:adjustRightInd w:val="0"/>
              <w:snapToGrid w:val="0"/>
              <w:jc w:val="left"/>
              <w:rPr>
                <w:snapToGrid w:val="0"/>
                <w:kern w:val="22"/>
                <w:sz w:val="20"/>
                <w:szCs w:val="20"/>
                <w:lang w:val="fr-CA"/>
              </w:rPr>
            </w:pPr>
            <w:r>
              <w:rPr>
                <w:snapToGrid w:val="0"/>
                <w:kern w:val="22"/>
                <w:sz w:val="20"/>
                <w:szCs w:val="20"/>
                <w:lang w:val="fr-CA"/>
              </w:rPr>
              <w:t>Grè</w:t>
            </w:r>
            <w:r w:rsidRPr="007E11CA">
              <w:rPr>
                <w:snapToGrid w:val="0"/>
                <w:kern w:val="22"/>
                <w:sz w:val="20"/>
                <w:szCs w:val="20"/>
                <w:lang w:val="fr-CA"/>
              </w:rPr>
              <w:t>ce</w:t>
            </w:r>
            <w:r w:rsidRPr="007E11CA">
              <w:rPr>
                <w:snapToGrid w:val="0"/>
                <w:kern w:val="22"/>
                <w:sz w:val="20"/>
                <w:szCs w:val="20"/>
                <w:vertAlign w:val="superscript"/>
                <w:lang w:val="fr-CA"/>
              </w:rPr>
              <w:t>*</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3</w:t>
            </w:r>
            <w:r>
              <w:rPr>
                <w:bCs/>
                <w:snapToGrid w:val="0"/>
                <w:color w:val="000000"/>
                <w:kern w:val="22"/>
                <w:sz w:val="20"/>
                <w:szCs w:val="20"/>
                <w:lang w:val="fr-CA"/>
              </w:rPr>
              <w:t> </w:t>
            </w:r>
            <w:r w:rsidRPr="007E11CA">
              <w:rPr>
                <w:bCs/>
                <w:snapToGrid w:val="0"/>
                <w:color w:val="000000"/>
                <w:kern w:val="22"/>
                <w:sz w:val="20"/>
                <w:szCs w:val="20"/>
                <w:lang w:val="fr-CA"/>
              </w:rPr>
              <w:t>839</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289</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bCs/>
                <w:snapToGrid w:val="0"/>
                <w:color w:val="000000"/>
                <w:kern w:val="22"/>
                <w:sz w:val="20"/>
                <w:szCs w:val="20"/>
                <w:lang w:val="fr-CA"/>
              </w:rPr>
              <w:t>0,</w:t>
            </w:r>
            <w:r w:rsidRPr="007E11CA">
              <w:rPr>
                <w:bCs/>
                <w:snapToGrid w:val="0"/>
                <w:color w:val="000000"/>
                <w:kern w:val="22"/>
                <w:sz w:val="20"/>
                <w:szCs w:val="20"/>
                <w:lang w:val="fr-CA"/>
              </w:rPr>
              <w:t>08</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3 839</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289</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USD</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t>0,</w:t>
            </w:r>
            <w:r w:rsidRPr="007E11CA">
              <w:rPr>
                <w:snapToGrid w:val="0"/>
                <w:color w:val="000000"/>
                <w:kern w:val="22"/>
                <w:sz w:val="20"/>
                <w:szCs w:val="20"/>
                <w:lang w:val="fr-CA"/>
              </w:rPr>
              <w:t>08</w:t>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2014</w:t>
            </w:r>
          </w:p>
        </w:tc>
      </w:tr>
      <w:tr w:rsidR="00685F80" w:rsidRPr="007E11CA" w:rsidTr="008A502D">
        <w:trPr>
          <w:trHeight w:val="232"/>
          <w:jc w:val="center"/>
        </w:trPr>
        <w:tc>
          <w:tcPr>
            <w:tcW w:w="1373" w:type="dxa"/>
            <w:tcBorders>
              <w:top w:val="nil"/>
              <w:left w:val="single" w:sz="4" w:space="0" w:color="auto"/>
              <w:bottom w:val="single" w:sz="4" w:space="0" w:color="auto"/>
              <w:right w:val="single" w:sz="4" w:space="0" w:color="auto"/>
            </w:tcBorders>
            <w:shd w:val="clear" w:color="auto" w:fill="auto"/>
            <w:noWrap/>
            <w:vAlign w:val="center"/>
          </w:tcPr>
          <w:p w:rsidR="00685F80" w:rsidRPr="007E11CA" w:rsidRDefault="00685F80" w:rsidP="00C420BD">
            <w:pPr>
              <w:suppressLineNumbers/>
              <w:suppressAutoHyphens/>
              <w:kinsoku w:val="0"/>
              <w:overflowPunct w:val="0"/>
              <w:autoSpaceDE w:val="0"/>
              <w:autoSpaceDN w:val="0"/>
              <w:adjustRightInd w:val="0"/>
              <w:snapToGrid w:val="0"/>
              <w:jc w:val="left"/>
              <w:rPr>
                <w:snapToGrid w:val="0"/>
                <w:kern w:val="22"/>
                <w:sz w:val="20"/>
                <w:szCs w:val="20"/>
                <w:lang w:val="fr-CA"/>
              </w:rPr>
            </w:pPr>
            <w:r w:rsidRPr="007E11CA">
              <w:rPr>
                <w:snapToGrid w:val="0"/>
                <w:kern w:val="22"/>
                <w:sz w:val="20"/>
                <w:szCs w:val="20"/>
                <w:lang w:val="fr-CA"/>
              </w:rPr>
              <w:t>H</w:t>
            </w:r>
            <w:r>
              <w:rPr>
                <w:snapToGrid w:val="0"/>
                <w:kern w:val="22"/>
                <w:sz w:val="20"/>
                <w:szCs w:val="20"/>
                <w:lang w:val="fr-CA"/>
              </w:rPr>
              <w:t>ongrie</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31</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1 688</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bCs/>
                <w:snapToGrid w:val="0"/>
                <w:color w:val="000000"/>
                <w:kern w:val="22"/>
                <w:sz w:val="20"/>
                <w:szCs w:val="20"/>
                <w:lang w:val="fr-CA"/>
              </w:rPr>
              <w:t>54,</w:t>
            </w:r>
            <w:r w:rsidRPr="007E11CA">
              <w:rPr>
                <w:bCs/>
                <w:snapToGrid w:val="0"/>
                <w:color w:val="000000"/>
                <w:kern w:val="22"/>
                <w:sz w:val="20"/>
                <w:szCs w:val="20"/>
                <w:lang w:val="fr-CA"/>
              </w:rPr>
              <w:t>45</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5 939</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392 588</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HUF</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t>66,</w:t>
            </w:r>
            <w:r w:rsidRPr="007E11CA">
              <w:rPr>
                <w:snapToGrid w:val="0"/>
                <w:color w:val="000000"/>
                <w:kern w:val="22"/>
                <w:sz w:val="20"/>
                <w:szCs w:val="20"/>
                <w:lang w:val="fr-CA"/>
              </w:rPr>
              <w:t>10</w:t>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2014</w:t>
            </w:r>
          </w:p>
        </w:tc>
      </w:tr>
      <w:tr w:rsidR="00685F80" w:rsidRPr="007E11CA" w:rsidTr="008A502D">
        <w:trPr>
          <w:trHeight w:val="232"/>
          <w:jc w:val="center"/>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685F80" w:rsidRPr="007E11CA" w:rsidRDefault="00685F80" w:rsidP="00C420BD">
            <w:pPr>
              <w:suppressLineNumbers/>
              <w:suppressAutoHyphens/>
              <w:kinsoku w:val="0"/>
              <w:overflowPunct w:val="0"/>
              <w:autoSpaceDE w:val="0"/>
              <w:autoSpaceDN w:val="0"/>
              <w:adjustRightInd w:val="0"/>
              <w:snapToGrid w:val="0"/>
              <w:jc w:val="left"/>
              <w:rPr>
                <w:snapToGrid w:val="0"/>
                <w:kern w:val="22"/>
                <w:sz w:val="20"/>
                <w:szCs w:val="20"/>
                <w:lang w:val="fr-CA"/>
              </w:rPr>
            </w:pPr>
            <w:r>
              <w:rPr>
                <w:snapToGrid w:val="0"/>
                <w:kern w:val="22"/>
                <w:sz w:val="20"/>
                <w:szCs w:val="20"/>
                <w:lang w:val="fr-CA"/>
              </w:rPr>
              <w:t>Japo</w:t>
            </w:r>
            <w:r w:rsidRPr="007E11CA">
              <w:rPr>
                <w:snapToGrid w:val="0"/>
                <w:kern w:val="22"/>
                <w:sz w:val="20"/>
                <w:szCs w:val="20"/>
                <w:lang w:val="fr-CA"/>
              </w:rPr>
              <w:t>n</w:t>
            </w:r>
            <w:r w:rsidRPr="007E11CA">
              <w:rPr>
                <w:snapToGrid w:val="0"/>
                <w:kern w:val="22"/>
                <w:sz w:val="20"/>
                <w:szCs w:val="20"/>
                <w:vertAlign w:val="superscript"/>
                <w:lang w:val="fr-CA"/>
              </w:rPr>
              <w:t>*</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1</w:t>
            </w:r>
            <w:r>
              <w:rPr>
                <w:bCs/>
                <w:snapToGrid w:val="0"/>
                <w:color w:val="000000"/>
                <w:kern w:val="22"/>
                <w:sz w:val="20"/>
                <w:szCs w:val="20"/>
                <w:lang w:val="fr-CA"/>
              </w:rPr>
              <w:t> </w:t>
            </w:r>
            <w:r w:rsidRPr="007E11CA">
              <w:rPr>
                <w:bCs/>
                <w:snapToGrid w:val="0"/>
                <w:color w:val="000000"/>
                <w:kern w:val="22"/>
                <w:sz w:val="20"/>
                <w:szCs w:val="20"/>
                <w:lang w:val="fr-CA"/>
              </w:rPr>
              <w:t>239</w:t>
            </w:r>
            <w:r>
              <w:rPr>
                <w:bCs/>
                <w:snapToGrid w:val="0"/>
                <w:color w:val="000000"/>
                <w:kern w:val="22"/>
                <w:sz w:val="20"/>
                <w:szCs w:val="20"/>
                <w:lang w:val="fr-CA"/>
              </w:rPr>
              <w:t> </w:t>
            </w:r>
            <w:r w:rsidRPr="007E11CA">
              <w:rPr>
                <w:bCs/>
                <w:snapToGrid w:val="0"/>
                <w:color w:val="000000"/>
                <w:kern w:val="22"/>
                <w:sz w:val="20"/>
                <w:szCs w:val="20"/>
                <w:lang w:val="fr-CA"/>
              </w:rPr>
              <w:t>208</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1 863 990</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bCs/>
                <w:snapToGrid w:val="0"/>
                <w:color w:val="000000"/>
                <w:kern w:val="22"/>
                <w:sz w:val="20"/>
                <w:szCs w:val="20"/>
                <w:lang w:val="fr-CA"/>
              </w:rPr>
              <w:t>1,</w:t>
            </w:r>
            <w:r w:rsidRPr="007E11CA">
              <w:rPr>
                <w:bCs/>
                <w:snapToGrid w:val="0"/>
                <w:color w:val="000000"/>
                <w:kern w:val="22"/>
                <w:sz w:val="20"/>
                <w:szCs w:val="20"/>
                <w:lang w:val="fr-CA"/>
              </w:rPr>
              <w:t>50</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1 239 208</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1 863 990</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USD</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t>1,</w:t>
            </w:r>
            <w:r w:rsidRPr="007E11CA">
              <w:rPr>
                <w:snapToGrid w:val="0"/>
                <w:color w:val="000000"/>
                <w:kern w:val="22"/>
                <w:sz w:val="20"/>
                <w:szCs w:val="20"/>
                <w:lang w:val="fr-CA"/>
              </w:rPr>
              <w:t>50</w:t>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2015</w:t>
            </w:r>
          </w:p>
        </w:tc>
      </w:tr>
      <w:tr w:rsidR="00685F80" w:rsidRPr="007E11CA" w:rsidTr="008A502D">
        <w:trPr>
          <w:trHeight w:val="232"/>
          <w:jc w:val="center"/>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685F80" w:rsidRPr="007E11CA" w:rsidRDefault="00685F80" w:rsidP="00C420BD">
            <w:pPr>
              <w:suppressLineNumbers/>
              <w:suppressAutoHyphens/>
              <w:kinsoku w:val="0"/>
              <w:overflowPunct w:val="0"/>
              <w:autoSpaceDE w:val="0"/>
              <w:autoSpaceDN w:val="0"/>
              <w:adjustRightInd w:val="0"/>
              <w:snapToGrid w:val="0"/>
              <w:jc w:val="left"/>
              <w:rPr>
                <w:snapToGrid w:val="0"/>
                <w:kern w:val="22"/>
                <w:sz w:val="20"/>
                <w:szCs w:val="20"/>
                <w:lang w:val="fr-CA"/>
              </w:rPr>
            </w:pPr>
            <w:r w:rsidRPr="007E11CA">
              <w:rPr>
                <w:snapToGrid w:val="0"/>
                <w:kern w:val="22"/>
                <w:sz w:val="20"/>
                <w:szCs w:val="20"/>
                <w:lang w:val="fr-CA"/>
              </w:rPr>
              <w:t>L</w:t>
            </w:r>
            <w:r>
              <w:rPr>
                <w:snapToGrid w:val="0"/>
                <w:kern w:val="22"/>
                <w:sz w:val="20"/>
                <w:szCs w:val="20"/>
                <w:lang w:val="fr-CA"/>
              </w:rPr>
              <w:t>ettonie</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54</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222</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bCs/>
                <w:snapToGrid w:val="0"/>
                <w:color w:val="000000"/>
                <w:kern w:val="22"/>
                <w:sz w:val="20"/>
                <w:szCs w:val="20"/>
                <w:lang w:val="fr-CA"/>
              </w:rPr>
              <w:t>4,</w:t>
            </w:r>
            <w:r w:rsidRPr="007E11CA">
              <w:rPr>
                <w:bCs/>
                <w:snapToGrid w:val="0"/>
                <w:color w:val="000000"/>
                <w:kern w:val="22"/>
                <w:sz w:val="20"/>
                <w:szCs w:val="20"/>
                <w:lang w:val="fr-CA"/>
              </w:rPr>
              <w:t>11</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39</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199</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EUR</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t>5,</w:t>
            </w:r>
            <w:r w:rsidRPr="007E11CA">
              <w:rPr>
                <w:snapToGrid w:val="0"/>
                <w:color w:val="000000"/>
                <w:kern w:val="22"/>
                <w:sz w:val="20"/>
                <w:szCs w:val="20"/>
                <w:lang w:val="fr-CA"/>
              </w:rPr>
              <w:t>14</w:t>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2015</w:t>
            </w:r>
          </w:p>
        </w:tc>
      </w:tr>
      <w:tr w:rsidR="00685F80" w:rsidRPr="007E11CA" w:rsidTr="008A502D">
        <w:trPr>
          <w:trHeight w:val="232"/>
          <w:jc w:val="center"/>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685F80" w:rsidRPr="007E11CA" w:rsidRDefault="00685F80" w:rsidP="00C420BD">
            <w:pPr>
              <w:suppressLineNumbers/>
              <w:suppressAutoHyphens/>
              <w:kinsoku w:val="0"/>
              <w:overflowPunct w:val="0"/>
              <w:autoSpaceDE w:val="0"/>
              <w:autoSpaceDN w:val="0"/>
              <w:adjustRightInd w:val="0"/>
              <w:snapToGrid w:val="0"/>
              <w:jc w:val="left"/>
              <w:rPr>
                <w:snapToGrid w:val="0"/>
                <w:kern w:val="22"/>
                <w:sz w:val="20"/>
                <w:szCs w:val="20"/>
                <w:lang w:val="fr-CA"/>
              </w:rPr>
            </w:pPr>
            <w:r w:rsidRPr="007E11CA">
              <w:rPr>
                <w:snapToGrid w:val="0"/>
                <w:kern w:val="22"/>
                <w:sz w:val="20"/>
                <w:szCs w:val="20"/>
                <w:lang w:val="fr-CA"/>
              </w:rPr>
              <w:t>Luxembourg</w:t>
            </w:r>
            <w:r w:rsidRPr="007E11CA">
              <w:rPr>
                <w:snapToGrid w:val="0"/>
                <w:kern w:val="22"/>
                <w:sz w:val="20"/>
                <w:szCs w:val="20"/>
                <w:vertAlign w:val="superscript"/>
                <w:lang w:val="fr-CA"/>
              </w:rPr>
              <w:t>*</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3</w:t>
            </w:r>
            <w:r>
              <w:rPr>
                <w:bCs/>
                <w:snapToGrid w:val="0"/>
                <w:color w:val="000000"/>
                <w:kern w:val="22"/>
                <w:sz w:val="20"/>
                <w:szCs w:val="20"/>
                <w:lang w:val="fr-CA"/>
              </w:rPr>
              <w:t> </w:t>
            </w:r>
            <w:r w:rsidRPr="007E11CA">
              <w:rPr>
                <w:bCs/>
                <w:snapToGrid w:val="0"/>
                <w:color w:val="000000"/>
                <w:kern w:val="22"/>
                <w:sz w:val="20"/>
                <w:szCs w:val="20"/>
                <w:lang w:val="fr-CA"/>
              </w:rPr>
              <w:t>348</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9 697</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bCs/>
                <w:snapToGrid w:val="0"/>
                <w:color w:val="000000"/>
                <w:kern w:val="22"/>
                <w:sz w:val="20"/>
                <w:szCs w:val="20"/>
                <w:lang w:val="fr-CA"/>
              </w:rPr>
              <w:t>2,</w:t>
            </w:r>
            <w:r w:rsidRPr="007E11CA">
              <w:rPr>
                <w:bCs/>
                <w:snapToGrid w:val="0"/>
                <w:color w:val="000000"/>
                <w:kern w:val="22"/>
                <w:sz w:val="20"/>
                <w:szCs w:val="20"/>
                <w:lang w:val="fr-CA"/>
              </w:rPr>
              <w:t>90</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2 523</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8 715</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EUR</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t>3,</w:t>
            </w:r>
            <w:r w:rsidRPr="007E11CA">
              <w:rPr>
                <w:snapToGrid w:val="0"/>
                <w:color w:val="000000"/>
                <w:kern w:val="22"/>
                <w:sz w:val="20"/>
                <w:szCs w:val="20"/>
                <w:lang w:val="fr-CA"/>
              </w:rPr>
              <w:t>45</w:t>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2015</w:t>
            </w:r>
          </w:p>
        </w:tc>
      </w:tr>
      <w:tr w:rsidR="00685F80" w:rsidRPr="007E11CA" w:rsidTr="008A502D">
        <w:trPr>
          <w:trHeight w:val="232"/>
          <w:jc w:val="center"/>
        </w:trPr>
        <w:tc>
          <w:tcPr>
            <w:tcW w:w="1373" w:type="dxa"/>
            <w:tcBorders>
              <w:top w:val="nil"/>
              <w:left w:val="single" w:sz="4" w:space="0" w:color="auto"/>
              <w:bottom w:val="single" w:sz="4" w:space="0" w:color="auto"/>
              <w:right w:val="single" w:sz="4" w:space="0" w:color="auto"/>
            </w:tcBorders>
            <w:shd w:val="clear" w:color="auto" w:fill="auto"/>
            <w:noWrap/>
            <w:vAlign w:val="center"/>
          </w:tcPr>
          <w:p w:rsidR="00685F80" w:rsidRPr="007E11CA" w:rsidRDefault="00685F80" w:rsidP="00C420BD">
            <w:pPr>
              <w:suppressLineNumbers/>
              <w:suppressAutoHyphens/>
              <w:kinsoku w:val="0"/>
              <w:overflowPunct w:val="0"/>
              <w:autoSpaceDE w:val="0"/>
              <w:autoSpaceDN w:val="0"/>
              <w:adjustRightInd w:val="0"/>
              <w:snapToGrid w:val="0"/>
              <w:jc w:val="left"/>
              <w:rPr>
                <w:snapToGrid w:val="0"/>
                <w:kern w:val="22"/>
                <w:sz w:val="20"/>
                <w:szCs w:val="20"/>
                <w:lang w:val="fr-CA"/>
              </w:rPr>
            </w:pPr>
            <w:r w:rsidRPr="007E11CA">
              <w:rPr>
                <w:snapToGrid w:val="0"/>
                <w:kern w:val="22"/>
                <w:sz w:val="20"/>
                <w:szCs w:val="20"/>
                <w:lang w:val="fr-CA"/>
              </w:rPr>
              <w:t>Malt</w:t>
            </w:r>
            <w:r>
              <w:rPr>
                <w:snapToGrid w:val="0"/>
                <w:kern w:val="22"/>
                <w:sz w:val="20"/>
                <w:szCs w:val="20"/>
                <w:lang w:val="fr-CA"/>
              </w:rPr>
              <w:t>e</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466152"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bCs/>
                <w:snapToGrid w:val="0"/>
                <w:color w:val="000000"/>
                <w:kern w:val="22"/>
                <w:sz w:val="20"/>
                <w:szCs w:val="20"/>
                <w:lang w:val="fr-CA"/>
              </w:rPr>
              <w:noBreakHyphen/>
            </w:r>
            <w:r>
              <w:rPr>
                <w:bCs/>
                <w:snapToGrid w:val="0"/>
                <w:color w:val="000000"/>
                <w:kern w:val="22"/>
                <w:sz w:val="20"/>
                <w:szCs w:val="20"/>
                <w:lang w:val="fr-CA"/>
              </w:rPr>
              <w:noBreakHyphen/>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91</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466152"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bCs/>
                <w:snapToGrid w:val="0"/>
                <w:color w:val="000000"/>
                <w:kern w:val="22"/>
                <w:sz w:val="20"/>
                <w:szCs w:val="20"/>
                <w:lang w:val="fr-CA"/>
              </w:rPr>
              <w:noBreakHyphen/>
            </w:r>
            <w:r>
              <w:rPr>
                <w:bCs/>
                <w:snapToGrid w:val="0"/>
                <w:color w:val="000000"/>
                <w:kern w:val="22"/>
                <w:sz w:val="20"/>
                <w:szCs w:val="20"/>
                <w:lang w:val="fr-CA"/>
              </w:rPr>
              <w:noBreakHyphen/>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466152"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snapToGrid w:val="0"/>
                <w:color w:val="000000"/>
                <w:kern w:val="22"/>
                <w:sz w:val="20"/>
                <w:szCs w:val="20"/>
                <w:lang w:val="fr-CA"/>
              </w:rPr>
              <w:noBreakHyphen/>
            </w:r>
            <w:r>
              <w:rPr>
                <w:snapToGrid w:val="0"/>
                <w:color w:val="000000"/>
                <w:kern w:val="22"/>
                <w:sz w:val="20"/>
                <w:szCs w:val="20"/>
                <w:lang w:val="fr-CA"/>
              </w:rPr>
              <w:noBreakHyphen/>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82</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EUR</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466152"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noBreakHyphen/>
            </w:r>
            <w:r>
              <w:rPr>
                <w:snapToGrid w:val="0"/>
                <w:color w:val="000000"/>
                <w:kern w:val="22"/>
                <w:sz w:val="20"/>
                <w:szCs w:val="20"/>
                <w:lang w:val="fr-CA"/>
              </w:rPr>
              <w:noBreakHyphen/>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2015</w:t>
            </w:r>
          </w:p>
        </w:tc>
      </w:tr>
      <w:tr w:rsidR="00685F80" w:rsidRPr="007E11CA" w:rsidTr="008A502D">
        <w:trPr>
          <w:trHeight w:val="232"/>
          <w:jc w:val="center"/>
        </w:trPr>
        <w:tc>
          <w:tcPr>
            <w:tcW w:w="1373" w:type="dxa"/>
            <w:tcBorders>
              <w:top w:val="nil"/>
              <w:left w:val="single" w:sz="4" w:space="0" w:color="auto"/>
              <w:bottom w:val="single" w:sz="4" w:space="0" w:color="auto"/>
              <w:right w:val="single" w:sz="4" w:space="0" w:color="auto"/>
            </w:tcBorders>
            <w:shd w:val="clear" w:color="auto" w:fill="FFFFFF"/>
            <w:noWrap/>
            <w:vAlign w:val="center"/>
          </w:tcPr>
          <w:p w:rsidR="00685F80" w:rsidRPr="007E11CA" w:rsidRDefault="00685F80" w:rsidP="00C420BD">
            <w:pPr>
              <w:suppressLineNumbers/>
              <w:suppressAutoHyphens/>
              <w:kinsoku w:val="0"/>
              <w:overflowPunct w:val="0"/>
              <w:autoSpaceDE w:val="0"/>
              <w:autoSpaceDN w:val="0"/>
              <w:adjustRightInd w:val="0"/>
              <w:snapToGrid w:val="0"/>
              <w:jc w:val="left"/>
              <w:rPr>
                <w:snapToGrid w:val="0"/>
                <w:kern w:val="22"/>
                <w:sz w:val="20"/>
                <w:szCs w:val="20"/>
                <w:lang w:val="fr-CA"/>
              </w:rPr>
            </w:pPr>
            <w:r w:rsidRPr="007E11CA">
              <w:rPr>
                <w:snapToGrid w:val="0"/>
                <w:kern w:val="22"/>
                <w:sz w:val="20"/>
                <w:szCs w:val="20"/>
                <w:lang w:val="fr-CA"/>
              </w:rPr>
              <w:t>Nor</w:t>
            </w:r>
            <w:r>
              <w:rPr>
                <w:snapToGrid w:val="0"/>
                <w:kern w:val="22"/>
                <w:sz w:val="20"/>
                <w:szCs w:val="20"/>
                <w:lang w:val="fr-CA"/>
              </w:rPr>
              <w:t>vège</w:t>
            </w:r>
            <w:r w:rsidRPr="007E11CA">
              <w:rPr>
                <w:snapToGrid w:val="0"/>
                <w:kern w:val="22"/>
                <w:sz w:val="20"/>
                <w:szCs w:val="20"/>
                <w:vertAlign w:val="superscript"/>
                <w:lang w:val="fr-CA"/>
              </w:rPr>
              <w:t>*</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kern w:val="22"/>
                <w:sz w:val="20"/>
                <w:szCs w:val="20"/>
                <w:lang w:val="fr-CA"/>
              </w:rPr>
            </w:pPr>
            <w:r w:rsidRPr="007E11CA">
              <w:rPr>
                <w:snapToGrid w:val="0"/>
                <w:kern w:val="22"/>
                <w:sz w:val="20"/>
                <w:szCs w:val="20"/>
                <w:lang w:val="fr-CA"/>
              </w:rPr>
              <w:t>117</w:t>
            </w:r>
            <w:r>
              <w:rPr>
                <w:snapToGrid w:val="0"/>
                <w:kern w:val="22"/>
                <w:sz w:val="20"/>
                <w:szCs w:val="20"/>
                <w:lang w:val="fr-CA"/>
              </w:rPr>
              <w:t> </w:t>
            </w:r>
            <w:r w:rsidRPr="007E11CA">
              <w:rPr>
                <w:snapToGrid w:val="0"/>
                <w:kern w:val="22"/>
                <w:sz w:val="20"/>
                <w:szCs w:val="20"/>
                <w:lang w:val="fr-CA"/>
              </w:rPr>
              <w:t>863</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kern w:val="22"/>
                <w:sz w:val="20"/>
                <w:szCs w:val="20"/>
                <w:lang w:val="fr-CA"/>
              </w:rPr>
            </w:pPr>
            <w:r w:rsidRPr="007E11CA">
              <w:rPr>
                <w:snapToGrid w:val="0"/>
                <w:kern w:val="22"/>
                <w:sz w:val="20"/>
                <w:szCs w:val="20"/>
                <w:lang w:val="fr-CA"/>
              </w:rPr>
              <w:t>413 111</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kern w:val="22"/>
                <w:sz w:val="20"/>
                <w:szCs w:val="20"/>
                <w:lang w:val="fr-CA"/>
              </w:rPr>
            </w:pPr>
            <w:r>
              <w:rPr>
                <w:snapToGrid w:val="0"/>
                <w:kern w:val="22"/>
                <w:sz w:val="20"/>
                <w:szCs w:val="20"/>
                <w:lang w:val="fr-CA"/>
              </w:rPr>
              <w:t>3,</w:t>
            </w:r>
            <w:r w:rsidRPr="007E11CA">
              <w:rPr>
                <w:snapToGrid w:val="0"/>
                <w:kern w:val="22"/>
                <w:sz w:val="20"/>
                <w:szCs w:val="20"/>
                <w:lang w:val="fr-CA"/>
              </w:rPr>
              <w:t>51</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kern w:val="22"/>
                <w:sz w:val="20"/>
                <w:szCs w:val="20"/>
                <w:lang w:val="fr-CA"/>
              </w:rPr>
            </w:pPr>
            <w:r w:rsidRPr="007E11CA">
              <w:rPr>
                <w:bCs/>
                <w:snapToGrid w:val="0"/>
                <w:kern w:val="22"/>
                <w:sz w:val="20"/>
                <w:szCs w:val="20"/>
                <w:lang w:val="fr-CA"/>
              </w:rPr>
              <w:t>714 976</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kern w:val="22"/>
                <w:sz w:val="20"/>
                <w:szCs w:val="20"/>
                <w:lang w:val="fr-CA"/>
              </w:rPr>
            </w:pPr>
            <w:r w:rsidRPr="007E11CA">
              <w:rPr>
                <w:snapToGrid w:val="0"/>
                <w:kern w:val="22"/>
                <w:sz w:val="20"/>
                <w:szCs w:val="20"/>
                <w:lang w:val="fr-CA"/>
              </w:rPr>
              <w:t>3 283 741</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NOK</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t>4,</w:t>
            </w:r>
            <w:r w:rsidRPr="007E11CA">
              <w:rPr>
                <w:snapToGrid w:val="0"/>
                <w:color w:val="000000"/>
                <w:kern w:val="22"/>
                <w:sz w:val="20"/>
                <w:szCs w:val="20"/>
                <w:lang w:val="fr-CA"/>
              </w:rPr>
              <w:t>59</w:t>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2015</w:t>
            </w:r>
          </w:p>
        </w:tc>
      </w:tr>
      <w:tr w:rsidR="00685F80" w:rsidRPr="007E11CA" w:rsidTr="008A502D">
        <w:trPr>
          <w:trHeight w:val="464"/>
          <w:jc w:val="center"/>
        </w:trPr>
        <w:tc>
          <w:tcPr>
            <w:tcW w:w="1373" w:type="dxa"/>
            <w:tcBorders>
              <w:top w:val="nil"/>
              <w:left w:val="single" w:sz="4" w:space="0" w:color="auto"/>
              <w:bottom w:val="single" w:sz="4" w:space="0" w:color="auto"/>
              <w:right w:val="single" w:sz="4" w:space="0" w:color="auto"/>
            </w:tcBorders>
            <w:shd w:val="clear" w:color="auto" w:fill="auto"/>
            <w:noWrap/>
            <w:vAlign w:val="center"/>
          </w:tcPr>
          <w:p w:rsidR="00685F80" w:rsidRPr="007E11CA" w:rsidRDefault="00685F80" w:rsidP="00C420BD">
            <w:pPr>
              <w:suppressLineNumbers/>
              <w:suppressAutoHyphens/>
              <w:kinsoku w:val="0"/>
              <w:overflowPunct w:val="0"/>
              <w:autoSpaceDE w:val="0"/>
              <w:autoSpaceDN w:val="0"/>
              <w:adjustRightInd w:val="0"/>
              <w:snapToGrid w:val="0"/>
              <w:jc w:val="left"/>
              <w:rPr>
                <w:noProof/>
                <w:snapToGrid w:val="0"/>
                <w:kern w:val="22"/>
                <w:sz w:val="20"/>
                <w:szCs w:val="20"/>
                <w:lang w:val="fr-CA"/>
              </w:rPr>
            </w:pPr>
            <w:r>
              <w:rPr>
                <w:noProof/>
                <w:snapToGrid w:val="0"/>
                <w:kern w:val="22"/>
                <w:sz w:val="20"/>
                <w:szCs w:val="20"/>
                <w:lang w:val="fr-CA"/>
              </w:rPr>
              <w:t>Nouvelle</w:t>
            </w:r>
            <w:r w:rsidR="00466152">
              <w:rPr>
                <w:noProof/>
                <w:snapToGrid w:val="0"/>
                <w:kern w:val="22"/>
                <w:sz w:val="20"/>
                <w:szCs w:val="20"/>
                <w:lang w:val="fr-CA"/>
              </w:rPr>
              <w:noBreakHyphen/>
            </w:r>
            <w:r>
              <w:rPr>
                <w:noProof/>
                <w:snapToGrid w:val="0"/>
                <w:kern w:val="22"/>
                <w:sz w:val="20"/>
                <w:szCs w:val="20"/>
                <w:lang w:val="fr-CA"/>
              </w:rPr>
              <w:t xml:space="preserve">Zélande </w:t>
            </w:r>
            <w:r w:rsidRPr="007E11CA">
              <w:rPr>
                <w:noProof/>
                <w:snapToGrid w:val="0"/>
                <w:kern w:val="22"/>
                <w:sz w:val="20"/>
                <w:szCs w:val="20"/>
                <w:vertAlign w:val="superscript"/>
                <w:lang w:val="fr-CA"/>
              </w:rPr>
              <w:t>*</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16</w:t>
            </w:r>
            <w:r>
              <w:rPr>
                <w:bCs/>
                <w:snapToGrid w:val="0"/>
                <w:color w:val="000000"/>
                <w:kern w:val="22"/>
                <w:sz w:val="20"/>
                <w:szCs w:val="20"/>
                <w:lang w:val="fr-CA"/>
              </w:rPr>
              <w:t> </w:t>
            </w:r>
            <w:r w:rsidRPr="007E11CA">
              <w:rPr>
                <w:bCs/>
                <w:snapToGrid w:val="0"/>
                <w:color w:val="000000"/>
                <w:kern w:val="22"/>
                <w:sz w:val="20"/>
                <w:szCs w:val="20"/>
                <w:lang w:val="fr-CA"/>
              </w:rPr>
              <w:t>838</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24 901</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bCs/>
                <w:snapToGrid w:val="0"/>
                <w:color w:val="000000"/>
                <w:kern w:val="22"/>
                <w:sz w:val="20"/>
                <w:szCs w:val="20"/>
                <w:lang w:val="fr-CA"/>
              </w:rPr>
              <w:t>1,</w:t>
            </w:r>
            <w:r w:rsidRPr="007E11CA">
              <w:rPr>
                <w:bCs/>
                <w:snapToGrid w:val="0"/>
                <w:color w:val="000000"/>
                <w:kern w:val="22"/>
                <w:sz w:val="20"/>
                <w:szCs w:val="20"/>
                <w:lang w:val="fr-CA"/>
              </w:rPr>
              <w:t>48</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24 257</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35 574</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NZD</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t>1,</w:t>
            </w:r>
            <w:r w:rsidRPr="007E11CA">
              <w:rPr>
                <w:snapToGrid w:val="0"/>
                <w:color w:val="000000"/>
                <w:kern w:val="22"/>
                <w:sz w:val="20"/>
                <w:szCs w:val="20"/>
                <w:lang w:val="fr-CA"/>
              </w:rPr>
              <w:t>47</w:t>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2015</w:t>
            </w:r>
          </w:p>
        </w:tc>
      </w:tr>
      <w:tr w:rsidR="00685F80" w:rsidRPr="007E11CA" w:rsidTr="008A502D">
        <w:trPr>
          <w:trHeight w:val="232"/>
          <w:jc w:val="center"/>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685F80" w:rsidRPr="007E11CA" w:rsidRDefault="00685F80" w:rsidP="00C420BD">
            <w:pPr>
              <w:suppressLineNumbers/>
              <w:suppressAutoHyphens/>
              <w:kinsoku w:val="0"/>
              <w:overflowPunct w:val="0"/>
              <w:autoSpaceDE w:val="0"/>
              <w:autoSpaceDN w:val="0"/>
              <w:adjustRightInd w:val="0"/>
              <w:snapToGrid w:val="0"/>
              <w:jc w:val="left"/>
              <w:rPr>
                <w:noProof/>
                <w:snapToGrid w:val="0"/>
                <w:kern w:val="22"/>
                <w:sz w:val="20"/>
                <w:szCs w:val="20"/>
                <w:lang w:val="fr-CA"/>
              </w:rPr>
            </w:pPr>
            <w:r>
              <w:rPr>
                <w:noProof/>
                <w:snapToGrid w:val="0"/>
                <w:kern w:val="22"/>
                <w:sz w:val="20"/>
                <w:szCs w:val="20"/>
                <w:lang w:val="fr-CA"/>
              </w:rPr>
              <w:t>Pays</w:t>
            </w:r>
            <w:r w:rsidR="00466152">
              <w:rPr>
                <w:noProof/>
                <w:snapToGrid w:val="0"/>
                <w:kern w:val="22"/>
                <w:sz w:val="20"/>
                <w:szCs w:val="20"/>
                <w:lang w:val="fr-CA"/>
              </w:rPr>
              <w:noBreakHyphen/>
            </w:r>
            <w:r>
              <w:rPr>
                <w:noProof/>
                <w:snapToGrid w:val="0"/>
                <w:kern w:val="22"/>
                <w:sz w:val="20"/>
                <w:szCs w:val="20"/>
                <w:lang w:val="fr-CA"/>
              </w:rPr>
              <w:t>Bas</w:t>
            </w:r>
            <w:r w:rsidRPr="007E11CA">
              <w:rPr>
                <w:noProof/>
                <w:snapToGrid w:val="0"/>
                <w:kern w:val="22"/>
                <w:sz w:val="20"/>
                <w:szCs w:val="20"/>
                <w:vertAlign w:val="superscript"/>
                <w:lang w:val="fr-CA"/>
              </w:rPr>
              <w:t>*</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143</w:t>
            </w:r>
            <w:r>
              <w:rPr>
                <w:bCs/>
                <w:snapToGrid w:val="0"/>
                <w:color w:val="000000"/>
                <w:kern w:val="22"/>
                <w:sz w:val="20"/>
                <w:szCs w:val="20"/>
                <w:lang w:val="fr-CA"/>
              </w:rPr>
              <w:t> </w:t>
            </w:r>
            <w:r w:rsidRPr="007E11CA">
              <w:rPr>
                <w:bCs/>
                <w:snapToGrid w:val="0"/>
                <w:color w:val="000000"/>
                <w:kern w:val="22"/>
                <w:sz w:val="20"/>
                <w:szCs w:val="20"/>
                <w:lang w:val="fr-CA"/>
              </w:rPr>
              <w:t>445</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82 388</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bCs/>
                <w:snapToGrid w:val="0"/>
                <w:color w:val="000000"/>
                <w:kern w:val="22"/>
                <w:sz w:val="20"/>
                <w:szCs w:val="20"/>
                <w:lang w:val="fr-CA"/>
              </w:rPr>
              <w:t>0,</w:t>
            </w:r>
            <w:r w:rsidRPr="007E11CA">
              <w:rPr>
                <w:bCs/>
                <w:snapToGrid w:val="0"/>
                <w:color w:val="000000"/>
                <w:kern w:val="22"/>
                <w:sz w:val="20"/>
                <w:szCs w:val="20"/>
                <w:lang w:val="fr-CA"/>
              </w:rPr>
              <w:t>57</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106 000</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62 000</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EUR</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t>0,</w:t>
            </w:r>
            <w:r w:rsidRPr="007E11CA">
              <w:rPr>
                <w:snapToGrid w:val="0"/>
                <w:color w:val="000000"/>
                <w:kern w:val="22"/>
                <w:sz w:val="20"/>
                <w:szCs w:val="20"/>
                <w:lang w:val="fr-CA"/>
              </w:rPr>
              <w:t>58</w:t>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2014</w:t>
            </w:r>
          </w:p>
        </w:tc>
      </w:tr>
      <w:tr w:rsidR="00685F80" w:rsidRPr="007E11CA" w:rsidTr="008A502D">
        <w:trPr>
          <w:trHeight w:val="232"/>
          <w:jc w:val="center"/>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685F80" w:rsidRPr="007E11CA" w:rsidRDefault="00685F80" w:rsidP="00C420BD">
            <w:pPr>
              <w:suppressLineNumbers/>
              <w:suppressAutoHyphens/>
              <w:kinsoku w:val="0"/>
              <w:overflowPunct w:val="0"/>
              <w:autoSpaceDE w:val="0"/>
              <w:autoSpaceDN w:val="0"/>
              <w:adjustRightInd w:val="0"/>
              <w:snapToGrid w:val="0"/>
              <w:jc w:val="left"/>
              <w:rPr>
                <w:noProof/>
                <w:snapToGrid w:val="0"/>
                <w:kern w:val="22"/>
                <w:sz w:val="20"/>
                <w:szCs w:val="20"/>
                <w:lang w:val="fr-CA"/>
              </w:rPr>
            </w:pPr>
            <w:r w:rsidRPr="007E11CA">
              <w:rPr>
                <w:noProof/>
                <w:snapToGrid w:val="0"/>
                <w:kern w:val="22"/>
                <w:sz w:val="20"/>
                <w:szCs w:val="20"/>
                <w:lang w:val="fr-CA"/>
              </w:rPr>
              <w:t>Pol</w:t>
            </w:r>
            <w:r>
              <w:rPr>
                <w:noProof/>
                <w:snapToGrid w:val="0"/>
                <w:kern w:val="22"/>
                <w:sz w:val="20"/>
                <w:szCs w:val="20"/>
                <w:lang w:val="fr-CA"/>
              </w:rPr>
              <w:t>ogne</w:t>
            </w:r>
            <w:r w:rsidRPr="007E11CA">
              <w:rPr>
                <w:noProof/>
                <w:snapToGrid w:val="0"/>
                <w:kern w:val="22"/>
                <w:sz w:val="20"/>
                <w:szCs w:val="20"/>
                <w:vertAlign w:val="superscript"/>
                <w:lang w:val="fr-CA"/>
              </w:rPr>
              <w:t>*</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1</w:t>
            </w:r>
            <w:r>
              <w:rPr>
                <w:bCs/>
                <w:snapToGrid w:val="0"/>
                <w:color w:val="000000"/>
                <w:kern w:val="22"/>
                <w:sz w:val="20"/>
                <w:szCs w:val="20"/>
                <w:lang w:val="fr-CA"/>
              </w:rPr>
              <w:t> </w:t>
            </w:r>
            <w:r w:rsidRPr="007E11CA">
              <w:rPr>
                <w:bCs/>
                <w:snapToGrid w:val="0"/>
                <w:color w:val="000000"/>
                <w:kern w:val="22"/>
                <w:sz w:val="20"/>
                <w:szCs w:val="20"/>
                <w:lang w:val="fr-CA"/>
              </w:rPr>
              <w:t>497</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2 395</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bCs/>
                <w:snapToGrid w:val="0"/>
                <w:color w:val="000000"/>
                <w:kern w:val="22"/>
                <w:sz w:val="20"/>
                <w:szCs w:val="20"/>
                <w:lang w:val="fr-CA"/>
              </w:rPr>
              <w:t>1,</w:t>
            </w:r>
            <w:r w:rsidRPr="007E11CA">
              <w:rPr>
                <w:bCs/>
                <w:snapToGrid w:val="0"/>
                <w:color w:val="000000"/>
                <w:kern w:val="22"/>
                <w:sz w:val="20"/>
                <w:szCs w:val="20"/>
                <w:lang w:val="fr-CA"/>
              </w:rPr>
              <w:t>60</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1 497</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2 395</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USD</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t>1,</w:t>
            </w:r>
            <w:r w:rsidRPr="007E11CA">
              <w:rPr>
                <w:snapToGrid w:val="0"/>
                <w:color w:val="000000"/>
                <w:kern w:val="22"/>
                <w:sz w:val="20"/>
                <w:szCs w:val="20"/>
                <w:lang w:val="fr-CA"/>
              </w:rPr>
              <w:t>60</w:t>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2015</w:t>
            </w:r>
          </w:p>
        </w:tc>
      </w:tr>
      <w:tr w:rsidR="00685F80" w:rsidRPr="007E11CA" w:rsidTr="008A502D">
        <w:trPr>
          <w:trHeight w:val="464"/>
          <w:jc w:val="center"/>
        </w:trPr>
        <w:tc>
          <w:tcPr>
            <w:tcW w:w="1373" w:type="dxa"/>
            <w:tcBorders>
              <w:top w:val="nil"/>
              <w:left w:val="single" w:sz="4" w:space="0" w:color="auto"/>
              <w:bottom w:val="single" w:sz="4" w:space="0" w:color="auto"/>
              <w:right w:val="single" w:sz="4" w:space="0" w:color="auto"/>
            </w:tcBorders>
            <w:shd w:val="clear" w:color="auto" w:fill="auto"/>
            <w:noWrap/>
            <w:vAlign w:val="center"/>
          </w:tcPr>
          <w:p w:rsidR="00685F80" w:rsidRPr="007E11CA" w:rsidRDefault="00685F80" w:rsidP="00C420BD">
            <w:pPr>
              <w:suppressLineNumbers/>
              <w:suppressAutoHyphens/>
              <w:kinsoku w:val="0"/>
              <w:overflowPunct w:val="0"/>
              <w:autoSpaceDE w:val="0"/>
              <w:autoSpaceDN w:val="0"/>
              <w:adjustRightInd w:val="0"/>
              <w:snapToGrid w:val="0"/>
              <w:jc w:val="left"/>
              <w:rPr>
                <w:noProof/>
                <w:snapToGrid w:val="0"/>
                <w:kern w:val="22"/>
                <w:sz w:val="20"/>
                <w:szCs w:val="20"/>
                <w:lang w:val="fr-CA"/>
              </w:rPr>
            </w:pPr>
            <w:r>
              <w:rPr>
                <w:noProof/>
                <w:snapToGrid w:val="0"/>
                <w:kern w:val="22"/>
                <w:sz w:val="20"/>
                <w:szCs w:val="20"/>
                <w:lang w:val="fr-CA"/>
              </w:rPr>
              <w:t>République de Corée</w:t>
            </w:r>
            <w:r w:rsidRPr="007E11CA">
              <w:rPr>
                <w:noProof/>
                <w:snapToGrid w:val="0"/>
                <w:kern w:val="22"/>
                <w:sz w:val="20"/>
                <w:szCs w:val="20"/>
                <w:vertAlign w:val="superscript"/>
                <w:lang w:val="fr-CA"/>
              </w:rPr>
              <w:t>*</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13</w:t>
            </w:r>
            <w:r>
              <w:rPr>
                <w:bCs/>
                <w:snapToGrid w:val="0"/>
                <w:color w:val="000000"/>
                <w:kern w:val="22"/>
                <w:sz w:val="20"/>
                <w:szCs w:val="20"/>
                <w:lang w:val="fr-CA"/>
              </w:rPr>
              <w:t> </w:t>
            </w:r>
            <w:r w:rsidRPr="007E11CA">
              <w:rPr>
                <w:bCs/>
                <w:snapToGrid w:val="0"/>
                <w:color w:val="000000"/>
                <w:kern w:val="22"/>
                <w:sz w:val="20"/>
                <w:szCs w:val="20"/>
                <w:lang w:val="fr-CA"/>
              </w:rPr>
              <w:t>283</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19 504</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1</w:t>
            </w:r>
            <w:r w:rsidR="00723FE7">
              <w:rPr>
                <w:bCs/>
                <w:snapToGrid w:val="0"/>
                <w:color w:val="000000"/>
                <w:kern w:val="22"/>
                <w:sz w:val="20"/>
                <w:szCs w:val="20"/>
                <w:lang w:val="fr-CA"/>
              </w:rPr>
              <w:t>,</w:t>
            </w:r>
            <w:r w:rsidRPr="007E11CA">
              <w:rPr>
                <w:bCs/>
                <w:snapToGrid w:val="0"/>
                <w:color w:val="000000"/>
                <w:kern w:val="22"/>
                <w:sz w:val="20"/>
                <w:szCs w:val="20"/>
                <w:lang w:val="fr-CA"/>
              </w:rPr>
              <w:t>47</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13 283</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19 504</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USD</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t>1,</w:t>
            </w:r>
            <w:r w:rsidRPr="007E11CA">
              <w:rPr>
                <w:snapToGrid w:val="0"/>
                <w:color w:val="000000"/>
                <w:kern w:val="22"/>
                <w:sz w:val="20"/>
                <w:szCs w:val="20"/>
                <w:lang w:val="fr-CA"/>
              </w:rPr>
              <w:t>47</w:t>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2013</w:t>
            </w:r>
          </w:p>
        </w:tc>
      </w:tr>
      <w:tr w:rsidR="00685F80" w:rsidRPr="007E11CA" w:rsidTr="008A502D">
        <w:trPr>
          <w:trHeight w:val="1423"/>
          <w:jc w:val="center"/>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685F80" w:rsidRPr="007E11CA" w:rsidRDefault="00685F80" w:rsidP="00C420BD">
            <w:pPr>
              <w:suppressLineNumbers/>
              <w:suppressAutoHyphens/>
              <w:kinsoku w:val="0"/>
              <w:overflowPunct w:val="0"/>
              <w:autoSpaceDE w:val="0"/>
              <w:autoSpaceDN w:val="0"/>
              <w:adjustRightInd w:val="0"/>
              <w:snapToGrid w:val="0"/>
              <w:jc w:val="left"/>
              <w:rPr>
                <w:noProof/>
                <w:snapToGrid w:val="0"/>
                <w:kern w:val="22"/>
                <w:sz w:val="20"/>
                <w:szCs w:val="20"/>
                <w:lang w:val="fr-CA"/>
              </w:rPr>
            </w:pPr>
            <w:r>
              <w:rPr>
                <w:noProof/>
                <w:snapToGrid w:val="0"/>
                <w:kern w:val="22"/>
                <w:sz w:val="20"/>
                <w:szCs w:val="20"/>
                <w:lang w:val="fr-CA"/>
              </w:rPr>
              <w:t>Royaume</w:t>
            </w:r>
            <w:r w:rsidR="00466152">
              <w:rPr>
                <w:noProof/>
                <w:snapToGrid w:val="0"/>
                <w:kern w:val="22"/>
                <w:sz w:val="20"/>
                <w:szCs w:val="20"/>
                <w:lang w:val="fr-CA"/>
              </w:rPr>
              <w:noBreakHyphen/>
            </w:r>
            <w:r>
              <w:rPr>
                <w:noProof/>
                <w:snapToGrid w:val="0"/>
                <w:kern w:val="22"/>
                <w:sz w:val="20"/>
                <w:szCs w:val="20"/>
                <w:lang w:val="fr-CA"/>
              </w:rPr>
              <w:t>Uni de Grande</w:t>
            </w:r>
            <w:r w:rsidR="00466152">
              <w:rPr>
                <w:noProof/>
                <w:snapToGrid w:val="0"/>
                <w:kern w:val="22"/>
                <w:sz w:val="20"/>
                <w:szCs w:val="20"/>
                <w:lang w:val="fr-CA"/>
              </w:rPr>
              <w:noBreakHyphen/>
            </w:r>
            <w:r>
              <w:rPr>
                <w:noProof/>
                <w:snapToGrid w:val="0"/>
                <w:kern w:val="22"/>
                <w:sz w:val="20"/>
                <w:szCs w:val="20"/>
                <w:lang w:val="fr-CA"/>
              </w:rPr>
              <w:t>Bretagne et d</w:t>
            </w:r>
            <w:r w:rsidR="00466152">
              <w:rPr>
                <w:noProof/>
                <w:snapToGrid w:val="0"/>
                <w:kern w:val="22"/>
                <w:sz w:val="20"/>
                <w:szCs w:val="20"/>
                <w:lang w:val="fr-CA"/>
              </w:rPr>
              <w:t>’</w:t>
            </w:r>
            <w:r>
              <w:rPr>
                <w:noProof/>
                <w:snapToGrid w:val="0"/>
                <w:kern w:val="22"/>
                <w:sz w:val="20"/>
                <w:szCs w:val="20"/>
                <w:lang w:val="fr-CA"/>
              </w:rPr>
              <w:t>Irlande du Nord</w:t>
            </w:r>
            <w:r w:rsidRPr="007E11CA">
              <w:rPr>
                <w:noProof/>
                <w:snapToGrid w:val="0"/>
                <w:kern w:val="22"/>
                <w:sz w:val="20"/>
                <w:szCs w:val="20"/>
                <w:vertAlign w:val="superscript"/>
                <w:lang w:val="fr-CA"/>
              </w:rPr>
              <w:t>*</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133</w:t>
            </w:r>
            <w:r>
              <w:rPr>
                <w:bCs/>
                <w:snapToGrid w:val="0"/>
                <w:color w:val="000000"/>
                <w:kern w:val="22"/>
                <w:sz w:val="20"/>
                <w:szCs w:val="20"/>
                <w:lang w:val="fr-CA"/>
              </w:rPr>
              <w:t> </w:t>
            </w:r>
            <w:r w:rsidRPr="007E11CA">
              <w:rPr>
                <w:bCs/>
                <w:snapToGrid w:val="0"/>
                <w:color w:val="000000"/>
                <w:kern w:val="22"/>
                <w:sz w:val="20"/>
                <w:szCs w:val="20"/>
                <w:lang w:val="fr-CA"/>
              </w:rPr>
              <w:t>867</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297 978</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2</w:t>
            </w:r>
            <w:r w:rsidR="00723FE7">
              <w:rPr>
                <w:bCs/>
                <w:snapToGrid w:val="0"/>
                <w:color w:val="000000"/>
                <w:kern w:val="22"/>
                <w:sz w:val="20"/>
                <w:szCs w:val="20"/>
                <w:lang w:val="fr-CA"/>
              </w:rPr>
              <w:t>,</w:t>
            </w:r>
            <w:r w:rsidRPr="007E11CA">
              <w:rPr>
                <w:bCs/>
                <w:snapToGrid w:val="0"/>
                <w:color w:val="000000"/>
                <w:kern w:val="22"/>
                <w:sz w:val="20"/>
                <w:szCs w:val="20"/>
                <w:lang w:val="fr-CA"/>
              </w:rPr>
              <w:t>23</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78 000</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181 000</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GBP</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t>2,</w:t>
            </w:r>
            <w:r w:rsidRPr="007E11CA">
              <w:rPr>
                <w:snapToGrid w:val="0"/>
                <w:color w:val="000000"/>
                <w:kern w:val="22"/>
                <w:sz w:val="20"/>
                <w:szCs w:val="20"/>
                <w:lang w:val="fr-CA"/>
              </w:rPr>
              <w:t>32</w:t>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2014</w:t>
            </w:r>
          </w:p>
        </w:tc>
      </w:tr>
      <w:tr w:rsidR="00685F80" w:rsidRPr="007E11CA" w:rsidTr="008A502D">
        <w:trPr>
          <w:trHeight w:val="232"/>
          <w:jc w:val="center"/>
        </w:trPr>
        <w:tc>
          <w:tcPr>
            <w:tcW w:w="1373" w:type="dxa"/>
            <w:tcBorders>
              <w:top w:val="nil"/>
              <w:left w:val="single" w:sz="4" w:space="0" w:color="auto"/>
              <w:bottom w:val="single" w:sz="4" w:space="0" w:color="auto"/>
              <w:right w:val="single" w:sz="4" w:space="0" w:color="auto"/>
            </w:tcBorders>
            <w:shd w:val="clear" w:color="auto" w:fill="auto"/>
            <w:noWrap/>
            <w:vAlign w:val="center"/>
          </w:tcPr>
          <w:p w:rsidR="00685F80" w:rsidRPr="007E11CA" w:rsidRDefault="00685F80" w:rsidP="00C420BD">
            <w:pPr>
              <w:suppressLineNumbers/>
              <w:suppressAutoHyphens/>
              <w:kinsoku w:val="0"/>
              <w:overflowPunct w:val="0"/>
              <w:autoSpaceDE w:val="0"/>
              <w:autoSpaceDN w:val="0"/>
              <w:adjustRightInd w:val="0"/>
              <w:snapToGrid w:val="0"/>
              <w:jc w:val="left"/>
              <w:rPr>
                <w:noProof/>
                <w:snapToGrid w:val="0"/>
                <w:kern w:val="22"/>
                <w:sz w:val="20"/>
                <w:szCs w:val="20"/>
                <w:lang w:val="fr-CA"/>
              </w:rPr>
            </w:pPr>
            <w:r w:rsidRPr="007E11CA">
              <w:rPr>
                <w:noProof/>
                <w:snapToGrid w:val="0"/>
                <w:kern w:val="22"/>
                <w:sz w:val="20"/>
                <w:szCs w:val="20"/>
                <w:lang w:val="fr-CA"/>
              </w:rPr>
              <w:t>Slova</w:t>
            </w:r>
            <w:r>
              <w:rPr>
                <w:noProof/>
                <w:snapToGrid w:val="0"/>
                <w:kern w:val="22"/>
                <w:sz w:val="20"/>
                <w:szCs w:val="20"/>
                <w:lang w:val="fr-CA"/>
              </w:rPr>
              <w:t>quie</w:t>
            </w:r>
            <w:r w:rsidRPr="007E11CA">
              <w:rPr>
                <w:noProof/>
                <w:snapToGrid w:val="0"/>
                <w:kern w:val="22"/>
                <w:sz w:val="20"/>
                <w:szCs w:val="20"/>
                <w:vertAlign w:val="superscript"/>
                <w:lang w:val="fr-CA"/>
              </w:rPr>
              <w:t>*</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466152"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snapToGrid w:val="0"/>
                <w:color w:val="000000"/>
                <w:kern w:val="22"/>
                <w:sz w:val="20"/>
                <w:szCs w:val="20"/>
                <w:lang w:val="fr-CA"/>
              </w:rPr>
              <w:noBreakHyphen/>
            </w:r>
            <w:r>
              <w:rPr>
                <w:snapToGrid w:val="0"/>
                <w:color w:val="000000"/>
                <w:kern w:val="22"/>
                <w:sz w:val="20"/>
                <w:szCs w:val="20"/>
                <w:lang w:val="fr-CA"/>
              </w:rPr>
              <w:noBreakHyphen/>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1 515</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466152"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snapToGrid w:val="0"/>
                <w:color w:val="000000"/>
                <w:kern w:val="22"/>
                <w:sz w:val="20"/>
                <w:szCs w:val="20"/>
                <w:lang w:val="fr-CA"/>
              </w:rPr>
              <w:noBreakHyphen/>
            </w:r>
            <w:r>
              <w:rPr>
                <w:snapToGrid w:val="0"/>
                <w:color w:val="000000"/>
                <w:kern w:val="22"/>
                <w:sz w:val="20"/>
                <w:szCs w:val="20"/>
                <w:lang w:val="fr-CA"/>
              </w:rPr>
              <w:noBreakHyphen/>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466152"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Pr>
                <w:snapToGrid w:val="0"/>
                <w:color w:val="000000"/>
                <w:kern w:val="22"/>
                <w:sz w:val="20"/>
                <w:szCs w:val="20"/>
                <w:lang w:val="fr-CA"/>
              </w:rPr>
              <w:noBreakHyphen/>
            </w:r>
            <w:r>
              <w:rPr>
                <w:snapToGrid w:val="0"/>
                <w:color w:val="000000"/>
                <w:kern w:val="22"/>
                <w:sz w:val="20"/>
                <w:szCs w:val="20"/>
                <w:lang w:val="fr-CA"/>
              </w:rPr>
              <w:noBreakHyphen/>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1 362</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EUR</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466152"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noBreakHyphen/>
            </w:r>
            <w:r>
              <w:rPr>
                <w:snapToGrid w:val="0"/>
                <w:color w:val="000000"/>
                <w:kern w:val="22"/>
                <w:sz w:val="20"/>
                <w:szCs w:val="20"/>
                <w:lang w:val="fr-CA"/>
              </w:rPr>
              <w:noBreakHyphen/>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2015</w:t>
            </w:r>
          </w:p>
        </w:tc>
      </w:tr>
      <w:tr w:rsidR="00685F80" w:rsidRPr="007E11CA" w:rsidTr="008A502D">
        <w:trPr>
          <w:trHeight w:val="232"/>
          <w:jc w:val="center"/>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685F80" w:rsidRPr="007E11CA" w:rsidRDefault="00685F80" w:rsidP="00C420BD">
            <w:pPr>
              <w:suppressLineNumbers/>
              <w:suppressAutoHyphens/>
              <w:kinsoku w:val="0"/>
              <w:overflowPunct w:val="0"/>
              <w:autoSpaceDE w:val="0"/>
              <w:autoSpaceDN w:val="0"/>
              <w:adjustRightInd w:val="0"/>
              <w:snapToGrid w:val="0"/>
              <w:jc w:val="left"/>
              <w:rPr>
                <w:noProof/>
                <w:snapToGrid w:val="0"/>
                <w:kern w:val="22"/>
                <w:sz w:val="20"/>
                <w:szCs w:val="20"/>
                <w:lang w:val="fr-CA"/>
              </w:rPr>
            </w:pPr>
            <w:r w:rsidRPr="007E11CA">
              <w:rPr>
                <w:noProof/>
                <w:snapToGrid w:val="0"/>
                <w:kern w:val="22"/>
                <w:sz w:val="20"/>
                <w:szCs w:val="20"/>
                <w:lang w:val="fr-CA"/>
              </w:rPr>
              <w:t>Slov</w:t>
            </w:r>
            <w:r>
              <w:rPr>
                <w:noProof/>
                <w:snapToGrid w:val="0"/>
                <w:kern w:val="22"/>
                <w:sz w:val="20"/>
                <w:szCs w:val="20"/>
                <w:lang w:val="fr-CA"/>
              </w:rPr>
              <w:t>énie</w:t>
            </w:r>
            <w:r w:rsidRPr="007E11CA">
              <w:rPr>
                <w:noProof/>
                <w:snapToGrid w:val="0"/>
                <w:kern w:val="22"/>
                <w:sz w:val="20"/>
                <w:szCs w:val="20"/>
                <w:vertAlign w:val="superscript"/>
                <w:lang w:val="fr-CA"/>
              </w:rPr>
              <w:t>*</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528</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298</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0</w:t>
            </w:r>
            <w:r w:rsidR="00723FE7">
              <w:rPr>
                <w:bCs/>
                <w:snapToGrid w:val="0"/>
                <w:color w:val="000000"/>
                <w:kern w:val="22"/>
                <w:sz w:val="20"/>
                <w:szCs w:val="20"/>
                <w:lang w:val="fr-CA"/>
              </w:rPr>
              <w:t>,</w:t>
            </w:r>
            <w:r w:rsidRPr="007E11CA">
              <w:rPr>
                <w:bCs/>
                <w:snapToGrid w:val="0"/>
                <w:color w:val="000000"/>
                <w:kern w:val="22"/>
                <w:sz w:val="20"/>
                <w:szCs w:val="20"/>
                <w:lang w:val="fr-CA"/>
              </w:rPr>
              <w:t>56</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383</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268</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EUR</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t>0,</w:t>
            </w:r>
            <w:r w:rsidRPr="007E11CA">
              <w:rPr>
                <w:snapToGrid w:val="0"/>
                <w:color w:val="000000"/>
                <w:kern w:val="22"/>
                <w:sz w:val="20"/>
                <w:szCs w:val="20"/>
                <w:lang w:val="fr-CA"/>
              </w:rPr>
              <w:t>70</w:t>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p>
        </w:tc>
      </w:tr>
      <w:tr w:rsidR="00685F80" w:rsidRPr="007E11CA" w:rsidTr="008A502D">
        <w:trPr>
          <w:trHeight w:val="232"/>
          <w:jc w:val="center"/>
        </w:trPr>
        <w:tc>
          <w:tcPr>
            <w:tcW w:w="1373" w:type="dxa"/>
            <w:tcBorders>
              <w:top w:val="nil"/>
              <w:left w:val="single" w:sz="4" w:space="0" w:color="auto"/>
              <w:bottom w:val="single" w:sz="4" w:space="0" w:color="auto"/>
              <w:right w:val="single" w:sz="4" w:space="0" w:color="auto"/>
            </w:tcBorders>
            <w:shd w:val="clear" w:color="auto" w:fill="auto"/>
            <w:noWrap/>
            <w:vAlign w:val="center"/>
          </w:tcPr>
          <w:p w:rsidR="00685F80" w:rsidRPr="007E11CA" w:rsidRDefault="00685F80" w:rsidP="00C420BD">
            <w:pPr>
              <w:suppressLineNumbers/>
              <w:suppressAutoHyphens/>
              <w:kinsoku w:val="0"/>
              <w:overflowPunct w:val="0"/>
              <w:autoSpaceDE w:val="0"/>
              <w:autoSpaceDN w:val="0"/>
              <w:adjustRightInd w:val="0"/>
              <w:snapToGrid w:val="0"/>
              <w:jc w:val="left"/>
              <w:rPr>
                <w:snapToGrid w:val="0"/>
                <w:kern w:val="22"/>
                <w:sz w:val="20"/>
                <w:szCs w:val="20"/>
                <w:lang w:val="fr-CA"/>
              </w:rPr>
            </w:pPr>
            <w:r w:rsidRPr="007E11CA">
              <w:rPr>
                <w:snapToGrid w:val="0"/>
                <w:kern w:val="22"/>
                <w:sz w:val="20"/>
                <w:szCs w:val="20"/>
                <w:lang w:val="fr-CA"/>
              </w:rPr>
              <w:t>S</w:t>
            </w:r>
            <w:r>
              <w:rPr>
                <w:snapToGrid w:val="0"/>
                <w:kern w:val="22"/>
                <w:sz w:val="20"/>
                <w:szCs w:val="20"/>
                <w:lang w:val="fr-CA"/>
              </w:rPr>
              <w:t>uède</w:t>
            </w:r>
            <w:r w:rsidRPr="007E11CA">
              <w:rPr>
                <w:snapToGrid w:val="0"/>
                <w:kern w:val="22"/>
                <w:sz w:val="20"/>
                <w:szCs w:val="20"/>
                <w:vertAlign w:val="superscript"/>
                <w:lang w:val="fr-CA"/>
              </w:rPr>
              <w:t>*</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74</w:t>
            </w:r>
            <w:r>
              <w:rPr>
                <w:bCs/>
                <w:snapToGrid w:val="0"/>
                <w:color w:val="000000"/>
                <w:kern w:val="22"/>
                <w:sz w:val="20"/>
                <w:szCs w:val="20"/>
                <w:lang w:val="fr-CA"/>
              </w:rPr>
              <w:t> </w:t>
            </w:r>
            <w:r w:rsidRPr="007E11CA">
              <w:rPr>
                <w:bCs/>
                <w:snapToGrid w:val="0"/>
                <w:color w:val="000000"/>
                <w:kern w:val="22"/>
                <w:sz w:val="20"/>
                <w:szCs w:val="20"/>
                <w:lang w:val="fr-CA"/>
              </w:rPr>
              <w:t>172</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109 588</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1</w:t>
            </w:r>
            <w:r w:rsidR="00723FE7">
              <w:rPr>
                <w:bCs/>
                <w:snapToGrid w:val="0"/>
                <w:color w:val="000000"/>
                <w:kern w:val="22"/>
                <w:sz w:val="20"/>
                <w:szCs w:val="20"/>
                <w:lang w:val="fr-CA"/>
              </w:rPr>
              <w:t>,</w:t>
            </w:r>
            <w:r w:rsidRPr="007E11CA">
              <w:rPr>
                <w:bCs/>
                <w:snapToGrid w:val="0"/>
                <w:color w:val="000000"/>
                <w:kern w:val="22"/>
                <w:sz w:val="20"/>
                <w:szCs w:val="20"/>
                <w:lang w:val="fr-CA"/>
              </w:rPr>
              <w:t>48</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534 597</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927 011</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SEK</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t>1,</w:t>
            </w:r>
            <w:r w:rsidRPr="007E11CA">
              <w:rPr>
                <w:snapToGrid w:val="0"/>
                <w:color w:val="000000"/>
                <w:kern w:val="22"/>
                <w:sz w:val="20"/>
                <w:szCs w:val="20"/>
                <w:lang w:val="fr-CA"/>
              </w:rPr>
              <w:t>73</w:t>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2015</w:t>
            </w:r>
          </w:p>
        </w:tc>
      </w:tr>
      <w:tr w:rsidR="00685F80" w:rsidRPr="007E11CA" w:rsidTr="008A502D">
        <w:trPr>
          <w:trHeight w:val="232"/>
          <w:jc w:val="center"/>
        </w:trPr>
        <w:tc>
          <w:tcPr>
            <w:tcW w:w="1373" w:type="dxa"/>
            <w:tcBorders>
              <w:top w:val="nil"/>
              <w:left w:val="single" w:sz="4" w:space="0" w:color="auto"/>
              <w:bottom w:val="single" w:sz="4" w:space="0" w:color="auto"/>
              <w:right w:val="single" w:sz="4" w:space="0" w:color="auto"/>
            </w:tcBorders>
            <w:shd w:val="clear" w:color="auto" w:fill="auto"/>
            <w:noWrap/>
            <w:vAlign w:val="center"/>
          </w:tcPr>
          <w:p w:rsidR="00685F80" w:rsidRPr="007E11CA" w:rsidRDefault="00685F80" w:rsidP="00C420BD">
            <w:pPr>
              <w:suppressLineNumbers/>
              <w:suppressAutoHyphens/>
              <w:kinsoku w:val="0"/>
              <w:overflowPunct w:val="0"/>
              <w:autoSpaceDE w:val="0"/>
              <w:autoSpaceDN w:val="0"/>
              <w:adjustRightInd w:val="0"/>
              <w:snapToGrid w:val="0"/>
              <w:jc w:val="left"/>
              <w:rPr>
                <w:snapToGrid w:val="0"/>
                <w:kern w:val="22"/>
                <w:sz w:val="20"/>
                <w:szCs w:val="20"/>
                <w:lang w:val="fr-CA"/>
              </w:rPr>
            </w:pPr>
            <w:r w:rsidRPr="007E11CA">
              <w:rPr>
                <w:snapToGrid w:val="0"/>
                <w:kern w:val="22"/>
                <w:sz w:val="20"/>
                <w:szCs w:val="20"/>
                <w:lang w:val="fr-CA"/>
              </w:rPr>
              <w:t>S</w:t>
            </w:r>
            <w:r>
              <w:rPr>
                <w:snapToGrid w:val="0"/>
                <w:kern w:val="22"/>
                <w:sz w:val="20"/>
                <w:szCs w:val="20"/>
                <w:lang w:val="fr-CA"/>
              </w:rPr>
              <w:t>uisse</w:t>
            </w:r>
            <w:r w:rsidRPr="007E11CA">
              <w:rPr>
                <w:snapToGrid w:val="0"/>
                <w:kern w:val="22"/>
                <w:sz w:val="20"/>
                <w:szCs w:val="20"/>
                <w:vertAlign w:val="superscript"/>
                <w:lang w:val="fr-CA"/>
              </w:rPr>
              <w:t>*</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49</w:t>
            </w:r>
            <w:r>
              <w:rPr>
                <w:bCs/>
                <w:snapToGrid w:val="0"/>
                <w:color w:val="000000"/>
                <w:kern w:val="22"/>
                <w:sz w:val="20"/>
                <w:szCs w:val="20"/>
                <w:lang w:val="fr-CA"/>
              </w:rPr>
              <w:t> </w:t>
            </w:r>
            <w:r w:rsidRPr="007E11CA">
              <w:rPr>
                <w:bCs/>
                <w:snapToGrid w:val="0"/>
                <w:color w:val="000000"/>
                <w:kern w:val="22"/>
                <w:sz w:val="20"/>
                <w:szCs w:val="20"/>
                <w:lang w:val="fr-CA"/>
              </w:rPr>
              <w:t>331</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74 300</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1</w:t>
            </w:r>
            <w:r w:rsidR="00723FE7">
              <w:rPr>
                <w:bCs/>
                <w:snapToGrid w:val="0"/>
                <w:color w:val="000000"/>
                <w:kern w:val="22"/>
                <w:sz w:val="20"/>
                <w:szCs w:val="20"/>
                <w:lang w:val="fr-CA"/>
              </w:rPr>
              <w:t>,</w:t>
            </w:r>
            <w:r w:rsidRPr="007E11CA">
              <w:rPr>
                <w:bCs/>
                <w:snapToGrid w:val="0"/>
                <w:color w:val="000000"/>
                <w:kern w:val="22"/>
                <w:sz w:val="20"/>
                <w:szCs w:val="20"/>
                <w:lang w:val="fr-CA"/>
              </w:rPr>
              <w:t>51</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55 312</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68 070</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CHF</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t>1,</w:t>
            </w:r>
            <w:r w:rsidRPr="007E11CA">
              <w:rPr>
                <w:snapToGrid w:val="0"/>
                <w:color w:val="000000"/>
                <w:kern w:val="22"/>
                <w:sz w:val="20"/>
                <w:szCs w:val="20"/>
                <w:lang w:val="fr-CA"/>
              </w:rPr>
              <w:t>23</w:t>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2014</w:t>
            </w:r>
          </w:p>
        </w:tc>
      </w:tr>
      <w:tr w:rsidR="00685F80" w:rsidRPr="007E11CA" w:rsidTr="008A502D">
        <w:trPr>
          <w:trHeight w:val="232"/>
          <w:jc w:val="center"/>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685F80" w:rsidRPr="007E11CA" w:rsidRDefault="00685F80" w:rsidP="00C420BD">
            <w:pPr>
              <w:suppressLineNumbers/>
              <w:suppressAutoHyphens/>
              <w:kinsoku w:val="0"/>
              <w:overflowPunct w:val="0"/>
              <w:autoSpaceDE w:val="0"/>
              <w:autoSpaceDN w:val="0"/>
              <w:adjustRightInd w:val="0"/>
              <w:snapToGrid w:val="0"/>
              <w:jc w:val="left"/>
              <w:rPr>
                <w:snapToGrid w:val="0"/>
                <w:kern w:val="22"/>
                <w:sz w:val="20"/>
                <w:szCs w:val="20"/>
                <w:lang w:val="fr-CA"/>
              </w:rPr>
            </w:pPr>
            <w:r>
              <w:rPr>
                <w:snapToGrid w:val="0"/>
                <w:kern w:val="22"/>
                <w:sz w:val="20"/>
                <w:szCs w:val="20"/>
                <w:lang w:val="fr-CA"/>
              </w:rPr>
              <w:t>Tchéquie</w:t>
            </w:r>
            <w:r w:rsidRPr="007E11CA">
              <w:rPr>
                <w:snapToGrid w:val="0"/>
                <w:kern w:val="22"/>
                <w:sz w:val="20"/>
                <w:szCs w:val="20"/>
                <w:vertAlign w:val="superscript"/>
                <w:lang w:val="fr-CA"/>
              </w:rPr>
              <w:t>*</w:t>
            </w:r>
          </w:p>
        </w:tc>
        <w:tc>
          <w:tcPr>
            <w:tcW w:w="1135" w:type="dxa"/>
            <w:tcBorders>
              <w:top w:val="single" w:sz="4" w:space="0" w:color="auto"/>
              <w:left w:val="nil"/>
              <w:bottom w:val="single" w:sz="4" w:space="0" w:color="auto"/>
              <w:right w:val="single" w:sz="4" w:space="0" w:color="auto"/>
            </w:tcBorders>
            <w:shd w:val="clear" w:color="auto"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2</w:t>
            </w:r>
            <w:r>
              <w:rPr>
                <w:bCs/>
                <w:snapToGrid w:val="0"/>
                <w:color w:val="000000"/>
                <w:kern w:val="22"/>
                <w:sz w:val="20"/>
                <w:szCs w:val="20"/>
                <w:lang w:val="fr-CA"/>
              </w:rPr>
              <w:t> </w:t>
            </w:r>
            <w:r w:rsidRPr="007E11CA">
              <w:rPr>
                <w:bCs/>
                <w:snapToGrid w:val="0"/>
                <w:color w:val="000000"/>
                <w:kern w:val="22"/>
                <w:sz w:val="20"/>
                <w:szCs w:val="20"/>
                <w:lang w:val="fr-CA"/>
              </w:rPr>
              <w:t>858</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2 357</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0</w:t>
            </w:r>
            <w:r w:rsidR="00723FE7">
              <w:rPr>
                <w:bCs/>
                <w:snapToGrid w:val="0"/>
                <w:color w:val="000000"/>
                <w:kern w:val="22"/>
                <w:sz w:val="20"/>
                <w:szCs w:val="20"/>
                <w:lang w:val="fr-CA"/>
              </w:rPr>
              <w:t>,</w:t>
            </w:r>
            <w:r w:rsidRPr="007E11CA">
              <w:rPr>
                <w:bCs/>
                <w:snapToGrid w:val="0"/>
                <w:color w:val="000000"/>
                <w:kern w:val="22"/>
                <w:sz w:val="20"/>
                <w:szCs w:val="20"/>
                <w:lang w:val="fr-CA"/>
              </w:rPr>
              <w:t>82</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55 653</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58 138</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CZK</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t>1,</w:t>
            </w:r>
            <w:r w:rsidRPr="007E11CA">
              <w:rPr>
                <w:snapToGrid w:val="0"/>
                <w:color w:val="000000"/>
                <w:kern w:val="22"/>
                <w:sz w:val="20"/>
                <w:szCs w:val="20"/>
                <w:lang w:val="fr-CA"/>
              </w:rPr>
              <w:t>04</w:t>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2015</w:t>
            </w:r>
          </w:p>
        </w:tc>
      </w:tr>
      <w:tr w:rsidR="00685F80" w:rsidRPr="007E11CA" w:rsidTr="008A502D">
        <w:trPr>
          <w:trHeight w:val="464"/>
          <w:jc w:val="center"/>
        </w:trPr>
        <w:tc>
          <w:tcPr>
            <w:tcW w:w="1373" w:type="dxa"/>
            <w:tcBorders>
              <w:top w:val="nil"/>
              <w:left w:val="single" w:sz="4" w:space="0" w:color="auto"/>
              <w:bottom w:val="single" w:sz="4" w:space="0" w:color="auto"/>
              <w:right w:val="single" w:sz="4" w:space="0" w:color="auto"/>
            </w:tcBorders>
            <w:shd w:val="clear" w:color="auto" w:fill="auto"/>
            <w:noWrap/>
            <w:vAlign w:val="center"/>
          </w:tcPr>
          <w:p w:rsidR="00685F80" w:rsidRPr="007E11CA" w:rsidRDefault="00685F80" w:rsidP="00C420BD">
            <w:pPr>
              <w:suppressLineNumbers/>
              <w:suppressAutoHyphens/>
              <w:kinsoku w:val="0"/>
              <w:overflowPunct w:val="0"/>
              <w:autoSpaceDE w:val="0"/>
              <w:autoSpaceDN w:val="0"/>
              <w:adjustRightInd w:val="0"/>
              <w:snapToGrid w:val="0"/>
              <w:jc w:val="left"/>
              <w:rPr>
                <w:snapToGrid w:val="0"/>
                <w:kern w:val="22"/>
                <w:sz w:val="20"/>
                <w:szCs w:val="20"/>
                <w:lang w:val="fr-CA"/>
              </w:rPr>
            </w:pPr>
            <w:r>
              <w:rPr>
                <w:snapToGrid w:val="0"/>
                <w:kern w:val="22"/>
                <w:sz w:val="20"/>
                <w:szCs w:val="20"/>
                <w:lang w:val="fr-CA"/>
              </w:rPr>
              <w:t>Union européenne</w:t>
            </w:r>
            <w:r w:rsidRPr="007E11CA">
              <w:rPr>
                <w:snapToGrid w:val="0"/>
                <w:kern w:val="22"/>
                <w:sz w:val="20"/>
                <w:szCs w:val="20"/>
                <w:vertAlign w:val="superscript"/>
                <w:lang w:val="fr-CA"/>
              </w:rPr>
              <w:t>*</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235</w:t>
            </w:r>
            <w:r>
              <w:rPr>
                <w:bCs/>
                <w:snapToGrid w:val="0"/>
                <w:color w:val="000000"/>
                <w:kern w:val="22"/>
                <w:sz w:val="20"/>
                <w:szCs w:val="20"/>
                <w:lang w:val="fr-CA"/>
              </w:rPr>
              <w:t> </w:t>
            </w:r>
            <w:r w:rsidRPr="007E11CA">
              <w:rPr>
                <w:bCs/>
                <w:snapToGrid w:val="0"/>
                <w:color w:val="000000"/>
                <w:kern w:val="22"/>
                <w:sz w:val="20"/>
                <w:szCs w:val="20"/>
                <w:lang w:val="fr-CA"/>
              </w:rPr>
              <w:t>414</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406 091</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1</w:t>
            </w:r>
            <w:r w:rsidR="00723FE7">
              <w:rPr>
                <w:bCs/>
                <w:snapToGrid w:val="0"/>
                <w:color w:val="000000"/>
                <w:kern w:val="22"/>
                <w:sz w:val="20"/>
                <w:szCs w:val="20"/>
                <w:lang w:val="fr-CA"/>
              </w:rPr>
              <w:t>,</w:t>
            </w:r>
            <w:r w:rsidRPr="007E11CA">
              <w:rPr>
                <w:bCs/>
                <w:snapToGrid w:val="0"/>
                <w:color w:val="000000"/>
                <w:kern w:val="22"/>
                <w:sz w:val="20"/>
                <w:szCs w:val="20"/>
                <w:lang w:val="fr-CA"/>
              </w:rPr>
              <w:t>73</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bCs/>
                <w:snapToGrid w:val="0"/>
                <w:color w:val="000000"/>
                <w:kern w:val="22"/>
                <w:sz w:val="20"/>
                <w:szCs w:val="20"/>
                <w:lang w:val="fr-CA"/>
              </w:rPr>
            </w:pPr>
            <w:r w:rsidRPr="007E11CA">
              <w:rPr>
                <w:bCs/>
                <w:snapToGrid w:val="0"/>
                <w:color w:val="000000"/>
                <w:kern w:val="22"/>
                <w:sz w:val="20"/>
                <w:szCs w:val="20"/>
                <w:lang w:val="fr-CA"/>
              </w:rPr>
              <w:t>173 000</w:t>
            </w:r>
          </w:p>
        </w:tc>
        <w:tc>
          <w:tcPr>
            <w:tcW w:w="1135" w:type="dxa"/>
            <w:tcBorders>
              <w:top w:val="single" w:sz="4" w:space="0" w:color="auto"/>
              <w:left w:val="nil"/>
              <w:bottom w:val="single" w:sz="4" w:space="0" w:color="auto"/>
              <w:right w:val="single" w:sz="4" w:space="0" w:color="auto"/>
            </w:tcBorders>
            <w:shd w:val="clear" w:color="auto" w:fill="FFFFFF"/>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365 000</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475CF8">
            <w:pPr>
              <w:suppressLineNumbers/>
              <w:suppressAutoHyphens/>
              <w:kinsoku w:val="0"/>
              <w:overflowPunct w:val="0"/>
              <w:autoSpaceDE w:val="0"/>
              <w:autoSpaceDN w:val="0"/>
              <w:adjustRightInd w:val="0"/>
              <w:snapToGrid w:val="0"/>
              <w:jc w:val="center"/>
              <w:rPr>
                <w:snapToGrid w:val="0"/>
                <w:color w:val="000000"/>
                <w:kern w:val="22"/>
                <w:sz w:val="20"/>
                <w:szCs w:val="20"/>
                <w:lang w:val="fr-CA"/>
              </w:rPr>
            </w:pPr>
            <w:r w:rsidRPr="007E11CA">
              <w:rPr>
                <w:snapToGrid w:val="0"/>
                <w:color w:val="000000"/>
                <w:kern w:val="22"/>
                <w:sz w:val="20"/>
                <w:szCs w:val="20"/>
                <w:lang w:val="fr-CA"/>
              </w:rPr>
              <w:t>EUR</w:t>
            </w:r>
          </w:p>
        </w:tc>
        <w:tc>
          <w:tcPr>
            <w:tcW w:w="1135" w:type="dxa"/>
            <w:tcBorders>
              <w:top w:val="single" w:sz="4" w:space="0" w:color="auto"/>
              <w:left w:val="nil"/>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Pr>
                <w:snapToGrid w:val="0"/>
                <w:color w:val="000000"/>
                <w:kern w:val="22"/>
                <w:sz w:val="20"/>
                <w:szCs w:val="20"/>
                <w:lang w:val="fr-CA"/>
              </w:rPr>
              <w:t>2,</w:t>
            </w:r>
            <w:r w:rsidRPr="007E11CA">
              <w:rPr>
                <w:snapToGrid w:val="0"/>
                <w:color w:val="000000"/>
                <w:kern w:val="22"/>
                <w:sz w:val="20"/>
                <w:szCs w:val="20"/>
                <w:lang w:val="fr-CA"/>
              </w:rPr>
              <w:t>11</w:t>
            </w:r>
          </w:p>
        </w:tc>
        <w:tc>
          <w:tcPr>
            <w:tcW w:w="1135" w:type="dxa"/>
            <w:tcBorders>
              <w:top w:val="single" w:sz="4" w:space="0" w:color="auto"/>
              <w:left w:val="single" w:sz="4" w:space="0" w:color="auto"/>
              <w:bottom w:val="single" w:sz="4" w:space="0" w:color="auto"/>
              <w:right w:val="single" w:sz="4" w:space="0" w:color="auto"/>
            </w:tcBorders>
            <w:shd w:val="clear" w:color="000000" w:fill="auto"/>
            <w:vAlign w:val="bottom"/>
          </w:tcPr>
          <w:p w:rsidR="00685F80" w:rsidRPr="007E11CA" w:rsidRDefault="00685F80" w:rsidP="00C420BD">
            <w:pPr>
              <w:suppressLineNumbers/>
              <w:suppressAutoHyphens/>
              <w:kinsoku w:val="0"/>
              <w:overflowPunct w:val="0"/>
              <w:autoSpaceDE w:val="0"/>
              <w:autoSpaceDN w:val="0"/>
              <w:adjustRightInd w:val="0"/>
              <w:snapToGrid w:val="0"/>
              <w:jc w:val="right"/>
              <w:rPr>
                <w:snapToGrid w:val="0"/>
                <w:color w:val="000000"/>
                <w:kern w:val="22"/>
                <w:sz w:val="20"/>
                <w:szCs w:val="20"/>
                <w:lang w:val="fr-CA"/>
              </w:rPr>
            </w:pPr>
            <w:r w:rsidRPr="007E11CA">
              <w:rPr>
                <w:snapToGrid w:val="0"/>
                <w:color w:val="000000"/>
                <w:kern w:val="22"/>
                <w:sz w:val="20"/>
                <w:szCs w:val="20"/>
                <w:lang w:val="fr-CA"/>
              </w:rPr>
              <w:t>2015</w:t>
            </w:r>
          </w:p>
        </w:tc>
      </w:tr>
      <w:tr w:rsidR="00384F6F" w:rsidRPr="00665C19" w:rsidTr="008A502D">
        <w:trPr>
          <w:trHeight w:val="1067"/>
          <w:jc w:val="center"/>
        </w:trPr>
        <w:tc>
          <w:tcPr>
            <w:tcW w:w="10453" w:type="dxa"/>
            <w:gridSpan w:val="9"/>
            <w:tcBorders>
              <w:top w:val="single" w:sz="4" w:space="0" w:color="auto"/>
              <w:left w:val="single" w:sz="4" w:space="0" w:color="auto"/>
              <w:bottom w:val="single" w:sz="4" w:space="0" w:color="auto"/>
              <w:right w:val="single" w:sz="4" w:space="0" w:color="auto"/>
            </w:tcBorders>
          </w:tcPr>
          <w:p w:rsidR="00384F6F" w:rsidRPr="007E11CA" w:rsidRDefault="00384F6F" w:rsidP="007F7862">
            <w:pPr>
              <w:suppressLineNumbers/>
              <w:suppressAutoHyphens/>
              <w:kinsoku w:val="0"/>
              <w:overflowPunct w:val="0"/>
              <w:autoSpaceDE w:val="0"/>
              <w:autoSpaceDN w:val="0"/>
              <w:adjustRightInd w:val="0"/>
              <w:snapToGrid w:val="0"/>
              <w:jc w:val="left"/>
              <w:rPr>
                <w:snapToGrid w:val="0"/>
                <w:kern w:val="22"/>
                <w:sz w:val="18"/>
                <w:szCs w:val="18"/>
                <w:lang w:val="fr-CA"/>
              </w:rPr>
            </w:pPr>
            <w:r w:rsidRPr="007E11CA">
              <w:rPr>
                <w:i/>
                <w:snapToGrid w:val="0"/>
                <w:kern w:val="22"/>
                <w:sz w:val="18"/>
                <w:szCs w:val="18"/>
                <w:lang w:val="fr-CA"/>
              </w:rPr>
              <w:t>Source</w:t>
            </w:r>
            <w:r w:rsidR="007F7862">
              <w:rPr>
                <w:i/>
                <w:snapToGrid w:val="0"/>
                <w:kern w:val="22"/>
                <w:sz w:val="18"/>
                <w:szCs w:val="18"/>
                <w:lang w:val="fr-CA"/>
              </w:rPr>
              <w:t> : Cadres de présentation des rapports financiers; propres calculs.</w:t>
            </w:r>
          </w:p>
          <w:p w:rsidR="00384F6F" w:rsidRPr="007E11CA" w:rsidRDefault="00384F6F" w:rsidP="007F7862">
            <w:pPr>
              <w:suppressLineNumbers/>
              <w:suppressAutoHyphens/>
              <w:kinsoku w:val="0"/>
              <w:overflowPunct w:val="0"/>
              <w:autoSpaceDE w:val="0"/>
              <w:autoSpaceDN w:val="0"/>
              <w:adjustRightInd w:val="0"/>
              <w:snapToGrid w:val="0"/>
              <w:jc w:val="left"/>
              <w:rPr>
                <w:snapToGrid w:val="0"/>
                <w:kern w:val="22"/>
                <w:sz w:val="18"/>
                <w:szCs w:val="18"/>
                <w:lang w:val="fr-CA"/>
              </w:rPr>
            </w:pPr>
            <w:r w:rsidRPr="007E11CA">
              <w:rPr>
                <w:i/>
                <w:iCs/>
                <w:snapToGrid w:val="0"/>
                <w:kern w:val="22"/>
                <w:sz w:val="18"/>
                <w:szCs w:val="18"/>
                <w:lang w:val="fr-CA"/>
              </w:rPr>
              <w:t>Notes</w:t>
            </w:r>
            <w:r w:rsidR="007F7862">
              <w:rPr>
                <w:i/>
                <w:iCs/>
                <w:snapToGrid w:val="0"/>
                <w:kern w:val="22"/>
                <w:sz w:val="18"/>
                <w:szCs w:val="18"/>
                <w:lang w:val="fr-CA"/>
              </w:rPr>
              <w:t> </w:t>
            </w:r>
            <w:r w:rsidR="007F7862">
              <w:rPr>
                <w:snapToGrid w:val="0"/>
                <w:kern w:val="22"/>
                <w:sz w:val="18"/>
                <w:szCs w:val="18"/>
                <w:lang w:val="fr-CA"/>
              </w:rPr>
              <w:t>: Basé sur les devises telles qu</w:t>
            </w:r>
            <w:r w:rsidR="00466152">
              <w:rPr>
                <w:snapToGrid w:val="0"/>
                <w:kern w:val="22"/>
                <w:sz w:val="18"/>
                <w:szCs w:val="18"/>
                <w:lang w:val="fr-CA"/>
              </w:rPr>
              <w:t>’</w:t>
            </w:r>
            <w:r w:rsidR="007F7862">
              <w:rPr>
                <w:snapToGrid w:val="0"/>
                <w:kern w:val="22"/>
                <w:sz w:val="18"/>
                <w:szCs w:val="18"/>
                <w:lang w:val="fr-CA"/>
              </w:rPr>
              <w:t>indiquées, valeurs courantes. Les pays suivants : Bulgarie, Chili, Malte, Slovaquie</w:t>
            </w:r>
            <w:r w:rsidRPr="007E11CA">
              <w:rPr>
                <w:snapToGrid w:val="0"/>
                <w:kern w:val="22"/>
                <w:sz w:val="18"/>
                <w:szCs w:val="18"/>
                <w:lang w:val="fr-CA"/>
              </w:rPr>
              <w:t xml:space="preserve"> </w:t>
            </w:r>
            <w:r w:rsidR="007F7862">
              <w:rPr>
                <w:snapToGrid w:val="0"/>
                <w:kern w:val="22"/>
                <w:sz w:val="18"/>
                <w:szCs w:val="18"/>
                <w:lang w:val="fr-CA"/>
              </w:rPr>
              <w:t>et Slovénie, ont fait état de progrès, mais n</w:t>
            </w:r>
            <w:r w:rsidR="00466152">
              <w:rPr>
                <w:snapToGrid w:val="0"/>
                <w:kern w:val="22"/>
                <w:sz w:val="18"/>
                <w:szCs w:val="18"/>
                <w:lang w:val="fr-CA"/>
              </w:rPr>
              <w:t>’</w:t>
            </w:r>
            <w:r w:rsidR="007F7862">
              <w:rPr>
                <w:snapToGrid w:val="0"/>
                <w:kern w:val="22"/>
                <w:sz w:val="18"/>
                <w:szCs w:val="18"/>
                <w:lang w:val="fr-CA"/>
              </w:rPr>
              <w:t xml:space="preserve">ont fourni aucune donnée de référence. </w:t>
            </w:r>
          </w:p>
          <w:p w:rsidR="00384F6F" w:rsidRPr="007E11CA" w:rsidRDefault="00384F6F" w:rsidP="007F7862">
            <w:pPr>
              <w:suppressLineNumbers/>
              <w:suppressAutoHyphens/>
              <w:kinsoku w:val="0"/>
              <w:overflowPunct w:val="0"/>
              <w:autoSpaceDE w:val="0"/>
              <w:autoSpaceDN w:val="0"/>
              <w:adjustRightInd w:val="0"/>
              <w:snapToGrid w:val="0"/>
              <w:jc w:val="left"/>
              <w:rPr>
                <w:i/>
                <w:snapToGrid w:val="0"/>
                <w:kern w:val="22"/>
                <w:sz w:val="20"/>
                <w:szCs w:val="20"/>
                <w:lang w:val="fr-CA"/>
              </w:rPr>
            </w:pPr>
            <w:r w:rsidRPr="008A502D">
              <w:rPr>
                <w:snapToGrid w:val="0"/>
                <w:kern w:val="22"/>
                <w:sz w:val="18"/>
                <w:szCs w:val="18"/>
                <w:vertAlign w:val="superscript"/>
                <w:lang w:val="fr-CA"/>
              </w:rPr>
              <w:t xml:space="preserve">* </w:t>
            </w:r>
            <w:r w:rsidR="007F7862" w:rsidRPr="008A502D">
              <w:rPr>
                <w:snapToGrid w:val="0"/>
                <w:kern w:val="22"/>
                <w:sz w:val="18"/>
                <w:szCs w:val="18"/>
                <w:vertAlign w:val="superscript"/>
                <w:lang w:val="fr-CA"/>
              </w:rPr>
              <w:t xml:space="preserve"> </w:t>
            </w:r>
            <w:r w:rsidR="007F7862" w:rsidRPr="008A502D">
              <w:rPr>
                <w:snapToGrid w:val="0"/>
                <w:kern w:val="22"/>
                <w:sz w:val="18"/>
                <w:szCs w:val="18"/>
                <w:lang w:val="fr-CA"/>
              </w:rPr>
              <w:t>Membres CAD</w:t>
            </w:r>
            <w:r w:rsidR="00466152" w:rsidRPr="008A502D">
              <w:rPr>
                <w:snapToGrid w:val="0"/>
                <w:kern w:val="22"/>
                <w:sz w:val="18"/>
                <w:szCs w:val="18"/>
                <w:lang w:val="fr-CA"/>
              </w:rPr>
              <w:noBreakHyphen/>
            </w:r>
            <w:r w:rsidR="007F7862" w:rsidRPr="008A502D">
              <w:rPr>
                <w:snapToGrid w:val="0"/>
                <w:kern w:val="22"/>
                <w:sz w:val="18"/>
                <w:szCs w:val="18"/>
                <w:lang w:val="fr-CA"/>
              </w:rPr>
              <w:t>OCDE. Les membres CAD Parties à la C</w:t>
            </w:r>
            <w:bookmarkStart w:id="0" w:name="_GoBack"/>
            <w:bookmarkEnd w:id="0"/>
            <w:r w:rsidR="007F7862" w:rsidRPr="008A502D">
              <w:rPr>
                <w:snapToGrid w:val="0"/>
                <w:kern w:val="22"/>
                <w:sz w:val="18"/>
                <w:szCs w:val="18"/>
                <w:lang w:val="fr-CA"/>
              </w:rPr>
              <w:t>onvention qui n</w:t>
            </w:r>
            <w:r w:rsidR="00466152" w:rsidRPr="008A502D">
              <w:rPr>
                <w:snapToGrid w:val="0"/>
                <w:kern w:val="22"/>
                <w:sz w:val="18"/>
                <w:szCs w:val="18"/>
                <w:lang w:val="fr-CA"/>
              </w:rPr>
              <w:t>’</w:t>
            </w:r>
            <w:r w:rsidR="007F7862" w:rsidRPr="008A502D">
              <w:rPr>
                <w:snapToGrid w:val="0"/>
                <w:kern w:val="22"/>
                <w:sz w:val="18"/>
                <w:szCs w:val="18"/>
                <w:lang w:val="fr-CA"/>
              </w:rPr>
              <w:t>ont pas encore présenté de rapport : Australie, Belgique, Irlande, Islande, Italie et Portugal</w:t>
            </w:r>
            <w:r w:rsidR="007F7862">
              <w:rPr>
                <w:snapToGrid w:val="0"/>
                <w:kern w:val="22"/>
                <w:sz w:val="18"/>
                <w:szCs w:val="18"/>
                <w:lang w:val="fr-CA"/>
              </w:rPr>
              <w:t>.</w:t>
            </w:r>
          </w:p>
        </w:tc>
      </w:tr>
    </w:tbl>
    <w:p w:rsidR="00B3369F" w:rsidRPr="007E11CA" w:rsidRDefault="00B3369F" w:rsidP="006B3F7D">
      <w:pPr>
        <w:suppressLineNumbers/>
        <w:suppressAutoHyphens/>
        <w:kinsoku w:val="0"/>
        <w:overflowPunct w:val="0"/>
        <w:autoSpaceDE w:val="0"/>
        <w:autoSpaceDN w:val="0"/>
        <w:adjustRightInd w:val="0"/>
        <w:snapToGrid w:val="0"/>
        <w:rPr>
          <w:bCs/>
          <w:szCs w:val="22"/>
          <w:lang w:val="fr-CA"/>
        </w:rPr>
      </w:pPr>
    </w:p>
    <w:sectPr w:rsidR="00B3369F" w:rsidRPr="007E11CA" w:rsidSect="00D73DA9">
      <w:headerReference w:type="even" r:id="rId23"/>
      <w:footerReference w:type="even" r:id="rId24"/>
      <w:footerReference w:type="default" r:id="rId25"/>
      <w:pgSz w:w="12240" w:h="15840" w:code="1"/>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843" w:rsidRDefault="00905843" w:rsidP="00CF1848">
      <w:r>
        <w:separator/>
      </w:r>
    </w:p>
  </w:endnote>
  <w:endnote w:type="continuationSeparator" w:id="0">
    <w:p w:rsidR="00905843" w:rsidRDefault="00905843"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0000000000000000000"/>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C6D" w:rsidRDefault="007F1C6D" w:rsidP="000B2CC8">
    <w:pPr>
      <w:pStyle w:val="Footer"/>
      <w:tabs>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C6D" w:rsidRDefault="007F1C6D" w:rsidP="000B2CC8">
    <w:pPr>
      <w:pStyle w:val="Footer"/>
      <w:tabs>
        <w:tab w:val="clear" w:pos="4320"/>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C6D" w:rsidRDefault="007F1C6D" w:rsidP="006E604B">
    <w:pPr>
      <w:pStyle w:val="Footer"/>
      <w:tabs>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C6D" w:rsidRPr="00835421" w:rsidRDefault="007F1C6D" w:rsidP="00835421">
    <w:pPr>
      <w:pStyle w:val="Footer"/>
      <w:tabs>
        <w:tab w:val="clear" w:pos="4320"/>
        <w:tab w:val="clear" w:pos="8640"/>
      </w:tabs>
      <w:jc w:val="center"/>
      <w:rPr>
        <w:lang w:val="en-CA"/>
      </w:rPr>
    </w:pPr>
    <w:r>
      <w:rPr>
        <w:lang w:val="en-CA"/>
      </w:rPr>
      <w:t>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843" w:rsidRDefault="00905843" w:rsidP="00CF1848">
      <w:r>
        <w:separator/>
      </w:r>
    </w:p>
  </w:footnote>
  <w:footnote w:type="continuationSeparator" w:id="0">
    <w:p w:rsidR="00905843" w:rsidRDefault="00905843" w:rsidP="00CF1848">
      <w:r>
        <w:continuationSeparator/>
      </w:r>
    </w:p>
  </w:footnote>
  <w:footnote w:id="1">
    <w:p w:rsidR="007F1C6D" w:rsidRPr="00E56633" w:rsidRDefault="007F1C6D" w:rsidP="00490BF5">
      <w:pPr>
        <w:pStyle w:val="FootnoteText"/>
        <w:kinsoku w:val="0"/>
        <w:overflowPunct w:val="0"/>
        <w:autoSpaceDE w:val="0"/>
        <w:autoSpaceDN w:val="0"/>
        <w:adjustRightInd w:val="0"/>
        <w:snapToGrid w:val="0"/>
        <w:ind w:firstLine="0"/>
        <w:jc w:val="left"/>
        <w:rPr>
          <w:snapToGrid w:val="0"/>
          <w:kern w:val="18"/>
          <w:szCs w:val="18"/>
          <w:lang w:val="fr-CA"/>
        </w:rPr>
      </w:pPr>
      <w:r w:rsidRPr="00E56633">
        <w:rPr>
          <w:rStyle w:val="FootnoteReference"/>
          <w:snapToGrid w:val="0"/>
          <w:kern w:val="18"/>
          <w:sz w:val="18"/>
          <w:szCs w:val="18"/>
          <w:lang w:val="fr-CA"/>
        </w:rPr>
        <w:t>*</w:t>
      </w:r>
      <w:r w:rsidRPr="00E56633">
        <w:rPr>
          <w:snapToGrid w:val="0"/>
          <w:kern w:val="18"/>
          <w:szCs w:val="18"/>
          <w:lang w:val="fr-CA"/>
        </w:rPr>
        <w:t xml:space="preserve"> </w:t>
      </w:r>
      <w:hyperlink r:id="rId1" w:history="1">
        <w:r>
          <w:rPr>
            <w:rStyle w:val="Hyperlink"/>
            <w:snapToGrid w:val="0"/>
            <w:kern w:val="18"/>
            <w:szCs w:val="18"/>
            <w:lang w:val="fr-CA"/>
          </w:rPr>
          <w:t>CBD/SBI/2/1</w:t>
        </w:r>
      </w:hyperlink>
      <w:r>
        <w:rPr>
          <w:snapToGrid w:val="0"/>
          <w:kern w:val="18"/>
          <w:szCs w:val="18"/>
          <w:lang w:val="fr-CA"/>
        </w:rPr>
        <w:t xml:space="preserve">. </w:t>
      </w:r>
    </w:p>
  </w:footnote>
  <w:footnote w:id="2">
    <w:p w:rsidR="007F1C6D" w:rsidRPr="00E56633" w:rsidRDefault="007F1C6D" w:rsidP="00E56633">
      <w:pPr>
        <w:pStyle w:val="FootnoteText"/>
        <w:kinsoku w:val="0"/>
        <w:overflowPunct w:val="0"/>
        <w:autoSpaceDE w:val="0"/>
        <w:autoSpaceDN w:val="0"/>
        <w:adjustRightInd w:val="0"/>
        <w:snapToGrid w:val="0"/>
        <w:ind w:firstLine="0"/>
        <w:jc w:val="left"/>
        <w:rPr>
          <w:snapToGrid w:val="0"/>
          <w:kern w:val="18"/>
          <w:szCs w:val="18"/>
          <w:lang w:val="fr-CA"/>
        </w:rPr>
      </w:pPr>
      <w:r w:rsidRPr="00E56633">
        <w:rPr>
          <w:rStyle w:val="FootnoteReference"/>
          <w:snapToGrid w:val="0"/>
          <w:kern w:val="18"/>
          <w:sz w:val="18"/>
          <w:szCs w:val="18"/>
          <w:lang w:val="fr-CA"/>
        </w:rPr>
        <w:footnoteRef/>
      </w:r>
      <w:r w:rsidRPr="00E56633">
        <w:rPr>
          <w:snapToGrid w:val="0"/>
          <w:kern w:val="18"/>
          <w:szCs w:val="18"/>
          <w:lang w:val="fr-CA"/>
        </w:rPr>
        <w:t xml:space="preserve"> Voir </w:t>
      </w:r>
      <w:hyperlink r:id="rId2" w:history="1">
        <w:r>
          <w:rPr>
            <w:rStyle w:val="Hyperlink"/>
            <w:snapToGrid w:val="0"/>
            <w:kern w:val="18"/>
            <w:szCs w:val="18"/>
            <w:lang w:val="fr-CA"/>
          </w:rPr>
          <w:t>UNEP/CBD/COP/13/11/Rev.1</w:t>
        </w:r>
      </w:hyperlink>
      <w:r>
        <w:rPr>
          <w:snapToGrid w:val="0"/>
          <w:kern w:val="18"/>
          <w:szCs w:val="18"/>
          <w:lang w:val="fr-CA"/>
        </w:rPr>
        <w:t xml:space="preserve">. </w:t>
      </w:r>
    </w:p>
  </w:footnote>
  <w:footnote w:id="3">
    <w:p w:rsidR="007F1C6D" w:rsidRPr="00E56633" w:rsidRDefault="007F1C6D" w:rsidP="00466152">
      <w:pPr>
        <w:pStyle w:val="FootnoteText"/>
        <w:kinsoku w:val="0"/>
        <w:overflowPunct w:val="0"/>
        <w:autoSpaceDE w:val="0"/>
        <w:autoSpaceDN w:val="0"/>
        <w:adjustRightInd w:val="0"/>
        <w:snapToGrid w:val="0"/>
        <w:ind w:firstLine="0"/>
        <w:jc w:val="left"/>
        <w:rPr>
          <w:noProof/>
          <w:snapToGrid w:val="0"/>
          <w:kern w:val="18"/>
          <w:szCs w:val="18"/>
          <w:lang w:val="fr-CA"/>
        </w:rPr>
      </w:pPr>
      <w:r w:rsidRPr="00E56633">
        <w:rPr>
          <w:rStyle w:val="FootnoteReference"/>
          <w:snapToGrid w:val="0"/>
          <w:kern w:val="18"/>
          <w:sz w:val="18"/>
          <w:szCs w:val="18"/>
          <w:lang w:val="fr-CA"/>
        </w:rPr>
        <w:footnoteRef/>
      </w:r>
      <w:r w:rsidRPr="00E56633">
        <w:rPr>
          <w:snapToGrid w:val="0"/>
          <w:kern w:val="18"/>
          <w:szCs w:val="18"/>
          <w:lang w:val="fr-CA"/>
        </w:rPr>
        <w:t xml:space="preserve"> </w:t>
      </w:r>
      <w:r>
        <w:rPr>
          <w:snapToGrid w:val="0"/>
          <w:kern w:val="18"/>
          <w:szCs w:val="18"/>
          <w:lang w:val="fr-CA"/>
        </w:rPr>
        <w:t xml:space="preserve">Aide bilatérale promise marquée « principal » au titre du système des </w:t>
      </w:r>
      <w:r>
        <w:rPr>
          <w:noProof/>
          <w:snapToGrid w:val="0"/>
          <w:kern w:val="18"/>
          <w:szCs w:val="18"/>
          <w:lang w:val="fr-CA"/>
        </w:rPr>
        <w:t>marqueurs de Rio du CAD</w:t>
      </w:r>
      <w:r>
        <w:rPr>
          <w:noProof/>
          <w:snapToGrid w:val="0"/>
          <w:kern w:val="18"/>
          <w:szCs w:val="18"/>
          <w:lang w:val="fr-CA"/>
        </w:rPr>
        <w:noBreakHyphen/>
        <w:t>OCDE.</w:t>
      </w:r>
      <w:r w:rsidRPr="00E56633">
        <w:rPr>
          <w:noProof/>
          <w:snapToGrid w:val="0"/>
          <w:kern w:val="18"/>
          <w:szCs w:val="18"/>
          <w:lang w:val="fr-CA"/>
        </w:rPr>
        <w:t xml:space="preserve"> </w:t>
      </w:r>
    </w:p>
  </w:footnote>
  <w:footnote w:id="4">
    <w:p w:rsidR="007F1C6D" w:rsidRPr="00E56633" w:rsidRDefault="007F1C6D" w:rsidP="00466152">
      <w:pPr>
        <w:pStyle w:val="FootnoteText"/>
        <w:kinsoku w:val="0"/>
        <w:overflowPunct w:val="0"/>
        <w:autoSpaceDE w:val="0"/>
        <w:autoSpaceDN w:val="0"/>
        <w:adjustRightInd w:val="0"/>
        <w:snapToGrid w:val="0"/>
        <w:ind w:firstLine="0"/>
        <w:jc w:val="left"/>
        <w:rPr>
          <w:noProof/>
          <w:snapToGrid w:val="0"/>
          <w:kern w:val="18"/>
          <w:szCs w:val="18"/>
          <w:lang w:val="fr-CA"/>
        </w:rPr>
      </w:pPr>
      <w:r w:rsidRPr="00E56633">
        <w:rPr>
          <w:rStyle w:val="FootnoteReference"/>
          <w:noProof/>
          <w:snapToGrid w:val="0"/>
          <w:kern w:val="18"/>
          <w:sz w:val="18"/>
          <w:szCs w:val="18"/>
          <w:lang w:val="fr-CA"/>
        </w:rPr>
        <w:footnoteRef/>
      </w:r>
      <w:r w:rsidRPr="00E56633">
        <w:rPr>
          <w:noProof/>
          <w:snapToGrid w:val="0"/>
          <w:kern w:val="18"/>
          <w:szCs w:val="18"/>
          <w:lang w:val="fr-CA"/>
        </w:rPr>
        <w:t xml:space="preserve"> </w:t>
      </w:r>
      <w:r>
        <w:rPr>
          <w:noProof/>
          <w:snapToGrid w:val="0"/>
          <w:kern w:val="18"/>
          <w:szCs w:val="18"/>
          <w:lang w:val="fr-CA"/>
        </w:rPr>
        <w:t xml:space="preserve">Au moment de la préparation du rapport pour la treizième réunion de la Conférence des Parties, 12 Parties avaient indiqué des données pour 2015, soit 29 pour cent du niveau de référence (voir </w:t>
      </w:r>
      <w:r w:rsidRPr="00E56633">
        <w:rPr>
          <w:noProof/>
          <w:snapToGrid w:val="0"/>
          <w:kern w:val="18"/>
          <w:szCs w:val="18"/>
          <w:lang w:val="fr-CA"/>
        </w:rPr>
        <w:t>UNEP/CBD/COP/13/11/Rev.1).</w:t>
      </w:r>
    </w:p>
  </w:footnote>
  <w:footnote w:id="5">
    <w:p w:rsidR="007F1C6D" w:rsidRPr="00E56633" w:rsidRDefault="007F1C6D" w:rsidP="008F592C">
      <w:pPr>
        <w:pStyle w:val="FootnoteText"/>
        <w:kinsoku w:val="0"/>
        <w:overflowPunct w:val="0"/>
        <w:autoSpaceDE w:val="0"/>
        <w:autoSpaceDN w:val="0"/>
        <w:adjustRightInd w:val="0"/>
        <w:snapToGrid w:val="0"/>
        <w:ind w:firstLine="0"/>
        <w:jc w:val="left"/>
        <w:rPr>
          <w:noProof/>
          <w:snapToGrid w:val="0"/>
          <w:kern w:val="18"/>
          <w:szCs w:val="18"/>
          <w:lang w:val="fr-CA"/>
        </w:rPr>
      </w:pPr>
      <w:r w:rsidRPr="00E56633">
        <w:rPr>
          <w:rStyle w:val="FootnoteReference"/>
          <w:noProof/>
          <w:snapToGrid w:val="0"/>
          <w:kern w:val="18"/>
          <w:sz w:val="18"/>
          <w:szCs w:val="18"/>
          <w:lang w:val="fr-CA"/>
        </w:rPr>
        <w:footnoteRef/>
      </w:r>
      <w:r w:rsidRPr="00E56633">
        <w:rPr>
          <w:noProof/>
          <w:snapToGrid w:val="0"/>
          <w:kern w:val="18"/>
          <w:szCs w:val="18"/>
          <w:lang w:val="fr-CA"/>
        </w:rPr>
        <w:t xml:space="preserve"> </w:t>
      </w:r>
      <w:r>
        <w:rPr>
          <w:noProof/>
          <w:snapToGrid w:val="0"/>
          <w:kern w:val="18"/>
          <w:szCs w:val="18"/>
          <w:lang w:val="fr-CA"/>
        </w:rPr>
        <w:t xml:space="preserve">Le financement annuel fourni dans une année particulière divisé par le niveau de référence. Un quotient de 2.0 représente une hausse de 100 pour cent ou le doublement du flux de ressources. </w:t>
      </w:r>
    </w:p>
  </w:footnote>
  <w:footnote w:id="6">
    <w:p w:rsidR="007F1C6D" w:rsidRPr="00665C19" w:rsidRDefault="007F1C6D" w:rsidP="00F00E22">
      <w:pPr>
        <w:pStyle w:val="FootnoteText"/>
        <w:kinsoku w:val="0"/>
        <w:overflowPunct w:val="0"/>
        <w:autoSpaceDE w:val="0"/>
        <w:autoSpaceDN w:val="0"/>
        <w:adjustRightInd w:val="0"/>
        <w:snapToGrid w:val="0"/>
        <w:ind w:firstLine="0"/>
        <w:jc w:val="left"/>
        <w:rPr>
          <w:snapToGrid w:val="0"/>
          <w:kern w:val="18"/>
          <w:szCs w:val="18"/>
          <w:lang w:val="en-CA"/>
        </w:rPr>
      </w:pPr>
      <w:r w:rsidRPr="00E56633">
        <w:rPr>
          <w:rStyle w:val="FootnoteReference"/>
          <w:snapToGrid w:val="0"/>
          <w:kern w:val="18"/>
          <w:sz w:val="18"/>
          <w:szCs w:val="18"/>
          <w:lang w:val="fr-CA"/>
        </w:rPr>
        <w:footnoteRef/>
      </w:r>
      <w:r w:rsidRPr="00665C19">
        <w:rPr>
          <w:snapToGrid w:val="0"/>
          <w:kern w:val="18"/>
          <w:szCs w:val="18"/>
          <w:lang w:val="en-CA"/>
        </w:rPr>
        <w:t xml:space="preserve"> Voir UNEP/CBD/SBI/1/7 and UNEP/CBD/COP/13/11/Rev.1.</w:t>
      </w:r>
    </w:p>
  </w:footnote>
  <w:footnote w:id="7">
    <w:p w:rsidR="007F1C6D" w:rsidRPr="00E56633" w:rsidRDefault="007F1C6D" w:rsidP="00BD4BCA">
      <w:pPr>
        <w:pStyle w:val="FootnoteText"/>
        <w:kinsoku w:val="0"/>
        <w:overflowPunct w:val="0"/>
        <w:autoSpaceDE w:val="0"/>
        <w:autoSpaceDN w:val="0"/>
        <w:adjustRightInd w:val="0"/>
        <w:snapToGrid w:val="0"/>
        <w:ind w:firstLine="0"/>
        <w:jc w:val="left"/>
        <w:rPr>
          <w:snapToGrid w:val="0"/>
          <w:kern w:val="18"/>
          <w:szCs w:val="18"/>
          <w:lang w:val="fr-CA"/>
        </w:rPr>
      </w:pPr>
      <w:r w:rsidRPr="00E56633">
        <w:rPr>
          <w:rStyle w:val="FootnoteReference"/>
          <w:snapToGrid w:val="0"/>
          <w:kern w:val="18"/>
          <w:sz w:val="18"/>
          <w:szCs w:val="18"/>
          <w:lang w:val="fr-CA"/>
        </w:rPr>
        <w:footnoteRef/>
      </w:r>
      <w:r w:rsidRPr="00E56633">
        <w:rPr>
          <w:snapToGrid w:val="0"/>
          <w:kern w:val="18"/>
          <w:szCs w:val="18"/>
          <w:lang w:val="fr-CA"/>
        </w:rPr>
        <w:t xml:space="preserve"> </w:t>
      </w:r>
      <w:r>
        <w:rPr>
          <w:snapToGrid w:val="0"/>
          <w:kern w:val="18"/>
          <w:szCs w:val="18"/>
          <w:lang w:val="fr-CA"/>
        </w:rPr>
        <w:t>Extrait de la base de données en ligne</w:t>
      </w:r>
      <w:r w:rsidRPr="00E56633">
        <w:rPr>
          <w:snapToGrid w:val="0"/>
          <w:kern w:val="18"/>
          <w:szCs w:val="18"/>
          <w:lang w:val="fr-CA"/>
        </w:rPr>
        <w:t xml:space="preserve"> </w:t>
      </w:r>
      <w:r w:rsidRPr="00E56633">
        <w:rPr>
          <w:i/>
          <w:iCs/>
          <w:snapToGrid w:val="0"/>
          <w:kern w:val="18"/>
          <w:szCs w:val="18"/>
          <w:lang w:val="fr-CA"/>
        </w:rPr>
        <w:t xml:space="preserve">World </w:t>
      </w:r>
      <w:proofErr w:type="spellStart"/>
      <w:r w:rsidRPr="00E56633">
        <w:rPr>
          <w:i/>
          <w:iCs/>
          <w:snapToGrid w:val="0"/>
          <w:kern w:val="18"/>
          <w:szCs w:val="18"/>
          <w:lang w:val="fr-CA"/>
        </w:rPr>
        <w:t>Economic</w:t>
      </w:r>
      <w:proofErr w:type="spellEnd"/>
      <w:r w:rsidRPr="00E56633">
        <w:rPr>
          <w:i/>
          <w:iCs/>
          <w:snapToGrid w:val="0"/>
          <w:kern w:val="18"/>
          <w:szCs w:val="18"/>
          <w:lang w:val="fr-CA"/>
        </w:rPr>
        <w:t xml:space="preserve"> Outlook</w:t>
      </w:r>
      <w:r w:rsidRPr="00E56633">
        <w:rPr>
          <w:snapToGrid w:val="0"/>
          <w:kern w:val="18"/>
          <w:szCs w:val="18"/>
          <w:lang w:val="fr-CA"/>
        </w:rPr>
        <w:t xml:space="preserve"> </w:t>
      </w:r>
      <w:r>
        <w:rPr>
          <w:snapToGrid w:val="0"/>
          <w:kern w:val="18"/>
          <w:szCs w:val="18"/>
          <w:lang w:val="fr-CA"/>
        </w:rPr>
        <w:t>du Fond monétaire international</w:t>
      </w:r>
      <w:r w:rsidRPr="00E56633">
        <w:rPr>
          <w:snapToGrid w:val="0"/>
          <w:kern w:val="18"/>
          <w:szCs w:val="18"/>
          <w:lang w:val="fr-CA"/>
        </w:rPr>
        <w:t xml:space="preserve">, </w:t>
      </w:r>
      <w:r>
        <w:rPr>
          <w:snapToGrid w:val="0"/>
          <w:kern w:val="18"/>
          <w:szCs w:val="18"/>
          <w:lang w:val="fr-CA"/>
        </w:rPr>
        <w:t xml:space="preserve">disponible à l’adresse </w:t>
      </w:r>
      <w:hyperlink r:id="rId3" w:history="1">
        <w:r w:rsidRPr="00E56633">
          <w:rPr>
            <w:rStyle w:val="Hyperlink"/>
            <w:snapToGrid w:val="0"/>
            <w:kern w:val="18"/>
            <w:szCs w:val="18"/>
            <w:lang w:val="fr-CA"/>
          </w:rPr>
          <w:t>https://www.imf.org/external/pubs/ft/weo/2017/02/weodata/index.aspx</w:t>
        </w:r>
      </w:hyperlink>
    </w:p>
  </w:footnote>
  <w:footnote w:id="8">
    <w:p w:rsidR="007F1C6D" w:rsidRPr="00E56633" w:rsidRDefault="007F1C6D" w:rsidP="00066268">
      <w:pPr>
        <w:pStyle w:val="FootnoteText"/>
        <w:kinsoku w:val="0"/>
        <w:overflowPunct w:val="0"/>
        <w:autoSpaceDE w:val="0"/>
        <w:autoSpaceDN w:val="0"/>
        <w:adjustRightInd w:val="0"/>
        <w:snapToGrid w:val="0"/>
        <w:ind w:firstLine="0"/>
        <w:jc w:val="left"/>
        <w:rPr>
          <w:snapToGrid w:val="0"/>
          <w:kern w:val="18"/>
          <w:szCs w:val="18"/>
          <w:lang w:val="fr-CA"/>
        </w:rPr>
      </w:pPr>
      <w:r w:rsidRPr="00E56633">
        <w:rPr>
          <w:rStyle w:val="FootnoteReference"/>
          <w:snapToGrid w:val="0"/>
          <w:kern w:val="18"/>
          <w:sz w:val="18"/>
          <w:szCs w:val="18"/>
          <w:lang w:val="fr-CA"/>
        </w:rPr>
        <w:footnoteRef/>
      </w:r>
      <w:r w:rsidRPr="00E56633">
        <w:rPr>
          <w:snapToGrid w:val="0"/>
          <w:kern w:val="18"/>
          <w:szCs w:val="18"/>
          <w:lang w:val="fr-CA"/>
        </w:rPr>
        <w:t xml:space="preserve"> Accessible </w:t>
      </w:r>
      <w:r>
        <w:rPr>
          <w:snapToGrid w:val="0"/>
          <w:kern w:val="18"/>
          <w:szCs w:val="18"/>
          <w:lang w:val="fr-CA"/>
        </w:rPr>
        <w:t>en ligne à l’adresse</w:t>
      </w:r>
      <w:r w:rsidRPr="00E56633">
        <w:rPr>
          <w:snapToGrid w:val="0"/>
          <w:kern w:val="18"/>
          <w:szCs w:val="18"/>
          <w:lang w:val="fr-CA"/>
        </w:rPr>
        <w:t xml:space="preserve"> </w:t>
      </w:r>
      <w:hyperlink r:id="rId4" w:history="1">
        <w:r w:rsidRPr="00E56633">
          <w:rPr>
            <w:rStyle w:val="Hyperlink"/>
            <w:snapToGrid w:val="0"/>
            <w:kern w:val="18"/>
            <w:szCs w:val="18"/>
            <w:lang w:val="fr-CA"/>
          </w:rPr>
          <w:t>http://stats.oecd.org</w:t>
        </w:r>
      </w:hyperlink>
      <w:r w:rsidRPr="00E56633">
        <w:rPr>
          <w:snapToGrid w:val="0"/>
          <w:kern w:val="18"/>
          <w:szCs w:val="18"/>
          <w:lang w:val="fr-CA"/>
        </w:rPr>
        <w:t>.</w:t>
      </w:r>
    </w:p>
  </w:footnote>
  <w:footnote w:id="9">
    <w:p w:rsidR="007F1C6D" w:rsidRPr="00E56633" w:rsidRDefault="007F1C6D" w:rsidP="003B130B">
      <w:pPr>
        <w:pStyle w:val="FootnoteText"/>
        <w:kinsoku w:val="0"/>
        <w:overflowPunct w:val="0"/>
        <w:autoSpaceDE w:val="0"/>
        <w:autoSpaceDN w:val="0"/>
        <w:adjustRightInd w:val="0"/>
        <w:snapToGrid w:val="0"/>
        <w:ind w:firstLine="0"/>
        <w:jc w:val="left"/>
        <w:rPr>
          <w:snapToGrid w:val="0"/>
          <w:kern w:val="18"/>
          <w:szCs w:val="18"/>
          <w:lang w:val="fr-CA"/>
        </w:rPr>
      </w:pPr>
      <w:r w:rsidRPr="00E56633">
        <w:rPr>
          <w:rStyle w:val="FootnoteReference"/>
          <w:snapToGrid w:val="0"/>
          <w:kern w:val="18"/>
          <w:sz w:val="18"/>
          <w:szCs w:val="18"/>
          <w:lang w:val="fr-CA"/>
        </w:rPr>
        <w:footnoteRef/>
      </w:r>
      <w:r w:rsidRPr="00E56633">
        <w:rPr>
          <w:snapToGrid w:val="0"/>
          <w:kern w:val="18"/>
          <w:szCs w:val="18"/>
          <w:lang w:val="fr-CA"/>
        </w:rPr>
        <w:t xml:space="preserve"> </w:t>
      </w:r>
      <w:r>
        <w:rPr>
          <w:snapToGrid w:val="0"/>
          <w:kern w:val="18"/>
          <w:szCs w:val="18"/>
          <w:lang w:val="fr-CA"/>
        </w:rPr>
        <w:t xml:space="preserve">En 2015, </w:t>
      </w:r>
      <w:r>
        <w:rPr>
          <w:noProof/>
          <w:snapToGrid w:val="0"/>
          <w:kern w:val="18"/>
          <w:szCs w:val="18"/>
          <w:lang w:val="fr-CA"/>
        </w:rPr>
        <w:t>les États</w:t>
      </w:r>
      <w:r>
        <w:rPr>
          <w:noProof/>
          <w:snapToGrid w:val="0"/>
          <w:kern w:val="18"/>
          <w:szCs w:val="18"/>
          <w:lang w:val="fr-CA"/>
        </w:rPr>
        <w:noBreakHyphen/>
        <w:t>Unis ont plus</w:t>
      </w:r>
      <w:r>
        <w:rPr>
          <w:snapToGrid w:val="0"/>
          <w:kern w:val="18"/>
          <w:szCs w:val="18"/>
          <w:lang w:val="fr-CA"/>
        </w:rPr>
        <w:t xml:space="preserve"> que doublé leur aide liée à la biodiversité marquée valeur principale et presque doublé leur aide liée à la biodiversité marquée valeur significative, par rapport à la moyenne de 2006</w:t>
      </w:r>
      <w:r>
        <w:rPr>
          <w:snapToGrid w:val="0"/>
          <w:kern w:val="18"/>
          <w:szCs w:val="18"/>
          <w:lang w:val="fr-CA"/>
        </w:rPr>
        <w:noBreakHyphen/>
        <w:t xml:space="preserve">2010. </w:t>
      </w:r>
    </w:p>
  </w:footnote>
  <w:footnote w:id="10">
    <w:p w:rsidR="007F1C6D" w:rsidRPr="00E56633" w:rsidRDefault="007F1C6D" w:rsidP="00F266DF">
      <w:pPr>
        <w:pStyle w:val="FootnoteText"/>
        <w:kinsoku w:val="0"/>
        <w:overflowPunct w:val="0"/>
        <w:autoSpaceDE w:val="0"/>
        <w:autoSpaceDN w:val="0"/>
        <w:adjustRightInd w:val="0"/>
        <w:snapToGrid w:val="0"/>
        <w:ind w:firstLine="0"/>
        <w:jc w:val="left"/>
        <w:rPr>
          <w:snapToGrid w:val="0"/>
          <w:kern w:val="18"/>
          <w:szCs w:val="18"/>
          <w:lang w:val="fr-CA"/>
        </w:rPr>
      </w:pPr>
      <w:r w:rsidRPr="00E56633">
        <w:rPr>
          <w:rStyle w:val="FootnoteReference"/>
          <w:snapToGrid w:val="0"/>
          <w:kern w:val="18"/>
          <w:sz w:val="18"/>
          <w:szCs w:val="18"/>
          <w:lang w:val="fr-CA"/>
        </w:rPr>
        <w:footnoteRef/>
      </w:r>
      <w:r w:rsidRPr="00E56633">
        <w:rPr>
          <w:snapToGrid w:val="0"/>
          <w:kern w:val="18"/>
          <w:szCs w:val="18"/>
          <w:lang w:val="fr-CA"/>
        </w:rPr>
        <w:t xml:space="preserve"> </w:t>
      </w:r>
      <w:r>
        <w:rPr>
          <w:snapToGrid w:val="0"/>
          <w:kern w:val="18"/>
          <w:szCs w:val="18"/>
          <w:lang w:val="fr-CA"/>
        </w:rPr>
        <w:t>Le Danemark a révisé sa méthodologie dans le rapport actualisé et est passé de 100 pour cent à 50 pour cent pour la valeur significative.</w:t>
      </w:r>
    </w:p>
  </w:footnote>
  <w:footnote w:id="11">
    <w:p w:rsidR="007F1C6D" w:rsidRPr="00B257FA" w:rsidRDefault="007F1C6D" w:rsidP="004C6B94">
      <w:pPr>
        <w:pStyle w:val="FootnoteText"/>
        <w:kinsoku w:val="0"/>
        <w:overflowPunct w:val="0"/>
        <w:autoSpaceDE w:val="0"/>
        <w:autoSpaceDN w:val="0"/>
        <w:adjustRightInd w:val="0"/>
        <w:snapToGrid w:val="0"/>
        <w:ind w:firstLine="0"/>
        <w:jc w:val="left"/>
        <w:rPr>
          <w:snapToGrid w:val="0"/>
          <w:kern w:val="18"/>
          <w:szCs w:val="18"/>
          <w:lang w:val="fr-CA"/>
        </w:rPr>
      </w:pPr>
      <w:r w:rsidRPr="00B257FA">
        <w:rPr>
          <w:rStyle w:val="FootnoteReference"/>
          <w:snapToGrid w:val="0"/>
          <w:kern w:val="18"/>
          <w:sz w:val="18"/>
          <w:szCs w:val="18"/>
          <w:lang w:val="fr-CA"/>
        </w:rPr>
        <w:footnoteRef/>
      </w:r>
      <w:r w:rsidRPr="00B257FA">
        <w:rPr>
          <w:snapToGrid w:val="0"/>
          <w:kern w:val="18"/>
          <w:szCs w:val="18"/>
          <w:lang w:val="fr-CA"/>
        </w:rPr>
        <w:t xml:space="preserve"> Voir CBD/SBI/2/2/Add.1 </w:t>
      </w:r>
      <w:r>
        <w:rPr>
          <w:snapToGrid w:val="0"/>
          <w:kern w:val="18"/>
          <w:szCs w:val="18"/>
          <w:lang w:val="fr-CA"/>
        </w:rPr>
        <w:t>et les exemples qui y figurent.</w:t>
      </w:r>
    </w:p>
  </w:footnote>
  <w:footnote w:id="12">
    <w:p w:rsidR="007F1C6D" w:rsidRPr="00B257FA" w:rsidRDefault="007F1C6D" w:rsidP="004C6B94">
      <w:pPr>
        <w:pStyle w:val="FootnoteText"/>
        <w:kinsoku w:val="0"/>
        <w:overflowPunct w:val="0"/>
        <w:autoSpaceDE w:val="0"/>
        <w:autoSpaceDN w:val="0"/>
        <w:adjustRightInd w:val="0"/>
        <w:snapToGrid w:val="0"/>
        <w:ind w:firstLine="0"/>
        <w:jc w:val="left"/>
        <w:rPr>
          <w:snapToGrid w:val="0"/>
          <w:kern w:val="18"/>
          <w:szCs w:val="18"/>
          <w:lang w:val="fr-CA"/>
        </w:rPr>
      </w:pPr>
      <w:r w:rsidRPr="00B257FA">
        <w:rPr>
          <w:rStyle w:val="FootnoteReference"/>
          <w:snapToGrid w:val="0"/>
          <w:kern w:val="18"/>
          <w:sz w:val="18"/>
          <w:szCs w:val="18"/>
          <w:lang w:val="fr-CA"/>
        </w:rPr>
        <w:footnoteRef/>
      </w:r>
      <w:r w:rsidRPr="00B257FA">
        <w:rPr>
          <w:snapToGrid w:val="0"/>
          <w:kern w:val="18"/>
          <w:szCs w:val="18"/>
          <w:lang w:val="fr-CA"/>
        </w:rPr>
        <w:t xml:space="preserve"> Ibid. </w:t>
      </w:r>
      <w:r>
        <w:rPr>
          <w:snapToGrid w:val="0"/>
          <w:kern w:val="18"/>
          <w:szCs w:val="18"/>
          <w:lang w:val="fr-CA"/>
        </w:rPr>
        <w:t>Voir aussi</w:t>
      </w:r>
      <w:r w:rsidRPr="00B257FA">
        <w:rPr>
          <w:snapToGrid w:val="0"/>
          <w:kern w:val="18"/>
          <w:szCs w:val="18"/>
          <w:lang w:val="fr-CA"/>
        </w:rPr>
        <w:t xml:space="preserve"> </w:t>
      </w:r>
      <w:hyperlink r:id="rId5" w:history="1">
        <w:r w:rsidRPr="00B257FA">
          <w:rPr>
            <w:rStyle w:val="Hyperlink"/>
            <w:snapToGrid w:val="0"/>
            <w:kern w:val="18"/>
            <w:szCs w:val="18"/>
            <w:lang w:val="fr-CA"/>
          </w:rPr>
          <w:t>www.biodiversityfinance.net/finance</w:t>
        </w:r>
        <w:r>
          <w:rPr>
            <w:rStyle w:val="Hyperlink"/>
            <w:snapToGrid w:val="0"/>
            <w:kern w:val="18"/>
            <w:szCs w:val="18"/>
            <w:lang w:val="fr-CA"/>
          </w:rPr>
          <w:noBreakHyphen/>
        </w:r>
        <w:r w:rsidRPr="00B257FA">
          <w:rPr>
            <w:rStyle w:val="Hyperlink"/>
            <w:snapToGrid w:val="0"/>
            <w:kern w:val="18"/>
            <w:szCs w:val="18"/>
            <w:lang w:val="fr-CA"/>
          </w:rPr>
          <w:t>solutions</w:t>
        </w:r>
      </w:hyperlink>
    </w:p>
  </w:footnote>
  <w:footnote w:id="13">
    <w:p w:rsidR="007F1C6D" w:rsidRPr="00E56633" w:rsidRDefault="007F1C6D" w:rsidP="001003BB">
      <w:pPr>
        <w:pStyle w:val="FootnoteText"/>
        <w:kinsoku w:val="0"/>
        <w:overflowPunct w:val="0"/>
        <w:autoSpaceDE w:val="0"/>
        <w:autoSpaceDN w:val="0"/>
        <w:adjustRightInd w:val="0"/>
        <w:snapToGrid w:val="0"/>
        <w:ind w:firstLine="0"/>
        <w:jc w:val="left"/>
        <w:rPr>
          <w:snapToGrid w:val="0"/>
          <w:kern w:val="18"/>
          <w:szCs w:val="18"/>
          <w:lang w:val="fr-CA"/>
        </w:rPr>
      </w:pPr>
      <w:r w:rsidRPr="00E56633">
        <w:rPr>
          <w:rStyle w:val="FootnoteReference"/>
          <w:snapToGrid w:val="0"/>
          <w:kern w:val="18"/>
          <w:sz w:val="18"/>
          <w:szCs w:val="18"/>
          <w:lang w:val="fr-CA"/>
        </w:rPr>
        <w:footnoteRef/>
      </w:r>
      <w:r w:rsidRPr="00E56633">
        <w:rPr>
          <w:snapToGrid w:val="0"/>
          <w:kern w:val="18"/>
          <w:szCs w:val="18"/>
          <w:lang w:val="fr-CA"/>
        </w:rPr>
        <w:t xml:space="preserve"> </w:t>
      </w:r>
      <w:hyperlink r:id="rId6" w:history="1">
        <w:r w:rsidRPr="00E56633">
          <w:rPr>
            <w:rStyle w:val="Hyperlink"/>
            <w:snapToGrid w:val="0"/>
            <w:kern w:val="18"/>
            <w:szCs w:val="18"/>
            <w:lang w:val="fr-CA"/>
          </w:rPr>
          <w:t>http://www.biodiversityfinance.net/finance</w:t>
        </w:r>
        <w:r>
          <w:rPr>
            <w:rStyle w:val="Hyperlink"/>
            <w:snapToGrid w:val="0"/>
            <w:kern w:val="18"/>
            <w:szCs w:val="18"/>
            <w:lang w:val="fr-CA"/>
          </w:rPr>
          <w:noBreakHyphen/>
        </w:r>
        <w:r w:rsidRPr="00E56633">
          <w:rPr>
            <w:rStyle w:val="Hyperlink"/>
            <w:snapToGrid w:val="0"/>
            <w:kern w:val="18"/>
            <w:szCs w:val="18"/>
            <w:lang w:val="fr-CA"/>
          </w:rPr>
          <w:t>nature</w:t>
        </w:r>
        <w:r>
          <w:rPr>
            <w:rStyle w:val="Hyperlink"/>
            <w:snapToGrid w:val="0"/>
            <w:kern w:val="18"/>
            <w:szCs w:val="18"/>
            <w:lang w:val="fr-CA"/>
          </w:rPr>
          <w:noBreakHyphen/>
        </w:r>
        <w:r w:rsidRPr="00E56633">
          <w:rPr>
            <w:rStyle w:val="Hyperlink"/>
            <w:snapToGrid w:val="0"/>
            <w:kern w:val="18"/>
            <w:szCs w:val="18"/>
            <w:lang w:val="fr-CA"/>
          </w:rPr>
          <w:t>global</w:t>
        </w:r>
        <w:r>
          <w:rPr>
            <w:rStyle w:val="Hyperlink"/>
            <w:snapToGrid w:val="0"/>
            <w:kern w:val="18"/>
            <w:szCs w:val="18"/>
            <w:lang w:val="fr-CA"/>
          </w:rPr>
          <w:noBreakHyphen/>
        </w:r>
        <w:r w:rsidRPr="00E56633">
          <w:rPr>
            <w:rStyle w:val="Hyperlink"/>
            <w:snapToGrid w:val="0"/>
            <w:kern w:val="18"/>
            <w:szCs w:val="18"/>
            <w:lang w:val="fr-CA"/>
          </w:rPr>
          <w:t>conference</w:t>
        </w:r>
      </w:hyperlink>
    </w:p>
  </w:footnote>
  <w:footnote w:id="14">
    <w:p w:rsidR="007F1C6D" w:rsidRPr="00E56633" w:rsidRDefault="007F1C6D" w:rsidP="00246A27">
      <w:pPr>
        <w:pStyle w:val="FootnoteText"/>
        <w:kinsoku w:val="0"/>
        <w:overflowPunct w:val="0"/>
        <w:autoSpaceDE w:val="0"/>
        <w:autoSpaceDN w:val="0"/>
        <w:adjustRightInd w:val="0"/>
        <w:snapToGrid w:val="0"/>
        <w:ind w:firstLine="0"/>
        <w:jc w:val="left"/>
        <w:rPr>
          <w:noProof/>
          <w:snapToGrid w:val="0"/>
          <w:kern w:val="18"/>
          <w:szCs w:val="18"/>
          <w:lang w:val="fr-CA"/>
        </w:rPr>
      </w:pPr>
      <w:r w:rsidRPr="00E56633">
        <w:rPr>
          <w:rStyle w:val="FootnoteReference"/>
          <w:snapToGrid w:val="0"/>
          <w:kern w:val="18"/>
          <w:sz w:val="18"/>
          <w:szCs w:val="18"/>
          <w:lang w:val="fr-CA"/>
        </w:rPr>
        <w:footnoteRef/>
      </w:r>
      <w:r w:rsidRPr="00E56633">
        <w:rPr>
          <w:snapToGrid w:val="0"/>
          <w:kern w:val="18"/>
          <w:szCs w:val="18"/>
          <w:lang w:val="fr-CA"/>
        </w:rPr>
        <w:t xml:space="preserve"> UNEP/</w:t>
      </w:r>
      <w:r w:rsidRPr="00E56633">
        <w:rPr>
          <w:noProof/>
          <w:snapToGrid w:val="0"/>
          <w:kern w:val="18"/>
          <w:szCs w:val="18"/>
          <w:lang w:val="fr-CA"/>
        </w:rPr>
        <w:t>CBD/COP/13/11/Rev.1.</w:t>
      </w:r>
    </w:p>
  </w:footnote>
  <w:footnote w:id="15">
    <w:p w:rsidR="007F1C6D" w:rsidRPr="00E56633" w:rsidRDefault="007F1C6D" w:rsidP="00873DE2">
      <w:pPr>
        <w:keepLines/>
        <w:kinsoku w:val="0"/>
        <w:overflowPunct w:val="0"/>
        <w:autoSpaceDE w:val="0"/>
        <w:autoSpaceDN w:val="0"/>
        <w:adjustRightInd w:val="0"/>
        <w:snapToGrid w:val="0"/>
        <w:spacing w:after="60"/>
        <w:jc w:val="left"/>
        <w:rPr>
          <w:snapToGrid w:val="0"/>
          <w:kern w:val="18"/>
          <w:sz w:val="18"/>
          <w:szCs w:val="18"/>
          <w:lang w:val="fr-CA"/>
        </w:rPr>
      </w:pPr>
      <w:r w:rsidRPr="00E56633">
        <w:rPr>
          <w:rStyle w:val="FootnoteReference"/>
          <w:snapToGrid w:val="0"/>
          <w:kern w:val="18"/>
          <w:sz w:val="18"/>
          <w:szCs w:val="18"/>
          <w:lang w:val="fr-CA"/>
        </w:rPr>
        <w:footnoteRef/>
      </w:r>
      <w:r w:rsidRPr="00E56633">
        <w:rPr>
          <w:snapToGrid w:val="0"/>
          <w:kern w:val="18"/>
          <w:sz w:val="18"/>
          <w:szCs w:val="18"/>
          <w:lang w:val="fr-CA"/>
        </w:rPr>
        <w:t xml:space="preserve"> </w:t>
      </w:r>
      <w:r>
        <w:rPr>
          <w:noProof/>
          <w:snapToGrid w:val="0"/>
          <w:kern w:val="18"/>
          <w:sz w:val="18"/>
          <w:szCs w:val="18"/>
          <w:lang w:val="fr-CA"/>
        </w:rPr>
        <w:t>Voir</w:t>
      </w:r>
      <w:r w:rsidRPr="00873DE2">
        <w:rPr>
          <w:noProof/>
          <w:snapToGrid w:val="0"/>
          <w:color w:val="000000"/>
          <w:kern w:val="18"/>
          <w:sz w:val="18"/>
          <w:szCs w:val="18"/>
          <w:lang w:val="fr-CA"/>
        </w:rPr>
        <w:t xml:space="preserve"> </w:t>
      </w:r>
      <w:r w:rsidRPr="00E56633">
        <w:rPr>
          <w:noProof/>
          <w:snapToGrid w:val="0"/>
          <w:color w:val="000000"/>
          <w:kern w:val="18"/>
          <w:sz w:val="18"/>
          <w:szCs w:val="18"/>
          <w:lang w:val="fr-CA"/>
        </w:rPr>
        <w:t xml:space="preserve">CBD/SBI/2/2/Add.1. </w:t>
      </w:r>
      <w:r>
        <w:rPr>
          <w:noProof/>
          <w:snapToGrid w:val="0"/>
          <w:color w:val="000000"/>
          <w:kern w:val="18"/>
          <w:sz w:val="18"/>
          <w:szCs w:val="18"/>
          <w:lang w:val="fr-CA"/>
        </w:rPr>
        <w:t xml:space="preserve">Les Parties sont les suivantes : </w:t>
      </w:r>
      <w:r>
        <w:rPr>
          <w:noProof/>
          <w:snapToGrid w:val="0"/>
          <w:kern w:val="18"/>
          <w:sz w:val="18"/>
          <w:szCs w:val="18"/>
          <w:lang w:val="fr-CA"/>
        </w:rPr>
        <w:t xml:space="preserve"> </w:t>
      </w:r>
      <w:r w:rsidRPr="00873DE2">
        <w:rPr>
          <w:noProof/>
          <w:snapToGrid w:val="0"/>
          <w:kern w:val="18"/>
          <w:sz w:val="18"/>
          <w:szCs w:val="18"/>
          <w:lang w:val="fr-CA"/>
        </w:rPr>
        <w:t>Albanie, Algérie, Bahreïn, Bangladesh, Bénin, Bhoutan, Botswana, Brunei Darussalam, Burkina Faso, Burundi, Costa Rica, Dominique, Égypte, Érythrée, Espagne, Estonie, Finlande, Ghana, Guatemala, Guinée, Guinée</w:t>
      </w:r>
      <w:r>
        <w:rPr>
          <w:noProof/>
          <w:snapToGrid w:val="0"/>
          <w:kern w:val="18"/>
          <w:sz w:val="18"/>
          <w:szCs w:val="18"/>
          <w:lang w:val="fr-CA"/>
        </w:rPr>
        <w:noBreakHyphen/>
      </w:r>
      <w:r w:rsidRPr="00873DE2">
        <w:rPr>
          <w:noProof/>
          <w:snapToGrid w:val="0"/>
          <w:kern w:val="18"/>
          <w:sz w:val="18"/>
          <w:szCs w:val="18"/>
          <w:lang w:val="fr-CA"/>
        </w:rPr>
        <w:t>Bissau, Inde, Jamaïque, Kirghizistan, Kiribati, Liban, Liberia, Luxembourg, Madagascar, Malawi, Maldives, Mali, Maurice, Mauritanie, Mozambique, Namibie, Népal, Nicaragua, Niger, Ouganda, Paraguay, Philippines, République de Moldova, Roumanie, Rwanda (certaines parties), Saint</w:t>
      </w:r>
      <w:r>
        <w:rPr>
          <w:noProof/>
          <w:snapToGrid w:val="0"/>
          <w:kern w:val="18"/>
          <w:sz w:val="18"/>
          <w:szCs w:val="18"/>
          <w:lang w:val="fr-CA"/>
        </w:rPr>
        <w:noBreakHyphen/>
      </w:r>
      <w:r w:rsidRPr="00873DE2">
        <w:rPr>
          <w:noProof/>
          <w:snapToGrid w:val="0"/>
          <w:kern w:val="18"/>
          <w:sz w:val="18"/>
          <w:szCs w:val="18"/>
          <w:lang w:val="fr-CA"/>
        </w:rPr>
        <w:t>Kitts</w:t>
      </w:r>
      <w:r>
        <w:rPr>
          <w:noProof/>
          <w:snapToGrid w:val="0"/>
          <w:kern w:val="18"/>
          <w:sz w:val="18"/>
          <w:szCs w:val="18"/>
          <w:lang w:val="fr-CA"/>
        </w:rPr>
        <w:noBreakHyphen/>
      </w:r>
      <w:r w:rsidRPr="00873DE2">
        <w:rPr>
          <w:noProof/>
          <w:snapToGrid w:val="0"/>
          <w:kern w:val="18"/>
          <w:sz w:val="18"/>
          <w:szCs w:val="18"/>
          <w:lang w:val="fr-CA"/>
        </w:rPr>
        <w:t>et</w:t>
      </w:r>
      <w:r>
        <w:rPr>
          <w:noProof/>
          <w:snapToGrid w:val="0"/>
          <w:kern w:val="18"/>
          <w:sz w:val="18"/>
          <w:szCs w:val="18"/>
          <w:lang w:val="fr-CA"/>
        </w:rPr>
        <w:noBreakHyphen/>
      </w:r>
      <w:r w:rsidRPr="00873DE2">
        <w:rPr>
          <w:noProof/>
          <w:snapToGrid w:val="0"/>
          <w:kern w:val="18"/>
          <w:sz w:val="18"/>
          <w:szCs w:val="18"/>
          <w:lang w:val="fr-CA"/>
        </w:rPr>
        <w:t>Nevis, Sao Tomé</w:t>
      </w:r>
      <w:r>
        <w:rPr>
          <w:noProof/>
          <w:snapToGrid w:val="0"/>
          <w:kern w:val="18"/>
          <w:sz w:val="18"/>
          <w:szCs w:val="18"/>
          <w:lang w:val="fr-CA"/>
        </w:rPr>
        <w:noBreakHyphen/>
      </w:r>
      <w:r w:rsidRPr="00873DE2">
        <w:rPr>
          <w:noProof/>
          <w:snapToGrid w:val="0"/>
          <w:kern w:val="18"/>
          <w:sz w:val="18"/>
          <w:szCs w:val="18"/>
          <w:lang w:val="fr-CA"/>
        </w:rPr>
        <w:t>et</w:t>
      </w:r>
      <w:r>
        <w:rPr>
          <w:noProof/>
          <w:snapToGrid w:val="0"/>
          <w:kern w:val="18"/>
          <w:sz w:val="18"/>
          <w:szCs w:val="18"/>
          <w:lang w:val="fr-CA"/>
        </w:rPr>
        <w:noBreakHyphen/>
      </w:r>
      <w:r w:rsidRPr="00873DE2">
        <w:rPr>
          <w:noProof/>
          <w:snapToGrid w:val="0"/>
          <w:kern w:val="18"/>
          <w:sz w:val="18"/>
          <w:szCs w:val="18"/>
          <w:lang w:val="fr-CA"/>
        </w:rPr>
        <w:t>Principe, Sierra Leone, Sénégal, Somalie, Soudan, Sri Lanka, Suriname, Swaziland, Tchad, Togo, Tunisie, Yémen et Zimbabwe</w:t>
      </w:r>
      <w:r>
        <w:rPr>
          <w:snapToGrid w:val="0"/>
          <w:kern w:val="18"/>
          <w:sz w:val="18"/>
          <w:szCs w:val="18"/>
          <w:lang w:val="fr-CA"/>
        </w:rPr>
        <w:t xml:space="preserve"> .</w:t>
      </w:r>
    </w:p>
  </w:footnote>
  <w:footnote w:id="16">
    <w:p w:rsidR="007F1C6D" w:rsidRPr="00E56633" w:rsidRDefault="007F1C6D" w:rsidP="00637D6A">
      <w:pPr>
        <w:keepLines/>
        <w:kinsoku w:val="0"/>
        <w:overflowPunct w:val="0"/>
        <w:autoSpaceDE w:val="0"/>
        <w:autoSpaceDN w:val="0"/>
        <w:adjustRightInd w:val="0"/>
        <w:snapToGrid w:val="0"/>
        <w:spacing w:after="60"/>
        <w:jc w:val="left"/>
        <w:rPr>
          <w:noProof/>
          <w:snapToGrid w:val="0"/>
          <w:kern w:val="18"/>
          <w:sz w:val="18"/>
          <w:szCs w:val="18"/>
          <w:lang w:val="fr-CA"/>
        </w:rPr>
      </w:pPr>
      <w:r w:rsidRPr="00E56633">
        <w:rPr>
          <w:rStyle w:val="FootnoteReference"/>
          <w:snapToGrid w:val="0"/>
          <w:kern w:val="18"/>
          <w:sz w:val="18"/>
          <w:szCs w:val="18"/>
          <w:lang w:val="fr-CA"/>
        </w:rPr>
        <w:footnoteRef/>
      </w:r>
      <w:r w:rsidRPr="00E56633">
        <w:rPr>
          <w:snapToGrid w:val="0"/>
          <w:kern w:val="18"/>
          <w:sz w:val="18"/>
          <w:szCs w:val="18"/>
          <w:lang w:val="fr-CA"/>
        </w:rPr>
        <w:t xml:space="preserve"> </w:t>
      </w:r>
      <w:r>
        <w:rPr>
          <w:snapToGrid w:val="0"/>
          <w:color w:val="000000"/>
          <w:kern w:val="18"/>
          <w:sz w:val="18"/>
          <w:szCs w:val="18"/>
          <w:lang w:val="fr-CA"/>
        </w:rPr>
        <w:t>Belgique, Bé</w:t>
      </w:r>
      <w:r w:rsidRPr="00E56633">
        <w:rPr>
          <w:snapToGrid w:val="0"/>
          <w:color w:val="000000"/>
          <w:kern w:val="18"/>
          <w:sz w:val="18"/>
          <w:szCs w:val="18"/>
          <w:lang w:val="fr-CA"/>
        </w:rPr>
        <w:t xml:space="preserve">nin, </w:t>
      </w:r>
      <w:r>
        <w:rPr>
          <w:snapToGrid w:val="0"/>
          <w:color w:val="000000"/>
          <w:kern w:val="18"/>
          <w:sz w:val="18"/>
          <w:szCs w:val="18"/>
          <w:lang w:val="fr-CA"/>
        </w:rPr>
        <w:t xml:space="preserve">Bosnie et Herzégovine, Botswana, </w:t>
      </w:r>
      <w:r>
        <w:rPr>
          <w:noProof/>
          <w:snapToGrid w:val="0"/>
          <w:color w:val="000000"/>
          <w:kern w:val="18"/>
          <w:sz w:val="18"/>
          <w:szCs w:val="18"/>
          <w:lang w:val="fr-CA"/>
        </w:rPr>
        <w:t>Burundi, Comores, Costa </w:t>
      </w:r>
      <w:r w:rsidRPr="00E56633">
        <w:rPr>
          <w:noProof/>
          <w:snapToGrid w:val="0"/>
          <w:color w:val="000000"/>
          <w:kern w:val="18"/>
          <w:sz w:val="18"/>
          <w:szCs w:val="18"/>
          <w:lang w:val="fr-CA"/>
        </w:rPr>
        <w:t>Rica,</w:t>
      </w:r>
      <w:r>
        <w:rPr>
          <w:noProof/>
          <w:snapToGrid w:val="0"/>
          <w:color w:val="000000"/>
          <w:kern w:val="18"/>
          <w:sz w:val="18"/>
          <w:szCs w:val="18"/>
          <w:lang w:val="fr-CA"/>
        </w:rPr>
        <w:t xml:space="preserve"> Côte </w:t>
      </w:r>
      <w:r w:rsidRPr="00E56633">
        <w:rPr>
          <w:noProof/>
          <w:snapToGrid w:val="0"/>
          <w:color w:val="000000"/>
          <w:kern w:val="18"/>
          <w:sz w:val="18"/>
          <w:szCs w:val="18"/>
          <w:lang w:val="fr-CA"/>
        </w:rPr>
        <w:t>d</w:t>
      </w:r>
      <w:r>
        <w:rPr>
          <w:noProof/>
          <w:snapToGrid w:val="0"/>
          <w:color w:val="000000"/>
          <w:kern w:val="18"/>
          <w:sz w:val="18"/>
          <w:szCs w:val="18"/>
          <w:lang w:val="fr-CA"/>
        </w:rPr>
        <w:t>’</w:t>
      </w:r>
      <w:r w:rsidRPr="00E56633">
        <w:rPr>
          <w:noProof/>
          <w:snapToGrid w:val="0"/>
          <w:color w:val="000000"/>
          <w:kern w:val="18"/>
          <w:sz w:val="18"/>
          <w:szCs w:val="18"/>
          <w:lang w:val="fr-CA"/>
        </w:rPr>
        <w:t xml:space="preserve">Ivoire, </w:t>
      </w:r>
      <w:r>
        <w:rPr>
          <w:noProof/>
          <w:snapToGrid w:val="0"/>
          <w:color w:val="000000"/>
          <w:kern w:val="18"/>
          <w:sz w:val="18"/>
          <w:szCs w:val="18"/>
          <w:lang w:val="fr-CA"/>
        </w:rPr>
        <w:t>Guinée, Guyana, Libé</w:t>
      </w:r>
      <w:r w:rsidRPr="00E56633">
        <w:rPr>
          <w:noProof/>
          <w:snapToGrid w:val="0"/>
          <w:color w:val="000000"/>
          <w:kern w:val="18"/>
          <w:sz w:val="18"/>
          <w:szCs w:val="18"/>
          <w:lang w:val="fr-CA"/>
        </w:rPr>
        <w:t>ria, Ma</w:t>
      </w:r>
      <w:r>
        <w:rPr>
          <w:noProof/>
          <w:snapToGrid w:val="0"/>
          <w:color w:val="000000"/>
          <w:kern w:val="18"/>
          <w:sz w:val="18"/>
          <w:szCs w:val="18"/>
          <w:lang w:val="fr-CA"/>
        </w:rPr>
        <w:t>lawi, Maldives, Mali, Mauritanie, Maroc</w:t>
      </w:r>
      <w:r w:rsidRPr="00E56633">
        <w:rPr>
          <w:noProof/>
          <w:snapToGrid w:val="0"/>
          <w:color w:val="000000"/>
          <w:kern w:val="18"/>
          <w:sz w:val="18"/>
          <w:szCs w:val="18"/>
          <w:lang w:val="fr-CA"/>
        </w:rPr>
        <w:t>, Niger, Nigeria, Ni</w:t>
      </w:r>
      <w:r>
        <w:rPr>
          <w:noProof/>
          <w:snapToGrid w:val="0"/>
          <w:color w:val="000000"/>
          <w:kern w:val="18"/>
          <w:sz w:val="18"/>
          <w:szCs w:val="18"/>
          <w:lang w:val="fr-CA"/>
        </w:rPr>
        <w:t>oué</w:t>
      </w:r>
      <w:r w:rsidRPr="00E56633">
        <w:rPr>
          <w:noProof/>
          <w:snapToGrid w:val="0"/>
          <w:color w:val="000000"/>
          <w:kern w:val="18"/>
          <w:sz w:val="18"/>
          <w:szCs w:val="18"/>
          <w:lang w:val="fr-CA"/>
        </w:rPr>
        <w:t xml:space="preserve">, </w:t>
      </w:r>
      <w:r>
        <w:rPr>
          <w:noProof/>
          <w:snapToGrid w:val="0"/>
          <w:color w:val="000000"/>
          <w:kern w:val="18"/>
          <w:sz w:val="18"/>
          <w:szCs w:val="18"/>
          <w:lang w:val="fr-CA"/>
        </w:rPr>
        <w:t xml:space="preserve">République démocratique du Congo, </w:t>
      </w:r>
      <w:r w:rsidRPr="00E56633">
        <w:rPr>
          <w:noProof/>
          <w:snapToGrid w:val="0"/>
          <w:color w:val="000000"/>
          <w:kern w:val="18"/>
          <w:sz w:val="18"/>
          <w:szCs w:val="18"/>
          <w:lang w:val="fr-CA"/>
        </w:rPr>
        <w:t>Rwanda, Timor</w:t>
      </w:r>
      <w:r>
        <w:rPr>
          <w:noProof/>
          <w:snapToGrid w:val="0"/>
          <w:color w:val="000000"/>
          <w:kern w:val="18"/>
          <w:sz w:val="18"/>
          <w:szCs w:val="18"/>
          <w:lang w:val="fr-CA"/>
        </w:rPr>
        <w:noBreakHyphen/>
      </w:r>
      <w:r w:rsidRPr="00E56633">
        <w:rPr>
          <w:noProof/>
          <w:snapToGrid w:val="0"/>
          <w:color w:val="000000"/>
          <w:kern w:val="18"/>
          <w:sz w:val="18"/>
          <w:szCs w:val="18"/>
          <w:lang w:val="fr-CA"/>
        </w:rPr>
        <w:t xml:space="preserve">Leste </w:t>
      </w:r>
      <w:r>
        <w:rPr>
          <w:noProof/>
          <w:snapToGrid w:val="0"/>
          <w:color w:val="000000"/>
          <w:kern w:val="18"/>
          <w:sz w:val="18"/>
          <w:szCs w:val="18"/>
          <w:lang w:val="fr-CA"/>
        </w:rPr>
        <w:t>et</w:t>
      </w:r>
      <w:r w:rsidRPr="00E56633">
        <w:rPr>
          <w:noProof/>
          <w:snapToGrid w:val="0"/>
          <w:color w:val="000000"/>
          <w:kern w:val="18"/>
          <w:sz w:val="18"/>
          <w:szCs w:val="18"/>
          <w:lang w:val="fr-CA"/>
        </w:rPr>
        <w:t xml:space="preserve"> Y</w:t>
      </w:r>
      <w:r>
        <w:rPr>
          <w:noProof/>
          <w:snapToGrid w:val="0"/>
          <w:color w:val="000000"/>
          <w:kern w:val="18"/>
          <w:sz w:val="18"/>
          <w:szCs w:val="18"/>
          <w:lang w:val="fr-CA"/>
        </w:rPr>
        <w:t>é</w:t>
      </w:r>
      <w:r w:rsidRPr="00E56633">
        <w:rPr>
          <w:noProof/>
          <w:snapToGrid w:val="0"/>
          <w:color w:val="000000"/>
          <w:kern w:val="18"/>
          <w:sz w:val="18"/>
          <w:szCs w:val="18"/>
          <w:lang w:val="fr-CA"/>
        </w:rPr>
        <w:t>men.</w:t>
      </w:r>
      <w:r>
        <w:rPr>
          <w:noProof/>
          <w:snapToGrid w:val="0"/>
          <w:color w:val="000000"/>
          <w:kern w:val="18"/>
          <w:sz w:val="18"/>
          <w:szCs w:val="18"/>
          <w:lang w:val="fr-CA"/>
        </w:rPr>
        <w:t xml:space="preserve"> De ces Parties, treize ont inclus une évaluation des coûts entourant la préparation de leur plan d’action </w:t>
      </w:r>
      <w:r w:rsidRPr="00E56633">
        <w:rPr>
          <w:noProof/>
          <w:snapToGrid w:val="0"/>
          <w:kern w:val="18"/>
          <w:sz w:val="18"/>
          <w:szCs w:val="18"/>
          <w:lang w:val="fr-CA"/>
        </w:rPr>
        <w:t>(</w:t>
      </w:r>
      <w:r>
        <w:rPr>
          <w:noProof/>
          <w:snapToGrid w:val="0"/>
          <w:color w:val="000000"/>
          <w:kern w:val="18"/>
          <w:sz w:val="18"/>
          <w:szCs w:val="18"/>
          <w:lang w:val="fr-CA"/>
        </w:rPr>
        <w:t>voir</w:t>
      </w:r>
      <w:r w:rsidRPr="00E56633">
        <w:rPr>
          <w:noProof/>
          <w:snapToGrid w:val="0"/>
          <w:color w:val="000000"/>
          <w:kern w:val="18"/>
          <w:sz w:val="18"/>
          <w:szCs w:val="18"/>
          <w:lang w:val="fr-CA"/>
        </w:rPr>
        <w:t xml:space="preserve"> CBD/SBI/2/2/Add.</w:t>
      </w:r>
      <w:r>
        <w:rPr>
          <w:noProof/>
          <w:snapToGrid w:val="0"/>
          <w:color w:val="000000"/>
          <w:kern w:val="18"/>
          <w:sz w:val="18"/>
          <w:szCs w:val="18"/>
          <w:lang w:val="fr-CA"/>
        </w:rPr>
        <w:t>1</w:t>
      </w:r>
      <w:r w:rsidRPr="00E56633">
        <w:rPr>
          <w:noProof/>
          <w:snapToGrid w:val="0"/>
          <w:kern w:val="18"/>
          <w:sz w:val="18"/>
          <w:szCs w:val="18"/>
          <w:lang w:val="fr-CA"/>
        </w:rPr>
        <w:t>)</w:t>
      </w:r>
      <w:r>
        <w:rPr>
          <w:noProof/>
          <w:snapToGrid w:val="0"/>
          <w:color w:val="000000"/>
          <w:kern w:val="18"/>
          <w:sz w:val="18"/>
          <w:szCs w:val="18"/>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C6D" w:rsidRDefault="007F1C6D" w:rsidP="00227B47">
    <w:pPr>
      <w:suppressLineNumbers/>
      <w:suppressAutoHyphens/>
      <w:kinsoku w:val="0"/>
      <w:overflowPunct w:val="0"/>
      <w:autoSpaceDE w:val="0"/>
      <w:autoSpaceDN w:val="0"/>
      <w:adjustRightInd w:val="0"/>
      <w:snapToGrid w:val="0"/>
      <w:jc w:val="left"/>
      <w:rPr>
        <w:noProof/>
        <w:snapToGrid w:val="0"/>
        <w:kern w:val="22"/>
        <w:szCs w:val="22"/>
      </w:rPr>
    </w:pPr>
    <w:r w:rsidRPr="00205909">
      <w:rPr>
        <w:noProof/>
        <w:snapToGrid w:val="0"/>
        <w:kern w:val="22"/>
        <w:szCs w:val="22"/>
      </w:rPr>
      <w:t>CBD/</w:t>
    </w:r>
    <w:r>
      <w:rPr>
        <w:noProof/>
        <w:snapToGrid w:val="0"/>
        <w:kern w:val="22"/>
        <w:szCs w:val="22"/>
      </w:rPr>
      <w:t>SBI</w:t>
    </w:r>
    <w:r w:rsidRPr="00205909">
      <w:rPr>
        <w:noProof/>
        <w:snapToGrid w:val="0"/>
        <w:kern w:val="22"/>
        <w:szCs w:val="22"/>
      </w:rPr>
      <w:t>/</w:t>
    </w:r>
    <w:r>
      <w:rPr>
        <w:noProof/>
        <w:snapToGrid w:val="0"/>
        <w:kern w:val="22"/>
        <w:szCs w:val="22"/>
      </w:rPr>
      <w:t>2</w:t>
    </w:r>
    <w:r w:rsidRPr="00205909">
      <w:rPr>
        <w:noProof/>
        <w:snapToGrid w:val="0"/>
        <w:kern w:val="22"/>
        <w:szCs w:val="22"/>
      </w:rPr>
      <w:t>/</w:t>
    </w:r>
    <w:r>
      <w:rPr>
        <w:noProof/>
        <w:snapToGrid w:val="0"/>
        <w:kern w:val="22"/>
        <w:szCs w:val="22"/>
      </w:rPr>
      <w:t>7/Add.1</w:t>
    </w:r>
  </w:p>
  <w:p w:rsidR="007F1C6D" w:rsidRDefault="007F1C6D" w:rsidP="00227B47">
    <w:pPr>
      <w:pStyle w:val="Header"/>
      <w:suppressLineNumbers/>
      <w:tabs>
        <w:tab w:val="clear" w:pos="4320"/>
        <w:tab w:val="clear" w:pos="8640"/>
      </w:tabs>
      <w:suppressAutoHyphens/>
      <w:kinsoku w:val="0"/>
      <w:overflowPunct w:val="0"/>
      <w:autoSpaceDE w:val="0"/>
      <w:autoSpaceDN w:val="0"/>
      <w:adjustRightInd w:val="0"/>
      <w:snapToGrid w:val="0"/>
      <w:jc w:val="left"/>
      <w:rPr>
        <w:noProof/>
        <w:snapToGrid w:val="0"/>
        <w:kern w:val="22"/>
      </w:rPr>
    </w:pPr>
    <w:r w:rsidRPr="001121F1">
      <w:rPr>
        <w:noProof/>
        <w:snapToGrid w:val="0"/>
        <w:kern w:val="22"/>
      </w:rPr>
      <w:t xml:space="preserve">Page </w:t>
    </w:r>
    <w:r w:rsidRPr="001121F1">
      <w:rPr>
        <w:noProof/>
        <w:snapToGrid w:val="0"/>
        <w:kern w:val="22"/>
      </w:rPr>
      <w:fldChar w:fldCharType="begin"/>
    </w:r>
    <w:r w:rsidRPr="001121F1">
      <w:rPr>
        <w:noProof/>
        <w:snapToGrid w:val="0"/>
        <w:kern w:val="22"/>
      </w:rPr>
      <w:instrText xml:space="preserve"> PAGE   \* MERGEFORMAT </w:instrText>
    </w:r>
    <w:r w:rsidRPr="001121F1">
      <w:rPr>
        <w:noProof/>
        <w:snapToGrid w:val="0"/>
        <w:kern w:val="22"/>
      </w:rPr>
      <w:fldChar w:fldCharType="separate"/>
    </w:r>
    <w:r w:rsidR="006B3F7D">
      <w:rPr>
        <w:noProof/>
        <w:snapToGrid w:val="0"/>
        <w:kern w:val="22"/>
      </w:rPr>
      <w:t>16</w:t>
    </w:r>
    <w:r w:rsidRPr="001121F1">
      <w:rPr>
        <w:noProof/>
        <w:snapToGrid w:val="0"/>
        <w:kern w:val="22"/>
      </w:rPr>
      <w:fldChar w:fldCharType="end"/>
    </w:r>
  </w:p>
  <w:p w:rsidR="007F1C6D" w:rsidRPr="001121F1" w:rsidRDefault="007F1C6D" w:rsidP="00227B47">
    <w:pPr>
      <w:pStyle w:val="Header"/>
      <w:suppressLineNumbers/>
      <w:tabs>
        <w:tab w:val="clear" w:pos="4320"/>
        <w:tab w:val="clear" w:pos="8640"/>
      </w:tabs>
      <w:suppressAutoHyphens/>
      <w:kinsoku w:val="0"/>
      <w:overflowPunct w:val="0"/>
      <w:autoSpaceDE w:val="0"/>
      <w:autoSpaceDN w:val="0"/>
      <w:adjustRightInd w:val="0"/>
      <w:snapToGrid w:val="0"/>
      <w:jc w:val="left"/>
      <w:rPr>
        <w:noProof/>
        <w:snapToGrid w:val="0"/>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C6D" w:rsidRPr="00205909" w:rsidRDefault="007F1C6D" w:rsidP="00227B47">
    <w:pPr>
      <w:suppressLineNumbers/>
      <w:suppressAutoHyphens/>
      <w:kinsoku w:val="0"/>
      <w:overflowPunct w:val="0"/>
      <w:autoSpaceDE w:val="0"/>
      <w:autoSpaceDN w:val="0"/>
      <w:adjustRightInd w:val="0"/>
      <w:snapToGrid w:val="0"/>
      <w:jc w:val="right"/>
      <w:rPr>
        <w:noProof/>
        <w:snapToGrid w:val="0"/>
        <w:kern w:val="22"/>
        <w:szCs w:val="22"/>
      </w:rPr>
    </w:pPr>
    <w:r w:rsidRPr="00205909">
      <w:rPr>
        <w:noProof/>
        <w:snapToGrid w:val="0"/>
        <w:kern w:val="22"/>
        <w:szCs w:val="22"/>
      </w:rPr>
      <w:t>CBD/</w:t>
    </w:r>
    <w:r>
      <w:rPr>
        <w:noProof/>
        <w:snapToGrid w:val="0"/>
        <w:kern w:val="22"/>
        <w:szCs w:val="22"/>
      </w:rPr>
      <w:t>SBI</w:t>
    </w:r>
    <w:r w:rsidRPr="00205909">
      <w:rPr>
        <w:noProof/>
        <w:snapToGrid w:val="0"/>
        <w:kern w:val="22"/>
        <w:szCs w:val="22"/>
      </w:rPr>
      <w:t>/</w:t>
    </w:r>
    <w:r>
      <w:rPr>
        <w:noProof/>
        <w:snapToGrid w:val="0"/>
        <w:kern w:val="22"/>
        <w:szCs w:val="22"/>
      </w:rPr>
      <w:t>2/7/Add.1</w:t>
    </w:r>
  </w:p>
  <w:p w:rsidR="007F1C6D" w:rsidRPr="00EC739E" w:rsidRDefault="007F1C6D" w:rsidP="00227B47">
    <w:pPr>
      <w:pStyle w:val="Header"/>
      <w:suppressLineNumbers/>
      <w:tabs>
        <w:tab w:val="clear" w:pos="4320"/>
        <w:tab w:val="clear" w:pos="8640"/>
      </w:tabs>
      <w:suppressAutoHyphens/>
      <w:kinsoku w:val="0"/>
      <w:overflowPunct w:val="0"/>
      <w:autoSpaceDE w:val="0"/>
      <w:autoSpaceDN w:val="0"/>
      <w:adjustRightInd w:val="0"/>
      <w:snapToGrid w:val="0"/>
      <w:jc w:val="right"/>
      <w:rPr>
        <w:noProof/>
        <w:snapToGrid w:val="0"/>
        <w:kern w:val="22"/>
      </w:rPr>
    </w:pPr>
    <w:r w:rsidRPr="00EC739E">
      <w:rPr>
        <w:noProof/>
        <w:snapToGrid w:val="0"/>
        <w:kern w:val="22"/>
      </w:rPr>
      <w:t xml:space="preserve">Page </w:t>
    </w:r>
    <w:r w:rsidRPr="00EC739E">
      <w:rPr>
        <w:noProof/>
        <w:snapToGrid w:val="0"/>
        <w:kern w:val="22"/>
      </w:rPr>
      <w:fldChar w:fldCharType="begin"/>
    </w:r>
    <w:r w:rsidRPr="00EC739E">
      <w:rPr>
        <w:noProof/>
        <w:snapToGrid w:val="0"/>
        <w:kern w:val="22"/>
      </w:rPr>
      <w:instrText xml:space="preserve"> PAGE   \* MERGEFORMAT </w:instrText>
    </w:r>
    <w:r w:rsidRPr="00EC739E">
      <w:rPr>
        <w:noProof/>
        <w:snapToGrid w:val="0"/>
        <w:kern w:val="22"/>
      </w:rPr>
      <w:fldChar w:fldCharType="separate"/>
    </w:r>
    <w:r w:rsidR="006B3F7D">
      <w:rPr>
        <w:noProof/>
        <w:snapToGrid w:val="0"/>
        <w:kern w:val="22"/>
      </w:rPr>
      <w:t>17</w:t>
    </w:r>
    <w:r w:rsidRPr="00EC739E">
      <w:rPr>
        <w:noProof/>
        <w:snapToGrid w:val="0"/>
        <w:kern w:val="22"/>
      </w:rPr>
      <w:fldChar w:fldCharType="end"/>
    </w:r>
  </w:p>
  <w:p w:rsidR="007F1C6D" w:rsidRPr="0097545A" w:rsidRDefault="007F1C6D" w:rsidP="00227B47">
    <w:pPr>
      <w:pStyle w:val="Header"/>
      <w:suppressLineNumbers/>
      <w:tabs>
        <w:tab w:val="clear" w:pos="4320"/>
        <w:tab w:val="clear" w:pos="8640"/>
      </w:tabs>
      <w:suppressAutoHyphens/>
      <w:kinsoku w:val="0"/>
      <w:overflowPunct w:val="0"/>
      <w:autoSpaceDE w:val="0"/>
      <w:autoSpaceDN w:val="0"/>
      <w:adjustRightInd w:val="0"/>
      <w:snapToGrid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C6D" w:rsidRPr="007F1C6D" w:rsidRDefault="007F1C6D" w:rsidP="007F1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1A2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14D2D"/>
    <w:multiLevelType w:val="hybridMultilevel"/>
    <w:tmpl w:val="242618B2"/>
    <w:lvl w:ilvl="0" w:tplc="42E245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BA0D40"/>
    <w:multiLevelType w:val="hybridMultilevel"/>
    <w:tmpl w:val="91B0A3BA"/>
    <w:lvl w:ilvl="0" w:tplc="0409000F">
      <w:start w:val="1"/>
      <w:numFmt w:val="decimal"/>
      <w:lvlText w:val="%1."/>
      <w:lvlJc w:val="left"/>
      <w:pPr>
        <w:ind w:left="720" w:hanging="360"/>
      </w:pPr>
    </w:lvl>
    <w:lvl w:ilvl="1" w:tplc="0C0C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A06FB8"/>
    <w:multiLevelType w:val="hybridMultilevel"/>
    <w:tmpl w:val="7E4A4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802F3E"/>
    <w:multiLevelType w:val="hybridMultilevel"/>
    <w:tmpl w:val="31F27B68"/>
    <w:lvl w:ilvl="0" w:tplc="F51A669E">
      <w:start w:val="4"/>
      <w:numFmt w:val="decimal"/>
      <w:lvlText w:val="%1."/>
      <w:lvlJc w:val="left"/>
      <w:pPr>
        <w:ind w:left="36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nsid w:val="0D3134EC"/>
    <w:multiLevelType w:val="hybridMultilevel"/>
    <w:tmpl w:val="21AC0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C053DC"/>
    <w:multiLevelType w:val="hybridMultilevel"/>
    <w:tmpl w:val="F4D8AA46"/>
    <w:lvl w:ilvl="0" w:tplc="0C0C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BE27066"/>
    <w:multiLevelType w:val="hybridMultilevel"/>
    <w:tmpl w:val="1D12A2C4"/>
    <w:lvl w:ilvl="0" w:tplc="F51A669E">
      <w:start w:val="3"/>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05D9C"/>
    <w:multiLevelType w:val="hybridMultilevel"/>
    <w:tmpl w:val="C402F2FE"/>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D4882"/>
    <w:multiLevelType w:val="hybridMultilevel"/>
    <w:tmpl w:val="F2E6E6DE"/>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5E503D2"/>
    <w:multiLevelType w:val="hybridMultilevel"/>
    <w:tmpl w:val="0388CAC4"/>
    <w:lvl w:ilvl="0" w:tplc="0409000F">
      <w:start w:val="1"/>
      <w:numFmt w:val="decimal"/>
      <w:lvlText w:val="%1."/>
      <w:lvlJc w:val="left"/>
      <w:pPr>
        <w:ind w:left="720" w:hanging="360"/>
      </w:pPr>
    </w:lvl>
    <w:lvl w:ilvl="1" w:tplc="0C0C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7D964A0"/>
    <w:multiLevelType w:val="hybridMultilevel"/>
    <w:tmpl w:val="101C7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45020C"/>
    <w:multiLevelType w:val="hybridMultilevel"/>
    <w:tmpl w:val="EDC2ED64"/>
    <w:lvl w:ilvl="0" w:tplc="0409000F">
      <w:start w:val="1"/>
      <w:numFmt w:val="decimal"/>
      <w:lvlText w:val="%1."/>
      <w:lvlJc w:val="left"/>
      <w:pPr>
        <w:ind w:left="720" w:hanging="360"/>
      </w:pPr>
    </w:lvl>
    <w:lvl w:ilvl="1" w:tplc="0C0C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38BF3B90"/>
    <w:multiLevelType w:val="hybridMultilevel"/>
    <w:tmpl w:val="8896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3B0A303F"/>
    <w:multiLevelType w:val="hybridMultilevel"/>
    <w:tmpl w:val="1C80AE60"/>
    <w:lvl w:ilvl="0" w:tplc="F51A669E">
      <w:start w:val="4"/>
      <w:numFmt w:val="decimal"/>
      <w:lvlText w:val="%1."/>
      <w:lvlJc w:val="left"/>
      <w:pPr>
        <w:ind w:left="36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E43C91"/>
    <w:multiLevelType w:val="singleLevel"/>
    <w:tmpl w:val="B36A8C58"/>
    <w:lvl w:ilvl="0">
      <w:start w:val="1"/>
      <w:numFmt w:val="decimal"/>
      <w:pStyle w:val="Paranum"/>
      <w:lvlText w:val="%1."/>
      <w:lvlJc w:val="left"/>
      <w:pPr>
        <w:tabs>
          <w:tab w:val="num" w:pos="360"/>
        </w:tabs>
        <w:ind w:left="0" w:firstLine="0"/>
      </w:pPr>
    </w:lvl>
  </w:abstractNum>
  <w:abstractNum w:abstractNumId="24">
    <w:nsid w:val="3EF63425"/>
    <w:multiLevelType w:val="hybridMultilevel"/>
    <w:tmpl w:val="C8AABCD2"/>
    <w:lvl w:ilvl="0" w:tplc="0409000F">
      <w:start w:val="1"/>
      <w:numFmt w:val="decimal"/>
      <w:lvlText w:val="%1."/>
      <w:lvlJc w:val="left"/>
      <w:pPr>
        <w:ind w:left="720" w:hanging="360"/>
      </w:pPr>
    </w:lvl>
    <w:lvl w:ilvl="1" w:tplc="0C0C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CC7FBB"/>
    <w:multiLevelType w:val="hybridMultilevel"/>
    <w:tmpl w:val="4B78AD14"/>
    <w:lvl w:ilvl="0" w:tplc="0C0C0017">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9D5371F"/>
    <w:multiLevelType w:val="hybridMultilevel"/>
    <w:tmpl w:val="CDA23FAE"/>
    <w:lvl w:ilvl="0" w:tplc="0409000F">
      <w:start w:val="1"/>
      <w:numFmt w:val="decimal"/>
      <w:lvlText w:val="%1."/>
      <w:lvlJc w:val="left"/>
      <w:pPr>
        <w:ind w:left="720" w:hanging="360"/>
      </w:pPr>
    </w:lvl>
    <w:lvl w:ilvl="1" w:tplc="0C0C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nsid w:val="4BB4010F"/>
    <w:multiLevelType w:val="hybridMultilevel"/>
    <w:tmpl w:val="0D24916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4C7F589D"/>
    <w:multiLevelType w:val="hybridMultilevel"/>
    <w:tmpl w:val="AE8245DC"/>
    <w:lvl w:ilvl="0" w:tplc="F51A669E">
      <w:start w:val="4"/>
      <w:numFmt w:val="decimal"/>
      <w:lvlText w:val="%1."/>
      <w:lvlJc w:val="left"/>
      <w:pPr>
        <w:ind w:left="36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1D479BA"/>
    <w:multiLevelType w:val="hybridMultilevel"/>
    <w:tmpl w:val="5922C550"/>
    <w:lvl w:ilvl="0" w:tplc="F51A669E">
      <w:start w:val="4"/>
      <w:numFmt w:val="decimal"/>
      <w:lvlText w:val="%1."/>
      <w:lvlJc w:val="left"/>
      <w:pPr>
        <w:ind w:left="36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4AC1F28"/>
    <w:multiLevelType w:val="hybridMultilevel"/>
    <w:tmpl w:val="D916BFA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95096"/>
    <w:multiLevelType w:val="hybridMultilevel"/>
    <w:tmpl w:val="B55C20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B0A4687"/>
    <w:multiLevelType w:val="hybridMultilevel"/>
    <w:tmpl w:val="EB560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166623"/>
    <w:multiLevelType w:val="hybridMultilevel"/>
    <w:tmpl w:val="58A07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2">
    <w:nsid w:val="654F5AA8"/>
    <w:multiLevelType w:val="hybridMultilevel"/>
    <w:tmpl w:val="5CC68C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74A512F"/>
    <w:multiLevelType w:val="hybridMultilevel"/>
    <w:tmpl w:val="74C2DA88"/>
    <w:lvl w:ilvl="0" w:tplc="F51A669E">
      <w:start w:val="4"/>
      <w:numFmt w:val="decimal"/>
      <w:lvlText w:val="%1."/>
      <w:lvlJc w:val="left"/>
      <w:pPr>
        <w:ind w:left="36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A32E99"/>
    <w:multiLevelType w:val="hybridMultilevel"/>
    <w:tmpl w:val="E4EA98CA"/>
    <w:lvl w:ilvl="0" w:tplc="F51A669E">
      <w:start w:val="4"/>
      <w:numFmt w:val="decimal"/>
      <w:lvlText w:val="%1."/>
      <w:lvlJc w:val="left"/>
      <w:pPr>
        <w:ind w:left="36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1D5CC8"/>
    <w:multiLevelType w:val="hybridMultilevel"/>
    <w:tmpl w:val="7DE66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E7F5907"/>
    <w:multiLevelType w:val="hybridMultilevel"/>
    <w:tmpl w:val="56CADB4A"/>
    <w:lvl w:ilvl="0" w:tplc="F51A669E">
      <w:start w:val="4"/>
      <w:numFmt w:val="decimal"/>
      <w:lvlText w:val="%1."/>
      <w:lvlJc w:val="left"/>
      <w:pPr>
        <w:ind w:left="36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nsid w:val="703D20EE"/>
    <w:multiLevelType w:val="hybridMultilevel"/>
    <w:tmpl w:val="7D24679C"/>
    <w:lvl w:ilvl="0" w:tplc="0409000F">
      <w:start w:val="1"/>
      <w:numFmt w:val="decimal"/>
      <w:lvlText w:val="%1."/>
      <w:lvlJc w:val="left"/>
      <w:pPr>
        <w:ind w:left="720" w:hanging="360"/>
      </w:pPr>
    </w:lvl>
    <w:lvl w:ilvl="1" w:tplc="0C0C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0860CE6"/>
    <w:multiLevelType w:val="hybridMultilevel"/>
    <w:tmpl w:val="417E08E8"/>
    <w:lvl w:ilvl="0" w:tplc="0409000F">
      <w:start w:val="1"/>
      <w:numFmt w:val="decimal"/>
      <w:lvlText w:val="%1."/>
      <w:lvlJc w:val="left"/>
      <w:pPr>
        <w:ind w:left="720" w:hanging="360"/>
      </w:pPr>
    </w:lvl>
    <w:lvl w:ilvl="1" w:tplc="0C0C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08E42F6"/>
    <w:multiLevelType w:val="hybridMultilevel"/>
    <w:tmpl w:val="7012F9C4"/>
    <w:lvl w:ilvl="0" w:tplc="27D45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2240CE"/>
    <w:multiLevelType w:val="multilevel"/>
    <w:tmpl w:val="5F0A65BC"/>
    <w:lvl w:ilvl="0">
      <w:start w:val="4"/>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1"/>
  </w:num>
  <w:num w:numId="3">
    <w:abstractNumId w:val="25"/>
  </w:num>
  <w:num w:numId="4">
    <w:abstractNumId w:val="31"/>
  </w:num>
  <w:num w:numId="5">
    <w:abstractNumId w:val="26"/>
  </w:num>
  <w:num w:numId="6">
    <w:abstractNumId w:val="5"/>
  </w:num>
  <w:num w:numId="7">
    <w:abstractNumId w:val="10"/>
  </w:num>
  <w:num w:numId="8">
    <w:abstractNumId w:val="25"/>
    <w:lvlOverride w:ilvl="0">
      <w:startOverride w:val="1"/>
    </w:lvlOverride>
  </w:num>
  <w:num w:numId="9">
    <w:abstractNumId w:val="47"/>
  </w:num>
  <w:num w:numId="10">
    <w:abstractNumId w:val="25"/>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39"/>
  </w:num>
  <w:num w:numId="15">
    <w:abstractNumId w:val="35"/>
  </w:num>
  <w:num w:numId="16">
    <w:abstractNumId w:val="6"/>
  </w:num>
  <w:num w:numId="17">
    <w:abstractNumId w:val="51"/>
  </w:num>
  <w:num w:numId="18">
    <w:abstractNumId w:val="53"/>
  </w:num>
  <w:num w:numId="19">
    <w:abstractNumId w:val="18"/>
  </w:num>
  <w:num w:numId="20">
    <w:abstractNumId w:val="28"/>
  </w:num>
  <w:num w:numId="21">
    <w:abstractNumId w:val="7"/>
  </w:num>
  <w:num w:numId="22">
    <w:abstractNumId w:val="41"/>
  </w:num>
  <w:num w:numId="23">
    <w:abstractNumId w:val="33"/>
  </w:num>
  <w:num w:numId="24">
    <w:abstractNumId w:val="21"/>
  </w:num>
  <w:num w:numId="25">
    <w:abstractNumId w:val="23"/>
  </w:num>
  <w:num w:numId="26">
    <w:abstractNumId w:val="37"/>
  </w:num>
  <w:num w:numId="27">
    <w:abstractNumId w:val="15"/>
  </w:num>
  <w:num w:numId="28">
    <w:abstractNumId w:val="11"/>
  </w:num>
  <w:num w:numId="29">
    <w:abstractNumId w:val="0"/>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42"/>
  </w:num>
  <w:num w:numId="33">
    <w:abstractNumId w:val="16"/>
  </w:num>
  <w:num w:numId="34">
    <w:abstractNumId w:val="8"/>
  </w:num>
  <w:num w:numId="35">
    <w:abstractNumId w:val="45"/>
  </w:num>
  <w:num w:numId="36">
    <w:abstractNumId w:val="29"/>
  </w:num>
  <w:num w:numId="37">
    <w:abstractNumId w:val="36"/>
  </w:num>
  <w:num w:numId="38">
    <w:abstractNumId w:val="40"/>
  </w:num>
  <w:num w:numId="39">
    <w:abstractNumId w:val="3"/>
  </w:num>
  <w:num w:numId="40">
    <w:abstractNumId w:val="38"/>
  </w:num>
  <w:num w:numId="41">
    <w:abstractNumId w:val="20"/>
  </w:num>
  <w:num w:numId="42">
    <w:abstractNumId w:val="52"/>
  </w:num>
  <w:num w:numId="43">
    <w:abstractNumId w:val="50"/>
  </w:num>
  <w:num w:numId="44">
    <w:abstractNumId w:val="30"/>
  </w:num>
  <w:num w:numId="45">
    <w:abstractNumId w:val="44"/>
  </w:num>
  <w:num w:numId="46">
    <w:abstractNumId w:val="46"/>
  </w:num>
  <w:num w:numId="47">
    <w:abstractNumId w:val="43"/>
  </w:num>
  <w:num w:numId="48">
    <w:abstractNumId w:val="22"/>
  </w:num>
  <w:num w:numId="49">
    <w:abstractNumId w:val="12"/>
  </w:num>
  <w:num w:numId="50">
    <w:abstractNumId w:val="32"/>
  </w:num>
  <w:num w:numId="51">
    <w:abstractNumId w:val="4"/>
  </w:num>
  <w:num w:numId="52">
    <w:abstractNumId w:val="34"/>
  </w:num>
  <w:num w:numId="53">
    <w:abstractNumId w:val="1"/>
  </w:num>
  <w:num w:numId="54">
    <w:abstractNumId w:val="24"/>
  </w:num>
  <w:num w:numId="55">
    <w:abstractNumId w:val="14"/>
  </w:num>
  <w:num w:numId="56">
    <w:abstractNumId w:val="17"/>
  </w:num>
  <w:num w:numId="57">
    <w:abstractNumId w:val="49"/>
  </w:num>
  <w:num w:numId="58">
    <w:abstractNumId w:val="48"/>
  </w:num>
  <w:num w:numId="59">
    <w:abstractNumId w:val="9"/>
  </w:num>
  <w:num w:numId="60">
    <w:abstractNumId w:val="2"/>
  </w:num>
  <w:num w:numId="6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161D"/>
    <w:rsid w:val="00001585"/>
    <w:rsid w:val="00004713"/>
    <w:rsid w:val="00004A25"/>
    <w:rsid w:val="00005157"/>
    <w:rsid w:val="00006F45"/>
    <w:rsid w:val="000123F0"/>
    <w:rsid w:val="00016DC7"/>
    <w:rsid w:val="0002456B"/>
    <w:rsid w:val="00025E31"/>
    <w:rsid w:val="0002739A"/>
    <w:rsid w:val="000505E9"/>
    <w:rsid w:val="00053CFE"/>
    <w:rsid w:val="00066268"/>
    <w:rsid w:val="00066A54"/>
    <w:rsid w:val="00073086"/>
    <w:rsid w:val="0008344B"/>
    <w:rsid w:val="0008614B"/>
    <w:rsid w:val="00090901"/>
    <w:rsid w:val="000A0D13"/>
    <w:rsid w:val="000A3426"/>
    <w:rsid w:val="000B19B8"/>
    <w:rsid w:val="000B2CC8"/>
    <w:rsid w:val="000C32A3"/>
    <w:rsid w:val="000D14AD"/>
    <w:rsid w:val="000D2895"/>
    <w:rsid w:val="000E673A"/>
    <w:rsid w:val="000E6C2F"/>
    <w:rsid w:val="000F1248"/>
    <w:rsid w:val="000F74F5"/>
    <w:rsid w:val="001003BB"/>
    <w:rsid w:val="00101AA6"/>
    <w:rsid w:val="00105372"/>
    <w:rsid w:val="001075F8"/>
    <w:rsid w:val="00116477"/>
    <w:rsid w:val="00124FDF"/>
    <w:rsid w:val="00131E7A"/>
    <w:rsid w:val="001338AF"/>
    <w:rsid w:val="00137EBE"/>
    <w:rsid w:val="00141390"/>
    <w:rsid w:val="0014384C"/>
    <w:rsid w:val="001439F6"/>
    <w:rsid w:val="0014446D"/>
    <w:rsid w:val="00152D00"/>
    <w:rsid w:val="0015355E"/>
    <w:rsid w:val="0015592C"/>
    <w:rsid w:val="001662BD"/>
    <w:rsid w:val="00172AF6"/>
    <w:rsid w:val="00176CEE"/>
    <w:rsid w:val="001823FA"/>
    <w:rsid w:val="00183204"/>
    <w:rsid w:val="00186DD8"/>
    <w:rsid w:val="00187C8C"/>
    <w:rsid w:val="001A0B39"/>
    <w:rsid w:val="001A256D"/>
    <w:rsid w:val="001A3C49"/>
    <w:rsid w:val="001B30DD"/>
    <w:rsid w:val="001B4025"/>
    <w:rsid w:val="001B4915"/>
    <w:rsid w:val="001C2F9C"/>
    <w:rsid w:val="001C31C2"/>
    <w:rsid w:val="001C3702"/>
    <w:rsid w:val="001C5053"/>
    <w:rsid w:val="001C5D72"/>
    <w:rsid w:val="001D16F4"/>
    <w:rsid w:val="001D2822"/>
    <w:rsid w:val="001D471C"/>
    <w:rsid w:val="001D5C71"/>
    <w:rsid w:val="001E44D7"/>
    <w:rsid w:val="00202616"/>
    <w:rsid w:val="00203E63"/>
    <w:rsid w:val="00204AC6"/>
    <w:rsid w:val="002108AE"/>
    <w:rsid w:val="00211BCD"/>
    <w:rsid w:val="00212214"/>
    <w:rsid w:val="002254D0"/>
    <w:rsid w:val="00227B47"/>
    <w:rsid w:val="00235BF3"/>
    <w:rsid w:val="00243B81"/>
    <w:rsid w:val="00246A27"/>
    <w:rsid w:val="00250BA1"/>
    <w:rsid w:val="00252908"/>
    <w:rsid w:val="00256AF4"/>
    <w:rsid w:val="002604ED"/>
    <w:rsid w:val="00267803"/>
    <w:rsid w:val="00272C96"/>
    <w:rsid w:val="00273163"/>
    <w:rsid w:val="00277305"/>
    <w:rsid w:val="00277A1F"/>
    <w:rsid w:val="00283324"/>
    <w:rsid w:val="00293506"/>
    <w:rsid w:val="00294907"/>
    <w:rsid w:val="00295986"/>
    <w:rsid w:val="00297D50"/>
    <w:rsid w:val="002B4235"/>
    <w:rsid w:val="002B438B"/>
    <w:rsid w:val="002D795B"/>
    <w:rsid w:val="002E2B34"/>
    <w:rsid w:val="002E7A5B"/>
    <w:rsid w:val="002F759E"/>
    <w:rsid w:val="003075F6"/>
    <w:rsid w:val="00307782"/>
    <w:rsid w:val="00311861"/>
    <w:rsid w:val="00311C50"/>
    <w:rsid w:val="003126EF"/>
    <w:rsid w:val="003221AC"/>
    <w:rsid w:val="00322C3E"/>
    <w:rsid w:val="003267A0"/>
    <w:rsid w:val="003327B1"/>
    <w:rsid w:val="003424C1"/>
    <w:rsid w:val="00342911"/>
    <w:rsid w:val="00364731"/>
    <w:rsid w:val="0036541E"/>
    <w:rsid w:val="00372F74"/>
    <w:rsid w:val="0037498D"/>
    <w:rsid w:val="00380136"/>
    <w:rsid w:val="00380B58"/>
    <w:rsid w:val="00381C91"/>
    <w:rsid w:val="00384F6F"/>
    <w:rsid w:val="0038666F"/>
    <w:rsid w:val="00386C03"/>
    <w:rsid w:val="00386EB6"/>
    <w:rsid w:val="00386F80"/>
    <w:rsid w:val="00394BF3"/>
    <w:rsid w:val="003A3814"/>
    <w:rsid w:val="003A650A"/>
    <w:rsid w:val="003A75F7"/>
    <w:rsid w:val="003B130B"/>
    <w:rsid w:val="003B4ECE"/>
    <w:rsid w:val="003B50B8"/>
    <w:rsid w:val="003C092C"/>
    <w:rsid w:val="003C1EBA"/>
    <w:rsid w:val="003C45FC"/>
    <w:rsid w:val="003C69DB"/>
    <w:rsid w:val="003F1317"/>
    <w:rsid w:val="003F5E49"/>
    <w:rsid w:val="003F7224"/>
    <w:rsid w:val="0040452E"/>
    <w:rsid w:val="00411CED"/>
    <w:rsid w:val="00411F12"/>
    <w:rsid w:val="00413650"/>
    <w:rsid w:val="00413A3A"/>
    <w:rsid w:val="00421394"/>
    <w:rsid w:val="00422E82"/>
    <w:rsid w:val="00425C34"/>
    <w:rsid w:val="00427D21"/>
    <w:rsid w:val="00431BC6"/>
    <w:rsid w:val="00434A3D"/>
    <w:rsid w:val="00434BFA"/>
    <w:rsid w:val="004366D9"/>
    <w:rsid w:val="00442643"/>
    <w:rsid w:val="00445B1B"/>
    <w:rsid w:val="00446EE2"/>
    <w:rsid w:val="00451DA9"/>
    <w:rsid w:val="0045382F"/>
    <w:rsid w:val="00453B41"/>
    <w:rsid w:val="0045492A"/>
    <w:rsid w:val="0046107B"/>
    <w:rsid w:val="004644C2"/>
    <w:rsid w:val="00466152"/>
    <w:rsid w:val="00467F9C"/>
    <w:rsid w:val="00471C1C"/>
    <w:rsid w:val="004731A1"/>
    <w:rsid w:val="00475CF8"/>
    <w:rsid w:val="00477A49"/>
    <w:rsid w:val="00485C36"/>
    <w:rsid w:val="0048754E"/>
    <w:rsid w:val="004905B0"/>
    <w:rsid w:val="00490BF5"/>
    <w:rsid w:val="004A0319"/>
    <w:rsid w:val="004A1AC3"/>
    <w:rsid w:val="004A2D2F"/>
    <w:rsid w:val="004A3295"/>
    <w:rsid w:val="004C102E"/>
    <w:rsid w:val="004C5A1E"/>
    <w:rsid w:val="004C63E5"/>
    <w:rsid w:val="004C6B94"/>
    <w:rsid w:val="004D16B1"/>
    <w:rsid w:val="004D61AB"/>
    <w:rsid w:val="004E6B24"/>
    <w:rsid w:val="004F0161"/>
    <w:rsid w:val="004F1FF6"/>
    <w:rsid w:val="00503A6F"/>
    <w:rsid w:val="0050456A"/>
    <w:rsid w:val="00507B62"/>
    <w:rsid w:val="0051296D"/>
    <w:rsid w:val="00513A01"/>
    <w:rsid w:val="0052003F"/>
    <w:rsid w:val="00521AEF"/>
    <w:rsid w:val="00526455"/>
    <w:rsid w:val="00531309"/>
    <w:rsid w:val="0053143A"/>
    <w:rsid w:val="00531675"/>
    <w:rsid w:val="00531BDC"/>
    <w:rsid w:val="005322FD"/>
    <w:rsid w:val="00533024"/>
    <w:rsid w:val="00534681"/>
    <w:rsid w:val="00545D3C"/>
    <w:rsid w:val="00547437"/>
    <w:rsid w:val="005504DD"/>
    <w:rsid w:val="00551166"/>
    <w:rsid w:val="00555B30"/>
    <w:rsid w:val="00570CEC"/>
    <w:rsid w:val="00580620"/>
    <w:rsid w:val="00581D98"/>
    <w:rsid w:val="00585436"/>
    <w:rsid w:val="005974F3"/>
    <w:rsid w:val="005A4404"/>
    <w:rsid w:val="005B189C"/>
    <w:rsid w:val="005B219B"/>
    <w:rsid w:val="005B5422"/>
    <w:rsid w:val="005C0442"/>
    <w:rsid w:val="005C2EEF"/>
    <w:rsid w:val="005C68C5"/>
    <w:rsid w:val="005D623C"/>
    <w:rsid w:val="005D777B"/>
    <w:rsid w:val="005E05D1"/>
    <w:rsid w:val="005E62D3"/>
    <w:rsid w:val="005F0C58"/>
    <w:rsid w:val="0060297F"/>
    <w:rsid w:val="00602F63"/>
    <w:rsid w:val="00607AAE"/>
    <w:rsid w:val="00610F70"/>
    <w:rsid w:val="006122BA"/>
    <w:rsid w:val="00616006"/>
    <w:rsid w:val="00631856"/>
    <w:rsid w:val="00633939"/>
    <w:rsid w:val="00633E73"/>
    <w:rsid w:val="00634CF8"/>
    <w:rsid w:val="0063592E"/>
    <w:rsid w:val="00637D6A"/>
    <w:rsid w:val="00643B72"/>
    <w:rsid w:val="00643B9C"/>
    <w:rsid w:val="00651B73"/>
    <w:rsid w:val="00665C19"/>
    <w:rsid w:val="00666F07"/>
    <w:rsid w:val="0067018B"/>
    <w:rsid w:val="00672459"/>
    <w:rsid w:val="00685D99"/>
    <w:rsid w:val="00685F80"/>
    <w:rsid w:val="00686EA3"/>
    <w:rsid w:val="0069084C"/>
    <w:rsid w:val="00693339"/>
    <w:rsid w:val="00697CFA"/>
    <w:rsid w:val="006A0651"/>
    <w:rsid w:val="006A2E7A"/>
    <w:rsid w:val="006A3E8B"/>
    <w:rsid w:val="006A3F9E"/>
    <w:rsid w:val="006A4DEB"/>
    <w:rsid w:val="006B2290"/>
    <w:rsid w:val="006B3F7D"/>
    <w:rsid w:val="006B4F09"/>
    <w:rsid w:val="006C0504"/>
    <w:rsid w:val="006C0DD6"/>
    <w:rsid w:val="006C4FEA"/>
    <w:rsid w:val="006C526F"/>
    <w:rsid w:val="006C76D0"/>
    <w:rsid w:val="006C7A96"/>
    <w:rsid w:val="006D2756"/>
    <w:rsid w:val="006D4DBA"/>
    <w:rsid w:val="006D6BB3"/>
    <w:rsid w:val="006E1F37"/>
    <w:rsid w:val="006E604B"/>
    <w:rsid w:val="006E6F88"/>
    <w:rsid w:val="006F0052"/>
    <w:rsid w:val="006F1EEA"/>
    <w:rsid w:val="006F3E4D"/>
    <w:rsid w:val="006F5EF2"/>
    <w:rsid w:val="006F601C"/>
    <w:rsid w:val="007018DD"/>
    <w:rsid w:val="00701A00"/>
    <w:rsid w:val="00703994"/>
    <w:rsid w:val="00705FC5"/>
    <w:rsid w:val="007070D8"/>
    <w:rsid w:val="007165EF"/>
    <w:rsid w:val="00717D88"/>
    <w:rsid w:val="007201B0"/>
    <w:rsid w:val="007205CE"/>
    <w:rsid w:val="007220C0"/>
    <w:rsid w:val="00723FE7"/>
    <w:rsid w:val="00733C17"/>
    <w:rsid w:val="00734B7E"/>
    <w:rsid w:val="00741902"/>
    <w:rsid w:val="00746C06"/>
    <w:rsid w:val="0074777E"/>
    <w:rsid w:val="007572D1"/>
    <w:rsid w:val="00764D7A"/>
    <w:rsid w:val="00773AD6"/>
    <w:rsid w:val="00781E8F"/>
    <w:rsid w:val="007942D3"/>
    <w:rsid w:val="00795DD1"/>
    <w:rsid w:val="00796636"/>
    <w:rsid w:val="007A327F"/>
    <w:rsid w:val="007A4AC3"/>
    <w:rsid w:val="007B248C"/>
    <w:rsid w:val="007B564E"/>
    <w:rsid w:val="007B6C09"/>
    <w:rsid w:val="007C1AC4"/>
    <w:rsid w:val="007C4C53"/>
    <w:rsid w:val="007C6316"/>
    <w:rsid w:val="007C636B"/>
    <w:rsid w:val="007D1E21"/>
    <w:rsid w:val="007D4AD1"/>
    <w:rsid w:val="007D552D"/>
    <w:rsid w:val="007D5F0B"/>
    <w:rsid w:val="007E09DA"/>
    <w:rsid w:val="007E11CA"/>
    <w:rsid w:val="007E203A"/>
    <w:rsid w:val="007F1C6D"/>
    <w:rsid w:val="007F3AB8"/>
    <w:rsid w:val="007F76A5"/>
    <w:rsid w:val="007F7862"/>
    <w:rsid w:val="00802D41"/>
    <w:rsid w:val="00804E59"/>
    <w:rsid w:val="0081312F"/>
    <w:rsid w:val="008142ED"/>
    <w:rsid w:val="008178B6"/>
    <w:rsid w:val="008256D9"/>
    <w:rsid w:val="00825783"/>
    <w:rsid w:val="00825C28"/>
    <w:rsid w:val="0083535B"/>
    <w:rsid w:val="00835421"/>
    <w:rsid w:val="008357F6"/>
    <w:rsid w:val="0084250B"/>
    <w:rsid w:val="00842E81"/>
    <w:rsid w:val="00852052"/>
    <w:rsid w:val="00854F2D"/>
    <w:rsid w:val="00855A78"/>
    <w:rsid w:val="008636A4"/>
    <w:rsid w:val="00865B74"/>
    <w:rsid w:val="00867675"/>
    <w:rsid w:val="00873DE2"/>
    <w:rsid w:val="00876FB9"/>
    <w:rsid w:val="00877314"/>
    <w:rsid w:val="00877474"/>
    <w:rsid w:val="00884C9A"/>
    <w:rsid w:val="00887BAE"/>
    <w:rsid w:val="008A2975"/>
    <w:rsid w:val="008A3EDF"/>
    <w:rsid w:val="008A502D"/>
    <w:rsid w:val="008C10E0"/>
    <w:rsid w:val="008C1A62"/>
    <w:rsid w:val="008C20AD"/>
    <w:rsid w:val="008C3C9A"/>
    <w:rsid w:val="008C6B01"/>
    <w:rsid w:val="008C753F"/>
    <w:rsid w:val="008C757F"/>
    <w:rsid w:val="008C79CF"/>
    <w:rsid w:val="008D3231"/>
    <w:rsid w:val="008D4FDF"/>
    <w:rsid w:val="008D520E"/>
    <w:rsid w:val="008E32D2"/>
    <w:rsid w:val="008E3C96"/>
    <w:rsid w:val="008F0DA6"/>
    <w:rsid w:val="008F2D6F"/>
    <w:rsid w:val="008F3606"/>
    <w:rsid w:val="008F592C"/>
    <w:rsid w:val="008F61E5"/>
    <w:rsid w:val="00902EEC"/>
    <w:rsid w:val="00905502"/>
    <w:rsid w:val="009057F6"/>
    <w:rsid w:val="00905843"/>
    <w:rsid w:val="00906AB6"/>
    <w:rsid w:val="009122DD"/>
    <w:rsid w:val="00915F09"/>
    <w:rsid w:val="00921B38"/>
    <w:rsid w:val="00922C3F"/>
    <w:rsid w:val="00927E4F"/>
    <w:rsid w:val="00930BA1"/>
    <w:rsid w:val="0093169E"/>
    <w:rsid w:val="00931FB4"/>
    <w:rsid w:val="00937F36"/>
    <w:rsid w:val="009400A3"/>
    <w:rsid w:val="00940497"/>
    <w:rsid w:val="0094249D"/>
    <w:rsid w:val="009505C9"/>
    <w:rsid w:val="00953218"/>
    <w:rsid w:val="009569B5"/>
    <w:rsid w:val="009661A6"/>
    <w:rsid w:val="00970EE4"/>
    <w:rsid w:val="00973309"/>
    <w:rsid w:val="0097506E"/>
    <w:rsid w:val="00976A79"/>
    <w:rsid w:val="00980107"/>
    <w:rsid w:val="00980D7E"/>
    <w:rsid w:val="00981E09"/>
    <w:rsid w:val="0098644E"/>
    <w:rsid w:val="009953DD"/>
    <w:rsid w:val="0099620B"/>
    <w:rsid w:val="009A040E"/>
    <w:rsid w:val="009A168C"/>
    <w:rsid w:val="009A32E3"/>
    <w:rsid w:val="009A44DE"/>
    <w:rsid w:val="009B504A"/>
    <w:rsid w:val="009C0A8F"/>
    <w:rsid w:val="009C11E0"/>
    <w:rsid w:val="009D69DC"/>
    <w:rsid w:val="009E03A9"/>
    <w:rsid w:val="009E0408"/>
    <w:rsid w:val="009E0E92"/>
    <w:rsid w:val="009E2C02"/>
    <w:rsid w:val="009E52FF"/>
    <w:rsid w:val="00A0311E"/>
    <w:rsid w:val="00A04A7B"/>
    <w:rsid w:val="00A06AB2"/>
    <w:rsid w:val="00A06B26"/>
    <w:rsid w:val="00A10389"/>
    <w:rsid w:val="00A15BB0"/>
    <w:rsid w:val="00A249FC"/>
    <w:rsid w:val="00A27AB9"/>
    <w:rsid w:val="00A355DF"/>
    <w:rsid w:val="00A37711"/>
    <w:rsid w:val="00A41C31"/>
    <w:rsid w:val="00A4466B"/>
    <w:rsid w:val="00A44BC3"/>
    <w:rsid w:val="00A5733C"/>
    <w:rsid w:val="00A60F99"/>
    <w:rsid w:val="00A631E2"/>
    <w:rsid w:val="00A671C8"/>
    <w:rsid w:val="00A83BE2"/>
    <w:rsid w:val="00A84D93"/>
    <w:rsid w:val="00A853E9"/>
    <w:rsid w:val="00A86318"/>
    <w:rsid w:val="00AA6916"/>
    <w:rsid w:val="00AB18CD"/>
    <w:rsid w:val="00AB3696"/>
    <w:rsid w:val="00AB6A44"/>
    <w:rsid w:val="00AC3C56"/>
    <w:rsid w:val="00AD3F09"/>
    <w:rsid w:val="00AE0C7A"/>
    <w:rsid w:val="00AE0E35"/>
    <w:rsid w:val="00AE21E4"/>
    <w:rsid w:val="00AE6436"/>
    <w:rsid w:val="00AE74CB"/>
    <w:rsid w:val="00AF1737"/>
    <w:rsid w:val="00AF7E4A"/>
    <w:rsid w:val="00B03F19"/>
    <w:rsid w:val="00B04164"/>
    <w:rsid w:val="00B066A8"/>
    <w:rsid w:val="00B21CBD"/>
    <w:rsid w:val="00B32DCD"/>
    <w:rsid w:val="00B3369F"/>
    <w:rsid w:val="00B34BC8"/>
    <w:rsid w:val="00B35D62"/>
    <w:rsid w:val="00B41CCC"/>
    <w:rsid w:val="00B478E6"/>
    <w:rsid w:val="00B54F05"/>
    <w:rsid w:val="00B60D68"/>
    <w:rsid w:val="00B65F3C"/>
    <w:rsid w:val="00B66899"/>
    <w:rsid w:val="00B75451"/>
    <w:rsid w:val="00B924F5"/>
    <w:rsid w:val="00B93B61"/>
    <w:rsid w:val="00BA1282"/>
    <w:rsid w:val="00BA2125"/>
    <w:rsid w:val="00BA24FD"/>
    <w:rsid w:val="00BA69AB"/>
    <w:rsid w:val="00BB1D6F"/>
    <w:rsid w:val="00BB2C85"/>
    <w:rsid w:val="00BC50B6"/>
    <w:rsid w:val="00BD4BCA"/>
    <w:rsid w:val="00BD61E7"/>
    <w:rsid w:val="00BD7E77"/>
    <w:rsid w:val="00BE436D"/>
    <w:rsid w:val="00BF4519"/>
    <w:rsid w:val="00BF4795"/>
    <w:rsid w:val="00BF575A"/>
    <w:rsid w:val="00C11B1F"/>
    <w:rsid w:val="00C21A51"/>
    <w:rsid w:val="00C24472"/>
    <w:rsid w:val="00C32285"/>
    <w:rsid w:val="00C3798A"/>
    <w:rsid w:val="00C420BD"/>
    <w:rsid w:val="00C435E4"/>
    <w:rsid w:val="00C443BD"/>
    <w:rsid w:val="00C45132"/>
    <w:rsid w:val="00C53B14"/>
    <w:rsid w:val="00C62FDB"/>
    <w:rsid w:val="00C70274"/>
    <w:rsid w:val="00C778C9"/>
    <w:rsid w:val="00C862ED"/>
    <w:rsid w:val="00C87CFB"/>
    <w:rsid w:val="00C9161D"/>
    <w:rsid w:val="00C91A08"/>
    <w:rsid w:val="00C92E48"/>
    <w:rsid w:val="00CA06D1"/>
    <w:rsid w:val="00CA737C"/>
    <w:rsid w:val="00CB008B"/>
    <w:rsid w:val="00CB3296"/>
    <w:rsid w:val="00CC0069"/>
    <w:rsid w:val="00CC292E"/>
    <w:rsid w:val="00CC4496"/>
    <w:rsid w:val="00CC693C"/>
    <w:rsid w:val="00CD1B81"/>
    <w:rsid w:val="00CD32DB"/>
    <w:rsid w:val="00CD5C7F"/>
    <w:rsid w:val="00CD6F21"/>
    <w:rsid w:val="00CE1A84"/>
    <w:rsid w:val="00CE3B39"/>
    <w:rsid w:val="00CE4171"/>
    <w:rsid w:val="00CF0EDD"/>
    <w:rsid w:val="00CF1848"/>
    <w:rsid w:val="00CF2212"/>
    <w:rsid w:val="00CF7E85"/>
    <w:rsid w:val="00D11B4F"/>
    <w:rsid w:val="00D11B53"/>
    <w:rsid w:val="00D12044"/>
    <w:rsid w:val="00D2310C"/>
    <w:rsid w:val="00D452A7"/>
    <w:rsid w:val="00D478B8"/>
    <w:rsid w:val="00D50EB4"/>
    <w:rsid w:val="00D51E3B"/>
    <w:rsid w:val="00D549C6"/>
    <w:rsid w:val="00D54A77"/>
    <w:rsid w:val="00D57D7A"/>
    <w:rsid w:val="00D607F9"/>
    <w:rsid w:val="00D63E0E"/>
    <w:rsid w:val="00D70787"/>
    <w:rsid w:val="00D70BE0"/>
    <w:rsid w:val="00D73DA9"/>
    <w:rsid w:val="00D76A18"/>
    <w:rsid w:val="00D85D63"/>
    <w:rsid w:val="00D878C3"/>
    <w:rsid w:val="00D903C0"/>
    <w:rsid w:val="00D92DF5"/>
    <w:rsid w:val="00DB4C97"/>
    <w:rsid w:val="00DB51FE"/>
    <w:rsid w:val="00DB7A50"/>
    <w:rsid w:val="00DC332E"/>
    <w:rsid w:val="00DC40F8"/>
    <w:rsid w:val="00DC5794"/>
    <w:rsid w:val="00DD118C"/>
    <w:rsid w:val="00DD607C"/>
    <w:rsid w:val="00DF113F"/>
    <w:rsid w:val="00E00338"/>
    <w:rsid w:val="00E01BD4"/>
    <w:rsid w:val="00E0326B"/>
    <w:rsid w:val="00E03CAB"/>
    <w:rsid w:val="00E10FC0"/>
    <w:rsid w:val="00E14347"/>
    <w:rsid w:val="00E20545"/>
    <w:rsid w:val="00E20CFE"/>
    <w:rsid w:val="00E22473"/>
    <w:rsid w:val="00E24278"/>
    <w:rsid w:val="00E24B1F"/>
    <w:rsid w:val="00E2779C"/>
    <w:rsid w:val="00E30C71"/>
    <w:rsid w:val="00E32098"/>
    <w:rsid w:val="00E41629"/>
    <w:rsid w:val="00E461D9"/>
    <w:rsid w:val="00E51911"/>
    <w:rsid w:val="00E551C4"/>
    <w:rsid w:val="00E55821"/>
    <w:rsid w:val="00E56633"/>
    <w:rsid w:val="00E66235"/>
    <w:rsid w:val="00E66909"/>
    <w:rsid w:val="00E678C1"/>
    <w:rsid w:val="00E72197"/>
    <w:rsid w:val="00E76BE1"/>
    <w:rsid w:val="00E77C8F"/>
    <w:rsid w:val="00E77F6C"/>
    <w:rsid w:val="00E801D7"/>
    <w:rsid w:val="00E83C24"/>
    <w:rsid w:val="00E86D90"/>
    <w:rsid w:val="00E9318D"/>
    <w:rsid w:val="00E93C38"/>
    <w:rsid w:val="00EA2E0F"/>
    <w:rsid w:val="00EA492F"/>
    <w:rsid w:val="00EA75B5"/>
    <w:rsid w:val="00EB3581"/>
    <w:rsid w:val="00EC1A88"/>
    <w:rsid w:val="00ED6C99"/>
    <w:rsid w:val="00ED7857"/>
    <w:rsid w:val="00EE6A9C"/>
    <w:rsid w:val="00EF45B2"/>
    <w:rsid w:val="00F00E22"/>
    <w:rsid w:val="00F036D5"/>
    <w:rsid w:val="00F0395B"/>
    <w:rsid w:val="00F0441F"/>
    <w:rsid w:val="00F0474D"/>
    <w:rsid w:val="00F256F5"/>
    <w:rsid w:val="00F266DF"/>
    <w:rsid w:val="00F30F88"/>
    <w:rsid w:val="00F326CC"/>
    <w:rsid w:val="00F32ECA"/>
    <w:rsid w:val="00F4361B"/>
    <w:rsid w:val="00F4504F"/>
    <w:rsid w:val="00F47C0B"/>
    <w:rsid w:val="00F51EA3"/>
    <w:rsid w:val="00F71C78"/>
    <w:rsid w:val="00F72E36"/>
    <w:rsid w:val="00F76916"/>
    <w:rsid w:val="00F80805"/>
    <w:rsid w:val="00F819AF"/>
    <w:rsid w:val="00F83AB4"/>
    <w:rsid w:val="00F87C68"/>
    <w:rsid w:val="00F94774"/>
    <w:rsid w:val="00F9637C"/>
    <w:rsid w:val="00F96511"/>
    <w:rsid w:val="00FA1A1A"/>
    <w:rsid w:val="00FA3643"/>
    <w:rsid w:val="00FA4529"/>
    <w:rsid w:val="00FA6E0C"/>
    <w:rsid w:val="00FB0270"/>
    <w:rsid w:val="00FB4DC6"/>
    <w:rsid w:val="00FC2DA4"/>
    <w:rsid w:val="00FC39E4"/>
    <w:rsid w:val="00FC4189"/>
    <w:rsid w:val="00FC53DB"/>
    <w:rsid w:val="00FD728A"/>
    <w:rsid w:val="00FE0820"/>
    <w:rsid w:val="00FF546A"/>
    <w:rsid w:val="00FF6124"/>
    <w:rsid w:val="00FF6E2A"/>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Outline List 2"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styleId="BodyText2">
    <w:name w:val="Body Text 2"/>
    <w:basedOn w:val="Normal"/>
    <w:link w:val="BodyText2Char"/>
    <w:rsid w:val="00855A78"/>
    <w:rPr>
      <w:rFonts w:eastAsia="MS Mincho" w:cs="Angsana New"/>
      <w:i/>
      <w:iCs/>
    </w:rPr>
  </w:style>
  <w:style w:type="character" w:customStyle="1" w:styleId="BodyText2Char">
    <w:name w:val="Body Text 2 Char"/>
    <w:basedOn w:val="DefaultParagraphFont"/>
    <w:link w:val="BodyText2"/>
    <w:rsid w:val="00855A78"/>
    <w:rPr>
      <w:rFonts w:ascii="Times New Roman" w:eastAsia="MS Mincho" w:hAnsi="Times New Roman" w:cs="Angsana New"/>
      <w:i/>
      <w:iCs/>
      <w:sz w:val="22"/>
      <w:lang w:val="en-GB"/>
    </w:rPr>
  </w:style>
  <w:style w:type="paragraph" w:styleId="BodyText3">
    <w:name w:val="Body Text 3"/>
    <w:basedOn w:val="Normal"/>
    <w:link w:val="BodyText3Char"/>
    <w:rsid w:val="00855A78"/>
    <w:pPr>
      <w:jc w:val="center"/>
    </w:pPr>
    <w:rPr>
      <w:rFonts w:eastAsia="MS Mincho" w:cs="Angsana New"/>
      <w:sz w:val="28"/>
    </w:rPr>
  </w:style>
  <w:style w:type="character" w:customStyle="1" w:styleId="BodyText3Char">
    <w:name w:val="Body Text 3 Char"/>
    <w:basedOn w:val="DefaultParagraphFont"/>
    <w:link w:val="BodyText3"/>
    <w:rsid w:val="00855A78"/>
    <w:rPr>
      <w:rFonts w:ascii="Times New Roman" w:eastAsia="MS Mincho" w:hAnsi="Times New Roman" w:cs="Angsana New"/>
      <w:sz w:val="28"/>
      <w:lang w:val="en-GB"/>
    </w:rPr>
  </w:style>
  <w:style w:type="paragraph" w:styleId="BodyTextIndent2">
    <w:name w:val="Body Text Indent 2"/>
    <w:basedOn w:val="Normal"/>
    <w:link w:val="BodyTextIndent2Char"/>
    <w:rsid w:val="00855A78"/>
    <w:pPr>
      <w:ind w:firstLine="720"/>
    </w:pPr>
    <w:rPr>
      <w:rFonts w:eastAsia="MS Mincho" w:cs="Angsana New"/>
    </w:rPr>
  </w:style>
  <w:style w:type="character" w:customStyle="1" w:styleId="BodyTextIndent2Char">
    <w:name w:val="Body Text Indent 2 Char"/>
    <w:basedOn w:val="DefaultParagraphFont"/>
    <w:link w:val="BodyTextIndent2"/>
    <w:rsid w:val="00855A78"/>
    <w:rPr>
      <w:rFonts w:ascii="Times New Roman" w:eastAsia="MS Mincho" w:hAnsi="Times New Roman" w:cs="Angsana New"/>
      <w:sz w:val="22"/>
      <w:lang w:val="en-GB"/>
    </w:rPr>
  </w:style>
  <w:style w:type="paragraph" w:styleId="BodyTextIndent3">
    <w:name w:val="Body Text Indent 3"/>
    <w:basedOn w:val="Normal"/>
    <w:link w:val="BodyTextIndent3Char"/>
    <w:rsid w:val="00855A78"/>
    <w:pPr>
      <w:ind w:left="1080" w:hanging="360"/>
    </w:pPr>
    <w:rPr>
      <w:rFonts w:ascii="Courier" w:eastAsia="MS Mincho" w:hAnsi="Courier" w:cs="Angsana New"/>
      <w:sz w:val="20"/>
    </w:rPr>
  </w:style>
  <w:style w:type="character" w:customStyle="1" w:styleId="BodyTextIndent3Char">
    <w:name w:val="Body Text Indent 3 Char"/>
    <w:basedOn w:val="DefaultParagraphFont"/>
    <w:link w:val="BodyTextIndent3"/>
    <w:rsid w:val="00855A78"/>
    <w:rPr>
      <w:rFonts w:ascii="Courier" w:eastAsia="MS Mincho" w:hAnsi="Courier" w:cs="Angsana New"/>
      <w:sz w:val="20"/>
      <w:lang w:val="en-GB"/>
    </w:rPr>
  </w:style>
  <w:style w:type="paragraph" w:customStyle="1" w:styleId="BodyText21">
    <w:name w:val="Body Text 21"/>
    <w:basedOn w:val="Normal"/>
    <w:rsid w:val="00855A78"/>
    <w:rPr>
      <w:rFonts w:eastAsia="MS Mincho" w:cs="Angsana New"/>
    </w:rPr>
  </w:style>
  <w:style w:type="paragraph" w:styleId="BlockText">
    <w:name w:val="Block Text"/>
    <w:basedOn w:val="Normal"/>
    <w:rsid w:val="00855A78"/>
    <w:pPr>
      <w:tabs>
        <w:tab w:val="left" w:leader="dot" w:pos="8100"/>
        <w:tab w:val="left" w:pos="8370"/>
      </w:tabs>
      <w:suppressAutoHyphens/>
      <w:ind w:left="720" w:right="1440" w:hanging="720"/>
    </w:pPr>
    <w:rPr>
      <w:rFonts w:ascii="Courier New" w:eastAsia="MS Mincho" w:hAnsi="Courier New" w:cs="Angsana New"/>
      <w:sz w:val="20"/>
    </w:rPr>
  </w:style>
  <w:style w:type="paragraph" w:customStyle="1" w:styleId="Para">
    <w:name w:val="Para"/>
    <w:basedOn w:val="Normal"/>
    <w:rsid w:val="00855A78"/>
    <w:pPr>
      <w:numPr>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DocumentMap">
    <w:name w:val="Document Map"/>
    <w:basedOn w:val="Normal"/>
    <w:link w:val="DocumentMapChar"/>
    <w:semiHidden/>
    <w:rsid w:val="00855A78"/>
    <w:pPr>
      <w:shd w:val="clear" w:color="auto" w:fill="000080"/>
    </w:pPr>
    <w:rPr>
      <w:rFonts w:ascii="Tahoma" w:eastAsia="MS Mincho" w:hAnsi="Tahoma" w:cs="Angsana New"/>
    </w:rPr>
  </w:style>
  <w:style w:type="character" w:customStyle="1" w:styleId="DocumentMapChar">
    <w:name w:val="Document Map Char"/>
    <w:basedOn w:val="DefaultParagraphFont"/>
    <w:link w:val="DocumentMap"/>
    <w:semiHidden/>
    <w:rsid w:val="00855A78"/>
    <w:rPr>
      <w:rFonts w:ascii="Tahoma" w:eastAsia="MS Mincho" w:hAnsi="Tahoma" w:cs="Angsana New"/>
      <w:sz w:val="22"/>
      <w:shd w:val="clear" w:color="auto" w:fill="000080"/>
      <w:lang w:val="en-GB"/>
    </w:rPr>
  </w:style>
  <w:style w:type="paragraph" w:customStyle="1" w:styleId="para2">
    <w:name w:val="para2"/>
    <w:basedOn w:val="Normal"/>
    <w:rsid w:val="00855A78"/>
    <w:pPr>
      <w:numPr>
        <w:numId w:val="24"/>
      </w:numPr>
      <w:spacing w:before="120" w:after="120"/>
    </w:pPr>
    <w:rPr>
      <w:rFonts w:eastAsia="MS Mincho" w:cs="Angsana New"/>
      <w:szCs w:val="20"/>
    </w:rPr>
  </w:style>
  <w:style w:type="paragraph" w:customStyle="1" w:styleId="Heading2-center">
    <w:name w:val="Heading 2-center"/>
    <w:basedOn w:val="Heading2"/>
    <w:rsid w:val="00855A78"/>
    <w:rPr>
      <w:rFonts w:eastAsia="MS Mincho" w:cs="Angsana New"/>
    </w:rPr>
  </w:style>
  <w:style w:type="paragraph" w:styleId="PlainText">
    <w:name w:val="Plain Text"/>
    <w:basedOn w:val="Normal"/>
    <w:link w:val="PlainTextChar"/>
    <w:uiPriority w:val="99"/>
    <w:rsid w:val="00855A78"/>
    <w:rPr>
      <w:rFonts w:ascii="Courier New" w:eastAsia="MS Mincho" w:hAnsi="Courier New"/>
      <w:sz w:val="20"/>
    </w:rPr>
  </w:style>
  <w:style w:type="character" w:customStyle="1" w:styleId="PlainTextChar">
    <w:name w:val="Plain Text Char"/>
    <w:basedOn w:val="DefaultParagraphFont"/>
    <w:link w:val="PlainText"/>
    <w:uiPriority w:val="99"/>
    <w:rsid w:val="00855A78"/>
    <w:rPr>
      <w:rFonts w:ascii="Courier New" w:eastAsia="MS Mincho" w:hAnsi="Courier New" w:cs="Times New Roman"/>
      <w:sz w:val="20"/>
    </w:rPr>
  </w:style>
  <w:style w:type="paragraph" w:customStyle="1" w:styleId="xl24">
    <w:name w:val="xl24"/>
    <w:basedOn w:val="Normal"/>
    <w:rsid w:val="00855A78"/>
    <w:pPr>
      <w:spacing w:before="100" w:beforeAutospacing="1" w:after="100" w:afterAutospacing="1"/>
    </w:pPr>
    <w:rPr>
      <w:rFonts w:eastAsia="Arial Unicode MS" w:cs="Angsana New"/>
      <w:b/>
      <w:bCs/>
      <w:szCs w:val="22"/>
    </w:rPr>
  </w:style>
  <w:style w:type="paragraph" w:customStyle="1" w:styleId="xl25">
    <w:name w:val="xl25"/>
    <w:basedOn w:val="Normal"/>
    <w:rsid w:val="00855A78"/>
    <w:pPr>
      <w:spacing w:before="100" w:beforeAutospacing="1" w:after="100" w:afterAutospacing="1"/>
    </w:pPr>
    <w:rPr>
      <w:rFonts w:eastAsia="Arial Unicode MS" w:cs="Angsana New"/>
      <w:b/>
      <w:bCs/>
      <w:szCs w:val="22"/>
    </w:rPr>
  </w:style>
  <w:style w:type="paragraph" w:customStyle="1" w:styleId="xl26">
    <w:name w:val="xl26"/>
    <w:basedOn w:val="Normal"/>
    <w:rsid w:val="00855A78"/>
    <w:pPr>
      <w:spacing w:before="100" w:beforeAutospacing="1" w:after="100" w:afterAutospacing="1"/>
      <w:jc w:val="center"/>
    </w:pPr>
    <w:rPr>
      <w:rFonts w:eastAsia="Arial Unicode MS" w:cs="Angsana New"/>
      <w:b/>
      <w:bCs/>
      <w:szCs w:val="22"/>
    </w:rPr>
  </w:style>
  <w:style w:type="paragraph" w:customStyle="1" w:styleId="xl27">
    <w:name w:val="xl27"/>
    <w:basedOn w:val="Normal"/>
    <w:rsid w:val="00855A78"/>
    <w:pPr>
      <w:pBdr>
        <w:left w:val="single" w:sz="8" w:space="0" w:color="auto"/>
      </w:pBdr>
      <w:spacing w:before="100" w:beforeAutospacing="1" w:after="100" w:afterAutospacing="1"/>
    </w:pPr>
    <w:rPr>
      <w:rFonts w:eastAsia="Arial Unicode MS" w:cs="Angsana New"/>
      <w:b/>
      <w:bCs/>
      <w:szCs w:val="22"/>
    </w:rPr>
  </w:style>
  <w:style w:type="paragraph" w:customStyle="1" w:styleId="xl28">
    <w:name w:val="xl28"/>
    <w:basedOn w:val="Normal"/>
    <w:rsid w:val="00855A78"/>
    <w:pPr>
      <w:pBdr>
        <w:left w:val="single" w:sz="8"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xl29">
    <w:name w:val="xl29"/>
    <w:basedOn w:val="Normal"/>
    <w:rsid w:val="00855A78"/>
    <w:pPr>
      <w:pBdr>
        <w:left w:val="single" w:sz="8" w:space="0" w:color="auto"/>
      </w:pBdr>
      <w:spacing w:before="100" w:beforeAutospacing="1" w:after="100" w:afterAutospacing="1"/>
    </w:pPr>
    <w:rPr>
      <w:rFonts w:eastAsia="Arial Unicode MS" w:cs="Angsana New"/>
      <w:szCs w:val="22"/>
    </w:rPr>
  </w:style>
  <w:style w:type="paragraph" w:customStyle="1" w:styleId="xl30">
    <w:name w:val="xl30"/>
    <w:basedOn w:val="Normal"/>
    <w:rsid w:val="00855A78"/>
    <w:pPr>
      <w:pBdr>
        <w:left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31">
    <w:name w:val="xl31"/>
    <w:basedOn w:val="Normal"/>
    <w:rsid w:val="00855A78"/>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2">
    <w:name w:val="xl32"/>
    <w:basedOn w:val="Normal"/>
    <w:rsid w:val="00855A78"/>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3">
    <w:name w:val="xl33"/>
    <w:basedOn w:val="Normal"/>
    <w:rsid w:val="00855A78"/>
    <w:pPr>
      <w:pBdr>
        <w:right w:val="single" w:sz="8" w:space="0" w:color="auto"/>
      </w:pBdr>
      <w:spacing w:before="100" w:beforeAutospacing="1" w:after="100" w:afterAutospacing="1"/>
    </w:pPr>
    <w:rPr>
      <w:rFonts w:eastAsia="Arial Unicode MS" w:cs="Angsana New"/>
      <w:szCs w:val="22"/>
    </w:rPr>
  </w:style>
  <w:style w:type="paragraph" w:customStyle="1" w:styleId="xl34">
    <w:name w:val="xl34"/>
    <w:basedOn w:val="Normal"/>
    <w:rsid w:val="00855A78"/>
    <w:pPr>
      <w:pBdr>
        <w:left w:val="single" w:sz="8" w:space="0" w:color="auto"/>
      </w:pBdr>
      <w:spacing w:before="100" w:beforeAutospacing="1" w:after="100" w:afterAutospacing="1"/>
      <w:textAlignment w:val="top"/>
    </w:pPr>
    <w:rPr>
      <w:rFonts w:eastAsia="Arial Unicode MS" w:cs="Angsana New"/>
      <w:szCs w:val="22"/>
    </w:rPr>
  </w:style>
  <w:style w:type="paragraph" w:customStyle="1" w:styleId="xl35">
    <w:name w:val="xl35"/>
    <w:basedOn w:val="Normal"/>
    <w:rsid w:val="00855A78"/>
    <w:pPr>
      <w:pBdr>
        <w:left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6">
    <w:name w:val="xl36"/>
    <w:basedOn w:val="Normal"/>
    <w:rsid w:val="00855A78"/>
    <w:pPr>
      <w:pBdr>
        <w:left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37">
    <w:name w:val="xl37"/>
    <w:basedOn w:val="Normal"/>
    <w:rsid w:val="00855A78"/>
    <w:pPr>
      <w:pBdr>
        <w:left w:val="single" w:sz="8" w:space="0" w:color="auto"/>
        <w:bottom w:val="single" w:sz="4" w:space="0" w:color="auto"/>
      </w:pBdr>
      <w:spacing w:before="100" w:beforeAutospacing="1" w:after="100" w:afterAutospacing="1"/>
      <w:textAlignment w:val="top"/>
    </w:pPr>
    <w:rPr>
      <w:rFonts w:eastAsia="Arial Unicode MS" w:cs="Angsana New"/>
      <w:szCs w:val="22"/>
    </w:rPr>
  </w:style>
  <w:style w:type="paragraph" w:customStyle="1" w:styleId="xl38">
    <w:name w:val="xl38"/>
    <w:basedOn w:val="Normal"/>
    <w:rsid w:val="00855A78"/>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9">
    <w:name w:val="xl39"/>
    <w:basedOn w:val="Normal"/>
    <w:rsid w:val="00855A78"/>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40">
    <w:name w:val="xl40"/>
    <w:basedOn w:val="Normal"/>
    <w:rsid w:val="00855A78"/>
    <w:pPr>
      <w:spacing w:before="100" w:beforeAutospacing="1" w:after="100" w:afterAutospacing="1"/>
      <w:jc w:val="center"/>
      <w:textAlignment w:val="top"/>
    </w:pPr>
    <w:rPr>
      <w:rFonts w:eastAsia="Arial Unicode MS" w:cs="Angsana New"/>
      <w:szCs w:val="22"/>
    </w:rPr>
  </w:style>
  <w:style w:type="paragraph" w:customStyle="1" w:styleId="xl41">
    <w:name w:val="xl41"/>
    <w:basedOn w:val="Normal"/>
    <w:rsid w:val="00855A78"/>
    <w:pPr>
      <w:spacing w:before="100" w:beforeAutospacing="1" w:after="100" w:afterAutospacing="1"/>
      <w:textAlignment w:val="top"/>
    </w:pPr>
    <w:rPr>
      <w:rFonts w:eastAsia="Arial Unicode MS" w:cs="Angsana New"/>
      <w:szCs w:val="22"/>
    </w:rPr>
  </w:style>
  <w:style w:type="paragraph" w:customStyle="1" w:styleId="xl42">
    <w:name w:val="xl42"/>
    <w:basedOn w:val="Normal"/>
    <w:rsid w:val="00855A78"/>
    <w:pPr>
      <w:spacing w:before="100" w:beforeAutospacing="1" w:after="100" w:afterAutospacing="1"/>
      <w:jc w:val="center"/>
    </w:pPr>
    <w:rPr>
      <w:rFonts w:eastAsia="Arial Unicode MS" w:cs="Angsana New"/>
      <w:szCs w:val="22"/>
    </w:rPr>
  </w:style>
  <w:style w:type="paragraph" w:customStyle="1" w:styleId="xl43">
    <w:name w:val="xl43"/>
    <w:basedOn w:val="Normal"/>
    <w:rsid w:val="00855A78"/>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xl44">
    <w:name w:val="xl44"/>
    <w:basedOn w:val="Normal"/>
    <w:rsid w:val="00855A78"/>
    <w:pPr>
      <w:pBdr>
        <w:top w:val="single" w:sz="8" w:space="0" w:color="auto"/>
        <w:bottom w:val="single" w:sz="8" w:space="0" w:color="auto"/>
      </w:pBdr>
      <w:spacing w:before="100" w:beforeAutospacing="1" w:after="100" w:afterAutospacing="1"/>
      <w:jc w:val="center"/>
    </w:pPr>
    <w:rPr>
      <w:rFonts w:eastAsia="Arial Unicode MS" w:cs="Angsana New"/>
      <w:b/>
      <w:bCs/>
      <w:szCs w:val="22"/>
    </w:rPr>
  </w:style>
  <w:style w:type="paragraph" w:customStyle="1" w:styleId="xl45">
    <w:name w:val="xl45"/>
    <w:basedOn w:val="Normal"/>
    <w:rsid w:val="00855A78"/>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46">
    <w:name w:val="xl46"/>
    <w:basedOn w:val="Normal"/>
    <w:rsid w:val="00855A78"/>
    <w:pPr>
      <w:pBdr>
        <w:left w:val="single" w:sz="4" w:space="0" w:color="auto"/>
      </w:pBdr>
      <w:spacing w:before="100" w:beforeAutospacing="1" w:after="100" w:afterAutospacing="1"/>
    </w:pPr>
    <w:rPr>
      <w:rFonts w:eastAsia="Arial Unicode MS" w:cs="Angsana New"/>
      <w:szCs w:val="22"/>
    </w:rPr>
  </w:style>
  <w:style w:type="paragraph" w:customStyle="1" w:styleId="xl47">
    <w:name w:val="xl47"/>
    <w:basedOn w:val="Normal"/>
    <w:rsid w:val="00855A78"/>
    <w:pPr>
      <w:pBdr>
        <w:left w:val="single" w:sz="8" w:space="0" w:color="auto"/>
        <w:bottom w:val="single" w:sz="8" w:space="0" w:color="auto"/>
      </w:pBdr>
      <w:spacing w:before="100" w:beforeAutospacing="1" w:after="100" w:afterAutospacing="1"/>
    </w:pPr>
    <w:rPr>
      <w:rFonts w:eastAsia="Arial Unicode MS" w:cs="Angsana New"/>
      <w:szCs w:val="22"/>
    </w:rPr>
  </w:style>
  <w:style w:type="paragraph" w:customStyle="1" w:styleId="xl48">
    <w:name w:val="xl48"/>
    <w:basedOn w:val="Normal"/>
    <w:rsid w:val="00855A78"/>
    <w:pPr>
      <w:pBdr>
        <w:bottom w:val="single" w:sz="8" w:space="0" w:color="auto"/>
      </w:pBdr>
      <w:spacing w:before="100" w:beforeAutospacing="1" w:after="100" w:afterAutospacing="1"/>
      <w:jc w:val="center"/>
    </w:pPr>
    <w:rPr>
      <w:rFonts w:eastAsia="Arial Unicode MS" w:cs="Angsana New"/>
      <w:szCs w:val="22"/>
    </w:rPr>
  </w:style>
  <w:style w:type="paragraph" w:customStyle="1" w:styleId="xl49">
    <w:name w:val="xl49"/>
    <w:basedOn w:val="Normal"/>
    <w:rsid w:val="00855A78"/>
    <w:pPr>
      <w:pBdr>
        <w:left w:val="single" w:sz="4"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0">
    <w:name w:val="xl50"/>
    <w:basedOn w:val="Normal"/>
    <w:rsid w:val="00855A78"/>
    <w:pPr>
      <w:pBdr>
        <w:left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1">
    <w:name w:val="xl51"/>
    <w:basedOn w:val="Normal"/>
    <w:rsid w:val="00855A78"/>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2">
    <w:name w:val="xl52"/>
    <w:basedOn w:val="Normal"/>
    <w:rsid w:val="00855A78"/>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3">
    <w:name w:val="xl53"/>
    <w:basedOn w:val="Normal"/>
    <w:rsid w:val="00855A78"/>
    <w:pPr>
      <w:pBdr>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4">
    <w:name w:val="xl54"/>
    <w:basedOn w:val="Normal"/>
    <w:rsid w:val="00855A78"/>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5">
    <w:name w:val="xl55"/>
    <w:basedOn w:val="Normal"/>
    <w:rsid w:val="00855A78"/>
    <w:pPr>
      <w:pBdr>
        <w:top w:val="single" w:sz="8" w:space="0" w:color="auto"/>
      </w:pBdr>
      <w:spacing w:before="100" w:beforeAutospacing="1" w:after="100" w:afterAutospacing="1"/>
    </w:pPr>
    <w:rPr>
      <w:rFonts w:eastAsia="Arial Unicode MS" w:cs="Angsana New"/>
      <w:szCs w:val="22"/>
    </w:rPr>
  </w:style>
  <w:style w:type="paragraph" w:customStyle="1" w:styleId="xl56">
    <w:name w:val="xl56"/>
    <w:basedOn w:val="Normal"/>
    <w:rsid w:val="00855A78"/>
    <w:pPr>
      <w:spacing w:before="100" w:beforeAutospacing="1" w:after="100" w:afterAutospacing="1"/>
    </w:pPr>
    <w:rPr>
      <w:rFonts w:eastAsia="Arial Unicode MS" w:cs="Angsana New"/>
      <w:szCs w:val="22"/>
    </w:rPr>
  </w:style>
  <w:style w:type="paragraph" w:customStyle="1" w:styleId="xl57">
    <w:name w:val="xl57"/>
    <w:basedOn w:val="Normal"/>
    <w:rsid w:val="00855A78"/>
    <w:pPr>
      <w:pBdr>
        <w:bottom w:val="single" w:sz="8" w:space="0" w:color="auto"/>
      </w:pBdr>
      <w:spacing w:before="100" w:beforeAutospacing="1" w:after="100" w:afterAutospacing="1"/>
    </w:pPr>
    <w:rPr>
      <w:rFonts w:eastAsia="Arial Unicode MS" w:cs="Angsana New"/>
      <w:szCs w:val="22"/>
    </w:rPr>
  </w:style>
  <w:style w:type="paragraph" w:customStyle="1" w:styleId="xl58">
    <w:name w:val="xl58"/>
    <w:basedOn w:val="Normal"/>
    <w:rsid w:val="00855A78"/>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9">
    <w:name w:val="xl59"/>
    <w:basedOn w:val="Normal"/>
    <w:rsid w:val="00855A78"/>
    <w:pPr>
      <w:pBdr>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0">
    <w:name w:val="xl60"/>
    <w:basedOn w:val="Normal"/>
    <w:rsid w:val="00855A78"/>
    <w:pPr>
      <w:pBdr>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1">
    <w:name w:val="xl61"/>
    <w:basedOn w:val="Normal"/>
    <w:rsid w:val="00855A78"/>
    <w:pPr>
      <w:pBdr>
        <w:left w:val="single" w:sz="8" w:space="0" w:color="auto"/>
        <w:bottom w:val="single" w:sz="4" w:space="0" w:color="auto"/>
      </w:pBdr>
      <w:spacing w:before="100" w:beforeAutospacing="1" w:after="100" w:afterAutospacing="1"/>
    </w:pPr>
    <w:rPr>
      <w:rFonts w:eastAsia="Arial Unicode MS" w:cs="Angsana New"/>
      <w:szCs w:val="22"/>
    </w:rPr>
  </w:style>
  <w:style w:type="paragraph" w:customStyle="1" w:styleId="xl62">
    <w:name w:val="xl62"/>
    <w:basedOn w:val="Normal"/>
    <w:rsid w:val="00855A78"/>
    <w:pPr>
      <w:pBdr>
        <w:left w:val="single" w:sz="4" w:space="0" w:color="auto"/>
        <w:bottom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3">
    <w:name w:val="xl63"/>
    <w:basedOn w:val="Normal"/>
    <w:rsid w:val="00855A78"/>
    <w:pPr>
      <w:pBdr>
        <w:left w:val="single" w:sz="4"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4">
    <w:name w:val="xl64"/>
    <w:basedOn w:val="Normal"/>
    <w:rsid w:val="00855A78"/>
    <w:pPr>
      <w:pBdr>
        <w:left w:val="single" w:sz="4" w:space="0" w:color="auto"/>
      </w:pBdr>
      <w:spacing w:before="100" w:beforeAutospacing="1" w:after="100" w:afterAutospacing="1"/>
    </w:pPr>
    <w:rPr>
      <w:rFonts w:eastAsia="Arial Unicode MS" w:cs="Angsana New"/>
      <w:szCs w:val="22"/>
    </w:rPr>
  </w:style>
  <w:style w:type="paragraph" w:customStyle="1" w:styleId="xl65">
    <w:name w:val="xl65"/>
    <w:basedOn w:val="Normal"/>
    <w:rsid w:val="00855A78"/>
    <w:pPr>
      <w:pBdr>
        <w:top w:val="single" w:sz="4" w:space="0" w:color="auto"/>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6">
    <w:name w:val="xl66"/>
    <w:basedOn w:val="Normal"/>
    <w:rsid w:val="00855A78"/>
    <w:pPr>
      <w:pBdr>
        <w:left w:val="single" w:sz="4" w:space="0" w:color="auto"/>
        <w:bottom w:val="single" w:sz="8"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7">
    <w:name w:val="xl67"/>
    <w:basedOn w:val="Normal"/>
    <w:rsid w:val="00855A78"/>
    <w:pPr>
      <w:pBdr>
        <w:left w:val="single" w:sz="4" w:space="0" w:color="auto"/>
        <w:bottom w:val="single" w:sz="8" w:space="0" w:color="auto"/>
      </w:pBdr>
      <w:spacing w:before="100" w:beforeAutospacing="1" w:after="100" w:afterAutospacing="1"/>
    </w:pPr>
    <w:rPr>
      <w:rFonts w:eastAsia="Arial Unicode MS" w:cs="Angsana New"/>
      <w:szCs w:val="22"/>
    </w:rPr>
  </w:style>
  <w:style w:type="paragraph" w:customStyle="1" w:styleId="xl68">
    <w:name w:val="xl68"/>
    <w:basedOn w:val="Normal"/>
    <w:rsid w:val="00855A7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Texte">
    <w:name w:val="Texte"/>
    <w:basedOn w:val="Normal"/>
    <w:rsid w:val="00855A78"/>
    <w:pPr>
      <w:widowControl w:val="0"/>
      <w:tabs>
        <w:tab w:val="left" w:pos="720"/>
      </w:tabs>
      <w:spacing w:before="120" w:after="120"/>
    </w:pPr>
    <w:rPr>
      <w:rFonts w:eastAsia="MS Mincho" w:cs="Angsana New"/>
    </w:rPr>
  </w:style>
  <w:style w:type="paragraph" w:styleId="NormalWeb">
    <w:name w:val="Normal (Web)"/>
    <w:basedOn w:val="Normal"/>
    <w:uiPriority w:val="99"/>
    <w:rsid w:val="00855A78"/>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xl22">
    <w:name w:val="xl22"/>
    <w:basedOn w:val="Normal"/>
    <w:rsid w:val="00855A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855A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855A78"/>
    <w:pPr>
      <w:spacing w:before="100" w:beforeAutospacing="1" w:after="100" w:afterAutospacing="1" w:line="260" w:lineRule="atLeast"/>
    </w:pPr>
    <w:rPr>
      <w:rFonts w:ascii="Arial Unicode MS" w:eastAsia="Arial Unicode MS" w:hAnsi="Arial Unicode MS" w:cs="Arial Unicode MS"/>
      <w:sz w:val="18"/>
      <w:szCs w:val="18"/>
    </w:rPr>
  </w:style>
  <w:style w:type="character" w:styleId="Strong">
    <w:name w:val="Strong"/>
    <w:uiPriority w:val="22"/>
    <w:qFormat/>
    <w:rsid w:val="00855A78"/>
    <w:rPr>
      <w:b/>
      <w:bCs/>
    </w:rPr>
  </w:style>
  <w:style w:type="paragraph" w:customStyle="1" w:styleId="Para10">
    <w:name w:val="Para 1"/>
    <w:basedOn w:val="BodyText"/>
    <w:rsid w:val="00855A78"/>
    <w:pPr>
      <w:ind w:firstLine="0"/>
    </w:pPr>
    <w:rPr>
      <w:rFonts w:eastAsia="MS Mincho" w:cs="Angsana New"/>
      <w:bCs/>
      <w:iCs w:val="0"/>
      <w:szCs w:val="22"/>
    </w:rPr>
  </w:style>
  <w:style w:type="paragraph" w:customStyle="1" w:styleId="Style1">
    <w:name w:val="Style1"/>
    <w:basedOn w:val="Para10"/>
    <w:rsid w:val="00855A78"/>
    <w:pPr>
      <w:numPr>
        <w:ilvl w:val="1"/>
        <w:numId w:val="20"/>
      </w:numPr>
      <w:tabs>
        <w:tab w:val="clear" w:pos="1800"/>
        <w:tab w:val="num" w:pos="360"/>
      </w:tabs>
    </w:pPr>
  </w:style>
  <w:style w:type="paragraph" w:customStyle="1" w:styleId="aident">
    <w:name w:val="(a) ident"/>
    <w:basedOn w:val="Normal"/>
    <w:rsid w:val="00855A78"/>
    <w:pPr>
      <w:tabs>
        <w:tab w:val="num" w:pos="1077"/>
      </w:tabs>
      <w:autoSpaceDE w:val="0"/>
      <w:autoSpaceDN w:val="0"/>
      <w:spacing w:before="120" w:after="120"/>
      <w:ind w:left="1077" w:hanging="357"/>
    </w:pPr>
    <w:rPr>
      <w:rFonts w:eastAsia="MS Mincho" w:cs="Angsana New"/>
      <w:snapToGrid w:val="0"/>
      <w:szCs w:val="18"/>
    </w:rPr>
  </w:style>
  <w:style w:type="paragraph" w:customStyle="1" w:styleId="Paranum">
    <w:name w:val="Paranum"/>
    <w:basedOn w:val="Para1"/>
    <w:rsid w:val="00855A78"/>
    <w:pPr>
      <w:numPr>
        <w:numId w:val="25"/>
      </w:numPr>
      <w:spacing w:before="0" w:line="240" w:lineRule="exact"/>
    </w:pPr>
    <w:rPr>
      <w:rFonts w:eastAsia="MS Mincho" w:cs="Angsana New"/>
      <w:snapToGrid/>
      <w:szCs w:val="20"/>
      <w:lang w:val="en-US"/>
    </w:rPr>
  </w:style>
  <w:style w:type="paragraph" w:customStyle="1" w:styleId="Document1">
    <w:name w:val="Document 1"/>
    <w:basedOn w:val="Normal"/>
    <w:next w:val="Normal"/>
    <w:rsid w:val="00855A78"/>
    <w:pPr>
      <w:suppressAutoHyphens/>
      <w:overflowPunct w:val="0"/>
      <w:autoSpaceDE w:val="0"/>
      <w:autoSpaceDN w:val="0"/>
      <w:adjustRightInd w:val="0"/>
      <w:spacing w:after="120" w:line="240" w:lineRule="exact"/>
      <w:textAlignment w:val="baseline"/>
    </w:pPr>
    <w:rPr>
      <w:rFonts w:ascii="Courier" w:eastAsia="MS Mincho" w:hAnsi="Courier" w:cs="Angsana New"/>
      <w:sz w:val="20"/>
    </w:rPr>
  </w:style>
  <w:style w:type="paragraph" w:customStyle="1" w:styleId="Head2">
    <w:name w:val="Head2"/>
    <w:basedOn w:val="Normal"/>
    <w:rsid w:val="00855A78"/>
    <w:pPr>
      <w:keepNext/>
      <w:overflowPunct w:val="0"/>
      <w:autoSpaceDE w:val="0"/>
      <w:autoSpaceDN w:val="0"/>
      <w:adjustRightInd w:val="0"/>
      <w:spacing w:line="240" w:lineRule="exact"/>
      <w:jc w:val="center"/>
      <w:textAlignment w:val="baseline"/>
    </w:pPr>
    <w:rPr>
      <w:rFonts w:ascii="Courier" w:eastAsia="MS Mincho" w:hAnsi="Courier" w:cs="Angsana New"/>
      <w:sz w:val="20"/>
    </w:rPr>
  </w:style>
  <w:style w:type="paragraph" w:customStyle="1" w:styleId="Masthead">
    <w:name w:val="Masthead"/>
    <w:basedOn w:val="Normal"/>
    <w:next w:val="Normal"/>
    <w:rsid w:val="00855A78"/>
    <w:pPr>
      <w:overflowPunct w:val="0"/>
      <w:autoSpaceDE w:val="0"/>
      <w:autoSpaceDN w:val="0"/>
      <w:adjustRightInd w:val="0"/>
      <w:textAlignment w:val="baseline"/>
    </w:pPr>
    <w:rPr>
      <w:rFonts w:ascii="Courier" w:eastAsia="MS Mincho" w:hAnsi="Courier" w:cs="Angsana New"/>
      <w:sz w:val="20"/>
    </w:rPr>
  </w:style>
  <w:style w:type="paragraph" w:customStyle="1" w:styleId="para1indent">
    <w:name w:val="para1indent"/>
    <w:basedOn w:val="Para1"/>
    <w:rsid w:val="00855A78"/>
    <w:pPr>
      <w:numPr>
        <w:numId w:val="0"/>
      </w:numPr>
      <w:tabs>
        <w:tab w:val="left" w:pos="360"/>
      </w:tabs>
      <w:overflowPunct w:val="0"/>
      <w:autoSpaceDE w:val="0"/>
      <w:autoSpaceDN w:val="0"/>
      <w:adjustRightInd w:val="0"/>
      <w:spacing w:before="0"/>
      <w:textAlignment w:val="baseline"/>
    </w:pPr>
    <w:rPr>
      <w:rFonts w:ascii="Courier" w:eastAsia="MS Mincho" w:hAnsi="Courier" w:cs="Angsana New"/>
      <w:sz w:val="20"/>
      <w:szCs w:val="20"/>
      <w:lang w:val="en-US"/>
    </w:rPr>
  </w:style>
  <w:style w:type="paragraph" w:customStyle="1" w:styleId="Paranumbered">
    <w:name w:val="Paranumbered"/>
    <w:basedOn w:val="Normal"/>
    <w:rsid w:val="00855A78"/>
    <w:pPr>
      <w:tabs>
        <w:tab w:val="left" w:pos="720"/>
      </w:tabs>
      <w:overflowPunct w:val="0"/>
      <w:autoSpaceDE w:val="0"/>
      <w:autoSpaceDN w:val="0"/>
      <w:adjustRightInd w:val="0"/>
      <w:spacing w:before="120" w:after="120" w:line="240" w:lineRule="exact"/>
      <w:textAlignment w:val="baseline"/>
    </w:pPr>
    <w:rPr>
      <w:rFonts w:ascii="Courier" w:eastAsia="MS Mincho" w:hAnsi="Courier" w:cs="Angsana New"/>
      <w:sz w:val="20"/>
    </w:rPr>
  </w:style>
  <w:style w:type="paragraph" w:customStyle="1" w:styleId="p3">
    <w:name w:val="p3"/>
    <w:basedOn w:val="Normal"/>
    <w:rsid w:val="00855A78"/>
    <w:pPr>
      <w:widowControl w:val="0"/>
      <w:tabs>
        <w:tab w:val="left" w:pos="204"/>
      </w:tabs>
      <w:autoSpaceDE w:val="0"/>
      <w:autoSpaceDN w:val="0"/>
      <w:adjustRightInd w:val="0"/>
      <w:spacing w:line="260" w:lineRule="atLeast"/>
    </w:pPr>
    <w:rPr>
      <w:rFonts w:eastAsia="MS Mincho" w:cs="Angsana New"/>
      <w:sz w:val="20"/>
    </w:rPr>
  </w:style>
  <w:style w:type="paragraph" w:styleId="HTMLPreformatted">
    <w:name w:val="HTML Preformatted"/>
    <w:basedOn w:val="Normal"/>
    <w:link w:val="HTMLPreformattedChar"/>
    <w:rsid w:val="00855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rsid w:val="00855A78"/>
    <w:rPr>
      <w:rFonts w:ascii="Courier New" w:eastAsia="MS Mincho" w:hAnsi="Courier New" w:cs="Courier New"/>
      <w:sz w:val="20"/>
      <w:lang w:val="en-GB"/>
    </w:rPr>
  </w:style>
  <w:style w:type="paragraph" w:customStyle="1" w:styleId="Para1alternative">
    <w:name w:val="Para1 (alternative)"/>
    <w:basedOn w:val="Normal"/>
    <w:rsid w:val="00855A78"/>
    <w:pPr>
      <w:numPr>
        <w:numId w:val="21"/>
      </w:numPr>
      <w:spacing w:before="120" w:after="120"/>
    </w:pPr>
    <w:rPr>
      <w:rFonts w:eastAsia="MS Mincho" w:cs="Angsana New"/>
      <w:snapToGrid w:val="0"/>
      <w:szCs w:val="18"/>
    </w:rPr>
  </w:style>
  <w:style w:type="paragraph" w:customStyle="1" w:styleId="MainParanoChapter">
    <w:name w:val="Main Para no Chapter #"/>
    <w:basedOn w:val="Normal"/>
    <w:rsid w:val="00855A78"/>
    <w:pPr>
      <w:tabs>
        <w:tab w:val="left" w:pos="810"/>
      </w:tabs>
      <w:overflowPunct w:val="0"/>
      <w:autoSpaceDE w:val="0"/>
      <w:autoSpaceDN w:val="0"/>
      <w:adjustRightInd w:val="0"/>
      <w:spacing w:after="240"/>
      <w:textAlignment w:val="baseline"/>
    </w:pPr>
    <w:rPr>
      <w:rFonts w:eastAsia="MS Mincho" w:cs="Angsana New"/>
    </w:rPr>
  </w:style>
  <w:style w:type="character" w:customStyle="1" w:styleId="content1">
    <w:name w:val="content1"/>
    <w:rsid w:val="00855A78"/>
    <w:rPr>
      <w:rFonts w:ascii="Arial" w:hAnsi="Arial" w:cs="Arial" w:hint="default"/>
      <w:b w:val="0"/>
      <w:bCs w:val="0"/>
      <w:color w:val="000000"/>
      <w:sz w:val="24"/>
      <w:szCs w:val="24"/>
    </w:rPr>
  </w:style>
  <w:style w:type="character" w:customStyle="1" w:styleId="BodyText2CharCharChar">
    <w:name w:val="Body Text 2 Char Char Char"/>
    <w:rsid w:val="00855A78"/>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855A78"/>
    <w:rPr>
      <w:sz w:val="22"/>
      <w:lang w:val="en-US" w:eastAsia="en-US" w:bidi="ar-SA"/>
    </w:rPr>
  </w:style>
  <w:style w:type="paragraph" w:customStyle="1" w:styleId="StylePara1Firstline127cm">
    <w:name w:val="Style Para1 + First line:  1.27 cm"/>
    <w:basedOn w:val="Para1"/>
    <w:rsid w:val="00855A78"/>
    <w:pPr>
      <w:numPr>
        <w:numId w:val="0"/>
      </w:numPr>
      <w:tabs>
        <w:tab w:val="num" w:pos="360"/>
      </w:tabs>
      <w:spacing w:before="0"/>
    </w:pPr>
    <w:rPr>
      <w:rFonts w:eastAsia="MS Mincho" w:cs="Angsana New"/>
      <w:szCs w:val="20"/>
    </w:rPr>
  </w:style>
  <w:style w:type="paragraph" w:customStyle="1" w:styleId="subhead">
    <w:name w:val="subhead"/>
    <w:basedOn w:val="Normal"/>
    <w:next w:val="Para1"/>
    <w:rsid w:val="00855A78"/>
    <w:pPr>
      <w:spacing w:before="120" w:after="120"/>
      <w:jc w:val="center"/>
    </w:pPr>
    <w:rPr>
      <w:rFonts w:eastAsia="MS Mincho" w:cs="Angsana New"/>
      <w:i/>
    </w:rPr>
  </w:style>
  <w:style w:type="character" w:styleId="Emphasis">
    <w:name w:val="Emphasis"/>
    <w:uiPriority w:val="20"/>
    <w:qFormat/>
    <w:rsid w:val="00855A78"/>
    <w:rPr>
      <w:i/>
      <w:iCs/>
    </w:rPr>
  </w:style>
  <w:style w:type="character" w:customStyle="1" w:styleId="BlockTextChar">
    <w:name w:val="Block Text Char"/>
    <w:rsid w:val="00855A78"/>
    <w:rPr>
      <w:sz w:val="24"/>
      <w:szCs w:val="24"/>
      <w:lang w:val="en-US" w:eastAsia="en-US" w:bidi="ar-SA"/>
    </w:rPr>
  </w:style>
  <w:style w:type="paragraph" w:customStyle="1" w:styleId="bodytext210">
    <w:name w:val="bodytext21"/>
    <w:basedOn w:val="Normal"/>
    <w:rsid w:val="00855A78"/>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855A78"/>
    <w:rPr>
      <w:sz w:val="22"/>
      <w:lang w:val="en-US" w:eastAsia="en-US" w:bidi="ar-SA"/>
    </w:rPr>
  </w:style>
  <w:style w:type="paragraph" w:styleId="CommentSubject">
    <w:name w:val="annotation subject"/>
    <w:basedOn w:val="CommentText"/>
    <w:next w:val="CommentText"/>
    <w:link w:val="CommentSubjectChar"/>
    <w:semiHidden/>
    <w:rsid w:val="00855A78"/>
    <w:pPr>
      <w:spacing w:after="0" w:line="240" w:lineRule="auto"/>
    </w:pPr>
    <w:rPr>
      <w:rFonts w:eastAsia="MS Mincho" w:cs="Angsana New"/>
      <w:b/>
      <w:bCs/>
      <w:sz w:val="20"/>
    </w:rPr>
  </w:style>
  <w:style w:type="character" w:customStyle="1" w:styleId="CommentSubjectChar">
    <w:name w:val="Comment Subject Char"/>
    <w:basedOn w:val="CommentTextChar"/>
    <w:link w:val="CommentSubject"/>
    <w:semiHidden/>
    <w:rsid w:val="00855A78"/>
    <w:rPr>
      <w:rFonts w:ascii="Times New Roman" w:eastAsia="MS Mincho" w:hAnsi="Times New Roman" w:cs="Angsana New"/>
      <w:b/>
      <w:bCs/>
      <w:sz w:val="20"/>
      <w:lang w:val="en-GB"/>
    </w:rPr>
  </w:style>
  <w:style w:type="character" w:customStyle="1" w:styleId="MathieuRgnier">
    <w:name w:val="Mathieu Régnier"/>
    <w:semiHidden/>
    <w:rsid w:val="00855A78"/>
    <w:rPr>
      <w:rFonts w:ascii="Arial" w:hAnsi="Arial" w:cs="Arial"/>
      <w:color w:val="auto"/>
      <w:sz w:val="20"/>
      <w:szCs w:val="20"/>
    </w:rPr>
  </w:style>
  <w:style w:type="paragraph" w:customStyle="1" w:styleId="bodytextnoindent">
    <w:name w:val="body text (no indent)"/>
    <w:basedOn w:val="Normal"/>
    <w:rsid w:val="00855A78"/>
    <w:pPr>
      <w:widowControl w:val="0"/>
      <w:overflowPunct w:val="0"/>
      <w:autoSpaceDE w:val="0"/>
      <w:autoSpaceDN w:val="0"/>
      <w:adjustRightInd w:val="0"/>
      <w:spacing w:before="120" w:after="120"/>
      <w:textAlignment w:val="baseline"/>
    </w:pPr>
    <w:rPr>
      <w:rFonts w:eastAsia="MS Mincho" w:cs="Angsana New"/>
      <w:szCs w:val="20"/>
      <w:lang w:eastAsia="de-DE"/>
    </w:rPr>
  </w:style>
  <w:style w:type="paragraph" w:customStyle="1" w:styleId="Bodytextitalic">
    <w:name w:val="Body text italic"/>
    <w:basedOn w:val="BodyText"/>
    <w:rsid w:val="00855A78"/>
    <w:rPr>
      <w:rFonts w:eastAsia="MS Mincho" w:cs="Angsana New"/>
      <w:i/>
      <w:iCs w:val="0"/>
    </w:rPr>
  </w:style>
  <w:style w:type="paragraph" w:customStyle="1" w:styleId="boxbody">
    <w:name w:val="boxbody"/>
    <w:basedOn w:val="Normal"/>
    <w:rsid w:val="00855A78"/>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855A78"/>
    <w:pPr>
      <w:tabs>
        <w:tab w:val="clear" w:pos="720"/>
        <w:tab w:val="left" w:pos="900"/>
      </w:tabs>
    </w:pPr>
    <w:rPr>
      <w:rFonts w:eastAsia="Batang"/>
      <w:b w:val="0"/>
      <w:bCs w:val="0"/>
      <w:szCs w:val="20"/>
    </w:rPr>
  </w:style>
  <w:style w:type="paragraph" w:customStyle="1" w:styleId="Heading2noletter">
    <w:name w:val="Heading 2 (no letter)"/>
    <w:basedOn w:val="Heading2"/>
    <w:rsid w:val="00855A78"/>
    <w:pPr>
      <w:tabs>
        <w:tab w:val="clear" w:pos="720"/>
      </w:tabs>
    </w:pPr>
    <w:rPr>
      <w:rFonts w:eastAsia="MS Mincho"/>
    </w:rPr>
  </w:style>
  <w:style w:type="character" w:customStyle="1" w:styleId="Heading2CharChar">
    <w:name w:val="Heading 2 Char Char"/>
    <w:rsid w:val="00855A78"/>
    <w:rPr>
      <w:rFonts w:ascii="Arial" w:hAnsi="Arial" w:cs="Arial"/>
      <w:b/>
      <w:bCs/>
      <w:i/>
      <w:iCs/>
      <w:noProof w:val="0"/>
      <w:sz w:val="28"/>
      <w:szCs w:val="28"/>
      <w:lang w:val="en-US" w:eastAsia="en-US" w:bidi="ar-SA"/>
    </w:rPr>
  </w:style>
  <w:style w:type="paragraph" w:customStyle="1" w:styleId="Heading-plain0">
    <w:name w:val="Heading-plain"/>
    <w:basedOn w:val="Normal"/>
    <w:rsid w:val="00855A78"/>
    <w:pPr>
      <w:spacing w:before="120" w:after="120"/>
      <w:jc w:val="center"/>
      <w:outlineLvl w:val="0"/>
    </w:pPr>
    <w:rPr>
      <w:rFonts w:eastAsia="MS Mincho" w:cs="Angsana New"/>
      <w:i/>
      <w:szCs w:val="20"/>
    </w:rPr>
  </w:style>
  <w:style w:type="paragraph" w:customStyle="1" w:styleId="Heading-plainbold">
    <w:name w:val="Heading-plain bold"/>
    <w:basedOn w:val="BodyText"/>
    <w:rsid w:val="00855A78"/>
    <w:pPr>
      <w:ind w:firstLine="0"/>
      <w:jc w:val="center"/>
    </w:pPr>
    <w:rPr>
      <w:rFonts w:eastAsia="MS Mincho" w:cs="Angsana New"/>
      <w:b/>
      <w:bCs/>
      <w:i/>
      <w:iCs w:val="0"/>
    </w:rPr>
  </w:style>
  <w:style w:type="paragraph" w:customStyle="1" w:styleId="Heading-plainitalic">
    <w:name w:val="Heading-plain italic"/>
    <w:basedOn w:val="Heading-plainbold"/>
    <w:rsid w:val="00855A78"/>
    <w:rPr>
      <w:b w:val="0"/>
      <w:bCs w:val="0"/>
    </w:rPr>
  </w:style>
  <w:style w:type="character" w:customStyle="1" w:styleId="Para1Char0">
    <w:name w:val="Para 1 Char"/>
    <w:rsid w:val="00855A78"/>
    <w:rPr>
      <w:rFonts w:eastAsia="MS Mincho"/>
      <w:bCs/>
      <w:iCs/>
      <w:sz w:val="22"/>
      <w:szCs w:val="22"/>
      <w:lang w:val="en-GB" w:eastAsia="en-US" w:bidi="ar-SA"/>
    </w:rPr>
  </w:style>
  <w:style w:type="paragraph" w:customStyle="1" w:styleId="Para2rev">
    <w:name w:val="Para 2 (rev)"/>
    <w:basedOn w:val="Normal"/>
    <w:rsid w:val="00855A78"/>
    <w:pPr>
      <w:tabs>
        <w:tab w:val="num" w:pos="720"/>
      </w:tabs>
      <w:spacing w:after="120"/>
      <w:ind w:left="720" w:hanging="360"/>
    </w:pPr>
    <w:rPr>
      <w:rFonts w:eastAsia="MS Mincho" w:cs="Angsana New"/>
    </w:rPr>
  </w:style>
  <w:style w:type="paragraph" w:customStyle="1" w:styleId="Paraofficial">
    <w:name w:val="Para official"/>
    <w:basedOn w:val="Normal"/>
    <w:rsid w:val="00855A78"/>
    <w:pPr>
      <w:framePr w:hSpace="187" w:vSpace="187" w:wrap="notBeside" w:vAnchor="text" w:hAnchor="text" w:y="1"/>
      <w:numPr>
        <w:numId w:val="22"/>
      </w:numPr>
      <w:spacing w:before="240" w:after="240"/>
      <w:jc w:val="left"/>
    </w:pPr>
    <w:rPr>
      <w:rFonts w:eastAsia="MS Mincho" w:cs="Angsana New"/>
      <w:szCs w:val="20"/>
    </w:rPr>
  </w:style>
  <w:style w:type="paragraph" w:customStyle="1" w:styleId="Para1-Annex">
    <w:name w:val="Para1-Annex"/>
    <w:basedOn w:val="Normal"/>
    <w:rsid w:val="00855A78"/>
    <w:pPr>
      <w:numPr>
        <w:numId w:val="23"/>
      </w:numPr>
      <w:spacing w:after="120"/>
    </w:pPr>
    <w:rPr>
      <w:rFonts w:eastAsia="MS Mincho"/>
      <w:szCs w:val="22"/>
      <w:lang w:val="en-US"/>
    </w:rPr>
  </w:style>
  <w:style w:type="paragraph" w:customStyle="1" w:styleId="Para40">
    <w:name w:val="Para4"/>
    <w:basedOn w:val="Para3"/>
    <w:rsid w:val="00855A78"/>
    <w:pPr>
      <w:numPr>
        <w:ilvl w:val="0"/>
        <w:numId w:val="0"/>
      </w:numPr>
      <w:tabs>
        <w:tab w:val="clear" w:pos="1980"/>
        <w:tab w:val="left" w:pos="2552"/>
        <w:tab w:val="num" w:pos="3540"/>
      </w:tabs>
      <w:ind w:left="2552" w:hanging="567"/>
    </w:pPr>
    <w:rPr>
      <w:rFonts w:eastAsia="MS Mincho" w:cs="Angsana New"/>
      <w:lang w:val="en-US"/>
    </w:rPr>
  </w:style>
  <w:style w:type="paragraph" w:customStyle="1" w:styleId="StyleBodyTextTimesNewRoman11ptCharChar">
    <w:name w:val="Style Body Text + Times New Roman 11 pt Char Char"/>
    <w:basedOn w:val="BodyText"/>
    <w:rsid w:val="00855A78"/>
    <w:rPr>
      <w:rFonts w:eastAsia="MS Mincho" w:cs="Angsana New"/>
      <w:iCs w:val="0"/>
      <w:snapToGrid w:val="0"/>
      <w:color w:val="000000"/>
      <w:szCs w:val="22"/>
      <w:lang w:val="en-US"/>
    </w:rPr>
  </w:style>
  <w:style w:type="character" w:customStyle="1" w:styleId="StyleBodyTextTimesNewRoman11ptCharCharChar">
    <w:name w:val="Style Body Text + Times New Roman 11 pt Char Char Char"/>
    <w:rsid w:val="00855A78"/>
    <w:rPr>
      <w:rFonts w:cs="Angsana New"/>
      <w:iCs/>
      <w:snapToGrid w:val="0"/>
      <w:color w:val="000000"/>
      <w:sz w:val="22"/>
      <w:szCs w:val="22"/>
      <w:lang w:val="en-US" w:eastAsia="en-US" w:bidi="ar-SA"/>
    </w:rPr>
  </w:style>
  <w:style w:type="numbering" w:styleId="111111">
    <w:name w:val="Outline List 2"/>
    <w:basedOn w:val="NoList"/>
    <w:rsid w:val="00855A78"/>
    <w:pPr>
      <w:numPr>
        <w:numId w:val="26"/>
      </w:numPr>
    </w:pPr>
  </w:style>
  <w:style w:type="numbering" w:customStyle="1" w:styleId="Style2">
    <w:name w:val="Style2"/>
    <w:rsid w:val="00855A78"/>
    <w:pPr>
      <w:numPr>
        <w:numId w:val="27"/>
      </w:numPr>
    </w:pPr>
  </w:style>
  <w:style w:type="character" w:customStyle="1" w:styleId="Heading1longmultilineChar">
    <w:name w:val="Heading 1 (long multiline) Char"/>
    <w:link w:val="Heading1longmultiline"/>
    <w:rsid w:val="00855A78"/>
    <w:rPr>
      <w:rFonts w:ascii="Times New Roman" w:eastAsia="Times New Roman" w:hAnsi="Times New Roman" w:cs="Times New Roman"/>
      <w:b/>
      <w:caps/>
      <w:sz w:val="22"/>
      <w:lang w:val="en-GB"/>
    </w:rPr>
  </w:style>
  <w:style w:type="paragraph" w:customStyle="1" w:styleId="ColorfulList-Accent11">
    <w:name w:val="Colorful List - Accent 11"/>
    <w:basedOn w:val="Normal"/>
    <w:uiPriority w:val="34"/>
    <w:qFormat/>
    <w:rsid w:val="00855A78"/>
    <w:pPr>
      <w:ind w:left="720"/>
    </w:pPr>
    <w:rPr>
      <w:rFonts w:eastAsia="MS Mincho" w:cs="Angsana New"/>
    </w:rPr>
  </w:style>
  <w:style w:type="paragraph" w:customStyle="1" w:styleId="Default">
    <w:name w:val="Default"/>
    <w:basedOn w:val="Normal"/>
    <w:rsid w:val="00855A78"/>
    <w:pPr>
      <w:autoSpaceDE w:val="0"/>
      <w:autoSpaceDN w:val="0"/>
      <w:jc w:val="left"/>
    </w:pPr>
    <w:rPr>
      <w:rFonts w:eastAsia="Calibri"/>
      <w:color w:val="000000"/>
      <w:sz w:val="24"/>
      <w:lang w:val="en-US"/>
    </w:rPr>
  </w:style>
  <w:style w:type="character" w:customStyle="1" w:styleId="apple-style-span">
    <w:name w:val="apple-style-span"/>
    <w:rsid w:val="00855A78"/>
  </w:style>
  <w:style w:type="paragraph" w:customStyle="1" w:styleId="SubtleEmphasis1">
    <w:name w:val="Subtle Emphasis1"/>
    <w:basedOn w:val="Normal"/>
    <w:uiPriority w:val="34"/>
    <w:qFormat/>
    <w:rsid w:val="00855A78"/>
    <w:pPr>
      <w:ind w:left="720"/>
    </w:pPr>
    <w:rPr>
      <w:rFonts w:eastAsia="MS Mincho" w:cs="Angsana New"/>
    </w:rPr>
  </w:style>
  <w:style w:type="paragraph" w:customStyle="1" w:styleId="StyleHeading3TimesNewRomanBoldBoldNotItalicAllcaps">
    <w:name w:val="Style Heading 3 + Times New Roman Bold Bold Not Italic All caps"/>
    <w:basedOn w:val="Heading3"/>
    <w:next w:val="Heading2"/>
    <w:rsid w:val="00855A78"/>
    <w:rPr>
      <w:rFonts w:ascii="Times New Roman Bold" w:eastAsia="MS Mincho" w:hAnsi="Times New Roman Bold"/>
      <w:b/>
      <w:bCs/>
      <w:i w:val="0"/>
      <w:iCs w:val="0"/>
      <w:caps/>
    </w:rPr>
  </w:style>
  <w:style w:type="paragraph" w:customStyle="1" w:styleId="LightList-Accent61">
    <w:name w:val="Light List - Accent 61"/>
    <w:uiPriority w:val="1"/>
    <w:qFormat/>
    <w:rsid w:val="00855A78"/>
    <w:rPr>
      <w:rFonts w:ascii="Calibri" w:eastAsia="MS Mincho" w:hAnsi="Calibri" w:cs="Times New Roman"/>
      <w:sz w:val="22"/>
      <w:szCs w:val="22"/>
      <w:lang w:val="en-US"/>
    </w:rPr>
  </w:style>
  <w:style w:type="paragraph" w:customStyle="1" w:styleId="Paraa">
    <w:name w:val="Para (a)"/>
    <w:basedOn w:val="Normal"/>
    <w:rsid w:val="00855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character" w:customStyle="1" w:styleId="StyleFootnoteReferenceNounderlineSuperscriptKernat10pt">
    <w:name w:val="Style Footnote Reference + No underline Superscript Kern at 10 pt"/>
    <w:rsid w:val="00855A78"/>
    <w:rPr>
      <w:kern w:val="20"/>
      <w:sz w:val="22"/>
      <w:u w:val="none"/>
      <w:vertAlign w:val="superscript"/>
    </w:rPr>
  </w:style>
  <w:style w:type="character" w:customStyle="1" w:styleId="s13">
    <w:name w:val="s13"/>
    <w:rsid w:val="00855A78"/>
  </w:style>
  <w:style w:type="paragraph" w:customStyle="1" w:styleId="ColorfulGrid-Accent61">
    <w:name w:val="Colorful Grid - Accent 61"/>
    <w:hidden/>
    <w:uiPriority w:val="99"/>
    <w:semiHidden/>
    <w:rsid w:val="00855A78"/>
    <w:rPr>
      <w:rFonts w:ascii="Times New Roman" w:eastAsia="MS Mincho" w:hAnsi="Times New Roman" w:cs="Angsana New"/>
      <w:sz w:val="22"/>
      <w:lang w:val="en-GB"/>
    </w:rPr>
  </w:style>
  <w:style w:type="paragraph" w:customStyle="1" w:styleId="MediumShading2-Accent61">
    <w:name w:val="Medium Shading 2 - Accent 61"/>
    <w:hidden/>
    <w:uiPriority w:val="99"/>
    <w:semiHidden/>
    <w:rsid w:val="00855A78"/>
    <w:rPr>
      <w:rFonts w:ascii="Times New Roman" w:eastAsia="MS Mincho" w:hAnsi="Times New Roman" w:cs="Angsana New"/>
      <w:sz w:val="22"/>
      <w:lang w:val="en-GB"/>
    </w:rPr>
  </w:style>
  <w:style w:type="paragraph" w:customStyle="1" w:styleId="MediumList1-Accent61">
    <w:name w:val="Medium List 1 - Accent 61"/>
    <w:basedOn w:val="Normal"/>
    <w:uiPriority w:val="34"/>
    <w:qFormat/>
    <w:rsid w:val="00855A78"/>
    <w:pPr>
      <w:ind w:left="720"/>
    </w:pPr>
    <w:rPr>
      <w:rFonts w:eastAsia="MS Mincho" w:cs="Angsana New"/>
    </w:rPr>
  </w:style>
  <w:style w:type="paragraph" w:customStyle="1" w:styleId="MediumGrid1-Accent21">
    <w:name w:val="Medium Grid 1 - Accent 21"/>
    <w:basedOn w:val="Normal"/>
    <w:uiPriority w:val="34"/>
    <w:qFormat/>
    <w:rsid w:val="00855A78"/>
    <w:pPr>
      <w:ind w:left="720"/>
    </w:pPr>
    <w:rPr>
      <w:rFonts w:eastAsia="MS Mincho" w:cs="Angsana New"/>
    </w:rPr>
  </w:style>
  <w:style w:type="paragraph" w:styleId="Revision">
    <w:name w:val="Revision"/>
    <w:hidden/>
    <w:uiPriority w:val="99"/>
    <w:semiHidden/>
    <w:rsid w:val="00855A78"/>
    <w:rPr>
      <w:rFonts w:ascii="Times New Roman" w:eastAsia="MS Mincho" w:hAnsi="Times New Roman" w:cs="Angsana New"/>
      <w:sz w:val="22"/>
      <w:lang w:val="en-GB"/>
    </w:rPr>
  </w:style>
  <w:style w:type="character" w:customStyle="1" w:styleId="UnresolvedMention1">
    <w:name w:val="Unresolved Mention1"/>
    <w:basedOn w:val="DefaultParagraphFont"/>
    <w:uiPriority w:val="99"/>
    <w:semiHidden/>
    <w:unhideWhenUsed/>
    <w:rsid w:val="004A1AC3"/>
    <w:rPr>
      <w:color w:val="808080"/>
      <w:shd w:val="clear" w:color="auto" w:fill="E6E6E6"/>
    </w:rPr>
  </w:style>
  <w:style w:type="character" w:customStyle="1" w:styleId="preferred">
    <w:name w:val="preferred"/>
    <w:basedOn w:val="DefaultParagraphFont"/>
    <w:rsid w:val="00533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8043">
      <w:bodyDiv w:val="1"/>
      <w:marLeft w:val="0"/>
      <w:marRight w:val="0"/>
      <w:marTop w:val="0"/>
      <w:marBottom w:val="0"/>
      <w:divBdr>
        <w:top w:val="none" w:sz="0" w:space="0" w:color="auto"/>
        <w:left w:val="none" w:sz="0" w:space="0" w:color="auto"/>
        <w:bottom w:val="none" w:sz="0" w:space="0" w:color="auto"/>
        <w:right w:val="none" w:sz="0" w:space="0" w:color="auto"/>
      </w:divBdr>
    </w:div>
    <w:div w:id="35551189">
      <w:bodyDiv w:val="1"/>
      <w:marLeft w:val="0"/>
      <w:marRight w:val="0"/>
      <w:marTop w:val="0"/>
      <w:marBottom w:val="0"/>
      <w:divBdr>
        <w:top w:val="none" w:sz="0" w:space="0" w:color="auto"/>
        <w:left w:val="none" w:sz="0" w:space="0" w:color="auto"/>
        <w:bottom w:val="none" w:sz="0" w:space="0" w:color="auto"/>
        <w:right w:val="none" w:sz="0" w:space="0" w:color="auto"/>
      </w:divBdr>
    </w:div>
    <w:div w:id="116144043">
      <w:bodyDiv w:val="1"/>
      <w:marLeft w:val="0"/>
      <w:marRight w:val="0"/>
      <w:marTop w:val="0"/>
      <w:marBottom w:val="0"/>
      <w:divBdr>
        <w:top w:val="none" w:sz="0" w:space="0" w:color="auto"/>
        <w:left w:val="none" w:sz="0" w:space="0" w:color="auto"/>
        <w:bottom w:val="none" w:sz="0" w:space="0" w:color="auto"/>
        <w:right w:val="none" w:sz="0" w:space="0" w:color="auto"/>
      </w:divBdr>
    </w:div>
    <w:div w:id="182059048">
      <w:bodyDiv w:val="1"/>
      <w:marLeft w:val="0"/>
      <w:marRight w:val="0"/>
      <w:marTop w:val="0"/>
      <w:marBottom w:val="0"/>
      <w:divBdr>
        <w:top w:val="none" w:sz="0" w:space="0" w:color="auto"/>
        <w:left w:val="none" w:sz="0" w:space="0" w:color="auto"/>
        <w:bottom w:val="none" w:sz="0" w:space="0" w:color="auto"/>
        <w:right w:val="none" w:sz="0" w:space="0" w:color="auto"/>
      </w:divBdr>
    </w:div>
    <w:div w:id="185753032">
      <w:bodyDiv w:val="1"/>
      <w:marLeft w:val="0"/>
      <w:marRight w:val="0"/>
      <w:marTop w:val="0"/>
      <w:marBottom w:val="0"/>
      <w:divBdr>
        <w:top w:val="none" w:sz="0" w:space="0" w:color="auto"/>
        <w:left w:val="none" w:sz="0" w:space="0" w:color="auto"/>
        <w:bottom w:val="none" w:sz="0" w:space="0" w:color="auto"/>
        <w:right w:val="none" w:sz="0" w:space="0" w:color="auto"/>
      </w:divBdr>
    </w:div>
    <w:div w:id="243028141">
      <w:bodyDiv w:val="1"/>
      <w:marLeft w:val="0"/>
      <w:marRight w:val="0"/>
      <w:marTop w:val="0"/>
      <w:marBottom w:val="0"/>
      <w:divBdr>
        <w:top w:val="none" w:sz="0" w:space="0" w:color="auto"/>
        <w:left w:val="none" w:sz="0" w:space="0" w:color="auto"/>
        <w:bottom w:val="none" w:sz="0" w:space="0" w:color="auto"/>
        <w:right w:val="none" w:sz="0" w:space="0" w:color="auto"/>
      </w:divBdr>
    </w:div>
    <w:div w:id="279529041">
      <w:bodyDiv w:val="1"/>
      <w:marLeft w:val="0"/>
      <w:marRight w:val="0"/>
      <w:marTop w:val="0"/>
      <w:marBottom w:val="0"/>
      <w:divBdr>
        <w:top w:val="none" w:sz="0" w:space="0" w:color="auto"/>
        <w:left w:val="none" w:sz="0" w:space="0" w:color="auto"/>
        <w:bottom w:val="none" w:sz="0" w:space="0" w:color="auto"/>
        <w:right w:val="none" w:sz="0" w:space="0" w:color="auto"/>
      </w:divBdr>
    </w:div>
    <w:div w:id="323971920">
      <w:bodyDiv w:val="1"/>
      <w:marLeft w:val="0"/>
      <w:marRight w:val="0"/>
      <w:marTop w:val="0"/>
      <w:marBottom w:val="0"/>
      <w:divBdr>
        <w:top w:val="none" w:sz="0" w:space="0" w:color="auto"/>
        <w:left w:val="none" w:sz="0" w:space="0" w:color="auto"/>
        <w:bottom w:val="none" w:sz="0" w:space="0" w:color="auto"/>
        <w:right w:val="none" w:sz="0" w:space="0" w:color="auto"/>
      </w:divBdr>
    </w:div>
    <w:div w:id="379406569">
      <w:bodyDiv w:val="1"/>
      <w:marLeft w:val="0"/>
      <w:marRight w:val="0"/>
      <w:marTop w:val="0"/>
      <w:marBottom w:val="0"/>
      <w:divBdr>
        <w:top w:val="none" w:sz="0" w:space="0" w:color="auto"/>
        <w:left w:val="none" w:sz="0" w:space="0" w:color="auto"/>
        <w:bottom w:val="none" w:sz="0" w:space="0" w:color="auto"/>
        <w:right w:val="none" w:sz="0" w:space="0" w:color="auto"/>
      </w:divBdr>
    </w:div>
    <w:div w:id="443354176">
      <w:bodyDiv w:val="1"/>
      <w:marLeft w:val="0"/>
      <w:marRight w:val="0"/>
      <w:marTop w:val="0"/>
      <w:marBottom w:val="0"/>
      <w:divBdr>
        <w:top w:val="none" w:sz="0" w:space="0" w:color="auto"/>
        <w:left w:val="none" w:sz="0" w:space="0" w:color="auto"/>
        <w:bottom w:val="none" w:sz="0" w:space="0" w:color="auto"/>
        <w:right w:val="none" w:sz="0" w:space="0" w:color="auto"/>
      </w:divBdr>
      <w:divsChild>
        <w:div w:id="77137182">
          <w:marLeft w:val="0"/>
          <w:marRight w:val="0"/>
          <w:marTop w:val="0"/>
          <w:marBottom w:val="0"/>
          <w:divBdr>
            <w:top w:val="none" w:sz="0" w:space="0" w:color="auto"/>
            <w:left w:val="none" w:sz="0" w:space="0" w:color="auto"/>
            <w:bottom w:val="none" w:sz="0" w:space="0" w:color="auto"/>
            <w:right w:val="none" w:sz="0" w:space="0" w:color="auto"/>
          </w:divBdr>
        </w:div>
        <w:div w:id="1249850890">
          <w:marLeft w:val="0"/>
          <w:marRight w:val="0"/>
          <w:marTop w:val="0"/>
          <w:marBottom w:val="0"/>
          <w:divBdr>
            <w:top w:val="none" w:sz="0" w:space="0" w:color="auto"/>
            <w:left w:val="none" w:sz="0" w:space="0" w:color="auto"/>
            <w:bottom w:val="none" w:sz="0" w:space="0" w:color="auto"/>
            <w:right w:val="none" w:sz="0" w:space="0" w:color="auto"/>
          </w:divBdr>
        </w:div>
        <w:div w:id="1222250700">
          <w:marLeft w:val="0"/>
          <w:marRight w:val="0"/>
          <w:marTop w:val="0"/>
          <w:marBottom w:val="0"/>
          <w:divBdr>
            <w:top w:val="none" w:sz="0" w:space="0" w:color="auto"/>
            <w:left w:val="none" w:sz="0" w:space="0" w:color="auto"/>
            <w:bottom w:val="none" w:sz="0" w:space="0" w:color="auto"/>
            <w:right w:val="none" w:sz="0" w:space="0" w:color="auto"/>
          </w:divBdr>
        </w:div>
        <w:div w:id="1642080556">
          <w:marLeft w:val="0"/>
          <w:marRight w:val="0"/>
          <w:marTop w:val="0"/>
          <w:marBottom w:val="0"/>
          <w:divBdr>
            <w:top w:val="none" w:sz="0" w:space="0" w:color="auto"/>
            <w:left w:val="none" w:sz="0" w:space="0" w:color="auto"/>
            <w:bottom w:val="none" w:sz="0" w:space="0" w:color="auto"/>
            <w:right w:val="none" w:sz="0" w:space="0" w:color="auto"/>
          </w:divBdr>
        </w:div>
        <w:div w:id="208344993">
          <w:marLeft w:val="0"/>
          <w:marRight w:val="0"/>
          <w:marTop w:val="0"/>
          <w:marBottom w:val="0"/>
          <w:divBdr>
            <w:top w:val="none" w:sz="0" w:space="0" w:color="auto"/>
            <w:left w:val="none" w:sz="0" w:space="0" w:color="auto"/>
            <w:bottom w:val="none" w:sz="0" w:space="0" w:color="auto"/>
            <w:right w:val="none" w:sz="0" w:space="0" w:color="auto"/>
          </w:divBdr>
        </w:div>
        <w:div w:id="2063094304">
          <w:marLeft w:val="0"/>
          <w:marRight w:val="0"/>
          <w:marTop w:val="0"/>
          <w:marBottom w:val="0"/>
          <w:divBdr>
            <w:top w:val="none" w:sz="0" w:space="0" w:color="auto"/>
            <w:left w:val="none" w:sz="0" w:space="0" w:color="auto"/>
            <w:bottom w:val="none" w:sz="0" w:space="0" w:color="auto"/>
            <w:right w:val="none" w:sz="0" w:space="0" w:color="auto"/>
          </w:divBdr>
        </w:div>
        <w:div w:id="1079979705">
          <w:marLeft w:val="0"/>
          <w:marRight w:val="0"/>
          <w:marTop w:val="0"/>
          <w:marBottom w:val="0"/>
          <w:divBdr>
            <w:top w:val="none" w:sz="0" w:space="0" w:color="auto"/>
            <w:left w:val="none" w:sz="0" w:space="0" w:color="auto"/>
            <w:bottom w:val="none" w:sz="0" w:space="0" w:color="auto"/>
            <w:right w:val="none" w:sz="0" w:space="0" w:color="auto"/>
          </w:divBdr>
        </w:div>
        <w:div w:id="2011715874">
          <w:marLeft w:val="0"/>
          <w:marRight w:val="0"/>
          <w:marTop w:val="0"/>
          <w:marBottom w:val="0"/>
          <w:divBdr>
            <w:top w:val="none" w:sz="0" w:space="0" w:color="auto"/>
            <w:left w:val="none" w:sz="0" w:space="0" w:color="auto"/>
            <w:bottom w:val="none" w:sz="0" w:space="0" w:color="auto"/>
            <w:right w:val="none" w:sz="0" w:space="0" w:color="auto"/>
          </w:divBdr>
        </w:div>
        <w:div w:id="310449414">
          <w:marLeft w:val="0"/>
          <w:marRight w:val="0"/>
          <w:marTop w:val="0"/>
          <w:marBottom w:val="0"/>
          <w:divBdr>
            <w:top w:val="none" w:sz="0" w:space="0" w:color="auto"/>
            <w:left w:val="none" w:sz="0" w:space="0" w:color="auto"/>
            <w:bottom w:val="none" w:sz="0" w:space="0" w:color="auto"/>
            <w:right w:val="none" w:sz="0" w:space="0" w:color="auto"/>
          </w:divBdr>
        </w:div>
        <w:div w:id="232812254">
          <w:marLeft w:val="0"/>
          <w:marRight w:val="0"/>
          <w:marTop w:val="0"/>
          <w:marBottom w:val="0"/>
          <w:divBdr>
            <w:top w:val="none" w:sz="0" w:space="0" w:color="auto"/>
            <w:left w:val="none" w:sz="0" w:space="0" w:color="auto"/>
            <w:bottom w:val="none" w:sz="0" w:space="0" w:color="auto"/>
            <w:right w:val="none" w:sz="0" w:space="0" w:color="auto"/>
          </w:divBdr>
        </w:div>
        <w:div w:id="1823622602">
          <w:marLeft w:val="0"/>
          <w:marRight w:val="0"/>
          <w:marTop w:val="0"/>
          <w:marBottom w:val="0"/>
          <w:divBdr>
            <w:top w:val="none" w:sz="0" w:space="0" w:color="auto"/>
            <w:left w:val="none" w:sz="0" w:space="0" w:color="auto"/>
            <w:bottom w:val="none" w:sz="0" w:space="0" w:color="auto"/>
            <w:right w:val="none" w:sz="0" w:space="0" w:color="auto"/>
          </w:divBdr>
        </w:div>
        <w:div w:id="1713846093">
          <w:marLeft w:val="0"/>
          <w:marRight w:val="0"/>
          <w:marTop w:val="0"/>
          <w:marBottom w:val="0"/>
          <w:divBdr>
            <w:top w:val="none" w:sz="0" w:space="0" w:color="auto"/>
            <w:left w:val="none" w:sz="0" w:space="0" w:color="auto"/>
            <w:bottom w:val="none" w:sz="0" w:space="0" w:color="auto"/>
            <w:right w:val="none" w:sz="0" w:space="0" w:color="auto"/>
          </w:divBdr>
        </w:div>
      </w:divsChild>
    </w:div>
    <w:div w:id="659576902">
      <w:bodyDiv w:val="1"/>
      <w:marLeft w:val="0"/>
      <w:marRight w:val="0"/>
      <w:marTop w:val="0"/>
      <w:marBottom w:val="0"/>
      <w:divBdr>
        <w:top w:val="none" w:sz="0" w:space="0" w:color="auto"/>
        <w:left w:val="none" w:sz="0" w:space="0" w:color="auto"/>
        <w:bottom w:val="none" w:sz="0" w:space="0" w:color="auto"/>
        <w:right w:val="none" w:sz="0" w:space="0" w:color="auto"/>
      </w:divBdr>
    </w:div>
    <w:div w:id="692728347">
      <w:bodyDiv w:val="1"/>
      <w:marLeft w:val="0"/>
      <w:marRight w:val="0"/>
      <w:marTop w:val="0"/>
      <w:marBottom w:val="0"/>
      <w:divBdr>
        <w:top w:val="none" w:sz="0" w:space="0" w:color="auto"/>
        <w:left w:val="none" w:sz="0" w:space="0" w:color="auto"/>
        <w:bottom w:val="none" w:sz="0" w:space="0" w:color="auto"/>
        <w:right w:val="none" w:sz="0" w:space="0" w:color="auto"/>
      </w:divBdr>
    </w:div>
    <w:div w:id="740175062">
      <w:bodyDiv w:val="1"/>
      <w:marLeft w:val="0"/>
      <w:marRight w:val="0"/>
      <w:marTop w:val="0"/>
      <w:marBottom w:val="0"/>
      <w:divBdr>
        <w:top w:val="none" w:sz="0" w:space="0" w:color="auto"/>
        <w:left w:val="none" w:sz="0" w:space="0" w:color="auto"/>
        <w:bottom w:val="none" w:sz="0" w:space="0" w:color="auto"/>
        <w:right w:val="none" w:sz="0" w:space="0" w:color="auto"/>
      </w:divBdr>
    </w:div>
    <w:div w:id="766775960">
      <w:bodyDiv w:val="1"/>
      <w:marLeft w:val="0"/>
      <w:marRight w:val="0"/>
      <w:marTop w:val="0"/>
      <w:marBottom w:val="0"/>
      <w:divBdr>
        <w:top w:val="none" w:sz="0" w:space="0" w:color="auto"/>
        <w:left w:val="none" w:sz="0" w:space="0" w:color="auto"/>
        <w:bottom w:val="none" w:sz="0" w:space="0" w:color="auto"/>
        <w:right w:val="none" w:sz="0" w:space="0" w:color="auto"/>
      </w:divBdr>
    </w:div>
    <w:div w:id="870454007">
      <w:bodyDiv w:val="1"/>
      <w:marLeft w:val="0"/>
      <w:marRight w:val="0"/>
      <w:marTop w:val="0"/>
      <w:marBottom w:val="0"/>
      <w:divBdr>
        <w:top w:val="none" w:sz="0" w:space="0" w:color="auto"/>
        <w:left w:val="none" w:sz="0" w:space="0" w:color="auto"/>
        <w:bottom w:val="none" w:sz="0" w:space="0" w:color="auto"/>
        <w:right w:val="none" w:sz="0" w:space="0" w:color="auto"/>
      </w:divBdr>
    </w:div>
    <w:div w:id="913703325">
      <w:bodyDiv w:val="1"/>
      <w:marLeft w:val="0"/>
      <w:marRight w:val="0"/>
      <w:marTop w:val="0"/>
      <w:marBottom w:val="0"/>
      <w:divBdr>
        <w:top w:val="none" w:sz="0" w:space="0" w:color="auto"/>
        <w:left w:val="none" w:sz="0" w:space="0" w:color="auto"/>
        <w:bottom w:val="none" w:sz="0" w:space="0" w:color="auto"/>
        <w:right w:val="none" w:sz="0" w:space="0" w:color="auto"/>
      </w:divBdr>
    </w:div>
    <w:div w:id="967586129">
      <w:bodyDiv w:val="1"/>
      <w:marLeft w:val="0"/>
      <w:marRight w:val="0"/>
      <w:marTop w:val="0"/>
      <w:marBottom w:val="0"/>
      <w:divBdr>
        <w:top w:val="none" w:sz="0" w:space="0" w:color="auto"/>
        <w:left w:val="none" w:sz="0" w:space="0" w:color="auto"/>
        <w:bottom w:val="none" w:sz="0" w:space="0" w:color="auto"/>
        <w:right w:val="none" w:sz="0" w:space="0" w:color="auto"/>
      </w:divBdr>
    </w:div>
    <w:div w:id="1086920516">
      <w:bodyDiv w:val="1"/>
      <w:marLeft w:val="0"/>
      <w:marRight w:val="0"/>
      <w:marTop w:val="0"/>
      <w:marBottom w:val="0"/>
      <w:divBdr>
        <w:top w:val="none" w:sz="0" w:space="0" w:color="auto"/>
        <w:left w:val="none" w:sz="0" w:space="0" w:color="auto"/>
        <w:bottom w:val="none" w:sz="0" w:space="0" w:color="auto"/>
        <w:right w:val="none" w:sz="0" w:space="0" w:color="auto"/>
      </w:divBdr>
    </w:div>
    <w:div w:id="1186015178">
      <w:bodyDiv w:val="1"/>
      <w:marLeft w:val="0"/>
      <w:marRight w:val="0"/>
      <w:marTop w:val="0"/>
      <w:marBottom w:val="0"/>
      <w:divBdr>
        <w:top w:val="none" w:sz="0" w:space="0" w:color="auto"/>
        <w:left w:val="none" w:sz="0" w:space="0" w:color="auto"/>
        <w:bottom w:val="none" w:sz="0" w:space="0" w:color="auto"/>
        <w:right w:val="none" w:sz="0" w:space="0" w:color="auto"/>
      </w:divBdr>
    </w:div>
    <w:div w:id="1279676885">
      <w:bodyDiv w:val="1"/>
      <w:marLeft w:val="0"/>
      <w:marRight w:val="0"/>
      <w:marTop w:val="0"/>
      <w:marBottom w:val="0"/>
      <w:divBdr>
        <w:top w:val="none" w:sz="0" w:space="0" w:color="auto"/>
        <w:left w:val="none" w:sz="0" w:space="0" w:color="auto"/>
        <w:bottom w:val="none" w:sz="0" w:space="0" w:color="auto"/>
        <w:right w:val="none" w:sz="0" w:space="0" w:color="auto"/>
      </w:divBdr>
    </w:div>
    <w:div w:id="1318992638">
      <w:bodyDiv w:val="1"/>
      <w:marLeft w:val="0"/>
      <w:marRight w:val="0"/>
      <w:marTop w:val="0"/>
      <w:marBottom w:val="0"/>
      <w:divBdr>
        <w:top w:val="none" w:sz="0" w:space="0" w:color="auto"/>
        <w:left w:val="none" w:sz="0" w:space="0" w:color="auto"/>
        <w:bottom w:val="none" w:sz="0" w:space="0" w:color="auto"/>
        <w:right w:val="none" w:sz="0" w:space="0" w:color="auto"/>
      </w:divBdr>
    </w:div>
    <w:div w:id="1374304078">
      <w:bodyDiv w:val="1"/>
      <w:marLeft w:val="0"/>
      <w:marRight w:val="0"/>
      <w:marTop w:val="0"/>
      <w:marBottom w:val="0"/>
      <w:divBdr>
        <w:top w:val="none" w:sz="0" w:space="0" w:color="auto"/>
        <w:left w:val="none" w:sz="0" w:space="0" w:color="auto"/>
        <w:bottom w:val="none" w:sz="0" w:space="0" w:color="auto"/>
        <w:right w:val="none" w:sz="0" w:space="0" w:color="auto"/>
      </w:divBdr>
    </w:div>
    <w:div w:id="1378898341">
      <w:bodyDiv w:val="1"/>
      <w:marLeft w:val="0"/>
      <w:marRight w:val="0"/>
      <w:marTop w:val="0"/>
      <w:marBottom w:val="0"/>
      <w:divBdr>
        <w:top w:val="none" w:sz="0" w:space="0" w:color="auto"/>
        <w:left w:val="none" w:sz="0" w:space="0" w:color="auto"/>
        <w:bottom w:val="none" w:sz="0" w:space="0" w:color="auto"/>
        <w:right w:val="none" w:sz="0" w:space="0" w:color="auto"/>
      </w:divBdr>
    </w:div>
    <w:div w:id="1461726005">
      <w:bodyDiv w:val="1"/>
      <w:marLeft w:val="0"/>
      <w:marRight w:val="0"/>
      <w:marTop w:val="0"/>
      <w:marBottom w:val="0"/>
      <w:divBdr>
        <w:top w:val="none" w:sz="0" w:space="0" w:color="auto"/>
        <w:left w:val="none" w:sz="0" w:space="0" w:color="auto"/>
        <w:bottom w:val="none" w:sz="0" w:space="0" w:color="auto"/>
        <w:right w:val="none" w:sz="0" w:space="0" w:color="auto"/>
      </w:divBdr>
    </w:div>
    <w:div w:id="1583374636">
      <w:bodyDiv w:val="1"/>
      <w:marLeft w:val="0"/>
      <w:marRight w:val="0"/>
      <w:marTop w:val="0"/>
      <w:marBottom w:val="0"/>
      <w:divBdr>
        <w:top w:val="none" w:sz="0" w:space="0" w:color="auto"/>
        <w:left w:val="none" w:sz="0" w:space="0" w:color="auto"/>
        <w:bottom w:val="none" w:sz="0" w:space="0" w:color="auto"/>
        <w:right w:val="none" w:sz="0" w:space="0" w:color="auto"/>
      </w:divBdr>
    </w:div>
    <w:div w:id="1623462448">
      <w:bodyDiv w:val="1"/>
      <w:marLeft w:val="0"/>
      <w:marRight w:val="0"/>
      <w:marTop w:val="0"/>
      <w:marBottom w:val="0"/>
      <w:divBdr>
        <w:top w:val="none" w:sz="0" w:space="0" w:color="auto"/>
        <w:left w:val="none" w:sz="0" w:space="0" w:color="auto"/>
        <w:bottom w:val="none" w:sz="0" w:space="0" w:color="auto"/>
        <w:right w:val="none" w:sz="0" w:space="0" w:color="auto"/>
      </w:divBdr>
    </w:div>
    <w:div w:id="1693072979">
      <w:bodyDiv w:val="1"/>
      <w:marLeft w:val="0"/>
      <w:marRight w:val="0"/>
      <w:marTop w:val="0"/>
      <w:marBottom w:val="0"/>
      <w:divBdr>
        <w:top w:val="none" w:sz="0" w:space="0" w:color="auto"/>
        <w:left w:val="none" w:sz="0" w:space="0" w:color="auto"/>
        <w:bottom w:val="none" w:sz="0" w:space="0" w:color="auto"/>
        <w:right w:val="none" w:sz="0" w:space="0" w:color="auto"/>
      </w:divBdr>
    </w:div>
    <w:div w:id="1717241356">
      <w:bodyDiv w:val="1"/>
      <w:marLeft w:val="0"/>
      <w:marRight w:val="0"/>
      <w:marTop w:val="0"/>
      <w:marBottom w:val="0"/>
      <w:divBdr>
        <w:top w:val="none" w:sz="0" w:space="0" w:color="auto"/>
        <w:left w:val="none" w:sz="0" w:space="0" w:color="auto"/>
        <w:bottom w:val="none" w:sz="0" w:space="0" w:color="auto"/>
        <w:right w:val="none" w:sz="0" w:space="0" w:color="auto"/>
      </w:divBdr>
    </w:div>
    <w:div w:id="1720781195">
      <w:bodyDiv w:val="1"/>
      <w:marLeft w:val="0"/>
      <w:marRight w:val="0"/>
      <w:marTop w:val="0"/>
      <w:marBottom w:val="0"/>
      <w:divBdr>
        <w:top w:val="none" w:sz="0" w:space="0" w:color="auto"/>
        <w:left w:val="none" w:sz="0" w:space="0" w:color="auto"/>
        <w:bottom w:val="none" w:sz="0" w:space="0" w:color="auto"/>
        <w:right w:val="none" w:sz="0" w:space="0" w:color="auto"/>
      </w:divBdr>
    </w:div>
    <w:div w:id="1757556502">
      <w:bodyDiv w:val="1"/>
      <w:marLeft w:val="0"/>
      <w:marRight w:val="0"/>
      <w:marTop w:val="0"/>
      <w:marBottom w:val="0"/>
      <w:divBdr>
        <w:top w:val="none" w:sz="0" w:space="0" w:color="auto"/>
        <w:left w:val="none" w:sz="0" w:space="0" w:color="auto"/>
        <w:bottom w:val="none" w:sz="0" w:space="0" w:color="auto"/>
        <w:right w:val="none" w:sz="0" w:space="0" w:color="auto"/>
      </w:divBdr>
    </w:div>
    <w:div w:id="1789082052">
      <w:bodyDiv w:val="1"/>
      <w:marLeft w:val="0"/>
      <w:marRight w:val="0"/>
      <w:marTop w:val="0"/>
      <w:marBottom w:val="0"/>
      <w:divBdr>
        <w:top w:val="none" w:sz="0" w:space="0" w:color="auto"/>
        <w:left w:val="none" w:sz="0" w:space="0" w:color="auto"/>
        <w:bottom w:val="none" w:sz="0" w:space="0" w:color="auto"/>
        <w:right w:val="none" w:sz="0" w:space="0" w:color="auto"/>
      </w:divBdr>
    </w:div>
    <w:div w:id="1908685605">
      <w:bodyDiv w:val="1"/>
      <w:marLeft w:val="0"/>
      <w:marRight w:val="0"/>
      <w:marTop w:val="0"/>
      <w:marBottom w:val="0"/>
      <w:divBdr>
        <w:top w:val="none" w:sz="0" w:space="0" w:color="auto"/>
        <w:left w:val="none" w:sz="0" w:space="0" w:color="auto"/>
        <w:bottom w:val="none" w:sz="0" w:space="0" w:color="auto"/>
        <w:right w:val="none" w:sz="0" w:space="0" w:color="auto"/>
      </w:divBdr>
    </w:div>
    <w:div w:id="1911964121">
      <w:bodyDiv w:val="1"/>
      <w:marLeft w:val="0"/>
      <w:marRight w:val="0"/>
      <w:marTop w:val="0"/>
      <w:marBottom w:val="0"/>
      <w:divBdr>
        <w:top w:val="none" w:sz="0" w:space="0" w:color="auto"/>
        <w:left w:val="none" w:sz="0" w:space="0" w:color="auto"/>
        <w:bottom w:val="none" w:sz="0" w:space="0" w:color="auto"/>
        <w:right w:val="none" w:sz="0" w:space="0" w:color="auto"/>
      </w:divBdr>
    </w:div>
    <w:div w:id="1989702904">
      <w:bodyDiv w:val="1"/>
      <w:marLeft w:val="0"/>
      <w:marRight w:val="0"/>
      <w:marTop w:val="0"/>
      <w:marBottom w:val="0"/>
      <w:divBdr>
        <w:top w:val="none" w:sz="0" w:space="0" w:color="auto"/>
        <w:left w:val="none" w:sz="0" w:space="0" w:color="auto"/>
        <w:bottom w:val="none" w:sz="0" w:space="0" w:color="auto"/>
        <w:right w:val="none" w:sz="0" w:space="0" w:color="auto"/>
      </w:divBdr>
    </w:div>
    <w:div w:id="2069569628">
      <w:bodyDiv w:val="1"/>
      <w:marLeft w:val="0"/>
      <w:marRight w:val="0"/>
      <w:marTop w:val="0"/>
      <w:marBottom w:val="0"/>
      <w:divBdr>
        <w:top w:val="none" w:sz="0" w:space="0" w:color="auto"/>
        <w:left w:val="none" w:sz="0" w:space="0" w:color="auto"/>
        <w:bottom w:val="none" w:sz="0" w:space="0" w:color="auto"/>
        <w:right w:val="none" w:sz="0" w:space="0" w:color="auto"/>
      </w:divBdr>
    </w:div>
    <w:div w:id="2091389051">
      <w:bodyDiv w:val="1"/>
      <w:marLeft w:val="0"/>
      <w:marRight w:val="0"/>
      <w:marTop w:val="0"/>
      <w:marBottom w:val="0"/>
      <w:divBdr>
        <w:top w:val="none" w:sz="0" w:space="0" w:color="auto"/>
        <w:left w:val="none" w:sz="0" w:space="0" w:color="auto"/>
        <w:bottom w:val="none" w:sz="0" w:space="0" w:color="auto"/>
        <w:right w:val="none" w:sz="0" w:space="0" w:color="auto"/>
      </w:divBdr>
    </w:div>
    <w:div w:id="2094083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3/cop-13-dec-20-fr.pdf"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context.reverso.net/traduction/francais-anglais/Partenariat"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chm.cbd.int/search/financial-analyz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s://chm.cbd.int/search/financial-analyzer"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c/3d28/edf1/0e09fcd6911e6ef936e32db6/sbi-02-02-add1-fr.pdf" TargetMode="External"/><Relationship Id="rId22" Type="http://schemas.openxmlformats.org/officeDocument/2006/relationships/hyperlink" Target="https://www.cbd.int/doc/decisions/cop-12/cop-12-dec-03-fr.pdf"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imf.org/external/pubs/ft/weo/2017/02/weodata/index.aspx" TargetMode="External"/><Relationship Id="rId2" Type="http://schemas.openxmlformats.org/officeDocument/2006/relationships/hyperlink" Target="https://www.cbd.int/doc/meetings/cop/cop-13/official/cop-13-11-rev1-fr.pdf" TargetMode="External"/><Relationship Id="rId1" Type="http://schemas.openxmlformats.org/officeDocument/2006/relationships/hyperlink" Target="https://www.cbd.int/doc/c/c418/4b06/65b26745a1c1a1793cc5ea40/sbi-02-01-fr.pdf" TargetMode="External"/><Relationship Id="rId6" Type="http://schemas.openxmlformats.org/officeDocument/2006/relationships/hyperlink" Target="http://www.biodiversityfinance.net/finance-nature-global-conference" TargetMode="External"/><Relationship Id="rId5" Type="http://schemas.openxmlformats.org/officeDocument/2006/relationships/hyperlink" Target="http://www.biodiversityfinance.net/finance-solutions" TargetMode="External"/><Relationship Id="rId4" Type="http://schemas.openxmlformats.org/officeDocument/2006/relationships/hyperlink" Target="http://stats.oecd.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0000000000000000000"/>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150840"/>
    <w:rsid w:val="002A64D0"/>
    <w:rsid w:val="003D294E"/>
    <w:rsid w:val="004E0FA5"/>
    <w:rsid w:val="004F5088"/>
    <w:rsid w:val="00500A2B"/>
    <w:rsid w:val="0058288D"/>
    <w:rsid w:val="006221CF"/>
    <w:rsid w:val="006801B3"/>
    <w:rsid w:val="006E3C0C"/>
    <w:rsid w:val="00810A55"/>
    <w:rsid w:val="008821B1"/>
    <w:rsid w:val="00885341"/>
    <w:rsid w:val="008A48F5"/>
    <w:rsid w:val="008C6619"/>
    <w:rsid w:val="008D420E"/>
    <w:rsid w:val="0098642F"/>
    <w:rsid w:val="009B500C"/>
    <w:rsid w:val="00AA72C9"/>
    <w:rsid w:val="00B6620D"/>
    <w:rsid w:val="00C92A0E"/>
    <w:rsid w:val="00DD74DE"/>
    <w:rsid w:val="00DF6113"/>
    <w:rsid w:val="00E20FFF"/>
    <w:rsid w:val="00FE292A"/>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8F5"/>
    <w:rPr>
      <w:color w:val="808080"/>
    </w:rPr>
  </w:style>
  <w:style w:type="paragraph" w:customStyle="1" w:styleId="B3D8104214564783AE3253AD62ABBD48">
    <w:name w:val="B3D8104214564783AE3253AD62ABBD48"/>
    <w:rsid w:val="008A48F5"/>
    <w:pPr>
      <w:spacing w:after="160" w:line="259"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638B91-881C-4287-BD19-3C138FDC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TotalTime>
  <Pages>17</Pages>
  <Words>7425</Words>
  <Characters>45000</Characters>
  <Application>Microsoft Office Word</Application>
  <DocSecurity>0</DocSecurity>
  <Lines>608</Lines>
  <Paragraphs>170</Paragraphs>
  <ScaleCrop>false</ScaleCrop>
  <HeadingPairs>
    <vt:vector size="2" baseType="variant">
      <vt:variant>
        <vt:lpstr>Title</vt:lpstr>
      </vt:variant>
      <vt:variant>
        <vt:i4>1</vt:i4>
      </vt:variant>
    </vt:vector>
  </HeadingPairs>
  <TitlesOfParts>
    <vt:vector size="1" baseType="lpstr">
      <vt:lpstr>Stocktake and updated analysis of information provided through the financial reporting framework</vt:lpstr>
    </vt:vector>
  </TitlesOfParts>
  <Company>SCBD</Company>
  <LinksUpToDate>false</LinksUpToDate>
  <CharactersWithSpaces>52255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Stocktake and updated analysis of information provided through the financial reporting framework</dc:title>
  <dc:subject>CBD/SBI/2/7/Add.1</dc:subject>
  <dc:creator>SCBD</dc:creator>
  <cp:lastModifiedBy>Orestes Plasencia</cp:lastModifiedBy>
  <cp:revision>125</cp:revision>
  <cp:lastPrinted>2018-06-07T19:08:00Z</cp:lastPrinted>
  <dcterms:created xsi:type="dcterms:W3CDTF">2018-06-13T12:48:00Z</dcterms:created>
  <dcterms:modified xsi:type="dcterms:W3CDTF">2018-06-15T21:23:00Z</dcterms:modified>
  <cp:contentStatus>GENERAL</cp:contentStatus>
</cp:coreProperties>
</file>