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
        <w:gridCol w:w="3734"/>
        <w:gridCol w:w="5079"/>
      </w:tblGrid>
      <w:tr w:rsidR="006F0181" w:rsidRPr="003D6C86" w:rsidTr="003B4CC1">
        <w:trPr>
          <w:trHeight w:val="709"/>
        </w:trPr>
        <w:tc>
          <w:tcPr>
            <w:tcW w:w="968" w:type="dxa"/>
            <w:tcBorders>
              <w:bottom w:val="single" w:sz="12" w:space="0" w:color="auto"/>
            </w:tcBorders>
          </w:tcPr>
          <w:p w:rsidR="006F0181" w:rsidRPr="00EC6497" w:rsidRDefault="006A3E35" w:rsidP="00002DB5">
            <w:pPr>
              <w:kinsoku w:val="0"/>
              <w:overflowPunct w:val="0"/>
              <w:autoSpaceDE w:val="0"/>
              <w:autoSpaceDN w:val="0"/>
              <w:rPr>
                <w:snapToGrid w:val="0"/>
                <w:kern w:val="22"/>
                <w:szCs w:val="22"/>
              </w:rPr>
            </w:pPr>
            <w:bookmarkStart w:id="0" w:name="_Hlk505247837"/>
            <w:r>
              <w:rPr>
                <w:noProof/>
                <w:kern w:val="22"/>
                <w:szCs w:val="22"/>
                <w:lang w:val="en-CA" w:eastAsia="en-CA"/>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3734" w:type="dxa"/>
            <w:tcBorders>
              <w:bottom w:val="single" w:sz="12" w:space="0" w:color="auto"/>
            </w:tcBorders>
          </w:tcPr>
          <w:p w:rsidR="006F0181" w:rsidRPr="00EC6497" w:rsidRDefault="006A3E35" w:rsidP="00002DB5">
            <w:pPr>
              <w:kinsoku w:val="0"/>
              <w:overflowPunct w:val="0"/>
              <w:autoSpaceDE w:val="0"/>
              <w:autoSpaceDN w:val="0"/>
              <w:rPr>
                <w:snapToGrid w:val="0"/>
                <w:kern w:val="22"/>
                <w:szCs w:val="22"/>
              </w:rPr>
            </w:pPr>
            <w:r>
              <w:rPr>
                <w:noProof/>
                <w:kern w:val="22"/>
                <w:szCs w:val="22"/>
                <w:lang w:val="en-CA" w:eastAsia="en-CA"/>
              </w:rPr>
              <w:drawing>
                <wp:inline distT="0" distB="0" distL="0" distR="0">
                  <wp:extent cx="342900" cy="400050"/>
                  <wp:effectExtent l="0" t="0" r="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5079" w:type="dxa"/>
            <w:tcBorders>
              <w:bottom w:val="single" w:sz="12" w:space="0" w:color="auto"/>
            </w:tcBorders>
          </w:tcPr>
          <w:p w:rsidR="006F0181" w:rsidRPr="00EC6497" w:rsidRDefault="006F0181" w:rsidP="00002DB5">
            <w:pPr>
              <w:kinsoku w:val="0"/>
              <w:overflowPunct w:val="0"/>
              <w:autoSpaceDE w:val="0"/>
              <w:autoSpaceDN w:val="0"/>
              <w:jc w:val="right"/>
              <w:rPr>
                <w:rFonts w:ascii="Arial" w:hAnsi="Arial"/>
                <w:b/>
                <w:snapToGrid w:val="0"/>
                <w:kern w:val="22"/>
                <w:sz w:val="32"/>
                <w:szCs w:val="32"/>
              </w:rPr>
            </w:pPr>
            <w:r w:rsidRPr="00EC6497">
              <w:rPr>
                <w:rFonts w:ascii="Arial" w:hAnsi="Arial"/>
                <w:b/>
                <w:snapToGrid w:val="0"/>
                <w:kern w:val="22"/>
                <w:sz w:val="32"/>
                <w:szCs w:val="32"/>
              </w:rPr>
              <w:t>CBD</w:t>
            </w:r>
          </w:p>
        </w:tc>
      </w:tr>
    </w:tbl>
    <w:tbl>
      <w:tblPr>
        <w:tblW w:w="9747" w:type="dxa"/>
        <w:tblBorders>
          <w:bottom w:val="single" w:sz="30" w:space="0" w:color="000000"/>
        </w:tblBorders>
        <w:tblLayout w:type="fixed"/>
        <w:tblLook w:val="0000" w:firstRow="0" w:lastRow="0" w:firstColumn="0" w:lastColumn="0" w:noHBand="0" w:noVBand="0"/>
      </w:tblPr>
      <w:tblGrid>
        <w:gridCol w:w="5145"/>
        <w:gridCol w:w="1153"/>
        <w:gridCol w:w="3449"/>
      </w:tblGrid>
      <w:tr w:rsidR="009F1A8A" w:rsidRPr="00F71191" w:rsidTr="00C66642">
        <w:trPr>
          <w:trHeight w:val="1693"/>
        </w:trPr>
        <w:tc>
          <w:tcPr>
            <w:tcW w:w="5238" w:type="dxa"/>
          </w:tcPr>
          <w:bookmarkEnd w:id="0"/>
          <w:p w:rsidR="009F1A8A" w:rsidRPr="00F71191" w:rsidRDefault="006A3E35" w:rsidP="00F71191">
            <w:pPr>
              <w:suppressLineNumbers/>
              <w:suppressAutoHyphens/>
            </w:pPr>
            <w:r>
              <w:rPr>
                <w:noProof/>
                <w:lang w:val="en-CA" w:eastAsia="en-CA"/>
              </w:rPr>
              <w:drawing>
                <wp:inline distT="0" distB="0" distL="0" distR="0">
                  <wp:extent cx="2838450" cy="1076325"/>
                  <wp:effectExtent l="0" t="0" r="0" b="9525"/>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1170" w:type="dxa"/>
          </w:tcPr>
          <w:p w:rsidR="009F1A8A" w:rsidRPr="00F71191" w:rsidRDefault="009F1A8A" w:rsidP="00F71191">
            <w:pPr>
              <w:suppressLineNumbers/>
              <w:suppressAutoHyphens/>
            </w:pPr>
          </w:p>
        </w:tc>
        <w:tc>
          <w:tcPr>
            <w:tcW w:w="3510" w:type="dxa"/>
          </w:tcPr>
          <w:p w:rsidR="002D0AE4" w:rsidRPr="00D62765" w:rsidRDefault="002D0AE4" w:rsidP="002D0AE4">
            <w:pPr>
              <w:rPr>
                <w:color w:val="000000"/>
              </w:rPr>
            </w:pPr>
            <w:r w:rsidRPr="00D62765">
              <w:rPr>
                <w:color w:val="000000"/>
              </w:rPr>
              <w:t>Distr.</w:t>
            </w:r>
          </w:p>
          <w:p w:rsidR="009F1A8A" w:rsidRPr="00D62765" w:rsidRDefault="002D0AE4" w:rsidP="002D0AE4">
            <w:pPr>
              <w:rPr>
                <w:color w:val="000000"/>
              </w:rPr>
            </w:pPr>
            <w:r w:rsidRPr="00D62765">
              <w:rPr>
                <w:color w:val="000000"/>
              </w:rPr>
              <w:t>GENERAL</w:t>
            </w:r>
          </w:p>
          <w:p w:rsidR="009F1A8A" w:rsidRPr="00D62765" w:rsidRDefault="009F1A8A" w:rsidP="009F1A8A">
            <w:pPr>
              <w:rPr>
                <w:color w:val="000000"/>
              </w:rPr>
            </w:pPr>
          </w:p>
          <w:sdt>
            <w:sdtPr>
              <w:alias w:val="Subject"/>
              <w:tag w:val=""/>
              <w:id w:val="-261534504"/>
              <w:placeholder>
                <w:docPart w:val="9A16239A8CDC4DA3A5F494D01DA0E256"/>
              </w:placeholder>
              <w:dataBinding w:prefixMappings="xmlns:ns0='http://purl.org/dc/elements/1.1/' xmlns:ns1='http://schemas.openxmlformats.org/package/2006/metadata/core-properties' " w:xpath="/ns1:coreProperties[1]/ns0:subject[1]" w:storeItemID="{6C3C8BC8-F283-45AE-878A-BAB7291924A1}"/>
              <w:text/>
            </w:sdtPr>
            <w:sdtContent>
              <w:p w:rsidR="009F1A8A" w:rsidRDefault="00C66642" w:rsidP="009F1A8A">
                <w:r>
                  <w:t>CBD/CP/LG-CB/12/1/Add.1</w:t>
                </w:r>
              </w:p>
            </w:sdtContent>
          </w:sdt>
          <w:p w:rsidR="009F1A8A" w:rsidRDefault="009F1A8A" w:rsidP="009F1A8A">
            <w:r>
              <w:t>1</w:t>
            </w:r>
            <w:r w:rsidR="00C66642">
              <w:t>7</w:t>
            </w:r>
            <w:r>
              <w:t xml:space="preserve"> </w:t>
            </w:r>
            <w:r w:rsidR="00D62765">
              <w:t xml:space="preserve">August </w:t>
            </w:r>
            <w:r>
              <w:t>2018</w:t>
            </w:r>
          </w:p>
          <w:p w:rsidR="009F1A8A" w:rsidRDefault="009F1A8A" w:rsidP="009F1A8A"/>
          <w:p w:rsidR="009F1A8A" w:rsidRDefault="009F1A8A" w:rsidP="009F1A8A">
            <w:pPr>
              <w:rPr>
                <w:rFonts w:ascii="Courier New" w:hAnsi="Courier New"/>
              </w:rPr>
            </w:pPr>
            <w:r>
              <w:t>ENGLISH ONLY</w:t>
            </w:r>
          </w:p>
        </w:tc>
      </w:tr>
    </w:tbl>
    <w:p w:rsidR="009F1A8A" w:rsidRDefault="009F1A8A" w:rsidP="003B4CC1">
      <w:pPr>
        <w:pStyle w:val="Cornernotation"/>
        <w:ind w:right="4965"/>
      </w:pPr>
      <w:r>
        <w:t>LIAISON GROUP ON CAPACITY</w:t>
      </w:r>
      <w:r>
        <w:noBreakHyphen/>
        <w:t xml:space="preserve">BUILDING FOR BIOSAFETY </w:t>
      </w:r>
    </w:p>
    <w:p w:rsidR="009F1A8A" w:rsidRDefault="009F1A8A" w:rsidP="009F1A8A">
      <w:pPr>
        <w:pStyle w:val="Cornernotation"/>
        <w:ind w:left="284" w:right="3548" w:hanging="284"/>
      </w:pPr>
      <w:r>
        <w:t>Twelfth meeting</w:t>
      </w:r>
    </w:p>
    <w:p w:rsidR="009F1A8A" w:rsidRPr="00B656F6" w:rsidRDefault="009F1A8A" w:rsidP="009F1A8A">
      <w:pPr>
        <w:pStyle w:val="Cornernotation"/>
        <w:ind w:right="3548"/>
        <w:rPr>
          <w:lang w:val="en-CA"/>
        </w:rPr>
      </w:pPr>
      <w:r>
        <w:rPr>
          <w:lang w:val="en-CA"/>
        </w:rPr>
        <w:t>Montreal, Canada, 5-7 September 2018</w:t>
      </w:r>
    </w:p>
    <w:sdt>
      <w:sdtPr>
        <w:rPr>
          <w:szCs w:val="22"/>
        </w:rPr>
        <w:alias w:val="Title"/>
        <w:tag w:val=""/>
        <w:id w:val="-1675486713"/>
        <w:placeholder>
          <w:docPart w:val="18CE9741A1FB4EC5B7D9399C23A1FABF"/>
        </w:placeholder>
        <w:dataBinding w:prefixMappings="xmlns:ns0='http://purl.org/dc/elements/1.1/' xmlns:ns1='http://schemas.openxmlformats.org/package/2006/metadata/core-properties' " w:xpath="/ns1:coreProperties[1]/ns0:title[1]" w:storeItemID="{6C3C8BC8-F283-45AE-878A-BAB7291924A1}"/>
        <w:text/>
      </w:sdtPr>
      <w:sdtContent>
        <w:p w:rsidR="005F49CB" w:rsidRPr="0000322D" w:rsidRDefault="00C66642" w:rsidP="00C66642">
          <w:pPr>
            <w:pStyle w:val="Heading1"/>
            <w:suppressLineNumbers/>
            <w:suppressAutoHyphens/>
            <w:spacing w:before="120"/>
            <w:rPr>
              <w:szCs w:val="22"/>
            </w:rPr>
          </w:pPr>
          <w:r w:rsidRPr="0000322D">
            <w:rPr>
              <w:szCs w:val="22"/>
            </w:rPr>
            <w:t>ANNOTATIONS TO THE PROVISIONAL AGENDA</w:t>
          </w:r>
        </w:p>
      </w:sdtContent>
    </w:sdt>
    <w:p w:rsidR="005F49CB" w:rsidRPr="00F71191" w:rsidRDefault="005F49CB" w:rsidP="003B4CC1">
      <w:pPr>
        <w:pStyle w:val="Heading1"/>
        <w:suppressLineNumbers/>
        <w:suppressAutoHyphens/>
      </w:pPr>
      <w:r w:rsidRPr="00F71191">
        <w:t>INTRODUCTION</w:t>
      </w:r>
    </w:p>
    <w:p w:rsidR="004422DE" w:rsidRPr="00F5117C" w:rsidRDefault="00E600EB" w:rsidP="00A042A8">
      <w:pPr>
        <w:pStyle w:val="Para1"/>
        <w:tabs>
          <w:tab w:val="clear" w:pos="360"/>
          <w:tab w:val="num" w:pos="720"/>
        </w:tabs>
        <w:rPr>
          <w:szCs w:val="22"/>
          <w:lang w:val="en-CA"/>
        </w:rPr>
      </w:pPr>
      <w:r>
        <w:rPr>
          <w:szCs w:val="22"/>
          <w:lang w:val="en-CA"/>
        </w:rPr>
        <w:t>The</w:t>
      </w:r>
      <w:r w:rsidRPr="00016361">
        <w:rPr>
          <w:szCs w:val="22"/>
          <w:lang w:val="en-CA"/>
        </w:rPr>
        <w:t xml:space="preserve"> Liaison Group on Capacity-</w:t>
      </w:r>
      <w:r>
        <w:rPr>
          <w:szCs w:val="22"/>
          <w:lang w:val="en-CA"/>
        </w:rPr>
        <w:t>B</w:t>
      </w:r>
      <w:r w:rsidRPr="00016361">
        <w:rPr>
          <w:szCs w:val="22"/>
          <w:lang w:val="en-CA"/>
        </w:rPr>
        <w:t xml:space="preserve">uilding </w:t>
      </w:r>
      <w:r>
        <w:rPr>
          <w:szCs w:val="22"/>
          <w:lang w:val="en-CA"/>
        </w:rPr>
        <w:t xml:space="preserve">for </w:t>
      </w:r>
      <w:r w:rsidRPr="00016361">
        <w:rPr>
          <w:szCs w:val="22"/>
          <w:lang w:val="en-CA"/>
        </w:rPr>
        <w:t>Biosafety</w:t>
      </w:r>
      <w:r>
        <w:rPr>
          <w:szCs w:val="22"/>
          <w:lang w:val="en-CA"/>
        </w:rPr>
        <w:t xml:space="preserve"> was established at the first meeting of the </w:t>
      </w:r>
      <w:r w:rsidRPr="004466C3">
        <w:rPr>
          <w:lang w:val="en-CA"/>
        </w:rPr>
        <w:t xml:space="preserve">Conference of the Parties serving as the meeting of the Parties to the </w:t>
      </w:r>
      <w:r>
        <w:rPr>
          <w:lang w:val="en-CA"/>
        </w:rPr>
        <w:t xml:space="preserve">Cartagena </w:t>
      </w:r>
      <w:r w:rsidRPr="004466C3">
        <w:rPr>
          <w:lang w:val="en-CA"/>
        </w:rPr>
        <w:t>Protocol</w:t>
      </w:r>
      <w:r w:rsidR="00D27136">
        <w:rPr>
          <w:lang w:val="en-CA"/>
        </w:rPr>
        <w:t xml:space="preserve"> on Biosafety</w:t>
      </w:r>
      <w:r w:rsidRPr="004466C3">
        <w:rPr>
          <w:szCs w:val="22"/>
          <w:lang w:val="en-CA"/>
        </w:rPr>
        <w:t xml:space="preserve"> </w:t>
      </w:r>
      <w:r>
        <w:rPr>
          <w:lang w:val="en-CA"/>
        </w:rPr>
        <w:t>(</w:t>
      </w:r>
      <w:r w:rsidR="00D27136" w:rsidRPr="00016361">
        <w:rPr>
          <w:lang w:val="en-CA"/>
        </w:rPr>
        <w:t>meeting</w:t>
      </w:r>
      <w:r w:rsidR="00D27136" w:rsidRPr="004466C3">
        <w:rPr>
          <w:szCs w:val="22"/>
          <w:lang w:val="en-CA"/>
        </w:rPr>
        <w:t xml:space="preserve"> of the Parties to the </w:t>
      </w:r>
      <w:r w:rsidR="00067B7B">
        <w:rPr>
          <w:szCs w:val="22"/>
          <w:lang w:val="en-CA"/>
        </w:rPr>
        <w:t xml:space="preserve">Cartagena </w:t>
      </w:r>
      <w:r w:rsidR="00D27136" w:rsidRPr="004466C3">
        <w:rPr>
          <w:szCs w:val="22"/>
          <w:lang w:val="en-CA"/>
        </w:rPr>
        <w:t>Protocol</w:t>
      </w:r>
      <w:r>
        <w:rPr>
          <w:lang w:val="en-CA"/>
        </w:rPr>
        <w:t>).</w:t>
      </w:r>
      <w:r w:rsidR="00D27136" w:rsidRPr="00D27136">
        <w:rPr>
          <w:rStyle w:val="FootnoteReference"/>
          <w:u w:val="none"/>
          <w:vertAlign w:val="superscript"/>
          <w:lang w:val="en-CA"/>
        </w:rPr>
        <w:footnoteReference w:id="1"/>
      </w:r>
      <w:r>
        <w:rPr>
          <w:lang w:val="en-CA"/>
        </w:rPr>
        <w:t xml:space="preserve"> At </w:t>
      </w:r>
      <w:r w:rsidR="00D27136">
        <w:rPr>
          <w:lang w:val="en-CA"/>
        </w:rPr>
        <w:t xml:space="preserve">the </w:t>
      </w:r>
      <w:r w:rsidR="004422DE">
        <w:rPr>
          <w:lang w:val="en-CA"/>
        </w:rPr>
        <w:t>sixth</w:t>
      </w:r>
      <w:r w:rsidR="004422DE" w:rsidRPr="00016361">
        <w:rPr>
          <w:lang w:val="en-CA"/>
        </w:rPr>
        <w:t xml:space="preserve"> meeting</w:t>
      </w:r>
      <w:r w:rsidR="00D27136" w:rsidRPr="004466C3">
        <w:rPr>
          <w:szCs w:val="22"/>
          <w:lang w:val="en-CA"/>
        </w:rPr>
        <w:t xml:space="preserve"> of the Parties to the Protocol</w:t>
      </w:r>
      <w:r w:rsidR="00D27136">
        <w:rPr>
          <w:szCs w:val="22"/>
          <w:lang w:val="en-CA"/>
        </w:rPr>
        <w:t>,</w:t>
      </w:r>
      <w:r w:rsidR="00D27136">
        <w:rPr>
          <w:lang w:val="en-CA"/>
        </w:rPr>
        <w:t xml:space="preserve"> </w:t>
      </w:r>
      <w:r w:rsidR="004422DE">
        <w:rPr>
          <w:szCs w:val="22"/>
          <w:lang w:val="en-CA"/>
        </w:rPr>
        <w:t>the</w:t>
      </w:r>
      <w:r w:rsidR="004422DE" w:rsidRPr="00016361">
        <w:rPr>
          <w:szCs w:val="22"/>
          <w:lang w:val="en-CA"/>
        </w:rPr>
        <w:t xml:space="preserve"> Liaison Group on Capacity-</w:t>
      </w:r>
      <w:r w:rsidR="004422DE">
        <w:rPr>
          <w:szCs w:val="22"/>
          <w:lang w:val="en-CA"/>
        </w:rPr>
        <w:t>B</w:t>
      </w:r>
      <w:r w:rsidR="004422DE" w:rsidRPr="00016361">
        <w:rPr>
          <w:szCs w:val="22"/>
          <w:lang w:val="en-CA"/>
        </w:rPr>
        <w:t xml:space="preserve">uilding </w:t>
      </w:r>
      <w:r w:rsidR="004422DE">
        <w:rPr>
          <w:szCs w:val="22"/>
          <w:lang w:val="en-CA"/>
        </w:rPr>
        <w:t xml:space="preserve">for </w:t>
      </w:r>
      <w:r w:rsidR="004422DE" w:rsidRPr="00016361">
        <w:rPr>
          <w:szCs w:val="22"/>
          <w:lang w:val="en-CA"/>
        </w:rPr>
        <w:t>Biosafety</w:t>
      </w:r>
      <w:r w:rsidR="00D27136">
        <w:rPr>
          <w:szCs w:val="22"/>
          <w:lang w:val="en-CA"/>
        </w:rPr>
        <w:t xml:space="preserve"> was extended</w:t>
      </w:r>
      <w:r w:rsidR="004422DE" w:rsidRPr="00016361">
        <w:rPr>
          <w:szCs w:val="22"/>
          <w:lang w:val="en-CA"/>
        </w:rPr>
        <w:t xml:space="preserve"> </w:t>
      </w:r>
      <w:r w:rsidR="004422DE">
        <w:rPr>
          <w:szCs w:val="22"/>
          <w:lang w:val="en-CA"/>
        </w:rPr>
        <w:t>with a</w:t>
      </w:r>
      <w:r w:rsidR="004422DE" w:rsidRPr="00234116">
        <w:rPr>
          <w:szCs w:val="22"/>
          <w:lang w:val="en-CA"/>
        </w:rPr>
        <w:t xml:space="preserve"> mandate to provide expert advice to the Executive Secretary on ways and means to enhance the coordination and effective implementation of the capacity-building components of the Strategic Plan for the </w:t>
      </w:r>
      <w:r w:rsidR="004422DE" w:rsidRPr="009908E0">
        <w:rPr>
          <w:szCs w:val="22"/>
          <w:lang w:val="en-CA"/>
        </w:rPr>
        <w:t>Cartagena Prot</w:t>
      </w:r>
      <w:r w:rsidR="004422DE" w:rsidRPr="004A68DA">
        <w:rPr>
          <w:szCs w:val="22"/>
          <w:lang w:val="en-CA"/>
        </w:rPr>
        <w:t>ocol</w:t>
      </w:r>
      <w:r w:rsidR="004422DE" w:rsidRPr="009629E6">
        <w:rPr>
          <w:szCs w:val="22"/>
          <w:lang w:val="en-CA"/>
        </w:rPr>
        <w:t>.</w:t>
      </w:r>
      <w:r w:rsidRPr="009629E6">
        <w:rPr>
          <w:rStyle w:val="FootnoteReference"/>
          <w:szCs w:val="22"/>
          <w:u w:val="none"/>
          <w:vertAlign w:val="superscript"/>
          <w:lang w:val="en-CA"/>
        </w:rPr>
        <w:footnoteReference w:id="2"/>
      </w:r>
    </w:p>
    <w:p w:rsidR="000A59DC" w:rsidRPr="004466C3" w:rsidRDefault="000A59DC" w:rsidP="00A042A8">
      <w:pPr>
        <w:pStyle w:val="Para1"/>
        <w:tabs>
          <w:tab w:val="clear" w:pos="360"/>
          <w:tab w:val="num" w:pos="720"/>
        </w:tabs>
        <w:rPr>
          <w:szCs w:val="22"/>
          <w:lang w:val="en-CA"/>
        </w:rPr>
      </w:pPr>
      <w:r w:rsidRPr="001F5166">
        <w:rPr>
          <w:szCs w:val="22"/>
          <w:lang w:val="en-CA"/>
        </w:rPr>
        <w:t xml:space="preserve">To date, </w:t>
      </w:r>
      <w:r w:rsidRPr="00397807">
        <w:rPr>
          <w:szCs w:val="22"/>
          <w:lang w:val="en-CA"/>
        </w:rPr>
        <w:t>eleven Liaison Group meetings have taken place</w:t>
      </w:r>
      <w:r w:rsidR="00E600EB" w:rsidRPr="00397807">
        <w:rPr>
          <w:szCs w:val="22"/>
          <w:lang w:val="en-CA"/>
        </w:rPr>
        <w:t>.</w:t>
      </w:r>
      <w:r w:rsidR="004422DE" w:rsidRPr="00397807">
        <w:rPr>
          <w:rStyle w:val="FootnoteReference"/>
          <w:szCs w:val="22"/>
          <w:u w:val="none"/>
          <w:vertAlign w:val="superscript"/>
          <w:lang w:val="en-CA"/>
        </w:rPr>
        <w:footnoteReference w:id="3"/>
      </w:r>
      <w:r w:rsidRPr="00397807">
        <w:rPr>
          <w:szCs w:val="22"/>
          <w:lang w:val="en-CA"/>
        </w:rPr>
        <w:t xml:space="preserve"> These meetings </w:t>
      </w:r>
      <w:r w:rsidR="00F5117C" w:rsidRPr="00397807">
        <w:rPr>
          <w:szCs w:val="22"/>
          <w:lang w:val="en-CA"/>
        </w:rPr>
        <w:t xml:space="preserve">have </w:t>
      </w:r>
      <w:r w:rsidRPr="00397807">
        <w:rPr>
          <w:szCs w:val="22"/>
          <w:lang w:val="en-CA"/>
        </w:rPr>
        <w:t>provided advice on a wide range of issues, including advice on improvement of</w:t>
      </w:r>
      <w:r w:rsidR="003520FF" w:rsidRPr="00397807">
        <w:rPr>
          <w:szCs w:val="22"/>
          <w:lang w:val="en-CA"/>
        </w:rPr>
        <w:t xml:space="preserve"> the</w:t>
      </w:r>
      <w:r w:rsidRPr="00397807">
        <w:rPr>
          <w:szCs w:val="22"/>
          <w:lang w:val="en-CA"/>
        </w:rPr>
        <w:t xml:space="preserve"> roster of biosafety experts, review of the Action Plan for Building Capacities, development of indicators for monitoring implementation of the Action Plan, input into the draft Strategic</w:t>
      </w:r>
      <w:r w:rsidRPr="007D4DA4">
        <w:rPr>
          <w:szCs w:val="22"/>
          <w:lang w:val="en-CA"/>
        </w:rPr>
        <w:t xml:space="preserve"> Plan for the Cartagena Protocol on Biosafety (2011-2020)</w:t>
      </w:r>
      <w:r>
        <w:rPr>
          <w:szCs w:val="22"/>
          <w:lang w:val="en-CA"/>
        </w:rPr>
        <w:t xml:space="preserve">, </w:t>
      </w:r>
      <w:r w:rsidRPr="00016361">
        <w:rPr>
          <w:lang w:val="en-CA"/>
        </w:rPr>
        <w:t>comprehensive review of the Action Plan</w:t>
      </w:r>
      <w:r w:rsidR="00E600EB">
        <w:rPr>
          <w:lang w:val="en-CA"/>
        </w:rPr>
        <w:t xml:space="preserve">, </w:t>
      </w:r>
      <w:r w:rsidR="00A2393A">
        <w:rPr>
          <w:lang w:val="en-CA"/>
        </w:rPr>
        <w:t>and</w:t>
      </w:r>
      <w:r w:rsidR="003520FF">
        <w:rPr>
          <w:lang w:val="en-CA"/>
        </w:rPr>
        <w:t xml:space="preserve"> input to</w:t>
      </w:r>
      <w:r w:rsidR="00A2393A">
        <w:rPr>
          <w:lang w:val="en-CA"/>
        </w:rPr>
        <w:t xml:space="preserve"> the </w:t>
      </w:r>
      <w:r w:rsidR="00E600EB">
        <w:rPr>
          <w:lang w:val="en-CA"/>
        </w:rPr>
        <w:t xml:space="preserve">third assessment and review of the </w:t>
      </w:r>
      <w:r w:rsidR="00FD1881">
        <w:rPr>
          <w:lang w:val="en-CA"/>
        </w:rPr>
        <w:t xml:space="preserve">effectiveness of the </w:t>
      </w:r>
      <w:r w:rsidR="00E600EB">
        <w:rPr>
          <w:lang w:val="en-CA"/>
        </w:rPr>
        <w:t xml:space="preserve">Cartagena Protocol </w:t>
      </w:r>
      <w:r w:rsidR="00FD1881">
        <w:rPr>
          <w:kern w:val="22"/>
        </w:rPr>
        <w:t>and</w:t>
      </w:r>
      <w:r w:rsidR="00790F70">
        <w:rPr>
          <w:kern w:val="22"/>
        </w:rPr>
        <w:t xml:space="preserve"> the </w:t>
      </w:r>
      <w:r w:rsidR="00E600EB">
        <w:rPr>
          <w:kern w:val="22"/>
        </w:rPr>
        <w:t>mid-term evaluation of its Strategic Plan</w:t>
      </w:r>
      <w:r>
        <w:rPr>
          <w:szCs w:val="22"/>
          <w:lang w:val="en-CA"/>
        </w:rPr>
        <w:t>.</w:t>
      </w:r>
    </w:p>
    <w:p w:rsidR="004422DE" w:rsidRPr="004422DE" w:rsidRDefault="000A59DC" w:rsidP="00A042A8">
      <w:pPr>
        <w:pStyle w:val="Para1"/>
        <w:tabs>
          <w:tab w:val="clear" w:pos="360"/>
          <w:tab w:val="num" w:pos="720"/>
        </w:tabs>
        <w:rPr>
          <w:szCs w:val="22"/>
          <w:lang w:val="en-CA"/>
        </w:rPr>
      </w:pPr>
      <w:r w:rsidRPr="004466C3">
        <w:rPr>
          <w:lang w:val="en-CA"/>
        </w:rPr>
        <w:t>The present meeting of the Liaison Group will</w:t>
      </w:r>
      <w:r w:rsidR="004422DE" w:rsidRPr="004422DE">
        <w:rPr>
          <w:lang w:val="en-CA"/>
        </w:rPr>
        <w:t xml:space="preserve"> </w:t>
      </w:r>
      <w:r w:rsidR="004422DE" w:rsidRPr="004466C3">
        <w:rPr>
          <w:lang w:val="en-CA"/>
        </w:rPr>
        <w:t xml:space="preserve">provide </w:t>
      </w:r>
      <w:r w:rsidR="00FD1881">
        <w:rPr>
          <w:lang w:val="en-CA"/>
        </w:rPr>
        <w:t xml:space="preserve">advice </w:t>
      </w:r>
      <w:r w:rsidR="00D27136">
        <w:rPr>
          <w:lang w:val="en-CA"/>
        </w:rPr>
        <w:t>to</w:t>
      </w:r>
      <w:r w:rsidR="00603B7B">
        <w:rPr>
          <w:lang w:val="en-CA"/>
        </w:rPr>
        <w:t xml:space="preserve"> the Executive Secretary</w:t>
      </w:r>
      <w:r w:rsidR="00067B7B">
        <w:rPr>
          <w:lang w:val="en-CA"/>
        </w:rPr>
        <w:t xml:space="preserve"> </w:t>
      </w:r>
      <w:r w:rsidR="00FD1881">
        <w:rPr>
          <w:lang w:val="en-CA"/>
        </w:rPr>
        <w:t>on</w:t>
      </w:r>
      <w:r w:rsidR="00067B7B">
        <w:rPr>
          <w:lang w:val="en-CA"/>
        </w:rPr>
        <w:t xml:space="preserve"> </w:t>
      </w:r>
      <w:r w:rsidR="00FD1881">
        <w:rPr>
          <w:lang w:val="en-CA"/>
        </w:rPr>
        <w:t>(a)</w:t>
      </w:r>
      <w:r w:rsidR="008F749E">
        <w:rPr>
          <w:lang w:val="en-CA"/>
        </w:rPr>
        <w:t> </w:t>
      </w:r>
      <w:r w:rsidR="00FD1881">
        <w:rPr>
          <w:lang w:val="en-CA"/>
        </w:rPr>
        <w:t xml:space="preserve">the preparation of </w:t>
      </w:r>
      <w:r w:rsidR="00067B7B">
        <w:rPr>
          <w:lang w:val="en-CA"/>
        </w:rPr>
        <w:t xml:space="preserve">a </w:t>
      </w:r>
      <w:r w:rsidR="00D27136">
        <w:rPr>
          <w:lang w:val="en-CA"/>
        </w:rPr>
        <w:t>report on</w:t>
      </w:r>
      <w:r w:rsidR="004422DE">
        <w:t xml:space="preserve"> the s</w:t>
      </w:r>
      <w:r w:rsidR="004422DE" w:rsidRPr="00DE7EEA">
        <w:t xml:space="preserve">tatus </w:t>
      </w:r>
      <w:r w:rsidR="004422DE">
        <w:t xml:space="preserve">of implementation </w:t>
      </w:r>
      <w:r w:rsidR="004422DE" w:rsidRPr="00D306E0">
        <w:t>of the Framework and Action Plan for Capacity-Building</w:t>
      </w:r>
      <w:r w:rsidR="00067B7B">
        <w:t xml:space="preserve"> for consideration by the ninth meeting of the Parties to the Cartagena Protocol</w:t>
      </w:r>
      <w:r w:rsidR="0034688C">
        <w:t>;</w:t>
      </w:r>
      <w:r w:rsidR="004422DE">
        <w:rPr>
          <w:lang w:val="en-CA"/>
        </w:rPr>
        <w:t xml:space="preserve"> </w:t>
      </w:r>
      <w:r w:rsidR="0034688C">
        <w:rPr>
          <w:lang w:val="en-CA"/>
        </w:rPr>
        <w:t>(b)</w:t>
      </w:r>
      <w:r w:rsidR="00067B7B">
        <w:rPr>
          <w:lang w:val="en-CA"/>
        </w:rPr>
        <w:t xml:space="preserve"> </w:t>
      </w:r>
      <w:r w:rsidR="0034688C">
        <w:rPr>
          <w:lang w:val="en-CA"/>
        </w:rPr>
        <w:t>the</w:t>
      </w:r>
      <w:r w:rsidR="00067B7B">
        <w:rPr>
          <w:lang w:val="en-CA"/>
        </w:rPr>
        <w:t xml:space="preserve"> </w:t>
      </w:r>
      <w:r w:rsidR="00A2393A">
        <w:rPr>
          <w:lang w:val="en-CA"/>
        </w:rPr>
        <w:t>planning</w:t>
      </w:r>
      <w:r w:rsidR="004422DE">
        <w:t xml:space="preserve"> for the f</w:t>
      </w:r>
      <w:r w:rsidR="004422DE">
        <w:rPr>
          <w:kern w:val="22"/>
        </w:rPr>
        <w:t>ourth assessment and review of the Cartagena Protocol and final evaluation of the Strategic Plan for the Cartagena Protocol for the period 2011-2020</w:t>
      </w:r>
      <w:r w:rsidR="008F03D1">
        <w:rPr>
          <w:kern w:val="22"/>
        </w:rPr>
        <w:t>;</w:t>
      </w:r>
      <w:r w:rsidR="004422DE">
        <w:rPr>
          <w:kern w:val="22"/>
        </w:rPr>
        <w:t xml:space="preserve"> and </w:t>
      </w:r>
      <w:r w:rsidR="008F03D1">
        <w:rPr>
          <w:kern w:val="22"/>
        </w:rPr>
        <w:t xml:space="preserve">(c) </w:t>
      </w:r>
      <w:r w:rsidR="004422DE">
        <w:rPr>
          <w:kern w:val="22"/>
        </w:rPr>
        <w:t>p</w:t>
      </w:r>
      <w:r w:rsidR="004422DE">
        <w:t>rocess</w:t>
      </w:r>
      <w:r w:rsidR="00000756">
        <w:t>es</w:t>
      </w:r>
      <w:r w:rsidR="004422DE">
        <w:t xml:space="preserve"> for the </w:t>
      </w:r>
      <w:r w:rsidR="004422DE" w:rsidRPr="00D306E0">
        <w:t xml:space="preserve">preparation </w:t>
      </w:r>
      <w:r w:rsidR="004422DE">
        <w:t>of</w:t>
      </w:r>
      <w:r w:rsidR="004422DE" w:rsidRPr="00D306E0">
        <w:t xml:space="preserve"> post-2020 </w:t>
      </w:r>
      <w:r w:rsidR="004422DE">
        <w:t>strategies.</w:t>
      </w:r>
    </w:p>
    <w:p w:rsidR="005F49CB" w:rsidRPr="00F71191" w:rsidRDefault="005F49CB" w:rsidP="003B4CC1">
      <w:pPr>
        <w:pStyle w:val="HEADING"/>
        <w:keepNext/>
        <w:suppressLineNumbers/>
        <w:suppressAutoHyphens/>
        <w:spacing w:before="120"/>
        <w:outlineLvl w:val="0"/>
        <w:rPr>
          <w:szCs w:val="22"/>
        </w:rPr>
      </w:pPr>
      <w:r w:rsidRPr="00F71191">
        <w:rPr>
          <w:szCs w:val="22"/>
        </w:rPr>
        <w:t>ITEM 1.</w:t>
      </w:r>
      <w:r w:rsidRPr="00F71191">
        <w:rPr>
          <w:szCs w:val="22"/>
        </w:rPr>
        <w:tab/>
        <w:t>OPENING OF THE MEETING</w:t>
      </w:r>
    </w:p>
    <w:p w:rsidR="005F49CB" w:rsidRPr="00F71191" w:rsidRDefault="005F49CB" w:rsidP="00A042A8">
      <w:pPr>
        <w:pStyle w:val="Para1"/>
        <w:suppressLineNumbers/>
        <w:tabs>
          <w:tab w:val="clear" w:pos="360"/>
        </w:tabs>
        <w:suppressAutoHyphens/>
        <w:rPr>
          <w:szCs w:val="22"/>
        </w:rPr>
      </w:pPr>
      <w:r w:rsidRPr="00F71191">
        <w:rPr>
          <w:szCs w:val="22"/>
        </w:rPr>
        <w:t xml:space="preserve">The meeting will be opened by a representative of the Secretariat of the Convention on Biological Diversity </w:t>
      </w:r>
      <w:r w:rsidR="000538A7" w:rsidRPr="00F71191">
        <w:rPr>
          <w:szCs w:val="22"/>
        </w:rPr>
        <w:t xml:space="preserve">at 9 a.m. </w:t>
      </w:r>
      <w:r w:rsidRPr="00F71191">
        <w:rPr>
          <w:szCs w:val="22"/>
        </w:rPr>
        <w:t xml:space="preserve">on </w:t>
      </w:r>
      <w:r w:rsidR="009F1A8A">
        <w:rPr>
          <w:szCs w:val="22"/>
        </w:rPr>
        <w:t>Wednesday</w:t>
      </w:r>
      <w:r w:rsidR="000538A7" w:rsidRPr="00F71191">
        <w:rPr>
          <w:szCs w:val="22"/>
        </w:rPr>
        <w:t>,</w:t>
      </w:r>
      <w:r w:rsidR="00F970B4" w:rsidRPr="00F71191">
        <w:rPr>
          <w:szCs w:val="22"/>
        </w:rPr>
        <w:t xml:space="preserve"> </w:t>
      </w:r>
      <w:r w:rsidR="009F1A8A">
        <w:rPr>
          <w:szCs w:val="22"/>
        </w:rPr>
        <w:t>5 September 2018</w:t>
      </w:r>
      <w:r w:rsidR="000538A7" w:rsidRPr="00F71191">
        <w:rPr>
          <w:szCs w:val="22"/>
        </w:rPr>
        <w:t>.</w:t>
      </w:r>
    </w:p>
    <w:p w:rsidR="005F49CB" w:rsidRPr="00F71191" w:rsidRDefault="005F49CB" w:rsidP="003B4CC1">
      <w:pPr>
        <w:pStyle w:val="HEADING"/>
        <w:keepNext/>
        <w:suppressLineNumbers/>
        <w:suppressAutoHyphens/>
        <w:spacing w:before="120"/>
        <w:outlineLvl w:val="0"/>
        <w:rPr>
          <w:szCs w:val="22"/>
        </w:rPr>
      </w:pPr>
      <w:r w:rsidRPr="00F71191">
        <w:rPr>
          <w:szCs w:val="22"/>
        </w:rPr>
        <w:t>ITEM 2.</w:t>
      </w:r>
      <w:r w:rsidRPr="00F71191">
        <w:rPr>
          <w:szCs w:val="22"/>
        </w:rPr>
        <w:tab/>
        <w:t>ORGANIZATIONAL MATTERS</w:t>
      </w:r>
    </w:p>
    <w:p w:rsidR="005F49CB" w:rsidRPr="00F71191" w:rsidRDefault="005F49CB" w:rsidP="00A042A8">
      <w:pPr>
        <w:pStyle w:val="Heading-plain0"/>
        <w:suppressLineNumbers/>
        <w:suppressAutoHyphens/>
        <w:rPr>
          <w:i w:val="0"/>
          <w:szCs w:val="22"/>
        </w:rPr>
      </w:pPr>
      <w:r w:rsidRPr="00F71191">
        <w:rPr>
          <w:i w:val="0"/>
          <w:szCs w:val="22"/>
        </w:rPr>
        <w:t>2.1</w:t>
      </w:r>
      <w:r w:rsidR="00890BE1">
        <w:rPr>
          <w:i w:val="0"/>
          <w:szCs w:val="22"/>
        </w:rPr>
        <w:t>.</w:t>
      </w:r>
      <w:r w:rsidRPr="00F71191">
        <w:rPr>
          <w:i w:val="0"/>
          <w:szCs w:val="22"/>
        </w:rPr>
        <w:tab/>
        <w:t>Election of officers</w:t>
      </w:r>
    </w:p>
    <w:p w:rsidR="005F49CB" w:rsidRPr="00F71191" w:rsidRDefault="005F49CB" w:rsidP="00A042A8">
      <w:pPr>
        <w:pStyle w:val="Para1"/>
        <w:suppressLineNumbers/>
        <w:tabs>
          <w:tab w:val="clear" w:pos="360"/>
        </w:tabs>
        <w:suppressAutoHyphens/>
        <w:rPr>
          <w:szCs w:val="22"/>
        </w:rPr>
      </w:pPr>
      <w:r w:rsidRPr="00F71191">
        <w:rPr>
          <w:szCs w:val="22"/>
        </w:rPr>
        <w:t xml:space="preserve">The Liaison Group will be invited to elect its </w:t>
      </w:r>
      <w:r w:rsidR="00603B7B">
        <w:rPr>
          <w:szCs w:val="22"/>
        </w:rPr>
        <w:t>officers</w:t>
      </w:r>
      <w:r w:rsidRPr="00F71191">
        <w:rPr>
          <w:szCs w:val="22"/>
        </w:rPr>
        <w:t xml:space="preserve"> from among the </w:t>
      </w:r>
      <w:r w:rsidR="00C9113D" w:rsidRPr="00F71191">
        <w:rPr>
          <w:szCs w:val="22"/>
        </w:rPr>
        <w:t xml:space="preserve">members </w:t>
      </w:r>
      <w:r w:rsidRPr="00F71191">
        <w:rPr>
          <w:szCs w:val="22"/>
        </w:rPr>
        <w:t>participa</w:t>
      </w:r>
      <w:r w:rsidR="00C9113D" w:rsidRPr="00F71191">
        <w:rPr>
          <w:szCs w:val="22"/>
        </w:rPr>
        <w:t xml:space="preserve">ting </w:t>
      </w:r>
      <w:r w:rsidRPr="00F71191">
        <w:rPr>
          <w:szCs w:val="22"/>
        </w:rPr>
        <w:t>in the meeting.</w:t>
      </w:r>
    </w:p>
    <w:p w:rsidR="005F49CB" w:rsidRPr="00F71191" w:rsidRDefault="005F49CB" w:rsidP="00A042A8">
      <w:pPr>
        <w:pStyle w:val="Heading-plain0"/>
        <w:suppressLineNumbers/>
        <w:suppressAutoHyphens/>
        <w:rPr>
          <w:i w:val="0"/>
          <w:szCs w:val="22"/>
        </w:rPr>
      </w:pPr>
      <w:r w:rsidRPr="00F71191">
        <w:rPr>
          <w:i w:val="0"/>
          <w:szCs w:val="22"/>
        </w:rPr>
        <w:lastRenderedPageBreak/>
        <w:t>2.2</w:t>
      </w:r>
      <w:r w:rsidR="00890BE1">
        <w:rPr>
          <w:i w:val="0"/>
          <w:szCs w:val="22"/>
        </w:rPr>
        <w:t>.</w:t>
      </w:r>
      <w:r w:rsidRPr="00F71191">
        <w:rPr>
          <w:i w:val="0"/>
          <w:szCs w:val="22"/>
        </w:rPr>
        <w:tab/>
        <w:t>Adoption of the agenda</w:t>
      </w:r>
      <w:r w:rsidR="002B551D" w:rsidRPr="00F71191">
        <w:rPr>
          <w:i w:val="0"/>
          <w:szCs w:val="22"/>
        </w:rPr>
        <w:t xml:space="preserve"> and organization of work</w:t>
      </w:r>
    </w:p>
    <w:p w:rsidR="005F49CB" w:rsidRPr="00F71191" w:rsidRDefault="005F49CB" w:rsidP="00A042A8">
      <w:pPr>
        <w:pStyle w:val="Para1"/>
        <w:suppressLineNumbers/>
        <w:tabs>
          <w:tab w:val="clear" w:pos="360"/>
        </w:tabs>
        <w:suppressAutoHyphens/>
        <w:rPr>
          <w:szCs w:val="22"/>
        </w:rPr>
      </w:pPr>
      <w:bookmarkStart w:id="1" w:name="_Ref2661343"/>
      <w:r w:rsidRPr="00F71191">
        <w:rPr>
          <w:szCs w:val="22"/>
        </w:rPr>
        <w:t xml:space="preserve">The </w:t>
      </w:r>
      <w:r w:rsidR="00131A01">
        <w:rPr>
          <w:szCs w:val="22"/>
        </w:rPr>
        <w:t>Liaison Group</w:t>
      </w:r>
      <w:r w:rsidR="00131A01" w:rsidRPr="00F71191">
        <w:rPr>
          <w:szCs w:val="22"/>
        </w:rPr>
        <w:t xml:space="preserve"> </w:t>
      </w:r>
      <w:r w:rsidRPr="00F71191">
        <w:rPr>
          <w:szCs w:val="22"/>
        </w:rPr>
        <w:t xml:space="preserve">will be invited to adopt its agenda </w:t>
      </w:r>
      <w:proofErr w:type="gramStart"/>
      <w:r w:rsidRPr="00F71191">
        <w:rPr>
          <w:szCs w:val="22"/>
        </w:rPr>
        <w:t>on the basis of</w:t>
      </w:r>
      <w:proofErr w:type="gramEnd"/>
      <w:r w:rsidRPr="00F71191">
        <w:rPr>
          <w:szCs w:val="22"/>
        </w:rPr>
        <w:t xml:space="preserve"> the provisional agenda prepared by the Executive Secretary (CBD/</w:t>
      </w:r>
      <w:r w:rsidR="00890BE1">
        <w:rPr>
          <w:szCs w:val="22"/>
        </w:rPr>
        <w:t>CP</w:t>
      </w:r>
      <w:r w:rsidRPr="00F71191">
        <w:rPr>
          <w:szCs w:val="22"/>
        </w:rPr>
        <w:t>/LG-CB/</w:t>
      </w:r>
      <w:r w:rsidR="008332AC" w:rsidRPr="00F71191">
        <w:rPr>
          <w:szCs w:val="22"/>
        </w:rPr>
        <w:t>1</w:t>
      </w:r>
      <w:r w:rsidR="009F1A8A">
        <w:rPr>
          <w:szCs w:val="22"/>
        </w:rPr>
        <w:t>2</w:t>
      </w:r>
      <w:r w:rsidRPr="00F71191">
        <w:rPr>
          <w:szCs w:val="22"/>
        </w:rPr>
        <w:t>/1)</w:t>
      </w:r>
      <w:bookmarkEnd w:id="1"/>
      <w:r w:rsidRPr="00F71191">
        <w:rPr>
          <w:szCs w:val="22"/>
        </w:rPr>
        <w:t>.</w:t>
      </w:r>
      <w:r w:rsidR="002B551D" w:rsidRPr="00F71191">
        <w:rPr>
          <w:szCs w:val="22"/>
        </w:rPr>
        <w:t xml:space="preserve"> </w:t>
      </w:r>
      <w:r w:rsidRPr="00F71191">
        <w:rPr>
          <w:szCs w:val="22"/>
        </w:rPr>
        <w:t xml:space="preserve">The Liaison Group will </w:t>
      </w:r>
      <w:r w:rsidR="002B551D" w:rsidRPr="00F71191">
        <w:rPr>
          <w:szCs w:val="22"/>
        </w:rPr>
        <w:t xml:space="preserve">also </w:t>
      </w:r>
      <w:r w:rsidRPr="00F71191">
        <w:rPr>
          <w:szCs w:val="22"/>
        </w:rPr>
        <w:t xml:space="preserve">be invited to </w:t>
      </w:r>
      <w:r w:rsidR="002B551D" w:rsidRPr="00F71191">
        <w:rPr>
          <w:szCs w:val="22"/>
        </w:rPr>
        <w:t xml:space="preserve">adopt </w:t>
      </w:r>
      <w:r w:rsidRPr="00F71191">
        <w:rPr>
          <w:szCs w:val="22"/>
        </w:rPr>
        <w:t xml:space="preserve">its organization of work on the basis </w:t>
      </w:r>
      <w:r w:rsidR="00B05FB5">
        <w:rPr>
          <w:szCs w:val="22"/>
        </w:rPr>
        <w:t>of</w:t>
      </w:r>
      <w:r w:rsidRPr="00F71191">
        <w:rPr>
          <w:szCs w:val="22"/>
        </w:rPr>
        <w:t xml:space="preserve"> </w:t>
      </w:r>
      <w:r w:rsidR="00B05FB5">
        <w:rPr>
          <w:szCs w:val="22"/>
        </w:rPr>
        <w:t xml:space="preserve">the </w:t>
      </w:r>
      <w:r w:rsidRPr="00F71191">
        <w:rPr>
          <w:szCs w:val="22"/>
        </w:rPr>
        <w:t xml:space="preserve">annex </w:t>
      </w:r>
      <w:r w:rsidR="00EC0E5F" w:rsidRPr="00F71191">
        <w:rPr>
          <w:szCs w:val="22"/>
        </w:rPr>
        <w:t>below</w:t>
      </w:r>
      <w:r w:rsidR="009E2A7A" w:rsidRPr="00F71191">
        <w:rPr>
          <w:szCs w:val="22"/>
        </w:rPr>
        <w:t>.</w:t>
      </w:r>
    </w:p>
    <w:p w:rsidR="00AE1371" w:rsidRPr="00F71191" w:rsidRDefault="005F49CB" w:rsidP="00A042A8">
      <w:pPr>
        <w:pStyle w:val="Heading1"/>
        <w:suppressLineNumbers/>
        <w:tabs>
          <w:tab w:val="clear" w:pos="720"/>
        </w:tabs>
        <w:suppressAutoHyphens/>
        <w:spacing w:before="120"/>
        <w:ind w:left="1800" w:hanging="1080"/>
        <w:jc w:val="left"/>
        <w:rPr>
          <w:szCs w:val="22"/>
        </w:rPr>
      </w:pPr>
      <w:r w:rsidRPr="00F71191">
        <w:rPr>
          <w:szCs w:val="22"/>
        </w:rPr>
        <w:t>ITEM 3.</w:t>
      </w:r>
      <w:r w:rsidRPr="00F71191">
        <w:rPr>
          <w:szCs w:val="22"/>
        </w:rPr>
        <w:tab/>
      </w:r>
      <w:r w:rsidR="0000322D">
        <w:rPr>
          <w:caps w:val="0"/>
        </w:rPr>
        <w:t>REPORT ON THE S</w:t>
      </w:r>
      <w:r w:rsidR="0000322D" w:rsidRPr="00DE7EEA">
        <w:rPr>
          <w:caps w:val="0"/>
        </w:rPr>
        <w:t xml:space="preserve">TATUS </w:t>
      </w:r>
      <w:r w:rsidR="0000322D">
        <w:rPr>
          <w:caps w:val="0"/>
        </w:rPr>
        <w:t xml:space="preserve">OF IMPLEMENTATION </w:t>
      </w:r>
      <w:r w:rsidR="0000322D" w:rsidRPr="00D306E0">
        <w:rPr>
          <w:caps w:val="0"/>
        </w:rPr>
        <w:t>OF THE FRAMEWORK AND ACTION PLAN FOR CAPACITY-BUILDING FOR THE EFFECTIVE IMPLEMENTATION OF THE CARTAGENA PROTOCOL ON BIOSAFETY</w:t>
      </w:r>
    </w:p>
    <w:p w:rsidR="00E600EB" w:rsidRDefault="00455A3A" w:rsidP="00A042A8">
      <w:pPr>
        <w:pStyle w:val="Para1"/>
        <w:tabs>
          <w:tab w:val="clear" w:pos="360"/>
          <w:tab w:val="num" w:pos="720"/>
        </w:tabs>
      </w:pPr>
      <w:bookmarkStart w:id="2" w:name="_Ref158046009"/>
      <w:r w:rsidRPr="00455A3A">
        <w:t xml:space="preserve">The sixth meeting </w:t>
      </w:r>
      <w:r w:rsidR="00000756">
        <w:t xml:space="preserve">of the Parties to the Protocol </w:t>
      </w:r>
      <w:r w:rsidRPr="00455A3A">
        <w:t>adopted the Framework and Action Plan for Capacity-Building for the Effective Implementation of the Cartagena Protocol</w:t>
      </w:r>
      <w:r w:rsidR="00041549">
        <w:t xml:space="preserve"> </w:t>
      </w:r>
      <w:r w:rsidR="00106861">
        <w:t xml:space="preserve">on Biosafety </w:t>
      </w:r>
      <w:r w:rsidR="00041549">
        <w:t>(</w:t>
      </w:r>
      <w:r w:rsidR="00041549" w:rsidRPr="00455A3A">
        <w:rPr>
          <w:szCs w:val="22"/>
        </w:rPr>
        <w:t>Framework and Action Plan</w:t>
      </w:r>
      <w:r w:rsidR="00041549">
        <w:rPr>
          <w:szCs w:val="22"/>
        </w:rPr>
        <w:t>)</w:t>
      </w:r>
      <w:r w:rsidRPr="00455A3A">
        <w:t>,</w:t>
      </w:r>
      <w:r w:rsidRPr="00B05FB5">
        <w:rPr>
          <w:rStyle w:val="FootnoteReference"/>
          <w:szCs w:val="22"/>
          <w:u w:val="none"/>
          <w:vertAlign w:val="superscript"/>
        </w:rPr>
        <w:footnoteReference w:id="4"/>
      </w:r>
      <w:r w:rsidRPr="00455A3A">
        <w:t xml:space="preserve"> and </w:t>
      </w:r>
      <w:r w:rsidRPr="00455A3A">
        <w:rPr>
          <w:szCs w:val="22"/>
        </w:rPr>
        <w:t xml:space="preserve">requested the Executive Secretary to prepare, for consideration by the regular meetings of the </w:t>
      </w:r>
      <w:r w:rsidR="00000756">
        <w:t>Parties to the Protocol</w:t>
      </w:r>
      <w:r w:rsidRPr="00455A3A">
        <w:rPr>
          <w:szCs w:val="22"/>
        </w:rPr>
        <w:t>, reports on the status of implementation of the Framework and Action Plan, on the basis of the submissions made by Parties, other Governments and relevant organizations</w:t>
      </w:r>
      <w:r w:rsidRPr="00455A3A">
        <w:t>.</w:t>
      </w:r>
    </w:p>
    <w:p w:rsidR="00041549" w:rsidRDefault="00041549" w:rsidP="00A042A8">
      <w:pPr>
        <w:pStyle w:val="Para1"/>
        <w:tabs>
          <w:tab w:val="clear" w:pos="360"/>
          <w:tab w:val="num" w:pos="720"/>
        </w:tabs>
      </w:pPr>
      <w:r>
        <w:t>A notification</w:t>
      </w:r>
      <w:r w:rsidRPr="00202E16">
        <w:rPr>
          <w:vertAlign w:val="superscript"/>
        </w:rPr>
        <w:footnoteReference w:id="5"/>
      </w:r>
      <w:r>
        <w:t xml:space="preserve"> was issued by the Secretariat inviting Parties, other Governments, relevant organizations and indigenous peoples and local communities </w:t>
      </w:r>
      <w:r w:rsidRPr="00E04584">
        <w:t xml:space="preserve">to </w:t>
      </w:r>
      <w:r>
        <w:t>submit information</w:t>
      </w:r>
      <w:r w:rsidRPr="00647378">
        <w:t xml:space="preserve"> on the status of implementation of the</w:t>
      </w:r>
      <w:r>
        <w:t xml:space="preserve"> Framework and Action Plan, including a summary of the results of the activities undertaken, good practices and lessons learned. A total of twenty-eight submissions were received from twenty-six Parties, one other Government and one indigenous peoples and local communities</w:t>
      </w:r>
      <w:r w:rsidR="00202E16">
        <w:t>’</w:t>
      </w:r>
      <w:r w:rsidR="00202E16" w:rsidRPr="00202E16">
        <w:t xml:space="preserve"> </w:t>
      </w:r>
      <w:r w:rsidR="00202E16">
        <w:t>organi</w:t>
      </w:r>
      <w:r w:rsidR="00B8042F">
        <w:t>z</w:t>
      </w:r>
      <w:r w:rsidR="00202E16">
        <w:t>ation</w:t>
      </w:r>
      <w:r>
        <w:t>.</w:t>
      </w:r>
      <w:r w:rsidRPr="00202E16">
        <w:rPr>
          <w:vertAlign w:val="superscript"/>
        </w:rPr>
        <w:footnoteReference w:id="6"/>
      </w:r>
      <w:r w:rsidR="00202E16">
        <w:t xml:space="preserve"> </w:t>
      </w:r>
    </w:p>
    <w:p w:rsidR="00000756" w:rsidRDefault="00000756" w:rsidP="00A042A8">
      <w:pPr>
        <w:pStyle w:val="Para1"/>
        <w:tabs>
          <w:tab w:val="clear" w:pos="360"/>
          <w:tab w:val="num" w:pos="720"/>
        </w:tabs>
      </w:pPr>
      <w:r>
        <w:t xml:space="preserve">A report on </w:t>
      </w:r>
      <w:r w:rsidRPr="00CE224A">
        <w:t>the status of implementation of the Framework and Action Plan</w:t>
      </w:r>
      <w:r w:rsidRPr="00E04584">
        <w:t xml:space="preserve"> </w:t>
      </w:r>
      <w:r>
        <w:t>will be prepared by the Executive Secretary for consideration by</w:t>
      </w:r>
      <w:r w:rsidRPr="00E04584">
        <w:t xml:space="preserve"> </w:t>
      </w:r>
      <w:r>
        <w:t>the ninth meeting of</w:t>
      </w:r>
      <w:r w:rsidRPr="00EF2602">
        <w:t xml:space="preserve"> </w:t>
      </w:r>
      <w:r>
        <w:t xml:space="preserve">the </w:t>
      </w:r>
      <w:r w:rsidRPr="00EF2602">
        <w:t>Parties</w:t>
      </w:r>
      <w:r>
        <w:t xml:space="preserve"> to the Protocol.</w:t>
      </w:r>
    </w:p>
    <w:p w:rsidR="00455A3A" w:rsidRPr="007A5876" w:rsidRDefault="00455A3A" w:rsidP="00A042A8">
      <w:pPr>
        <w:pStyle w:val="Para1"/>
        <w:suppressLineNumbers/>
        <w:tabs>
          <w:tab w:val="clear" w:pos="360"/>
        </w:tabs>
        <w:suppressAutoHyphens/>
        <w:rPr>
          <w:szCs w:val="22"/>
        </w:rPr>
      </w:pPr>
      <w:proofErr w:type="gramStart"/>
      <w:r w:rsidRPr="00455A3A">
        <w:t>In light of</w:t>
      </w:r>
      <w:proofErr w:type="gramEnd"/>
      <w:r w:rsidRPr="00455A3A">
        <w:t xml:space="preserve"> the above, the Liaison Group will be invited to consider a synthesis of submissions prepared by the Secretariat in document </w:t>
      </w:r>
      <w:r w:rsidRPr="007A5876">
        <w:t>CBD/</w:t>
      </w:r>
      <w:r w:rsidR="00391D4A" w:rsidRPr="007A5876">
        <w:t>CP</w:t>
      </w:r>
      <w:r w:rsidRPr="007A5876">
        <w:t>/LG</w:t>
      </w:r>
      <w:r w:rsidRPr="007A5876">
        <w:noBreakHyphen/>
        <w:t>CB/12/2</w:t>
      </w:r>
      <w:r w:rsidRPr="00455A3A">
        <w:t xml:space="preserve"> and provide input to the report </w:t>
      </w:r>
      <w:r w:rsidRPr="007A5876">
        <w:t>on the status of implementation of the Framework and Action Plan.</w:t>
      </w:r>
      <w:r w:rsidRPr="00455A3A">
        <w:t xml:space="preserve"> </w:t>
      </w:r>
      <w:r w:rsidR="007A5876" w:rsidRPr="003B4CC1">
        <w:t>The Liaison Group will also be invited to consider documents UNEP/CBD/BS/COP-MOP/8/3, containing a summary report on the status of capacity-building under the Protocol on the basis of information provided through the third national reports as well as information made available through the Biosafety Clearing-House, and UNEP/CBD/BS/COP-MOP/8/12/Add.1, containing a detailed analysis of the status and trends in</w:t>
      </w:r>
      <w:r w:rsidR="00106861" w:rsidRPr="00397807">
        <w:t xml:space="preserve"> the implementation of capacity</w:t>
      </w:r>
      <w:r w:rsidR="00106861" w:rsidRPr="00E33F8C">
        <w:t>-</w:t>
      </w:r>
      <w:r w:rsidR="007A5876" w:rsidRPr="003B4CC1">
        <w:t>building under operational objectives 2.1 to 2.7 of the Strategic Plan for the Cartagena Protocol.</w:t>
      </w:r>
      <w:r w:rsidR="007A5876" w:rsidRPr="007A5876">
        <w:t xml:space="preserve">  </w:t>
      </w:r>
    </w:p>
    <w:p w:rsidR="009F1A8A" w:rsidRPr="00F71191" w:rsidRDefault="009F1A8A" w:rsidP="00A042A8">
      <w:pPr>
        <w:pStyle w:val="Heading1"/>
        <w:suppressLineNumbers/>
        <w:tabs>
          <w:tab w:val="clear" w:pos="720"/>
        </w:tabs>
        <w:suppressAutoHyphens/>
        <w:spacing w:before="120"/>
        <w:ind w:left="1440" w:hanging="1080"/>
        <w:jc w:val="left"/>
        <w:rPr>
          <w:szCs w:val="22"/>
        </w:rPr>
      </w:pPr>
      <w:r>
        <w:rPr>
          <w:szCs w:val="22"/>
        </w:rPr>
        <w:t>ITEM 4</w:t>
      </w:r>
      <w:r w:rsidRPr="00F71191">
        <w:rPr>
          <w:szCs w:val="22"/>
        </w:rPr>
        <w:t>.</w:t>
      </w:r>
      <w:r w:rsidRPr="00F71191">
        <w:rPr>
          <w:szCs w:val="22"/>
        </w:rPr>
        <w:tab/>
      </w:r>
      <w:r w:rsidR="0000322D">
        <w:rPr>
          <w:caps w:val="0"/>
        </w:rPr>
        <w:t>PLANNING FOR THE F</w:t>
      </w:r>
      <w:r w:rsidR="0000322D">
        <w:rPr>
          <w:caps w:val="0"/>
          <w:kern w:val="22"/>
        </w:rPr>
        <w:t>OURTH ASSESSMENT AND REVIEW OF THE CARTAGENA PROTOCOL AND FINAL EVALUATION OF THE STRATEGIC PLAN FOR THE CARTAGENA PROTOCOL FOR THE PERIOD 2011-2020</w:t>
      </w:r>
    </w:p>
    <w:p w:rsidR="00933AFA" w:rsidRPr="009F4680" w:rsidRDefault="00933AFA" w:rsidP="00A042A8">
      <w:pPr>
        <w:pStyle w:val="Para1"/>
        <w:tabs>
          <w:tab w:val="clear" w:pos="360"/>
          <w:tab w:val="num" w:pos="720"/>
        </w:tabs>
        <w:rPr>
          <w:color w:val="000000"/>
        </w:rPr>
      </w:pPr>
      <w:r w:rsidRPr="009F4680">
        <w:rPr>
          <w:color w:val="000000"/>
        </w:rPr>
        <w:t>Article 35</w:t>
      </w:r>
      <w:r w:rsidR="004A68DA">
        <w:rPr>
          <w:color w:val="000000"/>
        </w:rPr>
        <w:t>,</w:t>
      </w:r>
      <w:r w:rsidR="00000756" w:rsidRPr="009F4680">
        <w:rPr>
          <w:color w:val="000000"/>
        </w:rPr>
        <w:t xml:space="preserve"> on </w:t>
      </w:r>
      <w:r w:rsidR="00AC3073" w:rsidRPr="009F4680">
        <w:rPr>
          <w:color w:val="000000"/>
        </w:rPr>
        <w:t>Assessment and Review</w:t>
      </w:r>
      <w:r w:rsidR="004A68DA">
        <w:rPr>
          <w:color w:val="000000"/>
        </w:rPr>
        <w:t>,</w:t>
      </w:r>
      <w:r w:rsidR="00AC3073" w:rsidRPr="009F4680">
        <w:rPr>
          <w:color w:val="000000"/>
        </w:rPr>
        <w:t xml:space="preserve"> establishes that meeting</w:t>
      </w:r>
      <w:r w:rsidR="00000756" w:rsidRPr="009F4680">
        <w:rPr>
          <w:color w:val="000000"/>
        </w:rPr>
        <w:t>s</w:t>
      </w:r>
      <w:r w:rsidR="00AC3073" w:rsidRPr="009F4680">
        <w:rPr>
          <w:color w:val="000000"/>
        </w:rPr>
        <w:t xml:space="preserve"> of the Parties to the Protocol shall undertake, five years after the entry into force of the Protocol and at least every five years thereafter, an evaluation of the effectiveness of the Protocol, including an assessment of its procedures and annexes.</w:t>
      </w:r>
    </w:p>
    <w:p w:rsidR="00933AFA" w:rsidRPr="009F4680" w:rsidRDefault="00933AFA" w:rsidP="00A042A8">
      <w:pPr>
        <w:pStyle w:val="Para1"/>
        <w:rPr>
          <w:color w:val="000000"/>
        </w:rPr>
      </w:pPr>
      <w:r w:rsidRPr="009F4680">
        <w:rPr>
          <w:color w:val="000000"/>
        </w:rPr>
        <w:tab/>
      </w:r>
      <w:r w:rsidR="00AC3073" w:rsidRPr="009F4680">
        <w:rPr>
          <w:color w:val="000000"/>
        </w:rPr>
        <w:t>In 2016, t</w:t>
      </w:r>
      <w:r w:rsidRPr="009F4680">
        <w:rPr>
          <w:color w:val="000000"/>
        </w:rPr>
        <w:t xml:space="preserve">he third assessment and review of the Protocol </w:t>
      </w:r>
      <w:r w:rsidR="00AC3073" w:rsidRPr="009F4680">
        <w:rPr>
          <w:color w:val="000000"/>
        </w:rPr>
        <w:t xml:space="preserve">was undertaken </w:t>
      </w:r>
      <w:r w:rsidRPr="009F4680">
        <w:rPr>
          <w:color w:val="000000"/>
        </w:rPr>
        <w:t xml:space="preserve">in conjunction with the mid-term evaluation of the Strategic Plan for the Cartagena Protocol for the period 2011-2020 </w:t>
      </w:r>
      <w:r w:rsidR="00AC3073" w:rsidRPr="009F4680">
        <w:rPr>
          <w:color w:val="000000"/>
        </w:rPr>
        <w:t>by the eight</w:t>
      </w:r>
      <w:r w:rsidR="001155C8">
        <w:rPr>
          <w:color w:val="000000"/>
        </w:rPr>
        <w:t>h</w:t>
      </w:r>
      <w:r w:rsidR="00AC3073" w:rsidRPr="009F4680">
        <w:rPr>
          <w:color w:val="000000"/>
        </w:rPr>
        <w:t xml:space="preserve"> meeting of the Parties </w:t>
      </w:r>
      <w:r w:rsidR="00AC3073" w:rsidRPr="00397807">
        <w:rPr>
          <w:color w:val="000000"/>
        </w:rPr>
        <w:t>to the Protocol,</w:t>
      </w:r>
      <w:r w:rsidR="00106861" w:rsidRPr="003B4CC1">
        <w:rPr>
          <w:rStyle w:val="FootnoteReference"/>
          <w:color w:val="000000"/>
          <w:u w:val="none"/>
          <w:vertAlign w:val="superscript"/>
        </w:rPr>
        <w:footnoteReference w:id="7"/>
      </w:r>
      <w:r w:rsidR="00AC3073" w:rsidRPr="00397807">
        <w:rPr>
          <w:color w:val="000000"/>
        </w:rPr>
        <w:t xml:space="preserve"> on the</w:t>
      </w:r>
      <w:r w:rsidR="00AC3073" w:rsidRPr="009F4680">
        <w:rPr>
          <w:color w:val="000000"/>
        </w:rPr>
        <w:t xml:space="preserve"> basis of </w:t>
      </w:r>
      <w:hyperlink r:id="rId11" w:history="1">
        <w:r w:rsidR="00AC3073" w:rsidRPr="00D645FC">
          <w:rPr>
            <w:rStyle w:val="Hyperlink"/>
            <w:sz w:val="22"/>
          </w:rPr>
          <w:t xml:space="preserve">recommendation </w:t>
        </w:r>
        <w:r w:rsidR="00D645FC" w:rsidRPr="00D645FC">
          <w:rPr>
            <w:rStyle w:val="Hyperlink"/>
            <w:sz w:val="22"/>
          </w:rPr>
          <w:t>SBI-1/3</w:t>
        </w:r>
      </w:hyperlink>
      <w:r w:rsidR="00D645FC">
        <w:rPr>
          <w:color w:val="000000"/>
        </w:rPr>
        <w:t xml:space="preserve"> </w:t>
      </w:r>
      <w:r w:rsidR="00AC3073" w:rsidRPr="009F4680">
        <w:rPr>
          <w:color w:val="000000"/>
        </w:rPr>
        <w:t>from the Subsidiary Body on Implementation</w:t>
      </w:r>
      <w:r w:rsidRPr="009F4680">
        <w:rPr>
          <w:color w:val="000000"/>
        </w:rPr>
        <w:t xml:space="preserve"> </w:t>
      </w:r>
      <w:r w:rsidR="00AC3073" w:rsidRPr="009F4680">
        <w:rPr>
          <w:color w:val="000000"/>
        </w:rPr>
        <w:t xml:space="preserve">and </w:t>
      </w:r>
      <w:r w:rsidRPr="009F4680">
        <w:rPr>
          <w:color w:val="000000"/>
        </w:rPr>
        <w:t>input from the Compliance Committee and the Liaison Group on Capacity-Building.</w:t>
      </w:r>
    </w:p>
    <w:p w:rsidR="00A042A8" w:rsidRPr="009F4680" w:rsidRDefault="00D645FC" w:rsidP="00A042A8">
      <w:pPr>
        <w:pStyle w:val="Para1"/>
        <w:tabs>
          <w:tab w:val="clear" w:pos="360"/>
          <w:tab w:val="num" w:pos="720"/>
        </w:tabs>
        <w:rPr>
          <w:color w:val="000000"/>
        </w:rPr>
      </w:pPr>
      <w:r>
        <w:rPr>
          <w:color w:val="000000"/>
        </w:rPr>
        <w:t xml:space="preserve">In </w:t>
      </w:r>
      <w:hyperlink r:id="rId12" w:history="1">
        <w:r w:rsidRPr="00D645FC">
          <w:rPr>
            <w:rStyle w:val="Hyperlink"/>
            <w:sz w:val="22"/>
          </w:rPr>
          <w:t>recommendation SBI-2/12</w:t>
        </w:r>
      </w:hyperlink>
      <w:r>
        <w:rPr>
          <w:color w:val="000000"/>
        </w:rPr>
        <w:t>, t</w:t>
      </w:r>
      <w:r w:rsidR="00933AFA" w:rsidRPr="009F4680">
        <w:rPr>
          <w:color w:val="000000"/>
        </w:rPr>
        <w:t xml:space="preserve">he Subsidiary Body on Implementation, at its second meeting, recommended to the ninth </w:t>
      </w:r>
      <w:r w:rsidR="00933AFA" w:rsidRPr="009F4680">
        <w:rPr>
          <w:color w:val="000000"/>
          <w:lang w:val="en-CA"/>
        </w:rPr>
        <w:t>meeting</w:t>
      </w:r>
      <w:r w:rsidR="00933AFA" w:rsidRPr="009F4680">
        <w:rPr>
          <w:color w:val="000000"/>
          <w:szCs w:val="22"/>
          <w:lang w:val="en-CA"/>
        </w:rPr>
        <w:t xml:space="preserve"> of the Parties to the Protocol </w:t>
      </w:r>
      <w:r w:rsidR="00933AFA" w:rsidRPr="009F4680">
        <w:rPr>
          <w:color w:val="000000"/>
        </w:rPr>
        <w:t>that the fourth assessment and review of the Cartagena Protocol be combined with the final evaluation of the Strategic Plan for the Cartagena Protocol for the period 2011-2020</w:t>
      </w:r>
      <w:r w:rsidR="00A042A8" w:rsidRPr="009F4680">
        <w:rPr>
          <w:color w:val="000000"/>
        </w:rPr>
        <w:t>.</w:t>
      </w:r>
    </w:p>
    <w:p w:rsidR="00A042A8" w:rsidRPr="00397807" w:rsidRDefault="00A042A8" w:rsidP="00A042A8">
      <w:pPr>
        <w:pStyle w:val="Para1"/>
        <w:tabs>
          <w:tab w:val="clear" w:pos="360"/>
          <w:tab w:val="num" w:pos="720"/>
        </w:tabs>
        <w:rPr>
          <w:color w:val="000000"/>
        </w:rPr>
      </w:pPr>
      <w:r w:rsidRPr="00397807">
        <w:rPr>
          <w:color w:val="000000"/>
        </w:rPr>
        <w:t>Furthermore, the Subsidiary Body on Implementation also recommended</w:t>
      </w:r>
      <w:r w:rsidR="00933AFA" w:rsidRPr="00397807">
        <w:rPr>
          <w:color w:val="000000"/>
        </w:rPr>
        <w:t xml:space="preserve"> </w:t>
      </w:r>
      <w:r w:rsidRPr="00397807">
        <w:rPr>
          <w:color w:val="000000"/>
        </w:rPr>
        <w:t>that</w:t>
      </w:r>
      <w:r w:rsidR="00933AFA" w:rsidRPr="00397807">
        <w:rPr>
          <w:color w:val="000000"/>
        </w:rPr>
        <w:t xml:space="preserve"> the Liaison Group on Capacity-Building and the Compliance Committee contribute to the fourth assessment and review of the Cartagena Protocol and the final evaluation of the Strategic </w:t>
      </w:r>
      <w:proofErr w:type="gramStart"/>
      <w:r w:rsidR="00933AFA" w:rsidRPr="00397807">
        <w:rPr>
          <w:color w:val="000000"/>
        </w:rPr>
        <w:t>Plan, and</w:t>
      </w:r>
      <w:proofErr w:type="gramEnd"/>
      <w:r w:rsidR="00933AFA" w:rsidRPr="00397807">
        <w:rPr>
          <w:color w:val="000000"/>
        </w:rPr>
        <w:t xml:space="preserve"> submit their conclusions for consideration by the Subsidiary Body on Implementation.</w:t>
      </w:r>
    </w:p>
    <w:p w:rsidR="007654C3" w:rsidRPr="007654C3" w:rsidRDefault="007654C3" w:rsidP="00A042A8">
      <w:pPr>
        <w:pStyle w:val="Para1"/>
        <w:tabs>
          <w:tab w:val="clear" w:pos="360"/>
          <w:tab w:val="num" w:pos="720"/>
        </w:tabs>
        <w:rPr>
          <w:color w:val="000000"/>
        </w:rPr>
      </w:pPr>
      <w:r w:rsidRPr="00397807">
        <w:t xml:space="preserve">The Secretariat will make a presentation on a possible </w:t>
      </w:r>
      <w:r w:rsidR="00A042A8" w:rsidRPr="00397807">
        <w:t xml:space="preserve">process </w:t>
      </w:r>
      <w:r w:rsidR="009048A3" w:rsidRPr="00397807">
        <w:rPr>
          <w:color w:val="000000"/>
        </w:rPr>
        <w:t xml:space="preserve">in which </w:t>
      </w:r>
      <w:r w:rsidR="00000756" w:rsidRPr="00397807">
        <w:rPr>
          <w:color w:val="000000"/>
        </w:rPr>
        <w:t xml:space="preserve">the Liaison Group and the Compliance Committee </w:t>
      </w:r>
      <w:r w:rsidR="009629E6" w:rsidRPr="00397807">
        <w:rPr>
          <w:color w:val="000000"/>
        </w:rPr>
        <w:t xml:space="preserve">would </w:t>
      </w:r>
      <w:r w:rsidR="00000756" w:rsidRPr="00397807">
        <w:rPr>
          <w:color w:val="000000"/>
        </w:rPr>
        <w:t>work in a complementary</w:t>
      </w:r>
      <w:r w:rsidR="00000756" w:rsidRPr="00000756">
        <w:rPr>
          <w:color w:val="000000"/>
        </w:rPr>
        <w:t xml:space="preserve"> and non-duplicative manner</w:t>
      </w:r>
      <w:r w:rsidR="00000756">
        <w:rPr>
          <w:color w:val="000000"/>
        </w:rPr>
        <w:t xml:space="preserve"> to</w:t>
      </w:r>
      <w:r w:rsidR="00000756" w:rsidRPr="00000756">
        <w:rPr>
          <w:color w:val="000000"/>
        </w:rPr>
        <w:t xml:space="preserve"> contribute to the fourth assessment and review of the Cartagena Protocol and the final evaluation of the Strategic Plan</w:t>
      </w:r>
      <w:r w:rsidR="00000756">
        <w:rPr>
          <w:color w:val="000000"/>
        </w:rPr>
        <w:t>.</w:t>
      </w:r>
      <w:r w:rsidRPr="007654C3">
        <w:t xml:space="preserve"> </w:t>
      </w:r>
    </w:p>
    <w:p w:rsidR="00000756" w:rsidRPr="009F4680" w:rsidRDefault="007654C3" w:rsidP="00A042A8">
      <w:pPr>
        <w:pStyle w:val="Para1"/>
        <w:tabs>
          <w:tab w:val="clear" w:pos="360"/>
          <w:tab w:val="num" w:pos="720"/>
        </w:tabs>
        <w:rPr>
          <w:color w:val="000000"/>
        </w:rPr>
      </w:pPr>
      <w:proofErr w:type="gramStart"/>
      <w:r w:rsidRPr="00A042A8">
        <w:t>In light of</w:t>
      </w:r>
      <w:proofErr w:type="gramEnd"/>
      <w:r w:rsidRPr="00A042A8">
        <w:t xml:space="preserve"> the above, the </w:t>
      </w:r>
      <w:r w:rsidRPr="00397807">
        <w:t xml:space="preserve">Liaison Group will be invited to consider the information presented and provide input </w:t>
      </w:r>
      <w:r w:rsidR="00A5109F" w:rsidRPr="00397807">
        <w:t>on</w:t>
      </w:r>
      <w:r w:rsidRPr="00397807">
        <w:t xml:space="preserve"> the process </w:t>
      </w:r>
      <w:r w:rsidR="003C06A1" w:rsidRPr="00397807">
        <w:t xml:space="preserve">for </w:t>
      </w:r>
      <w:r w:rsidRPr="00397807">
        <w:rPr>
          <w:color w:val="000000"/>
        </w:rPr>
        <w:t>the fourth assessment</w:t>
      </w:r>
      <w:r w:rsidRPr="00000756">
        <w:rPr>
          <w:color w:val="000000"/>
        </w:rPr>
        <w:t xml:space="preserve"> and review of the Cartagena Protocol and the final evaluation of the Strategic Plan</w:t>
      </w:r>
      <w:r>
        <w:rPr>
          <w:color w:val="000000"/>
        </w:rPr>
        <w:t>.</w:t>
      </w:r>
      <w:r>
        <w:t xml:space="preserve"> </w:t>
      </w:r>
    </w:p>
    <w:p w:rsidR="009F1A8A" w:rsidRDefault="009F1A8A" w:rsidP="00A042A8">
      <w:pPr>
        <w:pStyle w:val="Heading1"/>
        <w:suppressLineNumbers/>
        <w:tabs>
          <w:tab w:val="clear" w:pos="720"/>
        </w:tabs>
        <w:suppressAutoHyphens/>
        <w:spacing w:before="120"/>
        <w:ind w:left="1800" w:hanging="1080"/>
        <w:jc w:val="left"/>
      </w:pPr>
      <w:r w:rsidRPr="00F71191">
        <w:rPr>
          <w:szCs w:val="22"/>
        </w:rPr>
        <w:t xml:space="preserve">ITEM </w:t>
      </w:r>
      <w:r>
        <w:rPr>
          <w:szCs w:val="22"/>
        </w:rPr>
        <w:t>5</w:t>
      </w:r>
      <w:r w:rsidRPr="00F71191">
        <w:rPr>
          <w:szCs w:val="22"/>
        </w:rPr>
        <w:t>.</w:t>
      </w:r>
      <w:r w:rsidRPr="00F71191">
        <w:rPr>
          <w:szCs w:val="22"/>
        </w:rPr>
        <w:tab/>
      </w:r>
      <w:r w:rsidR="0000322D">
        <w:rPr>
          <w:caps w:val="0"/>
        </w:rPr>
        <w:t xml:space="preserve">PROCESSES FOR THE </w:t>
      </w:r>
      <w:r w:rsidR="0000322D" w:rsidRPr="00D306E0">
        <w:rPr>
          <w:caps w:val="0"/>
        </w:rPr>
        <w:t xml:space="preserve">PREPARATION </w:t>
      </w:r>
      <w:r w:rsidR="0000322D">
        <w:rPr>
          <w:caps w:val="0"/>
        </w:rPr>
        <w:t>OF</w:t>
      </w:r>
      <w:r w:rsidR="0000322D" w:rsidRPr="00D306E0">
        <w:rPr>
          <w:caps w:val="0"/>
        </w:rPr>
        <w:t xml:space="preserve"> POST-2020 </w:t>
      </w:r>
      <w:r w:rsidR="0000322D">
        <w:rPr>
          <w:caps w:val="0"/>
        </w:rPr>
        <w:t>STRATEGIES</w:t>
      </w:r>
    </w:p>
    <w:p w:rsidR="00A042A8" w:rsidRDefault="00A042A8" w:rsidP="00A042A8">
      <w:pPr>
        <w:pStyle w:val="Para1"/>
        <w:suppressLineNumbers/>
        <w:tabs>
          <w:tab w:val="clear" w:pos="360"/>
        </w:tabs>
        <w:suppressAutoHyphens/>
        <w:rPr>
          <w:szCs w:val="22"/>
        </w:rPr>
      </w:pPr>
      <w:r w:rsidRPr="00A042A8">
        <w:rPr>
          <w:szCs w:val="22"/>
        </w:rPr>
        <w:t>Under this agenda item, the Secretariat will make presentation</w:t>
      </w:r>
      <w:r w:rsidR="000A639D">
        <w:rPr>
          <w:szCs w:val="22"/>
        </w:rPr>
        <w:t>s</w:t>
      </w:r>
      <w:r w:rsidRPr="00A042A8">
        <w:rPr>
          <w:szCs w:val="22"/>
        </w:rPr>
        <w:t xml:space="preserve"> </w:t>
      </w:r>
      <w:r w:rsidR="000A639D">
        <w:rPr>
          <w:szCs w:val="22"/>
        </w:rPr>
        <w:t xml:space="preserve">regarding </w:t>
      </w:r>
      <w:r w:rsidRPr="00A042A8">
        <w:t>the preparation</w:t>
      </w:r>
      <w:r w:rsidR="00127DAC">
        <w:t>s</w:t>
      </w:r>
      <w:r w:rsidRPr="00A042A8">
        <w:t xml:space="preserve"> </w:t>
      </w:r>
      <w:r w:rsidR="00127DAC">
        <w:t>of</w:t>
      </w:r>
      <w:r w:rsidRPr="00A042A8">
        <w:t xml:space="preserve"> post-2020 strategies</w:t>
      </w:r>
      <w:r w:rsidR="000A639D">
        <w:t>, includ</w:t>
      </w:r>
      <w:r w:rsidRPr="00A042A8">
        <w:t>ing: (a)</w:t>
      </w:r>
      <w:r w:rsidRPr="00A042A8">
        <w:rPr>
          <w:szCs w:val="22"/>
        </w:rPr>
        <w:t xml:space="preserve"> the p</w:t>
      </w:r>
      <w:r w:rsidRPr="00A042A8">
        <w:t>ost-2020 global biodiversity framework</w:t>
      </w:r>
      <w:r w:rsidR="0010017C">
        <w:t>;</w:t>
      </w:r>
      <w:r w:rsidRPr="00A042A8">
        <w:t xml:space="preserve"> (b) </w:t>
      </w:r>
      <w:r w:rsidR="000A639D">
        <w:t xml:space="preserve">the </w:t>
      </w:r>
      <w:r w:rsidRPr="00A042A8">
        <w:t>follow</w:t>
      </w:r>
      <w:r w:rsidR="009629E6">
        <w:t>-</w:t>
      </w:r>
      <w:r w:rsidRPr="00A042A8">
        <w:t>up to the Strategic Plan for the Cartagena Protocol</w:t>
      </w:r>
      <w:r w:rsidR="00397807">
        <w:t xml:space="preserve"> for the period 2011-2020</w:t>
      </w:r>
      <w:r w:rsidR="0010017C">
        <w:t>;</w:t>
      </w:r>
      <w:r w:rsidRPr="00A042A8">
        <w:t xml:space="preserve"> and (c) </w:t>
      </w:r>
      <w:r w:rsidR="000A639D">
        <w:t>the</w:t>
      </w:r>
      <w:r w:rsidRPr="00A042A8">
        <w:t xml:space="preserve"> post-2020 capacity development strategic framework</w:t>
      </w:r>
      <w:r w:rsidRPr="00A042A8">
        <w:rPr>
          <w:szCs w:val="22"/>
        </w:rPr>
        <w:t>.</w:t>
      </w:r>
    </w:p>
    <w:p w:rsidR="0010017C" w:rsidRPr="00127DAC" w:rsidRDefault="0010017C" w:rsidP="00A042A8">
      <w:pPr>
        <w:pStyle w:val="Para1"/>
        <w:suppressLineNumbers/>
        <w:tabs>
          <w:tab w:val="clear" w:pos="360"/>
        </w:tabs>
        <w:suppressAutoHyphens/>
        <w:rPr>
          <w:szCs w:val="22"/>
        </w:rPr>
      </w:pPr>
      <w:r w:rsidRPr="00127DAC">
        <w:rPr>
          <w:szCs w:val="22"/>
        </w:rPr>
        <w:t>Following the presentation</w:t>
      </w:r>
      <w:r w:rsidR="000A639D" w:rsidRPr="00127DAC">
        <w:rPr>
          <w:szCs w:val="22"/>
        </w:rPr>
        <w:t>s</w:t>
      </w:r>
      <w:r w:rsidRPr="00127DAC">
        <w:rPr>
          <w:szCs w:val="22"/>
        </w:rPr>
        <w:t xml:space="preserve">, the Liaison Group will be invited to consider </w:t>
      </w:r>
      <w:r w:rsidR="001602EC" w:rsidRPr="00127DAC">
        <w:rPr>
          <w:szCs w:val="22"/>
        </w:rPr>
        <w:t>the</w:t>
      </w:r>
      <w:r w:rsidRPr="00127DAC">
        <w:rPr>
          <w:szCs w:val="22"/>
        </w:rPr>
        <w:t xml:space="preserve"> process</w:t>
      </w:r>
      <w:r w:rsidR="00127DAC" w:rsidRPr="00127DAC">
        <w:rPr>
          <w:szCs w:val="22"/>
        </w:rPr>
        <w:t>es</w:t>
      </w:r>
      <w:r w:rsidRPr="00127DAC">
        <w:rPr>
          <w:szCs w:val="22"/>
        </w:rPr>
        <w:t xml:space="preserve"> for the </w:t>
      </w:r>
      <w:r w:rsidR="001602EC" w:rsidRPr="00127DAC">
        <w:rPr>
          <w:szCs w:val="22"/>
        </w:rPr>
        <w:t>preparation</w:t>
      </w:r>
      <w:r w:rsidRPr="00127DAC">
        <w:rPr>
          <w:szCs w:val="22"/>
        </w:rPr>
        <w:t xml:space="preserve"> of </w:t>
      </w:r>
      <w:r w:rsidR="009C16F7">
        <w:rPr>
          <w:szCs w:val="22"/>
        </w:rPr>
        <w:t>the post-2020 strategies</w:t>
      </w:r>
      <w:r w:rsidRPr="00127DAC">
        <w:rPr>
          <w:szCs w:val="22"/>
        </w:rPr>
        <w:t>.</w:t>
      </w:r>
    </w:p>
    <w:p w:rsidR="009F1A8A" w:rsidRPr="003B4CC1" w:rsidRDefault="009F1A8A" w:rsidP="00A042A8">
      <w:pPr>
        <w:pStyle w:val="Heading2"/>
        <w:rPr>
          <w:i w:val="0"/>
        </w:rPr>
      </w:pPr>
      <w:r w:rsidRPr="003B4CC1">
        <w:rPr>
          <w:i w:val="0"/>
        </w:rPr>
        <w:t>5.1.</w:t>
      </w:r>
      <w:r w:rsidRPr="003B4CC1">
        <w:rPr>
          <w:i w:val="0"/>
        </w:rPr>
        <w:tab/>
        <w:t>Post-2020 global biodiversity framework</w:t>
      </w:r>
    </w:p>
    <w:p w:rsidR="001602EC" w:rsidRPr="009C16F7" w:rsidRDefault="007654C3" w:rsidP="003B4CC1">
      <w:pPr>
        <w:pStyle w:val="Para1"/>
        <w:suppressLineNumbers/>
        <w:tabs>
          <w:tab w:val="clear" w:pos="360"/>
        </w:tabs>
        <w:suppressAutoHyphens/>
      </w:pPr>
      <w:r>
        <w:t xml:space="preserve">On the basis of </w:t>
      </w:r>
      <w:r w:rsidR="00D8600E">
        <w:t xml:space="preserve">document </w:t>
      </w:r>
      <w:r w:rsidR="00D8600E" w:rsidRPr="00D8600E">
        <w:rPr>
          <w:szCs w:val="22"/>
        </w:rPr>
        <w:t>CBD/SBI/2/17</w:t>
      </w:r>
      <w:r w:rsidR="00F5117C">
        <w:rPr>
          <w:szCs w:val="22"/>
        </w:rPr>
        <w:t>,</w:t>
      </w:r>
      <w:r w:rsidR="00D8600E" w:rsidRPr="00D8600E">
        <w:rPr>
          <w:szCs w:val="22"/>
        </w:rPr>
        <w:t xml:space="preserve"> </w:t>
      </w:r>
      <w:r>
        <w:t>“P</w:t>
      </w:r>
      <w:r w:rsidRPr="00E5278B">
        <w:t>roposals for a comprehensive and participatory process for the preparation of the post-</w:t>
      </w:r>
      <w:r w:rsidRPr="00397807">
        <w:t>2020 global biodiversity framework”</w:t>
      </w:r>
      <w:r w:rsidR="00F5117C" w:rsidRPr="00397807">
        <w:t>,</w:t>
      </w:r>
      <w:r w:rsidRPr="00397807">
        <w:t xml:space="preserve"> prepared by the Executive Secretary,</w:t>
      </w:r>
      <w:r w:rsidRPr="003B4CC1">
        <w:rPr>
          <w:rStyle w:val="FootnoteReference"/>
          <w:szCs w:val="22"/>
          <w:u w:val="none"/>
          <w:vertAlign w:val="superscript"/>
        </w:rPr>
        <w:footnoteReference w:id="8"/>
      </w:r>
      <w:r w:rsidRPr="00397807">
        <w:t xml:space="preserve"> t</w:t>
      </w:r>
      <w:r w:rsidR="00E0057A" w:rsidRPr="00397807">
        <w:rPr>
          <w:color w:val="000000"/>
        </w:rPr>
        <w:t>he Subsidiary Body on Implem</w:t>
      </w:r>
      <w:r w:rsidR="00E0057A" w:rsidRPr="009C16F7">
        <w:rPr>
          <w:color w:val="000000"/>
        </w:rPr>
        <w:t xml:space="preserve">entation, </w:t>
      </w:r>
      <w:r w:rsidR="00A5109F">
        <w:rPr>
          <w:color w:val="000000"/>
        </w:rPr>
        <w:t xml:space="preserve">in </w:t>
      </w:r>
      <w:hyperlink r:id="rId13" w:history="1">
        <w:r w:rsidR="00A5109F" w:rsidRPr="0002486D">
          <w:rPr>
            <w:rStyle w:val="Hyperlink"/>
            <w:sz w:val="22"/>
          </w:rPr>
          <w:t>recommendation SBI-2/19</w:t>
        </w:r>
      </w:hyperlink>
      <w:r w:rsidR="00E0057A" w:rsidRPr="009C16F7">
        <w:rPr>
          <w:color w:val="000000"/>
        </w:rPr>
        <w:t xml:space="preserve">, recommended that </w:t>
      </w:r>
      <w:r w:rsidR="001602EC" w:rsidRPr="009C16F7">
        <w:rPr>
          <w:color w:val="000000"/>
        </w:rPr>
        <w:t xml:space="preserve">the Conference of the Parties, at its </w:t>
      </w:r>
      <w:r w:rsidR="009C16F7" w:rsidRPr="009C16F7">
        <w:rPr>
          <w:color w:val="000000"/>
        </w:rPr>
        <w:t>fourteenth</w:t>
      </w:r>
      <w:r w:rsidR="001602EC" w:rsidRPr="009C16F7">
        <w:rPr>
          <w:color w:val="000000"/>
        </w:rPr>
        <w:t xml:space="preserve"> meeting, adopt a</w:t>
      </w:r>
      <w:r w:rsidR="001602EC" w:rsidRPr="009C16F7">
        <w:rPr>
          <w:kern w:val="22"/>
        </w:rPr>
        <w:t xml:space="preserve"> preparatory process for the development of the post-2020 global biodiversity framework</w:t>
      </w:r>
      <w:r w:rsidR="00E0057A" w:rsidRPr="009C16F7">
        <w:t>.</w:t>
      </w:r>
      <w:r w:rsidR="009C16F7" w:rsidRPr="009C16F7">
        <w:t xml:space="preserve"> </w:t>
      </w:r>
      <w:r w:rsidR="001602EC" w:rsidRPr="009C16F7">
        <w:t xml:space="preserve">In the same recommendation, the Subsidiary Body noted </w:t>
      </w:r>
      <w:r w:rsidR="001602EC" w:rsidRPr="009C16F7">
        <w:rPr>
          <w:kern w:val="22"/>
        </w:rPr>
        <w:t xml:space="preserve">a need </w:t>
      </w:r>
      <w:r w:rsidR="009C16F7" w:rsidRPr="009C16F7">
        <w:rPr>
          <w:kern w:val="22"/>
        </w:rPr>
        <w:t>for</w:t>
      </w:r>
      <w:r w:rsidR="001602EC" w:rsidRPr="009C16F7">
        <w:rPr>
          <w:kern w:val="22"/>
        </w:rPr>
        <w:t xml:space="preserve"> </w:t>
      </w:r>
      <w:r w:rsidR="009C16F7">
        <w:rPr>
          <w:kern w:val="22"/>
        </w:rPr>
        <w:t xml:space="preserve">the Secretariat to </w:t>
      </w:r>
      <w:r w:rsidR="001602EC" w:rsidRPr="009C16F7">
        <w:rPr>
          <w:kern w:val="22"/>
        </w:rPr>
        <w:t>promot</w:t>
      </w:r>
      <w:r w:rsidR="009C16F7">
        <w:rPr>
          <w:kern w:val="22"/>
        </w:rPr>
        <w:t>e</w:t>
      </w:r>
      <w:r w:rsidR="001602EC" w:rsidRPr="009C16F7">
        <w:rPr>
          <w:kern w:val="22"/>
        </w:rPr>
        <w:t xml:space="preserve">, and plan for, the active engagement of the Protocols to the Convention, other biodiversity-related </w:t>
      </w:r>
      <w:r w:rsidR="001602EC" w:rsidRPr="00397807">
        <w:rPr>
          <w:kern w:val="22"/>
        </w:rPr>
        <w:t>multilateral environmental agreements</w:t>
      </w:r>
      <w:r w:rsidR="00397807" w:rsidRPr="00397807">
        <w:rPr>
          <w:kern w:val="22"/>
        </w:rPr>
        <w:t>,</w:t>
      </w:r>
      <w:r w:rsidR="001602EC" w:rsidRPr="00397807">
        <w:rPr>
          <w:kern w:val="22"/>
        </w:rPr>
        <w:t xml:space="preserve"> relevant United Nations organizations</w:t>
      </w:r>
      <w:r w:rsidR="00B5179F" w:rsidRPr="003B4CC1">
        <w:rPr>
          <w:kern w:val="22"/>
        </w:rPr>
        <w:t>,</w:t>
      </w:r>
      <w:r w:rsidR="001602EC" w:rsidRPr="00397807">
        <w:rPr>
          <w:kern w:val="22"/>
        </w:rPr>
        <w:t xml:space="preserve"> and other relevant organizations in the</w:t>
      </w:r>
      <w:r w:rsidR="001602EC" w:rsidRPr="009C16F7">
        <w:rPr>
          <w:kern w:val="22"/>
        </w:rPr>
        <w:t xml:space="preserve"> process to prepare the post-2020 global biodiversity framework to build synergy and create ownership</w:t>
      </w:r>
      <w:r w:rsidR="009C16F7" w:rsidRPr="009C16F7">
        <w:rPr>
          <w:kern w:val="22"/>
        </w:rPr>
        <w:t>.</w:t>
      </w:r>
    </w:p>
    <w:p w:rsidR="009C16F7" w:rsidRPr="009C16F7" w:rsidRDefault="009C16F7" w:rsidP="003B4CC1">
      <w:pPr>
        <w:pStyle w:val="Para1"/>
        <w:suppressLineNumbers/>
        <w:tabs>
          <w:tab w:val="clear" w:pos="360"/>
        </w:tabs>
        <w:suppressAutoHyphens/>
        <w:rPr>
          <w:szCs w:val="22"/>
        </w:rPr>
      </w:pPr>
      <w:r>
        <w:rPr>
          <w:szCs w:val="22"/>
        </w:rPr>
        <w:t xml:space="preserve">Furthermore, the </w:t>
      </w:r>
      <w:r w:rsidRPr="009C16F7">
        <w:rPr>
          <w:color w:val="000000"/>
        </w:rPr>
        <w:t>Subsidiary Body</w:t>
      </w:r>
      <w:r>
        <w:rPr>
          <w:color w:val="000000"/>
        </w:rPr>
        <w:t xml:space="preserve"> recommended that</w:t>
      </w:r>
      <w:r w:rsidRPr="00625C12">
        <w:rPr>
          <w:iCs/>
          <w:kern w:val="22"/>
          <w:szCs w:val="22"/>
        </w:rPr>
        <w:t xml:space="preserve"> the</w:t>
      </w:r>
      <w:r>
        <w:rPr>
          <w:iCs/>
          <w:kern w:val="22"/>
          <w:szCs w:val="22"/>
        </w:rPr>
        <w:t xml:space="preserve"> ninth</w:t>
      </w:r>
      <w:r w:rsidRPr="00625C12">
        <w:rPr>
          <w:iCs/>
          <w:kern w:val="22"/>
          <w:szCs w:val="22"/>
        </w:rPr>
        <w:t xml:space="preserve"> meeting of the Parties to the Protocol adopt a decision</w:t>
      </w:r>
      <w:r>
        <w:rPr>
          <w:iCs/>
          <w:kern w:val="22"/>
          <w:szCs w:val="22"/>
        </w:rPr>
        <w:t xml:space="preserve"> inviting Parties to the Cartagena Protocol to </w:t>
      </w:r>
      <w:r w:rsidRPr="00625C12">
        <w:rPr>
          <w:kern w:val="22"/>
          <w:szCs w:val="22"/>
        </w:rPr>
        <w:t>participate in the process for developing the post-2020 global biodiversity framework.</w:t>
      </w:r>
    </w:p>
    <w:p w:rsidR="009C16F7" w:rsidRPr="00127DAC" w:rsidRDefault="009C16F7" w:rsidP="003B4CC1">
      <w:pPr>
        <w:pStyle w:val="Para1"/>
        <w:suppressLineNumbers/>
        <w:tabs>
          <w:tab w:val="clear" w:pos="360"/>
        </w:tabs>
        <w:suppressAutoHyphens/>
        <w:rPr>
          <w:szCs w:val="22"/>
        </w:rPr>
      </w:pPr>
      <w:r w:rsidRPr="00127DAC">
        <w:rPr>
          <w:szCs w:val="22"/>
        </w:rPr>
        <w:t xml:space="preserve">The Liaison Group will be invited to </w:t>
      </w:r>
      <w:r w:rsidR="007C026D">
        <w:rPr>
          <w:szCs w:val="22"/>
        </w:rPr>
        <w:t xml:space="preserve">provide advice </w:t>
      </w:r>
      <w:r w:rsidRPr="00127DAC">
        <w:rPr>
          <w:szCs w:val="22"/>
        </w:rPr>
        <w:t xml:space="preserve">to the Executive Secretary on how </w:t>
      </w:r>
      <w:r>
        <w:rPr>
          <w:szCs w:val="22"/>
        </w:rPr>
        <w:t xml:space="preserve">best </w:t>
      </w:r>
      <w:r w:rsidRPr="00127DAC">
        <w:rPr>
          <w:szCs w:val="22"/>
        </w:rPr>
        <w:t>to</w:t>
      </w:r>
      <w:r>
        <w:rPr>
          <w:szCs w:val="22"/>
        </w:rPr>
        <w:t xml:space="preserve"> </w:t>
      </w:r>
      <w:r w:rsidRPr="009C16F7">
        <w:rPr>
          <w:kern w:val="22"/>
          <w:szCs w:val="22"/>
        </w:rPr>
        <w:t>promot</w:t>
      </w:r>
      <w:r>
        <w:rPr>
          <w:kern w:val="22"/>
          <w:szCs w:val="22"/>
        </w:rPr>
        <w:t>e</w:t>
      </w:r>
      <w:r w:rsidRPr="009C16F7">
        <w:rPr>
          <w:kern w:val="22"/>
          <w:szCs w:val="22"/>
        </w:rPr>
        <w:t xml:space="preserve">, and plan for, the active engagement of the </w:t>
      </w:r>
      <w:r>
        <w:rPr>
          <w:kern w:val="22"/>
          <w:szCs w:val="22"/>
        </w:rPr>
        <w:t xml:space="preserve">Parties to the Cartagena </w:t>
      </w:r>
      <w:r w:rsidRPr="009C16F7">
        <w:rPr>
          <w:kern w:val="22"/>
          <w:szCs w:val="22"/>
        </w:rPr>
        <w:t>Protocol</w:t>
      </w:r>
      <w:r>
        <w:rPr>
          <w:kern w:val="22"/>
          <w:szCs w:val="22"/>
        </w:rPr>
        <w:t xml:space="preserve"> </w:t>
      </w:r>
      <w:r w:rsidRPr="00625C12">
        <w:rPr>
          <w:kern w:val="22"/>
          <w:szCs w:val="22"/>
        </w:rPr>
        <w:t>in the process for developing the post-2020 global biodiversity framework</w:t>
      </w:r>
      <w:r>
        <w:rPr>
          <w:kern w:val="22"/>
          <w:szCs w:val="22"/>
        </w:rPr>
        <w:t>.</w:t>
      </w:r>
    </w:p>
    <w:p w:rsidR="009F1A8A" w:rsidRPr="003B4CC1" w:rsidRDefault="009F1A8A" w:rsidP="00A042A8">
      <w:pPr>
        <w:pStyle w:val="Heading2"/>
        <w:rPr>
          <w:i w:val="0"/>
        </w:rPr>
      </w:pPr>
      <w:r w:rsidRPr="003B4CC1">
        <w:rPr>
          <w:i w:val="0"/>
        </w:rPr>
        <w:t>5.2.</w:t>
      </w:r>
      <w:r w:rsidRPr="003B4CC1">
        <w:rPr>
          <w:i w:val="0"/>
        </w:rPr>
        <w:tab/>
        <w:t>Follow</w:t>
      </w:r>
      <w:r w:rsidR="009629E6">
        <w:rPr>
          <w:i w:val="0"/>
        </w:rPr>
        <w:t>-</w:t>
      </w:r>
      <w:r w:rsidRPr="003B4CC1">
        <w:rPr>
          <w:i w:val="0"/>
        </w:rPr>
        <w:t>up to the Strategic Plan for the Cartagena Protocol</w:t>
      </w:r>
    </w:p>
    <w:p w:rsidR="00E0057A" w:rsidRPr="00127DAC" w:rsidRDefault="00E0057A" w:rsidP="00A5109F">
      <w:pPr>
        <w:pStyle w:val="Para1"/>
      </w:pPr>
      <w:r w:rsidRPr="00397807">
        <w:tab/>
      </w:r>
      <w:r w:rsidR="0002486D" w:rsidRPr="00397807">
        <w:t xml:space="preserve">In its </w:t>
      </w:r>
      <w:hyperlink r:id="rId14" w:history="1">
        <w:r w:rsidR="0002486D" w:rsidRPr="00397807">
          <w:rPr>
            <w:rStyle w:val="Hyperlink"/>
            <w:sz w:val="22"/>
          </w:rPr>
          <w:t>recommendation SBI-2/19</w:t>
        </w:r>
      </w:hyperlink>
      <w:r w:rsidR="0002486D" w:rsidRPr="00397807">
        <w:t>, t</w:t>
      </w:r>
      <w:r w:rsidRPr="00397807">
        <w:t>he Subsidiary Body on Implementation</w:t>
      </w:r>
      <w:r w:rsidR="00A5109F" w:rsidRPr="00397807">
        <w:t xml:space="preserve"> further</w:t>
      </w:r>
      <w:r w:rsidRPr="00397807">
        <w:t xml:space="preserve"> recommended that the ninth </w:t>
      </w:r>
      <w:r w:rsidRPr="00397807">
        <w:rPr>
          <w:lang w:val="en-CA"/>
        </w:rPr>
        <w:t>meeting of the Parties to the Protocol</w:t>
      </w:r>
      <w:r w:rsidRPr="00397807">
        <w:t xml:space="preserve"> decide to develop a specific follow-up to the Strategic Plan for the Cartagena Protocol on Biosafety for the period 2011-2020 that is complementary to the post-2020 global biodiversity framework, and request the Executive Secretary to</w:t>
      </w:r>
      <w:r w:rsidRPr="00127DAC">
        <w:t xml:space="preserve"> facilitate the development of its elements.</w:t>
      </w:r>
    </w:p>
    <w:p w:rsidR="00E0057A" w:rsidRPr="00127DAC" w:rsidRDefault="00E0057A" w:rsidP="009C16F7">
      <w:pPr>
        <w:pStyle w:val="Para1"/>
        <w:tabs>
          <w:tab w:val="clear" w:pos="360"/>
          <w:tab w:val="num" w:pos="720"/>
        </w:tabs>
        <w:rPr>
          <w:szCs w:val="22"/>
        </w:rPr>
      </w:pPr>
      <w:r w:rsidRPr="00127DAC">
        <w:rPr>
          <w:szCs w:val="22"/>
        </w:rPr>
        <w:t xml:space="preserve">The Liaison Group will be invited to discuss and </w:t>
      </w:r>
      <w:r w:rsidR="00C95DA4">
        <w:rPr>
          <w:szCs w:val="22"/>
        </w:rPr>
        <w:t>provide advice</w:t>
      </w:r>
      <w:r w:rsidRPr="00127DAC">
        <w:rPr>
          <w:szCs w:val="22"/>
        </w:rPr>
        <w:t xml:space="preserve"> to the Executive Secretary on </w:t>
      </w:r>
      <w:r w:rsidRPr="009E4933">
        <w:rPr>
          <w:szCs w:val="22"/>
        </w:rPr>
        <w:t xml:space="preserve">how to facilitate the development of </w:t>
      </w:r>
      <w:r w:rsidR="00D07CA2">
        <w:rPr>
          <w:kern w:val="22"/>
          <w:szCs w:val="22"/>
        </w:rPr>
        <w:t xml:space="preserve">a </w:t>
      </w:r>
      <w:r w:rsidRPr="009E4933">
        <w:rPr>
          <w:szCs w:val="22"/>
        </w:rPr>
        <w:t>follow-up to the Strategic Plan for the Cartagena Protocol on Biosafety for the period 2011-2020</w:t>
      </w:r>
      <w:r w:rsidR="00C95DA4">
        <w:rPr>
          <w:szCs w:val="22"/>
        </w:rPr>
        <w:t xml:space="preserve">. The Liaison Group may also </w:t>
      </w:r>
      <w:r w:rsidRPr="00127DAC">
        <w:rPr>
          <w:szCs w:val="22"/>
        </w:rPr>
        <w:t xml:space="preserve">share initial views </w:t>
      </w:r>
      <w:r w:rsidRPr="00127DAC">
        <w:rPr>
          <w:kern w:val="22"/>
          <w:szCs w:val="22"/>
        </w:rPr>
        <w:t xml:space="preserve">on </w:t>
      </w:r>
      <w:r w:rsidR="009E4933">
        <w:rPr>
          <w:kern w:val="22"/>
          <w:szCs w:val="22"/>
        </w:rPr>
        <w:t xml:space="preserve">the </w:t>
      </w:r>
      <w:r w:rsidR="00784F95">
        <w:rPr>
          <w:kern w:val="22"/>
          <w:szCs w:val="22"/>
        </w:rPr>
        <w:t xml:space="preserve">possible </w:t>
      </w:r>
      <w:r w:rsidRPr="00127DAC">
        <w:rPr>
          <w:kern w:val="22"/>
          <w:szCs w:val="22"/>
        </w:rPr>
        <w:t>content</w:t>
      </w:r>
      <w:r w:rsidR="00A2393A">
        <w:rPr>
          <w:kern w:val="22"/>
          <w:szCs w:val="22"/>
        </w:rPr>
        <w:t xml:space="preserve"> of the follow</w:t>
      </w:r>
      <w:r w:rsidR="009629E6">
        <w:rPr>
          <w:kern w:val="22"/>
          <w:szCs w:val="22"/>
        </w:rPr>
        <w:t>-</w:t>
      </w:r>
      <w:r w:rsidR="00A2393A">
        <w:rPr>
          <w:kern w:val="22"/>
          <w:szCs w:val="22"/>
        </w:rPr>
        <w:t>up to the Strategic Plan</w:t>
      </w:r>
      <w:r w:rsidRPr="00127DAC">
        <w:rPr>
          <w:kern w:val="22"/>
          <w:szCs w:val="22"/>
        </w:rPr>
        <w:t>.</w:t>
      </w:r>
    </w:p>
    <w:p w:rsidR="009F1A8A" w:rsidRPr="003B4CC1" w:rsidRDefault="009F1A8A" w:rsidP="00A042A8">
      <w:pPr>
        <w:pStyle w:val="Heading2"/>
        <w:rPr>
          <w:i w:val="0"/>
        </w:rPr>
      </w:pPr>
      <w:r w:rsidRPr="003B4CC1">
        <w:rPr>
          <w:i w:val="0"/>
        </w:rPr>
        <w:t>5.3.</w:t>
      </w:r>
      <w:r w:rsidRPr="003B4CC1">
        <w:rPr>
          <w:i w:val="0"/>
        </w:rPr>
        <w:tab/>
      </w:r>
      <w:r w:rsidR="00A2393A" w:rsidRPr="003B4CC1">
        <w:rPr>
          <w:i w:val="0"/>
        </w:rPr>
        <w:t>P</w:t>
      </w:r>
      <w:r w:rsidRPr="003B4CC1">
        <w:rPr>
          <w:i w:val="0"/>
        </w:rPr>
        <w:t xml:space="preserve">ost-2020 </w:t>
      </w:r>
      <w:r w:rsidR="00397807" w:rsidRPr="00397807">
        <w:rPr>
          <w:i w:val="0"/>
        </w:rPr>
        <w:t>c</w:t>
      </w:r>
      <w:r w:rsidRPr="003B4CC1">
        <w:rPr>
          <w:i w:val="0"/>
        </w:rPr>
        <w:t xml:space="preserve">apacity </w:t>
      </w:r>
      <w:r w:rsidR="00397807" w:rsidRPr="00397807">
        <w:rPr>
          <w:i w:val="0"/>
        </w:rPr>
        <w:t>d</w:t>
      </w:r>
      <w:r w:rsidRPr="003B4CC1">
        <w:rPr>
          <w:i w:val="0"/>
        </w:rPr>
        <w:t xml:space="preserve">evelopment </w:t>
      </w:r>
      <w:r w:rsidR="00397807" w:rsidRPr="00397807">
        <w:rPr>
          <w:i w:val="0"/>
        </w:rPr>
        <w:t>s</w:t>
      </w:r>
      <w:r w:rsidRPr="003B4CC1">
        <w:rPr>
          <w:i w:val="0"/>
        </w:rPr>
        <w:t xml:space="preserve">trategic </w:t>
      </w:r>
      <w:r w:rsidR="00397807" w:rsidRPr="00397807">
        <w:rPr>
          <w:i w:val="0"/>
        </w:rPr>
        <w:t>f</w:t>
      </w:r>
      <w:r w:rsidRPr="003B4CC1">
        <w:rPr>
          <w:i w:val="0"/>
        </w:rPr>
        <w:t>ramework</w:t>
      </w:r>
    </w:p>
    <w:p w:rsidR="00222BED" w:rsidRPr="00397807" w:rsidRDefault="0002486D" w:rsidP="0002486D">
      <w:pPr>
        <w:pStyle w:val="Para1"/>
        <w:tabs>
          <w:tab w:val="clear" w:pos="360"/>
          <w:tab w:val="num" w:pos="720"/>
        </w:tabs>
      </w:pPr>
      <w:r w:rsidRPr="00397807">
        <w:t xml:space="preserve">In </w:t>
      </w:r>
      <w:hyperlink r:id="rId15" w:history="1">
        <w:r w:rsidRPr="00397807">
          <w:rPr>
            <w:rStyle w:val="Hyperlink"/>
            <w:sz w:val="22"/>
          </w:rPr>
          <w:t>recommendation SBI-2/8</w:t>
        </w:r>
      </w:hyperlink>
      <w:r w:rsidRPr="00397807">
        <w:t>, t</w:t>
      </w:r>
      <w:r w:rsidR="00222BED" w:rsidRPr="00397807">
        <w:t xml:space="preserve">he Subsidiary Body on Implementation recommended that the ninth </w:t>
      </w:r>
      <w:r w:rsidR="00222BED" w:rsidRPr="00397807">
        <w:rPr>
          <w:lang w:val="en-CA"/>
        </w:rPr>
        <w:t xml:space="preserve">meeting of the Parties to the </w:t>
      </w:r>
      <w:r w:rsidRPr="00397807">
        <w:rPr>
          <w:lang w:val="en-CA"/>
        </w:rPr>
        <w:t xml:space="preserve">Cartagena </w:t>
      </w:r>
      <w:r w:rsidR="00222BED" w:rsidRPr="00397807">
        <w:rPr>
          <w:lang w:val="en-CA"/>
        </w:rPr>
        <w:t>Protocol</w:t>
      </w:r>
      <w:r w:rsidR="00222BED" w:rsidRPr="00397807">
        <w:t xml:space="preserve"> </w:t>
      </w:r>
      <w:r w:rsidRPr="00397807">
        <w:t>welcome</w:t>
      </w:r>
      <w:r w:rsidRPr="00397807">
        <w:rPr>
          <w:snapToGrid/>
          <w:kern w:val="22"/>
        </w:rPr>
        <w:t xml:space="preserve"> the terms of reference for a study to provide an information base for the preparation of a long-term strategic framework for capacity-building beyond 2020, as contained in the appendix to annex I to the recommendation, and </w:t>
      </w:r>
      <w:r w:rsidRPr="00397807">
        <w:rPr>
          <w:iCs/>
          <w:snapToGrid/>
          <w:kern w:val="22"/>
        </w:rPr>
        <w:t>requested</w:t>
      </w:r>
      <w:r w:rsidRPr="00397807">
        <w:rPr>
          <w:snapToGrid/>
          <w:kern w:val="22"/>
        </w:rPr>
        <w:t xml:space="preserve"> that aspects relevant to the Cartagena Protocol be considered in the study. In the same recommendation, the </w:t>
      </w:r>
      <w:r w:rsidRPr="00397807">
        <w:rPr>
          <w:color w:val="000000"/>
        </w:rPr>
        <w:t>Liaison Group on Capacity-building for Biosafety was requested to contribute to the development of the draft long-term strategic framework for capacity-building beyond 2020</w:t>
      </w:r>
      <w:r w:rsidR="008D3EAF" w:rsidRPr="00397807">
        <w:rPr>
          <w:color w:val="000000"/>
        </w:rPr>
        <w:t xml:space="preserve"> (</w:t>
      </w:r>
      <w:r w:rsidR="008D3EAF" w:rsidRPr="00397807">
        <w:t xml:space="preserve">post-2020 </w:t>
      </w:r>
      <w:r w:rsidR="00397807" w:rsidRPr="00397807">
        <w:t>c</w:t>
      </w:r>
      <w:r w:rsidR="008D3EAF" w:rsidRPr="00397807">
        <w:t xml:space="preserve">apacity </w:t>
      </w:r>
      <w:r w:rsidR="00397807" w:rsidRPr="00397807">
        <w:t>d</w:t>
      </w:r>
      <w:r w:rsidR="008D3EAF" w:rsidRPr="00397807">
        <w:t xml:space="preserve">evelopment </w:t>
      </w:r>
      <w:r w:rsidR="00397807" w:rsidRPr="00397807">
        <w:t>s</w:t>
      </w:r>
      <w:r w:rsidR="008D3EAF" w:rsidRPr="00397807">
        <w:t xml:space="preserve">trategic </w:t>
      </w:r>
      <w:r w:rsidR="00397807" w:rsidRPr="00397807">
        <w:t>f</w:t>
      </w:r>
      <w:r w:rsidR="008D3EAF" w:rsidRPr="00397807">
        <w:t>ramework)</w:t>
      </w:r>
      <w:r w:rsidRPr="00397807">
        <w:rPr>
          <w:color w:val="000000"/>
        </w:rPr>
        <w:t>.</w:t>
      </w:r>
    </w:p>
    <w:p w:rsidR="009F1A8A" w:rsidRPr="00397807" w:rsidRDefault="0010017C" w:rsidP="00A042A8">
      <w:pPr>
        <w:pStyle w:val="Para1"/>
        <w:suppressLineNumbers/>
        <w:tabs>
          <w:tab w:val="clear" w:pos="360"/>
        </w:tabs>
        <w:suppressAutoHyphens/>
      </w:pPr>
      <w:r w:rsidRPr="00397807">
        <w:t>The Liaison Group will be invited to discuss and make recommendations on how</w:t>
      </w:r>
      <w:r w:rsidR="00A2393A" w:rsidRPr="00397807">
        <w:t xml:space="preserve"> to integrate</w:t>
      </w:r>
      <w:r w:rsidRPr="00397807">
        <w:t xml:space="preserve"> biosafety </w:t>
      </w:r>
      <w:r w:rsidR="00A2393A" w:rsidRPr="00397807">
        <w:t>in</w:t>
      </w:r>
      <w:r w:rsidRPr="00397807">
        <w:t xml:space="preserve"> the post-2020 </w:t>
      </w:r>
      <w:r w:rsidR="00397807" w:rsidRPr="00397807">
        <w:t>c</w:t>
      </w:r>
      <w:r w:rsidRPr="00397807">
        <w:t xml:space="preserve">apacity </w:t>
      </w:r>
      <w:r w:rsidR="00397807" w:rsidRPr="00397807">
        <w:t>d</w:t>
      </w:r>
      <w:r w:rsidRPr="00397807">
        <w:t xml:space="preserve">evelopment </w:t>
      </w:r>
      <w:r w:rsidR="00397807" w:rsidRPr="00397807">
        <w:t>s</w:t>
      </w:r>
      <w:r w:rsidRPr="00397807">
        <w:t xml:space="preserve">trategic </w:t>
      </w:r>
      <w:r w:rsidR="00397807" w:rsidRPr="00397807">
        <w:t>f</w:t>
      </w:r>
      <w:r w:rsidRPr="00397807">
        <w:t>ramework, including but not limited to considering the extent to which the</w:t>
      </w:r>
      <w:r w:rsidR="000A639D" w:rsidRPr="00397807">
        <w:t xml:space="preserve"> content and structure of the</w:t>
      </w:r>
      <w:r w:rsidRPr="00397807">
        <w:t xml:space="preserve"> current </w:t>
      </w:r>
      <w:r w:rsidR="000A639D" w:rsidRPr="00397807">
        <w:t>Framework and Action Plan for Capacity-Building for the Effective Implementatio</w:t>
      </w:r>
      <w:bookmarkStart w:id="3" w:name="_GoBack"/>
      <w:bookmarkEnd w:id="3"/>
      <w:r w:rsidR="000A639D" w:rsidRPr="00397807">
        <w:t>n of the Cartagena Protocol</w:t>
      </w:r>
      <w:r w:rsidR="00222BED" w:rsidRPr="00397807">
        <w:t xml:space="preserve"> and the Short</w:t>
      </w:r>
      <w:r w:rsidR="008F749E" w:rsidRPr="00397807">
        <w:t>-</w:t>
      </w:r>
      <w:r w:rsidR="00222BED" w:rsidRPr="00397807">
        <w:t>Term Action Plan on Capacity-Building</w:t>
      </w:r>
      <w:r w:rsidR="00222BED" w:rsidRPr="00397807">
        <w:rPr>
          <w:rStyle w:val="FootnoteReference"/>
          <w:u w:val="none"/>
          <w:vertAlign w:val="superscript"/>
        </w:rPr>
        <w:footnoteReference w:id="9"/>
      </w:r>
      <w:r w:rsidR="000A639D" w:rsidRPr="00397807">
        <w:t xml:space="preserve"> may</w:t>
      </w:r>
      <w:r w:rsidRPr="00397807">
        <w:t xml:space="preserve"> serve as</w:t>
      </w:r>
      <w:r w:rsidR="00C95DA4" w:rsidRPr="00397807">
        <w:t xml:space="preserve"> a</w:t>
      </w:r>
      <w:r w:rsidRPr="00397807">
        <w:t xml:space="preserve"> basis for </w:t>
      </w:r>
      <w:r w:rsidR="00C95DA4" w:rsidRPr="00397807">
        <w:t>addressing</w:t>
      </w:r>
      <w:r w:rsidRPr="00397807">
        <w:t xml:space="preserve"> </w:t>
      </w:r>
      <w:r w:rsidR="000A639D" w:rsidRPr="00397807">
        <w:t xml:space="preserve">biosafety </w:t>
      </w:r>
      <w:r w:rsidR="00C95DA4" w:rsidRPr="00397807">
        <w:t>in the</w:t>
      </w:r>
      <w:r w:rsidR="000A639D" w:rsidRPr="00397807">
        <w:t xml:space="preserve"> </w:t>
      </w:r>
      <w:r w:rsidRPr="00397807">
        <w:t xml:space="preserve">post-2020 </w:t>
      </w:r>
      <w:r w:rsidR="00397807" w:rsidRPr="00397807">
        <w:t>c</w:t>
      </w:r>
      <w:r w:rsidR="00C95DA4" w:rsidRPr="00397807">
        <w:t xml:space="preserve">apacity </w:t>
      </w:r>
      <w:r w:rsidR="00397807" w:rsidRPr="00397807">
        <w:t>d</w:t>
      </w:r>
      <w:r w:rsidR="00C95DA4" w:rsidRPr="00397807">
        <w:t xml:space="preserve">evelopment </w:t>
      </w:r>
      <w:r w:rsidR="00397807" w:rsidRPr="00397807">
        <w:t>s</w:t>
      </w:r>
      <w:r w:rsidR="00C95DA4" w:rsidRPr="00397807">
        <w:t xml:space="preserve">trategic </w:t>
      </w:r>
      <w:r w:rsidR="00397807" w:rsidRPr="00397807">
        <w:t>f</w:t>
      </w:r>
      <w:r w:rsidR="00C95DA4" w:rsidRPr="00397807">
        <w:t>ramework.</w:t>
      </w:r>
      <w:r w:rsidR="00C95DA4" w:rsidRPr="00397807" w:rsidDel="00C95DA4">
        <w:t xml:space="preserve"> </w:t>
      </w:r>
    </w:p>
    <w:p w:rsidR="00FF0E95" w:rsidRPr="00F71191" w:rsidRDefault="00FF0E95" w:rsidP="000518FD">
      <w:pPr>
        <w:pStyle w:val="Heading1"/>
        <w:suppressLineNumbers/>
        <w:tabs>
          <w:tab w:val="clear" w:pos="720"/>
        </w:tabs>
        <w:suppressAutoHyphens/>
        <w:spacing w:before="120"/>
        <w:rPr>
          <w:szCs w:val="22"/>
        </w:rPr>
      </w:pPr>
      <w:r w:rsidRPr="00F71191">
        <w:rPr>
          <w:szCs w:val="22"/>
        </w:rPr>
        <w:t xml:space="preserve">ITEM </w:t>
      </w:r>
      <w:r w:rsidR="009F1A8A">
        <w:rPr>
          <w:szCs w:val="22"/>
        </w:rPr>
        <w:t>6</w:t>
      </w:r>
      <w:r w:rsidRPr="00F71191">
        <w:rPr>
          <w:szCs w:val="22"/>
        </w:rPr>
        <w:t>.</w:t>
      </w:r>
      <w:r w:rsidRPr="00F71191">
        <w:rPr>
          <w:szCs w:val="22"/>
        </w:rPr>
        <w:tab/>
      </w:r>
      <w:r w:rsidR="000518FD">
        <w:t>CONCLUSIONS</w:t>
      </w:r>
    </w:p>
    <w:p w:rsidR="00DE77E2" w:rsidRPr="00F71191" w:rsidRDefault="00D27136" w:rsidP="00A042A8">
      <w:pPr>
        <w:pStyle w:val="Para1"/>
        <w:suppressLineNumbers/>
        <w:tabs>
          <w:tab w:val="clear" w:pos="360"/>
        </w:tabs>
        <w:suppressAutoHyphens/>
        <w:rPr>
          <w:szCs w:val="22"/>
        </w:rPr>
      </w:pPr>
      <w:r w:rsidRPr="004466C3">
        <w:rPr>
          <w:szCs w:val="22"/>
          <w:lang w:val="en-CA"/>
        </w:rPr>
        <w:t xml:space="preserve">The Liaison Group will be invited to formulate its general conclusions </w:t>
      </w:r>
      <w:r w:rsidR="00D62765">
        <w:rPr>
          <w:szCs w:val="22"/>
          <w:lang w:val="en-CA"/>
        </w:rPr>
        <w:t>as advice to</w:t>
      </w:r>
      <w:r w:rsidRPr="004466C3">
        <w:rPr>
          <w:szCs w:val="22"/>
          <w:lang w:val="en-CA"/>
        </w:rPr>
        <w:t xml:space="preserve"> the Executive Secretary</w:t>
      </w:r>
      <w:r w:rsidR="009A35BE" w:rsidRPr="00F71191">
        <w:t>.</w:t>
      </w:r>
    </w:p>
    <w:bookmarkEnd w:id="2"/>
    <w:p w:rsidR="005F49CB" w:rsidRPr="00F71191" w:rsidRDefault="00C83744" w:rsidP="003B4CC1">
      <w:pPr>
        <w:pStyle w:val="HEADING"/>
        <w:keepNext/>
        <w:suppressLineNumbers/>
        <w:suppressAutoHyphens/>
        <w:overflowPunct w:val="0"/>
        <w:autoSpaceDE w:val="0"/>
        <w:autoSpaceDN w:val="0"/>
        <w:adjustRightInd w:val="0"/>
        <w:spacing w:before="120"/>
        <w:textAlignment w:val="baseline"/>
        <w:outlineLvl w:val="0"/>
        <w:rPr>
          <w:szCs w:val="22"/>
        </w:rPr>
      </w:pPr>
      <w:r w:rsidRPr="00F71191">
        <w:rPr>
          <w:szCs w:val="22"/>
        </w:rPr>
        <w:t xml:space="preserve">ITEM </w:t>
      </w:r>
      <w:r w:rsidR="009F1A8A">
        <w:rPr>
          <w:szCs w:val="22"/>
        </w:rPr>
        <w:t>7</w:t>
      </w:r>
      <w:r w:rsidR="005F49CB" w:rsidRPr="00F71191">
        <w:rPr>
          <w:szCs w:val="22"/>
        </w:rPr>
        <w:t>.</w:t>
      </w:r>
      <w:r w:rsidR="005F49CB" w:rsidRPr="00F71191">
        <w:rPr>
          <w:szCs w:val="22"/>
        </w:rPr>
        <w:tab/>
      </w:r>
      <w:r w:rsidR="0000322D" w:rsidRPr="00F71191">
        <w:rPr>
          <w:caps w:val="0"/>
          <w:szCs w:val="22"/>
        </w:rPr>
        <w:t xml:space="preserve">OTHER </w:t>
      </w:r>
      <w:r w:rsidR="0000322D" w:rsidRPr="00F71191">
        <w:rPr>
          <w:bCs/>
          <w:caps w:val="0"/>
          <w:szCs w:val="22"/>
        </w:rPr>
        <w:t>MATTERS</w:t>
      </w:r>
    </w:p>
    <w:p w:rsidR="005F49CB" w:rsidRPr="00F71191" w:rsidRDefault="005F49CB" w:rsidP="00A042A8">
      <w:pPr>
        <w:pStyle w:val="Para1"/>
        <w:suppressLineNumbers/>
        <w:tabs>
          <w:tab w:val="clear" w:pos="360"/>
        </w:tabs>
        <w:suppressAutoHyphens/>
        <w:rPr>
          <w:szCs w:val="22"/>
        </w:rPr>
      </w:pPr>
      <w:r w:rsidRPr="00F71191">
        <w:rPr>
          <w:szCs w:val="22"/>
        </w:rPr>
        <w:t xml:space="preserve">Under this item, the </w:t>
      </w:r>
      <w:r w:rsidR="004B7D2E" w:rsidRPr="00F71191">
        <w:rPr>
          <w:szCs w:val="22"/>
        </w:rPr>
        <w:t xml:space="preserve">Liaison Group will be invited to </w:t>
      </w:r>
      <w:r w:rsidRPr="00F71191">
        <w:rPr>
          <w:szCs w:val="22"/>
        </w:rPr>
        <w:t>consider any other matter</w:t>
      </w:r>
      <w:r w:rsidR="007056A0" w:rsidRPr="00F71191">
        <w:rPr>
          <w:szCs w:val="22"/>
        </w:rPr>
        <w:t>s</w:t>
      </w:r>
      <w:r w:rsidRPr="00F71191">
        <w:rPr>
          <w:szCs w:val="22"/>
        </w:rPr>
        <w:t xml:space="preserve"> of relevance.</w:t>
      </w:r>
    </w:p>
    <w:p w:rsidR="005F49CB" w:rsidRPr="00F71191" w:rsidRDefault="00C83744" w:rsidP="00A042A8">
      <w:pPr>
        <w:pStyle w:val="Heading1"/>
        <w:suppressLineNumbers/>
        <w:suppressAutoHyphens/>
        <w:spacing w:before="120"/>
      </w:pPr>
      <w:r w:rsidRPr="00F71191">
        <w:t xml:space="preserve">ITEM </w:t>
      </w:r>
      <w:r w:rsidR="009F1A8A">
        <w:t>8</w:t>
      </w:r>
      <w:r w:rsidR="005F49CB" w:rsidRPr="00F71191">
        <w:t>.</w:t>
      </w:r>
      <w:r w:rsidR="005F49CB" w:rsidRPr="00F71191">
        <w:tab/>
      </w:r>
      <w:r w:rsidR="0000322D" w:rsidRPr="00F71191">
        <w:rPr>
          <w:caps w:val="0"/>
        </w:rPr>
        <w:t>ADOPTION OF THE REPORT OF THE MEETING</w:t>
      </w:r>
    </w:p>
    <w:p w:rsidR="005F49CB" w:rsidRPr="00F71191" w:rsidRDefault="00EC0E5F" w:rsidP="00A042A8">
      <w:pPr>
        <w:pStyle w:val="Para1"/>
        <w:suppressLineNumbers/>
        <w:tabs>
          <w:tab w:val="clear" w:pos="360"/>
        </w:tabs>
        <w:suppressAutoHyphens/>
        <w:rPr>
          <w:szCs w:val="22"/>
        </w:rPr>
      </w:pPr>
      <w:r w:rsidRPr="00F71191">
        <w:rPr>
          <w:szCs w:val="22"/>
        </w:rPr>
        <w:t>Under this item, t</w:t>
      </w:r>
      <w:r w:rsidR="005F49CB" w:rsidRPr="00F71191">
        <w:rPr>
          <w:szCs w:val="22"/>
        </w:rPr>
        <w:t xml:space="preserve">he Liaison Group will be invited to </w:t>
      </w:r>
      <w:r w:rsidR="007056A0" w:rsidRPr="00F71191">
        <w:rPr>
          <w:szCs w:val="22"/>
        </w:rPr>
        <w:t xml:space="preserve">adopt </w:t>
      </w:r>
      <w:r w:rsidR="00B44FC7" w:rsidRPr="00F71191">
        <w:rPr>
          <w:szCs w:val="22"/>
        </w:rPr>
        <w:t>the</w:t>
      </w:r>
      <w:r w:rsidRPr="00F71191">
        <w:rPr>
          <w:szCs w:val="22"/>
        </w:rPr>
        <w:t xml:space="preserve"> </w:t>
      </w:r>
      <w:r w:rsidR="00C83744" w:rsidRPr="00F71191">
        <w:rPr>
          <w:szCs w:val="22"/>
        </w:rPr>
        <w:t>report</w:t>
      </w:r>
      <w:r w:rsidR="007056A0" w:rsidRPr="00F71191">
        <w:rPr>
          <w:szCs w:val="22"/>
        </w:rPr>
        <w:t xml:space="preserve"> </w:t>
      </w:r>
      <w:r w:rsidR="00B44FC7" w:rsidRPr="00F71191">
        <w:rPr>
          <w:szCs w:val="22"/>
        </w:rPr>
        <w:t>of the meeting</w:t>
      </w:r>
      <w:r w:rsidR="005F49CB" w:rsidRPr="00F71191">
        <w:rPr>
          <w:szCs w:val="22"/>
        </w:rPr>
        <w:t>.</w:t>
      </w:r>
    </w:p>
    <w:p w:rsidR="005F49CB" w:rsidRPr="00F71191" w:rsidRDefault="005F49CB" w:rsidP="003B4CC1">
      <w:pPr>
        <w:pStyle w:val="HEADING"/>
        <w:keepNext/>
        <w:suppressLineNumbers/>
        <w:suppressAutoHyphens/>
        <w:overflowPunct w:val="0"/>
        <w:autoSpaceDE w:val="0"/>
        <w:autoSpaceDN w:val="0"/>
        <w:adjustRightInd w:val="0"/>
        <w:spacing w:before="120"/>
        <w:textAlignment w:val="baseline"/>
        <w:outlineLvl w:val="0"/>
        <w:rPr>
          <w:szCs w:val="22"/>
        </w:rPr>
      </w:pPr>
      <w:r w:rsidRPr="00F71191">
        <w:rPr>
          <w:szCs w:val="22"/>
        </w:rPr>
        <w:t xml:space="preserve">ITEM </w:t>
      </w:r>
      <w:r w:rsidR="009F1A8A">
        <w:rPr>
          <w:szCs w:val="22"/>
        </w:rPr>
        <w:t>9</w:t>
      </w:r>
      <w:r w:rsidRPr="00F71191">
        <w:rPr>
          <w:szCs w:val="22"/>
        </w:rPr>
        <w:t>.</w:t>
      </w:r>
      <w:r w:rsidRPr="00F71191">
        <w:rPr>
          <w:szCs w:val="22"/>
        </w:rPr>
        <w:tab/>
      </w:r>
      <w:r w:rsidR="0000322D" w:rsidRPr="00F71191">
        <w:rPr>
          <w:caps w:val="0"/>
          <w:szCs w:val="22"/>
        </w:rPr>
        <w:t>CLOSURE OF THE MEETING</w:t>
      </w:r>
    </w:p>
    <w:p w:rsidR="005F49CB" w:rsidRPr="00F71191" w:rsidRDefault="004B7D2E" w:rsidP="00A042A8">
      <w:pPr>
        <w:pStyle w:val="Para1"/>
        <w:suppressLineNumbers/>
        <w:tabs>
          <w:tab w:val="clear" w:pos="360"/>
        </w:tabs>
        <w:suppressAutoHyphens/>
        <w:rPr>
          <w:szCs w:val="22"/>
        </w:rPr>
      </w:pPr>
      <w:r w:rsidRPr="00F71191">
        <w:rPr>
          <w:szCs w:val="22"/>
        </w:rPr>
        <w:t>T</w:t>
      </w:r>
      <w:r w:rsidR="005F49CB" w:rsidRPr="00F71191">
        <w:rPr>
          <w:szCs w:val="22"/>
        </w:rPr>
        <w:t xml:space="preserve">he meeting </w:t>
      </w:r>
      <w:r w:rsidR="00EC0E5F" w:rsidRPr="00F71191">
        <w:rPr>
          <w:szCs w:val="22"/>
        </w:rPr>
        <w:t xml:space="preserve">is expected to </w:t>
      </w:r>
      <w:r w:rsidR="005F49CB" w:rsidRPr="00F71191">
        <w:rPr>
          <w:szCs w:val="22"/>
        </w:rPr>
        <w:t>close</w:t>
      </w:r>
      <w:r w:rsidR="00C543A0" w:rsidRPr="00F71191">
        <w:rPr>
          <w:szCs w:val="22"/>
        </w:rPr>
        <w:t xml:space="preserve"> </w:t>
      </w:r>
      <w:r w:rsidR="00EC0E5F" w:rsidRPr="00F71191">
        <w:rPr>
          <w:szCs w:val="22"/>
        </w:rPr>
        <w:t xml:space="preserve">at </w:t>
      </w:r>
      <w:r w:rsidR="009F1A8A">
        <w:rPr>
          <w:szCs w:val="22"/>
        </w:rPr>
        <w:t>5</w:t>
      </w:r>
      <w:r w:rsidR="00EC0E5F" w:rsidRPr="00F71191">
        <w:rPr>
          <w:szCs w:val="22"/>
        </w:rPr>
        <w:t xml:space="preserve"> p.m. </w:t>
      </w:r>
      <w:r w:rsidR="00C543A0" w:rsidRPr="00F71191">
        <w:rPr>
          <w:szCs w:val="22"/>
        </w:rPr>
        <w:t xml:space="preserve">on </w:t>
      </w:r>
      <w:r w:rsidR="009F1A8A">
        <w:rPr>
          <w:szCs w:val="22"/>
        </w:rPr>
        <w:t>Friday</w:t>
      </w:r>
      <w:r w:rsidR="00865EB9" w:rsidRPr="00F71191">
        <w:rPr>
          <w:szCs w:val="22"/>
        </w:rPr>
        <w:t xml:space="preserve">, </w:t>
      </w:r>
      <w:r w:rsidR="009F1A8A">
        <w:rPr>
          <w:szCs w:val="22"/>
        </w:rPr>
        <w:t>7 September 2018</w:t>
      </w:r>
      <w:r w:rsidR="00EC0E5F" w:rsidRPr="00F71191">
        <w:rPr>
          <w:szCs w:val="22"/>
        </w:rPr>
        <w:t>.</w:t>
      </w:r>
    </w:p>
    <w:p w:rsidR="006D5A51" w:rsidRDefault="006D5A51" w:rsidP="00F71191">
      <w:pPr>
        <w:pStyle w:val="BodyText"/>
        <w:suppressLineNumbers/>
        <w:suppressAutoHyphens/>
        <w:spacing w:before="0"/>
        <w:ind w:firstLine="0"/>
        <w:rPr>
          <w:szCs w:val="22"/>
        </w:rPr>
      </w:pPr>
    </w:p>
    <w:p w:rsidR="006D5A51" w:rsidRPr="006D5A51" w:rsidRDefault="006D5A51" w:rsidP="003B4CC1">
      <w:pPr>
        <w:tabs>
          <w:tab w:val="left" w:pos="5775"/>
        </w:tabs>
      </w:pPr>
      <w:r>
        <w:tab/>
      </w:r>
    </w:p>
    <w:p w:rsidR="006D5A51" w:rsidRDefault="006D5A51" w:rsidP="006D5A51"/>
    <w:p w:rsidR="005F49CB" w:rsidRPr="003B4CC1" w:rsidRDefault="005F49CB" w:rsidP="003B4CC1">
      <w:pPr>
        <w:sectPr w:rsidR="005F49CB" w:rsidRPr="003B4CC1" w:rsidSect="00C66642">
          <w:headerReference w:type="even" r:id="rId16"/>
          <w:headerReference w:type="default" r:id="rId17"/>
          <w:type w:val="continuous"/>
          <w:pgSz w:w="12240" w:h="15840" w:code="1"/>
          <w:pgMar w:top="1021" w:right="1440" w:bottom="1134" w:left="1440" w:header="403" w:footer="720" w:gutter="0"/>
          <w:cols w:space="720"/>
          <w:titlePg/>
        </w:sectPr>
      </w:pPr>
    </w:p>
    <w:p w:rsidR="005F49CB" w:rsidRPr="00F71191" w:rsidRDefault="005F49CB" w:rsidP="00F71191">
      <w:pPr>
        <w:pStyle w:val="Heading3"/>
        <w:suppressLineNumbers/>
        <w:suppressAutoHyphens/>
        <w:spacing w:before="0" w:after="0"/>
      </w:pPr>
      <w:r w:rsidRPr="00F71191">
        <w:t>Annex</w:t>
      </w:r>
      <w:r w:rsidR="00EC0E5F" w:rsidRPr="00F71191">
        <w:t xml:space="preserve"> </w:t>
      </w:r>
    </w:p>
    <w:p w:rsidR="005F49CB" w:rsidRPr="00F71191" w:rsidRDefault="0000322D" w:rsidP="003B4CC1">
      <w:pPr>
        <w:pStyle w:val="Title1"/>
        <w:suppressLineNumbers/>
        <w:suppressAutoHyphens/>
        <w:spacing w:before="120"/>
        <w:outlineLvl w:val="0"/>
        <w:rPr>
          <w:szCs w:val="22"/>
        </w:rPr>
      </w:pPr>
      <w:r w:rsidRPr="00F71191">
        <w:rPr>
          <w:caps w:val="0"/>
          <w:szCs w:val="22"/>
        </w:rPr>
        <w:t>PROPOSED ORGANIZATION OF WORK</w:t>
      </w:r>
    </w:p>
    <w:tbl>
      <w:tblPr>
        <w:tblW w:w="10004" w:type="dxa"/>
        <w:tblInd w:w="-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27"/>
        <w:gridCol w:w="7877"/>
      </w:tblGrid>
      <w:tr w:rsidR="005F49CB" w:rsidRPr="00127DAC" w:rsidTr="00FE4E9A">
        <w:trPr>
          <w:cantSplit/>
          <w:tblHeader/>
        </w:trPr>
        <w:tc>
          <w:tcPr>
            <w:tcW w:w="2127" w:type="dxa"/>
            <w:tcBorders>
              <w:bottom w:val="single" w:sz="6" w:space="0" w:color="000000"/>
            </w:tcBorders>
            <w:shd w:val="clear" w:color="auto" w:fill="D9D9D9"/>
          </w:tcPr>
          <w:p w:rsidR="005F49CB" w:rsidRPr="00127DAC" w:rsidRDefault="00B64EF1" w:rsidP="00F71191">
            <w:pPr>
              <w:pStyle w:val="Heading2"/>
              <w:suppressLineNumbers/>
              <w:suppressAutoHyphens/>
              <w:spacing w:before="0" w:after="20"/>
              <w:ind w:left="644"/>
              <w:rPr>
                <w:i w:val="0"/>
                <w:szCs w:val="22"/>
              </w:rPr>
            </w:pPr>
            <w:r w:rsidRPr="00127DAC">
              <w:rPr>
                <w:i w:val="0"/>
                <w:szCs w:val="22"/>
              </w:rPr>
              <w:t>Date/Time</w:t>
            </w:r>
          </w:p>
        </w:tc>
        <w:tc>
          <w:tcPr>
            <w:tcW w:w="7877" w:type="dxa"/>
            <w:tcBorders>
              <w:bottom w:val="single" w:sz="6" w:space="0" w:color="000000"/>
            </w:tcBorders>
            <w:shd w:val="clear" w:color="auto" w:fill="D9D9D9"/>
          </w:tcPr>
          <w:p w:rsidR="005F49CB" w:rsidRPr="00127DAC" w:rsidRDefault="00FE4E9A" w:rsidP="00F71191">
            <w:pPr>
              <w:pStyle w:val="Heading2"/>
              <w:suppressLineNumbers/>
              <w:suppressAutoHyphens/>
              <w:spacing w:before="0" w:after="20"/>
              <w:rPr>
                <w:i w:val="0"/>
                <w:szCs w:val="22"/>
              </w:rPr>
            </w:pPr>
            <w:r>
              <w:rPr>
                <w:i w:val="0"/>
                <w:szCs w:val="22"/>
              </w:rPr>
              <w:t>Agenda item</w:t>
            </w:r>
          </w:p>
        </w:tc>
      </w:tr>
      <w:tr w:rsidR="005F49CB" w:rsidRPr="00127DAC" w:rsidTr="00FE4E9A">
        <w:trPr>
          <w:cantSplit/>
        </w:trPr>
        <w:tc>
          <w:tcPr>
            <w:tcW w:w="2127" w:type="dxa"/>
            <w:tcBorders>
              <w:top w:val="single" w:sz="6" w:space="0" w:color="000000"/>
              <w:bottom w:val="dashed" w:sz="4" w:space="0" w:color="auto"/>
            </w:tcBorders>
          </w:tcPr>
          <w:p w:rsidR="00127DAC" w:rsidRPr="00127DAC" w:rsidRDefault="00127DAC" w:rsidP="00127DAC">
            <w:pPr>
              <w:suppressLineNumbers/>
              <w:suppressAutoHyphens/>
              <w:spacing w:before="20" w:after="20"/>
              <w:rPr>
                <w:b/>
                <w:szCs w:val="22"/>
              </w:rPr>
            </w:pPr>
            <w:r w:rsidRPr="00127DAC">
              <w:rPr>
                <w:b/>
                <w:szCs w:val="22"/>
              </w:rPr>
              <w:t>Wednesday</w:t>
            </w:r>
          </w:p>
          <w:p w:rsidR="00127DAC" w:rsidRPr="00127DAC" w:rsidRDefault="00127DAC" w:rsidP="00127DAC">
            <w:pPr>
              <w:suppressLineNumbers/>
              <w:suppressAutoHyphens/>
              <w:spacing w:before="20" w:after="20"/>
              <w:rPr>
                <w:b/>
                <w:szCs w:val="22"/>
              </w:rPr>
            </w:pPr>
            <w:r w:rsidRPr="00127DAC">
              <w:rPr>
                <w:b/>
                <w:szCs w:val="22"/>
              </w:rPr>
              <w:t xml:space="preserve">5 September 2018 </w:t>
            </w:r>
          </w:p>
          <w:p w:rsidR="005F49CB" w:rsidRPr="00127DAC" w:rsidRDefault="00951B3C" w:rsidP="00E73F9A">
            <w:pPr>
              <w:suppressLineNumbers/>
              <w:suppressAutoHyphens/>
              <w:spacing w:before="20" w:after="20"/>
              <w:rPr>
                <w:szCs w:val="22"/>
              </w:rPr>
            </w:pPr>
            <w:r w:rsidRPr="00127DAC">
              <w:rPr>
                <w:szCs w:val="22"/>
              </w:rPr>
              <w:t>9 a.m. – 9.</w:t>
            </w:r>
            <w:r w:rsidR="00E73F9A">
              <w:rPr>
                <w:szCs w:val="22"/>
              </w:rPr>
              <w:t>30</w:t>
            </w:r>
            <w:r w:rsidRPr="00127DAC">
              <w:rPr>
                <w:szCs w:val="22"/>
              </w:rPr>
              <w:t xml:space="preserve"> a.m.</w:t>
            </w:r>
          </w:p>
        </w:tc>
        <w:tc>
          <w:tcPr>
            <w:tcW w:w="7877" w:type="dxa"/>
            <w:tcBorders>
              <w:top w:val="single" w:sz="6" w:space="0" w:color="000000"/>
              <w:bottom w:val="dashed" w:sz="4" w:space="0" w:color="auto"/>
            </w:tcBorders>
          </w:tcPr>
          <w:p w:rsidR="00E73F9A" w:rsidRDefault="005F49CB" w:rsidP="00E73F9A">
            <w:pPr>
              <w:suppressLineNumbers/>
              <w:tabs>
                <w:tab w:val="left" w:pos="276"/>
              </w:tabs>
              <w:suppressAutoHyphens/>
              <w:spacing w:before="20" w:after="20"/>
              <w:jc w:val="left"/>
              <w:rPr>
                <w:iCs/>
                <w:szCs w:val="22"/>
              </w:rPr>
            </w:pPr>
            <w:r w:rsidRPr="00127DAC">
              <w:rPr>
                <w:szCs w:val="22"/>
              </w:rPr>
              <w:t>1. Opening of the meeting.</w:t>
            </w:r>
            <w:r w:rsidR="00E73F9A" w:rsidRPr="00127DAC">
              <w:rPr>
                <w:iCs/>
                <w:szCs w:val="22"/>
              </w:rPr>
              <w:t xml:space="preserve"> </w:t>
            </w:r>
          </w:p>
          <w:p w:rsidR="00E73F9A" w:rsidRPr="00127DAC" w:rsidRDefault="00E73F9A" w:rsidP="00E73F9A">
            <w:pPr>
              <w:suppressLineNumbers/>
              <w:suppressAutoHyphens/>
              <w:spacing w:before="20" w:after="20"/>
              <w:ind w:left="259" w:hanging="244"/>
              <w:jc w:val="left"/>
              <w:rPr>
                <w:iCs/>
                <w:szCs w:val="22"/>
              </w:rPr>
            </w:pPr>
            <w:r w:rsidRPr="00127DAC">
              <w:rPr>
                <w:iCs/>
                <w:szCs w:val="22"/>
              </w:rPr>
              <w:t>2.</w:t>
            </w:r>
            <w:r w:rsidRPr="00127DAC">
              <w:rPr>
                <w:iCs/>
                <w:szCs w:val="22"/>
              </w:rPr>
              <w:tab/>
              <w:t>Organizational matters:</w:t>
            </w:r>
          </w:p>
          <w:p w:rsidR="00E73F9A" w:rsidRPr="00127DAC" w:rsidRDefault="00E73F9A" w:rsidP="00E73F9A">
            <w:pPr>
              <w:pStyle w:val="TOC1"/>
              <w:numPr>
                <w:ilvl w:val="1"/>
                <w:numId w:val="7"/>
              </w:numPr>
              <w:suppressLineNumbers/>
              <w:tabs>
                <w:tab w:val="left" w:pos="259"/>
              </w:tabs>
              <w:suppressAutoHyphens/>
              <w:spacing w:before="20" w:after="20"/>
              <w:rPr>
                <w:iCs/>
                <w:szCs w:val="22"/>
                <w:lang w:val="en-GB"/>
              </w:rPr>
            </w:pPr>
            <w:r w:rsidRPr="00127DAC">
              <w:rPr>
                <w:iCs/>
                <w:szCs w:val="22"/>
                <w:lang w:val="en-GB"/>
              </w:rPr>
              <w:t>Election of officers</w:t>
            </w:r>
          </w:p>
          <w:p w:rsidR="005F49CB" w:rsidRPr="00E73F9A" w:rsidRDefault="00E73F9A" w:rsidP="00E73F9A">
            <w:pPr>
              <w:numPr>
                <w:ilvl w:val="1"/>
                <w:numId w:val="7"/>
              </w:numPr>
              <w:suppressLineNumbers/>
              <w:tabs>
                <w:tab w:val="left" w:pos="259"/>
              </w:tabs>
              <w:suppressAutoHyphens/>
              <w:spacing w:before="20" w:after="20"/>
              <w:ind w:hanging="461"/>
              <w:jc w:val="left"/>
              <w:rPr>
                <w:iCs/>
                <w:szCs w:val="22"/>
              </w:rPr>
            </w:pPr>
            <w:r w:rsidRPr="00127DAC">
              <w:rPr>
                <w:szCs w:val="22"/>
              </w:rPr>
              <w:t>Adoption of the agenda and o</w:t>
            </w:r>
            <w:r w:rsidRPr="00127DAC">
              <w:rPr>
                <w:iCs/>
                <w:szCs w:val="22"/>
              </w:rPr>
              <w:t>rganization of work</w:t>
            </w:r>
          </w:p>
        </w:tc>
      </w:tr>
      <w:tr w:rsidR="005F49CB" w:rsidRPr="00127DAC" w:rsidTr="00FE4E9A">
        <w:trPr>
          <w:cantSplit/>
        </w:trPr>
        <w:tc>
          <w:tcPr>
            <w:tcW w:w="2127" w:type="dxa"/>
            <w:tcBorders>
              <w:top w:val="dashed" w:sz="4" w:space="0" w:color="auto"/>
            </w:tcBorders>
          </w:tcPr>
          <w:p w:rsidR="005F49CB" w:rsidRPr="00127DAC" w:rsidRDefault="005F49CB" w:rsidP="00E73F9A">
            <w:pPr>
              <w:suppressLineNumbers/>
              <w:suppressAutoHyphens/>
              <w:spacing w:before="20" w:after="20"/>
              <w:rPr>
                <w:i/>
                <w:iCs/>
                <w:szCs w:val="22"/>
              </w:rPr>
            </w:pPr>
            <w:r w:rsidRPr="00127DAC">
              <w:rPr>
                <w:szCs w:val="22"/>
              </w:rPr>
              <w:t>9.</w:t>
            </w:r>
            <w:r w:rsidR="00E73F9A">
              <w:rPr>
                <w:szCs w:val="22"/>
              </w:rPr>
              <w:t>30</w:t>
            </w:r>
            <w:r w:rsidRPr="00127DAC">
              <w:rPr>
                <w:szCs w:val="22"/>
              </w:rPr>
              <w:t xml:space="preserve"> a.m.</w:t>
            </w:r>
            <w:r w:rsidR="003817E6" w:rsidRPr="00127DAC">
              <w:rPr>
                <w:szCs w:val="22"/>
              </w:rPr>
              <w:t xml:space="preserve"> – </w:t>
            </w:r>
            <w:r w:rsidR="00E73F9A">
              <w:rPr>
                <w:szCs w:val="22"/>
              </w:rPr>
              <w:t>10</w:t>
            </w:r>
            <w:r w:rsidR="00710373" w:rsidRPr="00127DAC">
              <w:rPr>
                <w:szCs w:val="22"/>
              </w:rPr>
              <w:t>.45</w:t>
            </w:r>
            <w:r w:rsidRPr="00127DAC">
              <w:rPr>
                <w:szCs w:val="22"/>
              </w:rPr>
              <w:t xml:space="preserve"> a.m.</w:t>
            </w:r>
          </w:p>
        </w:tc>
        <w:tc>
          <w:tcPr>
            <w:tcW w:w="7877" w:type="dxa"/>
            <w:tcBorders>
              <w:top w:val="dashed" w:sz="4" w:space="0" w:color="auto"/>
            </w:tcBorders>
          </w:tcPr>
          <w:p w:rsidR="00E73F9A" w:rsidRPr="00127DAC" w:rsidRDefault="003B4CC1" w:rsidP="003B4CC1">
            <w:pPr>
              <w:suppressLineNumbers/>
              <w:tabs>
                <w:tab w:val="left" w:pos="460"/>
              </w:tabs>
              <w:suppressAutoHyphens/>
              <w:spacing w:before="20" w:after="20"/>
              <w:ind w:left="460" w:hanging="460"/>
              <w:jc w:val="left"/>
              <w:rPr>
                <w:iCs/>
                <w:szCs w:val="22"/>
              </w:rPr>
            </w:pPr>
            <w:r>
              <w:rPr>
                <w:szCs w:val="22"/>
              </w:rPr>
              <w:t>3.</w:t>
            </w:r>
            <w:r>
              <w:rPr>
                <w:szCs w:val="22"/>
              </w:rPr>
              <w:tab/>
            </w:r>
            <w:r w:rsidR="00E73F9A" w:rsidRPr="00127DAC">
              <w:t>Report on the status of implementation of the Framework and Action Plan for Capacity-Building for the Effective Implementation of the Cartagena Protocol on Biosafety</w:t>
            </w:r>
          </w:p>
        </w:tc>
      </w:tr>
      <w:tr w:rsidR="00710373" w:rsidRPr="00127DAC" w:rsidTr="00FE4E9A">
        <w:trPr>
          <w:cantSplit/>
        </w:trPr>
        <w:tc>
          <w:tcPr>
            <w:tcW w:w="2127" w:type="dxa"/>
            <w:tcBorders>
              <w:top w:val="dashed" w:sz="4" w:space="0" w:color="auto"/>
            </w:tcBorders>
          </w:tcPr>
          <w:p w:rsidR="00710373" w:rsidRPr="00127DAC" w:rsidRDefault="00E73F9A" w:rsidP="00790F70">
            <w:pPr>
              <w:suppressLineNumbers/>
              <w:suppressAutoHyphens/>
              <w:spacing w:before="20" w:after="20"/>
              <w:rPr>
                <w:szCs w:val="22"/>
              </w:rPr>
            </w:pPr>
            <w:r>
              <w:rPr>
                <w:szCs w:val="22"/>
              </w:rPr>
              <w:t>10</w:t>
            </w:r>
            <w:r w:rsidR="00710373" w:rsidRPr="00127DAC">
              <w:rPr>
                <w:szCs w:val="22"/>
              </w:rPr>
              <w:t xml:space="preserve">.45 a.m. </w:t>
            </w:r>
            <w:r w:rsidR="003817E6" w:rsidRPr="00127DAC">
              <w:rPr>
                <w:szCs w:val="22"/>
              </w:rPr>
              <w:t xml:space="preserve">– </w:t>
            </w:r>
            <w:r>
              <w:rPr>
                <w:szCs w:val="22"/>
              </w:rPr>
              <w:t>11</w:t>
            </w:r>
            <w:r w:rsidR="00710373" w:rsidRPr="00127DAC">
              <w:rPr>
                <w:szCs w:val="22"/>
              </w:rPr>
              <w:t xml:space="preserve"> a.m.</w:t>
            </w:r>
          </w:p>
        </w:tc>
        <w:tc>
          <w:tcPr>
            <w:tcW w:w="7877" w:type="dxa"/>
            <w:tcBorders>
              <w:top w:val="dashed" w:sz="4" w:space="0" w:color="auto"/>
            </w:tcBorders>
          </w:tcPr>
          <w:p w:rsidR="00710373" w:rsidRPr="00127DAC" w:rsidRDefault="00710373" w:rsidP="00F71191">
            <w:pPr>
              <w:suppressLineNumbers/>
              <w:suppressAutoHyphens/>
              <w:spacing w:before="20" w:after="20"/>
              <w:jc w:val="left"/>
              <w:rPr>
                <w:iCs/>
                <w:szCs w:val="22"/>
              </w:rPr>
            </w:pPr>
            <w:r w:rsidRPr="00127DAC">
              <w:rPr>
                <w:iCs/>
                <w:szCs w:val="22"/>
              </w:rPr>
              <w:t>BREAK</w:t>
            </w:r>
          </w:p>
        </w:tc>
      </w:tr>
      <w:tr w:rsidR="005F49CB" w:rsidRPr="00127DAC" w:rsidTr="00FE4E9A">
        <w:trPr>
          <w:cantSplit/>
        </w:trPr>
        <w:tc>
          <w:tcPr>
            <w:tcW w:w="2127" w:type="dxa"/>
            <w:tcBorders>
              <w:top w:val="dashed" w:sz="4" w:space="0" w:color="auto"/>
              <w:bottom w:val="single" w:sz="6" w:space="0" w:color="000000"/>
            </w:tcBorders>
          </w:tcPr>
          <w:p w:rsidR="005F49CB" w:rsidRPr="00127DAC" w:rsidRDefault="00710373" w:rsidP="00E73F9A">
            <w:pPr>
              <w:suppressLineNumbers/>
              <w:suppressAutoHyphens/>
              <w:spacing w:before="20" w:after="20"/>
              <w:rPr>
                <w:szCs w:val="22"/>
              </w:rPr>
            </w:pPr>
            <w:r w:rsidRPr="00127DAC">
              <w:rPr>
                <w:szCs w:val="22"/>
              </w:rPr>
              <w:t>1</w:t>
            </w:r>
            <w:r w:rsidR="00E73F9A">
              <w:rPr>
                <w:szCs w:val="22"/>
              </w:rPr>
              <w:t>1</w:t>
            </w:r>
            <w:r w:rsidR="005F49CB" w:rsidRPr="00127DAC">
              <w:rPr>
                <w:szCs w:val="22"/>
              </w:rPr>
              <w:t xml:space="preserve"> a.m. </w:t>
            </w:r>
            <w:r w:rsidR="003817E6" w:rsidRPr="00127DAC">
              <w:rPr>
                <w:szCs w:val="22"/>
              </w:rPr>
              <w:t xml:space="preserve">– </w:t>
            </w:r>
            <w:r w:rsidR="005F49CB" w:rsidRPr="00127DAC">
              <w:rPr>
                <w:szCs w:val="22"/>
              </w:rPr>
              <w:t>1 p.m.</w:t>
            </w:r>
          </w:p>
        </w:tc>
        <w:tc>
          <w:tcPr>
            <w:tcW w:w="7877" w:type="dxa"/>
            <w:tcBorders>
              <w:top w:val="dashed" w:sz="4" w:space="0" w:color="auto"/>
              <w:bottom w:val="single" w:sz="6" w:space="0" w:color="000000"/>
            </w:tcBorders>
          </w:tcPr>
          <w:p w:rsidR="005F49CB" w:rsidRPr="00127DAC" w:rsidRDefault="00E73F9A" w:rsidP="00F71191">
            <w:pPr>
              <w:suppressLineNumbers/>
              <w:suppressAutoHyphens/>
              <w:spacing w:before="20" w:after="20"/>
              <w:jc w:val="left"/>
              <w:rPr>
                <w:szCs w:val="22"/>
              </w:rPr>
            </w:pPr>
            <w:r w:rsidRPr="00127DAC">
              <w:rPr>
                <w:szCs w:val="22"/>
              </w:rPr>
              <w:t>Agenda item 3</w:t>
            </w:r>
            <w:r w:rsidRPr="00127DAC">
              <w:rPr>
                <w:i/>
                <w:szCs w:val="22"/>
              </w:rPr>
              <w:t xml:space="preserve"> (continued)</w:t>
            </w:r>
          </w:p>
        </w:tc>
      </w:tr>
      <w:tr w:rsidR="00710373" w:rsidRPr="00B05FB5" w:rsidTr="00FE4E9A">
        <w:trPr>
          <w:cantSplit/>
        </w:trPr>
        <w:tc>
          <w:tcPr>
            <w:tcW w:w="2127" w:type="dxa"/>
            <w:tcBorders>
              <w:top w:val="dashed" w:sz="4" w:space="0" w:color="auto"/>
              <w:bottom w:val="single" w:sz="6" w:space="0" w:color="000000"/>
            </w:tcBorders>
          </w:tcPr>
          <w:p w:rsidR="00710373" w:rsidRPr="00127DAC" w:rsidRDefault="00736050" w:rsidP="00E73F9A">
            <w:pPr>
              <w:suppressLineNumbers/>
              <w:suppressAutoHyphens/>
              <w:spacing w:before="20" w:after="20"/>
              <w:rPr>
                <w:szCs w:val="22"/>
              </w:rPr>
            </w:pPr>
            <w:r w:rsidRPr="00127DAC">
              <w:rPr>
                <w:szCs w:val="22"/>
              </w:rPr>
              <w:t>1 p.m. – 2</w:t>
            </w:r>
            <w:r w:rsidR="00710373" w:rsidRPr="00127DAC">
              <w:rPr>
                <w:szCs w:val="22"/>
              </w:rPr>
              <w:t xml:space="preserve"> p.m.</w:t>
            </w:r>
          </w:p>
        </w:tc>
        <w:tc>
          <w:tcPr>
            <w:tcW w:w="7877" w:type="dxa"/>
            <w:tcBorders>
              <w:top w:val="dashed" w:sz="4" w:space="0" w:color="auto"/>
              <w:bottom w:val="single" w:sz="6" w:space="0" w:color="000000"/>
            </w:tcBorders>
          </w:tcPr>
          <w:p w:rsidR="00710373" w:rsidRPr="00127DAC" w:rsidRDefault="00710373" w:rsidP="00F71191">
            <w:pPr>
              <w:suppressLineNumbers/>
              <w:suppressAutoHyphens/>
              <w:spacing w:before="20" w:after="20"/>
              <w:jc w:val="left"/>
              <w:rPr>
                <w:iCs/>
                <w:szCs w:val="22"/>
              </w:rPr>
            </w:pPr>
            <w:r w:rsidRPr="00127DAC">
              <w:rPr>
                <w:iCs/>
                <w:szCs w:val="22"/>
              </w:rPr>
              <w:t>LUNCH</w:t>
            </w:r>
          </w:p>
        </w:tc>
      </w:tr>
      <w:tr w:rsidR="005F49CB" w:rsidRPr="00B05FB5" w:rsidTr="00FE4E9A">
        <w:trPr>
          <w:cantSplit/>
        </w:trPr>
        <w:tc>
          <w:tcPr>
            <w:tcW w:w="2127" w:type="dxa"/>
            <w:tcBorders>
              <w:top w:val="dashed" w:sz="4" w:space="0" w:color="auto"/>
              <w:bottom w:val="single" w:sz="6" w:space="0" w:color="000000"/>
            </w:tcBorders>
          </w:tcPr>
          <w:p w:rsidR="005F49CB" w:rsidRPr="00127DAC" w:rsidRDefault="00736050" w:rsidP="00890BE1">
            <w:pPr>
              <w:suppressLineNumbers/>
              <w:suppressAutoHyphens/>
              <w:spacing w:before="20" w:after="20"/>
              <w:rPr>
                <w:szCs w:val="22"/>
              </w:rPr>
            </w:pPr>
            <w:r w:rsidRPr="00127DAC">
              <w:rPr>
                <w:szCs w:val="22"/>
              </w:rPr>
              <w:t>2</w:t>
            </w:r>
            <w:r w:rsidR="005F49CB" w:rsidRPr="00127DAC">
              <w:rPr>
                <w:szCs w:val="22"/>
              </w:rPr>
              <w:t xml:space="preserve"> p.m. </w:t>
            </w:r>
            <w:r w:rsidR="003817E6" w:rsidRPr="00127DAC">
              <w:rPr>
                <w:szCs w:val="22"/>
              </w:rPr>
              <w:t xml:space="preserve">– </w:t>
            </w:r>
            <w:r w:rsidR="00710373" w:rsidRPr="00127DAC">
              <w:rPr>
                <w:szCs w:val="22"/>
              </w:rPr>
              <w:t>3</w:t>
            </w:r>
            <w:r w:rsidR="005F49CB" w:rsidRPr="00127DAC">
              <w:rPr>
                <w:szCs w:val="22"/>
              </w:rPr>
              <w:t>.</w:t>
            </w:r>
            <w:r w:rsidR="001A43A5" w:rsidRPr="00127DAC">
              <w:rPr>
                <w:szCs w:val="22"/>
              </w:rPr>
              <w:t>3</w:t>
            </w:r>
            <w:r w:rsidR="005F49CB" w:rsidRPr="00127DAC">
              <w:rPr>
                <w:szCs w:val="22"/>
              </w:rPr>
              <w:t>0 p.m.</w:t>
            </w:r>
          </w:p>
        </w:tc>
        <w:tc>
          <w:tcPr>
            <w:tcW w:w="7877" w:type="dxa"/>
            <w:tcBorders>
              <w:top w:val="dashed" w:sz="4" w:space="0" w:color="auto"/>
              <w:bottom w:val="single" w:sz="6" w:space="0" w:color="000000"/>
            </w:tcBorders>
          </w:tcPr>
          <w:p w:rsidR="005F49CB" w:rsidRPr="00127DAC" w:rsidRDefault="00E73F9A" w:rsidP="003B4CC1">
            <w:pPr>
              <w:suppressLineNumbers/>
              <w:suppressAutoHyphens/>
              <w:spacing w:before="20" w:after="20"/>
              <w:ind w:left="460" w:hanging="460"/>
              <w:jc w:val="left"/>
              <w:rPr>
                <w:i/>
                <w:szCs w:val="22"/>
              </w:rPr>
            </w:pPr>
            <w:r>
              <w:rPr>
                <w:szCs w:val="22"/>
              </w:rPr>
              <w:t>4</w:t>
            </w:r>
            <w:r w:rsidRPr="00F71191">
              <w:rPr>
                <w:szCs w:val="22"/>
              </w:rPr>
              <w:t>.</w:t>
            </w:r>
            <w:r>
              <w:rPr>
                <w:szCs w:val="22"/>
              </w:rPr>
              <w:t xml:space="preserve"> </w:t>
            </w:r>
            <w:r w:rsidR="003B4CC1">
              <w:rPr>
                <w:szCs w:val="22"/>
              </w:rPr>
              <w:tab/>
            </w:r>
            <w:r w:rsidR="00A2393A">
              <w:t>Planning</w:t>
            </w:r>
            <w:r>
              <w:t xml:space="preserve"> for the f</w:t>
            </w:r>
            <w:r>
              <w:rPr>
                <w:kern w:val="22"/>
              </w:rPr>
              <w:t>ourth assessment and review of the Cartagena Protocol and final evaluation of the Strategic Plan for the Cartagena Protocol for the period 2011-2020</w:t>
            </w:r>
          </w:p>
        </w:tc>
      </w:tr>
      <w:tr w:rsidR="00710373" w:rsidRPr="00B05FB5" w:rsidTr="00FE4E9A">
        <w:trPr>
          <w:cantSplit/>
        </w:trPr>
        <w:tc>
          <w:tcPr>
            <w:tcW w:w="2127" w:type="dxa"/>
            <w:tcBorders>
              <w:top w:val="dashed" w:sz="4" w:space="0" w:color="auto"/>
              <w:bottom w:val="single" w:sz="6" w:space="0" w:color="000000"/>
            </w:tcBorders>
            <w:shd w:val="clear" w:color="auto" w:fill="auto"/>
          </w:tcPr>
          <w:p w:rsidR="00710373" w:rsidRPr="00127DAC" w:rsidRDefault="001A43A5" w:rsidP="00890BE1">
            <w:pPr>
              <w:suppressLineNumbers/>
              <w:suppressAutoHyphens/>
              <w:spacing w:before="20" w:after="20"/>
              <w:rPr>
                <w:szCs w:val="22"/>
              </w:rPr>
            </w:pPr>
            <w:r w:rsidRPr="00127DAC">
              <w:rPr>
                <w:szCs w:val="22"/>
              </w:rPr>
              <w:t>3.3</w:t>
            </w:r>
            <w:r w:rsidR="00710373" w:rsidRPr="00127DAC">
              <w:rPr>
                <w:szCs w:val="22"/>
              </w:rPr>
              <w:t xml:space="preserve">0 p.m. </w:t>
            </w:r>
            <w:r w:rsidR="003817E6" w:rsidRPr="00127DAC">
              <w:rPr>
                <w:szCs w:val="22"/>
              </w:rPr>
              <w:t xml:space="preserve">– </w:t>
            </w:r>
            <w:r w:rsidR="00790F70">
              <w:rPr>
                <w:szCs w:val="22"/>
              </w:rPr>
              <w:t>3.45</w:t>
            </w:r>
            <w:r w:rsidR="00790F70" w:rsidRPr="00790F70">
              <w:rPr>
                <w:szCs w:val="22"/>
              </w:rPr>
              <w:t xml:space="preserve"> </w:t>
            </w:r>
            <w:r w:rsidR="00710373" w:rsidRPr="00127DAC">
              <w:rPr>
                <w:szCs w:val="22"/>
              </w:rPr>
              <w:t>p.m.</w:t>
            </w:r>
          </w:p>
        </w:tc>
        <w:tc>
          <w:tcPr>
            <w:tcW w:w="7877" w:type="dxa"/>
            <w:tcBorders>
              <w:top w:val="dashed" w:sz="4" w:space="0" w:color="auto"/>
              <w:bottom w:val="single" w:sz="6" w:space="0" w:color="000000"/>
            </w:tcBorders>
            <w:shd w:val="clear" w:color="auto" w:fill="auto"/>
          </w:tcPr>
          <w:p w:rsidR="00710373" w:rsidRPr="00127DAC" w:rsidRDefault="00710373" w:rsidP="00F71191">
            <w:pPr>
              <w:suppressLineNumbers/>
              <w:suppressAutoHyphens/>
              <w:spacing w:before="20" w:after="20"/>
              <w:jc w:val="left"/>
              <w:rPr>
                <w:szCs w:val="22"/>
              </w:rPr>
            </w:pPr>
            <w:r w:rsidRPr="00127DAC">
              <w:rPr>
                <w:szCs w:val="22"/>
              </w:rPr>
              <w:t>BREAK</w:t>
            </w:r>
          </w:p>
        </w:tc>
      </w:tr>
      <w:tr w:rsidR="00710373" w:rsidRPr="00B05FB5" w:rsidTr="00FE4E9A">
        <w:trPr>
          <w:cantSplit/>
        </w:trPr>
        <w:tc>
          <w:tcPr>
            <w:tcW w:w="2127" w:type="dxa"/>
            <w:tcBorders>
              <w:top w:val="dashed" w:sz="4" w:space="0" w:color="auto"/>
              <w:bottom w:val="single" w:sz="6" w:space="0" w:color="000000"/>
            </w:tcBorders>
            <w:shd w:val="clear" w:color="auto" w:fill="auto"/>
          </w:tcPr>
          <w:p w:rsidR="00710373" w:rsidRPr="00B05FB5" w:rsidRDefault="00790F70" w:rsidP="00790F70">
            <w:pPr>
              <w:suppressLineNumbers/>
              <w:suppressAutoHyphens/>
              <w:spacing w:before="20" w:after="20"/>
              <w:rPr>
                <w:szCs w:val="22"/>
                <w:highlight w:val="yellow"/>
              </w:rPr>
            </w:pPr>
            <w:r>
              <w:rPr>
                <w:szCs w:val="22"/>
              </w:rPr>
              <w:t>3.45</w:t>
            </w:r>
            <w:r w:rsidRPr="00790F70">
              <w:rPr>
                <w:szCs w:val="22"/>
              </w:rPr>
              <w:t xml:space="preserve"> </w:t>
            </w:r>
            <w:r w:rsidR="00710373" w:rsidRPr="00127DAC">
              <w:rPr>
                <w:szCs w:val="22"/>
              </w:rPr>
              <w:t xml:space="preserve"> p.m. </w:t>
            </w:r>
            <w:r w:rsidR="00016361" w:rsidRPr="00127DAC">
              <w:rPr>
                <w:szCs w:val="22"/>
              </w:rPr>
              <w:t>–</w:t>
            </w:r>
            <w:r w:rsidR="00710373" w:rsidRPr="00127DAC">
              <w:rPr>
                <w:szCs w:val="22"/>
              </w:rPr>
              <w:t xml:space="preserve"> </w:t>
            </w:r>
            <w:r>
              <w:rPr>
                <w:szCs w:val="22"/>
              </w:rPr>
              <w:t>5</w:t>
            </w:r>
            <w:r w:rsidR="00710373" w:rsidRPr="00127DAC">
              <w:rPr>
                <w:szCs w:val="22"/>
              </w:rPr>
              <w:t xml:space="preserve"> p.m.</w:t>
            </w:r>
          </w:p>
        </w:tc>
        <w:tc>
          <w:tcPr>
            <w:tcW w:w="7877" w:type="dxa"/>
            <w:tcBorders>
              <w:top w:val="dashed" w:sz="4" w:space="0" w:color="auto"/>
              <w:bottom w:val="single" w:sz="6" w:space="0" w:color="000000"/>
            </w:tcBorders>
            <w:shd w:val="clear" w:color="auto" w:fill="auto"/>
          </w:tcPr>
          <w:p w:rsidR="00710373" w:rsidRPr="00B05FB5" w:rsidRDefault="00E73F9A" w:rsidP="00E73F9A">
            <w:pPr>
              <w:suppressLineNumbers/>
              <w:suppressAutoHyphens/>
              <w:spacing w:before="20" w:after="20"/>
              <w:jc w:val="left"/>
              <w:rPr>
                <w:szCs w:val="22"/>
                <w:highlight w:val="yellow"/>
              </w:rPr>
            </w:pPr>
            <w:r w:rsidRPr="00127DAC">
              <w:rPr>
                <w:szCs w:val="22"/>
              </w:rPr>
              <w:t xml:space="preserve">Agenda item </w:t>
            </w:r>
            <w:r>
              <w:rPr>
                <w:szCs w:val="22"/>
              </w:rPr>
              <w:t>4</w:t>
            </w:r>
            <w:r w:rsidRPr="00127DAC">
              <w:rPr>
                <w:i/>
                <w:szCs w:val="22"/>
              </w:rPr>
              <w:t xml:space="preserve"> (continued)</w:t>
            </w:r>
          </w:p>
        </w:tc>
      </w:tr>
      <w:tr w:rsidR="001A43A5" w:rsidRPr="00B05FB5" w:rsidTr="00FE4E9A">
        <w:trPr>
          <w:cantSplit/>
        </w:trPr>
        <w:tc>
          <w:tcPr>
            <w:tcW w:w="2127" w:type="dxa"/>
            <w:tcBorders>
              <w:top w:val="dashed" w:sz="4" w:space="0" w:color="auto"/>
              <w:bottom w:val="single" w:sz="6" w:space="0" w:color="000000"/>
            </w:tcBorders>
            <w:shd w:val="clear" w:color="auto" w:fill="D9D9D9"/>
          </w:tcPr>
          <w:p w:rsidR="001A43A5" w:rsidRPr="00B05FB5" w:rsidRDefault="001A43A5" w:rsidP="00F71191">
            <w:pPr>
              <w:suppressLineNumbers/>
              <w:suppressAutoHyphens/>
              <w:spacing w:before="20" w:after="20"/>
              <w:rPr>
                <w:szCs w:val="22"/>
                <w:highlight w:val="yellow"/>
              </w:rPr>
            </w:pPr>
          </w:p>
        </w:tc>
        <w:tc>
          <w:tcPr>
            <w:tcW w:w="7877" w:type="dxa"/>
            <w:tcBorders>
              <w:top w:val="dashed" w:sz="4" w:space="0" w:color="auto"/>
              <w:bottom w:val="single" w:sz="6" w:space="0" w:color="000000"/>
            </w:tcBorders>
            <w:shd w:val="clear" w:color="auto" w:fill="D9D9D9"/>
          </w:tcPr>
          <w:p w:rsidR="001A43A5" w:rsidRPr="00B05FB5" w:rsidRDefault="001A43A5" w:rsidP="00F71191">
            <w:pPr>
              <w:suppressLineNumbers/>
              <w:suppressAutoHyphens/>
              <w:spacing w:before="20" w:after="20"/>
              <w:jc w:val="left"/>
              <w:rPr>
                <w:szCs w:val="22"/>
                <w:highlight w:val="yellow"/>
              </w:rPr>
            </w:pPr>
          </w:p>
        </w:tc>
      </w:tr>
      <w:tr w:rsidR="005F49CB" w:rsidRPr="00127DAC" w:rsidTr="00FE4E9A">
        <w:trPr>
          <w:cantSplit/>
        </w:trPr>
        <w:tc>
          <w:tcPr>
            <w:tcW w:w="2127" w:type="dxa"/>
            <w:tcBorders>
              <w:top w:val="dashed" w:sz="4" w:space="0" w:color="auto"/>
              <w:bottom w:val="single" w:sz="6" w:space="0" w:color="000000"/>
            </w:tcBorders>
            <w:shd w:val="clear" w:color="auto" w:fill="auto"/>
          </w:tcPr>
          <w:p w:rsidR="00127DAC" w:rsidRPr="00127DAC" w:rsidRDefault="00127DAC" w:rsidP="00127DAC">
            <w:pPr>
              <w:suppressLineNumbers/>
              <w:suppressAutoHyphens/>
              <w:spacing w:before="20" w:after="20"/>
              <w:rPr>
                <w:b/>
                <w:szCs w:val="22"/>
              </w:rPr>
            </w:pPr>
            <w:r w:rsidRPr="00127DAC">
              <w:rPr>
                <w:b/>
                <w:szCs w:val="22"/>
              </w:rPr>
              <w:t>Thursday</w:t>
            </w:r>
          </w:p>
          <w:p w:rsidR="00127DAC" w:rsidRPr="00127DAC" w:rsidRDefault="00E73F9A" w:rsidP="00127DAC">
            <w:pPr>
              <w:suppressLineNumbers/>
              <w:suppressAutoHyphens/>
              <w:spacing w:before="20" w:after="20"/>
              <w:rPr>
                <w:b/>
                <w:szCs w:val="22"/>
              </w:rPr>
            </w:pPr>
            <w:r>
              <w:rPr>
                <w:b/>
                <w:szCs w:val="22"/>
              </w:rPr>
              <w:t>6</w:t>
            </w:r>
            <w:r w:rsidR="00127DAC" w:rsidRPr="00127DAC">
              <w:rPr>
                <w:b/>
                <w:szCs w:val="22"/>
              </w:rPr>
              <w:t xml:space="preserve"> September 2018 </w:t>
            </w:r>
          </w:p>
          <w:p w:rsidR="005F49CB" w:rsidRPr="00127DAC" w:rsidRDefault="005F49CB" w:rsidP="00890BE1">
            <w:pPr>
              <w:suppressLineNumbers/>
              <w:suppressAutoHyphens/>
              <w:spacing w:before="20" w:after="20"/>
              <w:rPr>
                <w:szCs w:val="22"/>
              </w:rPr>
            </w:pPr>
            <w:r w:rsidRPr="00127DAC">
              <w:rPr>
                <w:szCs w:val="22"/>
              </w:rPr>
              <w:t>9 a.</w:t>
            </w:r>
            <w:r w:rsidRPr="00397807">
              <w:rPr>
                <w:szCs w:val="22"/>
              </w:rPr>
              <w:t xml:space="preserve">m. </w:t>
            </w:r>
            <w:r w:rsidR="003817E6" w:rsidRPr="00397807">
              <w:rPr>
                <w:szCs w:val="22"/>
              </w:rPr>
              <w:t xml:space="preserve">– </w:t>
            </w:r>
            <w:r w:rsidR="00E73F9A" w:rsidRPr="00397807">
              <w:rPr>
                <w:szCs w:val="22"/>
              </w:rPr>
              <w:t>10.</w:t>
            </w:r>
            <w:r w:rsidR="00890BE1" w:rsidRPr="00397807">
              <w:rPr>
                <w:szCs w:val="22"/>
              </w:rPr>
              <w:t>45</w:t>
            </w:r>
            <w:r w:rsidRPr="00397807">
              <w:rPr>
                <w:szCs w:val="22"/>
              </w:rPr>
              <w:t xml:space="preserve"> </w:t>
            </w:r>
            <w:r w:rsidR="00890BE1" w:rsidRPr="00397807">
              <w:rPr>
                <w:szCs w:val="22"/>
              </w:rPr>
              <w:t>a</w:t>
            </w:r>
            <w:r w:rsidRPr="00397807">
              <w:rPr>
                <w:szCs w:val="22"/>
              </w:rPr>
              <w:t>.m.</w:t>
            </w:r>
          </w:p>
        </w:tc>
        <w:tc>
          <w:tcPr>
            <w:tcW w:w="7877" w:type="dxa"/>
            <w:tcBorders>
              <w:top w:val="dashed" w:sz="4" w:space="0" w:color="auto"/>
              <w:bottom w:val="single" w:sz="6" w:space="0" w:color="000000"/>
            </w:tcBorders>
            <w:shd w:val="clear" w:color="auto" w:fill="auto"/>
          </w:tcPr>
          <w:p w:rsidR="005F49CB" w:rsidRDefault="00127DAC" w:rsidP="00E73F9A">
            <w:pPr>
              <w:suppressLineNumbers/>
              <w:tabs>
                <w:tab w:val="left" w:pos="285"/>
              </w:tabs>
              <w:suppressAutoHyphens/>
              <w:spacing w:before="20" w:after="20"/>
              <w:ind w:left="15"/>
              <w:jc w:val="left"/>
              <w:rPr>
                <w:szCs w:val="22"/>
              </w:rPr>
            </w:pPr>
            <w:r w:rsidRPr="00127DAC">
              <w:rPr>
                <w:szCs w:val="22"/>
              </w:rPr>
              <w:t>5.</w:t>
            </w:r>
            <w:r>
              <w:rPr>
                <w:szCs w:val="22"/>
              </w:rPr>
              <w:t xml:space="preserve"> </w:t>
            </w:r>
            <w:r w:rsidR="00E73F9A">
              <w:rPr>
                <w:szCs w:val="22"/>
              </w:rPr>
              <w:tab/>
            </w:r>
            <w:r w:rsidRPr="00127DAC">
              <w:rPr>
                <w:szCs w:val="22"/>
              </w:rPr>
              <w:t>Process</w:t>
            </w:r>
            <w:r w:rsidR="00000756">
              <w:rPr>
                <w:szCs w:val="22"/>
              </w:rPr>
              <w:t>es</w:t>
            </w:r>
            <w:r w:rsidRPr="00127DAC">
              <w:rPr>
                <w:szCs w:val="22"/>
              </w:rPr>
              <w:t xml:space="preserve"> for the preparation of post-2020 strategies</w:t>
            </w:r>
          </w:p>
          <w:p w:rsidR="00127DAC" w:rsidRPr="00127DAC" w:rsidRDefault="00127DAC" w:rsidP="00E73F9A">
            <w:pPr>
              <w:suppressLineNumbers/>
              <w:suppressAutoHyphens/>
              <w:spacing w:before="20" w:after="20"/>
              <w:ind w:left="285"/>
              <w:jc w:val="left"/>
              <w:rPr>
                <w:szCs w:val="22"/>
              </w:rPr>
            </w:pPr>
            <w:r>
              <w:rPr>
                <w:szCs w:val="22"/>
              </w:rPr>
              <w:t xml:space="preserve">5.1. </w:t>
            </w:r>
            <w:r w:rsidRPr="00127DAC">
              <w:rPr>
                <w:szCs w:val="22"/>
              </w:rPr>
              <w:t>Post-2020 global biodiversity framework</w:t>
            </w:r>
          </w:p>
        </w:tc>
      </w:tr>
      <w:tr w:rsidR="00E73F9A" w:rsidRPr="00E73F9A" w:rsidTr="00FE4E9A">
        <w:trPr>
          <w:cantSplit/>
        </w:trPr>
        <w:tc>
          <w:tcPr>
            <w:tcW w:w="2127" w:type="dxa"/>
            <w:tcBorders>
              <w:top w:val="dashed" w:sz="4" w:space="0" w:color="auto"/>
              <w:bottom w:val="single" w:sz="6" w:space="0" w:color="000000"/>
            </w:tcBorders>
          </w:tcPr>
          <w:p w:rsidR="00E73F9A" w:rsidRPr="00E73F9A" w:rsidRDefault="00E73F9A" w:rsidP="00E73F9A">
            <w:pPr>
              <w:suppressLineNumbers/>
              <w:suppressAutoHyphens/>
              <w:spacing w:before="20" w:after="20"/>
              <w:rPr>
                <w:szCs w:val="22"/>
              </w:rPr>
            </w:pPr>
            <w:r w:rsidRPr="00E73F9A">
              <w:rPr>
                <w:szCs w:val="22"/>
              </w:rPr>
              <w:t>10.45 a.m. – 11 a.m.</w:t>
            </w:r>
          </w:p>
        </w:tc>
        <w:tc>
          <w:tcPr>
            <w:tcW w:w="7877" w:type="dxa"/>
            <w:tcBorders>
              <w:top w:val="dashed" w:sz="4" w:space="0" w:color="auto"/>
              <w:bottom w:val="single" w:sz="6" w:space="0" w:color="000000"/>
            </w:tcBorders>
          </w:tcPr>
          <w:p w:rsidR="00E73F9A" w:rsidRPr="00E73F9A" w:rsidRDefault="00E73F9A" w:rsidP="009F4680">
            <w:pPr>
              <w:suppressLineNumbers/>
              <w:suppressAutoHyphens/>
              <w:spacing w:before="20" w:after="20"/>
              <w:jc w:val="left"/>
              <w:rPr>
                <w:iCs/>
                <w:szCs w:val="22"/>
              </w:rPr>
            </w:pPr>
            <w:r w:rsidRPr="00E73F9A">
              <w:rPr>
                <w:iCs/>
                <w:szCs w:val="22"/>
              </w:rPr>
              <w:t>BREAK</w:t>
            </w:r>
          </w:p>
        </w:tc>
      </w:tr>
      <w:tr w:rsidR="00E73F9A" w:rsidRPr="00127DAC" w:rsidTr="00FE4E9A">
        <w:trPr>
          <w:cantSplit/>
        </w:trPr>
        <w:tc>
          <w:tcPr>
            <w:tcW w:w="2127" w:type="dxa"/>
            <w:tcBorders>
              <w:top w:val="dashed" w:sz="4" w:space="0" w:color="auto"/>
              <w:bottom w:val="single" w:sz="6" w:space="0" w:color="000000"/>
            </w:tcBorders>
          </w:tcPr>
          <w:p w:rsidR="00E73F9A" w:rsidRPr="00127DAC" w:rsidRDefault="00790F70" w:rsidP="00F71191">
            <w:pPr>
              <w:suppressLineNumbers/>
              <w:suppressAutoHyphens/>
              <w:spacing w:before="20" w:after="20"/>
              <w:rPr>
                <w:szCs w:val="22"/>
              </w:rPr>
            </w:pPr>
            <w:r w:rsidRPr="00127DAC">
              <w:rPr>
                <w:szCs w:val="22"/>
              </w:rPr>
              <w:t>1</w:t>
            </w:r>
            <w:r>
              <w:rPr>
                <w:szCs w:val="22"/>
              </w:rPr>
              <w:t>1</w:t>
            </w:r>
            <w:r w:rsidRPr="00127DAC">
              <w:rPr>
                <w:szCs w:val="22"/>
              </w:rPr>
              <w:t xml:space="preserve"> a.m. – 1 p.m.</w:t>
            </w:r>
          </w:p>
        </w:tc>
        <w:tc>
          <w:tcPr>
            <w:tcW w:w="7877" w:type="dxa"/>
            <w:tcBorders>
              <w:top w:val="dashed" w:sz="4" w:space="0" w:color="auto"/>
              <w:bottom w:val="single" w:sz="6" w:space="0" w:color="000000"/>
            </w:tcBorders>
          </w:tcPr>
          <w:p w:rsidR="00E73F9A" w:rsidRPr="00127DAC" w:rsidRDefault="00E73F9A" w:rsidP="00E73F9A">
            <w:pPr>
              <w:suppressLineNumbers/>
              <w:tabs>
                <w:tab w:val="left" w:pos="294"/>
              </w:tabs>
              <w:suppressAutoHyphens/>
              <w:spacing w:before="20" w:after="20"/>
              <w:jc w:val="left"/>
              <w:rPr>
                <w:iCs/>
                <w:szCs w:val="22"/>
              </w:rPr>
            </w:pPr>
            <w:r>
              <w:rPr>
                <w:szCs w:val="22"/>
              </w:rPr>
              <w:tab/>
              <w:t xml:space="preserve">5.2. </w:t>
            </w:r>
            <w:r w:rsidRPr="00E73F9A">
              <w:rPr>
                <w:szCs w:val="22"/>
              </w:rPr>
              <w:t>Follow</w:t>
            </w:r>
            <w:r w:rsidR="009629E6">
              <w:rPr>
                <w:szCs w:val="22"/>
              </w:rPr>
              <w:t>-</w:t>
            </w:r>
            <w:r w:rsidRPr="00E73F9A">
              <w:rPr>
                <w:szCs w:val="22"/>
              </w:rPr>
              <w:t>up to the Strategic Plan for the Cartagena Protocol</w:t>
            </w:r>
            <w:r w:rsidR="00A2393A">
              <w:rPr>
                <w:szCs w:val="22"/>
              </w:rPr>
              <w:t xml:space="preserve"> (2011-2020)</w:t>
            </w:r>
          </w:p>
        </w:tc>
      </w:tr>
      <w:tr w:rsidR="001A43A5" w:rsidRPr="00127DAC" w:rsidTr="00FE4E9A">
        <w:trPr>
          <w:cantSplit/>
        </w:trPr>
        <w:tc>
          <w:tcPr>
            <w:tcW w:w="2127" w:type="dxa"/>
            <w:tcBorders>
              <w:top w:val="dashed" w:sz="4" w:space="0" w:color="auto"/>
              <w:bottom w:val="single" w:sz="6" w:space="0" w:color="000000"/>
            </w:tcBorders>
          </w:tcPr>
          <w:p w:rsidR="001A43A5" w:rsidRPr="00127DAC" w:rsidRDefault="00736050" w:rsidP="00F71191">
            <w:pPr>
              <w:suppressLineNumbers/>
              <w:suppressAutoHyphens/>
              <w:spacing w:before="20" w:after="20"/>
              <w:rPr>
                <w:szCs w:val="22"/>
              </w:rPr>
            </w:pPr>
            <w:r w:rsidRPr="00127DAC">
              <w:rPr>
                <w:szCs w:val="22"/>
              </w:rPr>
              <w:t>1 p.m. – 2</w:t>
            </w:r>
            <w:r w:rsidR="001A43A5" w:rsidRPr="00127DAC">
              <w:rPr>
                <w:szCs w:val="22"/>
              </w:rPr>
              <w:t xml:space="preserve"> p.m.</w:t>
            </w:r>
          </w:p>
        </w:tc>
        <w:tc>
          <w:tcPr>
            <w:tcW w:w="7877" w:type="dxa"/>
            <w:tcBorders>
              <w:top w:val="dashed" w:sz="4" w:space="0" w:color="auto"/>
              <w:bottom w:val="single" w:sz="6" w:space="0" w:color="000000"/>
            </w:tcBorders>
          </w:tcPr>
          <w:p w:rsidR="001A43A5" w:rsidRPr="00127DAC" w:rsidRDefault="001A43A5" w:rsidP="00F71191">
            <w:pPr>
              <w:suppressLineNumbers/>
              <w:suppressAutoHyphens/>
              <w:spacing w:before="20" w:after="20"/>
              <w:jc w:val="left"/>
              <w:rPr>
                <w:iCs/>
                <w:szCs w:val="22"/>
              </w:rPr>
            </w:pPr>
            <w:r w:rsidRPr="00127DAC">
              <w:rPr>
                <w:iCs/>
                <w:szCs w:val="22"/>
              </w:rPr>
              <w:t>LUNCH</w:t>
            </w:r>
          </w:p>
        </w:tc>
      </w:tr>
      <w:tr w:rsidR="001A43A5" w:rsidRPr="00790F70" w:rsidTr="00FE4E9A">
        <w:trPr>
          <w:cantSplit/>
        </w:trPr>
        <w:tc>
          <w:tcPr>
            <w:tcW w:w="2127" w:type="dxa"/>
            <w:tcBorders>
              <w:top w:val="dashed" w:sz="4" w:space="0" w:color="auto"/>
              <w:bottom w:val="single" w:sz="6" w:space="0" w:color="000000"/>
            </w:tcBorders>
          </w:tcPr>
          <w:p w:rsidR="001A43A5" w:rsidRPr="00790F70" w:rsidRDefault="00736050" w:rsidP="00F71191">
            <w:pPr>
              <w:suppressLineNumbers/>
              <w:suppressAutoHyphens/>
              <w:spacing w:before="20" w:after="20"/>
              <w:rPr>
                <w:szCs w:val="22"/>
              </w:rPr>
            </w:pPr>
            <w:r w:rsidRPr="00790F70">
              <w:rPr>
                <w:szCs w:val="22"/>
              </w:rPr>
              <w:t>2</w:t>
            </w:r>
            <w:r w:rsidR="001A43A5" w:rsidRPr="00790F70">
              <w:rPr>
                <w:szCs w:val="22"/>
              </w:rPr>
              <w:t xml:space="preserve"> p.m. – 3.30 p.m.</w:t>
            </w:r>
          </w:p>
        </w:tc>
        <w:tc>
          <w:tcPr>
            <w:tcW w:w="7877" w:type="dxa"/>
            <w:tcBorders>
              <w:top w:val="dashed" w:sz="4" w:space="0" w:color="auto"/>
              <w:bottom w:val="single" w:sz="6" w:space="0" w:color="000000"/>
            </w:tcBorders>
          </w:tcPr>
          <w:p w:rsidR="001A43A5" w:rsidRPr="00790F70" w:rsidRDefault="00790F70" w:rsidP="00397807">
            <w:pPr>
              <w:suppressLineNumbers/>
              <w:tabs>
                <w:tab w:val="left" w:pos="294"/>
              </w:tabs>
              <w:suppressAutoHyphens/>
              <w:spacing w:before="20" w:after="20"/>
              <w:jc w:val="left"/>
              <w:rPr>
                <w:i/>
                <w:szCs w:val="22"/>
              </w:rPr>
            </w:pPr>
            <w:r w:rsidRPr="00790F70">
              <w:rPr>
                <w:szCs w:val="22"/>
              </w:rPr>
              <w:tab/>
              <w:t xml:space="preserve">5.3. </w:t>
            </w:r>
            <w:r w:rsidR="00A2393A">
              <w:t>P</w:t>
            </w:r>
            <w:r w:rsidRPr="00790F70">
              <w:t>ost-</w:t>
            </w:r>
            <w:r w:rsidRPr="00397807">
              <w:t xml:space="preserve">2020 </w:t>
            </w:r>
            <w:r w:rsidR="00397807">
              <w:t>c</w:t>
            </w:r>
            <w:r w:rsidRPr="00397807">
              <w:t xml:space="preserve">apacity </w:t>
            </w:r>
            <w:r w:rsidR="00397807">
              <w:t>d</w:t>
            </w:r>
            <w:r w:rsidRPr="00397807">
              <w:t xml:space="preserve">evelopment </w:t>
            </w:r>
            <w:r w:rsidR="00397807">
              <w:t>s</w:t>
            </w:r>
            <w:r w:rsidRPr="00397807">
              <w:t xml:space="preserve">trategic </w:t>
            </w:r>
            <w:r w:rsidR="00397807">
              <w:t>f</w:t>
            </w:r>
            <w:r w:rsidRPr="00397807">
              <w:t>ramework</w:t>
            </w:r>
          </w:p>
        </w:tc>
      </w:tr>
      <w:tr w:rsidR="001A43A5" w:rsidRPr="00790F70" w:rsidTr="00FE4E9A">
        <w:trPr>
          <w:cantSplit/>
        </w:trPr>
        <w:tc>
          <w:tcPr>
            <w:tcW w:w="2127" w:type="dxa"/>
            <w:tcBorders>
              <w:top w:val="dashed" w:sz="4" w:space="0" w:color="auto"/>
              <w:bottom w:val="single" w:sz="6" w:space="0" w:color="000000"/>
            </w:tcBorders>
          </w:tcPr>
          <w:p w:rsidR="001A43A5" w:rsidRPr="00790F70" w:rsidRDefault="00790F70" w:rsidP="00F71191">
            <w:pPr>
              <w:suppressLineNumbers/>
              <w:suppressAutoHyphens/>
              <w:spacing w:before="20" w:after="20"/>
              <w:rPr>
                <w:szCs w:val="22"/>
              </w:rPr>
            </w:pPr>
            <w:r>
              <w:rPr>
                <w:szCs w:val="22"/>
              </w:rPr>
              <w:t>3.30 p.m. – 3.45</w:t>
            </w:r>
            <w:r w:rsidR="001A43A5" w:rsidRPr="00790F70">
              <w:rPr>
                <w:szCs w:val="22"/>
              </w:rPr>
              <w:t xml:space="preserve"> p.m.</w:t>
            </w:r>
          </w:p>
        </w:tc>
        <w:tc>
          <w:tcPr>
            <w:tcW w:w="7877" w:type="dxa"/>
            <w:tcBorders>
              <w:top w:val="dashed" w:sz="4" w:space="0" w:color="auto"/>
              <w:bottom w:val="single" w:sz="6" w:space="0" w:color="000000"/>
            </w:tcBorders>
          </w:tcPr>
          <w:p w:rsidR="001A43A5" w:rsidRPr="00790F70" w:rsidRDefault="001A43A5" w:rsidP="00F71191">
            <w:pPr>
              <w:suppressLineNumbers/>
              <w:suppressAutoHyphens/>
              <w:spacing w:before="20" w:after="20"/>
              <w:jc w:val="left"/>
              <w:rPr>
                <w:szCs w:val="22"/>
              </w:rPr>
            </w:pPr>
            <w:r w:rsidRPr="00790F70">
              <w:rPr>
                <w:szCs w:val="22"/>
              </w:rPr>
              <w:t>BREAK</w:t>
            </w:r>
          </w:p>
        </w:tc>
      </w:tr>
      <w:tr w:rsidR="001A43A5" w:rsidRPr="00790F70" w:rsidTr="00FE4E9A">
        <w:trPr>
          <w:cantSplit/>
        </w:trPr>
        <w:tc>
          <w:tcPr>
            <w:tcW w:w="2127" w:type="dxa"/>
            <w:tcBorders>
              <w:top w:val="dashed" w:sz="4" w:space="0" w:color="auto"/>
              <w:bottom w:val="single" w:sz="6" w:space="0" w:color="000000"/>
            </w:tcBorders>
          </w:tcPr>
          <w:p w:rsidR="001A43A5" w:rsidRPr="00790F70" w:rsidRDefault="00790F70" w:rsidP="00790F70">
            <w:pPr>
              <w:suppressLineNumbers/>
              <w:suppressAutoHyphens/>
              <w:spacing w:before="20" w:after="20"/>
              <w:rPr>
                <w:szCs w:val="22"/>
              </w:rPr>
            </w:pPr>
            <w:r>
              <w:rPr>
                <w:szCs w:val="22"/>
              </w:rPr>
              <w:t>3.45</w:t>
            </w:r>
            <w:r w:rsidRPr="00790F70">
              <w:rPr>
                <w:szCs w:val="22"/>
              </w:rPr>
              <w:t xml:space="preserve"> </w:t>
            </w:r>
            <w:r w:rsidR="00736050" w:rsidRPr="00790F70">
              <w:rPr>
                <w:szCs w:val="22"/>
              </w:rPr>
              <w:t xml:space="preserve">p.m. – </w:t>
            </w:r>
            <w:r>
              <w:rPr>
                <w:szCs w:val="22"/>
              </w:rPr>
              <w:t>5</w:t>
            </w:r>
            <w:r w:rsidR="001A43A5" w:rsidRPr="00790F70">
              <w:rPr>
                <w:szCs w:val="22"/>
              </w:rPr>
              <w:t xml:space="preserve"> p.m.</w:t>
            </w:r>
          </w:p>
        </w:tc>
        <w:tc>
          <w:tcPr>
            <w:tcW w:w="7877" w:type="dxa"/>
            <w:tcBorders>
              <w:top w:val="dashed" w:sz="4" w:space="0" w:color="auto"/>
              <w:bottom w:val="single" w:sz="6" w:space="0" w:color="000000"/>
            </w:tcBorders>
          </w:tcPr>
          <w:p w:rsidR="001A43A5" w:rsidRPr="00790F70" w:rsidRDefault="001A43A5" w:rsidP="00A2393A">
            <w:pPr>
              <w:suppressLineNumbers/>
              <w:suppressAutoHyphens/>
              <w:spacing w:before="20" w:after="20"/>
              <w:jc w:val="left"/>
              <w:rPr>
                <w:szCs w:val="22"/>
              </w:rPr>
            </w:pPr>
            <w:r w:rsidRPr="00790F70">
              <w:rPr>
                <w:szCs w:val="22"/>
              </w:rPr>
              <w:t xml:space="preserve">Agenda item </w:t>
            </w:r>
            <w:r w:rsidR="00127DAC" w:rsidRPr="00790F70">
              <w:rPr>
                <w:szCs w:val="22"/>
              </w:rPr>
              <w:t>5</w:t>
            </w:r>
            <w:r w:rsidRPr="00790F70">
              <w:rPr>
                <w:i/>
                <w:szCs w:val="22"/>
              </w:rPr>
              <w:t xml:space="preserve"> (continued)</w:t>
            </w:r>
          </w:p>
        </w:tc>
      </w:tr>
      <w:tr w:rsidR="001A43A5" w:rsidRPr="00B05FB5" w:rsidTr="00FE4E9A">
        <w:trPr>
          <w:cantSplit/>
        </w:trPr>
        <w:tc>
          <w:tcPr>
            <w:tcW w:w="2127" w:type="dxa"/>
            <w:tcBorders>
              <w:top w:val="dashed" w:sz="4" w:space="0" w:color="auto"/>
              <w:bottom w:val="single" w:sz="6" w:space="0" w:color="000000"/>
            </w:tcBorders>
            <w:shd w:val="clear" w:color="auto" w:fill="D9D9D9"/>
          </w:tcPr>
          <w:p w:rsidR="001A43A5" w:rsidRPr="00B05FB5" w:rsidRDefault="001A43A5" w:rsidP="00F71191">
            <w:pPr>
              <w:suppressLineNumbers/>
              <w:suppressAutoHyphens/>
              <w:spacing w:before="20" w:after="20"/>
              <w:rPr>
                <w:i/>
                <w:szCs w:val="22"/>
                <w:highlight w:val="yellow"/>
              </w:rPr>
            </w:pPr>
          </w:p>
        </w:tc>
        <w:tc>
          <w:tcPr>
            <w:tcW w:w="7877" w:type="dxa"/>
            <w:tcBorders>
              <w:top w:val="dashed" w:sz="4" w:space="0" w:color="auto"/>
              <w:bottom w:val="single" w:sz="6" w:space="0" w:color="000000"/>
            </w:tcBorders>
            <w:shd w:val="clear" w:color="auto" w:fill="D9D9D9"/>
          </w:tcPr>
          <w:p w:rsidR="001A43A5" w:rsidRPr="00B05FB5" w:rsidRDefault="001A43A5" w:rsidP="00F71191">
            <w:pPr>
              <w:suppressLineNumbers/>
              <w:suppressAutoHyphens/>
              <w:spacing w:before="20" w:after="20"/>
              <w:jc w:val="left"/>
              <w:rPr>
                <w:i/>
                <w:szCs w:val="22"/>
                <w:highlight w:val="yellow"/>
              </w:rPr>
            </w:pPr>
          </w:p>
        </w:tc>
      </w:tr>
      <w:tr w:rsidR="00E4357D" w:rsidRPr="00E73F9A" w:rsidTr="00FE4E9A">
        <w:trPr>
          <w:cantSplit/>
        </w:trPr>
        <w:tc>
          <w:tcPr>
            <w:tcW w:w="2127" w:type="dxa"/>
            <w:tcBorders>
              <w:top w:val="dashed" w:sz="4" w:space="0" w:color="auto"/>
              <w:bottom w:val="single" w:sz="6" w:space="0" w:color="000000"/>
            </w:tcBorders>
          </w:tcPr>
          <w:p w:rsidR="00E73F9A" w:rsidRPr="00127DAC" w:rsidRDefault="00E73F9A" w:rsidP="00E73F9A">
            <w:pPr>
              <w:suppressLineNumbers/>
              <w:suppressAutoHyphens/>
              <w:spacing w:before="20" w:after="20"/>
              <w:rPr>
                <w:b/>
                <w:szCs w:val="22"/>
              </w:rPr>
            </w:pPr>
            <w:r>
              <w:rPr>
                <w:b/>
                <w:szCs w:val="22"/>
              </w:rPr>
              <w:t>Fri</w:t>
            </w:r>
            <w:r w:rsidRPr="00127DAC">
              <w:rPr>
                <w:b/>
                <w:szCs w:val="22"/>
              </w:rPr>
              <w:t>day</w:t>
            </w:r>
          </w:p>
          <w:p w:rsidR="00E73F9A" w:rsidRDefault="00E73F9A" w:rsidP="00E73F9A">
            <w:pPr>
              <w:suppressLineNumbers/>
              <w:suppressAutoHyphens/>
              <w:spacing w:before="20" w:after="20"/>
              <w:rPr>
                <w:b/>
                <w:szCs w:val="22"/>
              </w:rPr>
            </w:pPr>
            <w:r>
              <w:rPr>
                <w:b/>
                <w:szCs w:val="22"/>
              </w:rPr>
              <w:t>7</w:t>
            </w:r>
            <w:r w:rsidRPr="00127DAC">
              <w:rPr>
                <w:b/>
                <w:szCs w:val="22"/>
              </w:rPr>
              <w:t xml:space="preserve"> September 2018 </w:t>
            </w:r>
          </w:p>
          <w:p w:rsidR="00E4357D" w:rsidRPr="00E73F9A" w:rsidRDefault="00E4357D" w:rsidP="00E73F9A">
            <w:pPr>
              <w:suppressLineNumbers/>
              <w:suppressAutoHyphens/>
              <w:spacing w:before="20" w:after="20"/>
              <w:rPr>
                <w:szCs w:val="22"/>
              </w:rPr>
            </w:pPr>
            <w:r w:rsidRPr="00E73F9A">
              <w:rPr>
                <w:szCs w:val="22"/>
              </w:rPr>
              <w:t xml:space="preserve">9 a.m. – </w:t>
            </w:r>
            <w:r w:rsidR="001A43A5" w:rsidRPr="00E73F9A">
              <w:rPr>
                <w:szCs w:val="22"/>
              </w:rPr>
              <w:t>10.</w:t>
            </w:r>
            <w:r w:rsidR="00E73F9A" w:rsidRPr="00E73F9A">
              <w:rPr>
                <w:szCs w:val="22"/>
              </w:rPr>
              <w:t>45</w:t>
            </w:r>
            <w:r w:rsidR="00736050" w:rsidRPr="00E73F9A">
              <w:rPr>
                <w:szCs w:val="22"/>
              </w:rPr>
              <w:t xml:space="preserve"> a</w:t>
            </w:r>
            <w:r w:rsidRPr="00E73F9A">
              <w:rPr>
                <w:szCs w:val="22"/>
              </w:rPr>
              <w:t>.m.</w:t>
            </w:r>
          </w:p>
        </w:tc>
        <w:tc>
          <w:tcPr>
            <w:tcW w:w="7877" w:type="dxa"/>
            <w:tcBorders>
              <w:top w:val="dashed" w:sz="4" w:space="0" w:color="auto"/>
              <w:bottom w:val="single" w:sz="6" w:space="0" w:color="000000"/>
            </w:tcBorders>
          </w:tcPr>
          <w:p w:rsidR="00E73F9A" w:rsidRPr="00E73F9A" w:rsidRDefault="003B4CC1" w:rsidP="003B4CC1">
            <w:pPr>
              <w:suppressLineNumbers/>
              <w:tabs>
                <w:tab w:val="left" w:pos="318"/>
              </w:tabs>
              <w:suppressAutoHyphens/>
              <w:spacing w:before="20" w:after="20"/>
              <w:jc w:val="left"/>
              <w:rPr>
                <w:szCs w:val="22"/>
              </w:rPr>
            </w:pPr>
            <w:r>
              <w:rPr>
                <w:szCs w:val="22"/>
              </w:rPr>
              <w:t>6.</w:t>
            </w:r>
            <w:r>
              <w:rPr>
                <w:szCs w:val="22"/>
              </w:rPr>
              <w:tab/>
            </w:r>
            <w:r w:rsidR="00E73F9A" w:rsidRPr="00E73F9A">
              <w:rPr>
                <w:szCs w:val="22"/>
              </w:rPr>
              <w:t xml:space="preserve">Conclusions </w:t>
            </w:r>
          </w:p>
          <w:p w:rsidR="001A43A5" w:rsidRPr="00E73F9A" w:rsidRDefault="001A43A5" w:rsidP="00F71191">
            <w:pPr>
              <w:suppressLineNumbers/>
              <w:suppressAutoHyphens/>
              <w:spacing w:before="20" w:after="20"/>
              <w:rPr>
                <w:lang w:val="en-US"/>
              </w:rPr>
            </w:pPr>
          </w:p>
        </w:tc>
      </w:tr>
      <w:tr w:rsidR="001A43A5" w:rsidRPr="00E73F9A" w:rsidTr="00FE4E9A">
        <w:trPr>
          <w:cantSplit/>
        </w:trPr>
        <w:tc>
          <w:tcPr>
            <w:tcW w:w="2127" w:type="dxa"/>
            <w:tcBorders>
              <w:top w:val="dashed" w:sz="4" w:space="0" w:color="auto"/>
              <w:bottom w:val="single" w:sz="6" w:space="0" w:color="000000"/>
            </w:tcBorders>
          </w:tcPr>
          <w:p w:rsidR="001A43A5" w:rsidRPr="00E73F9A" w:rsidRDefault="00A939BB" w:rsidP="00E73F9A">
            <w:pPr>
              <w:suppressLineNumbers/>
              <w:suppressAutoHyphens/>
              <w:spacing w:before="20" w:after="20"/>
              <w:rPr>
                <w:szCs w:val="22"/>
              </w:rPr>
            </w:pPr>
            <w:r w:rsidRPr="00E73F9A">
              <w:rPr>
                <w:szCs w:val="22"/>
              </w:rPr>
              <w:t>10</w:t>
            </w:r>
            <w:r w:rsidR="001A43A5" w:rsidRPr="00E73F9A">
              <w:rPr>
                <w:szCs w:val="22"/>
              </w:rPr>
              <w:t>.</w:t>
            </w:r>
            <w:r w:rsidR="00E73F9A" w:rsidRPr="00E73F9A">
              <w:rPr>
                <w:szCs w:val="22"/>
              </w:rPr>
              <w:t>45</w:t>
            </w:r>
            <w:r w:rsidR="001A43A5" w:rsidRPr="00E73F9A">
              <w:rPr>
                <w:szCs w:val="22"/>
              </w:rPr>
              <w:t xml:space="preserve"> a.m. – 1</w:t>
            </w:r>
            <w:r w:rsidR="00736050" w:rsidRPr="00E73F9A">
              <w:rPr>
                <w:szCs w:val="22"/>
              </w:rPr>
              <w:t>1</w:t>
            </w:r>
            <w:r w:rsidR="001A43A5" w:rsidRPr="00E73F9A">
              <w:rPr>
                <w:szCs w:val="22"/>
              </w:rPr>
              <w:t xml:space="preserve"> a.m.</w:t>
            </w:r>
          </w:p>
        </w:tc>
        <w:tc>
          <w:tcPr>
            <w:tcW w:w="7877" w:type="dxa"/>
            <w:tcBorders>
              <w:top w:val="dashed" w:sz="4" w:space="0" w:color="auto"/>
              <w:bottom w:val="single" w:sz="6" w:space="0" w:color="000000"/>
            </w:tcBorders>
          </w:tcPr>
          <w:p w:rsidR="001A43A5" w:rsidRPr="00E73F9A" w:rsidRDefault="001A43A5" w:rsidP="00F71191">
            <w:pPr>
              <w:suppressLineNumbers/>
              <w:suppressAutoHyphens/>
              <w:spacing w:before="20" w:after="20"/>
              <w:jc w:val="left"/>
              <w:rPr>
                <w:iCs/>
                <w:szCs w:val="22"/>
              </w:rPr>
            </w:pPr>
            <w:r w:rsidRPr="00E73F9A">
              <w:rPr>
                <w:iCs/>
                <w:szCs w:val="22"/>
              </w:rPr>
              <w:t>BREAK</w:t>
            </w:r>
          </w:p>
        </w:tc>
      </w:tr>
      <w:tr w:rsidR="00710373" w:rsidRPr="00E73F9A" w:rsidTr="00FE4E9A">
        <w:trPr>
          <w:cantSplit/>
        </w:trPr>
        <w:tc>
          <w:tcPr>
            <w:tcW w:w="2127" w:type="dxa"/>
            <w:tcBorders>
              <w:top w:val="dashed" w:sz="4" w:space="0" w:color="auto"/>
              <w:bottom w:val="single" w:sz="6" w:space="0" w:color="000000"/>
            </w:tcBorders>
          </w:tcPr>
          <w:p w:rsidR="00710373" w:rsidRPr="00E73F9A" w:rsidRDefault="00D2165E" w:rsidP="00E73F9A">
            <w:pPr>
              <w:suppressLineNumbers/>
              <w:suppressAutoHyphens/>
              <w:spacing w:before="20" w:after="20"/>
              <w:rPr>
                <w:iCs/>
                <w:szCs w:val="22"/>
              </w:rPr>
            </w:pPr>
            <w:r w:rsidRPr="00E73F9A">
              <w:rPr>
                <w:iCs/>
                <w:szCs w:val="22"/>
              </w:rPr>
              <w:t>1</w:t>
            </w:r>
            <w:r w:rsidR="00736050" w:rsidRPr="00E73F9A">
              <w:rPr>
                <w:iCs/>
                <w:szCs w:val="22"/>
              </w:rPr>
              <w:t>1</w:t>
            </w:r>
            <w:r w:rsidR="00A939BB" w:rsidRPr="00E73F9A">
              <w:rPr>
                <w:iCs/>
                <w:szCs w:val="22"/>
              </w:rPr>
              <w:t xml:space="preserve"> a</w:t>
            </w:r>
            <w:r w:rsidR="003817E6" w:rsidRPr="00E73F9A">
              <w:rPr>
                <w:iCs/>
                <w:szCs w:val="22"/>
              </w:rPr>
              <w:t xml:space="preserve">.m. </w:t>
            </w:r>
            <w:r w:rsidR="003817E6" w:rsidRPr="00E73F9A">
              <w:rPr>
                <w:szCs w:val="22"/>
              </w:rPr>
              <w:t>–</w:t>
            </w:r>
            <w:r w:rsidRPr="00E73F9A">
              <w:rPr>
                <w:szCs w:val="22"/>
              </w:rPr>
              <w:t xml:space="preserve"> </w:t>
            </w:r>
            <w:r w:rsidR="00A939BB" w:rsidRPr="00E73F9A">
              <w:rPr>
                <w:szCs w:val="22"/>
              </w:rPr>
              <w:t>1</w:t>
            </w:r>
            <w:r w:rsidR="00E73F9A">
              <w:rPr>
                <w:szCs w:val="22"/>
              </w:rPr>
              <w:t xml:space="preserve"> p.m.</w:t>
            </w:r>
          </w:p>
        </w:tc>
        <w:tc>
          <w:tcPr>
            <w:tcW w:w="7877" w:type="dxa"/>
            <w:tcBorders>
              <w:top w:val="dashed" w:sz="4" w:space="0" w:color="auto"/>
              <w:bottom w:val="single" w:sz="6" w:space="0" w:color="000000"/>
            </w:tcBorders>
          </w:tcPr>
          <w:p w:rsidR="00EB2E97" w:rsidRPr="00E73F9A" w:rsidRDefault="00E73F9A" w:rsidP="00E73F9A">
            <w:pPr>
              <w:suppressLineNumbers/>
              <w:suppressAutoHyphens/>
              <w:spacing w:before="20" w:after="20"/>
              <w:jc w:val="left"/>
              <w:rPr>
                <w:iCs/>
                <w:szCs w:val="22"/>
                <w:lang w:val="pt-BR"/>
              </w:rPr>
            </w:pPr>
            <w:r w:rsidRPr="00E73F9A">
              <w:rPr>
                <w:szCs w:val="22"/>
                <w:lang w:val="pt-BR"/>
              </w:rPr>
              <w:t>Agenda item 6</w:t>
            </w:r>
            <w:r w:rsidRPr="00E73F9A">
              <w:rPr>
                <w:i/>
                <w:szCs w:val="22"/>
                <w:lang w:val="pt-BR"/>
              </w:rPr>
              <w:t xml:space="preserve"> (continued)</w:t>
            </w:r>
          </w:p>
        </w:tc>
      </w:tr>
      <w:tr w:rsidR="00AF6BD9" w:rsidRPr="00E73F9A" w:rsidTr="00FE4E9A">
        <w:trPr>
          <w:cantSplit/>
        </w:trPr>
        <w:tc>
          <w:tcPr>
            <w:tcW w:w="2127" w:type="dxa"/>
            <w:tcBorders>
              <w:top w:val="dashed" w:sz="4" w:space="0" w:color="auto"/>
              <w:bottom w:val="single" w:sz="6" w:space="0" w:color="000000"/>
            </w:tcBorders>
          </w:tcPr>
          <w:p w:rsidR="00AF6BD9" w:rsidRPr="00E73F9A" w:rsidRDefault="00E73F9A" w:rsidP="00890BE1">
            <w:pPr>
              <w:suppressLineNumbers/>
              <w:suppressAutoHyphens/>
              <w:spacing w:before="20" w:after="20"/>
              <w:rPr>
                <w:szCs w:val="22"/>
              </w:rPr>
            </w:pPr>
            <w:r w:rsidRPr="00E73F9A">
              <w:rPr>
                <w:szCs w:val="22"/>
              </w:rPr>
              <w:t xml:space="preserve">1 p.m. – </w:t>
            </w:r>
            <w:r>
              <w:rPr>
                <w:szCs w:val="22"/>
              </w:rPr>
              <w:t>2</w:t>
            </w:r>
            <w:r w:rsidRPr="00E73F9A">
              <w:rPr>
                <w:szCs w:val="22"/>
              </w:rPr>
              <w:t xml:space="preserve"> p.m.</w:t>
            </w:r>
          </w:p>
        </w:tc>
        <w:tc>
          <w:tcPr>
            <w:tcW w:w="7877" w:type="dxa"/>
            <w:tcBorders>
              <w:top w:val="dashed" w:sz="4" w:space="0" w:color="auto"/>
              <w:bottom w:val="single" w:sz="6" w:space="0" w:color="000000"/>
            </w:tcBorders>
          </w:tcPr>
          <w:p w:rsidR="00AF6BD9" w:rsidRPr="00E73F9A" w:rsidRDefault="00AF6BD9" w:rsidP="00F71191">
            <w:pPr>
              <w:suppressLineNumbers/>
              <w:suppressAutoHyphens/>
              <w:spacing w:before="20" w:after="20"/>
              <w:jc w:val="left"/>
              <w:rPr>
                <w:iCs/>
                <w:szCs w:val="22"/>
              </w:rPr>
            </w:pPr>
            <w:r w:rsidRPr="00E73F9A">
              <w:rPr>
                <w:iCs/>
                <w:szCs w:val="22"/>
              </w:rPr>
              <w:t>LUNCH</w:t>
            </w:r>
          </w:p>
        </w:tc>
      </w:tr>
      <w:tr w:rsidR="00AF6BD9" w:rsidRPr="00E73F9A" w:rsidTr="00FE4E9A">
        <w:trPr>
          <w:cantSplit/>
        </w:trPr>
        <w:tc>
          <w:tcPr>
            <w:tcW w:w="2127" w:type="dxa"/>
            <w:tcBorders>
              <w:top w:val="single" w:sz="6" w:space="0" w:color="000000"/>
              <w:bottom w:val="single" w:sz="6" w:space="0" w:color="000000"/>
            </w:tcBorders>
          </w:tcPr>
          <w:p w:rsidR="00AF6BD9" w:rsidRPr="00E73F9A" w:rsidRDefault="00E73F9A" w:rsidP="00890BE1">
            <w:pPr>
              <w:suppressLineNumbers/>
              <w:suppressAutoHyphens/>
              <w:spacing w:before="20" w:after="20"/>
              <w:rPr>
                <w:szCs w:val="22"/>
              </w:rPr>
            </w:pPr>
            <w:r>
              <w:rPr>
                <w:szCs w:val="22"/>
              </w:rPr>
              <w:t>2</w:t>
            </w:r>
            <w:r w:rsidR="00AF6BD9" w:rsidRPr="00E73F9A">
              <w:rPr>
                <w:szCs w:val="22"/>
              </w:rPr>
              <w:t xml:space="preserve"> p.m. – 3</w:t>
            </w:r>
            <w:r w:rsidR="00790F70">
              <w:rPr>
                <w:szCs w:val="22"/>
              </w:rPr>
              <w:t>.30</w:t>
            </w:r>
            <w:r w:rsidR="00AF6BD9" w:rsidRPr="00E73F9A">
              <w:rPr>
                <w:szCs w:val="22"/>
              </w:rPr>
              <w:t xml:space="preserve"> p.m.</w:t>
            </w:r>
          </w:p>
        </w:tc>
        <w:tc>
          <w:tcPr>
            <w:tcW w:w="7877" w:type="dxa"/>
            <w:tcBorders>
              <w:top w:val="single" w:sz="6" w:space="0" w:color="000000"/>
              <w:bottom w:val="single" w:sz="6" w:space="0" w:color="000000"/>
            </w:tcBorders>
          </w:tcPr>
          <w:p w:rsidR="00AF6BD9" w:rsidRPr="00E73F9A" w:rsidRDefault="00E73F9A" w:rsidP="00E73F9A">
            <w:pPr>
              <w:suppressLineNumbers/>
              <w:suppressAutoHyphens/>
              <w:spacing w:before="20" w:after="20"/>
              <w:rPr>
                <w:i/>
                <w:iCs/>
                <w:szCs w:val="22"/>
              </w:rPr>
            </w:pPr>
            <w:r w:rsidRPr="00790F70">
              <w:rPr>
                <w:szCs w:val="22"/>
                <w:lang w:val="en-US"/>
              </w:rPr>
              <w:t>Agenda item 6</w:t>
            </w:r>
            <w:r w:rsidRPr="00790F70">
              <w:rPr>
                <w:i/>
                <w:szCs w:val="22"/>
                <w:lang w:val="en-US"/>
              </w:rPr>
              <w:t xml:space="preserve"> (continued)</w:t>
            </w:r>
          </w:p>
        </w:tc>
      </w:tr>
      <w:tr w:rsidR="00AF6BD9" w:rsidRPr="00E73F9A" w:rsidTr="00FE4E9A">
        <w:trPr>
          <w:cantSplit/>
        </w:trPr>
        <w:tc>
          <w:tcPr>
            <w:tcW w:w="2127" w:type="dxa"/>
            <w:tcBorders>
              <w:top w:val="single" w:sz="6" w:space="0" w:color="000000"/>
              <w:bottom w:val="single" w:sz="6" w:space="0" w:color="000000"/>
            </w:tcBorders>
          </w:tcPr>
          <w:p w:rsidR="00AF6BD9" w:rsidRPr="00E73F9A" w:rsidRDefault="00736050" w:rsidP="00890BE1">
            <w:pPr>
              <w:suppressLineNumbers/>
              <w:suppressAutoHyphens/>
              <w:spacing w:before="20" w:after="20"/>
              <w:rPr>
                <w:szCs w:val="22"/>
              </w:rPr>
            </w:pPr>
            <w:r w:rsidRPr="00E73F9A">
              <w:rPr>
                <w:szCs w:val="22"/>
              </w:rPr>
              <w:t>3</w:t>
            </w:r>
            <w:r w:rsidR="00790F70">
              <w:rPr>
                <w:szCs w:val="22"/>
              </w:rPr>
              <w:t>.30</w:t>
            </w:r>
            <w:r w:rsidRPr="00E73F9A">
              <w:rPr>
                <w:szCs w:val="22"/>
              </w:rPr>
              <w:t xml:space="preserve"> p.m. – </w:t>
            </w:r>
            <w:r w:rsidR="00B05FB5" w:rsidRPr="00E73F9A">
              <w:rPr>
                <w:szCs w:val="22"/>
              </w:rPr>
              <w:t>3.</w:t>
            </w:r>
            <w:r w:rsidR="00790F70">
              <w:rPr>
                <w:szCs w:val="22"/>
              </w:rPr>
              <w:t>45</w:t>
            </w:r>
            <w:r w:rsidR="00AF6BD9" w:rsidRPr="00E73F9A">
              <w:rPr>
                <w:szCs w:val="22"/>
              </w:rPr>
              <w:t xml:space="preserve"> p.m.</w:t>
            </w:r>
          </w:p>
        </w:tc>
        <w:tc>
          <w:tcPr>
            <w:tcW w:w="7877" w:type="dxa"/>
            <w:tcBorders>
              <w:top w:val="single" w:sz="6" w:space="0" w:color="000000"/>
              <w:bottom w:val="single" w:sz="6" w:space="0" w:color="000000"/>
            </w:tcBorders>
          </w:tcPr>
          <w:p w:rsidR="00AF6BD9" w:rsidRPr="00E73F9A" w:rsidRDefault="00AF6BD9" w:rsidP="00F71191">
            <w:pPr>
              <w:suppressLineNumbers/>
              <w:suppressAutoHyphens/>
              <w:spacing w:before="20" w:after="20"/>
              <w:jc w:val="left"/>
              <w:rPr>
                <w:szCs w:val="22"/>
              </w:rPr>
            </w:pPr>
            <w:r w:rsidRPr="00E73F9A">
              <w:rPr>
                <w:szCs w:val="22"/>
              </w:rPr>
              <w:t>BREAK</w:t>
            </w:r>
          </w:p>
        </w:tc>
      </w:tr>
      <w:tr w:rsidR="00AF6BD9" w:rsidRPr="00F71191" w:rsidTr="00FE4E9A">
        <w:trPr>
          <w:cantSplit/>
        </w:trPr>
        <w:tc>
          <w:tcPr>
            <w:tcW w:w="2127" w:type="dxa"/>
            <w:tcBorders>
              <w:top w:val="single" w:sz="6" w:space="0" w:color="000000"/>
              <w:bottom w:val="double" w:sz="6" w:space="0" w:color="000000"/>
            </w:tcBorders>
          </w:tcPr>
          <w:p w:rsidR="00AF6BD9" w:rsidRPr="00E73F9A" w:rsidRDefault="00B05FB5" w:rsidP="00890BE1">
            <w:pPr>
              <w:suppressLineNumbers/>
              <w:suppressAutoHyphens/>
              <w:spacing w:before="20" w:after="20"/>
              <w:rPr>
                <w:szCs w:val="22"/>
              </w:rPr>
            </w:pPr>
            <w:r w:rsidRPr="00E73F9A">
              <w:rPr>
                <w:szCs w:val="22"/>
              </w:rPr>
              <w:t>3.</w:t>
            </w:r>
            <w:r w:rsidR="00790F70">
              <w:rPr>
                <w:szCs w:val="22"/>
              </w:rPr>
              <w:t>45</w:t>
            </w:r>
            <w:r w:rsidR="00AF6BD9" w:rsidRPr="00E73F9A">
              <w:rPr>
                <w:szCs w:val="22"/>
              </w:rPr>
              <w:t xml:space="preserve"> p.m. – </w:t>
            </w:r>
            <w:r w:rsidRPr="00E73F9A">
              <w:rPr>
                <w:szCs w:val="22"/>
              </w:rPr>
              <w:t>5</w:t>
            </w:r>
            <w:r w:rsidR="00AF6BD9" w:rsidRPr="00E73F9A">
              <w:rPr>
                <w:szCs w:val="22"/>
              </w:rPr>
              <w:t xml:space="preserve"> p.m.</w:t>
            </w:r>
          </w:p>
        </w:tc>
        <w:tc>
          <w:tcPr>
            <w:tcW w:w="7877" w:type="dxa"/>
            <w:tcBorders>
              <w:top w:val="single" w:sz="6" w:space="0" w:color="000000"/>
              <w:bottom w:val="double" w:sz="6" w:space="0" w:color="000000"/>
            </w:tcBorders>
          </w:tcPr>
          <w:p w:rsidR="00E73F9A" w:rsidRPr="00E73F9A" w:rsidRDefault="003B4CC1" w:rsidP="003B4CC1">
            <w:pPr>
              <w:suppressLineNumbers/>
              <w:tabs>
                <w:tab w:val="left" w:pos="391"/>
              </w:tabs>
              <w:suppressAutoHyphens/>
              <w:spacing w:before="20" w:after="20"/>
              <w:rPr>
                <w:szCs w:val="22"/>
              </w:rPr>
            </w:pPr>
            <w:r>
              <w:rPr>
                <w:szCs w:val="22"/>
              </w:rPr>
              <w:t>7.</w:t>
            </w:r>
            <w:r>
              <w:rPr>
                <w:szCs w:val="22"/>
              </w:rPr>
              <w:tab/>
            </w:r>
            <w:r w:rsidR="00E73F9A" w:rsidRPr="00E73F9A">
              <w:rPr>
                <w:szCs w:val="22"/>
              </w:rPr>
              <w:t xml:space="preserve">Other </w:t>
            </w:r>
            <w:r w:rsidR="000D4098">
              <w:rPr>
                <w:szCs w:val="22"/>
              </w:rPr>
              <w:t>m</w:t>
            </w:r>
            <w:r w:rsidR="00E73F9A" w:rsidRPr="00E73F9A">
              <w:rPr>
                <w:szCs w:val="22"/>
              </w:rPr>
              <w:t xml:space="preserve">atters </w:t>
            </w:r>
          </w:p>
          <w:p w:rsidR="00E73F9A" w:rsidRDefault="003B4CC1" w:rsidP="003B4CC1">
            <w:pPr>
              <w:suppressLineNumbers/>
              <w:tabs>
                <w:tab w:val="left" w:pos="302"/>
                <w:tab w:val="left" w:pos="391"/>
              </w:tabs>
              <w:suppressAutoHyphens/>
              <w:spacing w:before="20" w:after="20"/>
              <w:rPr>
                <w:szCs w:val="22"/>
              </w:rPr>
            </w:pPr>
            <w:r>
              <w:rPr>
                <w:szCs w:val="22"/>
              </w:rPr>
              <w:t>8.</w:t>
            </w:r>
            <w:r w:rsidR="00790F70">
              <w:rPr>
                <w:szCs w:val="22"/>
              </w:rPr>
              <w:tab/>
            </w:r>
            <w:r>
              <w:rPr>
                <w:szCs w:val="22"/>
              </w:rPr>
              <w:tab/>
            </w:r>
            <w:r w:rsidR="00E73F9A" w:rsidRPr="00E73F9A">
              <w:rPr>
                <w:szCs w:val="22"/>
              </w:rPr>
              <w:t xml:space="preserve">Adoption of the report of the meeting </w:t>
            </w:r>
          </w:p>
          <w:p w:rsidR="00AF6BD9" w:rsidRPr="00F71191" w:rsidRDefault="00E73F9A" w:rsidP="003B4CC1">
            <w:pPr>
              <w:suppressLineNumbers/>
              <w:tabs>
                <w:tab w:val="left" w:pos="391"/>
              </w:tabs>
              <w:suppressAutoHyphens/>
              <w:spacing w:before="20" w:after="20"/>
            </w:pPr>
            <w:r w:rsidRPr="00E73F9A">
              <w:t>9</w:t>
            </w:r>
            <w:r w:rsidR="003B4CC1">
              <w:t>.</w:t>
            </w:r>
            <w:r w:rsidR="003B4CC1">
              <w:tab/>
            </w:r>
            <w:r w:rsidR="001F1D36" w:rsidRPr="00E73F9A">
              <w:t xml:space="preserve"> </w:t>
            </w:r>
            <w:r w:rsidR="00AF6BD9" w:rsidRPr="00E73F9A">
              <w:t>Closure of the meeting</w:t>
            </w:r>
          </w:p>
        </w:tc>
      </w:tr>
    </w:tbl>
    <w:p w:rsidR="005F49CB" w:rsidRPr="00F71191" w:rsidRDefault="00DE6911" w:rsidP="00F71191">
      <w:pPr>
        <w:pStyle w:val="BodyText"/>
        <w:suppressLineNumbers/>
        <w:suppressAutoHyphens/>
        <w:ind w:left="4253" w:hanging="4253"/>
        <w:jc w:val="center"/>
        <w:rPr>
          <w:szCs w:val="22"/>
        </w:rPr>
      </w:pPr>
      <w:r>
        <w:rPr>
          <w:szCs w:val="22"/>
        </w:rPr>
        <w:t>__________</w:t>
      </w:r>
    </w:p>
    <w:sectPr w:rsidR="005F49CB" w:rsidRPr="00F71191" w:rsidSect="003B4CC1">
      <w:footerReference w:type="even" r:id="rId18"/>
      <w:footerReference w:type="default" r:id="rId19"/>
      <w:headerReference w:type="first" r:id="rId20"/>
      <w:pgSz w:w="12240" w:h="15840" w:code="1"/>
      <w:pgMar w:top="1021" w:right="1440" w:bottom="990" w:left="1440"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8F4" w:rsidRDefault="009D18F4">
      <w:r>
        <w:separator/>
      </w:r>
    </w:p>
  </w:endnote>
  <w:endnote w:type="continuationSeparator" w:id="0">
    <w:p w:rsidR="009D18F4" w:rsidRDefault="009D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A3A" w:rsidRPr="00C543A0" w:rsidRDefault="00455A3A" w:rsidP="00C54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A3A" w:rsidRDefault="0045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8F4" w:rsidRDefault="009D18F4">
      <w:r>
        <w:separator/>
      </w:r>
    </w:p>
  </w:footnote>
  <w:footnote w:type="continuationSeparator" w:id="0">
    <w:p w:rsidR="009D18F4" w:rsidRDefault="009D18F4">
      <w:r>
        <w:continuationSeparator/>
      </w:r>
    </w:p>
  </w:footnote>
  <w:footnote w:id="1">
    <w:p w:rsidR="00D27136" w:rsidRPr="003B4CC1" w:rsidRDefault="00D27136" w:rsidP="00D27136">
      <w:pPr>
        <w:pStyle w:val="FootnoteText"/>
        <w:ind w:firstLine="0"/>
        <w:rPr>
          <w:kern w:val="22"/>
        </w:rPr>
      </w:pPr>
      <w:r w:rsidRPr="003B4CC1">
        <w:rPr>
          <w:rStyle w:val="FootnoteReference"/>
          <w:kern w:val="22"/>
          <w:u w:val="none"/>
          <w:vertAlign w:val="superscript"/>
        </w:rPr>
        <w:footnoteRef/>
      </w:r>
      <w:r w:rsidRPr="003B4CC1">
        <w:rPr>
          <w:kern w:val="22"/>
        </w:rPr>
        <w:t xml:space="preserve"> Decision </w:t>
      </w:r>
      <w:r w:rsidRPr="003B4CC1">
        <w:rPr>
          <w:kern w:val="22"/>
          <w:szCs w:val="22"/>
          <w:lang w:val="en-CA"/>
        </w:rPr>
        <w:t>BS-I/5, annex IV.</w:t>
      </w:r>
    </w:p>
  </w:footnote>
  <w:footnote w:id="2">
    <w:p w:rsidR="00455A3A" w:rsidRPr="003B4CC1" w:rsidRDefault="00455A3A" w:rsidP="00E600EB">
      <w:pPr>
        <w:pStyle w:val="FootnoteText"/>
        <w:ind w:firstLine="0"/>
        <w:rPr>
          <w:kern w:val="22"/>
        </w:rPr>
      </w:pPr>
      <w:r w:rsidRPr="003B4CC1">
        <w:rPr>
          <w:rStyle w:val="FootnoteReference"/>
          <w:kern w:val="22"/>
          <w:u w:val="none"/>
          <w:vertAlign w:val="superscript"/>
        </w:rPr>
        <w:footnoteRef/>
      </w:r>
      <w:r w:rsidRPr="003B4CC1">
        <w:rPr>
          <w:kern w:val="22"/>
        </w:rPr>
        <w:t xml:space="preserve"> </w:t>
      </w:r>
      <w:r w:rsidRPr="003B4CC1">
        <w:rPr>
          <w:kern w:val="22"/>
          <w:szCs w:val="22"/>
          <w:lang w:val="en-CA"/>
        </w:rPr>
        <w:t>Decision BS-VI/3, annex II.</w:t>
      </w:r>
    </w:p>
  </w:footnote>
  <w:footnote w:id="3">
    <w:p w:rsidR="00455A3A" w:rsidRPr="003B4CC1" w:rsidRDefault="00455A3A" w:rsidP="00E600EB">
      <w:pPr>
        <w:pStyle w:val="FootnoteText"/>
        <w:ind w:firstLine="0"/>
        <w:rPr>
          <w:kern w:val="22"/>
          <w:lang w:val="en-US"/>
        </w:rPr>
      </w:pPr>
      <w:r w:rsidRPr="003B4CC1">
        <w:rPr>
          <w:rStyle w:val="FootnoteReference"/>
          <w:kern w:val="22"/>
          <w:u w:val="none"/>
          <w:vertAlign w:val="superscript"/>
        </w:rPr>
        <w:footnoteRef/>
      </w:r>
      <w:r w:rsidRPr="003B4CC1">
        <w:rPr>
          <w:kern w:val="22"/>
          <w:vertAlign w:val="superscript"/>
        </w:rPr>
        <w:t xml:space="preserve"> </w:t>
      </w:r>
      <w:r w:rsidRPr="003B4CC1">
        <w:rPr>
          <w:kern w:val="22"/>
        </w:rPr>
        <w:t xml:space="preserve">Information on previous meetings of the Liaison Group can be found at </w:t>
      </w:r>
      <w:hyperlink r:id="rId1" w:history="1">
        <w:r w:rsidRPr="003B4CC1">
          <w:rPr>
            <w:rStyle w:val="Hyperlink"/>
            <w:kern w:val="22"/>
          </w:rPr>
          <w:t>https://www.cbd.int/meetings/?thm=CPB</w:t>
        </w:r>
      </w:hyperlink>
      <w:r w:rsidRPr="003B4CC1">
        <w:rPr>
          <w:kern w:val="22"/>
        </w:rPr>
        <w:t xml:space="preserve">. </w:t>
      </w:r>
    </w:p>
  </w:footnote>
  <w:footnote w:id="4">
    <w:p w:rsidR="00455A3A" w:rsidRPr="003B4CC1" w:rsidRDefault="00455A3A" w:rsidP="00455A3A">
      <w:pPr>
        <w:pStyle w:val="FootnoteText"/>
        <w:ind w:firstLine="0"/>
        <w:rPr>
          <w:kern w:val="22"/>
        </w:rPr>
      </w:pPr>
      <w:r w:rsidRPr="003B4CC1">
        <w:rPr>
          <w:rStyle w:val="FootnoteReference"/>
          <w:kern w:val="22"/>
          <w:u w:val="none"/>
          <w:vertAlign w:val="superscript"/>
        </w:rPr>
        <w:footnoteRef/>
      </w:r>
      <w:r w:rsidRPr="003B4CC1">
        <w:rPr>
          <w:kern w:val="22"/>
        </w:rPr>
        <w:t xml:space="preserve"> As contained</w:t>
      </w:r>
      <w:r w:rsidRPr="003B4CC1">
        <w:rPr>
          <w:kern w:val="22"/>
          <w:szCs w:val="22"/>
        </w:rPr>
        <w:t xml:space="preserve"> in annex I to decision BS-VI/3.</w:t>
      </w:r>
    </w:p>
  </w:footnote>
  <w:footnote w:id="5">
    <w:p w:rsidR="00041549" w:rsidRPr="003B4CC1" w:rsidRDefault="00041549" w:rsidP="00041549">
      <w:pPr>
        <w:pStyle w:val="FootnoteText"/>
        <w:ind w:firstLine="0"/>
        <w:rPr>
          <w:kern w:val="22"/>
        </w:rPr>
      </w:pPr>
      <w:r w:rsidRPr="003B4CC1">
        <w:rPr>
          <w:rStyle w:val="FootnoteReference"/>
          <w:kern w:val="22"/>
          <w:u w:val="none"/>
          <w:vertAlign w:val="superscript"/>
        </w:rPr>
        <w:footnoteRef/>
      </w:r>
      <w:r w:rsidRPr="003B4CC1">
        <w:rPr>
          <w:kern w:val="22"/>
        </w:rPr>
        <w:t xml:space="preserve"> </w:t>
      </w:r>
      <w:hyperlink r:id="rId2" w:history="1">
        <w:r w:rsidRPr="003B4CC1">
          <w:rPr>
            <w:rStyle w:val="Hyperlink"/>
            <w:kern w:val="22"/>
          </w:rPr>
          <w:t>https://www.cbd.int/doc/notifications/2018/ntf-2018-036-bs-en.doc</w:t>
        </w:r>
      </w:hyperlink>
      <w:r w:rsidRPr="003B4CC1">
        <w:rPr>
          <w:kern w:val="22"/>
        </w:rPr>
        <w:t>.</w:t>
      </w:r>
    </w:p>
  </w:footnote>
  <w:footnote w:id="6">
    <w:p w:rsidR="00041549" w:rsidRPr="003B4CC1" w:rsidRDefault="00041549" w:rsidP="00041549">
      <w:pPr>
        <w:pStyle w:val="FootnoteText"/>
        <w:ind w:firstLine="0"/>
        <w:rPr>
          <w:kern w:val="22"/>
        </w:rPr>
      </w:pPr>
      <w:r w:rsidRPr="003B4CC1">
        <w:rPr>
          <w:rStyle w:val="FootnoteReference"/>
          <w:kern w:val="22"/>
          <w:u w:val="none"/>
          <w:vertAlign w:val="superscript"/>
        </w:rPr>
        <w:footnoteRef/>
      </w:r>
      <w:r w:rsidRPr="003B4CC1">
        <w:rPr>
          <w:kern w:val="22"/>
        </w:rPr>
        <w:t xml:space="preserve"> </w:t>
      </w:r>
      <w:r w:rsidRPr="003B4CC1">
        <w:rPr>
          <w:kern w:val="22"/>
          <w:szCs w:val="22"/>
        </w:rPr>
        <w:t>Parties: Belarus, Bosnia and Herzegovina, Burkina Faso, Congo, Côte d</w:t>
      </w:r>
      <w:r w:rsidR="008B7DEE" w:rsidRPr="003B4CC1">
        <w:rPr>
          <w:kern w:val="22"/>
          <w:szCs w:val="22"/>
        </w:rPr>
        <w:t>’</w:t>
      </w:r>
      <w:r w:rsidRPr="003B4CC1">
        <w:rPr>
          <w:kern w:val="22"/>
          <w:szCs w:val="22"/>
        </w:rPr>
        <w:t>Ivoire, Democratic Republic of the Congo, Germany, Hungary, India, Iran, Japan, Liberia, Malawi, Malaysia, Mexico, Namibia, Nigeria, Peru, Slovenia, Somalia, Spain, Venezuela</w:t>
      </w:r>
      <w:r w:rsidR="0050766D" w:rsidRPr="003B4CC1">
        <w:rPr>
          <w:kern w:val="22"/>
          <w:szCs w:val="22"/>
        </w:rPr>
        <w:t xml:space="preserve"> (Bolivarian Republic of)</w:t>
      </w:r>
      <w:r w:rsidRPr="003B4CC1">
        <w:rPr>
          <w:kern w:val="22"/>
          <w:szCs w:val="22"/>
        </w:rPr>
        <w:t>, Viet Nam, Yemen, Zambia and Zimbabwe; non-Party: Argentina; indigenous peoples and local communities organi</w:t>
      </w:r>
      <w:r w:rsidR="006A3E35" w:rsidRPr="003B4CC1">
        <w:rPr>
          <w:kern w:val="22"/>
          <w:szCs w:val="22"/>
        </w:rPr>
        <w:t>z</w:t>
      </w:r>
      <w:r w:rsidRPr="003B4CC1">
        <w:rPr>
          <w:kern w:val="22"/>
          <w:szCs w:val="22"/>
        </w:rPr>
        <w:t>ation: Society for Wetland Biodiversity Conservation – Nepal.</w:t>
      </w:r>
    </w:p>
  </w:footnote>
  <w:footnote w:id="7">
    <w:p w:rsidR="00106861" w:rsidRPr="003B4CC1" w:rsidRDefault="00106861" w:rsidP="003B4CC1">
      <w:pPr>
        <w:pStyle w:val="FootnoteText"/>
        <w:ind w:firstLine="0"/>
        <w:rPr>
          <w:kern w:val="22"/>
          <w:lang w:val="en-US"/>
        </w:rPr>
      </w:pPr>
      <w:r w:rsidRPr="003B4CC1">
        <w:rPr>
          <w:rStyle w:val="FootnoteReference"/>
          <w:kern w:val="22"/>
          <w:u w:val="none"/>
          <w:vertAlign w:val="superscript"/>
        </w:rPr>
        <w:footnoteRef/>
      </w:r>
      <w:r w:rsidRPr="003B4CC1">
        <w:rPr>
          <w:kern w:val="22"/>
          <w:szCs w:val="22"/>
        </w:rPr>
        <w:t xml:space="preserve"> Decision CP-VIII/15.</w:t>
      </w:r>
    </w:p>
  </w:footnote>
  <w:footnote w:id="8">
    <w:p w:rsidR="007654C3" w:rsidRPr="003B4CC1" w:rsidRDefault="007654C3" w:rsidP="00C95DA4">
      <w:pPr>
        <w:pStyle w:val="FootnoteText"/>
        <w:ind w:firstLine="0"/>
        <w:rPr>
          <w:kern w:val="22"/>
          <w:lang w:val="en-US"/>
        </w:rPr>
      </w:pPr>
      <w:r w:rsidRPr="003B4CC1">
        <w:rPr>
          <w:rStyle w:val="FootnoteReference"/>
          <w:kern w:val="22"/>
          <w:u w:val="none"/>
          <w:vertAlign w:val="superscript"/>
        </w:rPr>
        <w:footnoteRef/>
      </w:r>
      <w:r w:rsidRPr="003B4CC1">
        <w:rPr>
          <w:kern w:val="22"/>
        </w:rPr>
        <w:t xml:space="preserve"> </w:t>
      </w:r>
      <w:r w:rsidRPr="003B4CC1">
        <w:rPr>
          <w:kern w:val="22"/>
          <w:lang w:val="en-US"/>
        </w:rPr>
        <w:t xml:space="preserve">Available at </w:t>
      </w:r>
      <w:hyperlink r:id="rId3" w:history="1">
        <w:r w:rsidR="00D8600E" w:rsidRPr="003B4CC1">
          <w:rPr>
            <w:rStyle w:val="Hyperlink"/>
            <w:kern w:val="22"/>
            <w:lang w:val="en-US"/>
          </w:rPr>
          <w:t>https://www.cbd.int/meetings/SBI-02</w:t>
        </w:r>
      </w:hyperlink>
      <w:r w:rsidRPr="003B4CC1">
        <w:rPr>
          <w:kern w:val="22"/>
          <w:lang w:val="en-US"/>
        </w:rPr>
        <w:t>.</w:t>
      </w:r>
    </w:p>
  </w:footnote>
  <w:footnote w:id="9">
    <w:p w:rsidR="00222BED" w:rsidRPr="003B4CC1" w:rsidRDefault="00222BED" w:rsidP="00D645FC">
      <w:pPr>
        <w:pStyle w:val="FootnoteText"/>
        <w:ind w:firstLine="0"/>
        <w:rPr>
          <w:kern w:val="22"/>
          <w:lang w:val="en-US"/>
        </w:rPr>
      </w:pPr>
      <w:r w:rsidRPr="003B4CC1">
        <w:rPr>
          <w:rStyle w:val="FootnoteReference"/>
          <w:kern w:val="22"/>
          <w:u w:val="none"/>
          <w:vertAlign w:val="superscript"/>
        </w:rPr>
        <w:footnoteRef/>
      </w:r>
      <w:r w:rsidRPr="003B4CC1">
        <w:rPr>
          <w:kern w:val="22"/>
        </w:rPr>
        <w:t xml:space="preserve"> </w:t>
      </w:r>
      <w:r w:rsidR="0002486D" w:rsidRPr="003B4CC1">
        <w:rPr>
          <w:kern w:val="22"/>
        </w:rPr>
        <w:t xml:space="preserve">As contained in the annex to </w:t>
      </w:r>
      <w:hyperlink r:id="rId4" w:history="1">
        <w:r w:rsidRPr="003B4CC1">
          <w:rPr>
            <w:rStyle w:val="Hyperlink"/>
            <w:kern w:val="22"/>
          </w:rPr>
          <w:t>decision CP-VIII/3</w:t>
        </w:r>
      </w:hyperlink>
      <w:r w:rsidR="00D645FC" w:rsidRPr="003B4CC1">
        <w:rPr>
          <w:kern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42F" w:rsidRPr="00F71191" w:rsidRDefault="00B8042F" w:rsidP="003B4CC1">
    <w:pPr>
      <w:jc w:val="left"/>
      <w:rPr>
        <w:noProof/>
      </w:rPr>
    </w:pPr>
    <w:r w:rsidRPr="00F71191">
      <w:rPr>
        <w:noProof/>
      </w:rPr>
      <w:t>CBD/</w:t>
    </w:r>
    <w:r>
      <w:rPr>
        <w:noProof/>
      </w:rPr>
      <w:t>CP</w:t>
    </w:r>
    <w:r w:rsidRPr="00F71191">
      <w:rPr>
        <w:noProof/>
      </w:rPr>
      <w:t>/LG-CB/</w:t>
    </w:r>
    <w:r>
      <w:rPr>
        <w:noProof/>
      </w:rPr>
      <w:t>12</w:t>
    </w:r>
    <w:r w:rsidRPr="00F71191">
      <w:rPr>
        <w:noProof/>
      </w:rPr>
      <w:t>/1/Add.1</w:t>
    </w:r>
  </w:p>
  <w:p w:rsidR="00B8042F" w:rsidRPr="00F71191" w:rsidRDefault="00B8042F" w:rsidP="003B4CC1">
    <w:pPr>
      <w:jc w:val="left"/>
      <w:rPr>
        <w:noProof/>
      </w:rPr>
    </w:pPr>
    <w:r w:rsidRPr="00F71191">
      <w:rPr>
        <w:noProof/>
      </w:rPr>
      <w:t xml:space="preserve">Page </w:t>
    </w:r>
    <w:r w:rsidRPr="00F71191">
      <w:rPr>
        <w:noProof/>
      </w:rPr>
      <w:fldChar w:fldCharType="begin"/>
    </w:r>
    <w:r w:rsidRPr="00F71191">
      <w:rPr>
        <w:noProof/>
      </w:rPr>
      <w:instrText xml:space="preserve">PAGE  </w:instrText>
    </w:r>
    <w:r w:rsidRPr="00F71191">
      <w:rPr>
        <w:noProof/>
      </w:rPr>
      <w:fldChar w:fldCharType="separate"/>
    </w:r>
    <w:r w:rsidR="00FB081A">
      <w:rPr>
        <w:noProof/>
      </w:rPr>
      <w:t>4</w:t>
    </w:r>
    <w:r w:rsidRPr="00F71191">
      <w:rPr>
        <w:noProof/>
      </w:rPr>
      <w:fldChar w:fldCharType="end"/>
    </w:r>
  </w:p>
  <w:p w:rsidR="00B8042F" w:rsidRDefault="00B80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A3A" w:rsidRPr="00F71191" w:rsidRDefault="00455A3A" w:rsidP="00F71191">
    <w:pPr>
      <w:jc w:val="right"/>
      <w:rPr>
        <w:noProof/>
      </w:rPr>
    </w:pPr>
    <w:r w:rsidRPr="00F71191">
      <w:rPr>
        <w:noProof/>
      </w:rPr>
      <w:t>CBD/</w:t>
    </w:r>
    <w:r w:rsidR="00B8042F">
      <w:rPr>
        <w:noProof/>
      </w:rPr>
      <w:t>CP</w:t>
    </w:r>
    <w:r w:rsidRPr="00F71191">
      <w:rPr>
        <w:noProof/>
      </w:rPr>
      <w:t>/LG-CB/</w:t>
    </w:r>
    <w:r w:rsidR="00B8042F">
      <w:rPr>
        <w:noProof/>
      </w:rPr>
      <w:t>12</w:t>
    </w:r>
    <w:r w:rsidRPr="00F71191">
      <w:rPr>
        <w:noProof/>
      </w:rPr>
      <w:t>/1/Add.1</w:t>
    </w:r>
  </w:p>
  <w:p w:rsidR="00455A3A" w:rsidRPr="00F71191" w:rsidRDefault="00455A3A" w:rsidP="00FE4E9A">
    <w:pPr>
      <w:spacing w:after="200"/>
      <w:jc w:val="right"/>
      <w:rPr>
        <w:noProof/>
      </w:rPr>
    </w:pPr>
    <w:r w:rsidRPr="00F71191">
      <w:rPr>
        <w:noProof/>
      </w:rPr>
      <w:t xml:space="preserve">Page </w:t>
    </w:r>
    <w:r w:rsidRPr="00F71191">
      <w:rPr>
        <w:noProof/>
      </w:rPr>
      <w:fldChar w:fldCharType="begin"/>
    </w:r>
    <w:r w:rsidRPr="00F71191">
      <w:rPr>
        <w:noProof/>
      </w:rPr>
      <w:instrText xml:space="preserve">PAGE  </w:instrText>
    </w:r>
    <w:r w:rsidRPr="00F71191">
      <w:rPr>
        <w:noProof/>
      </w:rPr>
      <w:fldChar w:fldCharType="separate"/>
    </w:r>
    <w:r w:rsidR="00FB081A">
      <w:rPr>
        <w:noProof/>
      </w:rPr>
      <w:t>3</w:t>
    </w:r>
    <w:r w:rsidRPr="00F7119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93A" w:rsidRDefault="00A23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3B05AE"/>
    <w:multiLevelType w:val="multilevel"/>
    <w:tmpl w:val="D62E2E14"/>
    <w:lvl w:ilvl="0">
      <w:start w:val="4"/>
      <w:numFmt w:val="decimal"/>
      <w:lvlText w:val="%1."/>
      <w:lvlJc w:val="left"/>
      <w:pPr>
        <w:tabs>
          <w:tab w:val="num" w:pos="570"/>
        </w:tabs>
        <w:ind w:left="570" w:hanging="570"/>
      </w:pPr>
      <w:rPr>
        <w:rFonts w:hint="default"/>
        <w:b w:val="0"/>
        <w:i w:val="0"/>
        <w:sz w:val="24"/>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06C6495"/>
    <w:multiLevelType w:val="multilevel"/>
    <w:tmpl w:val="F9DE7526"/>
    <w:lvl w:ilvl="0">
      <w:start w:val="2"/>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861267"/>
    <w:multiLevelType w:val="hybridMultilevel"/>
    <w:tmpl w:val="361EAF5A"/>
    <w:lvl w:ilvl="0" w:tplc="46547142">
      <w:start w:val="1"/>
      <w:numFmt w:val="bullet"/>
      <w:lvlText w:val=""/>
      <w:lvlJc w:val="left"/>
      <w:pPr>
        <w:tabs>
          <w:tab w:val="num" w:pos="357"/>
        </w:tabs>
        <w:ind w:left="357" w:hanging="357"/>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95C75AB"/>
    <w:multiLevelType w:val="multilevel"/>
    <w:tmpl w:val="EEF4B668"/>
    <w:lvl w:ilvl="0">
      <w:start w:val="1"/>
      <w:numFmt w:val="decimal"/>
      <w:lvlText w:val="%1."/>
      <w:lvlJc w:val="left"/>
      <w:pPr>
        <w:ind w:left="360" w:firstLine="0"/>
      </w:pPr>
      <w:rPr>
        <w:b w:val="0"/>
        <w:i w:val="0"/>
        <w:vertAlign w:val="baseline"/>
      </w:rPr>
    </w:lvl>
    <w:lvl w:ilvl="1">
      <w:start w:val="1"/>
      <w:numFmt w:val="lowerLetter"/>
      <w:lvlText w:val="(%2)"/>
      <w:lvlJc w:val="left"/>
      <w:pPr>
        <w:ind w:left="1080" w:firstLine="720"/>
      </w:pPr>
      <w:rPr>
        <w:sz w:val="22"/>
        <w:szCs w:val="22"/>
        <w:vertAlign w:val="baseline"/>
      </w:rPr>
    </w:lvl>
    <w:lvl w:ilvl="2">
      <w:start w:val="1"/>
      <w:numFmt w:val="lowerRoman"/>
      <w:lvlText w:val="%3."/>
      <w:lvlJc w:val="right"/>
      <w:pPr>
        <w:ind w:left="1800" w:firstLine="1620"/>
      </w:pPr>
      <w:rPr>
        <w:vertAlign w:val="baseline"/>
      </w:rPr>
    </w:lvl>
    <w:lvl w:ilvl="3">
      <w:start w:val="1"/>
      <w:numFmt w:val="lowerRoman"/>
      <w:lvlText w:val="(%4)"/>
      <w:lvlJc w:val="left"/>
      <w:pPr>
        <w:ind w:left="2520" w:firstLine="2160"/>
      </w:pPr>
      <w:rPr>
        <w:vertAlign w:val="baseline"/>
      </w:rPr>
    </w:lvl>
    <w:lvl w:ilvl="4">
      <w:start w:val="1"/>
      <w:numFmt w:val="lowerLetter"/>
      <w:lvlText w:val="%5."/>
      <w:lvlJc w:val="left"/>
      <w:pPr>
        <w:ind w:left="1637" w:firstLine="1277"/>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B1A721E"/>
    <w:multiLevelType w:val="multilevel"/>
    <w:tmpl w:val="3E1C40D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E0442B4"/>
    <w:multiLevelType w:val="multilevel"/>
    <w:tmpl w:val="0554CC7E"/>
    <w:lvl w:ilvl="0">
      <w:start w:val="1"/>
      <w:numFmt w:val="decimal"/>
      <w:lvlText w:val="%1."/>
      <w:lvlJc w:val="left"/>
      <w:pPr>
        <w:tabs>
          <w:tab w:val="num" w:pos="464"/>
        </w:tabs>
        <w:ind w:left="104" w:firstLine="0"/>
      </w:pPr>
      <w:rPr>
        <w:rFonts w:ascii="Times New Roman" w:hAnsi="Times New Roman" w:hint="default"/>
        <w:b w:val="0"/>
        <w:i w:val="0"/>
        <w:sz w:val="22"/>
        <w:lang w:val="en-US"/>
      </w:rPr>
    </w:lvl>
    <w:lvl w:ilvl="1">
      <w:start w:val="1"/>
      <w:numFmt w:val="lowerLetter"/>
      <w:lvlText w:val="(%2)"/>
      <w:lvlJc w:val="left"/>
      <w:pPr>
        <w:tabs>
          <w:tab w:val="num" w:pos="720"/>
        </w:tabs>
        <w:ind w:left="720" w:firstLine="0"/>
      </w:pPr>
      <w:rPr>
        <w:rFonts w:hint="default"/>
        <w:b w:val="0"/>
        <w:i w:val="0"/>
      </w:rPr>
    </w:lvl>
    <w:lvl w:ilvl="2">
      <w:start w:val="1"/>
      <w:numFmt w:val="lowerRoman"/>
      <w:lvlText w:val="(%3)"/>
      <w:lvlJc w:val="right"/>
      <w:pPr>
        <w:tabs>
          <w:tab w:val="num" w:pos="2951"/>
        </w:tabs>
        <w:ind w:left="2951" w:hanging="431"/>
      </w:pPr>
      <w:rPr>
        <w:rFonts w:hint="default"/>
      </w:rPr>
    </w:lvl>
    <w:lvl w:ilvl="3">
      <w:start w:val="1"/>
      <w:numFmt w:val="bullet"/>
      <w:lvlText w:val=""/>
      <w:lvlJc w:val="left"/>
      <w:pPr>
        <w:tabs>
          <w:tab w:val="num" w:pos="3240"/>
        </w:tabs>
        <w:ind w:left="324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 w15:restartNumberingAfterBreak="0">
    <w:nsid w:val="6A4B0BDE"/>
    <w:multiLevelType w:val="multilevel"/>
    <w:tmpl w:val="DD8A90C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46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13" w15:restartNumberingAfterBreak="0">
    <w:nsid w:val="6EE23244"/>
    <w:multiLevelType w:val="multilevel"/>
    <w:tmpl w:val="E828C84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z w:val="22"/>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7"/>
  </w:num>
  <w:num w:numId="3">
    <w:abstractNumId w:val="13"/>
  </w:num>
  <w:num w:numId="4">
    <w:abstractNumId w:val="8"/>
  </w:num>
  <w:num w:numId="5">
    <w:abstractNumId w:val="9"/>
  </w:num>
  <w:num w:numId="6">
    <w:abstractNumId w:val="0"/>
  </w:num>
  <w:num w:numId="7">
    <w:abstractNumId w:val="12"/>
  </w:num>
  <w:num w:numId="8">
    <w:abstractNumId w:val="10"/>
  </w:num>
  <w:num w:numId="9">
    <w:abstractNumId w:val="11"/>
  </w:num>
  <w:num w:numId="10">
    <w:abstractNumId w:val="4"/>
  </w:num>
  <w:num w:numId="11">
    <w:abstractNumId w:val="1"/>
  </w:num>
  <w:num w:numId="12">
    <w:abstractNumId w:val="2"/>
  </w:num>
  <w:num w:numId="13">
    <w:abstractNumId w:val="13"/>
  </w:num>
  <w:num w:numId="14">
    <w:abstractNumId w:val="6"/>
  </w:num>
  <w:num w:numId="15">
    <w:abstractNumId w:val="13"/>
  </w:num>
  <w:num w:numId="16">
    <w:abstractNumId w:val="13"/>
  </w:num>
  <w:num w:numId="17">
    <w:abstractNumId w:val="13"/>
  </w:num>
  <w:num w:numId="18">
    <w:abstractNumId w:val="3"/>
  </w:num>
  <w:num w:numId="19">
    <w:abstractNumId w:val="13"/>
  </w:num>
  <w:num w:numId="20">
    <w:abstractNumId w:val="1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690"/>
    <w:rsid w:val="00000756"/>
    <w:rsid w:val="00001EC4"/>
    <w:rsid w:val="0000322D"/>
    <w:rsid w:val="00007DD8"/>
    <w:rsid w:val="00016361"/>
    <w:rsid w:val="000177E7"/>
    <w:rsid w:val="0002486D"/>
    <w:rsid w:val="00025617"/>
    <w:rsid w:val="00031895"/>
    <w:rsid w:val="00032832"/>
    <w:rsid w:val="00033B4E"/>
    <w:rsid w:val="0003409D"/>
    <w:rsid w:val="00034BE5"/>
    <w:rsid w:val="00041549"/>
    <w:rsid w:val="00050571"/>
    <w:rsid w:val="000518FD"/>
    <w:rsid w:val="00052ABA"/>
    <w:rsid w:val="000538A7"/>
    <w:rsid w:val="00066741"/>
    <w:rsid w:val="00067B7B"/>
    <w:rsid w:val="000823D9"/>
    <w:rsid w:val="00083CD1"/>
    <w:rsid w:val="00087C3D"/>
    <w:rsid w:val="00091DEC"/>
    <w:rsid w:val="000A59DC"/>
    <w:rsid w:val="000A639D"/>
    <w:rsid w:val="000D4098"/>
    <w:rsid w:val="000D414A"/>
    <w:rsid w:val="000D7F59"/>
    <w:rsid w:val="000E5655"/>
    <w:rsid w:val="000F1D4F"/>
    <w:rsid w:val="000F23DF"/>
    <w:rsid w:val="000F2F5A"/>
    <w:rsid w:val="000F46C4"/>
    <w:rsid w:val="000F5AC0"/>
    <w:rsid w:val="0010017C"/>
    <w:rsid w:val="00100310"/>
    <w:rsid w:val="00106861"/>
    <w:rsid w:val="001155C8"/>
    <w:rsid w:val="001213F8"/>
    <w:rsid w:val="00127DAC"/>
    <w:rsid w:val="00131A01"/>
    <w:rsid w:val="0013455A"/>
    <w:rsid w:val="0014585E"/>
    <w:rsid w:val="00150C47"/>
    <w:rsid w:val="00151AFD"/>
    <w:rsid w:val="0015325F"/>
    <w:rsid w:val="00156F93"/>
    <w:rsid w:val="001602EC"/>
    <w:rsid w:val="00164230"/>
    <w:rsid w:val="00165B2E"/>
    <w:rsid w:val="0017364C"/>
    <w:rsid w:val="00176A6A"/>
    <w:rsid w:val="001912AD"/>
    <w:rsid w:val="001915F0"/>
    <w:rsid w:val="0019179D"/>
    <w:rsid w:val="001A43A5"/>
    <w:rsid w:val="001D10DD"/>
    <w:rsid w:val="001D219E"/>
    <w:rsid w:val="001E0063"/>
    <w:rsid w:val="001E5B65"/>
    <w:rsid w:val="001F1D36"/>
    <w:rsid w:val="001F3B2E"/>
    <w:rsid w:val="001F5166"/>
    <w:rsid w:val="001F553F"/>
    <w:rsid w:val="00201D17"/>
    <w:rsid w:val="00202E16"/>
    <w:rsid w:val="00202F29"/>
    <w:rsid w:val="00214ABF"/>
    <w:rsid w:val="00217C4D"/>
    <w:rsid w:val="0022003B"/>
    <w:rsid w:val="00222BED"/>
    <w:rsid w:val="002269C8"/>
    <w:rsid w:val="00227F90"/>
    <w:rsid w:val="00233AEE"/>
    <w:rsid w:val="00234116"/>
    <w:rsid w:val="002405DD"/>
    <w:rsid w:val="0024160E"/>
    <w:rsid w:val="00242C7C"/>
    <w:rsid w:val="00246B55"/>
    <w:rsid w:val="002522D7"/>
    <w:rsid w:val="00253F21"/>
    <w:rsid w:val="0026064F"/>
    <w:rsid w:val="0027478F"/>
    <w:rsid w:val="00280754"/>
    <w:rsid w:val="00290A21"/>
    <w:rsid w:val="00297693"/>
    <w:rsid w:val="002A0576"/>
    <w:rsid w:val="002B1FF1"/>
    <w:rsid w:val="002B32BA"/>
    <w:rsid w:val="002B551D"/>
    <w:rsid w:val="002B5A3C"/>
    <w:rsid w:val="002C27AE"/>
    <w:rsid w:val="002D0AE4"/>
    <w:rsid w:val="002D43F0"/>
    <w:rsid w:val="002D6E6D"/>
    <w:rsid w:val="002D7064"/>
    <w:rsid w:val="002E26FB"/>
    <w:rsid w:val="002E3ABD"/>
    <w:rsid w:val="00306DB2"/>
    <w:rsid w:val="0031602E"/>
    <w:rsid w:val="00317195"/>
    <w:rsid w:val="003210FA"/>
    <w:rsid w:val="003211D2"/>
    <w:rsid w:val="00333562"/>
    <w:rsid w:val="003419D8"/>
    <w:rsid w:val="00343295"/>
    <w:rsid w:val="0034688C"/>
    <w:rsid w:val="00351EB1"/>
    <w:rsid w:val="003520FF"/>
    <w:rsid w:val="0035272A"/>
    <w:rsid w:val="0035672E"/>
    <w:rsid w:val="00356A42"/>
    <w:rsid w:val="00361020"/>
    <w:rsid w:val="003664E1"/>
    <w:rsid w:val="00366E1D"/>
    <w:rsid w:val="003703BC"/>
    <w:rsid w:val="003817E6"/>
    <w:rsid w:val="00385A54"/>
    <w:rsid w:val="003866C0"/>
    <w:rsid w:val="00391A88"/>
    <w:rsid w:val="00391D4A"/>
    <w:rsid w:val="00392855"/>
    <w:rsid w:val="00397807"/>
    <w:rsid w:val="003A7674"/>
    <w:rsid w:val="003B3E89"/>
    <w:rsid w:val="003B416B"/>
    <w:rsid w:val="003B4CC1"/>
    <w:rsid w:val="003B50E5"/>
    <w:rsid w:val="003C06A1"/>
    <w:rsid w:val="003D1656"/>
    <w:rsid w:val="003E4782"/>
    <w:rsid w:val="003E6261"/>
    <w:rsid w:val="003F18F3"/>
    <w:rsid w:val="003F3172"/>
    <w:rsid w:val="003F6CDC"/>
    <w:rsid w:val="004013FE"/>
    <w:rsid w:val="00404572"/>
    <w:rsid w:val="0040793E"/>
    <w:rsid w:val="004156FC"/>
    <w:rsid w:val="004226DC"/>
    <w:rsid w:val="004248C1"/>
    <w:rsid w:val="00426962"/>
    <w:rsid w:val="004306B5"/>
    <w:rsid w:val="004322EA"/>
    <w:rsid w:val="00434D86"/>
    <w:rsid w:val="004421FA"/>
    <w:rsid w:val="004422DE"/>
    <w:rsid w:val="004466C3"/>
    <w:rsid w:val="00454C17"/>
    <w:rsid w:val="00455A3A"/>
    <w:rsid w:val="00480521"/>
    <w:rsid w:val="0048603C"/>
    <w:rsid w:val="004A30D7"/>
    <w:rsid w:val="004A68DA"/>
    <w:rsid w:val="004B40E7"/>
    <w:rsid w:val="004B44A8"/>
    <w:rsid w:val="004B7D2E"/>
    <w:rsid w:val="004C4A6E"/>
    <w:rsid w:val="004D197F"/>
    <w:rsid w:val="004D2447"/>
    <w:rsid w:val="004E00BD"/>
    <w:rsid w:val="004E650E"/>
    <w:rsid w:val="004F0BA8"/>
    <w:rsid w:val="004F4759"/>
    <w:rsid w:val="004F6257"/>
    <w:rsid w:val="005009C2"/>
    <w:rsid w:val="0050574D"/>
    <w:rsid w:val="00506A5D"/>
    <w:rsid w:val="0050766D"/>
    <w:rsid w:val="00520E95"/>
    <w:rsid w:val="00522637"/>
    <w:rsid w:val="0054421B"/>
    <w:rsid w:val="0054522E"/>
    <w:rsid w:val="00557D20"/>
    <w:rsid w:val="00567AA3"/>
    <w:rsid w:val="005721DE"/>
    <w:rsid w:val="00574E4D"/>
    <w:rsid w:val="005778D7"/>
    <w:rsid w:val="00584AF4"/>
    <w:rsid w:val="00587029"/>
    <w:rsid w:val="005916F3"/>
    <w:rsid w:val="00597542"/>
    <w:rsid w:val="00597CF1"/>
    <w:rsid w:val="005B6B4E"/>
    <w:rsid w:val="005D3D40"/>
    <w:rsid w:val="005E5379"/>
    <w:rsid w:val="005F01D0"/>
    <w:rsid w:val="005F14C7"/>
    <w:rsid w:val="005F49CB"/>
    <w:rsid w:val="00600EE6"/>
    <w:rsid w:val="00601C63"/>
    <w:rsid w:val="0060242E"/>
    <w:rsid w:val="00603B7B"/>
    <w:rsid w:val="00606664"/>
    <w:rsid w:val="0060778A"/>
    <w:rsid w:val="00613642"/>
    <w:rsid w:val="00616133"/>
    <w:rsid w:val="00620056"/>
    <w:rsid w:val="00621D6C"/>
    <w:rsid w:val="006225F7"/>
    <w:rsid w:val="0062314D"/>
    <w:rsid w:val="006242E4"/>
    <w:rsid w:val="0062599E"/>
    <w:rsid w:val="00626CF3"/>
    <w:rsid w:val="00626CF8"/>
    <w:rsid w:val="006376CA"/>
    <w:rsid w:val="006428F7"/>
    <w:rsid w:val="00643261"/>
    <w:rsid w:val="00645A6E"/>
    <w:rsid w:val="006462B6"/>
    <w:rsid w:val="00666C05"/>
    <w:rsid w:val="00667094"/>
    <w:rsid w:val="006708C0"/>
    <w:rsid w:val="006732D2"/>
    <w:rsid w:val="006846EA"/>
    <w:rsid w:val="00684EA6"/>
    <w:rsid w:val="00691146"/>
    <w:rsid w:val="00695E01"/>
    <w:rsid w:val="00696841"/>
    <w:rsid w:val="006A11F0"/>
    <w:rsid w:val="006A3E35"/>
    <w:rsid w:val="006B3422"/>
    <w:rsid w:val="006B3D17"/>
    <w:rsid w:val="006B3D6D"/>
    <w:rsid w:val="006B48E6"/>
    <w:rsid w:val="006B69B0"/>
    <w:rsid w:val="006C3BC5"/>
    <w:rsid w:val="006D23E2"/>
    <w:rsid w:val="006D5145"/>
    <w:rsid w:val="006D5800"/>
    <w:rsid w:val="006D5A51"/>
    <w:rsid w:val="006E1AC9"/>
    <w:rsid w:val="006E3796"/>
    <w:rsid w:val="006E4940"/>
    <w:rsid w:val="006E58C2"/>
    <w:rsid w:val="006E774B"/>
    <w:rsid w:val="006F0181"/>
    <w:rsid w:val="00700637"/>
    <w:rsid w:val="007056A0"/>
    <w:rsid w:val="00710373"/>
    <w:rsid w:val="00711C21"/>
    <w:rsid w:val="007155A2"/>
    <w:rsid w:val="00724703"/>
    <w:rsid w:val="0072656D"/>
    <w:rsid w:val="00727C61"/>
    <w:rsid w:val="007312CA"/>
    <w:rsid w:val="00731D08"/>
    <w:rsid w:val="00736050"/>
    <w:rsid w:val="0074062C"/>
    <w:rsid w:val="007430A4"/>
    <w:rsid w:val="00744B57"/>
    <w:rsid w:val="00746F05"/>
    <w:rsid w:val="007470A0"/>
    <w:rsid w:val="00752C6C"/>
    <w:rsid w:val="00763A14"/>
    <w:rsid w:val="007654C3"/>
    <w:rsid w:val="007663F3"/>
    <w:rsid w:val="00772D5B"/>
    <w:rsid w:val="007808FA"/>
    <w:rsid w:val="00780B29"/>
    <w:rsid w:val="0078366E"/>
    <w:rsid w:val="00784F95"/>
    <w:rsid w:val="007871E5"/>
    <w:rsid w:val="00787921"/>
    <w:rsid w:val="007900B2"/>
    <w:rsid w:val="00790CFB"/>
    <w:rsid w:val="00790F70"/>
    <w:rsid w:val="0079112D"/>
    <w:rsid w:val="007912DA"/>
    <w:rsid w:val="00793D9C"/>
    <w:rsid w:val="00793E40"/>
    <w:rsid w:val="0079581B"/>
    <w:rsid w:val="007A2321"/>
    <w:rsid w:val="007A5876"/>
    <w:rsid w:val="007C026D"/>
    <w:rsid w:val="007C4843"/>
    <w:rsid w:val="007C5559"/>
    <w:rsid w:val="007C676F"/>
    <w:rsid w:val="007D2A4B"/>
    <w:rsid w:val="007D4DA4"/>
    <w:rsid w:val="007D6944"/>
    <w:rsid w:val="007D6F4E"/>
    <w:rsid w:val="007F3900"/>
    <w:rsid w:val="007F5A2B"/>
    <w:rsid w:val="00805F0C"/>
    <w:rsid w:val="00807DB4"/>
    <w:rsid w:val="00813C25"/>
    <w:rsid w:val="00815E67"/>
    <w:rsid w:val="0083242B"/>
    <w:rsid w:val="008332AC"/>
    <w:rsid w:val="0083339B"/>
    <w:rsid w:val="00854A06"/>
    <w:rsid w:val="00855718"/>
    <w:rsid w:val="00860522"/>
    <w:rsid w:val="00865EB9"/>
    <w:rsid w:val="00866080"/>
    <w:rsid w:val="00867865"/>
    <w:rsid w:val="00871D79"/>
    <w:rsid w:val="00875D08"/>
    <w:rsid w:val="00876E0A"/>
    <w:rsid w:val="008844CA"/>
    <w:rsid w:val="00890BE1"/>
    <w:rsid w:val="00896AE7"/>
    <w:rsid w:val="00897752"/>
    <w:rsid w:val="008A52D5"/>
    <w:rsid w:val="008B29C1"/>
    <w:rsid w:val="008B7DEE"/>
    <w:rsid w:val="008C0260"/>
    <w:rsid w:val="008C5846"/>
    <w:rsid w:val="008C5FF0"/>
    <w:rsid w:val="008D3EAF"/>
    <w:rsid w:val="008F03D1"/>
    <w:rsid w:val="008F749E"/>
    <w:rsid w:val="00900690"/>
    <w:rsid w:val="009048A3"/>
    <w:rsid w:val="0091448C"/>
    <w:rsid w:val="00932091"/>
    <w:rsid w:val="00933AFA"/>
    <w:rsid w:val="0093525B"/>
    <w:rsid w:val="009378A6"/>
    <w:rsid w:val="00942143"/>
    <w:rsid w:val="0094323E"/>
    <w:rsid w:val="009439E1"/>
    <w:rsid w:val="00946768"/>
    <w:rsid w:val="00947236"/>
    <w:rsid w:val="00951B3C"/>
    <w:rsid w:val="00954BE4"/>
    <w:rsid w:val="00957B77"/>
    <w:rsid w:val="00961413"/>
    <w:rsid w:val="009629E6"/>
    <w:rsid w:val="00967BA2"/>
    <w:rsid w:val="00971EF5"/>
    <w:rsid w:val="00973439"/>
    <w:rsid w:val="00976DC1"/>
    <w:rsid w:val="009805DF"/>
    <w:rsid w:val="00982068"/>
    <w:rsid w:val="00982619"/>
    <w:rsid w:val="009908E0"/>
    <w:rsid w:val="009912DF"/>
    <w:rsid w:val="0099142A"/>
    <w:rsid w:val="009A35BE"/>
    <w:rsid w:val="009B5ACD"/>
    <w:rsid w:val="009B7239"/>
    <w:rsid w:val="009C1264"/>
    <w:rsid w:val="009C16F7"/>
    <w:rsid w:val="009C461B"/>
    <w:rsid w:val="009C63AD"/>
    <w:rsid w:val="009D18F4"/>
    <w:rsid w:val="009E2A7A"/>
    <w:rsid w:val="009E4933"/>
    <w:rsid w:val="009E5315"/>
    <w:rsid w:val="009F1A8A"/>
    <w:rsid w:val="009F315B"/>
    <w:rsid w:val="009F456B"/>
    <w:rsid w:val="009F4680"/>
    <w:rsid w:val="009F46F7"/>
    <w:rsid w:val="009F6D2A"/>
    <w:rsid w:val="00A01223"/>
    <w:rsid w:val="00A042A8"/>
    <w:rsid w:val="00A148D4"/>
    <w:rsid w:val="00A14925"/>
    <w:rsid w:val="00A157C9"/>
    <w:rsid w:val="00A20F35"/>
    <w:rsid w:val="00A2180F"/>
    <w:rsid w:val="00A2393A"/>
    <w:rsid w:val="00A273C6"/>
    <w:rsid w:val="00A3221D"/>
    <w:rsid w:val="00A34751"/>
    <w:rsid w:val="00A347D9"/>
    <w:rsid w:val="00A47058"/>
    <w:rsid w:val="00A47227"/>
    <w:rsid w:val="00A5109F"/>
    <w:rsid w:val="00A548E5"/>
    <w:rsid w:val="00A56869"/>
    <w:rsid w:val="00A63546"/>
    <w:rsid w:val="00A666EC"/>
    <w:rsid w:val="00A83089"/>
    <w:rsid w:val="00A843E6"/>
    <w:rsid w:val="00A913B5"/>
    <w:rsid w:val="00A939BB"/>
    <w:rsid w:val="00AA18D8"/>
    <w:rsid w:val="00AA7521"/>
    <w:rsid w:val="00AC095E"/>
    <w:rsid w:val="00AC3073"/>
    <w:rsid w:val="00AC797C"/>
    <w:rsid w:val="00AC7B69"/>
    <w:rsid w:val="00AD5AAF"/>
    <w:rsid w:val="00AE1371"/>
    <w:rsid w:val="00AE33A9"/>
    <w:rsid w:val="00AE3DDF"/>
    <w:rsid w:val="00AE3E58"/>
    <w:rsid w:val="00AE5536"/>
    <w:rsid w:val="00AF229E"/>
    <w:rsid w:val="00AF6BD9"/>
    <w:rsid w:val="00B05E2B"/>
    <w:rsid w:val="00B05FB5"/>
    <w:rsid w:val="00B2121A"/>
    <w:rsid w:val="00B31F06"/>
    <w:rsid w:val="00B3460A"/>
    <w:rsid w:val="00B36DB2"/>
    <w:rsid w:val="00B44FC7"/>
    <w:rsid w:val="00B4540C"/>
    <w:rsid w:val="00B51484"/>
    <w:rsid w:val="00B5179F"/>
    <w:rsid w:val="00B52F59"/>
    <w:rsid w:val="00B64EF1"/>
    <w:rsid w:val="00B730FA"/>
    <w:rsid w:val="00B75075"/>
    <w:rsid w:val="00B8042F"/>
    <w:rsid w:val="00B97065"/>
    <w:rsid w:val="00BA5AD3"/>
    <w:rsid w:val="00BB352E"/>
    <w:rsid w:val="00BB3D2B"/>
    <w:rsid w:val="00BC40C8"/>
    <w:rsid w:val="00BC50C3"/>
    <w:rsid w:val="00BD34BD"/>
    <w:rsid w:val="00BD34DF"/>
    <w:rsid w:val="00BE5028"/>
    <w:rsid w:val="00BE7F22"/>
    <w:rsid w:val="00BF0A16"/>
    <w:rsid w:val="00BF5F13"/>
    <w:rsid w:val="00C25EEC"/>
    <w:rsid w:val="00C2671E"/>
    <w:rsid w:val="00C36DAA"/>
    <w:rsid w:val="00C4129F"/>
    <w:rsid w:val="00C45094"/>
    <w:rsid w:val="00C454D1"/>
    <w:rsid w:val="00C52402"/>
    <w:rsid w:val="00C543A0"/>
    <w:rsid w:val="00C62E2F"/>
    <w:rsid w:val="00C66642"/>
    <w:rsid w:val="00C66CA7"/>
    <w:rsid w:val="00C819DF"/>
    <w:rsid w:val="00C83744"/>
    <w:rsid w:val="00C8592D"/>
    <w:rsid w:val="00C9113D"/>
    <w:rsid w:val="00C95DA4"/>
    <w:rsid w:val="00CB1C53"/>
    <w:rsid w:val="00CB7005"/>
    <w:rsid w:val="00CC15CF"/>
    <w:rsid w:val="00CC1C8C"/>
    <w:rsid w:val="00CC2CF1"/>
    <w:rsid w:val="00CE05DB"/>
    <w:rsid w:val="00CE5E46"/>
    <w:rsid w:val="00D07CA2"/>
    <w:rsid w:val="00D2165E"/>
    <w:rsid w:val="00D27136"/>
    <w:rsid w:val="00D32519"/>
    <w:rsid w:val="00D35A2D"/>
    <w:rsid w:val="00D40749"/>
    <w:rsid w:val="00D54DAB"/>
    <w:rsid w:val="00D55808"/>
    <w:rsid w:val="00D55BD1"/>
    <w:rsid w:val="00D60408"/>
    <w:rsid w:val="00D62765"/>
    <w:rsid w:val="00D63646"/>
    <w:rsid w:val="00D638B9"/>
    <w:rsid w:val="00D645FC"/>
    <w:rsid w:val="00D66835"/>
    <w:rsid w:val="00D704E7"/>
    <w:rsid w:val="00D707DE"/>
    <w:rsid w:val="00D8600E"/>
    <w:rsid w:val="00D90E9F"/>
    <w:rsid w:val="00D95486"/>
    <w:rsid w:val="00D96C45"/>
    <w:rsid w:val="00DA07A5"/>
    <w:rsid w:val="00DA4355"/>
    <w:rsid w:val="00DB33F8"/>
    <w:rsid w:val="00DC1DA6"/>
    <w:rsid w:val="00DC52C6"/>
    <w:rsid w:val="00DD3821"/>
    <w:rsid w:val="00DD3E87"/>
    <w:rsid w:val="00DD4376"/>
    <w:rsid w:val="00DD7818"/>
    <w:rsid w:val="00DE4152"/>
    <w:rsid w:val="00DE6911"/>
    <w:rsid w:val="00DE77E2"/>
    <w:rsid w:val="00DE7B8C"/>
    <w:rsid w:val="00DF06E9"/>
    <w:rsid w:val="00DF3995"/>
    <w:rsid w:val="00DF6372"/>
    <w:rsid w:val="00E0057A"/>
    <w:rsid w:val="00E0121E"/>
    <w:rsid w:val="00E01B43"/>
    <w:rsid w:val="00E041EF"/>
    <w:rsid w:val="00E04EDE"/>
    <w:rsid w:val="00E074FB"/>
    <w:rsid w:val="00E141DE"/>
    <w:rsid w:val="00E156A5"/>
    <w:rsid w:val="00E15DE9"/>
    <w:rsid w:val="00E22355"/>
    <w:rsid w:val="00E24626"/>
    <w:rsid w:val="00E24A46"/>
    <w:rsid w:val="00E31CF7"/>
    <w:rsid w:val="00E33F8C"/>
    <w:rsid w:val="00E40739"/>
    <w:rsid w:val="00E413B0"/>
    <w:rsid w:val="00E4357D"/>
    <w:rsid w:val="00E46A22"/>
    <w:rsid w:val="00E47630"/>
    <w:rsid w:val="00E479D9"/>
    <w:rsid w:val="00E51B02"/>
    <w:rsid w:val="00E53808"/>
    <w:rsid w:val="00E54988"/>
    <w:rsid w:val="00E55028"/>
    <w:rsid w:val="00E5771A"/>
    <w:rsid w:val="00E600EB"/>
    <w:rsid w:val="00E657B7"/>
    <w:rsid w:val="00E65CEA"/>
    <w:rsid w:val="00E66B12"/>
    <w:rsid w:val="00E67230"/>
    <w:rsid w:val="00E73F9A"/>
    <w:rsid w:val="00E76796"/>
    <w:rsid w:val="00E92F49"/>
    <w:rsid w:val="00E93505"/>
    <w:rsid w:val="00EA10F9"/>
    <w:rsid w:val="00EA14A5"/>
    <w:rsid w:val="00EA1D78"/>
    <w:rsid w:val="00EB1110"/>
    <w:rsid w:val="00EB2E97"/>
    <w:rsid w:val="00EB3E24"/>
    <w:rsid w:val="00EC0E5F"/>
    <w:rsid w:val="00EC2673"/>
    <w:rsid w:val="00EC55A9"/>
    <w:rsid w:val="00ED20DE"/>
    <w:rsid w:val="00ED4790"/>
    <w:rsid w:val="00EE1361"/>
    <w:rsid w:val="00EE2BC8"/>
    <w:rsid w:val="00EE3DB9"/>
    <w:rsid w:val="00EF4A33"/>
    <w:rsid w:val="00EF622E"/>
    <w:rsid w:val="00F068AF"/>
    <w:rsid w:val="00F21A6D"/>
    <w:rsid w:val="00F2227E"/>
    <w:rsid w:val="00F25D30"/>
    <w:rsid w:val="00F26546"/>
    <w:rsid w:val="00F26C82"/>
    <w:rsid w:val="00F363D7"/>
    <w:rsid w:val="00F5117C"/>
    <w:rsid w:val="00F56909"/>
    <w:rsid w:val="00F5762E"/>
    <w:rsid w:val="00F60F91"/>
    <w:rsid w:val="00F71191"/>
    <w:rsid w:val="00F743A5"/>
    <w:rsid w:val="00F75753"/>
    <w:rsid w:val="00F7649F"/>
    <w:rsid w:val="00F8004A"/>
    <w:rsid w:val="00F829CC"/>
    <w:rsid w:val="00F84785"/>
    <w:rsid w:val="00F859DB"/>
    <w:rsid w:val="00F86CC6"/>
    <w:rsid w:val="00F919BA"/>
    <w:rsid w:val="00F928E8"/>
    <w:rsid w:val="00F933BB"/>
    <w:rsid w:val="00F95EBD"/>
    <w:rsid w:val="00F970B4"/>
    <w:rsid w:val="00FB081A"/>
    <w:rsid w:val="00FB1B5E"/>
    <w:rsid w:val="00FC1340"/>
    <w:rsid w:val="00FD1881"/>
    <w:rsid w:val="00FE4E9A"/>
    <w:rsid w:val="00FE7398"/>
    <w:rsid w:val="00FF0E95"/>
    <w:rsid w:val="00FF73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3B221"/>
  <w15:docId w15:val="{70F7B981-2BCA-45A1-8405-2B0EEB1B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0F70"/>
    <w:pPr>
      <w:jc w:val="both"/>
    </w:pPr>
    <w:rPr>
      <w:sz w:val="22"/>
      <w:szCs w:val="24"/>
      <w:lang w:val="en-GB"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851"/>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Arial Unicode MS" w:cs="Arial"/>
      <w:b/>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numPr>
        <w:numId w:val="3"/>
      </w:numPr>
      <w:spacing w:before="120" w:after="120"/>
    </w:pPr>
    <w:rPr>
      <w:snapToGrid w:val="0"/>
      <w:szCs w:val="18"/>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3">
    <w:name w:val="Para3"/>
    <w:basedOn w:val="Normal"/>
    <w:pPr>
      <w:numPr>
        <w:ilvl w:val="2"/>
        <w:numId w:val="3"/>
      </w:numPr>
      <w:spacing w:before="80" w:after="80"/>
    </w:pPr>
    <w:rPr>
      <w:szCs w:val="20"/>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customStyle="1" w:styleId="Cornernotation">
    <w:name w:val="Corner notation"/>
    <w:basedOn w:val="Normal"/>
    <w:pPr>
      <w:ind w:left="170" w:right="3119" w:hanging="170"/>
      <w:jc w:val="left"/>
    </w:pPr>
  </w:style>
  <w:style w:type="character" w:styleId="FollowedHyperlink">
    <w:name w:val="FollowedHyperlink"/>
    <w:rPr>
      <w:color w:val="800080"/>
      <w:u w:val="single"/>
    </w:rPr>
  </w:style>
  <w:style w:type="character" w:styleId="Hyperlink">
    <w:name w:val="Hyperlink"/>
    <w:rPr>
      <w:color w:val="0000FF"/>
      <w:sz w:val="18"/>
      <w:u w:val="single"/>
    </w:rPr>
  </w:style>
  <w:style w:type="character" w:customStyle="1" w:styleId="Hyperlink1">
    <w:name w:val="Hyperlink1"/>
    <w:basedOn w:val="Hyperlink"/>
    <w:rPr>
      <w:color w:val="0000FF"/>
      <w:sz w:val="18"/>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customStyle="1" w:styleId="BulletList">
    <w:name w:val="Bullet List"/>
    <w:basedOn w:val="DefaultParagraphFont"/>
  </w:style>
  <w:style w:type="paragraph" w:customStyle="1" w:styleId="FOOTNOTETEX">
    <w:name w:val="FOOTNOTE TEX"/>
    <w:pPr>
      <w:widowControl w:val="0"/>
      <w:tabs>
        <w:tab w:val="left" w:pos="-720"/>
      </w:tabs>
      <w:suppressAutoHyphens/>
    </w:pPr>
    <w:rPr>
      <w:lang w:val="en-US" w:eastAsia="en-US"/>
    </w:rPr>
  </w:style>
  <w:style w:type="character" w:customStyle="1" w:styleId="endnoterefe">
    <w:name w:val="endnote refe"/>
    <w:rPr>
      <w:rFonts w:ascii="Courier New" w:hAnsi="Courier New"/>
      <w:noProof w:val="0"/>
      <w:sz w:val="20"/>
      <w:vertAlign w:val="superscript"/>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paragraph" w:styleId="TOC1">
    <w:name w:val="toc 1"/>
    <w:basedOn w:val="Normal"/>
    <w:next w:val="Normal"/>
    <w:autoRedefine/>
    <w:semiHidden/>
    <w:pPr>
      <w:spacing w:before="120" w:after="120"/>
      <w:jc w:val="left"/>
    </w:pPr>
    <w:rPr>
      <w:lang w:val="en-CA"/>
    </w:rPr>
  </w:style>
  <w:style w:type="paragraph" w:styleId="TOC2">
    <w:name w:val="toc 2"/>
    <w:basedOn w:val="Normal"/>
    <w:next w:val="Normal"/>
    <w:autoRedefine/>
    <w:semiHidden/>
    <w:pPr>
      <w:tabs>
        <w:tab w:val="left" w:pos="720"/>
        <w:tab w:val="right" w:leader="dot" w:pos="9000"/>
      </w:tabs>
      <w:spacing w:before="120" w:after="120"/>
      <w:ind w:left="360"/>
      <w:jc w:val="left"/>
    </w:pPr>
    <w:rPr>
      <w:noProof/>
      <w:sz w:val="24"/>
      <w:szCs w:val="22"/>
      <w:lang w:val="en-US"/>
    </w:rPr>
  </w:style>
  <w:style w:type="paragraph" w:styleId="TOC3">
    <w:name w:val="toc 3"/>
    <w:basedOn w:val="Normal"/>
    <w:next w:val="Normal"/>
    <w:autoRedefine/>
    <w:semiHidden/>
    <w:pPr>
      <w:spacing w:before="120" w:after="120"/>
      <w:ind w:left="480"/>
      <w:jc w:val="left"/>
    </w:pPr>
    <w:rPr>
      <w:lang w:val="en-CA"/>
    </w:rPr>
  </w:style>
  <w:style w:type="paragraph" w:styleId="TOC4">
    <w:name w:val="toc 4"/>
    <w:basedOn w:val="Normal"/>
    <w:next w:val="Normal"/>
    <w:autoRedefine/>
    <w:semiHidden/>
    <w:pPr>
      <w:spacing w:before="120" w:after="120"/>
      <w:ind w:left="720"/>
      <w:jc w:val="left"/>
    </w:pPr>
    <w:rPr>
      <w:lang w:val="en-CA"/>
    </w:rPr>
  </w:style>
  <w:style w:type="paragraph" w:styleId="TOC5">
    <w:name w:val="toc 5"/>
    <w:basedOn w:val="Normal"/>
    <w:next w:val="Normal"/>
    <w:autoRedefine/>
    <w:semiHidden/>
    <w:pPr>
      <w:spacing w:before="120" w:after="120"/>
      <w:ind w:left="960"/>
      <w:jc w:val="left"/>
    </w:pPr>
    <w:rPr>
      <w:lang w:val="en-CA"/>
    </w:rPr>
  </w:style>
  <w:style w:type="paragraph" w:styleId="TOC6">
    <w:name w:val="toc 6"/>
    <w:basedOn w:val="Normal"/>
    <w:next w:val="Normal"/>
    <w:autoRedefine/>
    <w:semiHidden/>
    <w:pPr>
      <w:spacing w:before="120" w:after="120"/>
      <w:ind w:left="1200"/>
      <w:jc w:val="left"/>
    </w:pPr>
    <w:rPr>
      <w:lang w:val="en-CA"/>
    </w:rPr>
  </w:style>
  <w:style w:type="paragraph" w:styleId="TOC7">
    <w:name w:val="toc 7"/>
    <w:basedOn w:val="Normal"/>
    <w:next w:val="Normal"/>
    <w:autoRedefine/>
    <w:semiHidden/>
    <w:pPr>
      <w:spacing w:before="120" w:after="120"/>
      <w:ind w:left="1440"/>
      <w:jc w:val="left"/>
    </w:pPr>
    <w:rPr>
      <w:lang w:val="en-CA"/>
    </w:rPr>
  </w:style>
  <w:style w:type="paragraph" w:styleId="TOC8">
    <w:name w:val="toc 8"/>
    <w:basedOn w:val="Normal"/>
    <w:next w:val="Normal"/>
    <w:autoRedefine/>
    <w:semiHidden/>
    <w:pPr>
      <w:spacing w:before="120" w:after="120"/>
      <w:ind w:left="1680"/>
      <w:jc w:val="left"/>
    </w:pPr>
    <w:rPr>
      <w:lang w:val="en-CA"/>
    </w:rPr>
  </w:style>
  <w:style w:type="paragraph" w:styleId="TOC9">
    <w:name w:val="toc 9"/>
    <w:basedOn w:val="Normal"/>
    <w:next w:val="Normal"/>
    <w:autoRedefine/>
    <w:semiHidden/>
    <w:pPr>
      <w:spacing w:before="120" w:after="120"/>
      <w:ind w:left="1920"/>
      <w:jc w:val="left"/>
    </w:pPr>
    <w:rPr>
      <w:lang w:val="en-CA"/>
    </w:rPr>
  </w:style>
  <w:style w:type="paragraph" w:customStyle="1" w:styleId="HEADING">
    <w:name w:val="HEADING"/>
    <w:basedOn w:val="Normal"/>
    <w:pPr>
      <w:spacing w:before="240" w:after="120"/>
      <w:jc w:val="center"/>
    </w:pPr>
    <w:rPr>
      <w:b/>
      <w:caps/>
    </w:rPr>
  </w:style>
  <w:style w:type="paragraph" w:customStyle="1" w:styleId="Style1">
    <w:name w:val="Style1"/>
    <w:basedOn w:val="BodyText2"/>
    <w:pPr>
      <w:numPr>
        <w:ilvl w:val="1"/>
        <w:numId w:val="6"/>
      </w:numPr>
      <w:tabs>
        <w:tab w:val="left" w:pos="1440"/>
      </w:tabs>
      <w:spacing w:before="120" w:after="120"/>
      <w:ind w:right="0"/>
    </w:pPr>
    <w:rPr>
      <w:szCs w:val="20"/>
    </w:rPr>
  </w:style>
  <w:style w:type="paragraph" w:customStyle="1" w:styleId="subhead">
    <w:name w:val="subhead"/>
    <w:basedOn w:val="Normal"/>
    <w:next w:val="Para1"/>
    <w:pPr>
      <w:spacing w:before="120" w:after="120"/>
      <w:jc w:val="center"/>
    </w:pPr>
    <w:rPr>
      <w:i/>
      <w:szCs w:val="20"/>
    </w:rPr>
  </w:style>
  <w:style w:type="paragraph" w:customStyle="1" w:styleId="Heading-plain">
    <w:name w:val="Heading-plain"/>
    <w:basedOn w:val="Normal"/>
    <w:pPr>
      <w:spacing w:before="120" w:after="120"/>
      <w:jc w:val="center"/>
      <w:outlineLvl w:val="0"/>
    </w:pPr>
    <w:rPr>
      <w:i/>
      <w:iCs/>
    </w:rPr>
  </w:style>
  <w:style w:type="paragraph" w:styleId="Header">
    <w:name w:val="header"/>
    <w:basedOn w:val="Normal"/>
    <w:pPr>
      <w:tabs>
        <w:tab w:val="center" w:pos="4320"/>
        <w:tab w:val="right" w:pos="8640"/>
      </w:tabs>
    </w:pPr>
  </w:style>
  <w:style w:type="paragraph" w:customStyle="1" w:styleId="Activity">
    <w:name w:val="Activity"/>
    <w:basedOn w:val="Para1"/>
    <w:pPr>
      <w:numPr>
        <w:numId w:val="0"/>
      </w:numPr>
      <w:autoSpaceDE w:val="0"/>
      <w:autoSpaceDN w:val="0"/>
      <w:ind w:firstLine="720"/>
    </w:pPr>
    <w:rPr>
      <w:b/>
      <w:bCs/>
      <w:snapToGrid/>
    </w:rPr>
  </w:style>
  <w:style w:type="paragraph" w:customStyle="1" w:styleId="bodytextnoindent">
    <w:name w:val="body text (no indent)"/>
    <w:basedOn w:val="Normal"/>
    <w:pPr>
      <w:spacing w:before="120" w:after="120"/>
    </w:pPr>
  </w:style>
  <w:style w:type="paragraph" w:styleId="BodyText2">
    <w:name w:val="Body Text 2"/>
    <w:basedOn w:val="Normal"/>
    <w:pPr>
      <w:ind w:right="-1620"/>
    </w:pPr>
  </w:style>
  <w:style w:type="paragraph" w:styleId="BodyText3">
    <w:name w:val="Body Text 3"/>
    <w:basedOn w:val="Normal"/>
    <w:pPr>
      <w:spacing w:before="120" w:after="120"/>
    </w:pPr>
    <w:rPr>
      <w:iCs/>
    </w:rPr>
  </w:style>
  <w:style w:type="paragraph" w:styleId="BodyTextIndent">
    <w:name w:val="Body Text Indent"/>
    <w:basedOn w:val="Normal"/>
    <w:pPr>
      <w:ind w:left="60"/>
    </w:pPr>
  </w:style>
  <w:style w:type="paragraph" w:styleId="BodyTextIndent2">
    <w:name w:val="Body Text Indent 2"/>
    <w:basedOn w:val="Normal"/>
    <w:pPr>
      <w:ind w:left="720"/>
    </w:pPr>
  </w:style>
  <w:style w:type="paragraph" w:styleId="BodyTextIndent3">
    <w:name w:val="Body Text Indent 3"/>
    <w:basedOn w:val="Normal"/>
    <w:pPr>
      <w:ind w:firstLine="72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customStyle="1" w:styleId="Diagram">
    <w:name w:val="Diagram"/>
    <w:basedOn w:val="Normal"/>
    <w:pPr>
      <w:spacing w:before="120" w:after="120"/>
      <w:jc w:val="left"/>
    </w:pPr>
    <w:rPr>
      <w:b/>
      <w:i/>
      <w:lang w:val="en-CA"/>
    </w:rPr>
  </w:style>
  <w:style w:type="paragraph" w:customStyle="1" w:styleId="Heading0">
    <w:name w:val="Heading"/>
    <w:basedOn w:val="Heading1"/>
    <w:next w:val="Normal"/>
    <w:pPr>
      <w:ind w:left="1758" w:right="357" w:hanging="318"/>
    </w:pPr>
    <w:rPr>
      <w:bCs/>
      <w:caps w:val="0"/>
    </w:rPr>
  </w:style>
  <w:style w:type="paragraph" w:customStyle="1" w:styleId="Heading-plain0">
    <w:name w:val="Heading - plain"/>
    <w:basedOn w:val="Heading2"/>
    <w:next w:val="BodyText"/>
  </w:style>
  <w:style w:type="paragraph" w:customStyle="1" w:styleId="Heading1centred">
    <w:name w:val="Heading 1 (centred)"/>
    <w:basedOn w:val="Heading1"/>
    <w:next w:val="Para1"/>
    <w:pPr>
      <w:numPr>
        <w:numId w:val="1"/>
      </w:numPr>
      <w:ind w:left="0" w:right="403" w:firstLine="0"/>
    </w:pPr>
  </w:style>
  <w:style w:type="paragraph" w:customStyle="1" w:styleId="Heading2GTI">
    <w:name w:val="Heading 2 (GTI)"/>
    <w:basedOn w:val="Heading5"/>
    <w:pPr>
      <w:ind w:left="720" w:hanging="720"/>
    </w:pPr>
    <w:rPr>
      <w:bCs w:val="0"/>
      <w:i w:val="0"/>
    </w:rPr>
  </w:style>
  <w:style w:type="paragraph" w:customStyle="1" w:styleId="Heading2-center">
    <w:name w:val="Heading 2-center"/>
    <w:basedOn w:val="Heading2"/>
    <w:pPr>
      <w:tabs>
        <w:tab w:val="left" w:pos="475"/>
        <w:tab w:val="num" w:pos="1004"/>
      </w:tabs>
      <w:spacing w:before="0" w:after="240" w:line="240" w:lineRule="exact"/>
      <w:ind w:left="1004" w:hanging="360"/>
    </w:pPr>
    <w:rPr>
      <w:b w:val="0"/>
      <w:bCs w:val="0"/>
      <w:i w:val="0"/>
      <w:iCs w:val="0"/>
      <w:u w:val="single"/>
    </w:rPr>
  </w:style>
  <w:style w:type="paragraph" w:customStyle="1" w:styleId="headingdecisionsectionmultiline">
    <w:name w:val="heading decision section multiline"/>
    <w:basedOn w:val="Heading-plain0"/>
    <w:pPr>
      <w:ind w:left="1724" w:right="720" w:hanging="284"/>
      <w:jc w:val="left"/>
    </w:pPr>
    <w:rPr>
      <w:b w:val="0"/>
      <w:bCs w:val="0"/>
      <w:i w:val="0"/>
      <w:iCs w:val="0"/>
    </w:rPr>
  </w:style>
  <w:style w:type="paragraph" w:customStyle="1" w:styleId="headingdecisionsectiononeline">
    <w:name w:val="heading decision section one line"/>
    <w:basedOn w:val="Heading-plain0"/>
    <w:rPr>
      <w:b w:val="0"/>
      <w:bCs w:val="0"/>
      <w:i w:val="0"/>
      <w:iCs w:val="0"/>
    </w:rPr>
  </w:style>
  <w:style w:type="character" w:styleId="PageNumber">
    <w:name w:val="page number"/>
    <w:rPr>
      <w:rFonts w:ascii="Times New Roman" w:hAnsi="Times New Roman"/>
      <w:sz w:val="22"/>
    </w:rPr>
  </w:style>
  <w:style w:type="paragraph" w:customStyle="1" w:styleId="para4">
    <w:name w:val="para4"/>
    <w:basedOn w:val="Normal"/>
    <w:pPr>
      <w:numPr>
        <w:ilvl w:val="3"/>
        <w:numId w:val="5"/>
      </w:numPr>
      <w:tabs>
        <w:tab w:val="clear"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jc w:val="left"/>
      <w:textAlignment w:val="baseline"/>
    </w:pPr>
    <w:rPr>
      <w:rFonts w:ascii="Courier" w:hAnsi="Courier"/>
      <w:color w:val="000000"/>
      <w:sz w:val="20"/>
      <w:szCs w:val="20"/>
    </w:rPr>
  </w:style>
  <w:style w:type="paragraph" w:customStyle="1" w:styleId="Subhead1">
    <w:name w:val="Subhead1"/>
    <w:basedOn w:val="Normal"/>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styleId="Subtitle">
    <w:name w:val="Subtitle"/>
    <w:basedOn w:val="Normal"/>
    <w:qFormat/>
    <w:pPr>
      <w:tabs>
        <w:tab w:val="center" w:pos="9214"/>
      </w:tabs>
    </w:pPr>
    <w:rPr>
      <w:i/>
      <w:iCs/>
      <w:szCs w:val="20"/>
    </w:rPr>
  </w:style>
  <w:style w:type="paragraph" w:styleId="Title">
    <w:name w:val="Title"/>
    <w:basedOn w:val="Normal"/>
    <w:qFormat/>
    <w:pPr>
      <w:keepNext/>
      <w:spacing w:before="240" w:after="120"/>
      <w:jc w:val="center"/>
      <w:outlineLvl w:val="0"/>
    </w:pPr>
    <w:rPr>
      <w:rFonts w:cs="Arial"/>
      <w:b/>
      <w:bCs/>
      <w:caps/>
      <w:kern w:val="28"/>
      <w:szCs w:val="32"/>
    </w:rPr>
  </w:style>
  <w:style w:type="paragraph" w:customStyle="1" w:styleId="Title-secondary">
    <w:name w:val="Title - secondary"/>
    <w:basedOn w:val="Title"/>
    <w:next w:val="Heading2"/>
    <w:pPr>
      <w:spacing w:before="120"/>
    </w:pPr>
    <w:rPr>
      <w:caps w:val="0"/>
    </w:rPr>
  </w:style>
  <w:style w:type="character" w:customStyle="1" w:styleId="underline">
    <w:name w:val="underline"/>
    <w:rPr>
      <w:rFonts w:ascii="Courier" w:hAnsi="Courier"/>
      <w:sz w:val="20"/>
      <w:u w:val="single"/>
    </w:rPr>
  </w:style>
  <w:style w:type="paragraph" w:customStyle="1" w:styleId="Paranum">
    <w:name w:val="Paranum"/>
    <w:basedOn w:val="Para1"/>
    <w:pPr>
      <w:tabs>
        <w:tab w:val="left" w:pos="360"/>
        <w:tab w:val="left" w:pos="720"/>
      </w:tabs>
    </w:pPr>
    <w:rPr>
      <w:snapToGrid/>
      <w:lang w:val="en-US"/>
    </w:rPr>
  </w:style>
  <w:style w:type="paragraph" w:customStyle="1" w:styleId="Head2">
    <w:name w:val="Head2"/>
    <w:basedOn w:val="Normal"/>
    <w:pPr>
      <w:keepNext/>
      <w:jc w:val="center"/>
    </w:pPr>
    <w:rPr>
      <w:szCs w:val="20"/>
    </w:rPr>
  </w:style>
  <w:style w:type="paragraph" w:customStyle="1" w:styleId="Title1">
    <w:name w:val="Title1"/>
    <w:basedOn w:val="HEADING"/>
    <w:pPr>
      <w:keepNext/>
      <w:overflowPunct w:val="0"/>
      <w:autoSpaceDE w:val="0"/>
      <w:autoSpaceDN w:val="0"/>
      <w:adjustRightInd w:val="0"/>
      <w:textAlignment w:val="baseline"/>
    </w:pPr>
    <w:rPr>
      <w:bCs/>
      <w:szCs w:val="20"/>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2C27AE"/>
    <w:rPr>
      <w:b/>
      <w:bCs/>
      <w:szCs w:val="20"/>
    </w:rPr>
  </w:style>
  <w:style w:type="paragraph" w:styleId="DocumentMap">
    <w:name w:val="Document Map"/>
    <w:basedOn w:val="Normal"/>
    <w:semiHidden/>
    <w:rsid w:val="00DA4355"/>
    <w:pPr>
      <w:shd w:val="clear" w:color="auto" w:fill="000080"/>
    </w:pPr>
    <w:rPr>
      <w:rFonts w:ascii="Tahoma" w:hAnsi="Tahoma" w:cs="Tahoma"/>
      <w:sz w:val="20"/>
      <w:szCs w:val="20"/>
    </w:rPr>
  </w:style>
  <w:style w:type="table" w:styleId="TableGrid">
    <w:name w:val="Table Grid"/>
    <w:basedOn w:val="TableNormal"/>
    <w:rsid w:val="00356A4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rsid w:val="00DB33F8"/>
    <w:rPr>
      <w:snapToGrid w:val="0"/>
      <w:sz w:val="22"/>
      <w:szCs w:val="18"/>
      <w:lang w:val="en-GB" w:eastAsia="en-US"/>
    </w:rPr>
  </w:style>
  <w:style w:type="character" w:customStyle="1" w:styleId="CommentTextChar">
    <w:name w:val="Comment Text Char"/>
    <w:link w:val="CommentText"/>
    <w:uiPriority w:val="99"/>
    <w:rsid w:val="002D43F0"/>
    <w:rPr>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2D43F0"/>
    <w:rPr>
      <w:sz w:val="18"/>
      <w:szCs w:val="24"/>
      <w:lang w:val="en-GB"/>
    </w:rPr>
  </w:style>
  <w:style w:type="paragraph" w:customStyle="1" w:styleId="Default">
    <w:name w:val="Default"/>
    <w:rsid w:val="00D27136"/>
    <w:pPr>
      <w:autoSpaceDE w:val="0"/>
      <w:autoSpaceDN w:val="0"/>
      <w:adjustRightInd w:val="0"/>
    </w:pPr>
    <w:rPr>
      <w:color w:val="000000"/>
      <w:sz w:val="24"/>
      <w:szCs w:val="24"/>
      <w:lang w:val="en-US" w:eastAsia="en-US"/>
    </w:rPr>
  </w:style>
  <w:style w:type="table" w:customStyle="1" w:styleId="TableGrid1">
    <w:name w:val="Table Grid1"/>
    <w:basedOn w:val="TableNormal"/>
    <w:next w:val="TableGrid"/>
    <w:uiPriority w:val="39"/>
    <w:rsid w:val="006F0181"/>
    <w:rPr>
      <w:rFonts w:ascii="Cambria" w:eastAsia="SimSun"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66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recommendations/sbi-02/sbi-02-rec-19-en.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recommendations/sbi-02/sbi-02-rec-12-en.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recommendations/sbi-01/sbi-01-rec-03-en.doc" TargetMode="External"/><Relationship Id="rId5" Type="http://schemas.openxmlformats.org/officeDocument/2006/relationships/webSettings" Target="webSettings.xml"/><Relationship Id="rId15" Type="http://schemas.openxmlformats.org/officeDocument/2006/relationships/hyperlink" Target="https://www.cbd.int/doc/recommendations/sbi-02/sbi-02-rec-08-en.doc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recommendations/sbi-02/sbi-02-rec-19-en.doc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meetings/SBI-02" TargetMode="External"/><Relationship Id="rId2" Type="http://schemas.openxmlformats.org/officeDocument/2006/relationships/hyperlink" Target="https://www.cbd.int/doc/notifications/2018/ntf-2018-036-bs-en.doc" TargetMode="External"/><Relationship Id="rId1" Type="http://schemas.openxmlformats.org/officeDocument/2006/relationships/hyperlink" Target="https://www.cbd.int/meetings/?thm=CPB" TargetMode="External"/><Relationship Id="rId4" Type="http://schemas.openxmlformats.org/officeDocument/2006/relationships/hyperlink" Target="http://bch.cbd.int/protocol/decisions/?decisionID=135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ppe\Application%20Data\Microsoft\Templates\SBSTTA-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16239A8CDC4DA3A5F494D01DA0E256"/>
        <w:category>
          <w:name w:val="General"/>
          <w:gallery w:val="placeholder"/>
        </w:category>
        <w:types>
          <w:type w:val="bbPlcHdr"/>
        </w:types>
        <w:behaviors>
          <w:behavior w:val="content"/>
        </w:behaviors>
        <w:guid w:val="{5A1BADB5-1576-4524-87DF-EDE36B3E4123}"/>
      </w:docPartPr>
      <w:docPartBody>
        <w:p w:rsidR="00000000" w:rsidRDefault="00494C12">
          <w:r w:rsidRPr="00B00E9C">
            <w:rPr>
              <w:rStyle w:val="PlaceholderText"/>
            </w:rPr>
            <w:t>[Subject]</w:t>
          </w:r>
        </w:p>
      </w:docPartBody>
    </w:docPart>
    <w:docPart>
      <w:docPartPr>
        <w:name w:val="18CE9741A1FB4EC5B7D9399C23A1FABF"/>
        <w:category>
          <w:name w:val="General"/>
          <w:gallery w:val="placeholder"/>
        </w:category>
        <w:types>
          <w:type w:val="bbPlcHdr"/>
        </w:types>
        <w:behaviors>
          <w:behavior w:val="content"/>
        </w:behaviors>
        <w:guid w:val="{4FA59F51-3337-431B-A3F9-1954A3A59A9B}"/>
      </w:docPartPr>
      <w:docPartBody>
        <w:p w:rsidR="00000000" w:rsidRDefault="00494C12">
          <w:r w:rsidRPr="00B00E9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12"/>
    <w:rsid w:val="00494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C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3BF1-4F4F-447B-81A1-8D7F012A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SBSTTA-6.dot</Template>
  <TotalTime>10</TotalTime>
  <Pages>5</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ANNOTATIONS TO THE PROVISIONAL AGENDA</vt:lpstr>
    </vt:vector>
  </TitlesOfParts>
  <Company>Biodiversity</Company>
  <LinksUpToDate>false</LinksUpToDate>
  <CharactersWithSpaces>13449</CharactersWithSpaces>
  <SharedDoc>false</SharedDoc>
  <HLinks>
    <vt:vector size="54" baseType="variant">
      <vt:variant>
        <vt:i4>1245269</vt:i4>
      </vt:variant>
      <vt:variant>
        <vt:i4>12</vt:i4>
      </vt:variant>
      <vt:variant>
        <vt:i4>0</vt:i4>
      </vt:variant>
      <vt:variant>
        <vt:i4>5</vt:i4>
      </vt:variant>
      <vt:variant>
        <vt:lpwstr>https://www.cbd.int/doc/recommendations/sbi-02/sbi-02-rec-08-en.docx</vt:lpwstr>
      </vt:variant>
      <vt:variant>
        <vt:lpwstr/>
      </vt:variant>
      <vt:variant>
        <vt:i4>1179732</vt:i4>
      </vt:variant>
      <vt:variant>
        <vt:i4>9</vt:i4>
      </vt:variant>
      <vt:variant>
        <vt:i4>0</vt:i4>
      </vt:variant>
      <vt:variant>
        <vt:i4>5</vt:i4>
      </vt:variant>
      <vt:variant>
        <vt:lpwstr>https://www.cbd.int/doc/recommendations/sbi-02/sbi-02-rec-19-en.docx</vt:lpwstr>
      </vt:variant>
      <vt:variant>
        <vt:lpwstr/>
      </vt:variant>
      <vt:variant>
        <vt:i4>1179732</vt:i4>
      </vt:variant>
      <vt:variant>
        <vt:i4>6</vt:i4>
      </vt:variant>
      <vt:variant>
        <vt:i4>0</vt:i4>
      </vt:variant>
      <vt:variant>
        <vt:i4>5</vt:i4>
      </vt:variant>
      <vt:variant>
        <vt:lpwstr>https://www.cbd.int/doc/recommendations/sbi-02/sbi-02-rec-19-en.docx</vt:lpwstr>
      </vt:variant>
      <vt:variant>
        <vt:lpwstr/>
      </vt:variant>
      <vt:variant>
        <vt:i4>1638484</vt:i4>
      </vt:variant>
      <vt:variant>
        <vt:i4>3</vt:i4>
      </vt:variant>
      <vt:variant>
        <vt:i4>0</vt:i4>
      </vt:variant>
      <vt:variant>
        <vt:i4>5</vt:i4>
      </vt:variant>
      <vt:variant>
        <vt:lpwstr>https://www.cbd.int/doc/recommendations/sbi-02/sbi-02-rec-12-en.docx</vt:lpwstr>
      </vt:variant>
      <vt:variant>
        <vt:lpwstr/>
      </vt:variant>
      <vt:variant>
        <vt:i4>6488117</vt:i4>
      </vt:variant>
      <vt:variant>
        <vt:i4>0</vt:i4>
      </vt:variant>
      <vt:variant>
        <vt:i4>0</vt:i4>
      </vt:variant>
      <vt:variant>
        <vt:i4>5</vt:i4>
      </vt:variant>
      <vt:variant>
        <vt:lpwstr>https://www.cbd.int/doc/recommendations/sbi-01/sbi-01-rec-03-en.doc</vt:lpwstr>
      </vt:variant>
      <vt:variant>
        <vt:lpwstr/>
      </vt:variant>
      <vt:variant>
        <vt:i4>6684796</vt:i4>
      </vt:variant>
      <vt:variant>
        <vt:i4>9</vt:i4>
      </vt:variant>
      <vt:variant>
        <vt:i4>0</vt:i4>
      </vt:variant>
      <vt:variant>
        <vt:i4>5</vt:i4>
      </vt:variant>
      <vt:variant>
        <vt:lpwstr>http://bch.cbd.int/protocol/decisions/?decisionID=13550</vt:lpwstr>
      </vt:variant>
      <vt:variant>
        <vt:lpwstr/>
      </vt:variant>
      <vt:variant>
        <vt:i4>6488124</vt:i4>
      </vt:variant>
      <vt:variant>
        <vt:i4>6</vt:i4>
      </vt:variant>
      <vt:variant>
        <vt:i4>0</vt:i4>
      </vt:variant>
      <vt:variant>
        <vt:i4>5</vt:i4>
      </vt:variant>
      <vt:variant>
        <vt:lpwstr>https://www.cbd.int/meetings/SBI-02</vt:lpwstr>
      </vt:variant>
      <vt:variant>
        <vt:lpwstr/>
      </vt:variant>
      <vt:variant>
        <vt:i4>4456468</vt:i4>
      </vt:variant>
      <vt:variant>
        <vt:i4>3</vt:i4>
      </vt:variant>
      <vt:variant>
        <vt:i4>0</vt:i4>
      </vt:variant>
      <vt:variant>
        <vt:i4>5</vt:i4>
      </vt:variant>
      <vt:variant>
        <vt:lpwstr>https://www.cbd.int/doc/notifications/2018/ntf-2018-036-bs-en.doc</vt:lpwstr>
      </vt:variant>
      <vt:variant>
        <vt:lpwstr/>
      </vt:variant>
      <vt:variant>
        <vt:i4>5439497</vt:i4>
      </vt:variant>
      <vt:variant>
        <vt:i4>0</vt:i4>
      </vt:variant>
      <vt:variant>
        <vt:i4>0</vt:i4>
      </vt:variant>
      <vt:variant>
        <vt:i4>5</vt:i4>
      </vt:variant>
      <vt:variant>
        <vt:lpwstr>https://www.cbd.int/meetings/?thm=CPB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subject>CBD/CP/LG-CB/12/1/Add.1</dc:subject>
  <dc:creator>SCBD</dc:creator>
  <cp:lastModifiedBy>Veronique Lefebvre</cp:lastModifiedBy>
  <cp:revision>4</cp:revision>
  <cp:lastPrinted>2009-01-23T19:26:00Z</cp:lastPrinted>
  <dcterms:created xsi:type="dcterms:W3CDTF">2018-08-21T20:16:00Z</dcterms:created>
  <dcterms:modified xsi:type="dcterms:W3CDTF">2018-08-21T20:55:00Z</dcterms:modified>
</cp:coreProperties>
</file>