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55BA3"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1AC97AF2" w:rsidR="008A1499" w:rsidRPr="00D55BA3" w:rsidRDefault="008A1499" w:rsidP="003F1A75">
            <w:pPr>
              <w:pStyle w:val="ABSymbol"/>
            </w:pPr>
            <w:r w:rsidRPr="00D55BA3">
              <w:rPr>
                <w:sz w:val="40"/>
              </w:rPr>
              <w:t>CBD</w:t>
            </w:r>
            <w:r w:rsidRPr="00D55BA3">
              <w:t>/</w:t>
            </w:r>
            <w:r w:rsidR="00F041E5" w:rsidRPr="00D55BA3">
              <w:t>C</w:t>
            </w:r>
            <w:r w:rsidR="00975047" w:rsidRPr="00D55BA3">
              <w:t>P</w:t>
            </w:r>
            <w:r w:rsidRPr="00D55BA3">
              <w:t>/</w:t>
            </w:r>
            <w:r w:rsidR="00975047" w:rsidRPr="00D55BA3">
              <w:t>MOP/</w:t>
            </w:r>
            <w:r w:rsidR="00F041E5" w:rsidRPr="00D55BA3">
              <w:t>12</w:t>
            </w:r>
            <w:r w:rsidR="00975047" w:rsidRPr="00D55BA3">
              <w:t>/</w:t>
            </w:r>
            <w:r w:rsidR="00A32A28" w:rsidRPr="008E5771">
              <w:t>L.3</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3E7E49D7" w:rsidR="008A1499" w:rsidRPr="003F1A75" w:rsidRDefault="00922A8F" w:rsidP="008A1499">
            <w:pPr>
              <w:pStyle w:val="AEDistrNormal"/>
            </w:pPr>
            <w:r>
              <w:t>2</w:t>
            </w:r>
            <w:r w:rsidR="00A32A28">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AC5AF4">
        <w:trPr>
          <w:trHeight w:val="2455"/>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746A7883"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8F3FFB">
              <w:t>7</w:t>
            </w:r>
          </w:p>
          <w:p w14:paraId="5CAAF4FB" w14:textId="270621B2" w:rsidR="0027049E" w:rsidRPr="0027049E" w:rsidRDefault="00651D4C" w:rsidP="0019143A">
            <w:pPr>
              <w:pStyle w:val="AFCorNBold"/>
            </w:pPr>
            <w:r w:rsidRPr="00651D4C">
              <w:t xml:space="preserve">Nagoya-Kuala Lumpur Supplementary Protocol </w:t>
            </w:r>
            <w:r w:rsidR="001F3264">
              <w:br/>
            </w:r>
            <w:r w:rsidRPr="00651D4C">
              <w:t xml:space="preserve">on Liability </w:t>
            </w:r>
            <w:r w:rsidRPr="00D55BA3">
              <w:t>and Redress</w:t>
            </w:r>
          </w:p>
        </w:tc>
        <w:tc>
          <w:tcPr>
            <w:tcW w:w="4388" w:type="dxa"/>
          </w:tcPr>
          <w:p w14:paraId="2585170E" w14:textId="77777777" w:rsidR="008A1499" w:rsidRPr="003F1A75" w:rsidRDefault="008A1499" w:rsidP="008A1499">
            <w:pPr>
              <w:pStyle w:val="CBDNormal"/>
              <w:jc w:val="left"/>
            </w:pPr>
          </w:p>
        </w:tc>
      </w:tr>
    </w:tbl>
    <w:p w14:paraId="04E81299" w14:textId="790CF0D4" w:rsidR="00C9161D" w:rsidRPr="003F1A75" w:rsidRDefault="009F3343"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651D4C" w:rsidRPr="00651D4C">
            <w:rPr>
              <w:sz w:val="26"/>
              <w:szCs w:val="26"/>
            </w:rPr>
            <w:t>Nagoya-Kuala Lumpur Supplementary Protocol on Liability and Redress</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w:t>
      </w:r>
      <w:r w:rsidR="0027049E" w:rsidRPr="00D55BA3">
        <w:t>the Chair of Working Group II</w:t>
      </w:r>
    </w:p>
    <w:p w14:paraId="2647442F" w14:textId="77777777" w:rsidR="00647135" w:rsidRPr="00850BE4" w:rsidRDefault="00647135" w:rsidP="00647135">
      <w:pPr>
        <w:pStyle w:val="Para10"/>
        <w:tabs>
          <w:tab w:val="clear" w:pos="1134"/>
        </w:tabs>
        <w:ind w:firstLine="567"/>
      </w:pPr>
      <w:r w:rsidRPr="00850BE4">
        <w:rPr>
          <w:i/>
          <w:iCs/>
        </w:rPr>
        <w:t>The Conference of the Parties serving as the meeting of the Parties to the Cartagena Protocol and further serving as the meeting of the Parties to the Nagoya</w:t>
      </w:r>
      <w:r w:rsidRPr="00850BE4">
        <w:t>-</w:t>
      </w:r>
      <w:r w:rsidRPr="00850BE4">
        <w:rPr>
          <w:i/>
          <w:iCs/>
        </w:rPr>
        <w:t>Kuala Lumpur Supplementary Protocol</w:t>
      </w:r>
      <w:r w:rsidRPr="00850BE4">
        <w:t>,</w:t>
      </w:r>
      <w:r w:rsidRPr="00850BE4">
        <w:rPr>
          <w:rStyle w:val="FootnoteReference"/>
        </w:rPr>
        <w:footnoteReference w:id="1"/>
      </w:r>
    </w:p>
    <w:p w14:paraId="170F9578" w14:textId="77777777" w:rsidR="00647135" w:rsidRPr="00850BE4" w:rsidRDefault="00647135" w:rsidP="00647135">
      <w:pPr>
        <w:pStyle w:val="Para10"/>
        <w:tabs>
          <w:tab w:val="clear" w:pos="1134"/>
        </w:tabs>
        <w:ind w:firstLine="567"/>
        <w:rPr>
          <w:rFonts w:asciiTheme="majorBidi" w:eastAsiaTheme="minorEastAsia" w:hAnsiTheme="majorBidi" w:cstheme="majorBidi"/>
        </w:rPr>
      </w:pPr>
      <w:r w:rsidRPr="00850BE4">
        <w:rPr>
          <w:rFonts w:asciiTheme="majorBidi" w:eastAsiaTheme="minorEastAsia" w:hAnsiTheme="majorBidi" w:cstheme="majorBidi"/>
          <w:i/>
          <w:iCs/>
        </w:rPr>
        <w:t xml:space="preserve">Recalling </w:t>
      </w:r>
      <w:r w:rsidRPr="00850BE4">
        <w:rPr>
          <w:rFonts w:asciiTheme="majorBidi" w:eastAsiaTheme="minorEastAsia" w:hAnsiTheme="majorBidi" w:cstheme="majorBidi"/>
        </w:rPr>
        <w:t xml:space="preserve">Article 13 of the Nagoya-Kuala Lumpur Supplementary Protocol </w:t>
      </w:r>
      <w:r w:rsidRPr="00850BE4">
        <w:t>on Liability and Redress to the Cartagena Protocol on Biosafety</w:t>
      </w:r>
      <w:r w:rsidRPr="00850BE4">
        <w:rPr>
          <w:rFonts w:asciiTheme="majorBidi" w:eastAsiaTheme="minorEastAsia" w:hAnsiTheme="majorBidi" w:cstheme="majorBidi"/>
        </w:rPr>
        <w:t>,</w:t>
      </w:r>
      <w:r w:rsidRPr="00850BE4">
        <w:rPr>
          <w:rStyle w:val="FootnoteReference"/>
          <w:rFonts w:asciiTheme="majorBidi" w:eastAsiaTheme="minorEastAsia" w:hAnsiTheme="majorBidi" w:cstheme="majorBidi"/>
        </w:rPr>
        <w:footnoteReference w:id="2"/>
      </w:r>
      <w:r w:rsidRPr="00850BE4">
        <w:rPr>
          <w:rFonts w:asciiTheme="majorBidi" w:eastAsiaTheme="minorEastAsia" w:hAnsiTheme="majorBidi" w:cstheme="majorBidi"/>
        </w:rPr>
        <w:t xml:space="preserve"> </w:t>
      </w:r>
    </w:p>
    <w:p w14:paraId="4BE5E0A1" w14:textId="77777777" w:rsidR="00647135" w:rsidRPr="00850BE4" w:rsidRDefault="00647135" w:rsidP="00647135">
      <w:pPr>
        <w:pStyle w:val="Para10"/>
        <w:tabs>
          <w:tab w:val="clear" w:pos="1134"/>
        </w:tabs>
        <w:ind w:firstLine="567"/>
        <w:rPr>
          <w:rFonts w:asciiTheme="majorBidi" w:eastAsiaTheme="minorEastAsia" w:hAnsiTheme="majorBidi" w:cstheme="majorBidi"/>
        </w:rPr>
      </w:pPr>
      <w:r w:rsidRPr="00850BE4">
        <w:rPr>
          <w:rFonts w:asciiTheme="majorBidi" w:eastAsiaTheme="minorEastAsia" w:hAnsiTheme="majorBidi" w:cstheme="majorBidi"/>
          <w:i/>
          <w:iCs/>
        </w:rPr>
        <w:t>Recalling also</w:t>
      </w:r>
      <w:r w:rsidRPr="00850BE4">
        <w:rPr>
          <w:rFonts w:asciiTheme="majorBidi" w:hAnsiTheme="majorBidi" w:cstheme="majorBidi"/>
        </w:rPr>
        <w:t xml:space="preserve"> Goal A.10 of the implementation plan</w:t>
      </w:r>
      <w:r w:rsidRPr="00850BE4">
        <w:rPr>
          <w:rStyle w:val="FootnoteReference"/>
          <w:rFonts w:asciiTheme="majorBidi" w:hAnsiTheme="majorBidi" w:cstheme="majorBidi"/>
        </w:rPr>
        <w:footnoteReference w:id="3"/>
      </w:r>
      <w:r w:rsidRPr="00850BE4">
        <w:rPr>
          <w:rFonts w:asciiTheme="majorBidi" w:eastAsiaTheme="minorEastAsia" w:hAnsiTheme="majorBidi" w:cstheme="majorBidi"/>
        </w:rPr>
        <w:t xml:space="preserve"> and the capacity-building action plan</w:t>
      </w:r>
      <w:r w:rsidRPr="00850BE4">
        <w:rPr>
          <w:rStyle w:val="FootnoteReference"/>
          <w:rFonts w:asciiTheme="majorBidi" w:eastAsiaTheme="minorEastAsia" w:hAnsiTheme="majorBidi" w:cstheme="majorBidi"/>
        </w:rPr>
        <w:footnoteReference w:id="4"/>
      </w:r>
      <w:r w:rsidRPr="00850BE4">
        <w:rPr>
          <w:rFonts w:asciiTheme="majorBidi" w:eastAsiaTheme="minorEastAsia" w:hAnsiTheme="majorBidi" w:cstheme="majorBidi"/>
        </w:rPr>
        <w:t xml:space="preserve"> for the Cartagena Protocol on Biosafety,</w:t>
      </w:r>
      <w:r w:rsidRPr="00850BE4">
        <w:rPr>
          <w:rStyle w:val="FootnoteReference"/>
          <w:rFonts w:asciiTheme="majorBidi" w:eastAsiaTheme="minorEastAsia" w:hAnsiTheme="majorBidi" w:cstheme="majorBidi"/>
        </w:rPr>
        <w:footnoteReference w:id="5"/>
      </w:r>
    </w:p>
    <w:p w14:paraId="4CE757A1" w14:textId="77777777" w:rsidR="00647135" w:rsidRPr="00850BE4" w:rsidRDefault="00647135" w:rsidP="00647135">
      <w:pPr>
        <w:pStyle w:val="Para10"/>
        <w:tabs>
          <w:tab w:val="clear" w:pos="1134"/>
        </w:tabs>
        <w:ind w:firstLine="567"/>
        <w:rPr>
          <w:rFonts w:asciiTheme="majorBidi" w:eastAsiaTheme="minorEastAsia" w:hAnsiTheme="majorBidi" w:cstheme="majorBidi"/>
        </w:rPr>
      </w:pPr>
      <w:r w:rsidRPr="00850BE4">
        <w:rPr>
          <w:rFonts w:ascii="Times" w:hAnsi="Times" w:cs="Times"/>
          <w:i/>
          <w:iCs/>
        </w:rPr>
        <w:t>Taking note</w:t>
      </w:r>
      <w:r w:rsidRPr="00850BE4">
        <w:rPr>
          <w:rFonts w:ascii="Times" w:hAnsi="Times" w:cs="Times"/>
        </w:rPr>
        <w:t xml:space="preserve"> of the information provided for the first assessment and review of the </w:t>
      </w:r>
      <w:r w:rsidRPr="00850BE4">
        <w:t xml:space="preserve">Nagoya-Kuala Lumpur </w:t>
      </w:r>
      <w:r w:rsidRPr="00850BE4">
        <w:rPr>
          <w:rFonts w:ascii="Times" w:hAnsi="Times" w:cs="Times"/>
        </w:rPr>
        <w:t>Supplementary Protocol,</w:t>
      </w:r>
    </w:p>
    <w:p w14:paraId="62199ED7" w14:textId="6E6D7BBB" w:rsidR="00647135" w:rsidRPr="00850BE4" w:rsidRDefault="00647135" w:rsidP="00647135">
      <w:pPr>
        <w:pStyle w:val="CBDNormalNoNumber"/>
        <w:ind w:firstLine="567"/>
      </w:pPr>
      <w:r w:rsidRPr="00850BE4">
        <w:rPr>
          <w:iCs/>
        </w:rPr>
        <w:t>1.</w:t>
      </w:r>
      <w:r w:rsidRPr="00850BE4">
        <w:rPr>
          <w:i/>
        </w:rPr>
        <w:tab/>
        <w:t xml:space="preserve">Welcomes </w:t>
      </w:r>
      <w:r w:rsidRPr="00850BE4">
        <w:rPr>
          <w:iCs/>
        </w:rPr>
        <w:t>the additional</w:t>
      </w:r>
      <w:r w:rsidRPr="00850BE4">
        <w:rPr>
          <w:i/>
        </w:rPr>
        <w:t xml:space="preserve"> </w:t>
      </w:r>
      <w:r w:rsidRPr="00850BE4">
        <w:t xml:space="preserve">instrument of accession to the Nagoya-Kuala Lumpur Supplementary Protocol on Liability and Redress to the Cartagena Protocol on Biosafety that has been deposited since the adoption of decision </w:t>
      </w:r>
      <w:hyperlink r:id="rId15" w:history="1">
        <w:r w:rsidRPr="00850BE4">
          <w:rPr>
            <w:rStyle w:val="Hyperlink"/>
          </w:rPr>
          <w:t>CP-11/10</w:t>
        </w:r>
      </w:hyperlink>
      <w:r w:rsidRPr="00850BE4">
        <w:t xml:space="preserve"> of 25 October 2024;</w:t>
      </w:r>
    </w:p>
    <w:p w14:paraId="0BEF98C4" w14:textId="77777777" w:rsidR="00647135" w:rsidRPr="00850BE4" w:rsidRDefault="00647135" w:rsidP="00647135">
      <w:pPr>
        <w:pStyle w:val="CBDNormalNoNumber"/>
        <w:ind w:firstLine="567"/>
      </w:pPr>
      <w:r w:rsidRPr="00850BE4">
        <w:rPr>
          <w:iCs/>
        </w:rPr>
        <w:t>2.</w:t>
      </w:r>
      <w:r w:rsidRPr="00850BE4">
        <w:rPr>
          <w:i/>
        </w:rPr>
        <w:tab/>
        <w:t xml:space="preserve">Invites </w:t>
      </w:r>
      <w:r w:rsidRPr="00850BE4">
        <w:t>all Parties to the Cartagena Protocol that have not yet done so to deposit an instrument of ratification, acceptance, approval or accession to the Nagoya-Kuala Lumpur Supplementary Protocol as soon as possible;</w:t>
      </w:r>
    </w:p>
    <w:p w14:paraId="01C457F2" w14:textId="77777777" w:rsidR="00647135" w:rsidRPr="00850BE4" w:rsidRDefault="00647135" w:rsidP="00647135">
      <w:pPr>
        <w:pStyle w:val="CBDNormalNoNumber"/>
        <w:ind w:firstLine="567"/>
        <w:rPr>
          <w:iCs/>
        </w:rPr>
      </w:pPr>
      <w:r w:rsidRPr="00850BE4">
        <w:t>3.</w:t>
      </w:r>
      <w:r w:rsidRPr="00850BE4">
        <w:tab/>
      </w:r>
      <w:r w:rsidRPr="00850BE4">
        <w:rPr>
          <w:i/>
          <w:iCs/>
        </w:rPr>
        <w:t xml:space="preserve">Welcomes </w:t>
      </w:r>
      <w:r w:rsidRPr="00850BE4">
        <w:t>the fact</w:t>
      </w:r>
      <w:r w:rsidRPr="00850BE4">
        <w:rPr>
          <w:i/>
          <w:iCs/>
        </w:rPr>
        <w:t xml:space="preserve"> </w:t>
      </w:r>
      <w:r w:rsidRPr="00850BE4">
        <w:rPr>
          <w:iCs/>
        </w:rPr>
        <w:t xml:space="preserve">that almost all Parties to the </w:t>
      </w:r>
      <w:r w:rsidRPr="00850BE4">
        <w:t xml:space="preserve">Nagoya-Kuala Lumpur </w:t>
      </w:r>
      <w:r w:rsidRPr="00850BE4">
        <w:rPr>
          <w:iCs/>
        </w:rPr>
        <w:t xml:space="preserve">Supplementary Protocol have reported the designation of a competent authority </w:t>
      </w:r>
      <w:r w:rsidRPr="00850BE4">
        <w:t xml:space="preserve">to perform the functions set out in Article 5 of the Supplementary Protocol, but expresses concern that </w:t>
      </w:r>
      <w:r w:rsidRPr="00850BE4">
        <w:rPr>
          <w:iCs/>
        </w:rPr>
        <w:t>relatively few Parties have made information on such authorities available through the Biosafety Clearing-House,</w:t>
      </w:r>
      <w:r w:rsidRPr="00850BE4">
        <w:rPr>
          <w:rFonts w:ascii="Times" w:hAnsi="Times" w:cs="Times"/>
          <w:i/>
          <w:iCs/>
        </w:rPr>
        <w:t xml:space="preserve"> </w:t>
      </w:r>
      <w:r w:rsidRPr="00850BE4">
        <w:rPr>
          <w:rFonts w:ascii="Times" w:hAnsi="Times" w:cs="Times"/>
        </w:rPr>
        <w:t xml:space="preserve">and encourages </w:t>
      </w:r>
      <w:r w:rsidRPr="00850BE4">
        <w:rPr>
          <w:rFonts w:ascii="Times" w:hAnsi="Times" w:cs="Times"/>
        </w:rPr>
        <w:lastRenderedPageBreak/>
        <w:t xml:space="preserve">Parties to update and maintain information on their competent authorities on the Biosafety </w:t>
      </w:r>
      <w:proofErr w:type="gramStart"/>
      <w:r w:rsidRPr="00850BE4">
        <w:rPr>
          <w:rFonts w:ascii="Times" w:hAnsi="Times" w:cs="Times"/>
        </w:rPr>
        <w:t>Clearing-House</w:t>
      </w:r>
      <w:proofErr w:type="gramEnd"/>
      <w:r w:rsidRPr="00850BE4">
        <w:rPr>
          <w:iCs/>
        </w:rPr>
        <w:t>;</w:t>
      </w:r>
    </w:p>
    <w:p w14:paraId="646E8FFD" w14:textId="1AEF170D" w:rsidR="00647135" w:rsidRPr="00850BE4" w:rsidRDefault="00647135" w:rsidP="00647135">
      <w:pPr>
        <w:pStyle w:val="CBDNormalNoNumber"/>
        <w:ind w:firstLine="567"/>
        <w:rPr>
          <w:iCs/>
        </w:rPr>
      </w:pPr>
      <w:r w:rsidRPr="00850BE4">
        <w:rPr>
          <w:iCs/>
        </w:rPr>
        <w:t>4.</w:t>
      </w:r>
      <w:r w:rsidRPr="00850BE4">
        <w:rPr>
          <w:i/>
        </w:rPr>
        <w:tab/>
      </w:r>
      <w:r w:rsidR="00B87964">
        <w:rPr>
          <w:i/>
        </w:rPr>
        <w:t>Also w</w:t>
      </w:r>
      <w:r w:rsidRPr="00850BE4">
        <w:rPr>
          <w:i/>
        </w:rPr>
        <w:t xml:space="preserve">elcomes </w:t>
      </w:r>
      <w:r w:rsidRPr="00850BE4">
        <w:rPr>
          <w:iCs/>
        </w:rPr>
        <w:t xml:space="preserve">the information related to the implementation of the </w:t>
      </w:r>
      <w:r w:rsidRPr="00850BE4">
        <w:t xml:space="preserve">Nagoya-Kuala Lumpur </w:t>
      </w:r>
      <w:r w:rsidRPr="00850BE4">
        <w:rPr>
          <w:iCs/>
        </w:rPr>
        <w:t xml:space="preserve">Supplementary Protocol provided by Parties thereto and by other Governments in their fifth national reports under the </w:t>
      </w:r>
      <w:r w:rsidRPr="00850BE4">
        <w:rPr>
          <w:rFonts w:asciiTheme="majorBidi" w:eastAsiaTheme="minorEastAsia" w:hAnsiTheme="majorBidi" w:cstheme="majorBidi"/>
        </w:rPr>
        <w:t xml:space="preserve">Cartagena </w:t>
      </w:r>
      <w:r w:rsidRPr="00850BE4">
        <w:rPr>
          <w:iCs/>
        </w:rPr>
        <w:t>Protocol, which has informed the first assessment and review of the effectiveness of the Supplementary Protocol;</w:t>
      </w:r>
    </w:p>
    <w:p w14:paraId="0096DC25" w14:textId="61540EC3" w:rsidR="00647135" w:rsidRPr="00850BE4" w:rsidRDefault="00647135" w:rsidP="00647135">
      <w:pPr>
        <w:pStyle w:val="CBDNormalNoNumber"/>
        <w:ind w:firstLine="567"/>
      </w:pPr>
      <w:r w:rsidRPr="00850BE4">
        <w:rPr>
          <w:iCs/>
        </w:rPr>
        <w:t>5.</w:t>
      </w:r>
      <w:r w:rsidRPr="00850BE4">
        <w:rPr>
          <w:iCs/>
        </w:rPr>
        <w:tab/>
      </w:r>
      <w:r w:rsidR="00B87964">
        <w:rPr>
          <w:i/>
        </w:rPr>
        <w:t>Further</w:t>
      </w:r>
      <w:r w:rsidR="00B87964" w:rsidRPr="00850BE4">
        <w:rPr>
          <w:i/>
        </w:rPr>
        <w:t xml:space="preserve"> </w:t>
      </w:r>
      <w:r w:rsidRPr="00850BE4">
        <w:rPr>
          <w:i/>
          <w:iCs/>
        </w:rPr>
        <w:t xml:space="preserve">welcomes </w:t>
      </w:r>
      <w:r w:rsidRPr="00850BE4">
        <w:t>the steps taken by Parties to the Nagoya-Kuala Lumpur Supplementary Protocol towards its implementation, while recognizing that there are areas where implementation needs to be strengthened;</w:t>
      </w:r>
    </w:p>
    <w:p w14:paraId="36882BE4" w14:textId="77777777" w:rsidR="00647135" w:rsidRPr="00850BE4" w:rsidRDefault="00647135" w:rsidP="00647135">
      <w:pPr>
        <w:pStyle w:val="CBDNormalNoNumber"/>
        <w:ind w:firstLine="567"/>
        <w:rPr>
          <w:iCs/>
        </w:rPr>
      </w:pPr>
      <w:r w:rsidRPr="00850BE4">
        <w:rPr>
          <w:iCs/>
        </w:rPr>
        <w:t>6.</w:t>
      </w:r>
      <w:r w:rsidRPr="00850BE4">
        <w:rPr>
          <w:iCs/>
        </w:rPr>
        <w:tab/>
      </w:r>
      <w:r w:rsidRPr="00850BE4">
        <w:rPr>
          <w:i/>
          <w:iCs/>
        </w:rPr>
        <w:t>Recognizes</w:t>
      </w:r>
      <w:r w:rsidRPr="00850BE4">
        <w:rPr>
          <w:iCs/>
        </w:rPr>
        <w:t xml:space="preserve"> that financial security measures relating to damage, as defined in the </w:t>
      </w:r>
      <w:r w:rsidRPr="00850BE4">
        <w:t xml:space="preserve">Nagoya-Kuala Lumpur </w:t>
      </w:r>
      <w:r w:rsidRPr="00850BE4">
        <w:rPr>
          <w:iCs/>
        </w:rPr>
        <w:t>Supplementary Protocol, remain limited among Parties thereto;</w:t>
      </w:r>
    </w:p>
    <w:p w14:paraId="2108A95D" w14:textId="77777777" w:rsidR="00647135" w:rsidRPr="00850BE4" w:rsidRDefault="00647135" w:rsidP="00647135">
      <w:pPr>
        <w:pStyle w:val="CBDNormalNoNumber"/>
        <w:ind w:firstLine="567"/>
      </w:pPr>
      <w:r w:rsidRPr="00850BE4">
        <w:rPr>
          <w:iCs/>
        </w:rPr>
        <w:t>7</w:t>
      </w:r>
      <w:r w:rsidRPr="00850BE4">
        <w:t>.</w:t>
      </w:r>
      <w:r w:rsidRPr="00850BE4">
        <w:tab/>
      </w:r>
      <w:r w:rsidRPr="00850BE4">
        <w:rPr>
          <w:i/>
          <w:iCs/>
        </w:rPr>
        <w:t>Also recognizes</w:t>
      </w:r>
      <w:r w:rsidRPr="00850BE4">
        <w:rPr>
          <w:iCs/>
        </w:rPr>
        <w:t xml:space="preserve"> that many Parties to the </w:t>
      </w:r>
      <w:r w:rsidRPr="00850BE4">
        <w:t xml:space="preserve">Nagoya-Kuala Lumpur </w:t>
      </w:r>
      <w:r w:rsidRPr="00850BE4">
        <w:rPr>
          <w:iCs/>
        </w:rPr>
        <w:t>Supplementary Protocol rely on environmental, administrative or civil liability frameworks to address liability for damage resulting from living modified organisms;</w:t>
      </w:r>
    </w:p>
    <w:p w14:paraId="64562A6D" w14:textId="77777777" w:rsidR="00647135" w:rsidRPr="00850BE4" w:rsidRDefault="00647135" w:rsidP="00647135">
      <w:pPr>
        <w:pStyle w:val="CBDNormalNoNumber"/>
        <w:ind w:firstLine="567"/>
        <w:rPr>
          <w:iCs/>
        </w:rPr>
      </w:pPr>
      <w:r w:rsidRPr="00850BE4">
        <w:rPr>
          <w:iCs/>
        </w:rPr>
        <w:t>8.</w:t>
      </w:r>
      <w:r w:rsidRPr="00850BE4">
        <w:rPr>
          <w:iCs/>
        </w:rPr>
        <w:tab/>
      </w:r>
      <w:r w:rsidRPr="00850BE4">
        <w:rPr>
          <w:i/>
        </w:rPr>
        <w:t xml:space="preserve">Encourages </w:t>
      </w:r>
      <w:r w:rsidRPr="00850BE4">
        <w:rPr>
          <w:iCs/>
        </w:rPr>
        <w:t xml:space="preserve">Parties to the </w:t>
      </w:r>
      <w:r w:rsidRPr="00850BE4">
        <w:t xml:space="preserve">Nagoya-Kuala Lumpur </w:t>
      </w:r>
      <w:r w:rsidRPr="00850BE4">
        <w:rPr>
          <w:iCs/>
        </w:rPr>
        <w:t>Supplementary Protocol to develop or facilitate access to financial security, in accordance with Article 10 thereof, and develop or apply civil liability rules and procedures addressing damage,</w:t>
      </w:r>
      <w:r w:rsidRPr="00850BE4" w:rsidDel="009D0A94">
        <w:rPr>
          <w:iCs/>
        </w:rPr>
        <w:t xml:space="preserve"> </w:t>
      </w:r>
      <w:r w:rsidRPr="00850BE4">
        <w:rPr>
          <w:iCs/>
        </w:rPr>
        <w:t>in accordance with Article 12;</w:t>
      </w:r>
    </w:p>
    <w:p w14:paraId="58A6890A" w14:textId="77777777" w:rsidR="00647135" w:rsidRPr="00850BE4" w:rsidRDefault="00647135" w:rsidP="00647135">
      <w:pPr>
        <w:pStyle w:val="CBDNormalNoNumber"/>
        <w:ind w:firstLine="567"/>
        <w:rPr>
          <w:iCs/>
        </w:rPr>
      </w:pPr>
      <w:r w:rsidRPr="00850BE4">
        <w:rPr>
          <w:iCs/>
        </w:rPr>
        <w:t>9</w:t>
      </w:r>
      <w:r w:rsidRPr="00850BE4">
        <w:rPr>
          <w:i/>
        </w:rPr>
        <w:t>.</w:t>
      </w:r>
      <w:r w:rsidRPr="00850BE4">
        <w:rPr>
          <w:i/>
        </w:rPr>
        <w:tab/>
        <w:t>Also encourages</w:t>
      </w:r>
      <w:r w:rsidRPr="00850BE4">
        <w:rPr>
          <w:iCs/>
        </w:rPr>
        <w:t xml:space="preserve"> Parties to the </w:t>
      </w:r>
      <w:r w:rsidRPr="00850BE4">
        <w:t xml:space="preserve">Nagoya-Kuala Lumpur </w:t>
      </w:r>
      <w:r w:rsidRPr="00850BE4">
        <w:rPr>
          <w:iCs/>
        </w:rPr>
        <w:t>Supplementary Protocol to continue efforts towards the full implementation of the Supplementary Protocol;</w:t>
      </w:r>
    </w:p>
    <w:p w14:paraId="07E41EA0" w14:textId="77777777" w:rsidR="00647135" w:rsidRPr="00850BE4" w:rsidRDefault="00647135" w:rsidP="00647135">
      <w:pPr>
        <w:pStyle w:val="CBDNormalNoNumber"/>
        <w:ind w:firstLine="567"/>
        <w:rPr>
          <w:iCs/>
        </w:rPr>
      </w:pPr>
      <w:r w:rsidRPr="00850BE4">
        <w:rPr>
          <w:iCs/>
        </w:rPr>
        <w:t>10.</w:t>
      </w:r>
      <w:r w:rsidRPr="00850BE4">
        <w:rPr>
          <w:iCs/>
        </w:rPr>
        <w:tab/>
      </w:r>
      <w:r w:rsidRPr="00850BE4">
        <w:rPr>
          <w:i/>
        </w:rPr>
        <w:t>Invites</w:t>
      </w:r>
      <w:r w:rsidRPr="00850BE4">
        <w:rPr>
          <w:iCs/>
        </w:rPr>
        <w:t xml:space="preserve"> Parties and other Governments to publish information on developments related to the implementation of the </w:t>
      </w:r>
      <w:r w:rsidRPr="00850BE4">
        <w:t xml:space="preserve">Nagoya-Kuala Lumpur </w:t>
      </w:r>
      <w:r w:rsidRPr="00850BE4">
        <w:rPr>
          <w:iCs/>
        </w:rPr>
        <w:t xml:space="preserve">Supplementary Protocol through the virtual library of the Biosafety </w:t>
      </w:r>
      <w:proofErr w:type="gramStart"/>
      <w:r w:rsidRPr="00850BE4">
        <w:rPr>
          <w:iCs/>
        </w:rPr>
        <w:t>Clearing-House</w:t>
      </w:r>
      <w:proofErr w:type="gramEnd"/>
      <w:r w:rsidRPr="00850BE4">
        <w:rPr>
          <w:iCs/>
        </w:rPr>
        <w:t>, with a view to sharing experiences in that regard;</w:t>
      </w:r>
    </w:p>
    <w:p w14:paraId="39D14A11" w14:textId="7930ABC4" w:rsidR="00973B04" w:rsidRDefault="00647135" w:rsidP="00647135">
      <w:pPr>
        <w:pStyle w:val="CBDNormalNoNumber"/>
        <w:ind w:firstLine="567"/>
        <w:rPr>
          <w:iCs/>
        </w:rPr>
      </w:pPr>
      <w:r w:rsidRPr="00850BE4">
        <w:rPr>
          <w:iCs/>
        </w:rPr>
        <w:t>11.</w:t>
      </w:r>
      <w:r w:rsidRPr="00850BE4">
        <w:rPr>
          <w:iCs/>
        </w:rPr>
        <w:tab/>
      </w:r>
      <w:r w:rsidRPr="00850BE4">
        <w:rPr>
          <w:i/>
        </w:rPr>
        <w:t>Invites</w:t>
      </w:r>
      <w:r w:rsidRPr="00850BE4">
        <w:rPr>
          <w:iCs/>
        </w:rPr>
        <w:t xml:space="preserve"> Parties, other Governments and relevant organizations to continue to support capacity-building activities in support of the effective implementation of the </w:t>
      </w:r>
      <w:r w:rsidRPr="00850BE4">
        <w:t xml:space="preserve">Nagoya-Kuala Lumpur </w:t>
      </w:r>
      <w:r w:rsidRPr="00850BE4">
        <w:rPr>
          <w:iCs/>
        </w:rPr>
        <w:t xml:space="preserve">Supplementary Protocol, and encourages donors to provide the necessary resources in that regard, with a view to </w:t>
      </w:r>
      <w:r w:rsidR="00F57DE3">
        <w:rPr>
          <w:iCs/>
        </w:rPr>
        <w:t>achieving</w:t>
      </w:r>
      <w:r w:rsidR="00F57DE3" w:rsidRPr="00850BE4">
        <w:rPr>
          <w:iCs/>
        </w:rPr>
        <w:t xml:space="preserve"> </w:t>
      </w:r>
      <w:r w:rsidRPr="00850BE4">
        <w:rPr>
          <w:iCs/>
        </w:rPr>
        <w:t>Goal A.10 of the implementation plan and the capacity-building action plan for the Cartagena Protocol</w:t>
      </w:r>
      <w:r w:rsidR="00973B04">
        <w:rPr>
          <w:iCs/>
        </w:rPr>
        <w:t>;</w:t>
      </w:r>
    </w:p>
    <w:p w14:paraId="5577995F" w14:textId="451B6CE9" w:rsidR="00647135" w:rsidRPr="00850BE4" w:rsidRDefault="00973B04" w:rsidP="00013F63">
      <w:pPr>
        <w:pStyle w:val="CBDNormalNoNumber"/>
        <w:ind w:firstLine="567"/>
      </w:pPr>
      <w:r>
        <w:rPr>
          <w:iCs/>
        </w:rPr>
        <w:t>12.</w:t>
      </w:r>
      <w:r>
        <w:rPr>
          <w:iCs/>
        </w:rPr>
        <w:tab/>
      </w:r>
      <w:r w:rsidRPr="00AC5AF4">
        <w:rPr>
          <w:i/>
        </w:rPr>
        <w:t>R</w:t>
      </w:r>
      <w:r w:rsidR="00FB56E2" w:rsidRPr="00AC5AF4">
        <w:rPr>
          <w:i/>
        </w:rPr>
        <w:t>equests</w:t>
      </w:r>
      <w:r w:rsidR="00FB56E2">
        <w:rPr>
          <w:iCs/>
        </w:rPr>
        <w:t xml:space="preserve"> the Executive Secretary</w:t>
      </w:r>
      <w:r w:rsidR="004F01A4">
        <w:rPr>
          <w:iCs/>
        </w:rPr>
        <w:t>,</w:t>
      </w:r>
      <w:r w:rsidR="002B7E4A">
        <w:rPr>
          <w:iCs/>
        </w:rPr>
        <w:t xml:space="preserve"> </w:t>
      </w:r>
      <w:r w:rsidR="00DE7714">
        <w:rPr>
          <w:iCs/>
        </w:rPr>
        <w:t xml:space="preserve">in line with </w:t>
      </w:r>
      <w:r w:rsidR="00AA22D9">
        <w:rPr>
          <w:iCs/>
        </w:rPr>
        <w:t xml:space="preserve">decision </w:t>
      </w:r>
      <w:hyperlink r:id="rId16" w:history="1">
        <w:r w:rsidR="00AA22D9" w:rsidRPr="009B02C4">
          <w:rPr>
            <w:rStyle w:val="Hyperlink"/>
            <w:iCs/>
          </w:rPr>
          <w:t>CP-</w:t>
        </w:r>
        <w:r w:rsidR="002D363A">
          <w:rPr>
            <w:rStyle w:val="Hyperlink"/>
            <w:iCs/>
          </w:rPr>
          <w:t>12</w:t>
        </w:r>
        <w:r w:rsidR="00AA22D9" w:rsidRPr="009B02C4">
          <w:rPr>
            <w:rStyle w:val="Hyperlink"/>
            <w:iCs/>
          </w:rPr>
          <w:t>/</w:t>
        </w:r>
      </w:hyperlink>
      <w:r w:rsidR="002D363A">
        <w:rPr>
          <w:iCs/>
        </w:rPr>
        <w:t>--</w:t>
      </w:r>
      <w:r w:rsidR="00737707">
        <w:rPr>
          <w:iCs/>
        </w:rPr>
        <w:t xml:space="preserve"> on</w:t>
      </w:r>
      <w:r w:rsidR="00013F63">
        <w:rPr>
          <w:iCs/>
        </w:rPr>
        <w:t xml:space="preserve"> m</w:t>
      </w:r>
      <w:r w:rsidR="00013F63" w:rsidRPr="00013F63">
        <w:rPr>
          <w:iCs/>
        </w:rPr>
        <w:t>atters related to the financial mechanism and resources</w:t>
      </w:r>
      <w:r w:rsidR="00AA22D9" w:rsidRPr="009F40FB">
        <w:rPr>
          <w:iCs/>
        </w:rPr>
        <w:t xml:space="preserve">, </w:t>
      </w:r>
      <w:r w:rsidR="00FB56E2" w:rsidRPr="009F40FB">
        <w:rPr>
          <w:iCs/>
        </w:rPr>
        <w:t xml:space="preserve">to </w:t>
      </w:r>
      <w:r w:rsidR="004F01A4" w:rsidRPr="009F40FB">
        <w:rPr>
          <w:iCs/>
        </w:rPr>
        <w:t xml:space="preserve">continue to </w:t>
      </w:r>
      <w:r w:rsidR="00FB56E2" w:rsidRPr="009F40FB">
        <w:rPr>
          <w:iCs/>
        </w:rPr>
        <w:t>support resource mobilization efforts</w:t>
      </w:r>
      <w:r w:rsidR="007F4C20" w:rsidRPr="009F40FB">
        <w:rPr>
          <w:iCs/>
        </w:rPr>
        <w:t xml:space="preserve"> for the effective implementation of the Nagoya-Kuala Lumpur Supplementary Protocol</w:t>
      </w:r>
      <w:r w:rsidR="00647135" w:rsidRPr="009F40FB">
        <w:rPr>
          <w:iCs/>
        </w:rPr>
        <w:t>;</w:t>
      </w:r>
    </w:p>
    <w:p w14:paraId="24B6ECF2" w14:textId="0D19FEAB" w:rsidR="002849A9" w:rsidRPr="00850BE4" w:rsidRDefault="00647135" w:rsidP="0045605A">
      <w:pPr>
        <w:pStyle w:val="CBDNormalNoNumber"/>
        <w:ind w:firstLine="567"/>
      </w:pPr>
      <w:r w:rsidRPr="00850BE4">
        <w:rPr>
          <w:rFonts w:ascii="Times" w:hAnsi="Times" w:cs="Times"/>
        </w:rPr>
        <w:t>1</w:t>
      </w:r>
      <w:r w:rsidR="004F6AB5">
        <w:rPr>
          <w:rFonts w:ascii="Times" w:hAnsi="Times" w:cs="Times"/>
        </w:rPr>
        <w:t>3</w:t>
      </w:r>
      <w:r w:rsidRPr="00850BE4">
        <w:rPr>
          <w:rFonts w:ascii="Times" w:hAnsi="Times" w:cs="Times"/>
        </w:rPr>
        <w:t>.</w:t>
      </w:r>
      <w:r w:rsidRPr="00850BE4">
        <w:rPr>
          <w:rFonts w:ascii="Times" w:hAnsi="Times" w:cs="Times"/>
          <w:i/>
          <w:iCs/>
        </w:rPr>
        <w:tab/>
      </w:r>
      <w:r w:rsidR="006255CD">
        <w:rPr>
          <w:rFonts w:ascii="Times" w:hAnsi="Times" w:cs="Times"/>
          <w:i/>
          <w:iCs/>
        </w:rPr>
        <w:t>Also r</w:t>
      </w:r>
      <w:r w:rsidRPr="00850BE4">
        <w:rPr>
          <w:rFonts w:ascii="Times" w:hAnsi="Times" w:cs="Times"/>
          <w:i/>
          <w:iCs/>
        </w:rPr>
        <w:t>equests</w:t>
      </w:r>
      <w:r w:rsidRPr="00850BE4">
        <w:rPr>
          <w:rFonts w:ascii="Times" w:hAnsi="Times" w:cs="Times"/>
        </w:rPr>
        <w:t xml:space="preserve"> </w:t>
      </w:r>
      <w:r w:rsidRPr="00850BE4">
        <w:t xml:space="preserve">the Executive Secretary to follow up with Parties </w:t>
      </w:r>
      <w:r w:rsidRPr="00850BE4">
        <w:rPr>
          <w:iCs/>
        </w:rPr>
        <w:t xml:space="preserve">to the </w:t>
      </w:r>
      <w:r w:rsidRPr="00850BE4">
        <w:t xml:space="preserve">Nagoya-Kuala Lumpur </w:t>
      </w:r>
      <w:r w:rsidRPr="00850BE4">
        <w:rPr>
          <w:iCs/>
        </w:rPr>
        <w:t>Supplementary Protocol</w:t>
      </w:r>
      <w:r w:rsidRPr="00850BE4">
        <w:t xml:space="preserve"> that have reported the designation of a competent authority but that have not yet published its contact details through the Biosafety </w:t>
      </w:r>
      <w:proofErr w:type="gramStart"/>
      <w:r w:rsidRPr="00850BE4">
        <w:t>Clearing-House</w:t>
      </w:r>
      <w:proofErr w:type="gramEnd"/>
      <w:r w:rsidRPr="00850BE4">
        <w:t>;</w:t>
      </w:r>
    </w:p>
    <w:p w14:paraId="05C3FC5F" w14:textId="4CBAEC7F" w:rsidR="00647135" w:rsidRPr="00850BE4" w:rsidRDefault="00647135" w:rsidP="00647135">
      <w:pPr>
        <w:pStyle w:val="CBDNormalNoNumber"/>
        <w:ind w:firstLine="567"/>
        <w:rPr>
          <w:iCs/>
        </w:rPr>
      </w:pPr>
      <w:r w:rsidRPr="00850BE4">
        <w:rPr>
          <w:iCs/>
        </w:rPr>
        <w:t>1</w:t>
      </w:r>
      <w:r w:rsidR="00973B04">
        <w:rPr>
          <w:iCs/>
        </w:rPr>
        <w:t>4</w:t>
      </w:r>
      <w:r w:rsidRPr="00850BE4">
        <w:rPr>
          <w:iCs/>
        </w:rPr>
        <w:t>.</w:t>
      </w:r>
      <w:r w:rsidRPr="00850BE4">
        <w:rPr>
          <w:iCs/>
        </w:rPr>
        <w:tab/>
      </w:r>
      <w:r w:rsidR="00822723" w:rsidRPr="00AC5AF4">
        <w:rPr>
          <w:i/>
        </w:rPr>
        <w:t>Further</w:t>
      </w:r>
      <w:r w:rsidR="00822723">
        <w:rPr>
          <w:iCs/>
        </w:rPr>
        <w:t xml:space="preserve"> </w:t>
      </w:r>
      <w:r w:rsidRPr="00850BE4">
        <w:rPr>
          <w:i/>
        </w:rPr>
        <w:t>requests</w:t>
      </w:r>
      <w:r w:rsidRPr="00850BE4">
        <w:rPr>
          <w:iCs/>
        </w:rPr>
        <w:t xml:space="preserve"> the Executive Secretary to continue to promote the </w:t>
      </w:r>
      <w:r w:rsidRPr="00850BE4">
        <w:t xml:space="preserve">Nagoya-Kuala Lumpur </w:t>
      </w:r>
      <w:r w:rsidRPr="00850BE4">
        <w:rPr>
          <w:iCs/>
        </w:rPr>
        <w:t xml:space="preserve">Supplementary Protocol, with a view to supporting its ratification, and, subject to the availability to resources, undertake </w:t>
      </w:r>
      <w:r w:rsidR="00DB07C7">
        <w:rPr>
          <w:iCs/>
        </w:rPr>
        <w:t xml:space="preserve">capacity-building, </w:t>
      </w:r>
      <w:r w:rsidRPr="00850BE4">
        <w:rPr>
          <w:iCs/>
        </w:rPr>
        <w:t>outreach and awareness-raising activities in relation to the Supplementary Protocol.</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D9595" w14:textId="77777777" w:rsidR="009F3343" w:rsidRPr="003F1A75" w:rsidRDefault="009F3343" w:rsidP="00CF1848">
      <w:r w:rsidRPr="003F1A75">
        <w:separator/>
      </w:r>
    </w:p>
  </w:endnote>
  <w:endnote w:type="continuationSeparator" w:id="0">
    <w:p w14:paraId="14E6D249" w14:textId="77777777" w:rsidR="009F3343" w:rsidRPr="003F1A75" w:rsidRDefault="009F334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E521BD">
              <w:rPr>
                <w:szCs w:val="20"/>
              </w:rPr>
              <w:fldChar w:fldCharType="begin"/>
            </w:r>
            <w:r w:rsidRPr="00E521BD">
              <w:rPr>
                <w:szCs w:val="20"/>
              </w:rPr>
              <w:instrText xml:space="preserve"> PAGE </w:instrText>
            </w:r>
            <w:r w:rsidRPr="00E521BD">
              <w:rPr>
                <w:szCs w:val="20"/>
              </w:rPr>
              <w:fldChar w:fldCharType="separate"/>
            </w:r>
            <w:r w:rsidRPr="00E521BD">
              <w:rPr>
                <w:noProof/>
                <w:szCs w:val="20"/>
              </w:rPr>
              <w:t>2</w:t>
            </w:r>
            <w:r w:rsidRPr="00E521BD">
              <w:rPr>
                <w:szCs w:val="20"/>
              </w:rPr>
              <w:fldChar w:fldCharType="end"/>
            </w:r>
            <w:r w:rsidRPr="00E521BD">
              <w:rPr>
                <w:szCs w:val="20"/>
              </w:rPr>
              <w:t>/</w:t>
            </w:r>
            <w:r w:rsidRPr="00E521BD">
              <w:rPr>
                <w:szCs w:val="20"/>
              </w:rPr>
              <w:fldChar w:fldCharType="begin"/>
            </w:r>
            <w:r w:rsidRPr="00E521BD">
              <w:rPr>
                <w:szCs w:val="20"/>
              </w:rPr>
              <w:instrText xml:space="preserve"> NUMPAGES  </w:instrText>
            </w:r>
            <w:r w:rsidRPr="00E521BD">
              <w:rPr>
                <w:szCs w:val="20"/>
              </w:rPr>
              <w:fldChar w:fldCharType="separate"/>
            </w:r>
            <w:r w:rsidRPr="00E521BD">
              <w:rPr>
                <w:noProof/>
                <w:szCs w:val="20"/>
              </w:rPr>
              <w:t>2</w:t>
            </w:r>
            <w:r w:rsidRPr="00E521B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BF75" w14:textId="77777777" w:rsidR="009F3343" w:rsidRPr="003F1A75" w:rsidRDefault="009F3343" w:rsidP="00CF1848">
      <w:r w:rsidRPr="003F1A75">
        <w:separator/>
      </w:r>
    </w:p>
  </w:footnote>
  <w:footnote w:type="continuationSeparator" w:id="0">
    <w:p w14:paraId="67B66A4A" w14:textId="77777777" w:rsidR="009F3343" w:rsidRPr="003F1A75" w:rsidRDefault="009F3343" w:rsidP="00CF1848">
      <w:r w:rsidRPr="003F1A75">
        <w:continuationSeparator/>
      </w:r>
    </w:p>
  </w:footnote>
  <w:footnote w:id="1">
    <w:p w14:paraId="4AB58D38" w14:textId="77777777" w:rsidR="00647135" w:rsidRPr="00B55C49" w:rsidRDefault="00647135" w:rsidP="00647135">
      <w:pPr>
        <w:pStyle w:val="FootnoteText"/>
        <w:rPr>
          <w:szCs w:val="18"/>
        </w:rPr>
      </w:pPr>
      <w:r w:rsidRPr="00B55C49">
        <w:rPr>
          <w:rStyle w:val="FootnoteReference"/>
          <w:szCs w:val="18"/>
        </w:rPr>
        <w:footnoteRef/>
      </w:r>
      <w:r w:rsidRPr="00B55C49">
        <w:rPr>
          <w:szCs w:val="18"/>
        </w:rPr>
        <w:t xml:space="preserve"> In accordance with paragraph</w:t>
      </w:r>
      <w:r>
        <w:rPr>
          <w:szCs w:val="18"/>
        </w:rPr>
        <w:t> </w:t>
      </w:r>
      <w:r w:rsidRPr="00B55C49">
        <w:rPr>
          <w:szCs w:val="18"/>
        </w:rPr>
        <w:t>1 o</w:t>
      </w:r>
      <w:r w:rsidRPr="001C4CAA">
        <w:rPr>
          <w:szCs w:val="18"/>
        </w:rPr>
        <w:t>f Article</w:t>
      </w:r>
      <w:r>
        <w:rPr>
          <w:szCs w:val="18"/>
        </w:rPr>
        <w:t> </w:t>
      </w:r>
      <w:r w:rsidRPr="00B55C49">
        <w:rPr>
          <w:szCs w:val="18"/>
        </w:rPr>
        <w:t>14 of the Supplementary Protocol</w:t>
      </w:r>
      <w:r w:rsidRPr="001C4CAA">
        <w:rPr>
          <w:szCs w:val="18"/>
        </w:rPr>
        <w:t>, and</w:t>
      </w:r>
      <w:r w:rsidRPr="00B55C49">
        <w:rPr>
          <w:szCs w:val="18"/>
        </w:rPr>
        <w:t xml:space="preserve"> subject to paragraph</w:t>
      </w:r>
      <w:r>
        <w:rPr>
          <w:szCs w:val="18"/>
        </w:rPr>
        <w:t> </w:t>
      </w:r>
      <w:r w:rsidRPr="00B55C49">
        <w:rPr>
          <w:szCs w:val="18"/>
        </w:rPr>
        <w:t>2 o</w:t>
      </w:r>
      <w:r w:rsidRPr="001C4CAA">
        <w:rPr>
          <w:szCs w:val="18"/>
        </w:rPr>
        <w:t>f Article</w:t>
      </w:r>
      <w:r w:rsidRPr="00B55C49">
        <w:rPr>
          <w:szCs w:val="18"/>
        </w:rPr>
        <w:t> 32 of the Convention</w:t>
      </w:r>
      <w:r>
        <w:rPr>
          <w:szCs w:val="18"/>
        </w:rPr>
        <w:t xml:space="preserve"> </w:t>
      </w:r>
      <w:r w:rsidRPr="007232D6">
        <w:rPr>
          <w:szCs w:val="18"/>
        </w:rPr>
        <w:t>on Biological Diversity</w:t>
      </w:r>
      <w:r w:rsidRPr="00B55C49">
        <w:rPr>
          <w:szCs w:val="18"/>
        </w:rPr>
        <w:t>, the Conference of the Parties serving as the meeting of the Parties to the Protocol serve</w:t>
      </w:r>
      <w:r>
        <w:rPr>
          <w:szCs w:val="18"/>
        </w:rPr>
        <w:t>s</w:t>
      </w:r>
      <w:r w:rsidRPr="00B55C49">
        <w:rPr>
          <w:szCs w:val="18"/>
        </w:rPr>
        <w:t xml:space="preserve"> as the meeting of the Parties to the Supplementary Protocol. Consequently, the present decision has been adopted by the Parties to the Supplementary Protocol.</w:t>
      </w:r>
    </w:p>
  </w:footnote>
  <w:footnote w:id="2">
    <w:p w14:paraId="00E2D260" w14:textId="77777777" w:rsidR="00647135" w:rsidRPr="00136994" w:rsidRDefault="00647135" w:rsidP="00647135">
      <w:pPr>
        <w:pStyle w:val="FootnoteText"/>
        <w:rPr>
          <w:lang w:val="en-CA"/>
        </w:rPr>
      </w:pPr>
      <w:r>
        <w:rPr>
          <w:rStyle w:val="FootnoteReference"/>
        </w:rPr>
        <w:footnoteRef/>
      </w:r>
      <w:r>
        <w:t xml:space="preserve"> </w:t>
      </w:r>
      <w:r w:rsidRPr="00FB09F1">
        <w:t xml:space="preserve">Decision </w:t>
      </w:r>
      <w:hyperlink r:id="rId1" w:history="1">
        <w:r w:rsidRPr="00391C49">
          <w:rPr>
            <w:rStyle w:val="Hyperlink"/>
          </w:rPr>
          <w:t>BS-V/11</w:t>
        </w:r>
      </w:hyperlink>
      <w:r w:rsidRPr="00FB09F1">
        <w:t>, annex</w:t>
      </w:r>
      <w:r>
        <w:t>.</w:t>
      </w:r>
    </w:p>
  </w:footnote>
  <w:footnote w:id="3">
    <w:p w14:paraId="18AD5E2E" w14:textId="77777777" w:rsidR="00647135" w:rsidRPr="00B55C49" w:rsidRDefault="00647135" w:rsidP="00647135">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2" w:history="1">
        <w:r w:rsidRPr="00255602">
          <w:rPr>
            <w:rStyle w:val="Hyperlink"/>
            <w:rFonts w:asciiTheme="majorBidi" w:eastAsiaTheme="minorEastAsia" w:hAnsiTheme="majorBidi" w:cstheme="majorBidi"/>
            <w:szCs w:val="22"/>
          </w:rPr>
          <w:t>CP-10/3</w:t>
        </w:r>
      </w:hyperlink>
      <w:r w:rsidRPr="00B55C49">
        <w:rPr>
          <w:rFonts w:asciiTheme="majorBidi" w:eastAsiaTheme="minorEastAsia" w:hAnsiTheme="majorBidi" w:cstheme="majorBidi"/>
          <w:szCs w:val="22"/>
        </w:rPr>
        <w:t>, annex.</w:t>
      </w:r>
    </w:p>
  </w:footnote>
  <w:footnote w:id="4">
    <w:p w14:paraId="4E02D21E" w14:textId="77777777" w:rsidR="00647135" w:rsidRPr="00B55C49" w:rsidRDefault="00647135" w:rsidP="00647135">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3" w:history="1">
        <w:r w:rsidRPr="00503FB7">
          <w:rPr>
            <w:rStyle w:val="Hyperlink"/>
            <w:rFonts w:asciiTheme="majorBidi" w:eastAsiaTheme="minorEastAsia" w:hAnsiTheme="majorBidi" w:cstheme="majorBidi"/>
            <w:szCs w:val="22"/>
          </w:rPr>
          <w:t>CP-10/4</w:t>
        </w:r>
      </w:hyperlink>
      <w:r w:rsidRPr="00B55C49">
        <w:rPr>
          <w:rFonts w:asciiTheme="majorBidi" w:eastAsiaTheme="minorEastAsia" w:hAnsiTheme="majorBidi" w:cstheme="majorBidi"/>
          <w:szCs w:val="22"/>
        </w:rPr>
        <w:t>, annex.</w:t>
      </w:r>
    </w:p>
  </w:footnote>
  <w:footnote w:id="5">
    <w:p w14:paraId="5D43B235" w14:textId="77777777" w:rsidR="00647135" w:rsidRPr="00B55C49" w:rsidRDefault="00647135" w:rsidP="00647135">
      <w:pPr>
        <w:pStyle w:val="FootnoteText"/>
      </w:pPr>
      <w:r w:rsidRPr="00B55C49">
        <w:rPr>
          <w:rStyle w:val="FootnoteReference"/>
        </w:rPr>
        <w:footnoteRef/>
      </w:r>
      <w:r w:rsidRPr="00685680">
        <w:t xml:space="preserve"> </w:t>
      </w:r>
      <w:r w:rsidRPr="001A59EB">
        <w:t xml:space="preserve">United Nations, </w:t>
      </w:r>
      <w:r w:rsidRPr="00EB0336">
        <w:rPr>
          <w:i/>
          <w:iCs/>
        </w:rPr>
        <w:t>Treaty Series</w:t>
      </w:r>
      <w:r w:rsidRPr="001A59EB">
        <w:t>, vol. 2226, No. 30619</w:t>
      </w:r>
      <w:r w:rsidRPr="00B55C49">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4715DCB5" w:rsidR="00534681" w:rsidRPr="003F1A75" w:rsidRDefault="00A32A28" w:rsidP="007C4951">
        <w:pPr>
          <w:pStyle w:val="Header"/>
          <w:spacing w:after="240"/>
          <w:rPr>
            <w:szCs w:val="20"/>
          </w:rPr>
        </w:pPr>
        <w:r>
          <w:rPr>
            <w:szCs w:val="20"/>
          </w:rPr>
          <w:t>CBD/CP/MOP/12/L.3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2CC0F2C8" w:rsidR="009505C9" w:rsidRPr="003F1A75" w:rsidRDefault="00A32A28" w:rsidP="007C4951">
        <w:pPr>
          <w:pStyle w:val="Header"/>
          <w:spacing w:after="240"/>
          <w:jc w:val="right"/>
        </w:pPr>
        <w:r>
          <w:t>CBD/CP/MOP/12/L.3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4632"/>
    <w:rsid w:val="00007745"/>
    <w:rsid w:val="00007B8B"/>
    <w:rsid w:val="00013CA9"/>
    <w:rsid w:val="00013F63"/>
    <w:rsid w:val="00040B7E"/>
    <w:rsid w:val="00056811"/>
    <w:rsid w:val="0007171B"/>
    <w:rsid w:val="000755C2"/>
    <w:rsid w:val="000829D1"/>
    <w:rsid w:val="00082CE2"/>
    <w:rsid w:val="000B680D"/>
    <w:rsid w:val="000C6D86"/>
    <w:rsid w:val="000D0F68"/>
    <w:rsid w:val="000E28FE"/>
    <w:rsid w:val="000E673A"/>
    <w:rsid w:val="000F1725"/>
    <w:rsid w:val="000F6945"/>
    <w:rsid w:val="000F74F5"/>
    <w:rsid w:val="000F78FC"/>
    <w:rsid w:val="001031DF"/>
    <w:rsid w:val="00105372"/>
    <w:rsid w:val="001054A6"/>
    <w:rsid w:val="001078A1"/>
    <w:rsid w:val="001243C9"/>
    <w:rsid w:val="00130D0E"/>
    <w:rsid w:val="001312AD"/>
    <w:rsid w:val="00131E7A"/>
    <w:rsid w:val="00134846"/>
    <w:rsid w:val="00134DE5"/>
    <w:rsid w:val="00135A6F"/>
    <w:rsid w:val="001643E3"/>
    <w:rsid w:val="00172AF6"/>
    <w:rsid w:val="00175727"/>
    <w:rsid w:val="00176CEE"/>
    <w:rsid w:val="00180D20"/>
    <w:rsid w:val="00186DD8"/>
    <w:rsid w:val="0019143A"/>
    <w:rsid w:val="001939CE"/>
    <w:rsid w:val="001A35EC"/>
    <w:rsid w:val="001A5872"/>
    <w:rsid w:val="001B13FE"/>
    <w:rsid w:val="001C11C0"/>
    <w:rsid w:val="001C16A0"/>
    <w:rsid w:val="001C6960"/>
    <w:rsid w:val="001F3264"/>
    <w:rsid w:val="002231A6"/>
    <w:rsid w:val="002246A5"/>
    <w:rsid w:val="00227D0F"/>
    <w:rsid w:val="0023080C"/>
    <w:rsid w:val="00246E6D"/>
    <w:rsid w:val="00254EB5"/>
    <w:rsid w:val="00267AEB"/>
    <w:rsid w:val="0027049E"/>
    <w:rsid w:val="002849A9"/>
    <w:rsid w:val="002B7E4A"/>
    <w:rsid w:val="002D363A"/>
    <w:rsid w:val="002E7799"/>
    <w:rsid w:val="003008FE"/>
    <w:rsid w:val="0030169D"/>
    <w:rsid w:val="003060EB"/>
    <w:rsid w:val="003153EB"/>
    <w:rsid w:val="0032136E"/>
    <w:rsid w:val="00321985"/>
    <w:rsid w:val="0032558F"/>
    <w:rsid w:val="003268DD"/>
    <w:rsid w:val="00345E99"/>
    <w:rsid w:val="00351205"/>
    <w:rsid w:val="00362434"/>
    <w:rsid w:val="00372F74"/>
    <w:rsid w:val="0037458C"/>
    <w:rsid w:val="003C3801"/>
    <w:rsid w:val="003D3E8A"/>
    <w:rsid w:val="003F1A75"/>
    <w:rsid w:val="003F7224"/>
    <w:rsid w:val="004215F1"/>
    <w:rsid w:val="00427D21"/>
    <w:rsid w:val="00443470"/>
    <w:rsid w:val="004438B2"/>
    <w:rsid w:val="00447F4A"/>
    <w:rsid w:val="00451146"/>
    <w:rsid w:val="004523B1"/>
    <w:rsid w:val="00453073"/>
    <w:rsid w:val="0045605A"/>
    <w:rsid w:val="00456F67"/>
    <w:rsid w:val="004644C2"/>
    <w:rsid w:val="00466473"/>
    <w:rsid w:val="00467F9C"/>
    <w:rsid w:val="004A4BF6"/>
    <w:rsid w:val="004B60B3"/>
    <w:rsid w:val="004D6711"/>
    <w:rsid w:val="004F01A4"/>
    <w:rsid w:val="004F01A9"/>
    <w:rsid w:val="004F4567"/>
    <w:rsid w:val="004F6AB5"/>
    <w:rsid w:val="0051006C"/>
    <w:rsid w:val="00530313"/>
    <w:rsid w:val="00534681"/>
    <w:rsid w:val="0055499A"/>
    <w:rsid w:val="0056068E"/>
    <w:rsid w:val="00563442"/>
    <w:rsid w:val="0056348E"/>
    <w:rsid w:val="00565B42"/>
    <w:rsid w:val="00591A85"/>
    <w:rsid w:val="005B35E2"/>
    <w:rsid w:val="005C4CE6"/>
    <w:rsid w:val="005E780E"/>
    <w:rsid w:val="006122BA"/>
    <w:rsid w:val="006255CD"/>
    <w:rsid w:val="0064174C"/>
    <w:rsid w:val="00647135"/>
    <w:rsid w:val="006478BF"/>
    <w:rsid w:val="006516F4"/>
    <w:rsid w:val="00651D4C"/>
    <w:rsid w:val="00664456"/>
    <w:rsid w:val="006778D4"/>
    <w:rsid w:val="006A73C1"/>
    <w:rsid w:val="006B2290"/>
    <w:rsid w:val="006D543B"/>
    <w:rsid w:val="006E036E"/>
    <w:rsid w:val="006E70F4"/>
    <w:rsid w:val="00705A88"/>
    <w:rsid w:val="00717D88"/>
    <w:rsid w:val="00720DC3"/>
    <w:rsid w:val="00726A43"/>
    <w:rsid w:val="00726DEC"/>
    <w:rsid w:val="00732DB4"/>
    <w:rsid w:val="00737707"/>
    <w:rsid w:val="00761B92"/>
    <w:rsid w:val="00786056"/>
    <w:rsid w:val="00787C9F"/>
    <w:rsid w:val="007942D3"/>
    <w:rsid w:val="007A77ED"/>
    <w:rsid w:val="007B2099"/>
    <w:rsid w:val="007B2DA7"/>
    <w:rsid w:val="007B6C09"/>
    <w:rsid w:val="007B7741"/>
    <w:rsid w:val="007C3C82"/>
    <w:rsid w:val="007C4353"/>
    <w:rsid w:val="007C4951"/>
    <w:rsid w:val="007C7196"/>
    <w:rsid w:val="007D1E1A"/>
    <w:rsid w:val="007E09DA"/>
    <w:rsid w:val="007E0F8A"/>
    <w:rsid w:val="007F4C20"/>
    <w:rsid w:val="007F718D"/>
    <w:rsid w:val="00801FAD"/>
    <w:rsid w:val="008142F0"/>
    <w:rsid w:val="0081746C"/>
    <w:rsid w:val="008178B6"/>
    <w:rsid w:val="00822723"/>
    <w:rsid w:val="00855709"/>
    <w:rsid w:val="00865B74"/>
    <w:rsid w:val="00866063"/>
    <w:rsid w:val="00870B3A"/>
    <w:rsid w:val="00871456"/>
    <w:rsid w:val="0089105D"/>
    <w:rsid w:val="00894106"/>
    <w:rsid w:val="008974F0"/>
    <w:rsid w:val="008A1499"/>
    <w:rsid w:val="008A45B6"/>
    <w:rsid w:val="008B012A"/>
    <w:rsid w:val="008C0B65"/>
    <w:rsid w:val="008D41D3"/>
    <w:rsid w:val="008E69BB"/>
    <w:rsid w:val="008F3FFB"/>
    <w:rsid w:val="00906E17"/>
    <w:rsid w:val="0091186C"/>
    <w:rsid w:val="00913699"/>
    <w:rsid w:val="00922A8F"/>
    <w:rsid w:val="00930BA1"/>
    <w:rsid w:val="0093169E"/>
    <w:rsid w:val="009403D5"/>
    <w:rsid w:val="009505C9"/>
    <w:rsid w:val="00950752"/>
    <w:rsid w:val="00952CBC"/>
    <w:rsid w:val="00966424"/>
    <w:rsid w:val="00973B04"/>
    <w:rsid w:val="00975047"/>
    <w:rsid w:val="0098032F"/>
    <w:rsid w:val="0099214E"/>
    <w:rsid w:val="00995C1D"/>
    <w:rsid w:val="009B02C4"/>
    <w:rsid w:val="009B2A0F"/>
    <w:rsid w:val="009C2DE6"/>
    <w:rsid w:val="009F3343"/>
    <w:rsid w:val="009F40FB"/>
    <w:rsid w:val="00A111D1"/>
    <w:rsid w:val="00A26427"/>
    <w:rsid w:val="00A32A28"/>
    <w:rsid w:val="00A42F30"/>
    <w:rsid w:val="00A62D74"/>
    <w:rsid w:val="00A72909"/>
    <w:rsid w:val="00A962F4"/>
    <w:rsid w:val="00AA22D9"/>
    <w:rsid w:val="00AA6F92"/>
    <w:rsid w:val="00AB2B6A"/>
    <w:rsid w:val="00AB6934"/>
    <w:rsid w:val="00AC5AF4"/>
    <w:rsid w:val="00AD38EF"/>
    <w:rsid w:val="00AE1597"/>
    <w:rsid w:val="00AF42DE"/>
    <w:rsid w:val="00B2070A"/>
    <w:rsid w:val="00B3369F"/>
    <w:rsid w:val="00B337BC"/>
    <w:rsid w:val="00B451C5"/>
    <w:rsid w:val="00B50A42"/>
    <w:rsid w:val="00B51FC6"/>
    <w:rsid w:val="00B573CF"/>
    <w:rsid w:val="00B874BF"/>
    <w:rsid w:val="00B87964"/>
    <w:rsid w:val="00B94E6C"/>
    <w:rsid w:val="00BA275D"/>
    <w:rsid w:val="00BB4606"/>
    <w:rsid w:val="00BB632D"/>
    <w:rsid w:val="00BC5BA9"/>
    <w:rsid w:val="00BC7F7F"/>
    <w:rsid w:val="00BE64EE"/>
    <w:rsid w:val="00BF2EC2"/>
    <w:rsid w:val="00BF4633"/>
    <w:rsid w:val="00C0525D"/>
    <w:rsid w:val="00C23D2F"/>
    <w:rsid w:val="00C241BC"/>
    <w:rsid w:val="00C36279"/>
    <w:rsid w:val="00C443BD"/>
    <w:rsid w:val="00C451C5"/>
    <w:rsid w:val="00C61A67"/>
    <w:rsid w:val="00C72AAE"/>
    <w:rsid w:val="00C76273"/>
    <w:rsid w:val="00C82A15"/>
    <w:rsid w:val="00C9161D"/>
    <w:rsid w:val="00CA0C1D"/>
    <w:rsid w:val="00CB156D"/>
    <w:rsid w:val="00CB2178"/>
    <w:rsid w:val="00CD052D"/>
    <w:rsid w:val="00CF1848"/>
    <w:rsid w:val="00CF7E93"/>
    <w:rsid w:val="00D12044"/>
    <w:rsid w:val="00D15F34"/>
    <w:rsid w:val="00D170D9"/>
    <w:rsid w:val="00D2481F"/>
    <w:rsid w:val="00D33EFC"/>
    <w:rsid w:val="00D40DBC"/>
    <w:rsid w:val="00D52218"/>
    <w:rsid w:val="00D53B6A"/>
    <w:rsid w:val="00D55BA3"/>
    <w:rsid w:val="00D61C85"/>
    <w:rsid w:val="00D718CC"/>
    <w:rsid w:val="00D75CA6"/>
    <w:rsid w:val="00D76A18"/>
    <w:rsid w:val="00D80849"/>
    <w:rsid w:val="00D82E8F"/>
    <w:rsid w:val="00DA2343"/>
    <w:rsid w:val="00DB07C7"/>
    <w:rsid w:val="00DB5E0F"/>
    <w:rsid w:val="00DD118C"/>
    <w:rsid w:val="00DD7C84"/>
    <w:rsid w:val="00DE765C"/>
    <w:rsid w:val="00DE7714"/>
    <w:rsid w:val="00DF1EEA"/>
    <w:rsid w:val="00DF743A"/>
    <w:rsid w:val="00E053B9"/>
    <w:rsid w:val="00E073BA"/>
    <w:rsid w:val="00E11282"/>
    <w:rsid w:val="00E13E53"/>
    <w:rsid w:val="00E166FB"/>
    <w:rsid w:val="00E17F1F"/>
    <w:rsid w:val="00E30761"/>
    <w:rsid w:val="00E41F8F"/>
    <w:rsid w:val="00E433BD"/>
    <w:rsid w:val="00E521BD"/>
    <w:rsid w:val="00E53FD8"/>
    <w:rsid w:val="00E56C3B"/>
    <w:rsid w:val="00E66235"/>
    <w:rsid w:val="00E7095E"/>
    <w:rsid w:val="00E83C24"/>
    <w:rsid w:val="00E90E66"/>
    <w:rsid w:val="00E9318D"/>
    <w:rsid w:val="00E93F3E"/>
    <w:rsid w:val="00EA71AC"/>
    <w:rsid w:val="00EF0C05"/>
    <w:rsid w:val="00F041E5"/>
    <w:rsid w:val="00F063C2"/>
    <w:rsid w:val="00F2131D"/>
    <w:rsid w:val="00F32041"/>
    <w:rsid w:val="00F34373"/>
    <w:rsid w:val="00F53193"/>
    <w:rsid w:val="00F5357E"/>
    <w:rsid w:val="00F57DE3"/>
    <w:rsid w:val="00F6586C"/>
    <w:rsid w:val="00F7514D"/>
    <w:rsid w:val="00F9038B"/>
    <w:rsid w:val="00F94774"/>
    <w:rsid w:val="00FA663B"/>
    <w:rsid w:val="00FB56E2"/>
    <w:rsid w:val="00FC4BBC"/>
    <w:rsid w:val="00FC53DB"/>
    <w:rsid w:val="00FD0B1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DE6F1776-077B-47A6-B363-3497C756D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647135"/>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id=123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0A2"/>
    <w:rsid w:val="00116036"/>
    <w:rsid w:val="00130D0E"/>
    <w:rsid w:val="001C11C0"/>
    <w:rsid w:val="001C7BCC"/>
    <w:rsid w:val="0025135C"/>
    <w:rsid w:val="00254EB5"/>
    <w:rsid w:val="00265B6C"/>
    <w:rsid w:val="00267AEB"/>
    <w:rsid w:val="00290366"/>
    <w:rsid w:val="00291C10"/>
    <w:rsid w:val="003268DD"/>
    <w:rsid w:val="00481CCC"/>
    <w:rsid w:val="00520873"/>
    <w:rsid w:val="006B0882"/>
    <w:rsid w:val="006D601E"/>
    <w:rsid w:val="00720DC3"/>
    <w:rsid w:val="007525AD"/>
    <w:rsid w:val="007A77ED"/>
    <w:rsid w:val="007C5884"/>
    <w:rsid w:val="0084239B"/>
    <w:rsid w:val="00875A5E"/>
    <w:rsid w:val="00922A81"/>
    <w:rsid w:val="0098032F"/>
    <w:rsid w:val="009B5918"/>
    <w:rsid w:val="00A94030"/>
    <w:rsid w:val="00AE59BD"/>
    <w:rsid w:val="00BF4633"/>
    <w:rsid w:val="00CB2178"/>
    <w:rsid w:val="00DA2343"/>
    <w:rsid w:val="00DC06B3"/>
    <w:rsid w:val="00E30761"/>
    <w:rsid w:val="00F2131D"/>
    <w:rsid w:val="00F660C7"/>
    <w:rsid w:val="00FC0D35"/>
    <w:rsid w:val="00FC38F3"/>
    <w:rsid w:val="00FE6D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1DADE1-2484-49A7-90BC-2FD31D89A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7</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5086</CharactersWithSpaces>
  <SharedDoc>false</SharedDoc>
  <HLinks>
    <vt:vector size="30" baseType="variant">
      <vt:variant>
        <vt:i4>7405681</vt:i4>
      </vt:variant>
      <vt:variant>
        <vt:i4>3</vt:i4>
      </vt:variant>
      <vt:variant>
        <vt:i4>0</vt:i4>
      </vt:variant>
      <vt:variant>
        <vt:i4>5</vt:i4>
      </vt:variant>
      <vt:variant>
        <vt:lpwstr>https://www.cbd.int/decisions/mop/?m=cp-mop-11</vt:lpwstr>
      </vt:variant>
      <vt:variant>
        <vt:lpwstr/>
      </vt:variant>
      <vt:variant>
        <vt:i4>7405681</vt:i4>
      </vt:variant>
      <vt:variant>
        <vt:i4>0</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3473515</vt:i4>
      </vt:variant>
      <vt:variant>
        <vt:i4>0</vt:i4>
      </vt:variant>
      <vt:variant>
        <vt:i4>0</vt:i4>
      </vt:variant>
      <vt:variant>
        <vt:i4>5</vt:i4>
      </vt:variant>
      <vt:variant>
        <vt:lpwstr>https://www.cbd.int/decisions/?id=12324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CBD/CP/MOP/12/L.3</dc:subject>
  <dc:creator>Veronique Lefebvre</dc:creator>
  <cp:keywords>Convention on Biological Diversity</cp:keywords>
  <cp:lastModifiedBy>Veronique Lefebvre</cp:lastModifiedBy>
  <cp:revision>7</cp:revision>
  <cp:lastPrinted>2020-01-22T16:56:00Z</cp:lastPrinted>
  <dcterms:created xsi:type="dcterms:W3CDTF">2026-10-22T16:17:00Z</dcterms:created>
  <dcterms:modified xsi:type="dcterms:W3CDTF">2026-10-22T16:25:00Z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