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0B743469" w14:textId="77777777" w:rsidTr="00157486">
        <w:trPr>
          <w:trHeight w:val="851"/>
        </w:trPr>
        <w:tc>
          <w:tcPr>
            <w:tcW w:w="465" w:type="pct"/>
            <w:tcBorders>
              <w:bottom w:val="single" w:sz="8" w:space="0" w:color="auto"/>
            </w:tcBorders>
            <w:vAlign w:val="bottom"/>
          </w:tcPr>
          <w:p w14:paraId="06C3BF40" w14:textId="77777777" w:rsidR="00A96B21" w:rsidRPr="00550DCE" w:rsidRDefault="00A96B21" w:rsidP="00157486">
            <w:pPr>
              <w:spacing w:after="120"/>
              <w:jc w:val="left"/>
            </w:pPr>
            <w:bookmarkStart w:id="0" w:name="_Hlk137651738"/>
            <w:r w:rsidRPr="00550DCE">
              <w:rPr>
                <w:noProof/>
                <w:lang w:eastAsia="fr-FR"/>
              </w:rPr>
              <w:drawing>
                <wp:inline distT="0" distB="0" distL="0" distR="0" wp14:anchorId="52EF0658" wp14:editId="36D34EF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E8CBDD6" w14:textId="77777777" w:rsidR="00A96B21" w:rsidRPr="00550DCE" w:rsidRDefault="001A1526" w:rsidP="00157486">
            <w:pPr>
              <w:spacing w:after="120"/>
              <w:jc w:val="left"/>
            </w:pPr>
            <w:r w:rsidRPr="001A1526">
              <w:rPr>
                <w:noProof/>
                <w:lang w:eastAsia="fr-FR"/>
              </w:rPr>
              <w:drawing>
                <wp:inline distT="0" distB="0" distL="0" distR="0" wp14:anchorId="638909E8" wp14:editId="1B4E019E">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185B8E71" w14:textId="77777777" w:rsidR="00543B18" w:rsidRDefault="00F22598">
            <w:pPr>
              <w:spacing w:after="120"/>
              <w:ind w:left="2021"/>
              <w:jc w:val="right"/>
              <w:rPr>
                <w:szCs w:val="22"/>
              </w:rPr>
            </w:pPr>
            <w:r>
              <w:rPr>
                <w:sz w:val="40"/>
                <w:szCs w:val="40"/>
              </w:rPr>
              <w:t>CBD</w:t>
            </w:r>
            <w:r>
              <w:rPr>
                <w:szCs w:val="22"/>
              </w:rPr>
              <w:t>/CP/MOP/11/3</w:t>
            </w:r>
          </w:p>
        </w:tc>
      </w:tr>
      <w:tr w:rsidR="00A96B21" w:rsidRPr="00EA442C" w14:paraId="6A0C52DB" w14:textId="77777777" w:rsidTr="00157486">
        <w:tc>
          <w:tcPr>
            <w:tcW w:w="2297" w:type="pct"/>
            <w:gridSpan w:val="2"/>
            <w:tcBorders>
              <w:top w:val="single" w:sz="8" w:space="0" w:color="auto"/>
              <w:bottom w:val="single" w:sz="12" w:space="0" w:color="auto"/>
            </w:tcBorders>
          </w:tcPr>
          <w:p w14:paraId="040B4BD5" w14:textId="77777777" w:rsidR="00A96B21" w:rsidRPr="00550DCE" w:rsidRDefault="001A1526" w:rsidP="00157486">
            <w:pPr>
              <w:pStyle w:val="Cornernotation"/>
              <w:suppressLineNumbers/>
              <w:suppressAutoHyphens/>
              <w:spacing w:before="120" w:after="120"/>
              <w:ind w:left="0" w:right="0" w:firstLine="0"/>
            </w:pPr>
            <w:r w:rsidRPr="00F32592">
              <w:rPr>
                <w:bCs/>
                <w:noProof/>
                <w:lang w:eastAsia="fr-FR"/>
              </w:rPr>
              <w:drawing>
                <wp:inline distT="0" distB="0" distL="0" distR="0" wp14:anchorId="1AA0D94D" wp14:editId="27BD1CB7">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068D9E2" w14:textId="77777777" w:rsidR="00543B18" w:rsidRDefault="001A1526">
            <w:pPr>
              <w:ind w:left="2584"/>
              <w:rPr>
                <w:sz w:val="22"/>
                <w:szCs w:val="22"/>
              </w:rPr>
            </w:pPr>
            <w:r>
              <w:rPr>
                <w:sz w:val="22"/>
                <w:szCs w:val="22"/>
              </w:rPr>
              <w:t>Distr. : g</w:t>
            </w:r>
            <w:r w:rsidR="00F22598">
              <w:rPr>
                <w:sz w:val="22"/>
                <w:szCs w:val="22"/>
              </w:rPr>
              <w:t>énéral</w:t>
            </w:r>
            <w:r>
              <w:rPr>
                <w:sz w:val="22"/>
                <w:szCs w:val="22"/>
              </w:rPr>
              <w:t>e</w:t>
            </w:r>
          </w:p>
          <w:p w14:paraId="117B9316" w14:textId="77777777" w:rsidR="00543B18" w:rsidRDefault="001A1526">
            <w:pPr>
              <w:ind w:left="2584"/>
              <w:rPr>
                <w:sz w:val="22"/>
                <w:szCs w:val="22"/>
              </w:rPr>
            </w:pPr>
            <w:r>
              <w:rPr>
                <w:sz w:val="22"/>
                <w:szCs w:val="22"/>
              </w:rPr>
              <w:t>2 m</w:t>
            </w:r>
            <w:r w:rsidR="00F22598">
              <w:rPr>
                <w:sz w:val="22"/>
                <w:szCs w:val="22"/>
              </w:rPr>
              <w:t>ai 2024</w:t>
            </w:r>
          </w:p>
          <w:p w14:paraId="4CC6809E" w14:textId="77777777" w:rsidR="00A96B21" w:rsidRPr="00FB27C1" w:rsidRDefault="001A1526" w:rsidP="003C6F10">
            <w:pPr>
              <w:ind w:left="2584"/>
              <w:rPr>
                <w:sz w:val="22"/>
                <w:szCs w:val="22"/>
              </w:rPr>
            </w:pPr>
            <w:r>
              <w:rPr>
                <w:sz w:val="22"/>
                <w:szCs w:val="22"/>
              </w:rPr>
              <w:t>Français</w:t>
            </w:r>
          </w:p>
          <w:p w14:paraId="76410E21" w14:textId="77777777" w:rsidR="00543B18" w:rsidRDefault="00F22598">
            <w:pPr>
              <w:ind w:left="2584"/>
              <w:rPr>
                <w:sz w:val="22"/>
                <w:szCs w:val="22"/>
              </w:rPr>
            </w:pPr>
            <w:r>
              <w:rPr>
                <w:sz w:val="22"/>
                <w:szCs w:val="22"/>
              </w:rPr>
              <w:t>Original : anglais</w:t>
            </w:r>
          </w:p>
          <w:p w14:paraId="38C7F4EF" w14:textId="77777777" w:rsidR="00A96B21" w:rsidRPr="00FB27C1" w:rsidRDefault="00A96B21" w:rsidP="00157486"/>
        </w:tc>
      </w:tr>
    </w:tbl>
    <w:p w14:paraId="75D39A2F" w14:textId="77777777" w:rsidR="00543B18" w:rsidRDefault="00F22598">
      <w:pPr>
        <w:pStyle w:val="Cornernotation"/>
        <w:ind w:left="0" w:right="4257" w:firstLine="0"/>
        <w:rPr>
          <w:bCs/>
        </w:rPr>
      </w:pPr>
      <w:r>
        <w:rPr>
          <w:bCs/>
        </w:rPr>
        <w:t xml:space="preserve">Conférence des Parties à la Convention sur la diversité biologique </w:t>
      </w:r>
      <w:r w:rsidR="001A1526">
        <w:rPr>
          <w:bCs/>
        </w:rPr>
        <w:t>siégeant en tant que</w:t>
      </w:r>
      <w:r>
        <w:rPr>
          <w:bCs/>
        </w:rPr>
        <w:t xml:space="preserve"> réunion des Parties au Protocole de Cartagena sur la prévention des risques biotechnologiques</w:t>
      </w:r>
    </w:p>
    <w:p w14:paraId="51CEFC3A" w14:textId="77777777" w:rsidR="00543B18" w:rsidRDefault="00F22598">
      <w:pPr>
        <w:pStyle w:val="Cornernotation"/>
        <w:rPr>
          <w:bCs/>
          <w:sz w:val="22"/>
        </w:rPr>
      </w:pPr>
      <w:r>
        <w:rPr>
          <w:bCs/>
          <w:sz w:val="22"/>
        </w:rPr>
        <w:t xml:space="preserve">Onzième réunion </w:t>
      </w:r>
    </w:p>
    <w:p w14:paraId="0CAF205B" w14:textId="77777777" w:rsidR="00543B18" w:rsidRPr="001A1526" w:rsidRDefault="00B36A49">
      <w:pPr>
        <w:pStyle w:val="Venuedate"/>
      </w:pPr>
      <w:r>
        <w:t>Cali, Colombie, 21 octobre</w:t>
      </w:r>
      <w:r w:rsidRPr="00B36A49">
        <w:t>–</w:t>
      </w:r>
      <w:r w:rsidR="00F22598">
        <w:t>1</w:t>
      </w:r>
      <w:r w:rsidR="00F22598" w:rsidRPr="001A1526">
        <w:rPr>
          <w:vertAlign w:val="superscript"/>
        </w:rPr>
        <w:t>er</w:t>
      </w:r>
      <w:r w:rsidR="00F22598">
        <w:t xml:space="preserve"> novembre 2024 </w:t>
      </w:r>
    </w:p>
    <w:p w14:paraId="3578EA06" w14:textId="77777777" w:rsidR="00543B18" w:rsidRDefault="00F22598">
      <w:pPr>
        <w:pStyle w:val="Cornernotation-Item"/>
        <w:rPr>
          <w:b w:val="0"/>
          <w:bCs w:val="0"/>
        </w:rPr>
      </w:pPr>
      <w:r>
        <w:rPr>
          <w:b w:val="0"/>
          <w:bCs w:val="0"/>
        </w:rPr>
        <w:t>Point 5 de l</w:t>
      </w:r>
      <w:r w:rsidR="0000372A">
        <w:rPr>
          <w:b w:val="0"/>
          <w:bCs w:val="0"/>
        </w:rPr>
        <w:t>’</w:t>
      </w:r>
      <w:r>
        <w:rPr>
          <w:b w:val="0"/>
          <w:bCs w:val="0"/>
        </w:rPr>
        <w:t>ordre du jour</w:t>
      </w:r>
      <w:r w:rsidR="001A1526">
        <w:rPr>
          <w:b w:val="0"/>
          <w:bCs w:val="0"/>
        </w:rPr>
        <w:t xml:space="preserve"> </w:t>
      </w:r>
      <w:r>
        <w:rPr>
          <w:b w:val="0"/>
          <w:bCs w:val="0"/>
        </w:rPr>
        <w:footnoteReference w:customMarkFollows="1" w:id="2"/>
        <w:t>provisoire</w:t>
      </w:r>
      <w:r>
        <w:rPr>
          <w:rStyle w:val="FootnoteReference"/>
          <w:b w:val="0"/>
          <w:bCs w:val="0"/>
        </w:rPr>
        <w:t>*</w:t>
      </w:r>
    </w:p>
    <w:p w14:paraId="7AB6AD09" w14:textId="77777777" w:rsidR="00543B18" w:rsidRDefault="00F22598">
      <w:pPr>
        <w:pStyle w:val="Cornernotation-Item"/>
      </w:pPr>
      <w:r>
        <w:t xml:space="preserve">Rapport du </w:t>
      </w:r>
      <w:r w:rsidR="0000372A">
        <w:t>Comité chargé du respect des obligations</w:t>
      </w:r>
    </w:p>
    <w:bookmarkEnd w:id="0"/>
    <w:p w14:paraId="4D192FB3" w14:textId="77777777" w:rsidR="00543B18" w:rsidRDefault="00F22598">
      <w:pPr>
        <w:pStyle w:val="CBDTitle"/>
      </w:pPr>
      <w:r>
        <w:t xml:space="preserve">Rapport du </w:t>
      </w:r>
      <w:r w:rsidR="0000372A">
        <w:t>Comité chargé du respect des obligations</w:t>
      </w:r>
      <w:r>
        <w:t xml:space="preserve"> </w:t>
      </w:r>
      <w:r w:rsidR="0000372A">
        <w:t xml:space="preserve">au titre </w:t>
      </w:r>
      <w:r>
        <w:t xml:space="preserve">du Protocole de </w:t>
      </w:r>
      <w:r w:rsidR="0000372A">
        <w:t>Cartagena</w:t>
      </w:r>
      <w:r>
        <w:t xml:space="preserve"> sur la prévention des risques biotechnologiques sur les travaux de ses dix-huitième et dix-neuvième réunions</w:t>
      </w:r>
    </w:p>
    <w:p w14:paraId="5A47C290" w14:textId="77777777" w:rsidR="00543B18" w:rsidRDefault="00F22598">
      <w:pPr>
        <w:pStyle w:val="CBDNormalNumber"/>
      </w:pPr>
      <w:r>
        <w:t>Au cours de la période intersessions qui a suivi la dixième réunion de la Confére</w:t>
      </w:r>
      <w:r w:rsidR="002C0694">
        <w:t xml:space="preserve">nce des Parties à la Convention </w:t>
      </w:r>
      <w:r>
        <w:t xml:space="preserve">sur la diversité biologique </w:t>
      </w:r>
      <w:r w:rsidR="001A1526">
        <w:t>siégeant en tant que</w:t>
      </w:r>
      <w:r>
        <w:t xml:space="preserve"> réunion des Parties</w:t>
      </w:r>
      <w:r w:rsidR="002C0694">
        <w:t xml:space="preserve"> au Protocole de Cartagena sur l</w:t>
      </w:r>
      <w:r>
        <w:t xml:space="preserve">a prévention des risques biotechnologiques, le </w:t>
      </w:r>
      <w:r w:rsidR="0000372A">
        <w:t>Comité chargé du respect des obligations</w:t>
      </w:r>
      <w:r>
        <w:t xml:space="preserve"> a tenu deux réunions : sa dix-huitième réunion, du 24 au 26 octobre 2023, et sa dix-neuvième réunion, du 30 avril au 2 mai 2024. Les deux réunions ont eu lieu dans les bureau</w:t>
      </w:r>
      <w:r w:rsidR="0000372A">
        <w:t>x du Secrétariat à Montréal (</w:t>
      </w:r>
      <w:r>
        <w:t>Canada</w:t>
      </w:r>
      <w:r w:rsidR="0000372A">
        <w:t>)</w:t>
      </w:r>
      <w:r>
        <w:t xml:space="preserve">. </w:t>
      </w:r>
    </w:p>
    <w:p w14:paraId="0DFFF4AB" w14:textId="77777777" w:rsidR="00543B18" w:rsidRDefault="00F22598">
      <w:pPr>
        <w:pStyle w:val="CBDNormalNumber"/>
      </w:pPr>
      <w:r>
        <w:t xml:space="preserve">Le présent document contient un rapport de synthèse sur les débats et les résultats des deux réunions. Les recommandations du Comité </w:t>
      </w:r>
      <w:r w:rsidR="00B36A49">
        <w:t>adressées à</w:t>
      </w:r>
      <w:r>
        <w:t xml:space="preserve"> la Conférence des Parties </w:t>
      </w:r>
      <w:r w:rsidR="001A1526">
        <w:t>siégeant en tant que</w:t>
      </w:r>
      <w:r>
        <w:t xml:space="preserve"> réunion des Parties au Protocole figurent dans l</w:t>
      </w:r>
      <w:r w:rsidR="0000372A">
        <w:t>’</w:t>
      </w:r>
      <w:r>
        <w:t xml:space="preserve">annexe au présent rapport. </w:t>
      </w:r>
    </w:p>
    <w:p w14:paraId="2F59FC3E" w14:textId="77777777" w:rsidR="00543B18" w:rsidRDefault="0000372A">
      <w:pPr>
        <w:pStyle w:val="CBDNormalNumber"/>
      </w:pPr>
      <w:r>
        <w:t>À sa dix</w:t>
      </w:r>
      <w:r w:rsidR="00F22598">
        <w:t>-huitième réunion, l</w:t>
      </w:r>
      <w:r>
        <w:t xml:space="preserve">e Comité a réélu </w:t>
      </w:r>
      <w:r w:rsidR="00B36A49">
        <w:t>Rigobert Ntep en tant que</w:t>
      </w:r>
      <w:r>
        <w:t xml:space="preserve"> p</w:t>
      </w:r>
      <w:r w:rsidR="00F22598">
        <w:t>résiden</w:t>
      </w:r>
      <w:r w:rsidR="00B36A49">
        <w:t>t et Jimena Nieto Carrasco en tant que</w:t>
      </w:r>
      <w:r>
        <w:t xml:space="preserve"> vice-p</w:t>
      </w:r>
      <w:r w:rsidR="00F22598">
        <w:t>résidente pour un deuxième mandat, conformément à l</w:t>
      </w:r>
      <w:r>
        <w:t>’article 12 du r</w:t>
      </w:r>
      <w:r w:rsidR="00F22598">
        <w:t xml:space="preserve">èglement intérieur des réunions du </w:t>
      </w:r>
      <w:r>
        <w:t>Comité chargé du respect des obligations</w:t>
      </w:r>
      <w:r w:rsidR="00F22598">
        <w:t xml:space="preserve">. </w:t>
      </w:r>
    </w:p>
    <w:p w14:paraId="2A2EB23D" w14:textId="77777777" w:rsidR="00543B18" w:rsidRDefault="00F22598">
      <w:pPr>
        <w:pStyle w:val="CBDNormalNumber"/>
        <w:rPr>
          <w:i/>
          <w:iCs/>
        </w:rPr>
      </w:pPr>
      <w:r>
        <w:t>Le Comité a rappelé qu</w:t>
      </w:r>
      <w:r w:rsidR="0000372A">
        <w:t>’</w:t>
      </w:r>
      <w:r>
        <w:t xml:space="preserve">en raison de retards dans la convocation des réunions de la Conférence des Parties </w:t>
      </w:r>
      <w:r w:rsidR="001A1526">
        <w:t>siégeant en tant que</w:t>
      </w:r>
      <w:r>
        <w:t xml:space="preserve"> réunion des Parties au Protocole, le mandat des membres du </w:t>
      </w:r>
      <w:r w:rsidR="0000372A">
        <w:t>Comité chargé du respect des obligations</w:t>
      </w:r>
      <w:r>
        <w:t xml:space="preserve"> avait été prorogé à plusieurs reprises et que, par conséquent, tous les mandats devaient prendre fin le 31 décembre 2024. Le Comité a été informé que, pour maintenir l</w:t>
      </w:r>
      <w:r w:rsidR="0000372A">
        <w:t>’</w:t>
      </w:r>
      <w:r>
        <w:t xml:space="preserve">échelonnement des mandats, la Conférence des Parties </w:t>
      </w:r>
      <w:r w:rsidR="001A1526">
        <w:t>siégeant en tant que</w:t>
      </w:r>
      <w:r>
        <w:t xml:space="preserve"> réunion</w:t>
      </w:r>
      <w:r w:rsidR="0000372A">
        <w:t xml:space="preserve"> des Parties au Protocole sera</w:t>
      </w:r>
      <w:r>
        <w:t xml:space="preserve"> invitée à proroger le mandat de cinq membres jusqu</w:t>
      </w:r>
      <w:r w:rsidR="0000372A">
        <w:t>’</w:t>
      </w:r>
      <w:r>
        <w:t xml:space="preserve">au 31 décembre 2026. </w:t>
      </w:r>
    </w:p>
    <w:p w14:paraId="5C788E39" w14:textId="77777777" w:rsidR="00543B18" w:rsidRDefault="00F22598">
      <w:pPr>
        <w:pStyle w:val="CBDNormalNumber"/>
      </w:pPr>
      <w:r>
        <w:t xml:space="preserve">À sa dix-huitième réunion, le Comité a examiné les résultats de la dixième réunion de la </w:t>
      </w:r>
      <w:bookmarkStart w:id="1" w:name="_Hlk166443072"/>
      <w:r>
        <w:t xml:space="preserve">Conférence des Parties </w:t>
      </w:r>
      <w:r w:rsidR="001A1526">
        <w:t>siégeant en tant que</w:t>
      </w:r>
      <w:r>
        <w:t xml:space="preserve"> réunion des Parties au Protocole </w:t>
      </w:r>
      <w:bookmarkEnd w:id="1"/>
      <w:r>
        <w:t xml:space="preserve">concernant les questions </w:t>
      </w:r>
      <w:r w:rsidR="0000372A">
        <w:t>relatives au respect des obliga</w:t>
      </w:r>
      <w:r>
        <w:t>tions et s</w:t>
      </w:r>
      <w:r w:rsidR="0000372A">
        <w:t>’</w:t>
      </w:r>
      <w:r>
        <w:t>est félicité de l</w:t>
      </w:r>
      <w:r w:rsidR="0000372A">
        <w:t>’</w:t>
      </w:r>
      <w:r>
        <w:t xml:space="preserve">examen positif et des modifications limitées de ses recommandations </w:t>
      </w:r>
      <w:r w:rsidR="005308BA">
        <w:t xml:space="preserve">effectués </w:t>
      </w:r>
      <w:r>
        <w:t xml:space="preserve">par la Conférence des Parties </w:t>
      </w:r>
      <w:r w:rsidR="001A1526">
        <w:t>siégeant en tant que</w:t>
      </w:r>
      <w:r>
        <w:t xml:space="preserve"> réunion des Parties au Prot</w:t>
      </w:r>
      <w:r w:rsidR="005308BA">
        <w:t>ocole, notant que ceci reflétait</w:t>
      </w:r>
      <w:r>
        <w:t xml:space="preserve"> la qualité des travaux du Comité. </w:t>
      </w:r>
    </w:p>
    <w:p w14:paraId="17F5062A" w14:textId="77777777" w:rsidR="00543B18" w:rsidRDefault="0000372A">
      <w:pPr>
        <w:pStyle w:val="CBDNormalNumber"/>
      </w:pPr>
      <w:r>
        <w:lastRenderedPageBreak/>
        <w:t>À cette même réunion</w:t>
      </w:r>
      <w:r w:rsidR="00F22598">
        <w:t>, le Comité a examiné l</w:t>
      </w:r>
      <w:r w:rsidR="005308BA">
        <w:t>es questions générales relatives</w:t>
      </w:r>
      <w:r w:rsidR="00F22598">
        <w:t xml:space="preserve"> </w:t>
      </w:r>
      <w:r>
        <w:t>au respect des obliga</w:t>
      </w:r>
      <w:r w:rsidR="00F22598">
        <w:t>tions et a examiné les résultats d</w:t>
      </w:r>
      <w:r>
        <w:t>’</w:t>
      </w:r>
      <w:r w:rsidR="00696667">
        <w:t>une étud</w:t>
      </w:r>
      <w:r w:rsidR="00F22598">
        <w:t xml:space="preserve">e menée par le Secrétariat </w:t>
      </w:r>
      <w:r w:rsidR="003B1671">
        <w:t>en application de</w:t>
      </w:r>
      <w:r w:rsidR="00F22598">
        <w:t xml:space="preserve"> la décision CP-10/2 de la Conférence des Parties </w:t>
      </w:r>
      <w:r w:rsidR="001A1526">
        <w:t>siégeant en tant que</w:t>
      </w:r>
      <w:r w:rsidR="00F22598">
        <w:t xml:space="preserve"> réunion des Parties au Protocol</w:t>
      </w:r>
      <w:r w:rsidR="005308BA">
        <w:t>e. Le Comité a décidé de prendre</w:t>
      </w:r>
      <w:r w:rsidR="00F22598">
        <w:t xml:space="preserve"> plusieurs mesures de suivi concernant le </w:t>
      </w:r>
      <w:r w:rsidR="00696667">
        <w:t>respect des obligations</w:t>
      </w:r>
      <w:r w:rsidR="00F22598">
        <w:t>, en mettant l</w:t>
      </w:r>
      <w:r>
        <w:t>’</w:t>
      </w:r>
      <w:r w:rsidR="005308BA">
        <w:t xml:space="preserve">accent en particulier </w:t>
      </w:r>
      <w:r w:rsidR="00F22598">
        <w:t>sur l</w:t>
      </w:r>
      <w:r>
        <w:t>’</w:t>
      </w:r>
      <w:r w:rsidR="005308BA">
        <w:t xml:space="preserve">obligation qui incombe aux Parties </w:t>
      </w:r>
      <w:r w:rsidR="00F22598">
        <w:t xml:space="preserve">de prendre les mesures </w:t>
      </w:r>
      <w:r w:rsidR="00696667">
        <w:t>nécessaires pour appliquer</w:t>
      </w:r>
      <w:r w:rsidR="00F22598">
        <w:t xml:space="preserve"> le Protocole et l</w:t>
      </w:r>
      <w:r w:rsidR="005308BA">
        <w:t xml:space="preserve">eur </w:t>
      </w:r>
      <w:r w:rsidR="00696667">
        <w:t>obligation d’établir</w:t>
      </w:r>
      <w:r w:rsidR="00F22598">
        <w:t xml:space="preserve"> des rapports nationaux. </w:t>
      </w:r>
    </w:p>
    <w:p w14:paraId="2DFA2A7D" w14:textId="77777777" w:rsidR="00543B18" w:rsidRDefault="00F22598">
      <w:pPr>
        <w:pStyle w:val="CBDNormalNumber"/>
      </w:pPr>
      <w:r>
        <w:t xml:space="preserve">À sa dix-huitième réunion également, le Comité a invité ses membres à dialoguer avec les Parties de leurs régions </w:t>
      </w:r>
      <w:r w:rsidR="00696667">
        <w:t>respectives sur les questions de</w:t>
      </w:r>
      <w:r>
        <w:t xml:space="preserve"> </w:t>
      </w:r>
      <w:r w:rsidR="00696667">
        <w:t>respect des obligations</w:t>
      </w:r>
      <w:r>
        <w:t xml:space="preserve"> qu</w:t>
      </w:r>
      <w:r w:rsidR="0000372A">
        <w:t>’</w:t>
      </w:r>
      <w:r w:rsidR="005308BA">
        <w:t>ils ont</w:t>
      </w:r>
      <w:r>
        <w:t xml:space="preserve"> recensées, telles que la désignation de </w:t>
      </w:r>
      <w:r w:rsidR="00696667">
        <w:t>correspondants</w:t>
      </w:r>
      <w:r w:rsidR="00DF70EA">
        <w:t xml:space="preserve"> nationaux, l’établissement</w:t>
      </w:r>
      <w:r>
        <w:t xml:space="preserve"> de rapports nationaux et la communication d</w:t>
      </w:r>
      <w:r w:rsidR="0000372A">
        <w:t>’</w:t>
      </w:r>
      <w:r>
        <w:t>informations par l</w:t>
      </w:r>
      <w:r w:rsidR="005308BA">
        <w:t>e biais</w:t>
      </w:r>
      <w:r>
        <w:t xml:space="preserve"> du Centre d</w:t>
      </w:r>
      <w:r w:rsidR="0000372A">
        <w:t>’</w:t>
      </w:r>
      <w:r>
        <w:t xml:space="preserve">échange pour la prévention des risques biotechnologiques. </w:t>
      </w:r>
    </w:p>
    <w:p w14:paraId="713CBDD9" w14:textId="77777777" w:rsidR="00543B18" w:rsidRDefault="00F22598">
      <w:pPr>
        <w:pStyle w:val="CBDNormalNumber"/>
      </w:pPr>
      <w:r>
        <w:t>Le Comité a souligné que, outre l</w:t>
      </w:r>
      <w:r w:rsidR="0000372A">
        <w:t>’</w:t>
      </w:r>
      <w:r>
        <w:t>obligation de désigner un correspondant national, l</w:t>
      </w:r>
      <w:r w:rsidR="00DF70EA">
        <w:t>es Parties étaient tenues d’informer le Secrétariat</w:t>
      </w:r>
      <w:r>
        <w:t xml:space="preserve"> de toute modification des coordonnées de leurs correspondants nationaux, conformément à l</w:t>
      </w:r>
      <w:r w:rsidR="0000372A">
        <w:t>’</w:t>
      </w:r>
      <w:r>
        <w:t>article 19 du P</w:t>
      </w:r>
      <w:r w:rsidR="00DF70EA">
        <w:t>rotocole. Le Comité a demandé à la Secrétaire exécutive d’effectuer</w:t>
      </w:r>
      <w:r>
        <w:t xml:space="preserve"> un suivi auprès de deux Parties qui n</w:t>
      </w:r>
      <w:r w:rsidR="0000372A">
        <w:t>’</w:t>
      </w:r>
      <w:r w:rsidR="00DF70EA">
        <w:t>avaient pas désigné de correspondant</w:t>
      </w:r>
      <w:r>
        <w:t xml:space="preserve"> national pendant une longue période. À sa dix-neuvième réunion, le Comité a noté l</w:t>
      </w:r>
      <w:r w:rsidR="0000372A">
        <w:t>’</w:t>
      </w:r>
      <w:r>
        <w:t>absence de progrès de ces deux Parties (Îles Marshall et Saint-Vincent-et-</w:t>
      </w:r>
      <w:r w:rsidR="005308BA">
        <w:t>les Grenadines) et a décidé d’effectuer un suivi</w:t>
      </w:r>
      <w:r>
        <w:t xml:space="preserve"> a</w:t>
      </w:r>
      <w:r w:rsidR="005308BA">
        <w:t>uprès de ces Parties en tant que</w:t>
      </w:r>
      <w:r>
        <w:t xml:space="preserve"> cas individuels de non-respect. </w:t>
      </w:r>
    </w:p>
    <w:p w14:paraId="424C0FC3" w14:textId="77777777" w:rsidR="00543B18" w:rsidRDefault="00F22598">
      <w:pPr>
        <w:pStyle w:val="CBDNormalNumber"/>
      </w:pPr>
      <w:r>
        <w:t>Dans le cadre de l</w:t>
      </w:r>
      <w:r w:rsidR="0000372A">
        <w:t>’</w:t>
      </w:r>
      <w:r>
        <w:t>examen des cas individuels de non-respect, le Comité s</w:t>
      </w:r>
      <w:r w:rsidR="0000372A">
        <w:t>’</w:t>
      </w:r>
      <w:r w:rsidR="00DF70EA">
        <w:t>est dit préoccupé du</w:t>
      </w:r>
      <w:r>
        <w:t xml:space="preserve"> non-respect</w:t>
      </w:r>
      <w:r w:rsidR="005308BA">
        <w:t xml:space="preserve"> de leurs obligations</w:t>
      </w:r>
      <w:r>
        <w:t xml:space="preserve"> par les Parties qui n</w:t>
      </w:r>
      <w:r w:rsidR="0000372A">
        <w:t>’</w:t>
      </w:r>
      <w:r w:rsidR="003B1671">
        <w:t>avaient présenté</w:t>
      </w:r>
      <w:r w:rsidR="00DF70EA">
        <w:t xml:space="preserve"> ni leur troisième ni leur</w:t>
      </w:r>
      <w:r>
        <w:t xml:space="preserve"> quatrième rapport national. À sa dix-huitième réunion, le Comité est convenu que son président écrirait aux </w:t>
      </w:r>
      <w:r w:rsidR="00696667">
        <w:t>correspondants</w:t>
      </w:r>
      <w:r>
        <w:t xml:space="preserve"> nationaux des Parties concernées et que, si aucune réponse n</w:t>
      </w:r>
      <w:r w:rsidR="0000372A">
        <w:t>’</w:t>
      </w:r>
      <w:r>
        <w:t>était reçue et aucun rapport n</w:t>
      </w:r>
      <w:r w:rsidR="0000372A">
        <w:t>’</w:t>
      </w:r>
      <w:r w:rsidR="005308BA">
        <w:t>était présenté</w:t>
      </w:r>
      <w:r>
        <w:t>, il écrirait aux ministères des affaires</w:t>
      </w:r>
      <w:r w:rsidR="00DF70EA">
        <w:t xml:space="preserve"> étrangères de ces P</w:t>
      </w:r>
      <w:r w:rsidR="005308BA">
        <w:t>arties, en envoyant une</w:t>
      </w:r>
      <w:r>
        <w:t xml:space="preserve"> copie</w:t>
      </w:r>
      <w:r w:rsidR="005308BA">
        <w:t xml:space="preserve"> de cette correspondance</w:t>
      </w:r>
      <w:r>
        <w:t xml:space="preserve"> aux </w:t>
      </w:r>
      <w:r w:rsidR="00696667">
        <w:t>correspondants</w:t>
      </w:r>
      <w:r>
        <w:t xml:space="preserve"> nation</w:t>
      </w:r>
      <w:r w:rsidR="00DF70EA">
        <w:t>aux du</w:t>
      </w:r>
      <w:r>
        <w:t xml:space="preserve"> Protocole et aux </w:t>
      </w:r>
      <w:r w:rsidR="00696667">
        <w:t>correspondants</w:t>
      </w:r>
      <w:r w:rsidR="00DF70EA">
        <w:t xml:space="preserve"> nationaux de</w:t>
      </w:r>
      <w:r w:rsidR="00BD17F4">
        <w:t xml:space="preserve"> la Convention, afin d’</w:t>
      </w:r>
      <w:r>
        <w:t>exhorter le</w:t>
      </w:r>
      <w:r w:rsidR="00DF70EA">
        <w:t>s Parties concernées à présenter</w:t>
      </w:r>
      <w:r>
        <w:t xml:space="preserve"> leurs rapports nationaux. À la suite de ces communica</w:t>
      </w:r>
      <w:r w:rsidR="00BD17F4">
        <w:t>tions, deux Parties ont remis</w:t>
      </w:r>
      <w:r>
        <w:t xml:space="preserve"> leur quatrième rapport national. </w:t>
      </w:r>
    </w:p>
    <w:p w14:paraId="7B059543" w14:textId="77777777" w:rsidR="00543B18" w:rsidRDefault="00F22598">
      <w:pPr>
        <w:pStyle w:val="CBDNormalNumber"/>
      </w:pPr>
      <w:r>
        <w:t>À sa dix-neuvième réunion, le Comité a demandé à son président de prendre contact avec les sept Parties qui n</w:t>
      </w:r>
      <w:r w:rsidR="0000372A">
        <w:t>’</w:t>
      </w:r>
      <w:r w:rsidR="003B1671">
        <w:t xml:space="preserve">avaient pas encore présenté </w:t>
      </w:r>
      <w:r>
        <w:t xml:space="preserve">leur troisième ou leur quatrième rapport national (Belize, Libye, Nauru, Papouasie-Nouvelle-Guinée, Qatar, </w:t>
      </w:r>
      <w:r w:rsidR="00DF70EA">
        <w:t>République arabe syrienne et Seychelles</w:t>
      </w:r>
      <w:r>
        <w:t>)</w:t>
      </w:r>
      <w:r w:rsidR="00BD17F4">
        <w:t>,</w:t>
      </w:r>
      <w:r>
        <w:t xml:space="preserve"> pour les informer que le Comité avait recommandé que la Conférence des Parties </w:t>
      </w:r>
      <w:r w:rsidR="001A1526">
        <w:t>siégeant en tant que</w:t>
      </w:r>
      <w:r>
        <w:t xml:space="preserve"> réunion des Parties au Protocole, à sa onzième réunion, mette en garde ces Parties, conformément </w:t>
      </w:r>
      <w:r w:rsidR="00DF70EA">
        <w:t>au paragraphe 2 b) de l’article VI des p</w:t>
      </w:r>
      <w:r>
        <w:t xml:space="preserve">rocédures et mécanismes relatifs au </w:t>
      </w:r>
      <w:r w:rsidR="00696667">
        <w:t>respect des obligations</w:t>
      </w:r>
      <w:r>
        <w:t xml:space="preserve"> du Protocole de Cartagena sur la prévention des ri</w:t>
      </w:r>
      <w:r w:rsidR="00BD17F4">
        <w:t>sques biotechnologiques, tels qu’énoncés</w:t>
      </w:r>
      <w:r w:rsidR="003B1671">
        <w:t xml:space="preserve"> dans </w:t>
      </w:r>
      <w:r>
        <w:t>l</w:t>
      </w:r>
      <w:r w:rsidR="0000372A">
        <w:t>’</w:t>
      </w:r>
      <w:r w:rsidR="003B1671">
        <w:t>annexe à</w:t>
      </w:r>
      <w:r>
        <w:t xml:space="preserve"> la décision BS-I/7 de la Conférence des Parties </w:t>
      </w:r>
      <w:r w:rsidR="001A1526">
        <w:t>siégeant en tant que</w:t>
      </w:r>
      <w:r>
        <w:t xml:space="preserve"> réunion des Parties </w:t>
      </w:r>
      <w:r w:rsidR="00DF70EA">
        <w:t xml:space="preserve">au </w:t>
      </w:r>
      <w:r>
        <w:t>Protocole, à moins qu</w:t>
      </w:r>
      <w:r w:rsidR="0000372A">
        <w:t>’</w:t>
      </w:r>
      <w:r>
        <w:t>ils n</w:t>
      </w:r>
      <w:r w:rsidR="0000372A">
        <w:t>’</w:t>
      </w:r>
      <w:r w:rsidR="003B1671">
        <w:t>aient présenté</w:t>
      </w:r>
      <w:r>
        <w:t xml:space="preserve"> leur quatrième rapport national avant la onzième réunion de la Conférence des Parties </w:t>
      </w:r>
      <w:r w:rsidR="001A1526">
        <w:t>siégeant en tant que</w:t>
      </w:r>
      <w:r>
        <w:t xml:space="preserve"> réunion des Parties au Protocole.</w:t>
      </w:r>
    </w:p>
    <w:p w14:paraId="203C1AFC" w14:textId="77777777" w:rsidR="00543B18" w:rsidRDefault="00DF70EA">
      <w:pPr>
        <w:pStyle w:val="CBDNormalNumber"/>
      </w:pPr>
      <w:r>
        <w:t>À cette</w:t>
      </w:r>
      <w:r w:rsidR="00F22598">
        <w:t xml:space="preserve"> même réunion, le Comité a souligné qu</w:t>
      </w:r>
      <w:r w:rsidR="0000372A">
        <w:t>’</w:t>
      </w:r>
      <w:r w:rsidR="00F22598">
        <w:t>il importait de veiller à ce</w:t>
      </w:r>
      <w:r w:rsidR="001438BF">
        <w:t xml:space="preserve"> que la recommandation de mise en garde de ces Parties</w:t>
      </w:r>
      <w:r w:rsidR="00F22598">
        <w:t xml:space="preserve"> soit examinée à la lumière des informations de base sur les mesures pri</w:t>
      </w:r>
      <w:r w:rsidR="00BD17F4">
        <w:t>ses par le Comité ayant conduit</w:t>
      </w:r>
      <w:r w:rsidR="001438BF">
        <w:t xml:space="preserve"> à cette</w:t>
      </w:r>
      <w:r w:rsidR="00F22598">
        <w:t xml:space="preserve"> recommandation. Le Comité a prié le Secrétariat d</w:t>
      </w:r>
      <w:r w:rsidR="0000372A">
        <w:t>’</w:t>
      </w:r>
      <w:r w:rsidR="00F22598">
        <w:t>établir un document d</w:t>
      </w:r>
      <w:r w:rsidR="0000372A">
        <w:t>’</w:t>
      </w:r>
      <w:r w:rsidR="00BD17F4">
        <w:t>information appuyant</w:t>
      </w:r>
      <w:r w:rsidR="001438BF">
        <w:t xml:space="preserve"> </w:t>
      </w:r>
      <w:r w:rsidR="00F22598">
        <w:t>l</w:t>
      </w:r>
      <w:r w:rsidR="0000372A">
        <w:t>’</w:t>
      </w:r>
      <w:r w:rsidR="00BD17F4">
        <w:t>examen de cette</w:t>
      </w:r>
      <w:r w:rsidR="00F22598">
        <w:t xml:space="preserve"> recommandation par la Conférence des Parties </w:t>
      </w:r>
      <w:r w:rsidR="001A1526">
        <w:t>siégeant en tant que</w:t>
      </w:r>
      <w:r w:rsidR="00F22598">
        <w:t xml:space="preserve"> réunion des Parties au </w:t>
      </w:r>
      <w:r w:rsidR="001438BF">
        <w:t>Protocole</w:t>
      </w:r>
      <w:r>
        <w:t xml:space="preserve"> à sa onzième réunion</w:t>
      </w:r>
      <w:r w:rsidR="0018369B">
        <w:rPr>
          <w:rStyle w:val="FootnoteReference"/>
        </w:rPr>
        <w:footnoteReference w:id="3"/>
      </w:r>
      <w:r>
        <w:t>.</w:t>
      </w:r>
      <w:r w:rsidR="00F22598">
        <w:t xml:space="preserve"> </w:t>
      </w:r>
    </w:p>
    <w:p w14:paraId="3CE401E6" w14:textId="77777777" w:rsidR="00543B18" w:rsidRPr="001A1526" w:rsidRDefault="00F22598">
      <w:pPr>
        <w:pStyle w:val="CBDNormalNumber"/>
      </w:pPr>
      <w:r>
        <w:t>À sa dix-huitièm</w:t>
      </w:r>
      <w:r w:rsidR="00BD17F4">
        <w:t>e réunion, le Comité a examiné l</w:t>
      </w:r>
      <w:r>
        <w:t>es cas individuels de non-respect par des Parties de l</w:t>
      </w:r>
      <w:r w:rsidR="00751C81">
        <w:t>’</w:t>
      </w:r>
      <w:r>
        <w:t>obligation de prendre les mesures nécessaires pour appliquer le Protocole. Dans ce contexte, le Comité a examiné une</w:t>
      </w:r>
      <w:r w:rsidR="00DF70EA">
        <w:t xml:space="preserve"> mise à jour des progrès accompli</w:t>
      </w:r>
      <w:r w:rsidR="001438BF">
        <w:t>s par les Parties dont l</w:t>
      </w:r>
      <w:r>
        <w:t>es plans d</w:t>
      </w:r>
      <w:r w:rsidR="0000372A">
        <w:t>’</w:t>
      </w:r>
      <w:r>
        <w:t xml:space="preserve">action </w:t>
      </w:r>
      <w:r w:rsidR="001438BF">
        <w:t>pour le respect de</w:t>
      </w:r>
      <w:r w:rsidR="00751C81">
        <w:t>s obligations sont en cours de réalisation</w:t>
      </w:r>
      <w:r>
        <w:t xml:space="preserve"> et a décidé de les inviter à un échange informel en ligne avec le Comité, </w:t>
      </w:r>
      <w:r w:rsidR="00DF70EA">
        <w:t>à sa dix-neuvième réunion, afin d’</w:t>
      </w:r>
      <w:r>
        <w:t xml:space="preserve">examiner les progrès accomplis et les difficultés éventuelles </w:t>
      </w:r>
      <w:r w:rsidR="001438BF">
        <w:t>rencontrées dans</w:t>
      </w:r>
      <w:r>
        <w:t xml:space="preserve"> la mise en œuvre de leurs plans. Des </w:t>
      </w:r>
      <w:r>
        <w:lastRenderedPageBreak/>
        <w:t>échanges informels en ligne avec quatre Parties ont eu lieu au cours de la dix-neuvième réunion du Comité. Le Comité est convenu que les échanges avaient été utiles et que cette pratique devrait être poursuivie à l</w:t>
      </w:r>
      <w:r w:rsidR="0000372A">
        <w:t>’</w:t>
      </w:r>
      <w:r>
        <w:t xml:space="preserve">avenir. </w:t>
      </w:r>
    </w:p>
    <w:p w14:paraId="1229B1EB" w14:textId="77777777" w:rsidR="00543B18" w:rsidRDefault="00F22598">
      <w:pPr>
        <w:pStyle w:val="CBDNormalNumber"/>
      </w:pPr>
      <w:r>
        <w:t>Le Comité a examiné la possibilité d</w:t>
      </w:r>
      <w:r w:rsidR="0000372A">
        <w:t>’</w:t>
      </w:r>
      <w:r>
        <w:t>apporter une assistance au Programme des Nations Unies pour l</w:t>
      </w:r>
      <w:r w:rsidR="0000372A">
        <w:t>’</w:t>
      </w:r>
      <w:r>
        <w:t>environnement (PNUE) par l</w:t>
      </w:r>
      <w:r w:rsidR="0000372A">
        <w:t>’</w:t>
      </w:r>
      <w:r>
        <w:t>intermédiaire de sa Plateforme d</w:t>
      </w:r>
      <w:r w:rsidR="0000372A">
        <w:t>’</w:t>
      </w:r>
      <w:r>
        <w:t>assistance en matière de droit et d</w:t>
      </w:r>
      <w:r w:rsidR="0000372A">
        <w:t>’</w:t>
      </w:r>
      <w:r>
        <w:t>environnement</w:t>
      </w:r>
      <w:r w:rsidR="0041495E">
        <w:t>,</w:t>
      </w:r>
      <w:r w:rsidR="001E0D4C">
        <w:t xml:space="preserve"> aux fins d</w:t>
      </w:r>
      <w:r w:rsidR="0000372A">
        <w:t>’</w:t>
      </w:r>
      <w:r w:rsidR="001E0D4C">
        <w:t>élaboration de</w:t>
      </w:r>
      <w:r>
        <w:t xml:space="preserve"> mesures juridique</w:t>
      </w:r>
      <w:r w:rsidR="0041495E">
        <w:t>s nécessaires à l’application</w:t>
      </w:r>
      <w:r>
        <w:t xml:space="preserve"> du Protocole. Des représentants du PNUE ont participé à la dix-huitième réunion en ligne et ont fourni des informations supplémentaires. Les détails concernant la </w:t>
      </w:r>
      <w:r w:rsidR="0041495E">
        <w:t>possibilité de demander une assistance</w:t>
      </w:r>
      <w:r>
        <w:t xml:space="preserve"> ont ensuite été communiqués à to</w:t>
      </w:r>
      <w:r w:rsidR="0041495E">
        <w:t>utes les Parties qui avaient re</w:t>
      </w:r>
      <w:r>
        <w:t>mis un plan d</w:t>
      </w:r>
      <w:r w:rsidR="0000372A">
        <w:t>’</w:t>
      </w:r>
      <w:r>
        <w:t xml:space="preserve">action pour le </w:t>
      </w:r>
      <w:r w:rsidR="00696667">
        <w:t>respect des obligations</w:t>
      </w:r>
      <w:r w:rsidR="0041495E">
        <w:t xml:space="preserve"> au titre du Protocole</w:t>
      </w:r>
      <w:r>
        <w:t>. À sa dix-neuvième réunion, le Comité s</w:t>
      </w:r>
      <w:r w:rsidR="0000372A">
        <w:t>’</w:t>
      </w:r>
      <w:r>
        <w:t>est félicité du fait que trois des Parties avec lesquelles il s</w:t>
      </w:r>
      <w:r w:rsidR="0000372A">
        <w:t>’</w:t>
      </w:r>
      <w:r>
        <w:t>était entretenu dans le cadre des échanges en ligne étaient à un stade avancé de l</w:t>
      </w:r>
      <w:r w:rsidR="0000372A">
        <w:t>’</w:t>
      </w:r>
      <w:r w:rsidR="00BD17F4">
        <w:t>accès à un financement</w:t>
      </w:r>
      <w:r>
        <w:t xml:space="preserve"> du PNUE par l</w:t>
      </w:r>
      <w:r w:rsidR="0000372A">
        <w:t>’</w:t>
      </w:r>
      <w:r>
        <w:t>intermédiaire de sa Plateforme d</w:t>
      </w:r>
      <w:r w:rsidR="0000372A">
        <w:t>’</w:t>
      </w:r>
      <w:r>
        <w:t>assistance en matière de droit et d</w:t>
      </w:r>
      <w:r w:rsidR="0000372A">
        <w:t>’</w:t>
      </w:r>
      <w:r>
        <w:t xml:space="preserve">environnement. Le Comité a reconnu que, malgré les </w:t>
      </w:r>
      <w:r w:rsidR="0041495E">
        <w:t>possibilités de financement aux fins d</w:t>
      </w:r>
      <w:r w:rsidR="00BD17F4">
        <w:t>’</w:t>
      </w:r>
      <w:r w:rsidR="0041495E">
        <w:t>élaboration d’une</w:t>
      </w:r>
      <w:r>
        <w:t xml:space="preserve"> législation, certaines de ces Parties auraient besoin d</w:t>
      </w:r>
      <w:r w:rsidR="0000372A">
        <w:t>’</w:t>
      </w:r>
      <w:r>
        <w:t xml:space="preserve">un appui supplémentaire pour renforcer leur </w:t>
      </w:r>
      <w:r w:rsidR="0041495E">
        <w:t>application</w:t>
      </w:r>
      <w:r>
        <w:t xml:space="preserve"> du Protocole. Le Comité a noté que l</w:t>
      </w:r>
      <w:r w:rsidR="0000372A">
        <w:t>’</w:t>
      </w:r>
      <w:r>
        <w:t>un</w:t>
      </w:r>
      <w:r w:rsidR="0041495E">
        <w:t>e des difficulté</w:t>
      </w:r>
      <w:r>
        <w:t>s mentionné</w:t>
      </w:r>
      <w:r w:rsidR="0041495E">
        <w:t>e</w:t>
      </w:r>
      <w:r>
        <w:t>s par les Parties, concernant l</w:t>
      </w:r>
      <w:r w:rsidR="0000372A">
        <w:t>’</w:t>
      </w:r>
      <w:r w:rsidR="00BD17F4">
        <w:t>adoption officielle</w:t>
      </w:r>
      <w:r w:rsidR="0041495E">
        <w:t xml:space="preserve"> de</w:t>
      </w:r>
      <w:r w:rsidR="00BD17F4">
        <w:t>s</w:t>
      </w:r>
      <w:r w:rsidR="0041495E">
        <w:t xml:space="preserve"> mesures de prévention des risques biotechnologiques</w:t>
      </w:r>
      <w:r>
        <w:t xml:space="preserve"> une fois que ces mesures ont été élaborées, était le manque de volo</w:t>
      </w:r>
      <w:r w:rsidR="0041495E">
        <w:t xml:space="preserve">nté politique et de priorité accordée à </w:t>
      </w:r>
      <w:r>
        <w:t xml:space="preserve">la </w:t>
      </w:r>
      <w:r w:rsidR="0041495E">
        <w:t>prévention des risques biotechnologiques</w:t>
      </w:r>
      <w:r>
        <w:t>.</w:t>
      </w:r>
    </w:p>
    <w:p w14:paraId="649B4448" w14:textId="77777777" w:rsidR="00543B18" w:rsidRDefault="001E0D4C">
      <w:pPr>
        <w:pStyle w:val="CBDNormalNumber"/>
        <w:rPr>
          <w:bCs/>
          <w:i/>
        </w:rPr>
      </w:pPr>
      <w:r>
        <w:t>Le Comité a examiné de quelle manière</w:t>
      </w:r>
      <w:r w:rsidR="00F22598">
        <w:t xml:space="preserve"> des ressources supplémen</w:t>
      </w:r>
      <w:r>
        <w:t>taires étaient requis</w:t>
      </w:r>
      <w:r w:rsidR="0041495E">
        <w:t>es. Il</w:t>
      </w:r>
      <w:r w:rsidR="00F22598">
        <w:t xml:space="preserve"> a reconnu qu</w:t>
      </w:r>
      <w:r w:rsidR="0000372A">
        <w:t>’</w:t>
      </w:r>
      <w:r w:rsidR="00F22598">
        <w:t>il était possible d</w:t>
      </w:r>
      <w:r w:rsidR="0000372A">
        <w:t>’</w:t>
      </w:r>
      <w:r>
        <w:t>accéder à des financements</w:t>
      </w:r>
      <w:r w:rsidR="00F22598">
        <w:t xml:space="preserve"> par l</w:t>
      </w:r>
      <w:r w:rsidR="0000372A">
        <w:t>’</w:t>
      </w:r>
      <w:r w:rsidR="00F22598">
        <w:t>intermédiaire du Fonds pour l</w:t>
      </w:r>
      <w:r w:rsidR="0000372A">
        <w:t>’</w:t>
      </w:r>
      <w:r w:rsidR="00F22598">
        <w:t>environnement mondial (FEM), tout en reconnaissant les limites à cet égard, dues, entre autres, au manque d</w:t>
      </w:r>
      <w:r w:rsidR="0000372A">
        <w:t>’</w:t>
      </w:r>
      <w:r w:rsidR="00F22598">
        <w:t>informations et de capacités</w:t>
      </w:r>
      <w:r>
        <w:t>,</w:t>
      </w:r>
      <w:r w:rsidR="00F22598">
        <w:t xml:space="preserve"> ainsi qu</w:t>
      </w:r>
      <w:r w:rsidR="0000372A">
        <w:t>’</w:t>
      </w:r>
      <w:r w:rsidR="00F22598">
        <w:t>à la longueur du processus d</w:t>
      </w:r>
      <w:r w:rsidR="0000372A">
        <w:t>’</w:t>
      </w:r>
      <w:r>
        <w:t xml:space="preserve">accès aux financements </w:t>
      </w:r>
      <w:r w:rsidR="00F22598">
        <w:t xml:space="preserve">du FEM. </w:t>
      </w:r>
    </w:p>
    <w:p w14:paraId="33977C09" w14:textId="77777777" w:rsidR="00543B18" w:rsidRDefault="00F22598">
      <w:pPr>
        <w:pStyle w:val="CBDNormalNumber"/>
      </w:pPr>
      <w:r>
        <w:t>À sa dix-huitième réun</w:t>
      </w:r>
      <w:r w:rsidR="001E0D4C">
        <w:t>ion, le Comité, se fondant sur l</w:t>
      </w:r>
      <w:r>
        <w:t>es informations tirées de</w:t>
      </w:r>
      <w:r w:rsidR="001E0D4C">
        <w:t>s</w:t>
      </w:r>
      <w:r>
        <w:t xml:space="preserve"> rapports nationaux supplémentaires reçus, a recensé d</w:t>
      </w:r>
      <w:r w:rsidR="0000372A">
        <w:t>’</w:t>
      </w:r>
      <w:r>
        <w:t>a</w:t>
      </w:r>
      <w:r w:rsidR="001E0D4C">
        <w:t>utres Parties qui ont indiqué</w:t>
      </w:r>
      <w:r>
        <w:t xml:space="preserve"> ne pas avoir mis en place les mesures nécessaires pour appliquer le Protocole. Le Comité a demandé à ces Parties d</w:t>
      </w:r>
      <w:r w:rsidR="0000372A">
        <w:t>’</w:t>
      </w:r>
      <w:r>
        <w:t>élaborer un plan d</w:t>
      </w:r>
      <w:r w:rsidR="0000372A">
        <w:t>’</w:t>
      </w:r>
      <w:r>
        <w:t xml:space="preserve">action pour le </w:t>
      </w:r>
      <w:r w:rsidR="00696667">
        <w:t>respect des obligations</w:t>
      </w:r>
      <w:r w:rsidR="0041495E">
        <w:t xml:space="preserve"> au titre du Protocole</w:t>
      </w:r>
      <w:r>
        <w:t xml:space="preserve">. </w:t>
      </w:r>
    </w:p>
    <w:p w14:paraId="557E451A" w14:textId="77777777" w:rsidR="00543B18" w:rsidRDefault="00F22598">
      <w:pPr>
        <w:pStyle w:val="CBDNormalNumber"/>
      </w:pPr>
      <w:r>
        <w:t>À l</w:t>
      </w:r>
      <w:r w:rsidR="0000372A">
        <w:t>’</w:t>
      </w:r>
      <w:r>
        <w:t xml:space="preserve">issue de la dix-huitième réunion du Comité, </w:t>
      </w:r>
      <w:r w:rsidR="001E0D4C">
        <w:t>cinq autres Parties ont remis</w:t>
      </w:r>
      <w:r>
        <w:t xml:space="preserve"> des plans d</w:t>
      </w:r>
      <w:r w:rsidR="0000372A">
        <w:t>’</w:t>
      </w:r>
      <w:r w:rsidR="0041495E">
        <w:t>action pour le</w:t>
      </w:r>
      <w:r>
        <w:t xml:space="preserve"> </w:t>
      </w:r>
      <w:r w:rsidR="00696667">
        <w:t>respect des obligations</w:t>
      </w:r>
      <w:r>
        <w:t>, ce qui porte à 11 le nombre total de plans d</w:t>
      </w:r>
      <w:r w:rsidR="0000372A">
        <w:t>’</w:t>
      </w:r>
      <w:r>
        <w:t>action en cours d</w:t>
      </w:r>
      <w:r w:rsidR="00751C81">
        <w:t>e réalisation</w:t>
      </w:r>
      <w:r>
        <w:t>. À sa dix-neuvième réunion, le Comité s</w:t>
      </w:r>
      <w:r w:rsidR="0000372A">
        <w:t>’</w:t>
      </w:r>
      <w:r w:rsidR="001E0D4C">
        <w:t>est félicité de la remise</w:t>
      </w:r>
      <w:r>
        <w:t xml:space="preserve"> des plans</w:t>
      </w:r>
      <w:r w:rsidR="0041495E">
        <w:t xml:space="preserve"> d’action</w:t>
      </w:r>
      <w:r>
        <w:t xml:space="preserve"> et est conve</w:t>
      </w:r>
      <w:r w:rsidR="00751C81">
        <w:t>nu que le Secrétariat effectuera</w:t>
      </w:r>
      <w:r w:rsidR="0041495E">
        <w:t xml:space="preserve"> un suivi auprès de </w:t>
      </w:r>
      <w:r w:rsidR="000C289B">
        <w:t>ces Parties sur l</w:t>
      </w:r>
      <w:r>
        <w:t>es</w:t>
      </w:r>
      <w:r w:rsidR="000C289B">
        <w:t xml:space="preserve"> progrès accomplis dans la réalisation</w:t>
      </w:r>
      <w:r>
        <w:t xml:space="preserve"> des activités décrites dans les plans</w:t>
      </w:r>
      <w:r w:rsidR="000C289B">
        <w:t xml:space="preserve"> d’action</w:t>
      </w:r>
      <w:r>
        <w:t xml:space="preserve">.  </w:t>
      </w:r>
    </w:p>
    <w:p w14:paraId="682DDC7F" w14:textId="77777777" w:rsidR="00543B18" w:rsidRDefault="00F22598">
      <w:pPr>
        <w:pStyle w:val="CBDNormalNumber"/>
        <w:rPr>
          <w:kern w:val="22"/>
        </w:rPr>
      </w:pPr>
      <w:r>
        <w:t>À sa dix-neuvième réunion, le Comité a souligné qu</w:t>
      </w:r>
      <w:r w:rsidR="0000372A">
        <w:t>’</w:t>
      </w:r>
      <w:r>
        <w:t>il importait de fournir un appui financier aux Parties dont les plans d</w:t>
      </w:r>
      <w:r w:rsidR="0000372A">
        <w:t>’</w:t>
      </w:r>
      <w:r w:rsidR="000C289B">
        <w:t>action pour le</w:t>
      </w:r>
      <w:r>
        <w:t xml:space="preserve"> </w:t>
      </w:r>
      <w:r w:rsidR="00696667">
        <w:t>respect des obligations</w:t>
      </w:r>
      <w:r w:rsidR="00751C81">
        <w:t xml:space="preserve"> son</w:t>
      </w:r>
      <w:r w:rsidR="000C289B">
        <w:t>t en c</w:t>
      </w:r>
      <w:r w:rsidR="001E0D4C">
        <w:t>ours de réalisation</w:t>
      </w:r>
      <w:r>
        <w:t xml:space="preserve">. </w:t>
      </w:r>
    </w:p>
    <w:p w14:paraId="4270DD1D" w14:textId="77777777" w:rsidR="00543B18" w:rsidRDefault="00F22598">
      <w:pPr>
        <w:pStyle w:val="CBDNormalNumber"/>
      </w:pPr>
      <w:r>
        <w:t>Plusieurs Parties qui avaient été priées d</w:t>
      </w:r>
      <w:r w:rsidR="0000372A">
        <w:t>’</w:t>
      </w:r>
      <w:r>
        <w:t>élaborer un plan d</w:t>
      </w:r>
      <w:r w:rsidR="0000372A">
        <w:t>’</w:t>
      </w:r>
      <w:r>
        <w:t xml:space="preserve">action pour le </w:t>
      </w:r>
      <w:r w:rsidR="00696667">
        <w:t>respect des obligations</w:t>
      </w:r>
      <w:r>
        <w:t xml:space="preserve"> ont fourni des information</w:t>
      </w:r>
      <w:r w:rsidR="000C289B">
        <w:t xml:space="preserve">s sur </w:t>
      </w:r>
      <w:r w:rsidR="001E0D4C">
        <w:t>les progrès accomplis dans</w:t>
      </w:r>
      <w:r>
        <w:t xml:space="preserve"> l</w:t>
      </w:r>
      <w:r w:rsidR="0000372A">
        <w:t>’</w:t>
      </w:r>
      <w:r>
        <w:t>adoption de</w:t>
      </w:r>
      <w:r w:rsidR="000C289B">
        <w:t xml:space="preserve"> mesures pour assurer l’</w:t>
      </w:r>
      <w:r>
        <w:t>application du Protocole. À sa dix-neuvième réunion, le Comité s</w:t>
      </w:r>
      <w:r w:rsidR="0000372A">
        <w:t>’</w:t>
      </w:r>
      <w:r>
        <w:t>est félicité de la publication par l</w:t>
      </w:r>
      <w:r w:rsidR="0000372A">
        <w:t>’</w:t>
      </w:r>
      <w:r>
        <w:t>une de ces Par</w:t>
      </w:r>
      <w:r w:rsidR="000C289B">
        <w:t>ties de ses mesures dans le</w:t>
      </w:r>
      <w:r>
        <w:t xml:space="preserve"> Centre d</w:t>
      </w:r>
      <w:r w:rsidR="0000372A">
        <w:t>’</w:t>
      </w:r>
      <w:r>
        <w:t>échange pour la prévention des risques biot</w:t>
      </w:r>
      <w:r w:rsidR="001E0D4C">
        <w:t xml:space="preserve">echnologiques et a décidé d’assurer </w:t>
      </w:r>
      <w:r w:rsidR="000C289B">
        <w:t>un suivi auprès d</w:t>
      </w:r>
      <w:r w:rsidR="001E0D4C">
        <w:t>es autres Parties</w:t>
      </w:r>
      <w:r>
        <w:t xml:space="preserve"> qui n</w:t>
      </w:r>
      <w:r w:rsidR="0000372A">
        <w:t>’</w:t>
      </w:r>
      <w:r>
        <w:t>avaient pas enc</w:t>
      </w:r>
      <w:r w:rsidR="000C289B">
        <w:t xml:space="preserve">ore publié </w:t>
      </w:r>
      <w:r w:rsidR="001E0D4C">
        <w:t>leurs mesures, dans le cadre de</w:t>
      </w:r>
      <w:r>
        <w:t xml:space="preserve"> communications </w:t>
      </w:r>
      <w:r w:rsidR="000C289B">
        <w:t xml:space="preserve">portant </w:t>
      </w:r>
      <w:r>
        <w:t xml:space="preserve">sur les incohérences entre les informations figurant dans les rapports nationaux </w:t>
      </w:r>
      <w:r w:rsidR="000C289B">
        <w:t>et les informations publiées dans le</w:t>
      </w:r>
      <w:r>
        <w:t xml:space="preserve"> Centre d</w:t>
      </w:r>
      <w:r w:rsidR="0000372A">
        <w:t>’</w:t>
      </w:r>
      <w:r>
        <w:t xml:space="preserve">échange pour la prévention des risques biotechnologiques. </w:t>
      </w:r>
    </w:p>
    <w:p w14:paraId="7EDF675D" w14:textId="77777777" w:rsidR="00543B18" w:rsidRDefault="00F22598">
      <w:pPr>
        <w:pStyle w:val="CBDNormalNumber"/>
      </w:pPr>
      <w:r>
        <w:t>Le Comité a décidé d</w:t>
      </w:r>
      <w:r w:rsidR="0000372A">
        <w:t>’</w:t>
      </w:r>
      <w:r w:rsidR="000C289B">
        <w:t>assurer un suivi auprès d</w:t>
      </w:r>
      <w:r>
        <w:t>es Parties qui n</w:t>
      </w:r>
      <w:r w:rsidR="0000372A">
        <w:t>’</w:t>
      </w:r>
      <w:r w:rsidR="000C289B">
        <w:t>avaient toujours pas re</w:t>
      </w:r>
      <w:r w:rsidR="001E0D4C">
        <w:t>mis un</w:t>
      </w:r>
      <w:r>
        <w:t xml:space="preserve"> plan d</w:t>
      </w:r>
      <w:r w:rsidR="0000372A">
        <w:t>’</w:t>
      </w:r>
      <w:r>
        <w:t xml:space="preserve">action pour le </w:t>
      </w:r>
      <w:r w:rsidR="00696667">
        <w:t>respect des obligations</w:t>
      </w:r>
      <w:r w:rsidR="000C289B">
        <w:t xml:space="preserve"> au titre du Protocole</w:t>
      </w:r>
      <w:r>
        <w:t xml:space="preserve">. </w:t>
      </w:r>
    </w:p>
    <w:p w14:paraId="5B8D6613" w14:textId="77777777" w:rsidR="00543B18" w:rsidRDefault="003A5BFD">
      <w:pPr>
        <w:pStyle w:val="CBDNormalNumber"/>
      </w:pPr>
      <w:r>
        <w:t>Lors</w:t>
      </w:r>
      <w:r w:rsidR="00751C81">
        <w:t xml:space="preserve"> des</w:t>
      </w:r>
      <w:r w:rsidR="00F22598">
        <w:t xml:space="preserve"> dix-huitième et dix-neuvième réunions, les membres du Comité ont examiné, sous d</w:t>
      </w:r>
      <w:r w:rsidR="0000372A">
        <w:t>’</w:t>
      </w:r>
      <w:r w:rsidR="00F22598">
        <w:t>autres rubriques, les nouveaux développements dans le domaine de la biotechnologie. Le Comité a rappelé le débat qu</w:t>
      </w:r>
      <w:r w:rsidR="0000372A">
        <w:t>’</w:t>
      </w:r>
      <w:r w:rsidR="00F22598">
        <w:t>il avait consacré à cette</w:t>
      </w:r>
      <w:r w:rsidR="000C289B">
        <w:t xml:space="preserve"> question à sa seizième réunion</w:t>
      </w:r>
      <w:r w:rsidR="00237894">
        <w:rPr>
          <w:rStyle w:val="FootnoteReference"/>
        </w:rPr>
        <w:footnoteReference w:id="4"/>
      </w:r>
      <w:r w:rsidR="000C289B">
        <w:t>.</w:t>
      </w:r>
      <w:r w:rsidR="00F22598">
        <w:t xml:space="preserve"> Le Comité a noté que </w:t>
      </w:r>
      <w:r w:rsidR="00F22598">
        <w:lastRenderedPageBreak/>
        <w:t>le Groupe spécial d</w:t>
      </w:r>
      <w:r w:rsidR="0000372A">
        <w:t>’</w:t>
      </w:r>
      <w:r w:rsidR="00F22598">
        <w:t xml:space="preserve">experts techniques sur la biologie </w:t>
      </w:r>
      <w:r w:rsidR="000C289B">
        <w:t>de synthèse</w:t>
      </w:r>
      <w:r w:rsidR="00F22598">
        <w:t>, dans son rapport sur sa réunion de décembre 2017, avait conclu que la plupart des organismes vivants</w:t>
      </w:r>
      <w:r w:rsidR="000C289B">
        <w:t xml:space="preserve"> modifiés</w:t>
      </w:r>
      <w:r w:rsidR="00F22598">
        <w:t xml:space="preserve"> déjà développés ou en cours de recherche-développement par des techniques de biologie </w:t>
      </w:r>
      <w:r w:rsidR="000C289B">
        <w:t>de synthèse</w:t>
      </w:r>
      <w:r w:rsidR="00F22598">
        <w:t xml:space="preserve">, </w:t>
      </w:r>
      <w:r w:rsidR="001973F0">
        <w:t>y compris les organismes issus du forçage génétique</w:t>
      </w:r>
      <w:r w:rsidR="00F22598">
        <w:t>, re</w:t>
      </w:r>
      <w:r>
        <w:t>levaient de la définition du terme</w:t>
      </w:r>
      <w:r w:rsidR="000C289B">
        <w:t xml:space="preserve"> « </w:t>
      </w:r>
      <w:r w:rsidR="00F22598">
        <w:t>organ</w:t>
      </w:r>
      <w:r>
        <w:t>isme vivant modifié</w:t>
      </w:r>
      <w:r w:rsidR="000C289B">
        <w:t xml:space="preserve"> » énoncée dans le Protocole de Cartagena</w:t>
      </w:r>
      <w:r w:rsidR="00237894">
        <w:rPr>
          <w:rStyle w:val="FootnoteReference"/>
        </w:rPr>
        <w:footnoteReference w:id="5"/>
      </w:r>
      <w:r w:rsidR="000C289B">
        <w:t>.</w:t>
      </w:r>
      <w:r w:rsidR="00F22598">
        <w:t xml:space="preserve"> Le Comité a également noté qu</w:t>
      </w:r>
      <w:r w:rsidR="0000372A">
        <w:t>’</w:t>
      </w:r>
      <w:r w:rsidR="00F22598">
        <w:t>à sa réunion de juin 2019, le Groupe d</w:t>
      </w:r>
      <w:r w:rsidR="0000372A">
        <w:t>’</w:t>
      </w:r>
      <w:r w:rsidR="00F22598">
        <w:t>experts techniques avait convenu que sa co</w:t>
      </w:r>
      <w:r w:rsidR="000C289B">
        <w:t>nclusion était toujours valide</w:t>
      </w:r>
      <w:r w:rsidR="00237894">
        <w:rPr>
          <w:rStyle w:val="FootnoteReference"/>
        </w:rPr>
        <w:footnoteReference w:id="6"/>
      </w:r>
      <w:r w:rsidR="000C289B">
        <w:t>.</w:t>
      </w:r>
    </w:p>
    <w:p w14:paraId="5A91DA84" w14:textId="77777777" w:rsidR="00543B18" w:rsidRDefault="00F22598">
      <w:pPr>
        <w:pStyle w:val="CBDNormalNumber"/>
        <w:rPr>
          <w:i/>
          <w:iCs/>
        </w:rPr>
      </w:pPr>
      <w:r>
        <w:t>Les membres du Comité se sont inquiétés des interprétations d</w:t>
      </w:r>
      <w:r w:rsidR="0084315C">
        <w:t>ivergentes de la définition du terme</w:t>
      </w:r>
      <w:r>
        <w:t xml:space="preserve"> «</w:t>
      </w:r>
      <w:r w:rsidR="00E957B8">
        <w:t xml:space="preserve"> </w:t>
      </w:r>
      <w:r>
        <w:t>organisme vivant modifié</w:t>
      </w:r>
      <w:r w:rsidR="00E957B8">
        <w:t xml:space="preserve"> </w:t>
      </w:r>
      <w:r>
        <w:t>» au titre du Protocole de Cartagena et des approches législatives divergentes entre les Parties concernant les nouveaux développements dans le domaine de la biotechnologie, y compris l</w:t>
      </w:r>
      <w:r w:rsidR="00627281">
        <w:t>es modifications</w:t>
      </w:r>
      <w:r w:rsidR="003A5BFD">
        <w:t xml:space="preserve"> du génome. Le Comité est</w:t>
      </w:r>
      <w:r>
        <w:t xml:space="preserve"> convenu qu</w:t>
      </w:r>
      <w:r w:rsidR="0000372A">
        <w:t>’</w:t>
      </w:r>
      <w:r>
        <w:t>il n</w:t>
      </w:r>
      <w:r w:rsidR="0000372A">
        <w:t>’</w:t>
      </w:r>
      <w:r>
        <w:t>appartenait pas au Comité lui-même de résoudre cette question, mais qu</w:t>
      </w:r>
      <w:r w:rsidR="0000372A">
        <w:t>’</w:t>
      </w:r>
      <w:r w:rsidR="003A5BFD">
        <w:t>il importait</w:t>
      </w:r>
      <w:r>
        <w:t xml:space="preserve"> d</w:t>
      </w:r>
      <w:r w:rsidR="0000372A">
        <w:t>’</w:t>
      </w:r>
      <w:r w:rsidR="0084315C">
        <w:t>attire</w:t>
      </w:r>
      <w:r>
        <w:t>r l</w:t>
      </w:r>
      <w:r w:rsidR="0000372A">
        <w:t>’</w:t>
      </w:r>
      <w:r>
        <w:t xml:space="preserve">attention de la Conférence des Parties </w:t>
      </w:r>
      <w:r w:rsidR="001A1526">
        <w:t>siégeant en tant que</w:t>
      </w:r>
      <w:r>
        <w:t xml:space="preserve"> réunion des Parties au Protocole sur cette question. Le Comité a décidé de recommander que la Conférence des Parties </w:t>
      </w:r>
      <w:r w:rsidR="001A1526">
        <w:t>siégeant en tant que</w:t>
      </w:r>
      <w:r>
        <w:t xml:space="preserve"> réunion des Parties au Protocole</w:t>
      </w:r>
      <w:r w:rsidR="003A5BFD">
        <w:t xml:space="preserve"> examine la question plus avant</w:t>
      </w:r>
      <w:r>
        <w:t xml:space="preserve"> à sa onzième réunion.</w:t>
      </w:r>
    </w:p>
    <w:p w14:paraId="2878DE35" w14:textId="77777777" w:rsidR="00543B18" w:rsidRDefault="00F22598">
      <w:pPr>
        <w:pStyle w:val="CBDNormalNumber"/>
      </w:pPr>
      <w:r>
        <w:t>Le texte intégral des rapports du Comité sur les travaux de ses dix-huitièm</w:t>
      </w:r>
      <w:r w:rsidR="00E957B8">
        <w:t>e et dix-neuvième réunions</w:t>
      </w:r>
      <w:r w:rsidR="00D00229">
        <w:rPr>
          <w:rStyle w:val="FootnoteReference"/>
        </w:rPr>
        <w:footnoteReference w:id="7"/>
      </w:r>
      <w:r w:rsidR="00E957B8">
        <w:t>,</w:t>
      </w:r>
      <w:r>
        <w:t xml:space="preserve"> ainsi que les documents de travail de chaque réunion, sont disponibles sur le </w:t>
      </w:r>
      <w:hyperlink r:id="rId14" w:history="1">
        <w:r>
          <w:rPr>
            <w:rStyle w:val="Hyperlink"/>
          </w:rPr>
          <w:t>site Web</w:t>
        </w:r>
      </w:hyperlink>
      <w:r>
        <w:rPr>
          <w:rStyle w:val="Hyperlink"/>
        </w:rPr>
        <w:t xml:space="preserve"> </w:t>
      </w:r>
      <w:r w:rsidRPr="00E04EAE">
        <w:rPr>
          <w:rStyle w:val="Hyperlink"/>
          <w:color w:val="auto"/>
          <w:u w:val="none"/>
        </w:rPr>
        <w:t>du</w:t>
      </w:r>
      <w:r>
        <w:rPr>
          <w:rStyle w:val="Hyperlink"/>
        </w:rPr>
        <w:t xml:space="preserve"> </w:t>
      </w:r>
      <w:r>
        <w:t xml:space="preserve">Secrétariat. </w:t>
      </w:r>
    </w:p>
    <w:p w14:paraId="3FF17271" w14:textId="77777777" w:rsidR="002B559C" w:rsidRDefault="002B559C" w:rsidP="0013607C">
      <w:pPr>
        <w:pStyle w:val="Para1"/>
        <w:numPr>
          <w:ilvl w:val="0"/>
          <w:numId w:val="0"/>
        </w:numPr>
        <w:ind w:left="567"/>
        <w:sectPr w:rsidR="002B559C" w:rsidSect="00C10E36">
          <w:headerReference w:type="even" r:id="rId15"/>
          <w:headerReference w:type="default" r:id="rId16"/>
          <w:footerReference w:type="even" r:id="rId17"/>
          <w:footerReference w:type="default" r:id="rId18"/>
          <w:footnotePr>
            <w:numRestart w:val="eachSect"/>
          </w:footnotePr>
          <w:pgSz w:w="12240" w:h="15840"/>
          <w:pgMar w:top="1134" w:right="1440" w:bottom="1134" w:left="1440" w:header="709" w:footer="709" w:gutter="0"/>
          <w:cols w:space="708"/>
          <w:titlePg/>
          <w:docGrid w:linePitch="360"/>
        </w:sectPr>
      </w:pPr>
    </w:p>
    <w:p w14:paraId="2CC03510" w14:textId="77777777" w:rsidR="00543B18" w:rsidRDefault="00F22598">
      <w:pPr>
        <w:pStyle w:val="Annex"/>
        <w:ind w:left="567"/>
      </w:pPr>
      <w:r>
        <w:lastRenderedPageBreak/>
        <w:t>Annexe</w:t>
      </w:r>
    </w:p>
    <w:p w14:paraId="64C082BF" w14:textId="77777777" w:rsidR="00543B18" w:rsidRDefault="00F22598" w:rsidP="003A5BFD">
      <w:pPr>
        <w:pStyle w:val="CBDTitle"/>
        <w:spacing w:after="360"/>
      </w:pPr>
      <w:r>
        <w:t xml:space="preserve">Recommandations du </w:t>
      </w:r>
      <w:r w:rsidR="0000372A">
        <w:t>Comité chargé du respect des obligations</w:t>
      </w:r>
      <w:r w:rsidR="00E957B8">
        <w:t xml:space="preserve"> à la Conférence </w:t>
      </w:r>
      <w:r>
        <w:t xml:space="preserve">des Parties </w:t>
      </w:r>
      <w:r w:rsidR="001A1526">
        <w:t>siégeant en tant que</w:t>
      </w:r>
      <w:r>
        <w:t xml:space="preserve"> réunion des Parties au Protocole de Cartagena sur la prévention des risques biotechnologiques à sa onzième réunion</w:t>
      </w:r>
      <w:r>
        <w:rPr>
          <w:rStyle w:val="FootnoteReference"/>
        </w:rPr>
        <w:footnoteReference w:customMarkFollows="1" w:id="8"/>
        <w:t>*</w:t>
      </w:r>
    </w:p>
    <w:p w14:paraId="4864D4B8" w14:textId="77777777" w:rsidR="00543B18" w:rsidRDefault="00E957B8">
      <w:pPr>
        <w:pStyle w:val="CBDH1"/>
      </w:pPr>
      <w:r>
        <w:t>I.</w:t>
      </w:r>
      <w:r>
        <w:tab/>
        <w:t>Question</w:t>
      </w:r>
      <w:r w:rsidR="004146D8">
        <w:t>s relatives au respect des obligations</w:t>
      </w:r>
    </w:p>
    <w:p w14:paraId="5F416FEF" w14:textId="77777777" w:rsidR="00543B18" w:rsidRDefault="00F22598">
      <w:pPr>
        <w:pStyle w:val="CBDNormalNumber"/>
        <w:numPr>
          <w:ilvl w:val="0"/>
          <w:numId w:val="6"/>
        </w:numPr>
      </w:pPr>
      <w:r>
        <w:t>Rec</w:t>
      </w:r>
      <w:r w:rsidR="008714F8">
        <w:t>onnaissant que la clarté au sujet de</w:t>
      </w:r>
      <w:r>
        <w:t xml:space="preserve"> l</w:t>
      </w:r>
      <w:r w:rsidR="0000372A">
        <w:t>’</w:t>
      </w:r>
      <w:r>
        <w:t>app</w:t>
      </w:r>
      <w:r w:rsidR="004146D8">
        <w:t>licabilité de la définition du terme</w:t>
      </w:r>
      <w:r>
        <w:t xml:space="preserve"> «</w:t>
      </w:r>
      <w:r w:rsidR="00E957B8">
        <w:t xml:space="preserve"> </w:t>
      </w:r>
      <w:r>
        <w:t>organisme vivant modifié</w:t>
      </w:r>
      <w:r w:rsidR="00E957B8">
        <w:t xml:space="preserve"> </w:t>
      </w:r>
      <w:r w:rsidR="008714F8">
        <w:t>» dans le contexte des nouveaux développements dans le domaine</w:t>
      </w:r>
      <w:r>
        <w:t xml:space="preserve"> de la biotechnologie au titre du Protocole de Cartagena sur la prévention des risques</w:t>
      </w:r>
      <w:r w:rsidR="004146D8">
        <w:t xml:space="preserve"> biotechnologiques constituera</w:t>
      </w:r>
      <w:r>
        <w:t xml:space="preserve"> la base sur laquelle le </w:t>
      </w:r>
      <w:r w:rsidR="0000372A">
        <w:t>Comité chargé du respect des obligations</w:t>
      </w:r>
      <w:r w:rsidR="004146D8">
        <w:t xml:space="preserve"> pourra</w:t>
      </w:r>
      <w:r>
        <w:t xml:space="preserve"> s</w:t>
      </w:r>
      <w:r w:rsidR="0000372A">
        <w:t>’</w:t>
      </w:r>
      <w:r w:rsidR="003A5BFD">
        <w:t>appuyer pour accomplir</w:t>
      </w:r>
      <w:r w:rsidR="004146D8">
        <w:t xml:space="preserve"> ses fonctions</w:t>
      </w:r>
      <w:r>
        <w:t xml:space="preserve"> dans l</w:t>
      </w:r>
      <w:r w:rsidR="003A5BFD">
        <w:t>e cadre de l’</w:t>
      </w:r>
      <w:r>
        <w:t>examen</w:t>
      </w:r>
      <w:r w:rsidR="003A5BFD">
        <w:t xml:space="preserve"> du r</w:t>
      </w:r>
      <w:r w:rsidR="00C16E08">
        <w:t>espect par les Parties</w:t>
      </w:r>
      <w:r w:rsidR="008714F8">
        <w:t xml:space="preserve"> de leurs </w:t>
      </w:r>
      <w:r>
        <w:t>obligat</w:t>
      </w:r>
      <w:r w:rsidR="008714F8">
        <w:t xml:space="preserve">ions </w:t>
      </w:r>
      <w:r w:rsidR="004146D8">
        <w:t>au titre</w:t>
      </w:r>
      <w:r>
        <w:t xml:space="preserve"> du Protocole, le Comité recommande que la Conférence des Parties </w:t>
      </w:r>
      <w:r w:rsidR="001A1526">
        <w:t>siégeant en tant que</w:t>
      </w:r>
      <w:r>
        <w:t xml:space="preserve"> réunion des Parties au </w:t>
      </w:r>
      <w:r w:rsidR="00C16E08">
        <w:t>Protocole</w:t>
      </w:r>
      <w:r>
        <w:t xml:space="preserve"> </w:t>
      </w:r>
      <w:r w:rsidR="004146D8">
        <w:t>examine plus avant</w:t>
      </w:r>
      <w:r w:rsidR="00C16E08">
        <w:t>, à sa onzième réunion,</w:t>
      </w:r>
      <w:r w:rsidR="004146D8">
        <w:t xml:space="preserve"> les répercussion</w:t>
      </w:r>
      <w:r>
        <w:t>s des interprétations d</w:t>
      </w:r>
      <w:r w:rsidR="004146D8">
        <w:t>ivergentes de la définition du terme « </w:t>
      </w:r>
      <w:r>
        <w:t>organisme vivant modifié</w:t>
      </w:r>
      <w:r w:rsidR="004146D8">
        <w:t xml:space="preserve"> </w:t>
      </w:r>
      <w:r>
        <w:t>» au titre du Protocole de Cartagena et des approches législatives divergentes entre les Parties concernant les nouveaux développements dans le domaine de la biotech</w:t>
      </w:r>
      <w:r w:rsidR="004146D8">
        <w:t>nologie, y compris les modifications</w:t>
      </w:r>
      <w:r>
        <w:t xml:space="preserve"> du génome.</w:t>
      </w:r>
    </w:p>
    <w:p w14:paraId="6C6FFC89" w14:textId="77777777" w:rsidR="00543B18" w:rsidRDefault="00F22598" w:rsidP="003D780A">
      <w:pPr>
        <w:pStyle w:val="CBDNormalNumber"/>
        <w:numPr>
          <w:ilvl w:val="0"/>
          <w:numId w:val="6"/>
        </w:numPr>
        <w:spacing w:after="240"/>
      </w:pPr>
      <w:r>
        <w:t xml:space="preserve">Le </w:t>
      </w:r>
      <w:r w:rsidR="0000372A">
        <w:t>Comité chargé du respect des obligations</w:t>
      </w:r>
      <w:r w:rsidR="00C16E08">
        <w:t xml:space="preserve"> recommande également que</w:t>
      </w:r>
      <w:r>
        <w:t xml:space="preserve"> la Conférence des Parties </w:t>
      </w:r>
      <w:r w:rsidR="001A1526">
        <w:t>siégeant en tant que</w:t>
      </w:r>
      <w:r>
        <w:t xml:space="preserve"> réunion des Parties au Protocole adopte</w:t>
      </w:r>
      <w:r w:rsidR="00C16E08">
        <w:t>, à sa onzième réunion,</w:t>
      </w:r>
      <w:r w:rsidR="00DD5CF5">
        <w:t xml:space="preserve"> d</w:t>
      </w:r>
      <w:r w:rsidR="008714F8">
        <w:t>es</w:t>
      </w:r>
      <w:r>
        <w:t xml:space="preserve"> proj</w:t>
      </w:r>
      <w:r w:rsidR="00C16E08">
        <w:t>et</w:t>
      </w:r>
      <w:r w:rsidR="008714F8">
        <w:t>s</w:t>
      </w:r>
      <w:r>
        <w:t xml:space="preserve"> de décision </w:t>
      </w:r>
      <w:r w:rsidR="004146D8">
        <w:t xml:space="preserve">dans les termes </w:t>
      </w:r>
      <w:r>
        <w:t>suivants :</w:t>
      </w:r>
    </w:p>
    <w:p w14:paraId="1F38165F" w14:textId="77777777" w:rsidR="00543B18" w:rsidRDefault="00F22598">
      <w:pPr>
        <w:pStyle w:val="CBDH2"/>
        <w:rPr>
          <w:b w:val="0"/>
          <w:bCs/>
          <w:i/>
          <w:iCs/>
          <w:szCs w:val="24"/>
        </w:rPr>
      </w:pPr>
      <w:r>
        <w:tab/>
      </w:r>
      <w:r>
        <w:rPr>
          <w:b w:val="0"/>
          <w:bCs/>
          <w:i/>
          <w:iCs/>
          <w:szCs w:val="24"/>
        </w:rPr>
        <w:t>Questions générales</w:t>
      </w:r>
    </w:p>
    <w:p w14:paraId="45BF0511" w14:textId="77777777" w:rsidR="00543B18" w:rsidRDefault="00F22598">
      <w:pPr>
        <w:pStyle w:val="CBDDesicionText"/>
        <w:ind w:firstLine="567"/>
        <w:rPr>
          <w:bCs/>
          <w:i/>
          <w:iCs/>
          <w:snapToGrid w:val="0"/>
          <w:kern w:val="22"/>
          <w:szCs w:val="18"/>
          <w14:ligatures w14:val="standardContextual"/>
        </w:rPr>
      </w:pPr>
      <w:r>
        <w:rPr>
          <w:bCs/>
          <w:i/>
          <w:iCs/>
        </w:rPr>
        <w:t xml:space="preserve">La Conférence des Parties </w:t>
      </w:r>
      <w:r w:rsidR="001A1526">
        <w:rPr>
          <w:bCs/>
          <w:i/>
          <w:iCs/>
        </w:rPr>
        <w:t>siégeant en tant que</w:t>
      </w:r>
      <w:r>
        <w:rPr>
          <w:bCs/>
          <w:i/>
          <w:iCs/>
        </w:rPr>
        <w:t xml:space="preserve"> réunion des Parties au Protocole de Cartagena sur la prévention des risques biotechnologiques</w:t>
      </w:r>
    </w:p>
    <w:p w14:paraId="4C322CC0" w14:textId="77777777" w:rsidR="00543B18" w:rsidRDefault="00F22598">
      <w:pPr>
        <w:pStyle w:val="Para1"/>
        <w:numPr>
          <w:ilvl w:val="0"/>
          <w:numId w:val="0"/>
        </w:numPr>
        <w:ind w:left="567" w:firstLine="567"/>
      </w:pPr>
      <w:r>
        <w:t>1.</w:t>
      </w:r>
      <w:r>
        <w:tab/>
      </w:r>
      <w:r w:rsidR="00E957B8">
        <w:rPr>
          <w:i/>
          <w:iCs/>
        </w:rPr>
        <w:t>R</w:t>
      </w:r>
      <w:r>
        <w:rPr>
          <w:i/>
          <w:iCs/>
        </w:rPr>
        <w:t>appelle</w:t>
      </w:r>
      <w:r w:rsidR="00E957B8">
        <w:t xml:space="preserve"> aux P</w:t>
      </w:r>
      <w:r>
        <w:t>arties l</w:t>
      </w:r>
      <w:r w:rsidR="0000372A">
        <w:t>’</w:t>
      </w:r>
      <w:r w:rsidR="008714F8">
        <w:t>importance de s’</w:t>
      </w:r>
      <w:r w:rsidR="00F7539E">
        <w:t>acquitter de</w:t>
      </w:r>
      <w:r w:rsidR="00E957B8">
        <w:t xml:space="preserve"> leurs obligations au titre du P</w:t>
      </w:r>
      <w:r>
        <w:t xml:space="preserve">rotocole de </w:t>
      </w:r>
      <w:r w:rsidR="0000372A">
        <w:t>Cartagena</w:t>
      </w:r>
      <w:r>
        <w:t xml:space="preserve"> sur la prévention</w:t>
      </w:r>
      <w:r w:rsidR="00E957B8">
        <w:t xml:space="preserve"> des risques biotechnologiques</w:t>
      </w:r>
      <w:r w:rsidR="000C072A">
        <w:rPr>
          <w:rStyle w:val="FootnoteReference"/>
        </w:rPr>
        <w:footnoteReference w:id="9"/>
      </w:r>
      <w:r w:rsidR="00E957B8">
        <w:t>;</w:t>
      </w:r>
    </w:p>
    <w:p w14:paraId="3BEB97D8" w14:textId="77777777" w:rsidR="00543B18" w:rsidRDefault="00F22598">
      <w:pPr>
        <w:pStyle w:val="StylePara1Kernat11pt"/>
        <w:spacing w:before="0"/>
        <w:ind w:left="567" w:firstLine="567"/>
        <w:rPr>
          <w:i/>
          <w:iCs/>
          <w:szCs w:val="22"/>
        </w:rPr>
      </w:pPr>
      <w:r>
        <w:rPr>
          <w:szCs w:val="22"/>
        </w:rPr>
        <w:t>2.</w:t>
      </w:r>
      <w:r>
        <w:rPr>
          <w:szCs w:val="22"/>
        </w:rPr>
        <w:tab/>
      </w:r>
      <w:r>
        <w:rPr>
          <w:i/>
          <w:iCs/>
          <w:szCs w:val="22"/>
        </w:rPr>
        <w:t xml:space="preserve">Rappelle également </w:t>
      </w:r>
      <w:r>
        <w:rPr>
          <w:szCs w:val="22"/>
        </w:rPr>
        <w:t xml:space="preserve">aux Parties leur obligation de désigner un </w:t>
      </w:r>
      <w:r w:rsidR="00E957B8">
        <w:rPr>
          <w:szCs w:val="22"/>
        </w:rPr>
        <w:t>correspondant</w:t>
      </w:r>
      <w:r>
        <w:rPr>
          <w:szCs w:val="22"/>
        </w:rPr>
        <w:t xml:space="preserve"> national et de tenir à jour les informations sur leurs </w:t>
      </w:r>
      <w:r w:rsidR="00696667">
        <w:rPr>
          <w:szCs w:val="22"/>
        </w:rPr>
        <w:t>correspondants</w:t>
      </w:r>
      <w:r>
        <w:rPr>
          <w:szCs w:val="22"/>
        </w:rPr>
        <w:t xml:space="preserve"> nationaux</w:t>
      </w:r>
      <w:r w:rsidR="00E957B8">
        <w:rPr>
          <w:szCs w:val="22"/>
        </w:rPr>
        <w:t>;</w:t>
      </w:r>
    </w:p>
    <w:p w14:paraId="582D07FE" w14:textId="77777777" w:rsidR="00543B18" w:rsidRDefault="00F22598">
      <w:pPr>
        <w:pStyle w:val="StylePara1Kernat11pt"/>
        <w:spacing w:before="0"/>
        <w:ind w:left="567" w:firstLine="567"/>
        <w:rPr>
          <w:szCs w:val="22"/>
        </w:rPr>
      </w:pPr>
      <w:r>
        <w:rPr>
          <w:szCs w:val="22"/>
        </w:rPr>
        <w:t>3.</w:t>
      </w:r>
      <w:r>
        <w:rPr>
          <w:szCs w:val="22"/>
        </w:rPr>
        <w:tab/>
      </w:r>
      <w:r>
        <w:rPr>
          <w:i/>
          <w:iCs/>
          <w:szCs w:val="22"/>
        </w:rPr>
        <w:t xml:space="preserve">Demande </w:t>
      </w:r>
      <w:r>
        <w:rPr>
          <w:szCs w:val="22"/>
        </w:rPr>
        <w:t>aux Parties de collaborer pleinement lorsqu</w:t>
      </w:r>
      <w:r w:rsidR="0000372A">
        <w:rPr>
          <w:szCs w:val="22"/>
        </w:rPr>
        <w:t>’</w:t>
      </w:r>
      <w:r>
        <w:rPr>
          <w:szCs w:val="22"/>
        </w:rPr>
        <w:t>elles sont invitées à f</w:t>
      </w:r>
      <w:r w:rsidR="00F7539E">
        <w:rPr>
          <w:szCs w:val="22"/>
        </w:rPr>
        <w:t>ournir des informations sur le</w:t>
      </w:r>
      <w:r>
        <w:rPr>
          <w:szCs w:val="22"/>
        </w:rPr>
        <w:t xml:space="preserve"> r</w:t>
      </w:r>
      <w:r w:rsidR="00F7539E">
        <w:rPr>
          <w:szCs w:val="22"/>
        </w:rPr>
        <w:t>espect de leurs obligations au titre</w:t>
      </w:r>
      <w:r>
        <w:rPr>
          <w:szCs w:val="22"/>
        </w:rPr>
        <w:t xml:space="preserve"> du Protocole</w:t>
      </w:r>
      <w:r w:rsidR="00E957B8">
        <w:rPr>
          <w:szCs w:val="22"/>
        </w:rPr>
        <w:t>;</w:t>
      </w:r>
    </w:p>
    <w:p w14:paraId="529882E6" w14:textId="77777777" w:rsidR="00543B18" w:rsidRDefault="00F22598">
      <w:pPr>
        <w:pStyle w:val="StylePara1Kernat11pt"/>
        <w:ind w:left="567" w:firstLine="567"/>
        <w:rPr>
          <w:szCs w:val="22"/>
        </w:rPr>
      </w:pPr>
      <w:r>
        <w:rPr>
          <w:szCs w:val="22"/>
        </w:rPr>
        <w:t>4.</w:t>
      </w:r>
      <w:r>
        <w:rPr>
          <w:szCs w:val="22"/>
        </w:rPr>
        <w:tab/>
      </w:r>
      <w:r>
        <w:rPr>
          <w:i/>
          <w:iCs/>
          <w:szCs w:val="22"/>
        </w:rPr>
        <w:t xml:space="preserve">Prend note avec satisfaction </w:t>
      </w:r>
      <w:r w:rsidRPr="009E6345">
        <w:rPr>
          <w:iCs/>
          <w:szCs w:val="22"/>
        </w:rPr>
        <w:t xml:space="preserve">des </w:t>
      </w:r>
      <w:r>
        <w:rPr>
          <w:szCs w:val="22"/>
        </w:rPr>
        <w:t>efforts déployés par les Parties pour s</w:t>
      </w:r>
      <w:r w:rsidR="0000372A">
        <w:rPr>
          <w:szCs w:val="22"/>
        </w:rPr>
        <w:t>’</w:t>
      </w:r>
      <w:r>
        <w:rPr>
          <w:szCs w:val="22"/>
        </w:rPr>
        <w:t>acquitter de</w:t>
      </w:r>
      <w:r w:rsidR="008714F8">
        <w:rPr>
          <w:szCs w:val="22"/>
        </w:rPr>
        <w:t xml:space="preserve"> leur </w:t>
      </w:r>
      <w:r>
        <w:rPr>
          <w:szCs w:val="22"/>
        </w:rPr>
        <w:t>obli</w:t>
      </w:r>
      <w:r w:rsidR="008714F8">
        <w:rPr>
          <w:szCs w:val="22"/>
        </w:rPr>
        <w:t>gation au titre</w:t>
      </w:r>
      <w:r>
        <w:rPr>
          <w:szCs w:val="22"/>
        </w:rPr>
        <w:t xml:space="preserve"> du Protocole de mettre </w:t>
      </w:r>
      <w:r w:rsidR="008714F8">
        <w:rPr>
          <w:szCs w:val="22"/>
        </w:rPr>
        <w:t xml:space="preserve">à disposition </w:t>
      </w:r>
      <w:r>
        <w:rPr>
          <w:szCs w:val="22"/>
        </w:rPr>
        <w:t xml:space="preserve">des </w:t>
      </w:r>
      <w:r w:rsidR="008714F8">
        <w:rPr>
          <w:szCs w:val="22"/>
        </w:rPr>
        <w:t>informations dans le</w:t>
      </w:r>
      <w:r>
        <w:rPr>
          <w:szCs w:val="22"/>
        </w:rPr>
        <w:t xml:space="preserve"> Centre d</w:t>
      </w:r>
      <w:r w:rsidR="0000372A">
        <w:rPr>
          <w:szCs w:val="22"/>
        </w:rPr>
        <w:t>’</w:t>
      </w:r>
      <w:r>
        <w:rPr>
          <w:szCs w:val="22"/>
        </w:rPr>
        <w:t>échange pour la prévention des risques biotechnologiques, et prie instamment les Parties de veiller à ce que ces informations concordent avec les informations fournies dans leurs rapports nationaux</w:t>
      </w:r>
      <w:r w:rsidR="00E957B8">
        <w:rPr>
          <w:szCs w:val="22"/>
        </w:rPr>
        <w:t>;</w:t>
      </w:r>
    </w:p>
    <w:p w14:paraId="3FE29369" w14:textId="77777777" w:rsidR="00543B18" w:rsidRDefault="00F22598">
      <w:pPr>
        <w:pStyle w:val="StylePara1Kernat11pt"/>
        <w:ind w:left="567" w:firstLine="567"/>
        <w:rPr>
          <w:szCs w:val="22"/>
        </w:rPr>
      </w:pPr>
      <w:r>
        <w:rPr>
          <w:szCs w:val="22"/>
        </w:rPr>
        <w:t>5.</w:t>
      </w:r>
      <w:r>
        <w:rPr>
          <w:szCs w:val="22"/>
        </w:rPr>
        <w:tab/>
      </w:r>
      <w:r>
        <w:rPr>
          <w:i/>
          <w:iCs/>
          <w:szCs w:val="22"/>
        </w:rPr>
        <w:t xml:space="preserve">Encourage </w:t>
      </w:r>
      <w:r>
        <w:rPr>
          <w:szCs w:val="22"/>
        </w:rPr>
        <w:t>les Parties à utiliser les cham</w:t>
      </w:r>
      <w:r w:rsidR="00F7539E">
        <w:rPr>
          <w:szCs w:val="22"/>
        </w:rPr>
        <w:t xml:space="preserve">ps de texte libre dans le modèle </w:t>
      </w:r>
      <w:r w:rsidR="008714F8">
        <w:rPr>
          <w:szCs w:val="22"/>
        </w:rPr>
        <w:t xml:space="preserve">prévu </w:t>
      </w:r>
      <w:r w:rsidR="00F7539E">
        <w:rPr>
          <w:szCs w:val="22"/>
        </w:rPr>
        <w:t>pour le</w:t>
      </w:r>
      <w:r>
        <w:rPr>
          <w:szCs w:val="22"/>
        </w:rPr>
        <w:t xml:space="preserve"> cinquième rapport national afin d</w:t>
      </w:r>
      <w:r w:rsidR="0000372A">
        <w:rPr>
          <w:szCs w:val="22"/>
        </w:rPr>
        <w:t>’</w:t>
      </w:r>
      <w:r>
        <w:rPr>
          <w:szCs w:val="22"/>
        </w:rPr>
        <w:t xml:space="preserve">expliquer les réponses fournies, et invite les Parties qui rencontrent des difficultés pour se conformer à certaines obligations à partager dans ces champs de texte libre </w:t>
      </w:r>
      <w:r w:rsidR="008714F8">
        <w:rPr>
          <w:szCs w:val="22"/>
        </w:rPr>
        <w:t xml:space="preserve">des informations </w:t>
      </w:r>
      <w:r>
        <w:rPr>
          <w:szCs w:val="22"/>
        </w:rPr>
        <w:t>sur les difficultés rencontrées</w:t>
      </w:r>
      <w:r w:rsidR="00E957B8">
        <w:rPr>
          <w:szCs w:val="22"/>
        </w:rPr>
        <w:t>;</w:t>
      </w:r>
      <w:r>
        <w:rPr>
          <w:szCs w:val="22"/>
        </w:rPr>
        <w:t xml:space="preserve"> </w:t>
      </w:r>
    </w:p>
    <w:p w14:paraId="723E0586" w14:textId="77777777" w:rsidR="00543B18" w:rsidRDefault="00F22598">
      <w:pPr>
        <w:pStyle w:val="StylePara1Kernat11pt"/>
        <w:spacing w:before="0"/>
        <w:ind w:left="567" w:firstLine="567"/>
        <w:rPr>
          <w:i/>
          <w:iCs/>
          <w:szCs w:val="22"/>
        </w:rPr>
      </w:pPr>
      <w:r>
        <w:rPr>
          <w:szCs w:val="22"/>
        </w:rPr>
        <w:lastRenderedPageBreak/>
        <w:t>6.</w:t>
      </w:r>
      <w:r>
        <w:rPr>
          <w:szCs w:val="22"/>
        </w:rPr>
        <w:tab/>
      </w:r>
      <w:r w:rsidR="009E6345">
        <w:rPr>
          <w:i/>
          <w:iCs/>
          <w:szCs w:val="22"/>
        </w:rPr>
        <w:t>R</w:t>
      </w:r>
      <w:r>
        <w:rPr>
          <w:i/>
          <w:iCs/>
          <w:szCs w:val="22"/>
        </w:rPr>
        <w:t xml:space="preserve">appelle </w:t>
      </w:r>
      <w:r>
        <w:rPr>
          <w:szCs w:val="22"/>
        </w:rPr>
        <w:t>que les Parties qui éprouvent des difficultés à s</w:t>
      </w:r>
      <w:r w:rsidR="0000372A">
        <w:rPr>
          <w:szCs w:val="22"/>
        </w:rPr>
        <w:t>’</w:t>
      </w:r>
      <w:r>
        <w:rPr>
          <w:szCs w:val="22"/>
        </w:rPr>
        <w:t>acquitter d</w:t>
      </w:r>
      <w:r w:rsidR="0000372A">
        <w:rPr>
          <w:szCs w:val="22"/>
        </w:rPr>
        <w:t>’</w:t>
      </w:r>
      <w:r>
        <w:rPr>
          <w:szCs w:val="22"/>
        </w:rPr>
        <w:t>une ou de plusieurs obligations au titre du Protocole sont instamment priées de solliciter l</w:t>
      </w:r>
      <w:r w:rsidR="0000372A">
        <w:rPr>
          <w:szCs w:val="22"/>
        </w:rPr>
        <w:t>’</w:t>
      </w:r>
      <w:r>
        <w:rPr>
          <w:szCs w:val="22"/>
        </w:rPr>
        <w:t xml:space="preserve">assistance du </w:t>
      </w:r>
      <w:r w:rsidR="0000372A">
        <w:rPr>
          <w:szCs w:val="22"/>
        </w:rPr>
        <w:t>Comité chargé du respect des obligations</w:t>
      </w:r>
      <w:r w:rsidR="00E957B8">
        <w:rPr>
          <w:szCs w:val="22"/>
        </w:rPr>
        <w:t>;</w:t>
      </w:r>
    </w:p>
    <w:p w14:paraId="5066D27A" w14:textId="77777777" w:rsidR="00543B18" w:rsidRDefault="00F22598">
      <w:pPr>
        <w:pStyle w:val="StylePara1Kernat11pt"/>
        <w:spacing w:before="0"/>
        <w:ind w:left="567" w:firstLine="567"/>
        <w:rPr>
          <w:szCs w:val="22"/>
        </w:rPr>
      </w:pPr>
      <w:r>
        <w:rPr>
          <w:szCs w:val="22"/>
        </w:rPr>
        <w:t>7.</w:t>
      </w:r>
      <w:r>
        <w:rPr>
          <w:szCs w:val="22"/>
        </w:rPr>
        <w:tab/>
      </w:r>
      <w:r>
        <w:rPr>
          <w:i/>
          <w:iCs/>
          <w:szCs w:val="22"/>
        </w:rPr>
        <w:t>Reconnaît</w:t>
      </w:r>
      <w:r>
        <w:rPr>
          <w:szCs w:val="22"/>
        </w:rPr>
        <w:t xml:space="preserve"> l</w:t>
      </w:r>
      <w:r w:rsidR="0000372A">
        <w:rPr>
          <w:szCs w:val="22"/>
        </w:rPr>
        <w:t>’</w:t>
      </w:r>
      <w:r>
        <w:rPr>
          <w:szCs w:val="22"/>
        </w:rPr>
        <w:t>utilité des plans d</w:t>
      </w:r>
      <w:r w:rsidR="0000372A">
        <w:rPr>
          <w:szCs w:val="22"/>
        </w:rPr>
        <w:t>’</w:t>
      </w:r>
      <w:r>
        <w:rPr>
          <w:szCs w:val="22"/>
        </w:rPr>
        <w:t>action pour</w:t>
      </w:r>
      <w:r w:rsidR="00F7539E">
        <w:rPr>
          <w:szCs w:val="22"/>
        </w:rPr>
        <w:t xml:space="preserve"> le re</w:t>
      </w:r>
      <w:r w:rsidR="008714F8">
        <w:rPr>
          <w:szCs w:val="22"/>
        </w:rPr>
        <w:t>spect des obligations pour</w:t>
      </w:r>
      <w:r w:rsidR="00F7539E">
        <w:rPr>
          <w:szCs w:val="22"/>
        </w:rPr>
        <w:t xml:space="preserve"> avancer</w:t>
      </w:r>
      <w:r w:rsidR="008714F8">
        <w:rPr>
          <w:szCs w:val="22"/>
        </w:rPr>
        <w:t xml:space="preserve"> dans</w:t>
      </w:r>
      <w:r w:rsidR="00F7539E">
        <w:rPr>
          <w:szCs w:val="22"/>
        </w:rPr>
        <w:t xml:space="preserve"> </w:t>
      </w:r>
      <w:r>
        <w:rPr>
          <w:szCs w:val="22"/>
        </w:rPr>
        <w:t>l</w:t>
      </w:r>
      <w:r w:rsidR="0000372A">
        <w:rPr>
          <w:szCs w:val="22"/>
        </w:rPr>
        <w:t>’</w:t>
      </w:r>
      <w:r>
        <w:rPr>
          <w:szCs w:val="22"/>
        </w:rPr>
        <w:t xml:space="preserve">élaboration de </w:t>
      </w:r>
      <w:r w:rsidR="008714F8">
        <w:rPr>
          <w:szCs w:val="22"/>
        </w:rPr>
        <w:t xml:space="preserve">mesures propres à </w:t>
      </w:r>
      <w:r w:rsidR="00F7539E">
        <w:rPr>
          <w:szCs w:val="22"/>
        </w:rPr>
        <w:t>appliquer</w:t>
      </w:r>
      <w:r>
        <w:rPr>
          <w:szCs w:val="22"/>
        </w:rPr>
        <w:t xml:space="preserve"> le Protocole et le rôle du </w:t>
      </w:r>
      <w:r w:rsidR="0000372A">
        <w:rPr>
          <w:szCs w:val="22"/>
        </w:rPr>
        <w:t>Comité chargé du respect des obligations</w:t>
      </w:r>
      <w:r w:rsidR="008714F8">
        <w:rPr>
          <w:szCs w:val="22"/>
        </w:rPr>
        <w:t xml:space="preserve"> pour faciliter un </w:t>
      </w:r>
      <w:r>
        <w:rPr>
          <w:szCs w:val="22"/>
        </w:rPr>
        <w:t xml:space="preserve">appui </w:t>
      </w:r>
      <w:r w:rsidR="00F7539E">
        <w:rPr>
          <w:szCs w:val="22"/>
        </w:rPr>
        <w:t>fourni aux</w:t>
      </w:r>
      <w:r>
        <w:rPr>
          <w:szCs w:val="22"/>
        </w:rPr>
        <w:t xml:space="preserve"> Parties à cet égard</w:t>
      </w:r>
      <w:r w:rsidR="00E957B8">
        <w:rPr>
          <w:szCs w:val="22"/>
        </w:rPr>
        <w:t>;</w:t>
      </w:r>
    </w:p>
    <w:p w14:paraId="13A56246" w14:textId="77777777" w:rsidR="00543B18" w:rsidRDefault="00F22598">
      <w:pPr>
        <w:pStyle w:val="StylePara1Kernat11pt"/>
        <w:spacing w:before="0"/>
        <w:ind w:left="567" w:firstLine="567"/>
        <w:rPr>
          <w:szCs w:val="22"/>
        </w:rPr>
      </w:pPr>
      <w:r>
        <w:rPr>
          <w:szCs w:val="22"/>
        </w:rPr>
        <w:t>8.</w:t>
      </w:r>
      <w:r>
        <w:rPr>
          <w:szCs w:val="22"/>
        </w:rPr>
        <w:tab/>
      </w:r>
      <w:r w:rsidR="009E6345">
        <w:rPr>
          <w:i/>
          <w:iCs/>
          <w:szCs w:val="22"/>
        </w:rPr>
        <w:t>S</w:t>
      </w:r>
      <w:r>
        <w:rPr>
          <w:i/>
          <w:iCs/>
          <w:szCs w:val="22"/>
        </w:rPr>
        <w:t>e félicite</w:t>
      </w:r>
      <w:r w:rsidR="00F7539E">
        <w:rPr>
          <w:szCs w:val="22"/>
        </w:rPr>
        <w:t xml:space="preserve"> de l’appui fourni</w:t>
      </w:r>
      <w:r>
        <w:rPr>
          <w:szCs w:val="22"/>
        </w:rPr>
        <w:t xml:space="preserve"> par le Programme des Nations unies pour l</w:t>
      </w:r>
      <w:r w:rsidR="0000372A">
        <w:rPr>
          <w:szCs w:val="22"/>
        </w:rPr>
        <w:t>’</w:t>
      </w:r>
      <w:r w:rsidR="00F7539E">
        <w:rPr>
          <w:szCs w:val="22"/>
        </w:rPr>
        <w:t>environnement en matière d</w:t>
      </w:r>
      <w:r w:rsidR="0000372A">
        <w:rPr>
          <w:szCs w:val="22"/>
        </w:rPr>
        <w:t>’</w:t>
      </w:r>
      <w:r>
        <w:rPr>
          <w:szCs w:val="22"/>
        </w:rPr>
        <w:t>élaboration d</w:t>
      </w:r>
      <w:r w:rsidR="0000372A">
        <w:rPr>
          <w:szCs w:val="22"/>
        </w:rPr>
        <w:t>’</w:t>
      </w:r>
      <w:r w:rsidR="00F7539E">
        <w:rPr>
          <w:szCs w:val="22"/>
        </w:rPr>
        <w:t>une législation sur la</w:t>
      </w:r>
      <w:r>
        <w:rPr>
          <w:szCs w:val="22"/>
        </w:rPr>
        <w:t xml:space="preserve"> </w:t>
      </w:r>
      <w:r w:rsidR="0041495E">
        <w:rPr>
          <w:szCs w:val="22"/>
        </w:rPr>
        <w:t>prévention des risques biotechnologiques</w:t>
      </w:r>
      <w:r>
        <w:rPr>
          <w:szCs w:val="22"/>
        </w:rPr>
        <w:t>, par l</w:t>
      </w:r>
      <w:r w:rsidR="0000372A">
        <w:rPr>
          <w:szCs w:val="22"/>
        </w:rPr>
        <w:t>’</w:t>
      </w:r>
      <w:r>
        <w:rPr>
          <w:szCs w:val="22"/>
        </w:rPr>
        <w:t>intermédiaire de sa plateforme d</w:t>
      </w:r>
      <w:r w:rsidR="0000372A">
        <w:rPr>
          <w:szCs w:val="22"/>
        </w:rPr>
        <w:t>’</w:t>
      </w:r>
      <w:r>
        <w:rPr>
          <w:szCs w:val="22"/>
        </w:rPr>
        <w:t>assistance en matière de droit et d</w:t>
      </w:r>
      <w:r w:rsidR="0000372A">
        <w:rPr>
          <w:szCs w:val="22"/>
        </w:rPr>
        <w:t>’</w:t>
      </w:r>
      <w:r>
        <w:rPr>
          <w:szCs w:val="22"/>
        </w:rPr>
        <w:t>environnement, aux Parties dont le plan d</w:t>
      </w:r>
      <w:r w:rsidR="0000372A">
        <w:rPr>
          <w:szCs w:val="22"/>
        </w:rPr>
        <w:t>’</w:t>
      </w:r>
      <w:r>
        <w:rPr>
          <w:szCs w:val="22"/>
        </w:rPr>
        <w:t xml:space="preserve">action pour le </w:t>
      </w:r>
      <w:r w:rsidR="00696667">
        <w:rPr>
          <w:szCs w:val="22"/>
        </w:rPr>
        <w:t>respect des obligations</w:t>
      </w:r>
      <w:r w:rsidR="00751C81">
        <w:rPr>
          <w:szCs w:val="22"/>
        </w:rPr>
        <w:t xml:space="preserve"> est en cours de réalisation</w:t>
      </w:r>
      <w:r w:rsidR="00E957B8">
        <w:rPr>
          <w:szCs w:val="22"/>
        </w:rPr>
        <w:t>;</w:t>
      </w:r>
    </w:p>
    <w:p w14:paraId="4AB7C3A3" w14:textId="77777777" w:rsidR="00543B18" w:rsidRDefault="00F22598">
      <w:pPr>
        <w:pStyle w:val="StylePara1Kernat11pt"/>
        <w:spacing w:before="0"/>
        <w:ind w:left="567" w:firstLine="567"/>
        <w:rPr>
          <w:i/>
          <w:iCs/>
          <w:szCs w:val="22"/>
        </w:rPr>
      </w:pPr>
      <w:r>
        <w:rPr>
          <w:szCs w:val="22"/>
        </w:rPr>
        <w:t>9.</w:t>
      </w:r>
      <w:r>
        <w:rPr>
          <w:szCs w:val="22"/>
        </w:rPr>
        <w:tab/>
      </w:r>
      <w:r>
        <w:rPr>
          <w:i/>
          <w:iCs/>
          <w:szCs w:val="22"/>
        </w:rPr>
        <w:t xml:space="preserve">Prie instamment </w:t>
      </w:r>
      <w:r>
        <w:rPr>
          <w:szCs w:val="22"/>
        </w:rPr>
        <w:t>les Parties et invite l</w:t>
      </w:r>
      <w:r w:rsidR="00F7539E">
        <w:rPr>
          <w:szCs w:val="22"/>
        </w:rPr>
        <w:t>es autres gouvernements à verse</w:t>
      </w:r>
      <w:r>
        <w:rPr>
          <w:szCs w:val="22"/>
        </w:rPr>
        <w:t>r des contributions volontaires pour aider les 11 Parties</w:t>
      </w:r>
      <w:r w:rsidR="004E592D">
        <w:rPr>
          <w:rStyle w:val="FootnoteReference"/>
          <w:szCs w:val="22"/>
        </w:rPr>
        <w:footnoteReference w:id="10"/>
      </w:r>
      <w:r>
        <w:rPr>
          <w:szCs w:val="22"/>
        </w:rPr>
        <w:t xml:space="preserve"> qui ont élaboré des plans d</w:t>
      </w:r>
      <w:r w:rsidR="0000372A">
        <w:rPr>
          <w:szCs w:val="22"/>
        </w:rPr>
        <w:t>’</w:t>
      </w:r>
      <w:r w:rsidR="00F7539E">
        <w:rPr>
          <w:szCs w:val="22"/>
        </w:rPr>
        <w:t>action pour le</w:t>
      </w:r>
      <w:r>
        <w:rPr>
          <w:szCs w:val="22"/>
        </w:rPr>
        <w:t xml:space="preserve"> </w:t>
      </w:r>
      <w:r w:rsidR="00696667">
        <w:rPr>
          <w:szCs w:val="22"/>
        </w:rPr>
        <w:t>respect des obligations</w:t>
      </w:r>
      <w:r>
        <w:rPr>
          <w:szCs w:val="22"/>
        </w:rPr>
        <w:t>, ainsi que toute</w:t>
      </w:r>
      <w:r w:rsidR="00F7539E">
        <w:rPr>
          <w:szCs w:val="22"/>
        </w:rPr>
        <w:t xml:space="preserve"> autre Partie</w:t>
      </w:r>
      <w:r>
        <w:rPr>
          <w:szCs w:val="22"/>
        </w:rPr>
        <w:t xml:space="preserve"> qui élabore et met en œuvre des plans d</w:t>
      </w:r>
      <w:r w:rsidR="0000372A">
        <w:rPr>
          <w:szCs w:val="22"/>
        </w:rPr>
        <w:t>’</w:t>
      </w:r>
      <w:r w:rsidR="00F7539E">
        <w:rPr>
          <w:szCs w:val="22"/>
        </w:rPr>
        <w:t>action pour le</w:t>
      </w:r>
      <w:r>
        <w:rPr>
          <w:szCs w:val="22"/>
        </w:rPr>
        <w:t xml:space="preserve"> </w:t>
      </w:r>
      <w:r w:rsidR="00696667">
        <w:rPr>
          <w:szCs w:val="22"/>
        </w:rPr>
        <w:t>respect des obligations</w:t>
      </w:r>
      <w:r>
        <w:rPr>
          <w:szCs w:val="22"/>
        </w:rPr>
        <w:t xml:space="preserve"> à la demande du Comité</w:t>
      </w:r>
      <w:r w:rsidR="00E957B8">
        <w:rPr>
          <w:szCs w:val="22"/>
        </w:rPr>
        <w:t>;</w:t>
      </w:r>
    </w:p>
    <w:p w14:paraId="06D92480" w14:textId="77777777" w:rsidR="00543B18" w:rsidRDefault="00F22598">
      <w:pPr>
        <w:pStyle w:val="StylePara1Kernat11pt"/>
        <w:spacing w:before="0"/>
        <w:ind w:left="567" w:firstLine="567"/>
        <w:rPr>
          <w:i/>
          <w:iCs/>
        </w:rPr>
      </w:pPr>
      <w:r>
        <w:rPr>
          <w:szCs w:val="22"/>
        </w:rPr>
        <w:t>10.</w:t>
      </w:r>
      <w:r>
        <w:rPr>
          <w:szCs w:val="22"/>
        </w:rPr>
        <w:tab/>
      </w:r>
      <w:r w:rsidR="009E6345">
        <w:rPr>
          <w:i/>
          <w:iCs/>
          <w:szCs w:val="22"/>
        </w:rPr>
        <w:t>P</w:t>
      </w:r>
      <w:r>
        <w:rPr>
          <w:i/>
          <w:iCs/>
          <w:szCs w:val="22"/>
        </w:rPr>
        <w:t>rie instamment</w:t>
      </w:r>
      <w:r w:rsidR="00AE5C55">
        <w:t xml:space="preserve"> les Parties admiss</w:t>
      </w:r>
      <w:r>
        <w:t xml:space="preserve">ibles de donner la priorité aux projets de </w:t>
      </w:r>
      <w:r w:rsidR="0041495E">
        <w:t>prévention des risques biotechnologiques</w:t>
      </w:r>
      <w:r>
        <w:t xml:space="preserve"> lors de la programmation de leurs allocations nationales dans le cadre du Système d</w:t>
      </w:r>
      <w:r w:rsidR="0000372A">
        <w:t>’</w:t>
      </w:r>
      <w:r>
        <w:t>allocation transparente des ressources</w:t>
      </w:r>
      <w:r w:rsidR="00E957B8">
        <w:t>;</w:t>
      </w:r>
      <w:r>
        <w:t xml:space="preserve"> </w:t>
      </w:r>
    </w:p>
    <w:p w14:paraId="535A05A3" w14:textId="77777777" w:rsidR="00543B18" w:rsidRDefault="00F22598">
      <w:pPr>
        <w:pStyle w:val="StylePara1Kernat11pt"/>
        <w:spacing w:before="0"/>
        <w:ind w:left="567" w:firstLine="567"/>
        <w:rPr>
          <w:szCs w:val="22"/>
        </w:rPr>
      </w:pPr>
      <w:r>
        <w:rPr>
          <w:szCs w:val="22"/>
        </w:rPr>
        <w:t>11.</w:t>
      </w:r>
      <w:r>
        <w:rPr>
          <w:szCs w:val="22"/>
        </w:rPr>
        <w:tab/>
      </w:r>
      <w:r>
        <w:rPr>
          <w:i/>
          <w:iCs/>
          <w:szCs w:val="22"/>
        </w:rPr>
        <w:t xml:space="preserve">Rappelle </w:t>
      </w:r>
      <w:r w:rsidRPr="009E6345">
        <w:rPr>
          <w:iCs/>
          <w:szCs w:val="22"/>
        </w:rPr>
        <w:t>aux</w:t>
      </w:r>
      <w:r>
        <w:rPr>
          <w:i/>
          <w:iCs/>
          <w:szCs w:val="22"/>
        </w:rPr>
        <w:t xml:space="preserve"> </w:t>
      </w:r>
      <w:r>
        <w:rPr>
          <w:szCs w:val="22"/>
        </w:rPr>
        <w:t>Parties l</w:t>
      </w:r>
      <w:r w:rsidR="0000372A">
        <w:rPr>
          <w:szCs w:val="22"/>
        </w:rPr>
        <w:t>’</w:t>
      </w:r>
      <w:r>
        <w:rPr>
          <w:szCs w:val="22"/>
        </w:rPr>
        <w:t>article 23 du Protocole, y comp</w:t>
      </w:r>
      <w:r w:rsidR="008714F8">
        <w:rPr>
          <w:szCs w:val="22"/>
        </w:rPr>
        <w:t>ris ses dispositions concernant la sensibilisation et</w:t>
      </w:r>
      <w:r>
        <w:rPr>
          <w:szCs w:val="22"/>
        </w:rPr>
        <w:t xml:space="preserve"> l</w:t>
      </w:r>
      <w:r w:rsidR="0000372A">
        <w:rPr>
          <w:szCs w:val="22"/>
        </w:rPr>
        <w:t>’</w:t>
      </w:r>
      <w:r>
        <w:rPr>
          <w:szCs w:val="22"/>
        </w:rPr>
        <w:t>éducation du public, et son potentiel pour faciliter le respect d</w:t>
      </w:r>
      <w:r w:rsidR="00D408A9">
        <w:rPr>
          <w:szCs w:val="22"/>
        </w:rPr>
        <w:t xml:space="preserve">es obligations au titre du Protocole, </w:t>
      </w:r>
      <w:r w:rsidR="008714F8">
        <w:rPr>
          <w:szCs w:val="22"/>
        </w:rPr>
        <w:t xml:space="preserve">en </w:t>
      </w:r>
      <w:r w:rsidR="00D408A9">
        <w:rPr>
          <w:szCs w:val="22"/>
        </w:rPr>
        <w:t>rappelant que du matériel</w:t>
      </w:r>
      <w:r>
        <w:rPr>
          <w:szCs w:val="22"/>
        </w:rPr>
        <w:t xml:space="preserve"> et des outils ont été élaborés par le Secrétariat et sont disponibles sur le Centre d</w:t>
      </w:r>
      <w:r w:rsidR="0000372A">
        <w:rPr>
          <w:szCs w:val="22"/>
        </w:rPr>
        <w:t>’</w:t>
      </w:r>
      <w:r>
        <w:rPr>
          <w:szCs w:val="22"/>
        </w:rPr>
        <w:t>échange pour la prévention des risques biotechnologiques.</w:t>
      </w:r>
    </w:p>
    <w:p w14:paraId="3F970E77" w14:textId="77777777" w:rsidR="00543B18" w:rsidRDefault="00B74B06" w:rsidP="008714F8">
      <w:pPr>
        <w:pStyle w:val="CBDH2"/>
        <w:spacing w:before="240"/>
        <w:ind w:left="0" w:firstLine="0"/>
        <w:rPr>
          <w:b w:val="0"/>
          <w:bCs/>
          <w:i/>
          <w:iCs/>
        </w:rPr>
      </w:pPr>
      <w:r>
        <w:rPr>
          <w:b w:val="0"/>
          <w:bCs/>
          <w:i/>
          <w:iCs/>
        </w:rPr>
        <w:tab/>
      </w:r>
      <w:r w:rsidR="00EA37FE">
        <w:rPr>
          <w:b w:val="0"/>
          <w:bCs/>
          <w:i/>
          <w:iCs/>
        </w:rPr>
        <w:t>Mise</w:t>
      </w:r>
      <w:r w:rsidR="00D84DD0">
        <w:rPr>
          <w:b w:val="0"/>
          <w:bCs/>
          <w:i/>
          <w:iCs/>
        </w:rPr>
        <w:t xml:space="preserve"> en garde</w:t>
      </w:r>
    </w:p>
    <w:p w14:paraId="2112B350" w14:textId="77777777" w:rsidR="00543B18" w:rsidRDefault="00F22598">
      <w:pPr>
        <w:pStyle w:val="CBDDesicionText"/>
        <w:ind w:firstLine="567"/>
        <w:rPr>
          <w:bCs/>
          <w:i/>
          <w:iCs/>
          <w:snapToGrid w:val="0"/>
          <w:kern w:val="22"/>
          <w:szCs w:val="18"/>
          <w14:ligatures w14:val="standardContextual"/>
        </w:rPr>
      </w:pPr>
      <w:r>
        <w:rPr>
          <w:bCs/>
          <w:i/>
          <w:iCs/>
        </w:rPr>
        <w:t xml:space="preserve">La Conférence des Parties </w:t>
      </w:r>
      <w:r w:rsidR="001A1526">
        <w:rPr>
          <w:bCs/>
          <w:i/>
          <w:iCs/>
        </w:rPr>
        <w:t>siégeant en tant que</w:t>
      </w:r>
      <w:r>
        <w:rPr>
          <w:bCs/>
          <w:i/>
          <w:iCs/>
        </w:rPr>
        <w:t xml:space="preserve"> réunion des Parties au Protocole de Cartagena sur la prévention des risques biotechnologiques</w:t>
      </w:r>
    </w:p>
    <w:p w14:paraId="6575D3DC" w14:textId="77777777" w:rsidR="00543B18" w:rsidRDefault="00F22598">
      <w:pPr>
        <w:pStyle w:val="Para1"/>
        <w:numPr>
          <w:ilvl w:val="0"/>
          <w:numId w:val="0"/>
        </w:numPr>
        <w:tabs>
          <w:tab w:val="clear" w:pos="1134"/>
        </w:tabs>
        <w:ind w:left="567" w:firstLine="567"/>
      </w:pPr>
      <w:r>
        <w:rPr>
          <w:i/>
          <w:iCs/>
        </w:rPr>
        <w:t>Rappelant</w:t>
      </w:r>
      <w:r>
        <w:t xml:space="preserve"> l</w:t>
      </w:r>
      <w:r w:rsidR="0000372A">
        <w:t>’</w:t>
      </w:r>
      <w:r>
        <w:t>article 33 du Protocole de Cartagena sur la prévention de</w:t>
      </w:r>
      <w:r w:rsidR="009E6345">
        <w:t>s risques biotechnologiques</w:t>
      </w:r>
      <w:r w:rsidR="007C1537">
        <w:rPr>
          <w:rStyle w:val="FootnoteReference"/>
        </w:rPr>
        <w:footnoteReference w:id="11"/>
      </w:r>
      <w:r w:rsidR="009E6345">
        <w:t>,</w:t>
      </w:r>
    </w:p>
    <w:p w14:paraId="744D89EB" w14:textId="77777777" w:rsidR="00543B18" w:rsidRDefault="00F22598">
      <w:pPr>
        <w:pStyle w:val="Para1"/>
        <w:numPr>
          <w:ilvl w:val="0"/>
          <w:numId w:val="0"/>
        </w:numPr>
        <w:tabs>
          <w:tab w:val="clear" w:pos="1134"/>
        </w:tabs>
        <w:ind w:left="567" w:firstLine="567"/>
      </w:pPr>
      <w:r>
        <w:rPr>
          <w:i/>
          <w:iCs/>
        </w:rPr>
        <w:t xml:space="preserve">Rappelant également </w:t>
      </w:r>
      <w:r w:rsidRPr="009E6345">
        <w:rPr>
          <w:iCs/>
        </w:rPr>
        <w:t xml:space="preserve">le </w:t>
      </w:r>
      <w:r w:rsidR="009E6345">
        <w:t>paragraphe 2 b) de l’article VI des p</w:t>
      </w:r>
      <w:r>
        <w:t xml:space="preserve">rocédures et mécanismes relatifs au </w:t>
      </w:r>
      <w:r w:rsidR="00696667">
        <w:t>respect des obligations</w:t>
      </w:r>
      <w:r>
        <w:t xml:space="preserve"> </w:t>
      </w:r>
      <w:r w:rsidR="00B74B06">
        <w:t xml:space="preserve">au titre </w:t>
      </w:r>
      <w:r>
        <w:t>du Protocole de Cartagena, tels qu</w:t>
      </w:r>
      <w:r w:rsidR="0000372A">
        <w:t>’</w:t>
      </w:r>
      <w:r w:rsidR="008B4397">
        <w:t>énoncés</w:t>
      </w:r>
      <w:r w:rsidR="00B74B06">
        <w:t xml:space="preserve"> dans</w:t>
      </w:r>
      <w:r>
        <w:t xml:space="preserve"> l</w:t>
      </w:r>
      <w:r w:rsidR="0000372A">
        <w:t>’</w:t>
      </w:r>
      <w:r w:rsidR="00B74B06">
        <w:t>annexe à</w:t>
      </w:r>
      <w:r>
        <w:t xml:space="preserve"> la décision BS-I/7 de la Conférence des Parties </w:t>
      </w:r>
      <w:r w:rsidR="001A1526">
        <w:t>siégeant en tant que</w:t>
      </w:r>
      <w:r>
        <w:t xml:space="preserve"> réunion des Parties au Protocole du 27 février 2004, </w:t>
      </w:r>
    </w:p>
    <w:p w14:paraId="5DB0E4E5" w14:textId="77777777" w:rsidR="00543B18" w:rsidRPr="001A1526" w:rsidRDefault="00F22598">
      <w:pPr>
        <w:pStyle w:val="Para1"/>
        <w:numPr>
          <w:ilvl w:val="0"/>
          <w:numId w:val="0"/>
        </w:numPr>
        <w:tabs>
          <w:tab w:val="clear" w:pos="1134"/>
        </w:tabs>
        <w:ind w:left="567" w:firstLine="567"/>
        <w:rPr>
          <w:kern w:val="22"/>
        </w:rPr>
      </w:pPr>
      <w:r>
        <w:rPr>
          <w:i/>
          <w:iCs/>
          <w:kern w:val="22"/>
        </w:rPr>
        <w:t>Notant avec regret</w:t>
      </w:r>
      <w:r>
        <w:rPr>
          <w:kern w:val="22"/>
        </w:rPr>
        <w:t xml:space="preserve"> que le </w:t>
      </w:r>
      <w:r>
        <w:t xml:space="preserve">Belize, la Libye, Nauru, la Papouasie-Nouvelle-Guinée, le Qatar, </w:t>
      </w:r>
      <w:r w:rsidR="009E6345">
        <w:t xml:space="preserve">la République arabe syrienne et </w:t>
      </w:r>
      <w:r>
        <w:t>les Seychelles</w:t>
      </w:r>
      <w:r w:rsidR="009E6345">
        <w:rPr>
          <w:rStyle w:val="FootnoteReference"/>
        </w:rPr>
        <w:footnoteReference w:id="12"/>
      </w:r>
      <w:r w:rsidR="009E6345">
        <w:t xml:space="preserve"> </w:t>
      </w:r>
      <w:r>
        <w:t>n</w:t>
      </w:r>
      <w:r w:rsidR="0000372A">
        <w:t>’</w:t>
      </w:r>
      <w:r w:rsidR="00B74B06">
        <w:rPr>
          <w:kern w:val="22"/>
        </w:rPr>
        <w:t>ont pas présenté</w:t>
      </w:r>
      <w:r>
        <w:rPr>
          <w:kern w:val="22"/>
        </w:rPr>
        <w:t xml:space="preserve"> leur troisième ou leur quatrième rapport national, </w:t>
      </w:r>
    </w:p>
    <w:p w14:paraId="664A0E04" w14:textId="77777777" w:rsidR="00543B18" w:rsidRDefault="00F22598">
      <w:pPr>
        <w:pStyle w:val="Para1"/>
        <w:numPr>
          <w:ilvl w:val="0"/>
          <w:numId w:val="0"/>
        </w:numPr>
        <w:tabs>
          <w:tab w:val="clear" w:pos="1134"/>
        </w:tabs>
        <w:ind w:left="567" w:firstLine="567"/>
      </w:pPr>
      <w:r>
        <w:rPr>
          <w:i/>
          <w:iCs/>
        </w:rPr>
        <w:t>Notant</w:t>
      </w:r>
      <w:r>
        <w:t xml:space="preserve"> que le </w:t>
      </w:r>
      <w:r w:rsidR="0000372A">
        <w:t>Comité chargé du respect des obligations</w:t>
      </w:r>
      <w:r w:rsidR="00B74B06">
        <w:t xml:space="preserve"> et la Secrétaire exécutive</w:t>
      </w:r>
      <w:r w:rsidR="008B4397">
        <w:t xml:space="preserve"> ont pris contact avec</w:t>
      </w:r>
      <w:r>
        <w:t xml:space="preserve"> le Belize, la Libye, Nauru, la Papouasie-Nouvelle-Guinée, le Qatar, la République arabe syrienne</w:t>
      </w:r>
      <w:r w:rsidR="009E6345">
        <w:t xml:space="preserve"> et les Seychelles</w:t>
      </w:r>
      <w:r>
        <w:rPr>
          <w:vertAlign w:val="superscript"/>
        </w:rPr>
        <w:t>4</w:t>
      </w:r>
      <w:r>
        <w:t xml:space="preserve"> à de nom</w:t>
      </w:r>
      <w:r w:rsidR="00B74B06">
        <w:t>breuses reprises, en application de</w:t>
      </w:r>
      <w:r>
        <w:t xml:space="preserve"> la décision BS-V/1 de la Conférence des Parties </w:t>
      </w:r>
      <w:r w:rsidR="001A1526">
        <w:t>siégeant en tant que</w:t>
      </w:r>
      <w:r>
        <w:t xml:space="preserve"> réunion des Parties au Protocole du 15 octobre 2010, qui prévoyait notamment d</w:t>
      </w:r>
      <w:r w:rsidR="0000372A">
        <w:t>’</w:t>
      </w:r>
      <w:r>
        <w:t>aider ces Parties à établir leurs rapports</w:t>
      </w:r>
      <w:r w:rsidR="00B74B06">
        <w:t xml:space="preserve"> nationaux</w:t>
      </w:r>
      <w:r>
        <w:t xml:space="preserve">, </w:t>
      </w:r>
    </w:p>
    <w:p w14:paraId="42088DB7" w14:textId="77777777" w:rsidR="00543B18" w:rsidRPr="001A1526" w:rsidRDefault="00F22598">
      <w:pPr>
        <w:pStyle w:val="Para1"/>
        <w:numPr>
          <w:ilvl w:val="0"/>
          <w:numId w:val="0"/>
        </w:numPr>
        <w:tabs>
          <w:tab w:val="clear" w:pos="1134"/>
        </w:tabs>
        <w:ind w:left="567" w:firstLine="567"/>
        <w:rPr>
          <w:kern w:val="22"/>
        </w:rPr>
      </w:pPr>
      <w:r>
        <w:rPr>
          <w:kern w:val="22"/>
        </w:rPr>
        <w:t>1.</w:t>
      </w:r>
      <w:r>
        <w:rPr>
          <w:kern w:val="22"/>
        </w:rPr>
        <w:tab/>
      </w:r>
      <w:r w:rsidR="00D84DD0">
        <w:rPr>
          <w:i/>
          <w:iCs/>
          <w:kern w:val="22"/>
        </w:rPr>
        <w:t>Met en garde</w:t>
      </w:r>
      <w:r>
        <w:rPr>
          <w:i/>
          <w:iCs/>
          <w:kern w:val="22"/>
        </w:rPr>
        <w:t xml:space="preserve"> </w:t>
      </w:r>
      <w:r>
        <w:t>le Belize, la Libye, Nauru, la Papouasie-Nouvelle-Guinée, le Qatar, la République arabe syrienne</w:t>
      </w:r>
      <w:r w:rsidR="00D84DD0">
        <w:t xml:space="preserve"> et</w:t>
      </w:r>
      <w:r w:rsidR="00D84DD0" w:rsidRPr="00D84DD0">
        <w:t xml:space="preserve"> </w:t>
      </w:r>
      <w:r w:rsidR="00D84DD0">
        <w:t>les Seychelles</w:t>
      </w:r>
      <w:r>
        <w:rPr>
          <w:vertAlign w:val="superscript"/>
        </w:rPr>
        <w:t>4</w:t>
      </w:r>
      <w:r w:rsidR="00D84DD0">
        <w:rPr>
          <w:kern w:val="22"/>
        </w:rPr>
        <w:t>;</w:t>
      </w:r>
    </w:p>
    <w:p w14:paraId="5D316C49" w14:textId="77777777" w:rsidR="00543B18" w:rsidRPr="001A1526" w:rsidRDefault="00F22598">
      <w:pPr>
        <w:pStyle w:val="Para1"/>
        <w:numPr>
          <w:ilvl w:val="0"/>
          <w:numId w:val="0"/>
        </w:numPr>
        <w:tabs>
          <w:tab w:val="clear" w:pos="1134"/>
        </w:tabs>
        <w:ind w:left="567" w:firstLine="567"/>
        <w:rPr>
          <w:kern w:val="22"/>
        </w:rPr>
      </w:pPr>
      <w:r>
        <w:rPr>
          <w:kern w:val="22"/>
        </w:rPr>
        <w:lastRenderedPageBreak/>
        <w:t>2.</w:t>
      </w:r>
      <w:r>
        <w:rPr>
          <w:kern w:val="22"/>
        </w:rPr>
        <w:tab/>
      </w:r>
      <w:r>
        <w:rPr>
          <w:i/>
          <w:iCs/>
          <w:kern w:val="22"/>
        </w:rPr>
        <w:t xml:space="preserve">Prie </w:t>
      </w:r>
      <w:r w:rsidRPr="00402D07">
        <w:rPr>
          <w:iCs/>
          <w:kern w:val="22"/>
        </w:rPr>
        <w:t>le</w:t>
      </w:r>
      <w:r>
        <w:rPr>
          <w:i/>
          <w:iCs/>
          <w:kern w:val="22"/>
        </w:rPr>
        <w:t xml:space="preserve"> </w:t>
      </w:r>
      <w:r>
        <w:t xml:space="preserve">Belize, la Libye, Nauru, la Papouasie-Nouvelle-Guinée, le Qatar, </w:t>
      </w:r>
      <w:r w:rsidR="009E6345">
        <w:t>la République arabe syrienne et les Seychelles</w:t>
      </w:r>
      <w:r w:rsidRPr="009E6345">
        <w:rPr>
          <w:vertAlign w:val="superscript"/>
        </w:rPr>
        <w:t>4</w:t>
      </w:r>
      <w:r>
        <w:rPr>
          <w:kern w:val="22"/>
        </w:rPr>
        <w:t xml:space="preserve"> de présenter d</w:t>
      </w:r>
      <w:r w:rsidR="0000372A">
        <w:rPr>
          <w:kern w:val="22"/>
        </w:rPr>
        <w:t>’</w:t>
      </w:r>
      <w:r>
        <w:rPr>
          <w:kern w:val="22"/>
        </w:rPr>
        <w:t>urgence leurs quatrièmes rapports nationaux</w:t>
      </w:r>
      <w:r w:rsidR="00E957B8">
        <w:rPr>
          <w:kern w:val="22"/>
        </w:rPr>
        <w:t>;</w:t>
      </w:r>
      <w:r>
        <w:rPr>
          <w:kern w:val="22"/>
        </w:rPr>
        <w:t xml:space="preserve"> </w:t>
      </w:r>
    </w:p>
    <w:p w14:paraId="4C141F4F" w14:textId="77777777" w:rsidR="00543B18" w:rsidRDefault="00F22598">
      <w:pPr>
        <w:pStyle w:val="Para1"/>
        <w:numPr>
          <w:ilvl w:val="0"/>
          <w:numId w:val="0"/>
        </w:numPr>
        <w:tabs>
          <w:tab w:val="clear" w:pos="1134"/>
        </w:tabs>
        <w:ind w:left="567" w:firstLine="567"/>
      </w:pPr>
      <w:r>
        <w:t>3.</w:t>
      </w:r>
      <w:r>
        <w:tab/>
      </w:r>
      <w:r>
        <w:rPr>
          <w:i/>
          <w:iCs/>
        </w:rPr>
        <w:t xml:space="preserve">Encourage </w:t>
      </w:r>
      <w:r w:rsidRPr="009E6345">
        <w:rPr>
          <w:iCs/>
        </w:rPr>
        <w:t>le</w:t>
      </w:r>
      <w:r w:rsidRPr="009E6345">
        <w:t xml:space="preserve"> </w:t>
      </w:r>
      <w:r>
        <w:t xml:space="preserve">Belize, la Libye, Nauru, la Papouasie-Nouvelle-Guinée, le Qatar, </w:t>
      </w:r>
      <w:r w:rsidR="009E6345">
        <w:t>la République arabe syrienne et les Seychelles</w:t>
      </w:r>
      <w:r>
        <w:rPr>
          <w:vertAlign w:val="superscript"/>
        </w:rPr>
        <w:t>4</w:t>
      </w:r>
      <w:r>
        <w:t xml:space="preserve"> à solliciter l</w:t>
      </w:r>
      <w:r w:rsidR="0000372A">
        <w:t>’</w:t>
      </w:r>
      <w:r w:rsidR="008B4397">
        <w:t>aide</w:t>
      </w:r>
      <w:r>
        <w:t xml:space="preserve"> du </w:t>
      </w:r>
      <w:r w:rsidR="0000372A">
        <w:t>Comité chargé du respect des</w:t>
      </w:r>
      <w:r w:rsidR="004B7E7C">
        <w:t xml:space="preserve"> </w:t>
      </w:r>
      <w:r w:rsidR="0000372A">
        <w:t>obligations</w:t>
      </w:r>
      <w:r w:rsidR="00D84DD0">
        <w:t>, en application de</w:t>
      </w:r>
      <w:r>
        <w:t xml:space="preserve"> la décision BS-V/1, s</w:t>
      </w:r>
      <w:r w:rsidR="0000372A">
        <w:t>’</w:t>
      </w:r>
      <w:r>
        <w:t>ils ont besoin d</w:t>
      </w:r>
      <w:r w:rsidR="0000372A">
        <w:t>’</w:t>
      </w:r>
      <w:r w:rsidR="008B4397">
        <w:t>une aide</w:t>
      </w:r>
      <w:r>
        <w:t xml:space="preserve"> pour établir leurs rapports</w:t>
      </w:r>
      <w:r w:rsidR="00D84DD0">
        <w:t xml:space="preserve"> nationaux</w:t>
      </w:r>
      <w:r>
        <w:t>.</w:t>
      </w:r>
    </w:p>
    <w:p w14:paraId="3B01FE07" w14:textId="77777777" w:rsidR="00543B18" w:rsidRDefault="00F22598">
      <w:pPr>
        <w:pStyle w:val="CBDH1"/>
      </w:pPr>
      <w:r>
        <w:t>II.</w:t>
      </w:r>
      <w:r>
        <w:tab/>
      </w:r>
      <w:r w:rsidR="00AF6122">
        <w:t>Fonctionnement et activités du C</w:t>
      </w:r>
      <w:r>
        <w:t>entre d</w:t>
      </w:r>
      <w:r w:rsidR="0000372A">
        <w:t>’</w:t>
      </w:r>
      <w:r>
        <w:t>échange pour la prévention des risques biotechnologiques</w:t>
      </w:r>
    </w:p>
    <w:p w14:paraId="567B34B3" w14:textId="77777777" w:rsidR="00543B18" w:rsidRDefault="00F22598" w:rsidP="003D780A">
      <w:pPr>
        <w:pStyle w:val="CBDNormalNumber"/>
        <w:numPr>
          <w:ilvl w:val="0"/>
          <w:numId w:val="6"/>
        </w:numPr>
        <w:spacing w:after="240"/>
      </w:pPr>
      <w:r>
        <w:t xml:space="preserve">Le </w:t>
      </w:r>
      <w:r w:rsidR="0000372A">
        <w:t>Comité chargé du respect des obligations</w:t>
      </w:r>
      <w:r>
        <w:t xml:space="preserve"> recommande en outre qu</w:t>
      </w:r>
      <w:r w:rsidR="00D84DD0">
        <w:t xml:space="preserve">e </w:t>
      </w:r>
      <w:r>
        <w:t xml:space="preserve">la Conférence des Parties </w:t>
      </w:r>
      <w:r w:rsidR="001A1526">
        <w:t>siégeant en tant que</w:t>
      </w:r>
      <w:r>
        <w:t xml:space="preserve"> réunion des Parties au Protocole adopte</w:t>
      </w:r>
      <w:r w:rsidR="00D84DD0">
        <w:t>, à sa onzième réunion,</w:t>
      </w:r>
      <w:r>
        <w:t xml:space="preserve"> une décision qui comprenne les éléments suivants :</w:t>
      </w:r>
      <w:bookmarkStart w:id="4" w:name="_Hlk165901011"/>
    </w:p>
    <w:bookmarkEnd w:id="4"/>
    <w:p w14:paraId="4FA18EEB" w14:textId="77777777" w:rsidR="00543B18" w:rsidRDefault="00F22598">
      <w:pPr>
        <w:pStyle w:val="CBDDesicionText"/>
        <w:ind w:firstLine="567"/>
        <w:rPr>
          <w:bCs/>
          <w:i/>
          <w:iCs/>
          <w:snapToGrid w:val="0"/>
          <w:kern w:val="22"/>
          <w:szCs w:val="18"/>
          <w14:ligatures w14:val="standardContextual"/>
        </w:rPr>
      </w:pPr>
      <w:r>
        <w:rPr>
          <w:bCs/>
          <w:i/>
          <w:iCs/>
        </w:rPr>
        <w:t xml:space="preserve">La Conférence des Parties </w:t>
      </w:r>
      <w:r w:rsidR="001A1526">
        <w:rPr>
          <w:bCs/>
          <w:i/>
          <w:iCs/>
        </w:rPr>
        <w:t>siégeant en tant que</w:t>
      </w:r>
      <w:r>
        <w:rPr>
          <w:bCs/>
          <w:i/>
          <w:iCs/>
        </w:rPr>
        <w:t xml:space="preserve"> réunion des Parties au Protocole de Cartagena sur la prévention des risques biotechnologiques</w:t>
      </w:r>
    </w:p>
    <w:p w14:paraId="03F4A9B0" w14:textId="77777777" w:rsidR="00543B18" w:rsidRDefault="00F22598">
      <w:pPr>
        <w:pStyle w:val="StylePara1Kernat11pt"/>
        <w:tabs>
          <w:tab w:val="clear" w:pos="567"/>
          <w:tab w:val="clear" w:pos="1134"/>
        </w:tabs>
        <w:spacing w:before="0"/>
        <w:ind w:left="567" w:firstLine="567"/>
        <w:rPr>
          <w:szCs w:val="22"/>
        </w:rPr>
      </w:pPr>
      <w:r>
        <w:rPr>
          <w:szCs w:val="22"/>
        </w:rPr>
        <w:t>1.</w:t>
      </w:r>
      <w:r>
        <w:rPr>
          <w:szCs w:val="22"/>
        </w:rPr>
        <w:tab/>
      </w:r>
      <w:r w:rsidR="00D84DD0">
        <w:rPr>
          <w:i/>
          <w:iCs/>
          <w:szCs w:val="22"/>
        </w:rPr>
        <w:t>Pri</w:t>
      </w:r>
      <w:r>
        <w:rPr>
          <w:i/>
          <w:iCs/>
          <w:szCs w:val="22"/>
        </w:rPr>
        <w:t xml:space="preserve">e instamment </w:t>
      </w:r>
      <w:r w:rsidR="00AF6122">
        <w:rPr>
          <w:szCs w:val="22"/>
        </w:rPr>
        <w:t>les P</w:t>
      </w:r>
      <w:r w:rsidR="00D84DD0">
        <w:rPr>
          <w:szCs w:val="22"/>
        </w:rPr>
        <w:t>arties de mettre systématiquement</w:t>
      </w:r>
      <w:r>
        <w:rPr>
          <w:szCs w:val="22"/>
        </w:rPr>
        <w:t xml:space="preserve"> à disposition toutes le</w:t>
      </w:r>
      <w:r w:rsidR="002C0694">
        <w:rPr>
          <w:szCs w:val="22"/>
        </w:rPr>
        <w:t>s informations requises dans</w:t>
      </w:r>
      <w:r w:rsidR="00AF6122">
        <w:rPr>
          <w:szCs w:val="22"/>
        </w:rPr>
        <w:t xml:space="preserve"> le C</w:t>
      </w:r>
      <w:r>
        <w:rPr>
          <w:szCs w:val="22"/>
        </w:rPr>
        <w:t>entre d</w:t>
      </w:r>
      <w:r w:rsidR="0000372A">
        <w:rPr>
          <w:szCs w:val="22"/>
        </w:rPr>
        <w:t>’</w:t>
      </w:r>
      <w:r>
        <w:rPr>
          <w:szCs w:val="22"/>
        </w:rPr>
        <w:t xml:space="preserve">échange pour la prévention des risques biotechnologiques, y </w:t>
      </w:r>
      <w:r w:rsidR="002C0694">
        <w:rPr>
          <w:szCs w:val="22"/>
        </w:rPr>
        <w:t>compris les mesures juridiques propres à appliquer le</w:t>
      </w:r>
      <w:r w:rsidR="00AF6122">
        <w:rPr>
          <w:szCs w:val="22"/>
        </w:rPr>
        <w:t xml:space="preserve"> P</w:t>
      </w:r>
      <w:r>
        <w:rPr>
          <w:szCs w:val="22"/>
        </w:rPr>
        <w:t>ro</w:t>
      </w:r>
      <w:r w:rsidR="002C0694">
        <w:rPr>
          <w:szCs w:val="22"/>
        </w:rPr>
        <w:t>tocole, les décisions concernant</w:t>
      </w:r>
      <w:r>
        <w:rPr>
          <w:szCs w:val="22"/>
        </w:rPr>
        <w:t xml:space="preserve"> l</w:t>
      </w:r>
      <w:r w:rsidR="0000372A">
        <w:rPr>
          <w:szCs w:val="22"/>
        </w:rPr>
        <w:t>’</w:t>
      </w:r>
      <w:r w:rsidR="002C0694">
        <w:rPr>
          <w:szCs w:val="22"/>
        </w:rPr>
        <w:t>importation ou la dissémination</w:t>
      </w:r>
      <w:r>
        <w:rPr>
          <w:szCs w:val="22"/>
        </w:rPr>
        <w:t xml:space="preserve"> d</w:t>
      </w:r>
      <w:r w:rsidR="0000372A">
        <w:rPr>
          <w:szCs w:val="22"/>
        </w:rPr>
        <w:t>’</w:t>
      </w:r>
      <w:r>
        <w:rPr>
          <w:szCs w:val="22"/>
        </w:rPr>
        <w:t>organismes vivants modifiés</w:t>
      </w:r>
      <w:r w:rsidR="002C0694">
        <w:rPr>
          <w:szCs w:val="22"/>
        </w:rPr>
        <w:t>,</w:t>
      </w:r>
      <w:r>
        <w:rPr>
          <w:szCs w:val="22"/>
        </w:rPr>
        <w:t xml:space="preserve"> et les cas de mouvements transfrontières non </w:t>
      </w:r>
      <w:r w:rsidR="002C0694">
        <w:rPr>
          <w:szCs w:val="22"/>
        </w:rPr>
        <w:t>intentionnels ou</w:t>
      </w:r>
      <w:r w:rsidR="00D84DD0">
        <w:rPr>
          <w:szCs w:val="22"/>
        </w:rPr>
        <w:t xml:space="preserve"> illicites</w:t>
      </w:r>
      <w:r w:rsidR="00E957B8">
        <w:rPr>
          <w:szCs w:val="22"/>
        </w:rPr>
        <w:t>;</w:t>
      </w:r>
    </w:p>
    <w:p w14:paraId="5C1E7005" w14:textId="77777777" w:rsidR="00543B18" w:rsidRDefault="00F22598">
      <w:pPr>
        <w:pStyle w:val="StylePara1Kernat11pt"/>
        <w:tabs>
          <w:tab w:val="clear" w:pos="567"/>
          <w:tab w:val="clear" w:pos="1134"/>
        </w:tabs>
        <w:spacing w:before="0"/>
        <w:ind w:left="567" w:firstLine="567"/>
        <w:rPr>
          <w:szCs w:val="22"/>
        </w:rPr>
      </w:pPr>
      <w:r>
        <w:rPr>
          <w:szCs w:val="22"/>
        </w:rPr>
        <w:t>2.</w:t>
      </w:r>
      <w:r>
        <w:rPr>
          <w:szCs w:val="22"/>
        </w:rPr>
        <w:tab/>
      </w:r>
      <w:r>
        <w:rPr>
          <w:i/>
          <w:iCs/>
          <w:szCs w:val="22"/>
        </w:rPr>
        <w:t xml:space="preserve">Prie </w:t>
      </w:r>
      <w:r w:rsidRPr="00AF6122">
        <w:rPr>
          <w:iCs/>
          <w:szCs w:val="22"/>
        </w:rPr>
        <w:t>les</w:t>
      </w:r>
      <w:r>
        <w:rPr>
          <w:i/>
          <w:iCs/>
          <w:szCs w:val="22"/>
        </w:rPr>
        <w:t xml:space="preserve"> </w:t>
      </w:r>
      <w:r>
        <w:rPr>
          <w:szCs w:val="22"/>
        </w:rPr>
        <w:t>Parties de vérifier l</w:t>
      </w:r>
      <w:r w:rsidR="0000372A">
        <w:rPr>
          <w:szCs w:val="22"/>
        </w:rPr>
        <w:t>’</w:t>
      </w:r>
      <w:r>
        <w:rPr>
          <w:szCs w:val="22"/>
        </w:rPr>
        <w:t>exactitude des</w:t>
      </w:r>
      <w:r w:rsidR="00D84DD0">
        <w:rPr>
          <w:szCs w:val="22"/>
        </w:rPr>
        <w:t xml:space="preserve"> données nationales publiées dans</w:t>
      </w:r>
      <w:r>
        <w:rPr>
          <w:szCs w:val="22"/>
        </w:rPr>
        <w:t xml:space="preserve"> le Centre d</w:t>
      </w:r>
      <w:r w:rsidR="0000372A">
        <w:rPr>
          <w:szCs w:val="22"/>
        </w:rPr>
        <w:t>’</w:t>
      </w:r>
      <w:r>
        <w:rPr>
          <w:szCs w:val="22"/>
        </w:rPr>
        <w:t>échange pour la prévention des risqu</w:t>
      </w:r>
      <w:r w:rsidR="002C0694">
        <w:rPr>
          <w:szCs w:val="22"/>
        </w:rPr>
        <w:t xml:space="preserve">es biotechnologiques, </w:t>
      </w:r>
      <w:r>
        <w:rPr>
          <w:szCs w:val="22"/>
        </w:rPr>
        <w:t>en vérifiant</w:t>
      </w:r>
      <w:r w:rsidR="002C0694">
        <w:rPr>
          <w:szCs w:val="22"/>
        </w:rPr>
        <w:t xml:space="preserve"> notamment</w:t>
      </w:r>
      <w:r>
        <w:rPr>
          <w:szCs w:val="22"/>
        </w:rPr>
        <w:t xml:space="preserve"> : a) que les info</w:t>
      </w:r>
      <w:r w:rsidR="002C0694">
        <w:rPr>
          <w:szCs w:val="22"/>
        </w:rPr>
        <w:t>rmations mises à disposition dans</w:t>
      </w:r>
      <w:r>
        <w:rPr>
          <w:szCs w:val="22"/>
        </w:rPr>
        <w:t xml:space="preserve"> le Centre d</w:t>
      </w:r>
      <w:r w:rsidR="0000372A">
        <w:rPr>
          <w:szCs w:val="22"/>
        </w:rPr>
        <w:t>’</w:t>
      </w:r>
      <w:r>
        <w:rPr>
          <w:szCs w:val="22"/>
        </w:rPr>
        <w:t>échange sont à jour et complètes</w:t>
      </w:r>
      <w:r w:rsidR="00E957B8">
        <w:rPr>
          <w:szCs w:val="22"/>
        </w:rPr>
        <w:t>;</w:t>
      </w:r>
      <w:r w:rsidR="00AF6122">
        <w:rPr>
          <w:szCs w:val="22"/>
        </w:rPr>
        <w:t xml:space="preserve"> </w:t>
      </w:r>
      <w:r>
        <w:rPr>
          <w:szCs w:val="22"/>
        </w:rPr>
        <w:t xml:space="preserve">b) que les documents </w:t>
      </w:r>
      <w:r w:rsidR="002C0694">
        <w:rPr>
          <w:szCs w:val="22"/>
        </w:rPr>
        <w:t>qui contiennent</w:t>
      </w:r>
      <w:r>
        <w:rPr>
          <w:szCs w:val="22"/>
        </w:rPr>
        <w:t xml:space="preserve"> ces informations sont téléchargés correctement ou, dans</w:t>
      </w:r>
      <w:r w:rsidR="002C0694">
        <w:rPr>
          <w:szCs w:val="22"/>
        </w:rPr>
        <w:t xml:space="preserve"> les cas où un lien vers le</w:t>
      </w:r>
      <w:r>
        <w:rPr>
          <w:szCs w:val="22"/>
        </w:rPr>
        <w:t xml:space="preserve"> document est fourni, que ce lien est fonctionnel et à jour, </w:t>
      </w:r>
      <w:r w:rsidR="00D84DD0">
        <w:rPr>
          <w:szCs w:val="22"/>
        </w:rPr>
        <w:t>sach</w:t>
      </w:r>
      <w:r>
        <w:rPr>
          <w:szCs w:val="22"/>
        </w:rPr>
        <w:t xml:space="preserve">ant que le </w:t>
      </w:r>
      <w:r w:rsidR="0000372A">
        <w:rPr>
          <w:szCs w:val="22"/>
        </w:rPr>
        <w:t>Comité chargé du respect des obligations</w:t>
      </w:r>
      <w:r>
        <w:rPr>
          <w:szCs w:val="22"/>
        </w:rPr>
        <w:t xml:space="preserve"> examinera à sa vingtième réunion l</w:t>
      </w:r>
      <w:r w:rsidR="00AF6122">
        <w:rPr>
          <w:szCs w:val="22"/>
        </w:rPr>
        <w:t>e caractère exhaustif</w:t>
      </w:r>
      <w:r>
        <w:rPr>
          <w:szCs w:val="22"/>
        </w:rPr>
        <w:t xml:space="preserve"> des information</w:t>
      </w:r>
      <w:r w:rsidR="00D84DD0">
        <w:rPr>
          <w:szCs w:val="22"/>
        </w:rPr>
        <w:t>s publiées dans</w:t>
      </w:r>
      <w:r>
        <w:rPr>
          <w:szCs w:val="22"/>
        </w:rPr>
        <w:t xml:space="preserve"> le Centre d</w:t>
      </w:r>
      <w:r w:rsidR="0000372A">
        <w:rPr>
          <w:szCs w:val="22"/>
        </w:rPr>
        <w:t>’</w:t>
      </w:r>
      <w:r>
        <w:rPr>
          <w:szCs w:val="22"/>
        </w:rPr>
        <w:t>échange pour la prévention des risques biotechnologiques.</w:t>
      </w:r>
    </w:p>
    <w:p w14:paraId="16BC5AAB" w14:textId="77777777" w:rsidR="00543B18" w:rsidRDefault="00F22598">
      <w:pPr>
        <w:pStyle w:val="Para1"/>
        <w:numPr>
          <w:ilvl w:val="0"/>
          <w:numId w:val="0"/>
        </w:numPr>
        <w:ind w:left="567"/>
        <w:jc w:val="center"/>
      </w:pPr>
      <w:r>
        <w:t>_________</w:t>
      </w:r>
    </w:p>
    <w:sectPr w:rsidR="00543B18" w:rsidSect="00C10E36">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F911D9" w14:textId="77777777" w:rsidR="005F7661" w:rsidRDefault="005F7661">
      <w:r>
        <w:separator/>
      </w:r>
    </w:p>
  </w:endnote>
  <w:endnote w:type="continuationSeparator" w:id="0">
    <w:p w14:paraId="020399DC" w14:textId="77777777" w:rsidR="005F7661" w:rsidRDefault="005F7661">
      <w:r>
        <w:continuationSeparator/>
      </w:r>
    </w:p>
  </w:endnote>
  <w:endnote w:type="continuationNotice" w:id="1">
    <w:p w14:paraId="2644D613" w14:textId="77777777" w:rsidR="005F7661" w:rsidRDefault="005F76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5BC38D1" w14:textId="77777777" w:rsidR="00543B18" w:rsidRDefault="00F22598">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DD5CF5">
              <w:rPr>
                <w:noProof/>
                <w:szCs w:val="20"/>
              </w:rPr>
              <w:t>2</w:t>
            </w:r>
            <w:r w:rsidRPr="002B559C">
              <w:rPr>
                <w:szCs w:val="20"/>
              </w:rPr>
              <w:fldChar w:fldCharType="end"/>
            </w:r>
            <w:r>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DD5CF5">
              <w:rPr>
                <w:noProof/>
                <w:szCs w:val="20"/>
              </w:rPr>
              <w:t>7</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9C5A4C6" w14:textId="77777777" w:rsidR="00543B18" w:rsidRDefault="00F22598">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DD5CF5">
              <w:rPr>
                <w:noProof/>
                <w:szCs w:val="20"/>
              </w:rPr>
              <w:t>7</w:t>
            </w:r>
            <w:r w:rsidRPr="002B559C">
              <w:rPr>
                <w:szCs w:val="20"/>
              </w:rPr>
              <w:fldChar w:fldCharType="end"/>
            </w:r>
            <w:r>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DD5CF5">
              <w:rPr>
                <w:noProof/>
                <w:szCs w:val="20"/>
              </w:rPr>
              <w:t>7</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CA48DC" w14:textId="77777777" w:rsidR="005F7661" w:rsidRDefault="005F7661">
      <w:r>
        <w:separator/>
      </w:r>
    </w:p>
  </w:footnote>
  <w:footnote w:type="continuationSeparator" w:id="0">
    <w:p w14:paraId="21882547" w14:textId="77777777" w:rsidR="005F7661" w:rsidRDefault="005F7661">
      <w:r>
        <w:continuationSeparator/>
      </w:r>
    </w:p>
  </w:footnote>
  <w:footnote w:type="continuationNotice" w:id="1">
    <w:p w14:paraId="5DBCF933" w14:textId="77777777" w:rsidR="005F7661" w:rsidRDefault="005F7661"/>
  </w:footnote>
  <w:footnote w:id="2">
    <w:p w14:paraId="2610E25C" w14:textId="77777777" w:rsidR="00543B18" w:rsidRPr="001A1526" w:rsidRDefault="00F22598">
      <w:pPr>
        <w:pStyle w:val="Footnote"/>
        <w:rPr>
          <w:lang w:val="en-AU"/>
        </w:rPr>
      </w:pPr>
      <w:r w:rsidRPr="001A1526">
        <w:rPr>
          <w:rStyle w:val="FootnoteReference"/>
          <w:lang w:val="en-AU"/>
        </w:rPr>
        <w:t>*</w:t>
      </w:r>
      <w:r w:rsidRPr="001A1526">
        <w:rPr>
          <w:lang w:val="en-AU"/>
        </w:rPr>
        <w:t xml:space="preserve"> CBD/CP/MOP/11/1.</w:t>
      </w:r>
    </w:p>
  </w:footnote>
  <w:footnote w:id="3">
    <w:p w14:paraId="70C8AF52" w14:textId="77777777" w:rsidR="00543B18" w:rsidRPr="001A1526" w:rsidRDefault="00F22598">
      <w:pPr>
        <w:pStyle w:val="FootnoteText"/>
        <w:rPr>
          <w:szCs w:val="18"/>
          <w:lang w:val="en-AU"/>
        </w:rPr>
      </w:pPr>
      <w:r w:rsidRPr="006702A1">
        <w:rPr>
          <w:rStyle w:val="FootnoteReference"/>
          <w:szCs w:val="18"/>
        </w:rPr>
        <w:footnoteRef/>
      </w:r>
      <w:r w:rsidRPr="001A1526">
        <w:rPr>
          <w:szCs w:val="18"/>
          <w:lang w:val="en-AU"/>
        </w:rPr>
        <w:t xml:space="preserve"> CBD/CP/MOP/11/INF/2.</w:t>
      </w:r>
    </w:p>
  </w:footnote>
  <w:footnote w:id="4">
    <w:p w14:paraId="5DFADD11" w14:textId="77777777" w:rsidR="00543B18" w:rsidRPr="00065390" w:rsidRDefault="00F22598">
      <w:pPr>
        <w:pStyle w:val="FootnoteText"/>
        <w:rPr>
          <w:szCs w:val="18"/>
          <w:lang w:val="en-AU"/>
        </w:rPr>
      </w:pPr>
      <w:r w:rsidRPr="007D36A0">
        <w:rPr>
          <w:rStyle w:val="FootnoteReference"/>
          <w:szCs w:val="18"/>
        </w:rPr>
        <w:footnoteRef/>
      </w:r>
      <w:r w:rsidRPr="001A1526">
        <w:rPr>
          <w:szCs w:val="18"/>
          <w:lang w:val="en-AU"/>
        </w:rPr>
        <w:t xml:space="preserve"> CBD/CP/CC/16/7, par. 33.</w:t>
      </w:r>
    </w:p>
  </w:footnote>
  <w:footnote w:id="5">
    <w:p w14:paraId="7BFFADD0" w14:textId="1CDA20BE" w:rsidR="00543B18" w:rsidRPr="00065390" w:rsidRDefault="00F22598">
      <w:pPr>
        <w:pStyle w:val="FootnoteText"/>
        <w:rPr>
          <w:szCs w:val="18"/>
          <w:lang w:val="en-AU"/>
        </w:rPr>
      </w:pPr>
      <w:r w:rsidRPr="007D36A0">
        <w:rPr>
          <w:rStyle w:val="FootnoteReference"/>
          <w:szCs w:val="18"/>
        </w:rPr>
        <w:footnoteRef/>
      </w:r>
      <w:r w:rsidRPr="001A1526">
        <w:rPr>
          <w:szCs w:val="18"/>
          <w:lang w:val="en-AU"/>
        </w:rPr>
        <w:t xml:space="preserve"> CBD/SYNBIO/AHTEG/2017/1/3, par. </w:t>
      </w:r>
      <w:r w:rsidRPr="00065390">
        <w:rPr>
          <w:szCs w:val="18"/>
          <w:lang w:val="en-AU"/>
        </w:rPr>
        <w:t>28.</w:t>
      </w:r>
    </w:p>
  </w:footnote>
  <w:footnote w:id="6">
    <w:p w14:paraId="1ABC0032" w14:textId="77777777" w:rsidR="00543B18" w:rsidRPr="00065390" w:rsidRDefault="00F22598">
      <w:pPr>
        <w:pStyle w:val="FootnoteText"/>
        <w:rPr>
          <w:szCs w:val="18"/>
          <w:lang w:val="en-AU"/>
        </w:rPr>
      </w:pPr>
      <w:r w:rsidRPr="007D36A0">
        <w:rPr>
          <w:rStyle w:val="FootnoteReference"/>
          <w:szCs w:val="18"/>
        </w:rPr>
        <w:footnoteRef/>
      </w:r>
      <w:r w:rsidRPr="00065390">
        <w:rPr>
          <w:szCs w:val="18"/>
          <w:lang w:val="en-AU"/>
        </w:rPr>
        <w:t xml:space="preserve"> CBD/SYNBIO/AHTEG/2019/1/3, annexe I, par. 19.</w:t>
      </w:r>
    </w:p>
  </w:footnote>
  <w:footnote w:id="7">
    <w:p w14:paraId="39604CEA" w14:textId="77777777" w:rsidR="00543B18" w:rsidRDefault="00F22598">
      <w:pPr>
        <w:pStyle w:val="FootnoteText"/>
      </w:pPr>
      <w:r>
        <w:rPr>
          <w:rStyle w:val="FootnoteReference"/>
        </w:rPr>
        <w:footnoteRef/>
      </w:r>
      <w:r>
        <w:t xml:space="preserve"> Documents </w:t>
      </w:r>
      <w:hyperlink r:id="rId1" w:history="1">
        <w:r>
          <w:rPr>
            <w:rStyle w:val="Hyperlink"/>
          </w:rPr>
          <w:t>CBD/CP/CC/18/5</w:t>
        </w:r>
      </w:hyperlink>
      <w:r>
        <w:t xml:space="preserve"> et </w:t>
      </w:r>
      <w:hyperlink r:id="rId2" w:history="1">
        <w:r>
          <w:rPr>
            <w:rStyle w:val="Hyperlink"/>
          </w:rPr>
          <w:t>CBD/CP/CC/19/5</w:t>
        </w:r>
      </w:hyperlink>
      <w:r>
        <w:t xml:space="preserve">, respectivement. </w:t>
      </w:r>
    </w:p>
  </w:footnote>
  <w:footnote w:id="8">
    <w:p w14:paraId="3E73832D" w14:textId="77777777" w:rsidR="00543B18" w:rsidRDefault="00F22598">
      <w:pPr>
        <w:pStyle w:val="FootnoteText"/>
      </w:pPr>
      <w:r>
        <w:rPr>
          <w:rStyle w:val="FootnoteReference"/>
        </w:rPr>
        <w:t xml:space="preserve">* </w:t>
      </w:r>
      <w:r>
        <w:rPr>
          <w:szCs w:val="18"/>
        </w:rPr>
        <w:t xml:space="preserve">Conformément à la pratique adoptée lors des réunions précédentes de la Conférence des Parties </w:t>
      </w:r>
      <w:r w:rsidR="001A1526">
        <w:rPr>
          <w:szCs w:val="18"/>
        </w:rPr>
        <w:t>siégeant en tant que</w:t>
      </w:r>
      <w:r>
        <w:rPr>
          <w:szCs w:val="18"/>
        </w:rPr>
        <w:t xml:space="preserve"> réunion des Parties au Protocole, les recommandations peuvent être affectées aux points de l'ordre du jour auxquels elles sont le plus étroitement liées.</w:t>
      </w:r>
    </w:p>
  </w:footnote>
  <w:footnote w:id="9">
    <w:p w14:paraId="707C2AD7" w14:textId="77777777" w:rsidR="00543B18" w:rsidRDefault="00F22598">
      <w:pPr>
        <w:pStyle w:val="FootnoteText"/>
      </w:pPr>
      <w:r>
        <w:rPr>
          <w:rStyle w:val="FootnoteReference"/>
        </w:rPr>
        <w:footnoteRef/>
      </w:r>
      <w:r>
        <w:t xml:space="preserve"> Nations Unies, </w:t>
      </w:r>
      <w:r>
        <w:rPr>
          <w:i/>
          <w:iCs/>
        </w:rPr>
        <w:t>Recueil des Traités</w:t>
      </w:r>
      <w:r>
        <w:t>, vol. 2226, no 30619.</w:t>
      </w:r>
    </w:p>
  </w:footnote>
  <w:footnote w:id="10">
    <w:p w14:paraId="66845D9C" w14:textId="77777777" w:rsidR="00543B18" w:rsidRDefault="00F22598">
      <w:pPr>
        <w:pStyle w:val="FootnoteText"/>
      </w:pPr>
      <w:r>
        <w:rPr>
          <w:rStyle w:val="FootnoteReference"/>
        </w:rPr>
        <w:footnoteRef/>
      </w:r>
      <w:r>
        <w:t xml:space="preserve"> </w:t>
      </w:r>
      <w:r>
        <w:rPr>
          <w:szCs w:val="18"/>
        </w:rPr>
        <w:t>Barbade, Burundi, Guinée, Kirghizistan, Liban, Maroc, Oman, Samoa, Suriname, Trinité-et-Tobago et Tunisie.</w:t>
      </w:r>
    </w:p>
  </w:footnote>
  <w:footnote w:id="11">
    <w:p w14:paraId="7F080BE6" w14:textId="77777777" w:rsidR="00543B18" w:rsidRDefault="00F22598">
      <w:pPr>
        <w:pStyle w:val="FootnoteText"/>
      </w:pPr>
      <w:r>
        <w:rPr>
          <w:rStyle w:val="FootnoteReference"/>
        </w:rPr>
        <w:footnoteRef/>
      </w:r>
      <w:r>
        <w:t xml:space="preserve"> Nations Unies, </w:t>
      </w:r>
      <w:r>
        <w:rPr>
          <w:i/>
          <w:iCs/>
        </w:rPr>
        <w:t>Recueil des Traités</w:t>
      </w:r>
      <w:r>
        <w:t>, vol. 2226, no 30619.</w:t>
      </w:r>
    </w:p>
  </w:footnote>
  <w:footnote w:id="12">
    <w:p w14:paraId="72BD7BC6" w14:textId="77777777" w:rsidR="009E6345" w:rsidRDefault="009E6345" w:rsidP="009E6345">
      <w:pPr>
        <w:pStyle w:val="FootnoteText"/>
      </w:pPr>
      <w:r>
        <w:rPr>
          <w:rStyle w:val="FootnoteReference"/>
        </w:rPr>
        <w:footnoteRef/>
      </w:r>
      <w:r>
        <w:t xml:space="preserve"> </w:t>
      </w:r>
      <w:r>
        <w:rPr>
          <w:szCs w:val="18"/>
        </w:rPr>
        <w:t>Liste des Parties à mettre à jour avant la onzième réunion de la Conférence des Parties siégeant en tant que réunion des Parties au Protocole de Cartagena sur la prévention des risques biotechnologiques.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2F553640" w14:textId="77777777" w:rsidR="00543B18" w:rsidRDefault="00F22598">
    <w:pPr>
      <w:pStyle w:val="Header"/>
      <w:spacing w:after="240"/>
      <w:rPr>
        <w:szCs w:val="20"/>
      </w:rPr>
    </w:pPr>
    <w:r>
      <w:rPr>
        <w:szCs w:val="20"/>
      </w:rPr>
      <w:fldChar w:fldCharType="begin"/>
    </w:r>
    <w:r>
      <w:rPr>
        <w:szCs w:val="20"/>
      </w:rPr>
      <w:instrText xml:space="preserve"> HYPERLINK \h </w:instrText>
    </w:r>
    <w:r>
      <w:rPr>
        <w:szCs w:val="20"/>
      </w:rPr>
    </w:r>
    <w:r>
      <w:rPr>
        <w:szCs w:val="20"/>
      </w:rPr>
      <w:fldChar w:fldCharType="separate"/>
    </w:r>
    <w:r>
      <w:rPr>
        <w:szCs w:val="20"/>
      </w:rPr>
      <w:t>CBD/CP/MOP/11/3</w:t>
    </w:r>
    <w:r>
      <w:rPr>
        <w:szCs w:val="20"/>
      </w:rPr>
      <w:fldChar w:fldCharType="end"/>
    </w:r>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2896520" w14:textId="77777777" w:rsidR="00543B18" w:rsidRDefault="00F22598">
        <w:pPr>
          <w:pStyle w:val="Header"/>
          <w:spacing w:after="240"/>
          <w:jc w:val="right"/>
          <w:rPr>
            <w:szCs w:val="20"/>
          </w:rPr>
        </w:pPr>
        <w:r>
          <w:rPr>
            <w:szCs w:val="20"/>
          </w:rPr>
          <w:t>CBD/CP/MOP/11/3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5950EE"/>
    <w:multiLevelType w:val="hybridMultilevel"/>
    <w:tmpl w:val="22B2865C"/>
    <w:lvl w:ilvl="0" w:tplc="102E25B4">
      <w:start w:val="1"/>
      <w:numFmt w:val="decimal"/>
      <w:lvlText w:val="%1."/>
      <w:lvlJc w:val="left"/>
      <w:pPr>
        <w:ind w:left="1020" w:hanging="360"/>
      </w:pPr>
    </w:lvl>
    <w:lvl w:ilvl="1" w:tplc="B70E414A">
      <w:start w:val="1"/>
      <w:numFmt w:val="decimal"/>
      <w:lvlText w:val="%2."/>
      <w:lvlJc w:val="left"/>
      <w:pPr>
        <w:ind w:left="1020" w:hanging="360"/>
      </w:pPr>
    </w:lvl>
    <w:lvl w:ilvl="2" w:tplc="2DCEBD9C">
      <w:start w:val="1"/>
      <w:numFmt w:val="decimal"/>
      <w:lvlText w:val="%3."/>
      <w:lvlJc w:val="left"/>
      <w:pPr>
        <w:ind w:left="1020" w:hanging="360"/>
      </w:pPr>
    </w:lvl>
    <w:lvl w:ilvl="3" w:tplc="7F765324">
      <w:start w:val="1"/>
      <w:numFmt w:val="decimal"/>
      <w:lvlText w:val="%4."/>
      <w:lvlJc w:val="left"/>
      <w:pPr>
        <w:ind w:left="1020" w:hanging="360"/>
      </w:pPr>
    </w:lvl>
    <w:lvl w:ilvl="4" w:tplc="FA68F00A">
      <w:start w:val="1"/>
      <w:numFmt w:val="decimal"/>
      <w:lvlText w:val="%5."/>
      <w:lvlJc w:val="left"/>
      <w:pPr>
        <w:ind w:left="1020" w:hanging="360"/>
      </w:pPr>
    </w:lvl>
    <w:lvl w:ilvl="5" w:tplc="646AC868">
      <w:start w:val="1"/>
      <w:numFmt w:val="decimal"/>
      <w:lvlText w:val="%6."/>
      <w:lvlJc w:val="left"/>
      <w:pPr>
        <w:ind w:left="1020" w:hanging="360"/>
      </w:pPr>
    </w:lvl>
    <w:lvl w:ilvl="6" w:tplc="C3344220">
      <w:start w:val="1"/>
      <w:numFmt w:val="decimal"/>
      <w:lvlText w:val="%7."/>
      <w:lvlJc w:val="left"/>
      <w:pPr>
        <w:ind w:left="1020" w:hanging="360"/>
      </w:pPr>
    </w:lvl>
    <w:lvl w:ilvl="7" w:tplc="3AA0595C">
      <w:start w:val="1"/>
      <w:numFmt w:val="decimal"/>
      <w:lvlText w:val="%8."/>
      <w:lvlJc w:val="left"/>
      <w:pPr>
        <w:ind w:left="1020" w:hanging="360"/>
      </w:pPr>
    </w:lvl>
    <w:lvl w:ilvl="8" w:tplc="79482458">
      <w:start w:val="1"/>
      <w:numFmt w:val="decimal"/>
      <w:lvlText w:val="%9."/>
      <w:lvlJc w:val="left"/>
      <w:pPr>
        <w:ind w:left="1020" w:hanging="360"/>
      </w:pPr>
    </w:lvl>
  </w:abstractNum>
  <w:abstractNum w:abstractNumId="1" w15:restartNumberingAfterBreak="0">
    <w:nsid w:val="1B413011"/>
    <w:multiLevelType w:val="hybridMultilevel"/>
    <w:tmpl w:val="8D8E1ED4"/>
    <w:lvl w:ilvl="0" w:tplc="22A46684">
      <w:start w:val="1"/>
      <w:numFmt w:val="decimal"/>
      <w:lvlText w:val="%1."/>
      <w:lvlJc w:val="left"/>
      <w:pPr>
        <w:ind w:left="1020" w:hanging="360"/>
      </w:pPr>
    </w:lvl>
    <w:lvl w:ilvl="1" w:tplc="5D7E2538">
      <w:start w:val="1"/>
      <w:numFmt w:val="decimal"/>
      <w:lvlText w:val="%2."/>
      <w:lvlJc w:val="left"/>
      <w:pPr>
        <w:ind w:left="1020" w:hanging="360"/>
      </w:pPr>
    </w:lvl>
    <w:lvl w:ilvl="2" w:tplc="526C6992">
      <w:start w:val="1"/>
      <w:numFmt w:val="decimal"/>
      <w:lvlText w:val="%3."/>
      <w:lvlJc w:val="left"/>
      <w:pPr>
        <w:ind w:left="1020" w:hanging="360"/>
      </w:pPr>
    </w:lvl>
    <w:lvl w:ilvl="3" w:tplc="89A618CA">
      <w:start w:val="1"/>
      <w:numFmt w:val="decimal"/>
      <w:lvlText w:val="%4."/>
      <w:lvlJc w:val="left"/>
      <w:pPr>
        <w:ind w:left="1020" w:hanging="360"/>
      </w:pPr>
    </w:lvl>
    <w:lvl w:ilvl="4" w:tplc="6D96B5CE">
      <w:start w:val="1"/>
      <w:numFmt w:val="decimal"/>
      <w:lvlText w:val="%5."/>
      <w:lvlJc w:val="left"/>
      <w:pPr>
        <w:ind w:left="1020" w:hanging="360"/>
      </w:pPr>
    </w:lvl>
    <w:lvl w:ilvl="5" w:tplc="1556DAFC">
      <w:start w:val="1"/>
      <w:numFmt w:val="decimal"/>
      <w:lvlText w:val="%6."/>
      <w:lvlJc w:val="left"/>
      <w:pPr>
        <w:ind w:left="1020" w:hanging="360"/>
      </w:pPr>
    </w:lvl>
    <w:lvl w:ilvl="6" w:tplc="7C50A5F2">
      <w:start w:val="1"/>
      <w:numFmt w:val="decimal"/>
      <w:lvlText w:val="%7."/>
      <w:lvlJc w:val="left"/>
      <w:pPr>
        <w:ind w:left="1020" w:hanging="360"/>
      </w:pPr>
    </w:lvl>
    <w:lvl w:ilvl="7" w:tplc="A664F9D8">
      <w:start w:val="1"/>
      <w:numFmt w:val="decimal"/>
      <w:lvlText w:val="%8."/>
      <w:lvlJc w:val="left"/>
      <w:pPr>
        <w:ind w:left="1020" w:hanging="360"/>
      </w:pPr>
    </w:lvl>
    <w:lvl w:ilvl="8" w:tplc="7834CD38">
      <w:start w:val="1"/>
      <w:numFmt w:val="decimal"/>
      <w:lvlText w:val="%9."/>
      <w:lvlJc w:val="left"/>
      <w:pPr>
        <w:ind w:left="102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50B31EA3"/>
    <w:multiLevelType w:val="hybridMultilevel"/>
    <w:tmpl w:val="1E40FD42"/>
    <w:lvl w:ilvl="0" w:tplc="765AD24E">
      <w:start w:val="1"/>
      <w:numFmt w:val="decimal"/>
      <w:lvlText w:val="%1."/>
      <w:lvlJc w:val="left"/>
      <w:pPr>
        <w:ind w:left="1020" w:hanging="360"/>
      </w:pPr>
    </w:lvl>
    <w:lvl w:ilvl="1" w:tplc="9FECADD8">
      <w:start w:val="1"/>
      <w:numFmt w:val="decimal"/>
      <w:lvlText w:val="%2."/>
      <w:lvlJc w:val="left"/>
      <w:pPr>
        <w:ind w:left="1020" w:hanging="360"/>
      </w:pPr>
    </w:lvl>
    <w:lvl w:ilvl="2" w:tplc="AD0ADD60">
      <w:start w:val="1"/>
      <w:numFmt w:val="decimal"/>
      <w:lvlText w:val="%3."/>
      <w:lvlJc w:val="left"/>
      <w:pPr>
        <w:ind w:left="1020" w:hanging="360"/>
      </w:pPr>
    </w:lvl>
    <w:lvl w:ilvl="3" w:tplc="66E84232">
      <w:start w:val="1"/>
      <w:numFmt w:val="decimal"/>
      <w:lvlText w:val="%4."/>
      <w:lvlJc w:val="left"/>
      <w:pPr>
        <w:ind w:left="1020" w:hanging="360"/>
      </w:pPr>
    </w:lvl>
    <w:lvl w:ilvl="4" w:tplc="04C446CC">
      <w:start w:val="1"/>
      <w:numFmt w:val="decimal"/>
      <w:lvlText w:val="%5."/>
      <w:lvlJc w:val="left"/>
      <w:pPr>
        <w:ind w:left="1020" w:hanging="360"/>
      </w:pPr>
    </w:lvl>
    <w:lvl w:ilvl="5" w:tplc="8D3C9AA0">
      <w:start w:val="1"/>
      <w:numFmt w:val="decimal"/>
      <w:lvlText w:val="%6."/>
      <w:lvlJc w:val="left"/>
      <w:pPr>
        <w:ind w:left="1020" w:hanging="360"/>
      </w:pPr>
    </w:lvl>
    <w:lvl w:ilvl="6" w:tplc="56F2F57C">
      <w:start w:val="1"/>
      <w:numFmt w:val="decimal"/>
      <w:lvlText w:val="%7."/>
      <w:lvlJc w:val="left"/>
      <w:pPr>
        <w:ind w:left="1020" w:hanging="360"/>
      </w:pPr>
    </w:lvl>
    <w:lvl w:ilvl="7" w:tplc="16144238">
      <w:start w:val="1"/>
      <w:numFmt w:val="decimal"/>
      <w:lvlText w:val="%8."/>
      <w:lvlJc w:val="left"/>
      <w:pPr>
        <w:ind w:left="1020" w:hanging="360"/>
      </w:pPr>
    </w:lvl>
    <w:lvl w:ilvl="8" w:tplc="C904394A">
      <w:start w:val="1"/>
      <w:numFmt w:val="decimal"/>
      <w:lvlText w:val="%9."/>
      <w:lvlJc w:val="left"/>
      <w:pPr>
        <w:ind w:left="1020" w:hanging="360"/>
      </w:pPr>
    </w:lvl>
  </w:abstractNum>
  <w:abstractNum w:abstractNumId="4" w15:restartNumberingAfterBreak="0">
    <w:nsid w:val="68B70991"/>
    <w:multiLevelType w:val="hybridMultilevel"/>
    <w:tmpl w:val="06A2C216"/>
    <w:lvl w:ilvl="0" w:tplc="6EA401F4">
      <w:start w:val="1"/>
      <w:numFmt w:val="decimal"/>
      <w:pStyle w:val="Para1"/>
      <w:lvlText w:val="%1."/>
      <w:lvlJc w:val="left"/>
      <w:pPr>
        <w:ind w:left="5490" w:hanging="360"/>
      </w:pPr>
      <w:rPr>
        <w:rFonts w:hint="default"/>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5604673">
    <w:abstractNumId w:val="4"/>
  </w:num>
  <w:num w:numId="2" w16cid:durableId="1788111754">
    <w:abstractNumId w:val="2"/>
  </w:num>
  <w:num w:numId="3" w16cid:durableId="1239482786">
    <w:abstractNumId w:val="5"/>
  </w:num>
  <w:num w:numId="4" w16cid:durableId="1856191944">
    <w:abstractNumId w:val="5"/>
  </w:num>
  <w:num w:numId="5" w16cid:durableId="2117208274">
    <w:abstractNumId w:val="6"/>
  </w:num>
  <w:num w:numId="6" w16cid:durableId="11880621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05200511">
    <w:abstractNumId w:val="1"/>
  </w:num>
  <w:num w:numId="8" w16cid:durableId="610749060">
    <w:abstractNumId w:val="3"/>
  </w:num>
  <w:num w:numId="9" w16cid:durableId="246840430">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E38"/>
    <w:rsid w:val="00000268"/>
    <w:rsid w:val="0000227C"/>
    <w:rsid w:val="000030FB"/>
    <w:rsid w:val="0000372A"/>
    <w:rsid w:val="0000410D"/>
    <w:rsid w:val="00005281"/>
    <w:rsid w:val="00005F9A"/>
    <w:rsid w:val="00005F9E"/>
    <w:rsid w:val="000063C8"/>
    <w:rsid w:val="00007D15"/>
    <w:rsid w:val="00010003"/>
    <w:rsid w:val="00011D11"/>
    <w:rsid w:val="00011E30"/>
    <w:rsid w:val="00011FA6"/>
    <w:rsid w:val="000167CE"/>
    <w:rsid w:val="00017BA6"/>
    <w:rsid w:val="00017D09"/>
    <w:rsid w:val="00020013"/>
    <w:rsid w:val="00020CB2"/>
    <w:rsid w:val="000224EE"/>
    <w:rsid w:val="00024FA4"/>
    <w:rsid w:val="000305A0"/>
    <w:rsid w:val="000346C7"/>
    <w:rsid w:val="000366DE"/>
    <w:rsid w:val="000369D0"/>
    <w:rsid w:val="00036EF5"/>
    <w:rsid w:val="00036FFF"/>
    <w:rsid w:val="00040598"/>
    <w:rsid w:val="00040B26"/>
    <w:rsid w:val="00041822"/>
    <w:rsid w:val="00041F8F"/>
    <w:rsid w:val="00042847"/>
    <w:rsid w:val="00042E3E"/>
    <w:rsid w:val="000448D0"/>
    <w:rsid w:val="00046A17"/>
    <w:rsid w:val="0004763B"/>
    <w:rsid w:val="000479CF"/>
    <w:rsid w:val="00050270"/>
    <w:rsid w:val="00050CC7"/>
    <w:rsid w:val="0005287E"/>
    <w:rsid w:val="000530D9"/>
    <w:rsid w:val="00054A09"/>
    <w:rsid w:val="000608BB"/>
    <w:rsid w:val="000632DB"/>
    <w:rsid w:val="00065390"/>
    <w:rsid w:val="00067983"/>
    <w:rsid w:val="00067A61"/>
    <w:rsid w:val="00071C78"/>
    <w:rsid w:val="00072007"/>
    <w:rsid w:val="00072A5C"/>
    <w:rsid w:val="00073D0A"/>
    <w:rsid w:val="000748AF"/>
    <w:rsid w:val="0008218C"/>
    <w:rsid w:val="00082553"/>
    <w:rsid w:val="000833F0"/>
    <w:rsid w:val="00083F0C"/>
    <w:rsid w:val="00084129"/>
    <w:rsid w:val="000841D5"/>
    <w:rsid w:val="000868D3"/>
    <w:rsid w:val="00091FB3"/>
    <w:rsid w:val="000932C0"/>
    <w:rsid w:val="00097BC5"/>
    <w:rsid w:val="000A05E4"/>
    <w:rsid w:val="000A188A"/>
    <w:rsid w:val="000C02AD"/>
    <w:rsid w:val="000C072A"/>
    <w:rsid w:val="000C07BB"/>
    <w:rsid w:val="000C07E5"/>
    <w:rsid w:val="000C0A25"/>
    <w:rsid w:val="000C0B6F"/>
    <w:rsid w:val="000C15D3"/>
    <w:rsid w:val="000C281C"/>
    <w:rsid w:val="000C289B"/>
    <w:rsid w:val="000C2DEB"/>
    <w:rsid w:val="000C2F72"/>
    <w:rsid w:val="000C47DD"/>
    <w:rsid w:val="000C5F56"/>
    <w:rsid w:val="000C637F"/>
    <w:rsid w:val="000D0F60"/>
    <w:rsid w:val="000D1B48"/>
    <w:rsid w:val="000D2DD2"/>
    <w:rsid w:val="000D2F0E"/>
    <w:rsid w:val="000D4FB5"/>
    <w:rsid w:val="000D62AF"/>
    <w:rsid w:val="000D6FB7"/>
    <w:rsid w:val="000D7D7D"/>
    <w:rsid w:val="000E14C4"/>
    <w:rsid w:val="000E15FE"/>
    <w:rsid w:val="000E1756"/>
    <w:rsid w:val="000E2349"/>
    <w:rsid w:val="000E2E02"/>
    <w:rsid w:val="000E338D"/>
    <w:rsid w:val="000E36D7"/>
    <w:rsid w:val="000E45AE"/>
    <w:rsid w:val="000E5EE4"/>
    <w:rsid w:val="000F1230"/>
    <w:rsid w:val="000F2E68"/>
    <w:rsid w:val="000F32D7"/>
    <w:rsid w:val="000F33AB"/>
    <w:rsid w:val="000F6F4B"/>
    <w:rsid w:val="000F7DE2"/>
    <w:rsid w:val="001018B8"/>
    <w:rsid w:val="0010198F"/>
    <w:rsid w:val="001033C1"/>
    <w:rsid w:val="00104E15"/>
    <w:rsid w:val="00106A5A"/>
    <w:rsid w:val="001071B9"/>
    <w:rsid w:val="00110FA0"/>
    <w:rsid w:val="00111566"/>
    <w:rsid w:val="00111DC6"/>
    <w:rsid w:val="00113B7F"/>
    <w:rsid w:val="001144FB"/>
    <w:rsid w:val="001146B6"/>
    <w:rsid w:val="00114FC8"/>
    <w:rsid w:val="00115B8D"/>
    <w:rsid w:val="0011620B"/>
    <w:rsid w:val="00117373"/>
    <w:rsid w:val="001208AD"/>
    <w:rsid w:val="00122828"/>
    <w:rsid w:val="00123EE3"/>
    <w:rsid w:val="00124135"/>
    <w:rsid w:val="00125ADF"/>
    <w:rsid w:val="00125C1D"/>
    <w:rsid w:val="001264B0"/>
    <w:rsid w:val="001305E0"/>
    <w:rsid w:val="00132581"/>
    <w:rsid w:val="00133EC6"/>
    <w:rsid w:val="0013593D"/>
    <w:rsid w:val="0013607C"/>
    <w:rsid w:val="00137088"/>
    <w:rsid w:val="00137CB2"/>
    <w:rsid w:val="00142F9F"/>
    <w:rsid w:val="001438BF"/>
    <w:rsid w:val="00143BB3"/>
    <w:rsid w:val="00144F64"/>
    <w:rsid w:val="00150953"/>
    <w:rsid w:val="0015095D"/>
    <w:rsid w:val="001509C3"/>
    <w:rsid w:val="00150B6F"/>
    <w:rsid w:val="00150BA5"/>
    <w:rsid w:val="001535BE"/>
    <w:rsid w:val="001540BD"/>
    <w:rsid w:val="001544FF"/>
    <w:rsid w:val="001564DD"/>
    <w:rsid w:val="00156570"/>
    <w:rsid w:val="001571E3"/>
    <w:rsid w:val="00157486"/>
    <w:rsid w:val="00157FAE"/>
    <w:rsid w:val="00160302"/>
    <w:rsid w:val="00160FC0"/>
    <w:rsid w:val="001618A2"/>
    <w:rsid w:val="00161EA4"/>
    <w:rsid w:val="001638AA"/>
    <w:rsid w:val="00164B44"/>
    <w:rsid w:val="001678C4"/>
    <w:rsid w:val="001725D3"/>
    <w:rsid w:val="001748FD"/>
    <w:rsid w:val="001807BB"/>
    <w:rsid w:val="00180F80"/>
    <w:rsid w:val="00181492"/>
    <w:rsid w:val="00181747"/>
    <w:rsid w:val="00181944"/>
    <w:rsid w:val="00181FF0"/>
    <w:rsid w:val="00182148"/>
    <w:rsid w:val="00182186"/>
    <w:rsid w:val="00182C88"/>
    <w:rsid w:val="0018369B"/>
    <w:rsid w:val="0018408C"/>
    <w:rsid w:val="00184142"/>
    <w:rsid w:val="00184909"/>
    <w:rsid w:val="0018566A"/>
    <w:rsid w:val="00186E61"/>
    <w:rsid w:val="00187687"/>
    <w:rsid w:val="001902A4"/>
    <w:rsid w:val="00190C78"/>
    <w:rsid w:val="00193F92"/>
    <w:rsid w:val="0019404C"/>
    <w:rsid w:val="00194DF0"/>
    <w:rsid w:val="00195351"/>
    <w:rsid w:val="00196936"/>
    <w:rsid w:val="00196DFE"/>
    <w:rsid w:val="001973F0"/>
    <w:rsid w:val="001A1478"/>
    <w:rsid w:val="001A1526"/>
    <w:rsid w:val="001A2AB8"/>
    <w:rsid w:val="001A4E82"/>
    <w:rsid w:val="001A654F"/>
    <w:rsid w:val="001A6DD3"/>
    <w:rsid w:val="001A7274"/>
    <w:rsid w:val="001B0511"/>
    <w:rsid w:val="001B2B72"/>
    <w:rsid w:val="001B3022"/>
    <w:rsid w:val="001B5745"/>
    <w:rsid w:val="001B6D07"/>
    <w:rsid w:val="001C11E3"/>
    <w:rsid w:val="001C16E3"/>
    <w:rsid w:val="001C1915"/>
    <w:rsid w:val="001C3603"/>
    <w:rsid w:val="001C41FA"/>
    <w:rsid w:val="001C45E1"/>
    <w:rsid w:val="001C45FC"/>
    <w:rsid w:val="001C555E"/>
    <w:rsid w:val="001C5933"/>
    <w:rsid w:val="001D0CDE"/>
    <w:rsid w:val="001D1206"/>
    <w:rsid w:val="001D1E0A"/>
    <w:rsid w:val="001D2A19"/>
    <w:rsid w:val="001D3A2E"/>
    <w:rsid w:val="001D3C65"/>
    <w:rsid w:val="001D61C9"/>
    <w:rsid w:val="001D6BB4"/>
    <w:rsid w:val="001D6F41"/>
    <w:rsid w:val="001D7501"/>
    <w:rsid w:val="001E048E"/>
    <w:rsid w:val="001E0D4C"/>
    <w:rsid w:val="001F257B"/>
    <w:rsid w:val="001F296D"/>
    <w:rsid w:val="001F4FAF"/>
    <w:rsid w:val="00203D12"/>
    <w:rsid w:val="00203E83"/>
    <w:rsid w:val="0020627C"/>
    <w:rsid w:val="002063B2"/>
    <w:rsid w:val="002063BF"/>
    <w:rsid w:val="002071B0"/>
    <w:rsid w:val="00207444"/>
    <w:rsid w:val="002142D2"/>
    <w:rsid w:val="00214F54"/>
    <w:rsid w:val="002164A6"/>
    <w:rsid w:val="002176B2"/>
    <w:rsid w:val="00217C48"/>
    <w:rsid w:val="00221270"/>
    <w:rsid w:val="0022260A"/>
    <w:rsid w:val="002253C8"/>
    <w:rsid w:val="00227D1E"/>
    <w:rsid w:val="00227D9A"/>
    <w:rsid w:val="00230233"/>
    <w:rsid w:val="00230B11"/>
    <w:rsid w:val="00231EED"/>
    <w:rsid w:val="00232ABA"/>
    <w:rsid w:val="00233357"/>
    <w:rsid w:val="00234EEF"/>
    <w:rsid w:val="00237894"/>
    <w:rsid w:val="00243B9A"/>
    <w:rsid w:val="002458F0"/>
    <w:rsid w:val="00252202"/>
    <w:rsid w:val="002527D5"/>
    <w:rsid w:val="00252835"/>
    <w:rsid w:val="00253434"/>
    <w:rsid w:val="00253BDA"/>
    <w:rsid w:val="00253E61"/>
    <w:rsid w:val="00254609"/>
    <w:rsid w:val="00255AAE"/>
    <w:rsid w:val="0026075E"/>
    <w:rsid w:val="002619A4"/>
    <w:rsid w:val="0026239C"/>
    <w:rsid w:val="002713EA"/>
    <w:rsid w:val="00274151"/>
    <w:rsid w:val="002742B2"/>
    <w:rsid w:val="0027759E"/>
    <w:rsid w:val="00280218"/>
    <w:rsid w:val="00280E77"/>
    <w:rsid w:val="00281BB2"/>
    <w:rsid w:val="00283117"/>
    <w:rsid w:val="00283852"/>
    <w:rsid w:val="00287485"/>
    <w:rsid w:val="00290917"/>
    <w:rsid w:val="00291E4E"/>
    <w:rsid w:val="00295149"/>
    <w:rsid w:val="00297D97"/>
    <w:rsid w:val="002A2E4B"/>
    <w:rsid w:val="002A3170"/>
    <w:rsid w:val="002A40B8"/>
    <w:rsid w:val="002A4A4A"/>
    <w:rsid w:val="002A5BAC"/>
    <w:rsid w:val="002A6737"/>
    <w:rsid w:val="002B00CA"/>
    <w:rsid w:val="002B1CE5"/>
    <w:rsid w:val="002B34C2"/>
    <w:rsid w:val="002B559C"/>
    <w:rsid w:val="002B5B58"/>
    <w:rsid w:val="002B6348"/>
    <w:rsid w:val="002B67DE"/>
    <w:rsid w:val="002B67F0"/>
    <w:rsid w:val="002B6977"/>
    <w:rsid w:val="002B705D"/>
    <w:rsid w:val="002B7144"/>
    <w:rsid w:val="002C0694"/>
    <w:rsid w:val="002C1586"/>
    <w:rsid w:val="002C4A4D"/>
    <w:rsid w:val="002C5E3E"/>
    <w:rsid w:val="002D01BD"/>
    <w:rsid w:val="002D1A77"/>
    <w:rsid w:val="002D1D2B"/>
    <w:rsid w:val="002D200C"/>
    <w:rsid w:val="002D24E0"/>
    <w:rsid w:val="002D30DE"/>
    <w:rsid w:val="002D5CDE"/>
    <w:rsid w:val="002E132D"/>
    <w:rsid w:val="002E1BFC"/>
    <w:rsid w:val="002E29EE"/>
    <w:rsid w:val="002E467F"/>
    <w:rsid w:val="002E62F2"/>
    <w:rsid w:val="002E64F9"/>
    <w:rsid w:val="002E6872"/>
    <w:rsid w:val="002E7BDB"/>
    <w:rsid w:val="002E7F61"/>
    <w:rsid w:val="002F2645"/>
    <w:rsid w:val="002F2B7F"/>
    <w:rsid w:val="002F2C8C"/>
    <w:rsid w:val="002F346C"/>
    <w:rsid w:val="002F766B"/>
    <w:rsid w:val="002F7B91"/>
    <w:rsid w:val="003015C0"/>
    <w:rsid w:val="00302083"/>
    <w:rsid w:val="0030442F"/>
    <w:rsid w:val="003051D9"/>
    <w:rsid w:val="00305EF3"/>
    <w:rsid w:val="00310608"/>
    <w:rsid w:val="003106D1"/>
    <w:rsid w:val="0031114D"/>
    <w:rsid w:val="003124F7"/>
    <w:rsid w:val="00312E07"/>
    <w:rsid w:val="00320444"/>
    <w:rsid w:val="00320679"/>
    <w:rsid w:val="00323F22"/>
    <w:rsid w:val="0032564D"/>
    <w:rsid w:val="00326E74"/>
    <w:rsid w:val="00327648"/>
    <w:rsid w:val="003300B9"/>
    <w:rsid w:val="00330762"/>
    <w:rsid w:val="00330A34"/>
    <w:rsid w:val="00333E73"/>
    <w:rsid w:val="00335075"/>
    <w:rsid w:val="00336A35"/>
    <w:rsid w:val="00340B07"/>
    <w:rsid w:val="00341F04"/>
    <w:rsid w:val="003425A5"/>
    <w:rsid w:val="00342664"/>
    <w:rsid w:val="00342767"/>
    <w:rsid w:val="00342889"/>
    <w:rsid w:val="00342DC3"/>
    <w:rsid w:val="0034342D"/>
    <w:rsid w:val="003468E7"/>
    <w:rsid w:val="00346AA3"/>
    <w:rsid w:val="003475E7"/>
    <w:rsid w:val="003476A9"/>
    <w:rsid w:val="00347F39"/>
    <w:rsid w:val="003502DF"/>
    <w:rsid w:val="00350446"/>
    <w:rsid w:val="0035136F"/>
    <w:rsid w:val="00354E00"/>
    <w:rsid w:val="00354F06"/>
    <w:rsid w:val="00360D5F"/>
    <w:rsid w:val="00361175"/>
    <w:rsid w:val="00363709"/>
    <w:rsid w:val="003638CE"/>
    <w:rsid w:val="00367928"/>
    <w:rsid w:val="00367FBA"/>
    <w:rsid w:val="00371B7A"/>
    <w:rsid w:val="00373824"/>
    <w:rsid w:val="003739DB"/>
    <w:rsid w:val="00373A58"/>
    <w:rsid w:val="003766F2"/>
    <w:rsid w:val="00377696"/>
    <w:rsid w:val="0038234A"/>
    <w:rsid w:val="00382538"/>
    <w:rsid w:val="00383BAF"/>
    <w:rsid w:val="00383EBB"/>
    <w:rsid w:val="0038436C"/>
    <w:rsid w:val="003867BB"/>
    <w:rsid w:val="00386B9F"/>
    <w:rsid w:val="00394302"/>
    <w:rsid w:val="00394484"/>
    <w:rsid w:val="00395734"/>
    <w:rsid w:val="003A12EE"/>
    <w:rsid w:val="003A5ACD"/>
    <w:rsid w:val="003A5BFD"/>
    <w:rsid w:val="003A676F"/>
    <w:rsid w:val="003A76B7"/>
    <w:rsid w:val="003B1671"/>
    <w:rsid w:val="003B1A6D"/>
    <w:rsid w:val="003B1AC4"/>
    <w:rsid w:val="003B69A7"/>
    <w:rsid w:val="003B7CF3"/>
    <w:rsid w:val="003C27BB"/>
    <w:rsid w:val="003C289E"/>
    <w:rsid w:val="003C3F13"/>
    <w:rsid w:val="003C4358"/>
    <w:rsid w:val="003C5884"/>
    <w:rsid w:val="003C5AFE"/>
    <w:rsid w:val="003C6F10"/>
    <w:rsid w:val="003D2021"/>
    <w:rsid w:val="003D4060"/>
    <w:rsid w:val="003D4B86"/>
    <w:rsid w:val="003D741F"/>
    <w:rsid w:val="003D780A"/>
    <w:rsid w:val="003E0B05"/>
    <w:rsid w:val="003E6A5B"/>
    <w:rsid w:val="003E740E"/>
    <w:rsid w:val="003E75CB"/>
    <w:rsid w:val="003E7704"/>
    <w:rsid w:val="003F1103"/>
    <w:rsid w:val="003F2194"/>
    <w:rsid w:val="003F23F4"/>
    <w:rsid w:val="003F4B46"/>
    <w:rsid w:val="003F5C4D"/>
    <w:rsid w:val="003F681C"/>
    <w:rsid w:val="003F708A"/>
    <w:rsid w:val="003F7443"/>
    <w:rsid w:val="0040081B"/>
    <w:rsid w:val="004026B2"/>
    <w:rsid w:val="00402D07"/>
    <w:rsid w:val="00403177"/>
    <w:rsid w:val="00404A0D"/>
    <w:rsid w:val="00406222"/>
    <w:rsid w:val="00406F5C"/>
    <w:rsid w:val="0041081F"/>
    <w:rsid w:val="0041086F"/>
    <w:rsid w:val="00410AA7"/>
    <w:rsid w:val="004125F3"/>
    <w:rsid w:val="004146D8"/>
    <w:rsid w:val="0041495E"/>
    <w:rsid w:val="00415D8A"/>
    <w:rsid w:val="00417493"/>
    <w:rsid w:val="00421C1D"/>
    <w:rsid w:val="00422498"/>
    <w:rsid w:val="00422774"/>
    <w:rsid w:val="00424C7D"/>
    <w:rsid w:val="00424E05"/>
    <w:rsid w:val="00426360"/>
    <w:rsid w:val="0042689D"/>
    <w:rsid w:val="004302C4"/>
    <w:rsid w:val="00430FBF"/>
    <w:rsid w:val="0043147A"/>
    <w:rsid w:val="00434147"/>
    <w:rsid w:val="00434994"/>
    <w:rsid w:val="0043549D"/>
    <w:rsid w:val="00435AD2"/>
    <w:rsid w:val="00440021"/>
    <w:rsid w:val="00440C6F"/>
    <w:rsid w:val="00440EAD"/>
    <w:rsid w:val="00441498"/>
    <w:rsid w:val="00441B79"/>
    <w:rsid w:val="00444E42"/>
    <w:rsid w:val="004455BA"/>
    <w:rsid w:val="004464D4"/>
    <w:rsid w:val="00451465"/>
    <w:rsid w:val="00452273"/>
    <w:rsid w:val="00453623"/>
    <w:rsid w:val="00454518"/>
    <w:rsid w:val="00454E11"/>
    <w:rsid w:val="00454FFB"/>
    <w:rsid w:val="00455D6B"/>
    <w:rsid w:val="00457723"/>
    <w:rsid w:val="00463444"/>
    <w:rsid w:val="0046375F"/>
    <w:rsid w:val="00466EAF"/>
    <w:rsid w:val="004701EE"/>
    <w:rsid w:val="00470F07"/>
    <w:rsid w:val="004736AF"/>
    <w:rsid w:val="00473A99"/>
    <w:rsid w:val="00474F66"/>
    <w:rsid w:val="004756D1"/>
    <w:rsid w:val="0047644E"/>
    <w:rsid w:val="00480A8D"/>
    <w:rsid w:val="00480FC5"/>
    <w:rsid w:val="004815B3"/>
    <w:rsid w:val="004823F3"/>
    <w:rsid w:val="00482695"/>
    <w:rsid w:val="00484C71"/>
    <w:rsid w:val="00485E5C"/>
    <w:rsid w:val="00486F9A"/>
    <w:rsid w:val="00486FFC"/>
    <w:rsid w:val="00490BA0"/>
    <w:rsid w:val="00490DDC"/>
    <w:rsid w:val="00492EAB"/>
    <w:rsid w:val="00494CA6"/>
    <w:rsid w:val="004970C8"/>
    <w:rsid w:val="004A2A2D"/>
    <w:rsid w:val="004A3256"/>
    <w:rsid w:val="004A379C"/>
    <w:rsid w:val="004A5633"/>
    <w:rsid w:val="004A5DCF"/>
    <w:rsid w:val="004A6238"/>
    <w:rsid w:val="004A6AC0"/>
    <w:rsid w:val="004A7690"/>
    <w:rsid w:val="004A7D63"/>
    <w:rsid w:val="004B4142"/>
    <w:rsid w:val="004B4AEC"/>
    <w:rsid w:val="004B5FF2"/>
    <w:rsid w:val="004B71DF"/>
    <w:rsid w:val="004B7E7C"/>
    <w:rsid w:val="004C0349"/>
    <w:rsid w:val="004C0F88"/>
    <w:rsid w:val="004C1180"/>
    <w:rsid w:val="004D08B7"/>
    <w:rsid w:val="004D36BB"/>
    <w:rsid w:val="004D391E"/>
    <w:rsid w:val="004D44C9"/>
    <w:rsid w:val="004D7BC2"/>
    <w:rsid w:val="004E30E1"/>
    <w:rsid w:val="004E332F"/>
    <w:rsid w:val="004E592D"/>
    <w:rsid w:val="004E6261"/>
    <w:rsid w:val="004E6C4A"/>
    <w:rsid w:val="004E6C60"/>
    <w:rsid w:val="004F04AB"/>
    <w:rsid w:val="004F31DB"/>
    <w:rsid w:val="004F3445"/>
    <w:rsid w:val="004F4E38"/>
    <w:rsid w:val="004F5315"/>
    <w:rsid w:val="004F68B8"/>
    <w:rsid w:val="00502516"/>
    <w:rsid w:val="00503F0D"/>
    <w:rsid w:val="0050490E"/>
    <w:rsid w:val="0050578A"/>
    <w:rsid w:val="00511706"/>
    <w:rsid w:val="005119DD"/>
    <w:rsid w:val="00511BC1"/>
    <w:rsid w:val="00513DCD"/>
    <w:rsid w:val="00513DDE"/>
    <w:rsid w:val="0051421B"/>
    <w:rsid w:val="005204C8"/>
    <w:rsid w:val="00520CDA"/>
    <w:rsid w:val="00521ACC"/>
    <w:rsid w:val="00523B9B"/>
    <w:rsid w:val="005256FC"/>
    <w:rsid w:val="00525B53"/>
    <w:rsid w:val="00526533"/>
    <w:rsid w:val="00530312"/>
    <w:rsid w:val="005308BA"/>
    <w:rsid w:val="00533D8D"/>
    <w:rsid w:val="00534372"/>
    <w:rsid w:val="00537248"/>
    <w:rsid w:val="00537B91"/>
    <w:rsid w:val="00540850"/>
    <w:rsid w:val="00542DE8"/>
    <w:rsid w:val="0054352D"/>
    <w:rsid w:val="00543B18"/>
    <w:rsid w:val="005451AE"/>
    <w:rsid w:val="0054702D"/>
    <w:rsid w:val="00547B87"/>
    <w:rsid w:val="00547F38"/>
    <w:rsid w:val="00551337"/>
    <w:rsid w:val="00552BDD"/>
    <w:rsid w:val="00553279"/>
    <w:rsid w:val="00553EAA"/>
    <w:rsid w:val="005541FC"/>
    <w:rsid w:val="00555255"/>
    <w:rsid w:val="00555F12"/>
    <w:rsid w:val="005564A6"/>
    <w:rsid w:val="00556734"/>
    <w:rsid w:val="00556EAC"/>
    <w:rsid w:val="00557CE0"/>
    <w:rsid w:val="00560D5B"/>
    <w:rsid w:val="005643F7"/>
    <w:rsid w:val="00566CB3"/>
    <w:rsid w:val="00570403"/>
    <w:rsid w:val="005724A5"/>
    <w:rsid w:val="005737F0"/>
    <w:rsid w:val="00573983"/>
    <w:rsid w:val="00573D7F"/>
    <w:rsid w:val="00574099"/>
    <w:rsid w:val="00575EA6"/>
    <w:rsid w:val="00582013"/>
    <w:rsid w:val="0058297B"/>
    <w:rsid w:val="00582CDA"/>
    <w:rsid w:val="005834F7"/>
    <w:rsid w:val="0058754B"/>
    <w:rsid w:val="00590EA7"/>
    <w:rsid w:val="00590FD5"/>
    <w:rsid w:val="00590FF7"/>
    <w:rsid w:val="00591ED7"/>
    <w:rsid w:val="005945DD"/>
    <w:rsid w:val="00594731"/>
    <w:rsid w:val="005961B8"/>
    <w:rsid w:val="005967D0"/>
    <w:rsid w:val="00596FE8"/>
    <w:rsid w:val="005A206E"/>
    <w:rsid w:val="005A3D4E"/>
    <w:rsid w:val="005A4576"/>
    <w:rsid w:val="005B0281"/>
    <w:rsid w:val="005B3DA8"/>
    <w:rsid w:val="005B617C"/>
    <w:rsid w:val="005B739B"/>
    <w:rsid w:val="005B7F0F"/>
    <w:rsid w:val="005C0058"/>
    <w:rsid w:val="005C096A"/>
    <w:rsid w:val="005C1583"/>
    <w:rsid w:val="005C35A5"/>
    <w:rsid w:val="005C6D47"/>
    <w:rsid w:val="005D0649"/>
    <w:rsid w:val="005D20BB"/>
    <w:rsid w:val="005D276E"/>
    <w:rsid w:val="005D337B"/>
    <w:rsid w:val="005D34B6"/>
    <w:rsid w:val="005D6010"/>
    <w:rsid w:val="005D617B"/>
    <w:rsid w:val="005D6ECC"/>
    <w:rsid w:val="005E2605"/>
    <w:rsid w:val="005E3E02"/>
    <w:rsid w:val="005E5218"/>
    <w:rsid w:val="005E52EE"/>
    <w:rsid w:val="005F0232"/>
    <w:rsid w:val="005F281A"/>
    <w:rsid w:val="005F4767"/>
    <w:rsid w:val="005F5171"/>
    <w:rsid w:val="005F54B8"/>
    <w:rsid w:val="005F5648"/>
    <w:rsid w:val="005F7661"/>
    <w:rsid w:val="005F79AD"/>
    <w:rsid w:val="005F7AF8"/>
    <w:rsid w:val="0060244E"/>
    <w:rsid w:val="00611AFC"/>
    <w:rsid w:val="006134B7"/>
    <w:rsid w:val="006138FC"/>
    <w:rsid w:val="00613DFF"/>
    <w:rsid w:val="0061521C"/>
    <w:rsid w:val="00615891"/>
    <w:rsid w:val="006178D1"/>
    <w:rsid w:val="00617B78"/>
    <w:rsid w:val="00620D30"/>
    <w:rsid w:val="0062239F"/>
    <w:rsid w:val="0062318C"/>
    <w:rsid w:val="006239EC"/>
    <w:rsid w:val="006261EF"/>
    <w:rsid w:val="00626756"/>
    <w:rsid w:val="00627281"/>
    <w:rsid w:val="0063007F"/>
    <w:rsid w:val="00632895"/>
    <w:rsid w:val="00632C4A"/>
    <w:rsid w:val="00633C45"/>
    <w:rsid w:val="00633D3B"/>
    <w:rsid w:val="0063491D"/>
    <w:rsid w:val="00635765"/>
    <w:rsid w:val="006378E7"/>
    <w:rsid w:val="00637DC0"/>
    <w:rsid w:val="006407F6"/>
    <w:rsid w:val="006411FF"/>
    <w:rsid w:val="00641374"/>
    <w:rsid w:val="006440C0"/>
    <w:rsid w:val="00644754"/>
    <w:rsid w:val="00647EE5"/>
    <w:rsid w:val="00651535"/>
    <w:rsid w:val="006538F9"/>
    <w:rsid w:val="00654D8D"/>
    <w:rsid w:val="00656099"/>
    <w:rsid w:val="0065780F"/>
    <w:rsid w:val="006578B1"/>
    <w:rsid w:val="00657996"/>
    <w:rsid w:val="00657A8A"/>
    <w:rsid w:val="00657ED6"/>
    <w:rsid w:val="00657FD6"/>
    <w:rsid w:val="00657FFB"/>
    <w:rsid w:val="006604AE"/>
    <w:rsid w:val="006614DF"/>
    <w:rsid w:val="006622E1"/>
    <w:rsid w:val="00663B56"/>
    <w:rsid w:val="00663FA6"/>
    <w:rsid w:val="00664150"/>
    <w:rsid w:val="00667180"/>
    <w:rsid w:val="0066720E"/>
    <w:rsid w:val="00667B0D"/>
    <w:rsid w:val="00667C1B"/>
    <w:rsid w:val="006702A1"/>
    <w:rsid w:val="00672C44"/>
    <w:rsid w:val="00672FA2"/>
    <w:rsid w:val="00674144"/>
    <w:rsid w:val="00674AFE"/>
    <w:rsid w:val="006766BA"/>
    <w:rsid w:val="0069123D"/>
    <w:rsid w:val="00691802"/>
    <w:rsid w:val="00693E5D"/>
    <w:rsid w:val="00696667"/>
    <w:rsid w:val="00696A5F"/>
    <w:rsid w:val="006A0703"/>
    <w:rsid w:val="006A09E7"/>
    <w:rsid w:val="006A0E2D"/>
    <w:rsid w:val="006A44FE"/>
    <w:rsid w:val="006A4FB5"/>
    <w:rsid w:val="006A541E"/>
    <w:rsid w:val="006B116F"/>
    <w:rsid w:val="006B1E35"/>
    <w:rsid w:val="006B293D"/>
    <w:rsid w:val="006B4676"/>
    <w:rsid w:val="006B4BD3"/>
    <w:rsid w:val="006B4CDB"/>
    <w:rsid w:val="006B5FA2"/>
    <w:rsid w:val="006C1239"/>
    <w:rsid w:val="006C18E6"/>
    <w:rsid w:val="006C27C9"/>
    <w:rsid w:val="006C3795"/>
    <w:rsid w:val="006C41C0"/>
    <w:rsid w:val="006C42AB"/>
    <w:rsid w:val="006C475C"/>
    <w:rsid w:val="006D0A20"/>
    <w:rsid w:val="006D1928"/>
    <w:rsid w:val="006D24CC"/>
    <w:rsid w:val="006D48DA"/>
    <w:rsid w:val="006D62DA"/>
    <w:rsid w:val="006D6380"/>
    <w:rsid w:val="006D6CA6"/>
    <w:rsid w:val="006E0AF4"/>
    <w:rsid w:val="006E364C"/>
    <w:rsid w:val="006E4ED0"/>
    <w:rsid w:val="006E693C"/>
    <w:rsid w:val="006F2665"/>
    <w:rsid w:val="006F29BB"/>
    <w:rsid w:val="006F40FF"/>
    <w:rsid w:val="006F4402"/>
    <w:rsid w:val="006F4D8D"/>
    <w:rsid w:val="006F5A5C"/>
    <w:rsid w:val="00702E76"/>
    <w:rsid w:val="007032DF"/>
    <w:rsid w:val="00703604"/>
    <w:rsid w:val="007036EA"/>
    <w:rsid w:val="00703D05"/>
    <w:rsid w:val="00704274"/>
    <w:rsid w:val="00704594"/>
    <w:rsid w:val="007069E1"/>
    <w:rsid w:val="00707CDD"/>
    <w:rsid w:val="00710F3E"/>
    <w:rsid w:val="00712511"/>
    <w:rsid w:val="007139AA"/>
    <w:rsid w:val="007139B6"/>
    <w:rsid w:val="00715B9F"/>
    <w:rsid w:val="00716918"/>
    <w:rsid w:val="0072003A"/>
    <w:rsid w:val="00720BE0"/>
    <w:rsid w:val="00722793"/>
    <w:rsid w:val="00722F29"/>
    <w:rsid w:val="0072675F"/>
    <w:rsid w:val="00733CE3"/>
    <w:rsid w:val="0073705A"/>
    <w:rsid w:val="0073763F"/>
    <w:rsid w:val="007400F8"/>
    <w:rsid w:val="00740306"/>
    <w:rsid w:val="0074272D"/>
    <w:rsid w:val="007444A9"/>
    <w:rsid w:val="00745EA2"/>
    <w:rsid w:val="00746F1C"/>
    <w:rsid w:val="00746F63"/>
    <w:rsid w:val="00750F1F"/>
    <w:rsid w:val="00751002"/>
    <w:rsid w:val="007511E9"/>
    <w:rsid w:val="00751C81"/>
    <w:rsid w:val="007531C4"/>
    <w:rsid w:val="00755A85"/>
    <w:rsid w:val="00756258"/>
    <w:rsid w:val="007564DB"/>
    <w:rsid w:val="007605D4"/>
    <w:rsid w:val="00760AF7"/>
    <w:rsid w:val="00764012"/>
    <w:rsid w:val="00764791"/>
    <w:rsid w:val="0076622F"/>
    <w:rsid w:val="00771281"/>
    <w:rsid w:val="00773C7B"/>
    <w:rsid w:val="007741B2"/>
    <w:rsid w:val="00776E0B"/>
    <w:rsid w:val="00780321"/>
    <w:rsid w:val="0078070D"/>
    <w:rsid w:val="00780F4D"/>
    <w:rsid w:val="00784167"/>
    <w:rsid w:val="007843AA"/>
    <w:rsid w:val="007848AC"/>
    <w:rsid w:val="00785757"/>
    <w:rsid w:val="0078584C"/>
    <w:rsid w:val="00785B95"/>
    <w:rsid w:val="00792A22"/>
    <w:rsid w:val="00792F81"/>
    <w:rsid w:val="00793EC1"/>
    <w:rsid w:val="007A0680"/>
    <w:rsid w:val="007A29E6"/>
    <w:rsid w:val="007A44DC"/>
    <w:rsid w:val="007A5E5C"/>
    <w:rsid w:val="007A5EED"/>
    <w:rsid w:val="007B223A"/>
    <w:rsid w:val="007B4480"/>
    <w:rsid w:val="007B69E2"/>
    <w:rsid w:val="007C1537"/>
    <w:rsid w:val="007C19D8"/>
    <w:rsid w:val="007C1F8B"/>
    <w:rsid w:val="007C2A54"/>
    <w:rsid w:val="007C335D"/>
    <w:rsid w:val="007C4E07"/>
    <w:rsid w:val="007C5489"/>
    <w:rsid w:val="007C77BC"/>
    <w:rsid w:val="007C7838"/>
    <w:rsid w:val="007D0266"/>
    <w:rsid w:val="007D2642"/>
    <w:rsid w:val="007D36A0"/>
    <w:rsid w:val="007D3767"/>
    <w:rsid w:val="007D5439"/>
    <w:rsid w:val="007D76EA"/>
    <w:rsid w:val="007D77A3"/>
    <w:rsid w:val="007D7B83"/>
    <w:rsid w:val="007E2B4B"/>
    <w:rsid w:val="007E3A33"/>
    <w:rsid w:val="007E406F"/>
    <w:rsid w:val="007E7117"/>
    <w:rsid w:val="007F3300"/>
    <w:rsid w:val="007F3890"/>
    <w:rsid w:val="007F5931"/>
    <w:rsid w:val="008003EB"/>
    <w:rsid w:val="00800BFB"/>
    <w:rsid w:val="00800D6B"/>
    <w:rsid w:val="00801936"/>
    <w:rsid w:val="008025F7"/>
    <w:rsid w:val="00802ADA"/>
    <w:rsid w:val="00802B17"/>
    <w:rsid w:val="00803ED1"/>
    <w:rsid w:val="00804D37"/>
    <w:rsid w:val="0080632A"/>
    <w:rsid w:val="00807251"/>
    <w:rsid w:val="0081453E"/>
    <w:rsid w:val="008150E0"/>
    <w:rsid w:val="0081768A"/>
    <w:rsid w:val="00817C4D"/>
    <w:rsid w:val="0082005E"/>
    <w:rsid w:val="00820B04"/>
    <w:rsid w:val="0082124F"/>
    <w:rsid w:val="0082228E"/>
    <w:rsid w:val="00827BA4"/>
    <w:rsid w:val="00827BB2"/>
    <w:rsid w:val="00833FFB"/>
    <w:rsid w:val="00836447"/>
    <w:rsid w:val="00840F4D"/>
    <w:rsid w:val="0084315C"/>
    <w:rsid w:val="008441B7"/>
    <w:rsid w:val="00845629"/>
    <w:rsid w:val="0084617D"/>
    <w:rsid w:val="008471BB"/>
    <w:rsid w:val="00851BF1"/>
    <w:rsid w:val="00857D55"/>
    <w:rsid w:val="00857F73"/>
    <w:rsid w:val="00860402"/>
    <w:rsid w:val="00860DED"/>
    <w:rsid w:val="008610B5"/>
    <w:rsid w:val="00863FA6"/>
    <w:rsid w:val="00866168"/>
    <w:rsid w:val="008661F6"/>
    <w:rsid w:val="008714F8"/>
    <w:rsid w:val="00872A71"/>
    <w:rsid w:val="00874541"/>
    <w:rsid w:val="00875179"/>
    <w:rsid w:val="00876FAC"/>
    <w:rsid w:val="00877AEA"/>
    <w:rsid w:val="00877F71"/>
    <w:rsid w:val="008805A4"/>
    <w:rsid w:val="0088074A"/>
    <w:rsid w:val="00880B88"/>
    <w:rsid w:val="00881C63"/>
    <w:rsid w:val="008832EF"/>
    <w:rsid w:val="00884C79"/>
    <w:rsid w:val="008852C0"/>
    <w:rsid w:val="00887D3B"/>
    <w:rsid w:val="00887FA0"/>
    <w:rsid w:val="00891966"/>
    <w:rsid w:val="00892644"/>
    <w:rsid w:val="00892A44"/>
    <w:rsid w:val="00893443"/>
    <w:rsid w:val="00893858"/>
    <w:rsid w:val="008957FC"/>
    <w:rsid w:val="008960F7"/>
    <w:rsid w:val="00896377"/>
    <w:rsid w:val="008A0655"/>
    <w:rsid w:val="008A201D"/>
    <w:rsid w:val="008A25A7"/>
    <w:rsid w:val="008A5C32"/>
    <w:rsid w:val="008A7AEA"/>
    <w:rsid w:val="008A7C8D"/>
    <w:rsid w:val="008B050F"/>
    <w:rsid w:val="008B1F45"/>
    <w:rsid w:val="008B2CC3"/>
    <w:rsid w:val="008B39E4"/>
    <w:rsid w:val="008B4397"/>
    <w:rsid w:val="008C33FC"/>
    <w:rsid w:val="008C62EC"/>
    <w:rsid w:val="008C6D04"/>
    <w:rsid w:val="008C724A"/>
    <w:rsid w:val="008C7383"/>
    <w:rsid w:val="008D1EDD"/>
    <w:rsid w:val="008D3219"/>
    <w:rsid w:val="008D3495"/>
    <w:rsid w:val="008D3531"/>
    <w:rsid w:val="008D3D06"/>
    <w:rsid w:val="008D6F4B"/>
    <w:rsid w:val="008D792F"/>
    <w:rsid w:val="008E00A2"/>
    <w:rsid w:val="008E0581"/>
    <w:rsid w:val="008E4364"/>
    <w:rsid w:val="008E5DC5"/>
    <w:rsid w:val="008E7187"/>
    <w:rsid w:val="008F0CE2"/>
    <w:rsid w:val="008F29E5"/>
    <w:rsid w:val="008F40AE"/>
    <w:rsid w:val="008F4124"/>
    <w:rsid w:val="00900472"/>
    <w:rsid w:val="00905FCD"/>
    <w:rsid w:val="00912311"/>
    <w:rsid w:val="009123E0"/>
    <w:rsid w:val="00920406"/>
    <w:rsid w:val="009204D6"/>
    <w:rsid w:val="0092179C"/>
    <w:rsid w:val="00923CB7"/>
    <w:rsid w:val="00931F65"/>
    <w:rsid w:val="0093425F"/>
    <w:rsid w:val="00935461"/>
    <w:rsid w:val="00935677"/>
    <w:rsid w:val="009359D4"/>
    <w:rsid w:val="009365B0"/>
    <w:rsid w:val="00940842"/>
    <w:rsid w:val="00940ABF"/>
    <w:rsid w:val="00942269"/>
    <w:rsid w:val="0094231D"/>
    <w:rsid w:val="00944FB8"/>
    <w:rsid w:val="009459E3"/>
    <w:rsid w:val="00945CB5"/>
    <w:rsid w:val="00945DAC"/>
    <w:rsid w:val="00947554"/>
    <w:rsid w:val="009504EA"/>
    <w:rsid w:val="0095075D"/>
    <w:rsid w:val="00950A77"/>
    <w:rsid w:val="00950AD0"/>
    <w:rsid w:val="00950E8E"/>
    <w:rsid w:val="009527A1"/>
    <w:rsid w:val="00952D52"/>
    <w:rsid w:val="009536C3"/>
    <w:rsid w:val="009542CB"/>
    <w:rsid w:val="009551FD"/>
    <w:rsid w:val="0095726B"/>
    <w:rsid w:val="009604F2"/>
    <w:rsid w:val="0096322E"/>
    <w:rsid w:val="00963DCB"/>
    <w:rsid w:val="0096453B"/>
    <w:rsid w:val="00964C7C"/>
    <w:rsid w:val="009652AB"/>
    <w:rsid w:val="00970ACC"/>
    <w:rsid w:val="009731FC"/>
    <w:rsid w:val="0097322A"/>
    <w:rsid w:val="00974D88"/>
    <w:rsid w:val="009760E7"/>
    <w:rsid w:val="00976FFA"/>
    <w:rsid w:val="00977969"/>
    <w:rsid w:val="0098064E"/>
    <w:rsid w:val="00982561"/>
    <w:rsid w:val="00982D64"/>
    <w:rsid w:val="009841EB"/>
    <w:rsid w:val="00984598"/>
    <w:rsid w:val="009850AE"/>
    <w:rsid w:val="0099247B"/>
    <w:rsid w:val="00994CA5"/>
    <w:rsid w:val="00995DDC"/>
    <w:rsid w:val="00995E45"/>
    <w:rsid w:val="009968C8"/>
    <w:rsid w:val="009A1D01"/>
    <w:rsid w:val="009A37B1"/>
    <w:rsid w:val="009A4947"/>
    <w:rsid w:val="009A4EC3"/>
    <w:rsid w:val="009A54F2"/>
    <w:rsid w:val="009A5DA5"/>
    <w:rsid w:val="009A62DD"/>
    <w:rsid w:val="009A65AF"/>
    <w:rsid w:val="009B087B"/>
    <w:rsid w:val="009B13C3"/>
    <w:rsid w:val="009B2259"/>
    <w:rsid w:val="009B3FAE"/>
    <w:rsid w:val="009B4807"/>
    <w:rsid w:val="009B65FF"/>
    <w:rsid w:val="009C1114"/>
    <w:rsid w:val="009C2890"/>
    <w:rsid w:val="009C3532"/>
    <w:rsid w:val="009C3CCB"/>
    <w:rsid w:val="009C445F"/>
    <w:rsid w:val="009C698D"/>
    <w:rsid w:val="009C7CDA"/>
    <w:rsid w:val="009D18CC"/>
    <w:rsid w:val="009D474B"/>
    <w:rsid w:val="009D4AE0"/>
    <w:rsid w:val="009D4B15"/>
    <w:rsid w:val="009D4CB5"/>
    <w:rsid w:val="009D6DF7"/>
    <w:rsid w:val="009D7B5C"/>
    <w:rsid w:val="009E0BE1"/>
    <w:rsid w:val="009E51CB"/>
    <w:rsid w:val="009E52CF"/>
    <w:rsid w:val="009E6345"/>
    <w:rsid w:val="009F6E42"/>
    <w:rsid w:val="009F7F38"/>
    <w:rsid w:val="00A00B78"/>
    <w:rsid w:val="00A01E73"/>
    <w:rsid w:val="00A02719"/>
    <w:rsid w:val="00A03B40"/>
    <w:rsid w:val="00A04F2D"/>
    <w:rsid w:val="00A04F96"/>
    <w:rsid w:val="00A05ABD"/>
    <w:rsid w:val="00A0678A"/>
    <w:rsid w:val="00A0777E"/>
    <w:rsid w:val="00A0796C"/>
    <w:rsid w:val="00A1049B"/>
    <w:rsid w:val="00A12B04"/>
    <w:rsid w:val="00A13005"/>
    <w:rsid w:val="00A14804"/>
    <w:rsid w:val="00A15CA6"/>
    <w:rsid w:val="00A1634C"/>
    <w:rsid w:val="00A17913"/>
    <w:rsid w:val="00A2266C"/>
    <w:rsid w:val="00A2448E"/>
    <w:rsid w:val="00A24E3E"/>
    <w:rsid w:val="00A24FDC"/>
    <w:rsid w:val="00A2711D"/>
    <w:rsid w:val="00A2780E"/>
    <w:rsid w:val="00A308DD"/>
    <w:rsid w:val="00A313D7"/>
    <w:rsid w:val="00A31D5C"/>
    <w:rsid w:val="00A33175"/>
    <w:rsid w:val="00A34E3F"/>
    <w:rsid w:val="00A3541D"/>
    <w:rsid w:val="00A4165D"/>
    <w:rsid w:val="00A43F1A"/>
    <w:rsid w:val="00A465A3"/>
    <w:rsid w:val="00A53ADD"/>
    <w:rsid w:val="00A53C5B"/>
    <w:rsid w:val="00A54FA0"/>
    <w:rsid w:val="00A54FB5"/>
    <w:rsid w:val="00A57335"/>
    <w:rsid w:val="00A603A6"/>
    <w:rsid w:val="00A6177B"/>
    <w:rsid w:val="00A617F9"/>
    <w:rsid w:val="00A63F0F"/>
    <w:rsid w:val="00A72602"/>
    <w:rsid w:val="00A74179"/>
    <w:rsid w:val="00A82585"/>
    <w:rsid w:val="00A85510"/>
    <w:rsid w:val="00A86863"/>
    <w:rsid w:val="00A9164F"/>
    <w:rsid w:val="00A936B9"/>
    <w:rsid w:val="00A938CC"/>
    <w:rsid w:val="00A93D4E"/>
    <w:rsid w:val="00A94F36"/>
    <w:rsid w:val="00A96B21"/>
    <w:rsid w:val="00AA0B7F"/>
    <w:rsid w:val="00AA1029"/>
    <w:rsid w:val="00AA3ED8"/>
    <w:rsid w:val="00AA4380"/>
    <w:rsid w:val="00AA566F"/>
    <w:rsid w:val="00AA69AE"/>
    <w:rsid w:val="00AA7DF0"/>
    <w:rsid w:val="00AB1864"/>
    <w:rsid w:val="00AB28B3"/>
    <w:rsid w:val="00AC15ED"/>
    <w:rsid w:val="00AC1BEF"/>
    <w:rsid w:val="00AC2C05"/>
    <w:rsid w:val="00AC3A47"/>
    <w:rsid w:val="00AC54E9"/>
    <w:rsid w:val="00AC5532"/>
    <w:rsid w:val="00AC64A9"/>
    <w:rsid w:val="00AC6E8D"/>
    <w:rsid w:val="00AC721F"/>
    <w:rsid w:val="00AD1D8C"/>
    <w:rsid w:val="00AD4065"/>
    <w:rsid w:val="00AD4DDA"/>
    <w:rsid w:val="00AD5565"/>
    <w:rsid w:val="00AD78C4"/>
    <w:rsid w:val="00AE1A95"/>
    <w:rsid w:val="00AE1B59"/>
    <w:rsid w:val="00AE1DBB"/>
    <w:rsid w:val="00AE3D97"/>
    <w:rsid w:val="00AE4538"/>
    <w:rsid w:val="00AE5C55"/>
    <w:rsid w:val="00AE6911"/>
    <w:rsid w:val="00AE7CBD"/>
    <w:rsid w:val="00AF25EB"/>
    <w:rsid w:val="00AF295A"/>
    <w:rsid w:val="00AF29AE"/>
    <w:rsid w:val="00AF2AAC"/>
    <w:rsid w:val="00AF439B"/>
    <w:rsid w:val="00AF4F65"/>
    <w:rsid w:val="00AF6122"/>
    <w:rsid w:val="00B01767"/>
    <w:rsid w:val="00B033A2"/>
    <w:rsid w:val="00B038D4"/>
    <w:rsid w:val="00B057E0"/>
    <w:rsid w:val="00B101C0"/>
    <w:rsid w:val="00B104B6"/>
    <w:rsid w:val="00B11722"/>
    <w:rsid w:val="00B12245"/>
    <w:rsid w:val="00B13899"/>
    <w:rsid w:val="00B1569A"/>
    <w:rsid w:val="00B22626"/>
    <w:rsid w:val="00B22ABD"/>
    <w:rsid w:val="00B235CD"/>
    <w:rsid w:val="00B27D64"/>
    <w:rsid w:val="00B31109"/>
    <w:rsid w:val="00B34235"/>
    <w:rsid w:val="00B36A49"/>
    <w:rsid w:val="00B36C0D"/>
    <w:rsid w:val="00B36EA9"/>
    <w:rsid w:val="00B371E1"/>
    <w:rsid w:val="00B375A5"/>
    <w:rsid w:val="00B376D3"/>
    <w:rsid w:val="00B40A9C"/>
    <w:rsid w:val="00B40FF2"/>
    <w:rsid w:val="00B41CD8"/>
    <w:rsid w:val="00B42D22"/>
    <w:rsid w:val="00B43D28"/>
    <w:rsid w:val="00B43DEB"/>
    <w:rsid w:val="00B456D1"/>
    <w:rsid w:val="00B466E1"/>
    <w:rsid w:val="00B51BA8"/>
    <w:rsid w:val="00B53A4F"/>
    <w:rsid w:val="00B541E2"/>
    <w:rsid w:val="00B57CA2"/>
    <w:rsid w:val="00B6049B"/>
    <w:rsid w:val="00B6087E"/>
    <w:rsid w:val="00B6477F"/>
    <w:rsid w:val="00B64CBC"/>
    <w:rsid w:val="00B672F0"/>
    <w:rsid w:val="00B673A6"/>
    <w:rsid w:val="00B7017E"/>
    <w:rsid w:val="00B74B06"/>
    <w:rsid w:val="00B76A37"/>
    <w:rsid w:val="00B76EEC"/>
    <w:rsid w:val="00B821AB"/>
    <w:rsid w:val="00B82478"/>
    <w:rsid w:val="00B8247D"/>
    <w:rsid w:val="00B82B05"/>
    <w:rsid w:val="00B859FF"/>
    <w:rsid w:val="00B902E1"/>
    <w:rsid w:val="00B921FD"/>
    <w:rsid w:val="00B9304E"/>
    <w:rsid w:val="00B93485"/>
    <w:rsid w:val="00B9371B"/>
    <w:rsid w:val="00B93803"/>
    <w:rsid w:val="00B94E41"/>
    <w:rsid w:val="00B95314"/>
    <w:rsid w:val="00B954B0"/>
    <w:rsid w:val="00B97904"/>
    <w:rsid w:val="00BA2F11"/>
    <w:rsid w:val="00BA61CB"/>
    <w:rsid w:val="00BA71C3"/>
    <w:rsid w:val="00BA76E1"/>
    <w:rsid w:val="00BB159E"/>
    <w:rsid w:val="00BB17BB"/>
    <w:rsid w:val="00BB19EF"/>
    <w:rsid w:val="00BB3190"/>
    <w:rsid w:val="00BB3E7B"/>
    <w:rsid w:val="00BB52FD"/>
    <w:rsid w:val="00BC0316"/>
    <w:rsid w:val="00BC04A7"/>
    <w:rsid w:val="00BC1E66"/>
    <w:rsid w:val="00BC1F84"/>
    <w:rsid w:val="00BC2207"/>
    <w:rsid w:val="00BC2EEF"/>
    <w:rsid w:val="00BC3E70"/>
    <w:rsid w:val="00BC5D3E"/>
    <w:rsid w:val="00BC7694"/>
    <w:rsid w:val="00BD09D7"/>
    <w:rsid w:val="00BD17F4"/>
    <w:rsid w:val="00BD1D13"/>
    <w:rsid w:val="00BD1DD8"/>
    <w:rsid w:val="00BD2E88"/>
    <w:rsid w:val="00BD346C"/>
    <w:rsid w:val="00BD4437"/>
    <w:rsid w:val="00BD53E7"/>
    <w:rsid w:val="00BD56A7"/>
    <w:rsid w:val="00BD5FFE"/>
    <w:rsid w:val="00BD668E"/>
    <w:rsid w:val="00BD77EB"/>
    <w:rsid w:val="00BE142B"/>
    <w:rsid w:val="00BE4B24"/>
    <w:rsid w:val="00BE54B3"/>
    <w:rsid w:val="00BE5D4C"/>
    <w:rsid w:val="00BF0E2D"/>
    <w:rsid w:val="00BF1004"/>
    <w:rsid w:val="00BF1B87"/>
    <w:rsid w:val="00BF21A3"/>
    <w:rsid w:val="00BF224B"/>
    <w:rsid w:val="00BF2C2D"/>
    <w:rsid w:val="00BF4E39"/>
    <w:rsid w:val="00BF59CC"/>
    <w:rsid w:val="00BF7907"/>
    <w:rsid w:val="00BF7964"/>
    <w:rsid w:val="00BF7B2B"/>
    <w:rsid w:val="00C001A6"/>
    <w:rsid w:val="00C00D64"/>
    <w:rsid w:val="00C063A8"/>
    <w:rsid w:val="00C072E4"/>
    <w:rsid w:val="00C10E36"/>
    <w:rsid w:val="00C11234"/>
    <w:rsid w:val="00C115B3"/>
    <w:rsid w:val="00C13A68"/>
    <w:rsid w:val="00C15B7C"/>
    <w:rsid w:val="00C16E08"/>
    <w:rsid w:val="00C20CC7"/>
    <w:rsid w:val="00C21C0E"/>
    <w:rsid w:val="00C2354A"/>
    <w:rsid w:val="00C23F08"/>
    <w:rsid w:val="00C27D69"/>
    <w:rsid w:val="00C312CD"/>
    <w:rsid w:val="00C31621"/>
    <w:rsid w:val="00C331CC"/>
    <w:rsid w:val="00C335D1"/>
    <w:rsid w:val="00C337F9"/>
    <w:rsid w:val="00C34FC4"/>
    <w:rsid w:val="00C353EC"/>
    <w:rsid w:val="00C35609"/>
    <w:rsid w:val="00C35FE5"/>
    <w:rsid w:val="00C37602"/>
    <w:rsid w:val="00C413E5"/>
    <w:rsid w:val="00C41D3A"/>
    <w:rsid w:val="00C447EC"/>
    <w:rsid w:val="00C45A05"/>
    <w:rsid w:val="00C46580"/>
    <w:rsid w:val="00C4766F"/>
    <w:rsid w:val="00C4775B"/>
    <w:rsid w:val="00C50687"/>
    <w:rsid w:val="00C516D8"/>
    <w:rsid w:val="00C524A8"/>
    <w:rsid w:val="00C531F2"/>
    <w:rsid w:val="00C541EF"/>
    <w:rsid w:val="00C54B7F"/>
    <w:rsid w:val="00C57E59"/>
    <w:rsid w:val="00C64701"/>
    <w:rsid w:val="00C65F1B"/>
    <w:rsid w:val="00C67008"/>
    <w:rsid w:val="00C70A4B"/>
    <w:rsid w:val="00C72AD4"/>
    <w:rsid w:val="00C7316B"/>
    <w:rsid w:val="00C74CAC"/>
    <w:rsid w:val="00C76856"/>
    <w:rsid w:val="00C76BB3"/>
    <w:rsid w:val="00C808CF"/>
    <w:rsid w:val="00C822E0"/>
    <w:rsid w:val="00C8563E"/>
    <w:rsid w:val="00C85FE9"/>
    <w:rsid w:val="00C87359"/>
    <w:rsid w:val="00C87D40"/>
    <w:rsid w:val="00C900F9"/>
    <w:rsid w:val="00C92D92"/>
    <w:rsid w:val="00C92F8C"/>
    <w:rsid w:val="00C936AF"/>
    <w:rsid w:val="00C9562B"/>
    <w:rsid w:val="00C96053"/>
    <w:rsid w:val="00CA2F39"/>
    <w:rsid w:val="00CA34DA"/>
    <w:rsid w:val="00CA4695"/>
    <w:rsid w:val="00CA4A08"/>
    <w:rsid w:val="00CA59F1"/>
    <w:rsid w:val="00CA7A2E"/>
    <w:rsid w:val="00CB2799"/>
    <w:rsid w:val="00CB4BCD"/>
    <w:rsid w:val="00CB4E97"/>
    <w:rsid w:val="00CC0E4C"/>
    <w:rsid w:val="00CC1029"/>
    <w:rsid w:val="00CC2AD7"/>
    <w:rsid w:val="00CC4EC9"/>
    <w:rsid w:val="00CD0F82"/>
    <w:rsid w:val="00CD2151"/>
    <w:rsid w:val="00CD41A4"/>
    <w:rsid w:val="00CD46B3"/>
    <w:rsid w:val="00CD4D7F"/>
    <w:rsid w:val="00CD5B0D"/>
    <w:rsid w:val="00CD6FA9"/>
    <w:rsid w:val="00CE035D"/>
    <w:rsid w:val="00CE2527"/>
    <w:rsid w:val="00CE3433"/>
    <w:rsid w:val="00CE3E24"/>
    <w:rsid w:val="00CE404B"/>
    <w:rsid w:val="00CE48AD"/>
    <w:rsid w:val="00CE4BDA"/>
    <w:rsid w:val="00CE61F7"/>
    <w:rsid w:val="00CE6368"/>
    <w:rsid w:val="00CE6539"/>
    <w:rsid w:val="00CE6B34"/>
    <w:rsid w:val="00CF0285"/>
    <w:rsid w:val="00CF04F1"/>
    <w:rsid w:val="00CF1C22"/>
    <w:rsid w:val="00CF21E7"/>
    <w:rsid w:val="00CF224A"/>
    <w:rsid w:val="00CF3396"/>
    <w:rsid w:val="00CF45DD"/>
    <w:rsid w:val="00CF6E5F"/>
    <w:rsid w:val="00CF70AB"/>
    <w:rsid w:val="00D00229"/>
    <w:rsid w:val="00D018AF"/>
    <w:rsid w:val="00D03DB2"/>
    <w:rsid w:val="00D0469D"/>
    <w:rsid w:val="00D059A2"/>
    <w:rsid w:val="00D0735E"/>
    <w:rsid w:val="00D11239"/>
    <w:rsid w:val="00D12993"/>
    <w:rsid w:val="00D15DC5"/>
    <w:rsid w:val="00D15F91"/>
    <w:rsid w:val="00D16FF0"/>
    <w:rsid w:val="00D171DE"/>
    <w:rsid w:val="00D22887"/>
    <w:rsid w:val="00D23A88"/>
    <w:rsid w:val="00D3059B"/>
    <w:rsid w:val="00D35B06"/>
    <w:rsid w:val="00D408A9"/>
    <w:rsid w:val="00D42E0A"/>
    <w:rsid w:val="00D4528C"/>
    <w:rsid w:val="00D4565A"/>
    <w:rsid w:val="00D45A28"/>
    <w:rsid w:val="00D51984"/>
    <w:rsid w:val="00D57ED7"/>
    <w:rsid w:val="00D60046"/>
    <w:rsid w:val="00D63182"/>
    <w:rsid w:val="00D6320A"/>
    <w:rsid w:val="00D70449"/>
    <w:rsid w:val="00D71EE6"/>
    <w:rsid w:val="00D71FFB"/>
    <w:rsid w:val="00D72BDE"/>
    <w:rsid w:val="00D73FB8"/>
    <w:rsid w:val="00D7743F"/>
    <w:rsid w:val="00D8026D"/>
    <w:rsid w:val="00D805A9"/>
    <w:rsid w:val="00D81616"/>
    <w:rsid w:val="00D81D42"/>
    <w:rsid w:val="00D847C4"/>
    <w:rsid w:val="00D84843"/>
    <w:rsid w:val="00D84D54"/>
    <w:rsid w:val="00D84DD0"/>
    <w:rsid w:val="00D84F0E"/>
    <w:rsid w:val="00D858CB"/>
    <w:rsid w:val="00D87D2B"/>
    <w:rsid w:val="00D904DD"/>
    <w:rsid w:val="00D97BD4"/>
    <w:rsid w:val="00DA32DE"/>
    <w:rsid w:val="00DA33C0"/>
    <w:rsid w:val="00DA3656"/>
    <w:rsid w:val="00DA3674"/>
    <w:rsid w:val="00DA3ED5"/>
    <w:rsid w:val="00DA72C1"/>
    <w:rsid w:val="00DB1286"/>
    <w:rsid w:val="00DB1B5C"/>
    <w:rsid w:val="00DB1C47"/>
    <w:rsid w:val="00DB1CF2"/>
    <w:rsid w:val="00DB27AB"/>
    <w:rsid w:val="00DB5F52"/>
    <w:rsid w:val="00DB790E"/>
    <w:rsid w:val="00DC03A3"/>
    <w:rsid w:val="00DC33BC"/>
    <w:rsid w:val="00DC3461"/>
    <w:rsid w:val="00DC3F70"/>
    <w:rsid w:val="00DC6B5D"/>
    <w:rsid w:val="00DC77CE"/>
    <w:rsid w:val="00DC7D60"/>
    <w:rsid w:val="00DD1B28"/>
    <w:rsid w:val="00DD3722"/>
    <w:rsid w:val="00DD4DFB"/>
    <w:rsid w:val="00DD5CF5"/>
    <w:rsid w:val="00DE2B20"/>
    <w:rsid w:val="00DE6506"/>
    <w:rsid w:val="00DF06AF"/>
    <w:rsid w:val="00DF1720"/>
    <w:rsid w:val="00DF21EE"/>
    <w:rsid w:val="00DF2D47"/>
    <w:rsid w:val="00DF70EA"/>
    <w:rsid w:val="00E02556"/>
    <w:rsid w:val="00E03B2E"/>
    <w:rsid w:val="00E04EAE"/>
    <w:rsid w:val="00E103DE"/>
    <w:rsid w:val="00E11ECB"/>
    <w:rsid w:val="00E12540"/>
    <w:rsid w:val="00E126DD"/>
    <w:rsid w:val="00E12D49"/>
    <w:rsid w:val="00E13307"/>
    <w:rsid w:val="00E13E26"/>
    <w:rsid w:val="00E141E9"/>
    <w:rsid w:val="00E14ACC"/>
    <w:rsid w:val="00E1597C"/>
    <w:rsid w:val="00E218A7"/>
    <w:rsid w:val="00E239D5"/>
    <w:rsid w:val="00E26645"/>
    <w:rsid w:val="00E305C3"/>
    <w:rsid w:val="00E31563"/>
    <w:rsid w:val="00E32358"/>
    <w:rsid w:val="00E3287F"/>
    <w:rsid w:val="00E35CE8"/>
    <w:rsid w:val="00E37E2F"/>
    <w:rsid w:val="00E41EBA"/>
    <w:rsid w:val="00E43C18"/>
    <w:rsid w:val="00E46679"/>
    <w:rsid w:val="00E50132"/>
    <w:rsid w:val="00E51400"/>
    <w:rsid w:val="00E527BD"/>
    <w:rsid w:val="00E549B0"/>
    <w:rsid w:val="00E5618B"/>
    <w:rsid w:val="00E56CDE"/>
    <w:rsid w:val="00E5732D"/>
    <w:rsid w:val="00E57A09"/>
    <w:rsid w:val="00E64B25"/>
    <w:rsid w:val="00E6567F"/>
    <w:rsid w:val="00E6570A"/>
    <w:rsid w:val="00E666C9"/>
    <w:rsid w:val="00E6748A"/>
    <w:rsid w:val="00E6758E"/>
    <w:rsid w:val="00E67F83"/>
    <w:rsid w:val="00E71BCE"/>
    <w:rsid w:val="00E73B53"/>
    <w:rsid w:val="00E7415D"/>
    <w:rsid w:val="00E75A2E"/>
    <w:rsid w:val="00E76EA8"/>
    <w:rsid w:val="00E80869"/>
    <w:rsid w:val="00E843FE"/>
    <w:rsid w:val="00E87EEF"/>
    <w:rsid w:val="00E9090E"/>
    <w:rsid w:val="00E90C02"/>
    <w:rsid w:val="00E91FB1"/>
    <w:rsid w:val="00E92620"/>
    <w:rsid w:val="00E92E5E"/>
    <w:rsid w:val="00E93A20"/>
    <w:rsid w:val="00E94187"/>
    <w:rsid w:val="00E94782"/>
    <w:rsid w:val="00E957B8"/>
    <w:rsid w:val="00E95DB3"/>
    <w:rsid w:val="00E96F7D"/>
    <w:rsid w:val="00E970D6"/>
    <w:rsid w:val="00EA063F"/>
    <w:rsid w:val="00EA37FE"/>
    <w:rsid w:val="00EA4565"/>
    <w:rsid w:val="00EA4F2F"/>
    <w:rsid w:val="00EA601E"/>
    <w:rsid w:val="00EA6A1E"/>
    <w:rsid w:val="00EB18F0"/>
    <w:rsid w:val="00EB1A18"/>
    <w:rsid w:val="00EB25CF"/>
    <w:rsid w:val="00EB507D"/>
    <w:rsid w:val="00EB5835"/>
    <w:rsid w:val="00EC1460"/>
    <w:rsid w:val="00EC2215"/>
    <w:rsid w:val="00EC2B7E"/>
    <w:rsid w:val="00EC2C56"/>
    <w:rsid w:val="00EC6B6D"/>
    <w:rsid w:val="00ED02B4"/>
    <w:rsid w:val="00ED1DBD"/>
    <w:rsid w:val="00ED3849"/>
    <w:rsid w:val="00EE155A"/>
    <w:rsid w:val="00EE3342"/>
    <w:rsid w:val="00EE3F82"/>
    <w:rsid w:val="00EE54BB"/>
    <w:rsid w:val="00EE5DAA"/>
    <w:rsid w:val="00EE63F9"/>
    <w:rsid w:val="00EE74FE"/>
    <w:rsid w:val="00EF16CF"/>
    <w:rsid w:val="00EF2F76"/>
    <w:rsid w:val="00EF4F1F"/>
    <w:rsid w:val="00EF7AA0"/>
    <w:rsid w:val="00EF7D96"/>
    <w:rsid w:val="00F03DC8"/>
    <w:rsid w:val="00F056DD"/>
    <w:rsid w:val="00F05CCC"/>
    <w:rsid w:val="00F062AC"/>
    <w:rsid w:val="00F07324"/>
    <w:rsid w:val="00F07D40"/>
    <w:rsid w:val="00F10D96"/>
    <w:rsid w:val="00F10E7F"/>
    <w:rsid w:val="00F11070"/>
    <w:rsid w:val="00F11670"/>
    <w:rsid w:val="00F121B2"/>
    <w:rsid w:val="00F13A7E"/>
    <w:rsid w:val="00F14547"/>
    <w:rsid w:val="00F17527"/>
    <w:rsid w:val="00F20C39"/>
    <w:rsid w:val="00F22598"/>
    <w:rsid w:val="00F23253"/>
    <w:rsid w:val="00F2585D"/>
    <w:rsid w:val="00F258FB"/>
    <w:rsid w:val="00F259C1"/>
    <w:rsid w:val="00F261F6"/>
    <w:rsid w:val="00F30EAA"/>
    <w:rsid w:val="00F34D31"/>
    <w:rsid w:val="00F350B8"/>
    <w:rsid w:val="00F375A5"/>
    <w:rsid w:val="00F42442"/>
    <w:rsid w:val="00F44AE8"/>
    <w:rsid w:val="00F46CAB"/>
    <w:rsid w:val="00F4767F"/>
    <w:rsid w:val="00F51355"/>
    <w:rsid w:val="00F513A8"/>
    <w:rsid w:val="00F51AD7"/>
    <w:rsid w:val="00F53AE3"/>
    <w:rsid w:val="00F54817"/>
    <w:rsid w:val="00F55571"/>
    <w:rsid w:val="00F61931"/>
    <w:rsid w:val="00F61D6A"/>
    <w:rsid w:val="00F6257E"/>
    <w:rsid w:val="00F63026"/>
    <w:rsid w:val="00F630B8"/>
    <w:rsid w:val="00F63580"/>
    <w:rsid w:val="00F636FD"/>
    <w:rsid w:val="00F66810"/>
    <w:rsid w:val="00F73055"/>
    <w:rsid w:val="00F7539E"/>
    <w:rsid w:val="00F7582C"/>
    <w:rsid w:val="00F75F90"/>
    <w:rsid w:val="00F76061"/>
    <w:rsid w:val="00F772BA"/>
    <w:rsid w:val="00F77862"/>
    <w:rsid w:val="00F801F7"/>
    <w:rsid w:val="00F8021E"/>
    <w:rsid w:val="00F8469E"/>
    <w:rsid w:val="00F87A84"/>
    <w:rsid w:val="00F941ED"/>
    <w:rsid w:val="00F942A2"/>
    <w:rsid w:val="00F9498F"/>
    <w:rsid w:val="00F94FBC"/>
    <w:rsid w:val="00F9503E"/>
    <w:rsid w:val="00FA0CEB"/>
    <w:rsid w:val="00FA18C9"/>
    <w:rsid w:val="00FA2F8A"/>
    <w:rsid w:val="00FA57DE"/>
    <w:rsid w:val="00FA7967"/>
    <w:rsid w:val="00FB0D73"/>
    <w:rsid w:val="00FB27C1"/>
    <w:rsid w:val="00FB27EA"/>
    <w:rsid w:val="00FB3630"/>
    <w:rsid w:val="00FB4633"/>
    <w:rsid w:val="00FB5760"/>
    <w:rsid w:val="00FB7B7B"/>
    <w:rsid w:val="00FC079C"/>
    <w:rsid w:val="00FC797F"/>
    <w:rsid w:val="00FD62F7"/>
    <w:rsid w:val="00FE4BF4"/>
    <w:rsid w:val="00FE5C4E"/>
    <w:rsid w:val="00FE6F87"/>
    <w:rsid w:val="00FE71A6"/>
    <w:rsid w:val="00FE7241"/>
    <w:rsid w:val="00FF0A1A"/>
    <w:rsid w:val="00FF2B3B"/>
    <w:rsid w:val="00FF3D72"/>
    <w:rsid w:val="00FF4455"/>
    <w:rsid w:val="00FF6249"/>
    <w:rsid w:val="00FF6440"/>
    <w:rsid w:val="00FF6AE0"/>
    <w:rsid w:val="00FF6E32"/>
    <w:rsid w:val="00FF7EA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6CEA0"/>
  <w15:chartTrackingRefBased/>
  <w15:docId w15:val="{E852A6AA-E602-47C9-AB56-BF7A9A5CE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F91"/>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D15F91"/>
    <w:pPr>
      <w:keepNext/>
      <w:keepLines/>
      <w:numPr>
        <w:numId w:val="4"/>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15F91"/>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15F91"/>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15F91"/>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15F91"/>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D15F91"/>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15F91"/>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15F91"/>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15F91"/>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15F91"/>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D15F9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D15F9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FR"/>
    </w:rPr>
  </w:style>
  <w:style w:type="character" w:customStyle="1" w:styleId="Heading1Char">
    <w:name w:val="Heading 1 Char"/>
    <w:basedOn w:val="DefaultParagraphFont"/>
    <w:link w:val="Heading1"/>
    <w:uiPriority w:val="9"/>
    <w:rsid w:val="00D15F9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15F91"/>
    <w:pPr>
      <w:jc w:val="left"/>
    </w:pPr>
    <w:rPr>
      <w:sz w:val="18"/>
      <w:szCs w:val="20"/>
    </w:rPr>
  </w:style>
  <w:style w:type="character" w:customStyle="1" w:styleId="FootnoteTextChar">
    <w:name w:val="Footnote Text Char"/>
    <w:basedOn w:val="DefaultParagraphFont"/>
    <w:link w:val="FootnoteText"/>
    <w:uiPriority w:val="99"/>
    <w:rsid w:val="00D15F91"/>
    <w:rPr>
      <w:rFonts w:ascii="Times New Roman" w:eastAsia="SimSun" w:hAnsi="Times New Roman" w:cs="Times New Roman"/>
      <w:kern w:val="0"/>
      <w:sz w:val="18"/>
      <w:szCs w:val="20"/>
      <w:lang w:val="fr-FR"/>
      <w14:ligatures w14:val="none"/>
    </w:rPr>
  </w:style>
  <w:style w:type="character" w:styleId="FootnoteReference">
    <w:name w:val="footnote reference"/>
    <w:basedOn w:val="DefaultParagraphFont"/>
    <w:link w:val="BVIfnrChar"/>
    <w:uiPriority w:val="99"/>
    <w:unhideWhenUsed/>
    <w:rsid w:val="00D15F91"/>
    <w:rPr>
      <w:vertAlign w:val="superscript"/>
    </w:rPr>
  </w:style>
  <w:style w:type="paragraph" w:customStyle="1" w:styleId="Footnote">
    <w:name w:val="Footnote"/>
    <w:basedOn w:val="FootnoteText"/>
    <w:qFormat/>
    <w:rsid w:val="00D15F91"/>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FR"/>
      <w14:ligatures w14:val="none"/>
    </w:rPr>
  </w:style>
  <w:style w:type="paragraph" w:customStyle="1" w:styleId="Para1">
    <w:name w:val="Para 1"/>
    <w:basedOn w:val="Normal"/>
    <w:qFormat/>
    <w:rsid w:val="0013607C"/>
    <w:pPr>
      <w:numPr>
        <w:numId w:val="1"/>
      </w:numPr>
      <w:spacing w:before="120" w:after="120"/>
      <w:ind w:left="567" w:firstLine="0"/>
    </w:pPr>
  </w:style>
  <w:style w:type="character" w:customStyle="1" w:styleId="Heading2Char">
    <w:name w:val="Heading 2 Char"/>
    <w:basedOn w:val="DefaultParagraphFont"/>
    <w:link w:val="Heading2"/>
    <w:uiPriority w:val="9"/>
    <w:rsid w:val="00D15F91"/>
    <w:rPr>
      <w:rFonts w:ascii="Times New Roman Bold" w:eastAsiaTheme="majorEastAsia" w:hAnsi="Times New Roman Bold" w:cstheme="majorBidi"/>
      <w:b/>
      <w:kern w:val="0"/>
      <w:sz w:val="24"/>
      <w:szCs w:val="26"/>
      <w:lang w:val="fr-FR"/>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15F9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15F91"/>
    <w:rPr>
      <w:rFonts w:ascii="Times New Roman" w:eastAsia="SimSun" w:hAnsi="Times New Roman" w:cs="Times New Roman"/>
      <w:kern w:val="0"/>
      <w:sz w:val="20"/>
      <w:lang w:val="fr-FR"/>
      <w14:ligatures w14:val="none"/>
    </w:rPr>
  </w:style>
  <w:style w:type="paragraph" w:styleId="Footer">
    <w:name w:val="footer"/>
    <w:basedOn w:val="Normal"/>
    <w:link w:val="FooterChar"/>
    <w:uiPriority w:val="99"/>
    <w:rsid w:val="00D15F91"/>
    <w:pPr>
      <w:tabs>
        <w:tab w:val="center" w:pos="4680"/>
        <w:tab w:val="right" w:pos="9360"/>
      </w:tabs>
    </w:pPr>
    <w:rPr>
      <w:sz w:val="20"/>
    </w:rPr>
  </w:style>
  <w:style w:type="character" w:customStyle="1" w:styleId="FooterChar">
    <w:name w:val="Footer Char"/>
    <w:basedOn w:val="DefaultParagraphFont"/>
    <w:link w:val="Footer"/>
    <w:uiPriority w:val="99"/>
    <w:rsid w:val="00D15F91"/>
    <w:rPr>
      <w:rFonts w:ascii="Times New Roman" w:eastAsia="SimSun" w:hAnsi="Times New Roman" w:cs="Times New Roman"/>
      <w:kern w:val="0"/>
      <w:sz w:val="20"/>
      <w:lang w:val="fr-FR"/>
      <w14:ligatures w14:val="none"/>
    </w:rPr>
  </w:style>
  <w:style w:type="character" w:customStyle="1" w:styleId="Heading3Char">
    <w:name w:val="Heading 3 Char"/>
    <w:basedOn w:val="DefaultParagraphFont"/>
    <w:link w:val="Heading3"/>
    <w:uiPriority w:val="9"/>
    <w:rsid w:val="00D15F91"/>
    <w:rPr>
      <w:rFonts w:ascii="Times New Roman" w:eastAsiaTheme="majorEastAsia" w:hAnsi="Times New Roman" w:cs="Times New Roman"/>
      <w:b/>
      <w:bCs/>
      <w:kern w:val="0"/>
      <w:lang w:val="fr-FR"/>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15F9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D15F91"/>
    <w:rPr>
      <w:rFonts w:ascii="Times New Roman" w:eastAsiaTheme="majorEastAsia" w:hAnsi="Times New Roman" w:cs="Times New Roman"/>
      <w:b/>
      <w:bCs/>
      <w:kern w:val="0"/>
      <w:lang w:val="fr-FR"/>
      <w14:ligatures w14:val="none"/>
    </w:rPr>
  </w:style>
  <w:style w:type="character" w:customStyle="1" w:styleId="Heading5Char">
    <w:name w:val="Heading 5 Char"/>
    <w:basedOn w:val="DefaultParagraphFont"/>
    <w:link w:val="Heading5"/>
    <w:uiPriority w:val="9"/>
    <w:rsid w:val="00D15F91"/>
    <w:rPr>
      <w:rFonts w:ascii="Times New Roman" w:eastAsiaTheme="majorEastAsia" w:hAnsi="Times New Roman" w:cs="Times New Roman"/>
      <w:i/>
      <w:iCs/>
      <w:kern w:val="0"/>
      <w:lang w:val="fr-FR"/>
      <w14:ligatures w14:val="none"/>
    </w:rPr>
  </w:style>
  <w:style w:type="character" w:styleId="CommentReference">
    <w:name w:val="annotation reference"/>
    <w:basedOn w:val="DefaultParagraphFont"/>
    <w:uiPriority w:val="99"/>
    <w:semiHidden/>
    <w:unhideWhenUsed/>
    <w:rsid w:val="00D15F91"/>
    <w:rPr>
      <w:sz w:val="16"/>
      <w:szCs w:val="16"/>
    </w:rPr>
  </w:style>
  <w:style w:type="paragraph" w:styleId="CommentText">
    <w:name w:val="annotation text"/>
    <w:basedOn w:val="Normal"/>
    <w:link w:val="CommentTextChar"/>
    <w:uiPriority w:val="99"/>
    <w:rsid w:val="00D15F91"/>
    <w:rPr>
      <w:sz w:val="20"/>
      <w:szCs w:val="20"/>
    </w:rPr>
  </w:style>
  <w:style w:type="character" w:customStyle="1" w:styleId="CommentTextChar">
    <w:name w:val="Comment Text Char"/>
    <w:basedOn w:val="DefaultParagraphFont"/>
    <w:link w:val="CommentText"/>
    <w:uiPriority w:val="99"/>
    <w:rsid w:val="00D15F91"/>
    <w:rPr>
      <w:rFonts w:ascii="Times New Roman" w:eastAsia="SimSun" w:hAnsi="Times New Roman" w:cs="Times New Roman"/>
      <w:kern w:val="0"/>
      <w:sz w:val="20"/>
      <w:szCs w:val="20"/>
      <w:lang w:val="fr-FR"/>
      <w14:ligatures w14:val="none"/>
    </w:rPr>
  </w:style>
  <w:style w:type="paragraph" w:styleId="CommentSubject">
    <w:name w:val="annotation subject"/>
    <w:basedOn w:val="CommentText"/>
    <w:next w:val="CommentText"/>
    <w:link w:val="CommentSubjectChar"/>
    <w:uiPriority w:val="99"/>
    <w:semiHidden/>
    <w:unhideWhenUsed/>
    <w:rsid w:val="00D15F91"/>
    <w:rPr>
      <w:b/>
      <w:bCs/>
    </w:rPr>
  </w:style>
  <w:style w:type="character" w:customStyle="1" w:styleId="CommentSubjectChar">
    <w:name w:val="Comment Subject Char"/>
    <w:basedOn w:val="CommentTextChar"/>
    <w:link w:val="CommentSubject"/>
    <w:uiPriority w:val="99"/>
    <w:semiHidden/>
    <w:rsid w:val="00D15F91"/>
    <w:rPr>
      <w:rFonts w:ascii="Times New Roman" w:eastAsia="SimSun" w:hAnsi="Times New Roman" w:cs="Times New Roman"/>
      <w:b/>
      <w:bCs/>
      <w:kern w:val="0"/>
      <w:sz w:val="20"/>
      <w:szCs w:val="20"/>
      <w:lang w:val="fr-FR"/>
      <w14:ligatures w14:val="none"/>
    </w:rPr>
  </w:style>
  <w:style w:type="paragraph" w:customStyle="1" w:styleId="StylePara1Kernat11pt">
    <w:name w:val="Style Para1 + Kern at 11 pt"/>
    <w:basedOn w:val="Normal"/>
    <w:rsid w:val="004F4E38"/>
    <w:pPr>
      <w:spacing w:before="120" w:after="120"/>
    </w:pPr>
    <w:rPr>
      <w:snapToGrid w:val="0"/>
      <w:kern w:val="22"/>
      <w:szCs w:val="18"/>
      <w14:ligatures w14:val="standardContextual"/>
    </w:rPr>
  </w:style>
  <w:style w:type="paragraph" w:customStyle="1" w:styleId="Default">
    <w:name w:val="Default"/>
    <w:rsid w:val="0063491D"/>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Hyperlink">
    <w:name w:val="Hyperlink"/>
    <w:basedOn w:val="DefaultParagraphFont"/>
    <w:uiPriority w:val="99"/>
    <w:unhideWhenUsed/>
    <w:rsid w:val="00D15F91"/>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58297B"/>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AF2AAC"/>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10">
    <w:name w:val="Para1"/>
    <w:basedOn w:val="Normal"/>
    <w:link w:val="Para1Char"/>
    <w:rsid w:val="00A0796C"/>
    <w:pPr>
      <w:spacing w:before="120" w:after="120"/>
    </w:pPr>
    <w:rPr>
      <w:snapToGrid w:val="0"/>
      <w:szCs w:val="18"/>
    </w:rPr>
  </w:style>
  <w:style w:type="character" w:customStyle="1" w:styleId="Para1Char">
    <w:name w:val="Para1 Char"/>
    <w:link w:val="Para10"/>
    <w:locked/>
    <w:rsid w:val="00A0796C"/>
    <w:rPr>
      <w:rFonts w:ascii="Times New Roman" w:eastAsia="Times New Roman" w:hAnsi="Times New Roman" w:cs="Times New Roman"/>
      <w:snapToGrid w:val="0"/>
      <w:kern w:val="0"/>
      <w:szCs w:val="18"/>
      <w:lang w:val="fr-FR"/>
      <w14:ligatures w14:val="none"/>
    </w:rPr>
  </w:style>
  <w:style w:type="character" w:customStyle="1" w:styleId="cf01">
    <w:name w:val="cf01"/>
    <w:basedOn w:val="DefaultParagraphFont"/>
    <w:rsid w:val="00A0796C"/>
    <w:rPr>
      <w:rFonts w:ascii="Segoe UI" w:hAnsi="Segoe UI" w:cs="Segoe UI" w:hint="default"/>
      <w:sz w:val="18"/>
      <w:szCs w:val="18"/>
    </w:rPr>
  </w:style>
  <w:style w:type="paragraph" w:styleId="Revision">
    <w:name w:val="Revision"/>
    <w:hidden/>
    <w:uiPriority w:val="99"/>
    <w:semiHidden/>
    <w:rsid w:val="003739DB"/>
    <w:pPr>
      <w:spacing w:after="0" w:line="240" w:lineRule="auto"/>
    </w:pPr>
    <w:rPr>
      <w:rFonts w:ascii="Times New Roman" w:eastAsia="Times New Roman" w:hAnsi="Times New Roman" w:cs="Times New Roman"/>
      <w:kern w:val="0"/>
      <w:szCs w:val="24"/>
      <w14:ligatures w14:val="none"/>
    </w:rPr>
  </w:style>
  <w:style w:type="paragraph" w:customStyle="1" w:styleId="AEDistrNormal">
    <w:name w:val="AE_DistrNormal"/>
    <w:basedOn w:val="Normal"/>
    <w:unhideWhenUsed/>
    <w:rsid w:val="00D15F91"/>
    <w:pPr>
      <w:jc w:val="left"/>
    </w:pPr>
  </w:style>
  <w:style w:type="paragraph" w:customStyle="1" w:styleId="AASmallLogo">
    <w:name w:val="AA_SmallLogo"/>
    <w:basedOn w:val="AEDistrNormal"/>
    <w:unhideWhenUsed/>
    <w:rsid w:val="00D15F91"/>
    <w:pPr>
      <w:spacing w:before="40"/>
    </w:pPr>
    <w:rPr>
      <w:sz w:val="4"/>
    </w:rPr>
  </w:style>
  <w:style w:type="paragraph" w:customStyle="1" w:styleId="ABSymbol">
    <w:name w:val="AB_Symbol"/>
    <w:basedOn w:val="Normal"/>
    <w:qFormat/>
    <w:rsid w:val="00D15F9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15F91"/>
  </w:style>
  <w:style w:type="paragraph" w:customStyle="1" w:styleId="ACLargeLogo">
    <w:name w:val="AC_LargeLogo"/>
    <w:basedOn w:val="AFCorNotNormal"/>
    <w:next w:val="Normal"/>
    <w:unhideWhenUsed/>
    <w:rsid w:val="00D15F91"/>
    <w:pPr>
      <w:spacing w:before="120"/>
      <w:contextualSpacing/>
      <w:jc w:val="left"/>
    </w:pPr>
    <w:rPr>
      <w:sz w:val="8"/>
    </w:rPr>
  </w:style>
  <w:style w:type="paragraph" w:customStyle="1" w:styleId="AEDistrNormal6pt">
    <w:name w:val="AE_DistrNormal6pt"/>
    <w:basedOn w:val="AEDistrNormal"/>
    <w:next w:val="AFCorNotNormal"/>
    <w:unhideWhenUsed/>
    <w:qFormat/>
    <w:rsid w:val="00D15F91"/>
    <w:pPr>
      <w:spacing w:before="120"/>
    </w:pPr>
  </w:style>
  <w:style w:type="paragraph" w:customStyle="1" w:styleId="AENormal">
    <w:name w:val="AE_Normal"/>
    <w:basedOn w:val="Normal"/>
    <w:rsid w:val="00D15F91"/>
  </w:style>
  <w:style w:type="paragraph" w:customStyle="1" w:styleId="AFCorNot12Bold">
    <w:name w:val="AF_CorNot12Bold"/>
    <w:basedOn w:val="AFCorNotNormal"/>
    <w:next w:val="AFCorNotNormal"/>
    <w:unhideWhenUsed/>
    <w:qFormat/>
    <w:rsid w:val="00D15F91"/>
    <w:pPr>
      <w:jc w:val="left"/>
    </w:pPr>
    <w:rPr>
      <w:b/>
      <w:sz w:val="24"/>
    </w:rPr>
  </w:style>
  <w:style w:type="paragraph" w:customStyle="1" w:styleId="AFCorNotBold">
    <w:name w:val="AF_CorNotBold"/>
    <w:basedOn w:val="AFCorNotNormal"/>
    <w:next w:val="AFCorNotNormal"/>
    <w:unhideWhenUsed/>
    <w:qFormat/>
    <w:rsid w:val="00D15F91"/>
    <w:rPr>
      <w:b/>
    </w:rPr>
  </w:style>
  <w:style w:type="paragraph" w:customStyle="1" w:styleId="AISpacer">
    <w:name w:val="AI_Spacer"/>
    <w:next w:val="Normal"/>
    <w:unhideWhenUsed/>
    <w:qFormat/>
    <w:rsid w:val="00D15F91"/>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15F91"/>
    <w:pPr>
      <w:keepNext/>
      <w:keepLines/>
      <w:spacing w:before="240" w:after="120"/>
      <w:jc w:val="left"/>
    </w:pPr>
    <w:rPr>
      <w:b/>
      <w:sz w:val="24"/>
    </w:rPr>
  </w:style>
  <w:style w:type="paragraph" w:customStyle="1" w:styleId="CBDNormal">
    <w:name w:val="CBD_Normal"/>
    <w:unhideWhenUsed/>
    <w:qFormat/>
    <w:rsid w:val="00D15F9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D15F91"/>
    <w:pPr>
      <w:keepNext/>
      <w:keepLines/>
      <w:spacing w:after="240"/>
      <w:jc w:val="left"/>
    </w:pPr>
    <w:rPr>
      <w:b/>
      <w:sz w:val="28"/>
      <w:lang w:bidi="ar-SY"/>
    </w:rPr>
  </w:style>
  <w:style w:type="paragraph" w:customStyle="1" w:styleId="CBDDesicionAnnex">
    <w:name w:val="CBD_DesicionAnnex"/>
    <w:basedOn w:val="CBDNormal"/>
    <w:next w:val="Normal"/>
    <w:qFormat/>
    <w:rsid w:val="00D15F9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15F91"/>
    <w:pPr>
      <w:spacing w:after="120"/>
      <w:ind w:left="567"/>
    </w:pPr>
  </w:style>
  <w:style w:type="paragraph" w:customStyle="1" w:styleId="CBDFigureTitle">
    <w:name w:val="CBD_FigureTitle"/>
    <w:basedOn w:val="CBDNormal"/>
    <w:next w:val="Normal"/>
    <w:qFormat/>
    <w:rsid w:val="00D15F91"/>
    <w:pPr>
      <w:keepNext/>
      <w:keepLines/>
      <w:spacing w:before="120" w:after="60"/>
      <w:ind w:left="567"/>
      <w:jc w:val="left"/>
    </w:pPr>
    <w:rPr>
      <w:b/>
    </w:rPr>
  </w:style>
  <w:style w:type="paragraph" w:customStyle="1" w:styleId="CBDFooter">
    <w:name w:val="CBD_Footer"/>
    <w:basedOn w:val="CBDNormal"/>
    <w:qFormat/>
    <w:rsid w:val="00D15F91"/>
    <w:rPr>
      <w:sz w:val="20"/>
    </w:rPr>
  </w:style>
  <w:style w:type="paragraph" w:customStyle="1" w:styleId="CBDFootnoteText">
    <w:name w:val="CBD_Footnote_Text"/>
    <w:basedOn w:val="CBDNormal"/>
    <w:qFormat/>
    <w:rsid w:val="00D15F91"/>
    <w:pPr>
      <w:jc w:val="left"/>
    </w:pPr>
    <w:rPr>
      <w:sz w:val="18"/>
    </w:rPr>
  </w:style>
  <w:style w:type="paragraph" w:customStyle="1" w:styleId="CBDH1">
    <w:name w:val="CBD_H1"/>
    <w:basedOn w:val="CBDNormal"/>
    <w:qFormat/>
    <w:rsid w:val="00D15F91"/>
    <w:pPr>
      <w:keepNext/>
      <w:keepLines/>
      <w:spacing w:before="240" w:after="120"/>
      <w:ind w:left="567" w:hanging="567"/>
      <w:jc w:val="left"/>
    </w:pPr>
    <w:rPr>
      <w:b/>
      <w:sz w:val="28"/>
    </w:rPr>
  </w:style>
  <w:style w:type="paragraph" w:customStyle="1" w:styleId="CBDNormalNumber">
    <w:name w:val="CBD_Normal_Number"/>
    <w:basedOn w:val="CBDNormal"/>
    <w:qFormat/>
    <w:rsid w:val="00D15F91"/>
    <w:pPr>
      <w:numPr>
        <w:numId w:val="2"/>
      </w:numPr>
      <w:tabs>
        <w:tab w:val="left" w:pos="3969"/>
      </w:tabs>
      <w:spacing w:after="120"/>
    </w:pPr>
  </w:style>
  <w:style w:type="paragraph" w:customStyle="1" w:styleId="CBDH2">
    <w:name w:val="CBD_H2"/>
    <w:basedOn w:val="CBDNormalNumber"/>
    <w:qFormat/>
    <w:rsid w:val="00D15F91"/>
    <w:pPr>
      <w:keepNext/>
      <w:keepLines/>
      <w:numPr>
        <w:numId w:val="0"/>
      </w:numPr>
      <w:spacing w:before="120"/>
      <w:ind w:left="567" w:hanging="567"/>
    </w:pPr>
    <w:rPr>
      <w:b/>
      <w:sz w:val="24"/>
    </w:rPr>
  </w:style>
  <w:style w:type="paragraph" w:customStyle="1" w:styleId="CBDH3">
    <w:name w:val="CBD_H3"/>
    <w:basedOn w:val="CBDNormal"/>
    <w:qFormat/>
    <w:rsid w:val="00D15F91"/>
    <w:pPr>
      <w:keepNext/>
      <w:keepLines/>
      <w:spacing w:before="120" w:after="120"/>
      <w:ind w:left="567" w:hanging="567"/>
      <w:jc w:val="left"/>
    </w:pPr>
    <w:rPr>
      <w:b/>
    </w:rPr>
  </w:style>
  <w:style w:type="paragraph" w:customStyle="1" w:styleId="CBDH4">
    <w:name w:val="CBD_H4"/>
    <w:basedOn w:val="CBDNormal"/>
    <w:rsid w:val="00D15F91"/>
    <w:pPr>
      <w:keepNext/>
      <w:keepLines/>
      <w:spacing w:before="120" w:after="120"/>
      <w:ind w:left="567" w:hanging="567"/>
      <w:jc w:val="left"/>
    </w:pPr>
    <w:rPr>
      <w:b/>
    </w:rPr>
  </w:style>
  <w:style w:type="paragraph" w:customStyle="1" w:styleId="CBDH5">
    <w:name w:val="CBD_H5"/>
    <w:basedOn w:val="CBDNormal"/>
    <w:qFormat/>
    <w:rsid w:val="00D15F91"/>
    <w:pPr>
      <w:keepNext/>
      <w:keepLines/>
      <w:spacing w:before="120" w:after="120"/>
      <w:ind w:left="567" w:hanging="567"/>
      <w:jc w:val="left"/>
    </w:pPr>
    <w:rPr>
      <w:i/>
    </w:rPr>
  </w:style>
  <w:style w:type="paragraph" w:customStyle="1" w:styleId="CBDHeader">
    <w:name w:val="CBD_Header"/>
    <w:basedOn w:val="CBDNormal"/>
    <w:next w:val="CBDFooter"/>
    <w:qFormat/>
    <w:rsid w:val="00D15F9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15F91"/>
    <w:pPr>
      <w:numPr>
        <w:numId w:val="2"/>
      </w:numPr>
    </w:pPr>
  </w:style>
  <w:style w:type="numbering" w:customStyle="1" w:styleId="CBDHeadings">
    <w:name w:val="CBD_Headings"/>
    <w:basedOn w:val="ListCBD"/>
    <w:uiPriority w:val="99"/>
    <w:rsid w:val="00D15F91"/>
    <w:pPr>
      <w:numPr>
        <w:numId w:val="3"/>
      </w:numPr>
    </w:pPr>
  </w:style>
  <w:style w:type="paragraph" w:customStyle="1" w:styleId="CBDNormalNoNumber">
    <w:name w:val="CBD_Normal_NoNumber"/>
    <w:basedOn w:val="CBDNormal"/>
    <w:qFormat/>
    <w:rsid w:val="00D15F91"/>
    <w:pPr>
      <w:spacing w:after="120"/>
    </w:pPr>
  </w:style>
  <w:style w:type="paragraph" w:customStyle="1" w:styleId="CBDSubTitle">
    <w:name w:val="CBD_SubTitle"/>
    <w:basedOn w:val="CBDNormal"/>
    <w:qFormat/>
    <w:rsid w:val="00D15F91"/>
    <w:pPr>
      <w:keepNext/>
      <w:keepLines/>
      <w:spacing w:before="240" w:after="240"/>
      <w:ind w:left="567"/>
      <w:jc w:val="left"/>
    </w:pPr>
    <w:rPr>
      <w:b/>
    </w:rPr>
  </w:style>
  <w:style w:type="paragraph" w:customStyle="1" w:styleId="CBDTableNormal">
    <w:name w:val="CBD_TableNormal"/>
    <w:basedOn w:val="CBDNormal"/>
    <w:qFormat/>
    <w:rsid w:val="00D15F91"/>
    <w:pPr>
      <w:spacing w:before="40" w:after="80"/>
      <w:jc w:val="left"/>
    </w:pPr>
    <w:rPr>
      <w:sz w:val="20"/>
    </w:rPr>
  </w:style>
  <w:style w:type="paragraph" w:customStyle="1" w:styleId="CBDTableTitle">
    <w:name w:val="CBD_TableTitle"/>
    <w:basedOn w:val="CBDNormal"/>
    <w:qFormat/>
    <w:rsid w:val="00D15F91"/>
    <w:pPr>
      <w:keepNext/>
      <w:keepLines/>
      <w:spacing w:before="120" w:after="60"/>
      <w:ind w:left="567"/>
      <w:jc w:val="left"/>
    </w:pPr>
    <w:rPr>
      <w:b/>
    </w:rPr>
  </w:style>
  <w:style w:type="paragraph" w:customStyle="1" w:styleId="CBDTitle">
    <w:name w:val="CBD_Title"/>
    <w:basedOn w:val="CBDNormal"/>
    <w:next w:val="CBDSubTitle"/>
    <w:qFormat/>
    <w:rsid w:val="00D15F91"/>
    <w:pPr>
      <w:keepNext/>
      <w:keepLines/>
      <w:spacing w:before="240" w:after="240"/>
      <w:ind w:left="567"/>
      <w:jc w:val="left"/>
    </w:pPr>
    <w:rPr>
      <w:b/>
      <w:sz w:val="28"/>
    </w:rPr>
  </w:style>
  <w:style w:type="character" w:customStyle="1" w:styleId="Heading6Char">
    <w:name w:val="Heading 6 Char"/>
    <w:basedOn w:val="DefaultParagraphFont"/>
    <w:link w:val="Heading6"/>
    <w:semiHidden/>
    <w:rsid w:val="00D15F91"/>
    <w:rPr>
      <w:rFonts w:ascii="Times New Roman" w:eastAsia="SimSun" w:hAnsi="Times New Roman" w:cs="Times New Roman"/>
      <w:bCs/>
      <w:kern w:val="0"/>
      <w:sz w:val="24"/>
      <w:lang w:val="fr-FR"/>
      <w14:ligatures w14:val="none"/>
    </w:rPr>
  </w:style>
  <w:style w:type="character" w:customStyle="1" w:styleId="Heading7Char">
    <w:name w:val="Heading 7 Char"/>
    <w:basedOn w:val="DefaultParagraphFont"/>
    <w:link w:val="Heading7"/>
    <w:semiHidden/>
    <w:rsid w:val="00D15F91"/>
    <w:rPr>
      <w:rFonts w:ascii="Times New Roman" w:eastAsia="SimSun" w:hAnsi="Times New Roman" w:cs="Times New Roman"/>
      <w:b/>
      <w:snapToGrid w:val="0"/>
      <w:kern w:val="0"/>
      <w:u w:val="single"/>
      <w:lang w:val="fr-FR"/>
      <w14:ligatures w14:val="none"/>
    </w:rPr>
  </w:style>
  <w:style w:type="character" w:customStyle="1" w:styleId="Heading8Char">
    <w:name w:val="Heading 8 Char"/>
    <w:basedOn w:val="DefaultParagraphFont"/>
    <w:link w:val="Heading8"/>
    <w:semiHidden/>
    <w:rsid w:val="00D15F91"/>
    <w:rPr>
      <w:rFonts w:ascii="Times New Roman" w:eastAsia="SimSun" w:hAnsi="Times New Roman" w:cs="Times New Roman"/>
      <w:b/>
      <w:snapToGrid w:val="0"/>
      <w:kern w:val="0"/>
      <w:u w:val="single"/>
      <w:lang w:val="fr-FR"/>
      <w14:ligatures w14:val="none"/>
    </w:rPr>
  </w:style>
  <w:style w:type="character" w:customStyle="1" w:styleId="Heading9Char">
    <w:name w:val="Heading 9 Char"/>
    <w:basedOn w:val="DefaultParagraphFont"/>
    <w:link w:val="Heading9"/>
    <w:semiHidden/>
    <w:rsid w:val="00D15F91"/>
    <w:rPr>
      <w:rFonts w:ascii="Times New Roman" w:eastAsia="SimSun" w:hAnsi="Times New Roman" w:cs="Times New Roman"/>
      <w:snapToGrid w:val="0"/>
      <w:kern w:val="0"/>
      <w:u w:val="single"/>
      <w:lang w:val="fr-FR"/>
      <w14:ligatures w14:val="none"/>
    </w:rPr>
  </w:style>
  <w:style w:type="paragraph" w:styleId="List">
    <w:name w:val="List"/>
    <w:basedOn w:val="Normal"/>
    <w:semiHidden/>
    <w:rsid w:val="00D15F91"/>
    <w:pPr>
      <w:contextualSpacing/>
    </w:pPr>
  </w:style>
  <w:style w:type="paragraph" w:styleId="ListParagraph">
    <w:name w:val="List Paragraph"/>
    <w:basedOn w:val="Normal"/>
    <w:uiPriority w:val="34"/>
    <w:qFormat/>
    <w:rsid w:val="00D15F91"/>
    <w:pPr>
      <w:ind w:left="720"/>
      <w:contextualSpacing/>
    </w:pPr>
  </w:style>
  <w:style w:type="character" w:styleId="FollowedHyperlink">
    <w:name w:val="FollowedHyperlink"/>
    <w:basedOn w:val="DefaultParagraphFont"/>
    <w:uiPriority w:val="99"/>
    <w:semiHidden/>
    <w:unhideWhenUsed/>
    <w:rsid w:val="00E957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ch.cbd.int/protocol/cpb_art34_info.s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5b97/1cf0/8d51b75b52d943e843a388f8/cp-cc-19-05-en.pdf" TargetMode="External"/><Relationship Id="rId1" Type="http://schemas.openxmlformats.org/officeDocument/2006/relationships/hyperlink" Target="https://www.cbd.int/doc/c/12ea/4242/e51012d8e683fb7fde470d21/cp-cc-18-05-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cp-mop-11-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841AA2B2-F288-4306-9ABD-6F86291DE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B4F650-FD28-481C-B280-DA73B9BB7AC2}">
  <ds:schemaRefs>
    <ds:schemaRef ds:uri="http://schemas.openxmlformats.org/officeDocument/2006/bibliography"/>
  </ds:schemaRefs>
</ds:datastoreItem>
</file>

<file path=customXml/itemProps4.xml><?xml version="1.0" encoding="utf-8"?>
<ds:datastoreItem xmlns:ds="http://schemas.openxmlformats.org/officeDocument/2006/customXml" ds:itemID="{41E65515-D745-4995-931B-C2FD87E87CE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template-cp-mop-11-en.dotm</Template>
  <TotalTime>177</TotalTime>
  <Pages>7</Pages>
  <Words>3156</Words>
  <Characters>17990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Rapport du Comité d'examen du respect des dispositions du Protocole de Carthagène sur la prévention des risques biotechnologiques sur les travaux de ses dix-huitième et dix-neuvième réunions</vt:lpstr>
    </vt:vector>
  </TitlesOfParts>
  <Company/>
  <LinksUpToDate>false</LinksUpToDate>
  <CharactersWithSpaces>21104</CharactersWithSpaces>
  <SharedDoc>false</SharedDoc>
  <HLinks>
    <vt:vector size="12" baseType="variant">
      <vt:variant>
        <vt:i4>6029399</vt:i4>
      </vt:variant>
      <vt:variant>
        <vt:i4>3</vt:i4>
      </vt:variant>
      <vt:variant>
        <vt:i4>0</vt:i4>
      </vt:variant>
      <vt:variant>
        <vt:i4>5</vt:i4>
      </vt:variant>
      <vt:variant>
        <vt:lpwstr>https://bch.cbd.int/protocol/cpb_art34_info.shtml</vt:lpwstr>
      </vt:variant>
      <vt:variant>
        <vt:lpwstr/>
      </vt:variant>
      <vt:variant>
        <vt:i4>7602224</vt:i4>
      </vt:variant>
      <vt:variant>
        <vt:i4>0</vt:i4>
      </vt:variant>
      <vt:variant>
        <vt:i4>0</vt:i4>
      </vt:variant>
      <vt:variant>
        <vt:i4>5</vt:i4>
      </vt:variant>
      <vt:variant>
        <vt:lpwstr>https://www.cbd.int/doc/c/12ea/4242/e51012d8e683fb7fde470d21/cp-cc-18-05-en.pdf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Comité d'examen du respect des dispositions du Protocole de Carthagène sur la prévention des risques biotechnologiques sur les travaux de ses dix-huitième et dix-neuvième réunions</dc:title>
  <dc:subject>CBD/CP/MOP/11/3</dc:subject>
  <dc:creator>kathryn.garforth</dc:creator>
  <cp:keywords>Conférence des Parties à la Convention sur la diversité biologique agissant comme réunion des Parties au Protocole de Cartagena sur la prévention des risques biotechnologiques</cp:keywords>
  <dc:description/>
  <cp:lastModifiedBy>Francois Belanger</cp:lastModifiedBy>
  <cp:revision>30</cp:revision>
  <cp:lastPrinted>2024-05-02T18:40:00Z</cp:lastPrinted>
  <dcterms:created xsi:type="dcterms:W3CDTF">2024-08-26T18:07:00Z</dcterms:created>
  <dcterms:modified xsi:type="dcterms:W3CDTF">2024-08-30T13:32:00Z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