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518BB" w14:paraId="311EBE0C" w14:textId="77777777" w:rsidTr="008A1499">
        <w:trPr>
          <w:trHeight w:val="850"/>
        </w:trPr>
        <w:tc>
          <w:tcPr>
            <w:tcW w:w="975" w:type="dxa"/>
            <w:vAlign w:val="bottom"/>
          </w:tcPr>
          <w:p w14:paraId="164CD1F1" w14:textId="77777777" w:rsidR="008A1499" w:rsidRPr="00B06DD1" w:rsidRDefault="008A1499" w:rsidP="008A1499">
            <w:pPr>
              <w:pStyle w:val="AASmallLogo"/>
              <w:rPr>
                <w:lang w:val="fr-FR"/>
              </w:rPr>
            </w:pPr>
            <w:r w:rsidRPr="00B06DD1">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06DD1">
              <w:rPr>
                <w:lang w:val="fr-FR"/>
              </w:rPr>
              <w:t xml:space="preserve"> </w:t>
            </w:r>
          </w:p>
          <w:p w14:paraId="1C1ECBF7" w14:textId="77777777" w:rsidR="008A1499" w:rsidRPr="00B06DD1" w:rsidRDefault="008A1499" w:rsidP="008A1499">
            <w:pPr>
              <w:pStyle w:val="AASmallLogo"/>
              <w:rPr>
                <w:lang w:val="fr-FR"/>
              </w:rPr>
            </w:pPr>
          </w:p>
        </w:tc>
        <w:tc>
          <w:tcPr>
            <w:tcW w:w="1434" w:type="dxa"/>
            <w:noWrap/>
            <w:vAlign w:val="bottom"/>
          </w:tcPr>
          <w:p w14:paraId="64838C29" w14:textId="1FC15DDA" w:rsidR="008A1499" w:rsidRPr="00B06DD1" w:rsidRDefault="008B4C79" w:rsidP="008A1499">
            <w:pPr>
              <w:pStyle w:val="AASmallLogo"/>
              <w:rPr>
                <w:lang w:val="fr-FR"/>
              </w:rPr>
            </w:pPr>
            <w:r w:rsidRPr="00796DE0">
              <w:rPr>
                <w:noProof/>
                <w:lang w:val="fr-CA"/>
              </w:rPr>
              <w:drawing>
                <wp:inline distT="0" distB="0" distL="0" distR="0" wp14:anchorId="583A47F7" wp14:editId="4EE7AB6B">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r w:rsidR="008A1499" w:rsidRPr="00B06DD1">
              <w:rPr>
                <w:lang w:val="fr-FR"/>
              </w:rPr>
              <w:t xml:space="preserve"> </w:t>
            </w:r>
          </w:p>
          <w:p w14:paraId="25A4DB09" w14:textId="77777777" w:rsidR="008A1499" w:rsidRPr="00B06DD1" w:rsidRDefault="008A1499" w:rsidP="008A1499">
            <w:pPr>
              <w:pStyle w:val="AASmallLogo"/>
              <w:rPr>
                <w:lang w:val="fr-FR"/>
              </w:rPr>
            </w:pPr>
          </w:p>
        </w:tc>
        <w:tc>
          <w:tcPr>
            <w:tcW w:w="8073" w:type="dxa"/>
            <w:vAlign w:val="bottom"/>
          </w:tcPr>
          <w:p w14:paraId="4073AF74" w14:textId="5E0960FF" w:rsidR="008A1499" w:rsidRPr="00B06DD1" w:rsidRDefault="008A1499" w:rsidP="00440131">
            <w:pPr>
              <w:pStyle w:val="ABSymbol"/>
              <w:ind w:left="39"/>
              <w:rPr>
                <w:lang w:val="fr-FR"/>
              </w:rPr>
            </w:pPr>
            <w:r w:rsidRPr="00B06DD1">
              <w:rPr>
                <w:sz w:val="40"/>
                <w:lang w:val="fr-FR"/>
              </w:rPr>
              <w:t>CBD</w:t>
            </w:r>
            <w:r w:rsidRPr="00B06DD1">
              <w:rPr>
                <w:lang w:val="fr-FR"/>
              </w:rPr>
              <w:t>/SBI/7/14-</w:t>
            </w:r>
            <w:r w:rsidRPr="00B06DD1">
              <w:rPr>
                <w:sz w:val="40"/>
                <w:szCs w:val="40"/>
                <w:lang w:val="fr-FR"/>
              </w:rPr>
              <w:t>CBD</w:t>
            </w:r>
            <w:r w:rsidRPr="00B06DD1">
              <w:rPr>
                <w:lang w:val="fr-FR"/>
              </w:rPr>
              <w:t>/COP/17/3-</w:t>
            </w:r>
            <w:r w:rsidRPr="00B06DD1">
              <w:rPr>
                <w:sz w:val="40"/>
                <w:szCs w:val="40"/>
                <w:lang w:val="fr-FR"/>
              </w:rPr>
              <w:t>CBD</w:t>
            </w:r>
            <w:r w:rsidRPr="00B06DD1">
              <w:rPr>
                <w:lang w:val="fr-FR"/>
              </w:rPr>
              <w:t>/CP/MOP/12/4-</w:t>
            </w:r>
            <w:r w:rsidRPr="00B06DD1">
              <w:rPr>
                <w:sz w:val="40"/>
                <w:szCs w:val="40"/>
                <w:lang w:val="fr-FR"/>
              </w:rPr>
              <w:t>CBD</w:t>
            </w:r>
            <w:r w:rsidRPr="00B06DD1">
              <w:rPr>
                <w:lang w:val="fr-FR"/>
              </w:rPr>
              <w:t>/NP/MOP/6/4</w:t>
            </w:r>
          </w:p>
        </w:tc>
      </w:tr>
    </w:tbl>
    <w:p w14:paraId="036DA216" w14:textId="77777777" w:rsidR="008A1499" w:rsidRPr="00B06DD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518BB" w14:paraId="2951B9D8" w14:textId="77777777" w:rsidTr="008A1499">
        <w:trPr>
          <w:trHeight w:val="1814"/>
        </w:trPr>
        <w:tc>
          <w:tcPr>
            <w:tcW w:w="7370" w:type="dxa"/>
          </w:tcPr>
          <w:p w14:paraId="1FEFE3A9" w14:textId="2CDFB6E1" w:rsidR="008A1499" w:rsidRPr="00B06DD1" w:rsidRDefault="00597361" w:rsidP="008A1499">
            <w:pPr>
              <w:pStyle w:val="ACLargeLogo"/>
              <w:rPr>
                <w:lang w:val="fr-FR"/>
              </w:rPr>
            </w:pPr>
            <w:r w:rsidRPr="00796DE0">
              <w:rPr>
                <w:noProof/>
                <w:lang w:val="fr-CA"/>
                <w14:ligatures w14:val="standardContextual"/>
              </w:rPr>
              <w:drawing>
                <wp:inline distT="0" distB="0" distL="0" distR="0" wp14:anchorId="1D7790C9" wp14:editId="0EFA2798">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8A1499" w:rsidRPr="00B06DD1">
              <w:rPr>
                <w:lang w:val="fr-FR"/>
              </w:rPr>
              <w:t xml:space="preserve"> </w:t>
            </w:r>
          </w:p>
          <w:p w14:paraId="50FD90AD" w14:textId="77777777" w:rsidR="008A1499" w:rsidRPr="00B06DD1" w:rsidRDefault="008A1499" w:rsidP="008A1499">
            <w:pPr>
              <w:pStyle w:val="ACLargeLogo"/>
              <w:rPr>
                <w:lang w:val="fr-FR"/>
              </w:rPr>
            </w:pPr>
          </w:p>
        </w:tc>
        <w:tc>
          <w:tcPr>
            <w:tcW w:w="3112" w:type="dxa"/>
          </w:tcPr>
          <w:p w14:paraId="2AA42539" w14:textId="77777777" w:rsidR="008A1499" w:rsidRPr="00B06DD1" w:rsidRDefault="008A1499" w:rsidP="008A1499">
            <w:pPr>
              <w:pStyle w:val="AEDistrNormal"/>
              <w:rPr>
                <w:lang w:val="fr-FR"/>
              </w:rPr>
            </w:pPr>
            <w:proofErr w:type="spellStart"/>
            <w:r w:rsidRPr="00B06DD1">
              <w:rPr>
                <w:lang w:val="fr-FR"/>
              </w:rPr>
              <w:t>Distr</w:t>
            </w:r>
            <w:proofErr w:type="spellEnd"/>
            <w:r w:rsidRPr="00B06DD1">
              <w:rPr>
                <w:lang w:val="fr-FR"/>
              </w:rPr>
              <w:t xml:space="preserve">. : Générale </w:t>
            </w:r>
          </w:p>
          <w:p w14:paraId="7634D684" w14:textId="662C5C42" w:rsidR="008A1499" w:rsidRPr="00B06DD1" w:rsidRDefault="0090257B" w:rsidP="008A1499">
            <w:pPr>
              <w:pStyle w:val="AEDistrNormal"/>
              <w:rPr>
                <w:lang w:val="fr-FR"/>
              </w:rPr>
            </w:pPr>
            <w:r w:rsidRPr="00B06DD1">
              <w:rPr>
                <w:lang w:val="fr-FR"/>
              </w:rPr>
              <w:t>3 juillet 2026</w:t>
            </w:r>
          </w:p>
          <w:p w14:paraId="783B710E" w14:textId="77777777" w:rsidR="00CB1A91" w:rsidRDefault="00CB1A91" w:rsidP="00CB1A91">
            <w:pPr>
              <w:pStyle w:val="AEDistrNormal"/>
              <w:rPr>
                <w:lang w:val="fr-FR"/>
              </w:rPr>
            </w:pPr>
          </w:p>
          <w:p w14:paraId="3FEE0D59" w14:textId="2A82D53E" w:rsidR="00CB1A91" w:rsidRDefault="0090257B" w:rsidP="00CB1A91">
            <w:pPr>
              <w:pStyle w:val="AEDistrNormal"/>
              <w:rPr>
                <w:lang w:val="fr-FR"/>
              </w:rPr>
            </w:pPr>
            <w:r w:rsidRPr="00B06DD1">
              <w:rPr>
                <w:lang w:val="fr-FR"/>
              </w:rPr>
              <w:t>Français</w:t>
            </w:r>
          </w:p>
          <w:p w14:paraId="64168BD9" w14:textId="6C5CD1EB" w:rsidR="008A1499" w:rsidRPr="00B06DD1" w:rsidRDefault="008A1499" w:rsidP="00CB1A91">
            <w:pPr>
              <w:pStyle w:val="AEDistrNormal"/>
              <w:rPr>
                <w:lang w:val="fr-FR"/>
              </w:rPr>
            </w:pPr>
            <w:r w:rsidRPr="00B06DD1">
              <w:rPr>
                <w:lang w:val="fr-FR"/>
              </w:rPr>
              <w:t xml:space="preserve">Original : anglais </w:t>
            </w:r>
          </w:p>
          <w:p w14:paraId="4FFFF473" w14:textId="77777777" w:rsidR="008A1499" w:rsidRPr="00B06DD1" w:rsidRDefault="008A1499" w:rsidP="008A1499">
            <w:pPr>
              <w:pStyle w:val="AEDistrNormal6pt"/>
              <w:rPr>
                <w:lang w:val="fr-FR"/>
              </w:rPr>
            </w:pPr>
          </w:p>
        </w:tc>
      </w:tr>
    </w:tbl>
    <w:p w14:paraId="3F5353AF" w14:textId="77777777" w:rsidR="008A1499" w:rsidRPr="00B06DD1" w:rsidRDefault="008A1499" w:rsidP="008A1499">
      <w:pPr>
        <w:pStyle w:val="AISpacer"/>
        <w:rPr>
          <w:lang w:val="fr-FR"/>
        </w:rPr>
      </w:pPr>
    </w:p>
    <w:tbl>
      <w:tblPr>
        <w:tblW w:w="10489" w:type="dxa"/>
        <w:tblInd w:w="-283" w:type="dxa"/>
        <w:tblLayout w:type="fixed"/>
        <w:tblCellMar>
          <w:left w:w="283" w:type="dxa"/>
        </w:tblCellMar>
        <w:tblLook w:val="0000" w:firstRow="0" w:lastRow="0" w:firstColumn="0" w:lastColumn="0" w:noHBand="0" w:noVBand="0"/>
      </w:tblPr>
      <w:tblGrid>
        <w:gridCol w:w="5103"/>
        <w:gridCol w:w="5379"/>
        <w:gridCol w:w="7"/>
      </w:tblGrid>
      <w:tr w:rsidR="009C7B8F" w:rsidRPr="000518BB" w14:paraId="4DB8A6DB" w14:textId="77777777" w:rsidTr="009C7B8F">
        <w:trPr>
          <w:gridAfter w:val="1"/>
          <w:wAfter w:w="7" w:type="dxa"/>
          <w:trHeight w:val="57"/>
        </w:trPr>
        <w:tc>
          <w:tcPr>
            <w:tcW w:w="5103" w:type="dxa"/>
          </w:tcPr>
          <w:p w14:paraId="28DBBB99" w14:textId="77777777" w:rsidR="009C7B8F" w:rsidRPr="00B06DD1" w:rsidRDefault="009C7B8F" w:rsidP="007C7D55">
            <w:pPr>
              <w:pStyle w:val="AFCorN12Bold"/>
              <w:rPr>
                <w:lang w:val="fr-FR"/>
              </w:rPr>
            </w:pPr>
            <w:r w:rsidRPr="00B06DD1">
              <w:rPr>
                <w:lang w:val="fr-FR"/>
              </w:rPr>
              <w:t xml:space="preserve">Organe subsidiaire chargé de l'application </w:t>
            </w:r>
          </w:p>
          <w:p w14:paraId="10B899CD" w14:textId="77777777" w:rsidR="009C7B8F" w:rsidRPr="00B06DD1" w:rsidRDefault="009C7B8F" w:rsidP="007C7D55">
            <w:pPr>
              <w:pStyle w:val="AFCorNBold"/>
              <w:rPr>
                <w:lang w:val="fr-FR"/>
              </w:rPr>
            </w:pPr>
            <w:r w:rsidRPr="00B06DD1">
              <w:rPr>
                <w:lang w:val="fr-FR"/>
              </w:rPr>
              <w:t xml:space="preserve">Septième réunion </w:t>
            </w:r>
          </w:p>
          <w:p w14:paraId="14F11050" w14:textId="77777777" w:rsidR="009C7B8F" w:rsidRPr="00B06DD1" w:rsidRDefault="009C7B8F" w:rsidP="007C7D55">
            <w:pPr>
              <w:pStyle w:val="AFCorNNormal"/>
              <w:rPr>
                <w:lang w:val="fr-FR"/>
              </w:rPr>
            </w:pPr>
            <w:r w:rsidRPr="00B06DD1">
              <w:rPr>
                <w:lang w:val="fr-FR"/>
              </w:rPr>
              <w:t xml:space="preserve">Nairobi, </w:t>
            </w:r>
            <w:r w:rsidRPr="00B06DD1">
              <w:rPr>
                <w:snapToGrid w:val="0"/>
                <w:kern w:val="22"/>
                <w:lang w:val="fr-FR"/>
              </w:rPr>
              <w:t>4-12 août 2026</w:t>
            </w:r>
          </w:p>
          <w:p w14:paraId="7F0B816F" w14:textId="77777777" w:rsidR="009C7B8F" w:rsidRPr="00B06DD1" w:rsidRDefault="009C7B8F" w:rsidP="007C7D55">
            <w:pPr>
              <w:pStyle w:val="AFCorNNormal"/>
              <w:rPr>
                <w:lang w:val="fr-FR"/>
              </w:rPr>
            </w:pPr>
            <w:r w:rsidRPr="00B06DD1">
              <w:rPr>
                <w:lang w:val="fr-FR"/>
              </w:rPr>
              <w:t>Point 14 de l'ordre du jour provisoire</w:t>
            </w:r>
            <w:r w:rsidRPr="00B06DD1">
              <w:rPr>
                <w:rStyle w:val="FootnoteReference"/>
                <w:lang w:val="fr-FR"/>
              </w:rPr>
              <w:footnoteReference w:customMarkFollows="1" w:id="1"/>
              <w:t>*</w:t>
            </w:r>
            <w:r w:rsidRPr="00B06DD1">
              <w:rPr>
                <w:lang w:val="fr-FR"/>
              </w:rPr>
              <w:t xml:space="preserve"> </w:t>
            </w:r>
          </w:p>
          <w:p w14:paraId="77717E40" w14:textId="77777777" w:rsidR="009C7B8F" w:rsidRPr="00B06DD1" w:rsidRDefault="009C7B8F" w:rsidP="007C7D55">
            <w:pPr>
              <w:pStyle w:val="AFCorNBold"/>
              <w:rPr>
                <w:lang w:val="fr-FR"/>
              </w:rPr>
            </w:pPr>
            <w:r w:rsidRPr="00B06DD1">
              <w:rPr>
                <w:lang w:val="fr-FR"/>
              </w:rPr>
              <w:t>Questions administratives et budgétaires</w:t>
            </w:r>
          </w:p>
        </w:tc>
        <w:tc>
          <w:tcPr>
            <w:tcW w:w="5379" w:type="dxa"/>
          </w:tcPr>
          <w:p w14:paraId="5F2A108B" w14:textId="0131856A" w:rsidR="009C7B8F" w:rsidRPr="00B06DD1" w:rsidRDefault="009C7B8F" w:rsidP="00730156">
            <w:pPr>
              <w:pStyle w:val="AFCorN12Bold"/>
              <w:rPr>
                <w:lang w:val="fr-FR"/>
              </w:rPr>
            </w:pPr>
            <w:r w:rsidRPr="00B06DD1">
              <w:rPr>
                <w:lang w:val="fr-FR"/>
              </w:rPr>
              <w:t xml:space="preserve">Conférence des Parties à la Convention sur la diversité biologique </w:t>
            </w:r>
            <w:r w:rsidRPr="00B06DD1">
              <w:rPr>
                <w:lang w:val="fr-FR"/>
              </w:rPr>
              <w:br/>
              <w:t xml:space="preserve">Dix-septième réunion </w:t>
            </w:r>
          </w:p>
          <w:p w14:paraId="6BC99171" w14:textId="77777777" w:rsidR="009C7B8F" w:rsidRPr="00B06DD1" w:rsidRDefault="009C7B8F" w:rsidP="007C7D55">
            <w:pPr>
              <w:pStyle w:val="AFCorNNormal"/>
              <w:rPr>
                <w:lang w:val="fr-FR"/>
              </w:rPr>
            </w:pPr>
            <w:r w:rsidRPr="00B06DD1">
              <w:rPr>
                <w:lang w:val="fr-FR"/>
              </w:rPr>
              <w:t xml:space="preserve">Erevan, </w:t>
            </w:r>
            <w:r w:rsidRPr="00B06DD1">
              <w:rPr>
                <w:snapToGrid w:val="0"/>
                <w:kern w:val="22"/>
                <w:lang w:val="fr-FR"/>
              </w:rPr>
              <w:t>19-30 octobre 2026</w:t>
            </w:r>
          </w:p>
          <w:p w14:paraId="2EDD79F0" w14:textId="77777777" w:rsidR="009C7B8F" w:rsidRPr="00B06DD1" w:rsidRDefault="009C7B8F" w:rsidP="007C7D55">
            <w:pPr>
              <w:pStyle w:val="AFCorNNormal"/>
              <w:rPr>
                <w:lang w:val="fr-FR"/>
              </w:rPr>
            </w:pPr>
            <w:r w:rsidRPr="00B06DD1">
              <w:rPr>
                <w:lang w:val="fr-FR"/>
              </w:rPr>
              <w:t>Point 7 de l'ordre du jour provisoire</w:t>
            </w:r>
            <w:r w:rsidRPr="00B06DD1">
              <w:rPr>
                <w:rStyle w:val="FootnoteReference"/>
                <w:lang w:val="fr-FR"/>
              </w:rPr>
              <w:footnoteReference w:customMarkFollows="1" w:id="2"/>
              <w:t>**</w:t>
            </w:r>
          </w:p>
          <w:p w14:paraId="019BB698" w14:textId="74A16F38" w:rsidR="009C7B8F" w:rsidRPr="00B06DD1" w:rsidRDefault="009C7B8F" w:rsidP="007C7D55">
            <w:pPr>
              <w:pStyle w:val="AFCorNBold"/>
              <w:spacing w:after="120"/>
              <w:rPr>
                <w:lang w:val="fr-FR"/>
              </w:rPr>
            </w:pPr>
            <w:r w:rsidRPr="00B06DD1">
              <w:rPr>
                <w:lang w:val="fr-FR"/>
              </w:rPr>
              <w:t>Administration de la Convention sur la diversité biologique, budget des fonds d'affectation spéciale et examen fonctionnel du Secrétariat</w:t>
            </w:r>
            <w:r w:rsidRPr="00B06DD1">
              <w:rPr>
                <w:lang w:val="fr-FR"/>
              </w:rPr>
              <w:br/>
            </w:r>
          </w:p>
        </w:tc>
      </w:tr>
      <w:tr w:rsidR="009C7B8F" w:rsidRPr="000518BB" w14:paraId="10C7D2A1" w14:textId="77777777" w:rsidTr="009C7B8F">
        <w:trPr>
          <w:trHeight w:val="57"/>
        </w:trPr>
        <w:tc>
          <w:tcPr>
            <w:tcW w:w="5103" w:type="dxa"/>
          </w:tcPr>
          <w:p w14:paraId="3FE5FDE5" w14:textId="77777777" w:rsidR="009C7B8F" w:rsidRPr="00B06DD1" w:rsidRDefault="009C7B8F" w:rsidP="007C7D55">
            <w:pPr>
              <w:pStyle w:val="AFCorN12Bold"/>
              <w:rPr>
                <w:lang w:val="fr-FR"/>
              </w:rPr>
            </w:pPr>
            <w:r w:rsidRPr="00B06DD1">
              <w:rPr>
                <w:lang w:val="fr-FR"/>
              </w:rPr>
              <w:t>Conférence des Parties à la Convention sur la diversité biologique siégeant en tant que réunion des Parties au Protocole de Cartagena sur la prévention des risques biotechnologiques</w:t>
            </w:r>
          </w:p>
          <w:p w14:paraId="754A136E" w14:textId="77777777" w:rsidR="009C7B8F" w:rsidRPr="00B06DD1" w:rsidRDefault="009C7B8F" w:rsidP="007C7D55">
            <w:pPr>
              <w:pStyle w:val="AFCorNBold"/>
              <w:rPr>
                <w:lang w:val="fr-FR"/>
              </w:rPr>
            </w:pPr>
            <w:r w:rsidRPr="00B06DD1">
              <w:rPr>
                <w:lang w:val="fr-FR"/>
              </w:rPr>
              <w:t xml:space="preserve">Douzième réunion </w:t>
            </w:r>
          </w:p>
          <w:p w14:paraId="35D8499D" w14:textId="77777777" w:rsidR="009C7B8F" w:rsidRPr="00B06DD1" w:rsidRDefault="009C7B8F" w:rsidP="007C7D55">
            <w:pPr>
              <w:pStyle w:val="AFCorNNormal"/>
              <w:rPr>
                <w:lang w:val="fr-FR"/>
              </w:rPr>
            </w:pPr>
            <w:r w:rsidRPr="00B06DD1">
              <w:rPr>
                <w:snapToGrid w:val="0"/>
                <w:kern w:val="22"/>
                <w:lang w:val="fr-FR"/>
              </w:rPr>
              <w:t>Erevan</w:t>
            </w:r>
            <w:r w:rsidRPr="00B06DD1">
              <w:rPr>
                <w:lang w:val="fr-FR"/>
              </w:rPr>
              <w:t xml:space="preserve">, </w:t>
            </w:r>
            <w:r w:rsidRPr="00B06DD1">
              <w:rPr>
                <w:snapToGrid w:val="0"/>
                <w:kern w:val="22"/>
                <w:lang w:val="fr-FR"/>
              </w:rPr>
              <w:t>19-30 octobre 2026</w:t>
            </w:r>
          </w:p>
          <w:p w14:paraId="458CE02E" w14:textId="77777777" w:rsidR="009C7B8F" w:rsidRPr="00B06DD1" w:rsidRDefault="009C7B8F" w:rsidP="007C7D55">
            <w:pPr>
              <w:pStyle w:val="AFCorNNormal"/>
              <w:rPr>
                <w:lang w:val="fr-FR"/>
              </w:rPr>
            </w:pPr>
            <w:r w:rsidRPr="00B06DD1">
              <w:rPr>
                <w:lang w:val="fr-FR"/>
              </w:rPr>
              <w:t>Point 6 de l'ordre du jour provisoire</w:t>
            </w:r>
            <w:r w:rsidRPr="00B06DD1">
              <w:rPr>
                <w:rStyle w:val="FootnoteReference"/>
                <w:lang w:val="fr-FR"/>
              </w:rPr>
              <w:footnoteReference w:customMarkFollows="1" w:id="3"/>
              <w:t>***</w:t>
            </w:r>
          </w:p>
          <w:p w14:paraId="48811DE0" w14:textId="77777777" w:rsidR="009C7B8F" w:rsidRPr="00B06DD1" w:rsidRDefault="009C7B8F" w:rsidP="007C7D55">
            <w:pPr>
              <w:pStyle w:val="AFCorNBold"/>
              <w:rPr>
                <w:lang w:val="fr-FR"/>
              </w:rPr>
            </w:pPr>
            <w:r w:rsidRPr="00B06DD1">
              <w:rPr>
                <w:lang w:val="fr-FR"/>
              </w:rPr>
              <w:t>Administration du Protocole de Cartagena et budget des fonds d'affectation spéciale</w:t>
            </w:r>
            <w:r w:rsidRPr="00B06DD1">
              <w:rPr>
                <w:lang w:val="fr-FR"/>
              </w:rPr>
              <w:br/>
            </w:r>
          </w:p>
        </w:tc>
        <w:tc>
          <w:tcPr>
            <w:tcW w:w="5386" w:type="dxa"/>
            <w:gridSpan w:val="2"/>
          </w:tcPr>
          <w:p w14:paraId="427CE991" w14:textId="19751B05" w:rsidR="009C7B8F" w:rsidRPr="00B06DD1" w:rsidRDefault="009C7B8F" w:rsidP="00730156">
            <w:pPr>
              <w:pStyle w:val="AFCorN12Bold"/>
              <w:rPr>
                <w:lang w:val="fr-FR"/>
              </w:rPr>
            </w:pPr>
            <w:r w:rsidRPr="00B06DD1">
              <w:rPr>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r w:rsidRPr="00B06DD1">
              <w:rPr>
                <w:lang w:val="fr-FR"/>
              </w:rPr>
              <w:br/>
              <w:t xml:space="preserve">Sixième réunion </w:t>
            </w:r>
          </w:p>
          <w:p w14:paraId="4D192A87" w14:textId="77777777" w:rsidR="009C7B8F" w:rsidRPr="00B06DD1" w:rsidRDefault="009C7B8F" w:rsidP="007C7D55">
            <w:pPr>
              <w:pStyle w:val="AFCorNNormal"/>
              <w:rPr>
                <w:lang w:val="fr-FR"/>
              </w:rPr>
            </w:pPr>
            <w:r w:rsidRPr="00B06DD1">
              <w:rPr>
                <w:lang w:val="fr-FR"/>
              </w:rPr>
              <w:t>Erevan, 19-30 octobre 2026</w:t>
            </w:r>
          </w:p>
          <w:p w14:paraId="5981687D" w14:textId="77777777" w:rsidR="009C7B8F" w:rsidRPr="00B06DD1" w:rsidRDefault="009C7B8F" w:rsidP="007C7D55">
            <w:pPr>
              <w:pStyle w:val="AFCorNNormal"/>
              <w:rPr>
                <w:lang w:val="fr-FR"/>
              </w:rPr>
            </w:pPr>
            <w:r w:rsidRPr="00B06DD1">
              <w:rPr>
                <w:lang w:val="fr-FR"/>
              </w:rPr>
              <w:t>Point 6 de l'ordre du jour provisoire</w:t>
            </w:r>
            <w:r w:rsidRPr="00B06DD1">
              <w:rPr>
                <w:rStyle w:val="FootnoteReference"/>
                <w:lang w:val="fr-FR"/>
              </w:rPr>
              <w:footnoteReference w:customMarkFollows="1" w:id="4"/>
              <w:t>****</w:t>
            </w:r>
          </w:p>
          <w:p w14:paraId="54926F62" w14:textId="77777777" w:rsidR="009C7B8F" w:rsidRPr="00B06DD1" w:rsidRDefault="009C7B8F" w:rsidP="007C7D55">
            <w:pPr>
              <w:pStyle w:val="AFCorNBold"/>
              <w:rPr>
                <w:lang w:val="fr-FR"/>
              </w:rPr>
            </w:pPr>
            <w:r w:rsidRPr="00B06DD1">
              <w:rPr>
                <w:lang w:val="fr-FR"/>
              </w:rPr>
              <w:t>Administration du Protocole de Nagoya et budget des fonds d'affectation spéciale</w:t>
            </w:r>
            <w:r w:rsidRPr="00B06DD1">
              <w:rPr>
                <w:lang w:val="fr-FR"/>
              </w:rPr>
              <w:br/>
            </w:r>
          </w:p>
        </w:tc>
      </w:tr>
    </w:tbl>
    <w:p w14:paraId="7A204686" w14:textId="1A5FA294" w:rsidR="00C9161D" w:rsidRPr="00B06DD1" w:rsidRDefault="00000000" w:rsidP="00A111D1">
      <w:pPr>
        <w:pStyle w:val="CBDTitle"/>
        <w:rPr>
          <w:caps/>
          <w:lang w:val="fr-FR"/>
        </w:rPr>
      </w:pPr>
      <w:sdt>
        <w:sdtPr>
          <w:rPr>
            <w:lang w:val="fr-FR"/>
          </w:rPr>
          <w:alias w:val="Title"/>
          <w:tag w:val=""/>
          <w:id w:val="772832786"/>
          <w:placeholder>
            <w:docPart w:val="3330D00C199F4F7295DEF710CB577B8B"/>
          </w:placeholder>
          <w:dataBinding w:prefixMappings="xmlns:ns0='http://purl.org/dc/elements/1.1/' xmlns:ns1='http://schemas.openxmlformats.org/package/2006/metadata/core-properties' " w:xpath="/ns1:coreProperties[1]/ns0:title[1]" w:storeItemID="{6C3C8BC8-F283-45AE-878A-BAB7291924A1}"/>
          <w:text/>
        </w:sdtPr>
        <w:sdtContent>
          <w:r w:rsidR="00D15CB3" w:rsidRPr="00B06DD1">
            <w:rPr>
              <w:lang w:val="fr-FR"/>
            </w:rPr>
            <w:t>Administration de la Convention et de ses Protocoles pour l'exercice biennal 2025-2026</w:t>
          </w:r>
        </w:sdtContent>
      </w:sdt>
      <w:r w:rsidR="00612C27" w:rsidRPr="00B06DD1">
        <w:rPr>
          <w:rStyle w:val="FootnoteReference"/>
          <w:lang w:val="fr-FR"/>
        </w:rPr>
        <w:footnoteReference w:customMarkFollows="1" w:id="5"/>
        <w:t>†</w:t>
      </w:r>
    </w:p>
    <w:p w14:paraId="433E74B8" w14:textId="77777777" w:rsidR="00F6586C" w:rsidRPr="00B06DD1" w:rsidRDefault="0030169D" w:rsidP="00A111D1">
      <w:pPr>
        <w:pStyle w:val="CBDSubTitle"/>
        <w:rPr>
          <w:lang w:val="fr-FR"/>
        </w:rPr>
      </w:pPr>
      <w:r w:rsidRPr="00B06DD1">
        <w:rPr>
          <w:lang w:val="fr-FR"/>
        </w:rPr>
        <w:t>Note du Secrétariat</w:t>
      </w:r>
    </w:p>
    <w:p w14:paraId="4E10A25E" w14:textId="326B984C" w:rsidR="00C9161D" w:rsidRPr="00B06DD1" w:rsidRDefault="00A111D1" w:rsidP="2080ABF3">
      <w:pPr>
        <w:pStyle w:val="CBDH1"/>
        <w:tabs>
          <w:tab w:val="left" w:pos="900"/>
        </w:tabs>
        <w:rPr>
          <w:lang w:val="fr-FR"/>
        </w:rPr>
      </w:pPr>
      <w:r w:rsidRPr="00B06DD1">
        <w:rPr>
          <w:lang w:val="fr-FR"/>
        </w:rPr>
        <w:t>I. Introduction</w:t>
      </w:r>
      <w:r w:rsidRPr="00B06DD1">
        <w:rPr>
          <w:lang w:val="fr-FR"/>
        </w:rPr>
        <w:tab/>
      </w:r>
    </w:p>
    <w:p w14:paraId="6221F779" w14:textId="61ECC475" w:rsidR="005B35E2" w:rsidRPr="00B06DD1" w:rsidRDefault="77F2CCAC" w:rsidP="00440131">
      <w:pPr>
        <w:pStyle w:val="CBDNormalNumber"/>
        <w:rPr>
          <w:lang w:val="fr-FR"/>
        </w:rPr>
      </w:pPr>
      <w:r w:rsidRPr="00B06DD1">
        <w:rPr>
          <w:lang w:val="fr-FR"/>
        </w:rPr>
        <w:t>Dans sa décision</w:t>
      </w:r>
      <w:r w:rsidR="00D15CB3" w:rsidRPr="00B06DD1">
        <w:rPr>
          <w:lang w:val="fr-FR"/>
        </w:rPr>
        <w:t xml:space="preserve"> </w:t>
      </w:r>
      <w:hyperlink r:id="rId15" w:history="1">
        <w:r w:rsidRPr="00B06DD1">
          <w:rPr>
            <w:rStyle w:val="Hyperlink"/>
            <w:lang w:val="fr-FR"/>
          </w:rPr>
          <w:t>16/28</w:t>
        </w:r>
      </w:hyperlink>
      <w:r w:rsidRPr="00B06DD1">
        <w:rPr>
          <w:lang w:val="fr-FR"/>
        </w:rPr>
        <w:t>, la Conférence des Parties à la Convention a prié la Secrétaire exécutive de faire rapport à l'Organe subsidiaire chargé de l'application, avant la dix-septième réunion de la Conférence des Parties à la Convention, la douzième réunion de la Conférence des Parties siégeant en tant que réunion des Parties au Protocole de Cartagena et la sixième réunion de la Conférence des Parties siégeant en tant que réunion des Parties au Protocole de Nagoya, sur les recettes et l'exécution du budget, les soldes inutilisés et l'état des excédents et des reports, ainsi que sur tout ajustement apporté au budget pour l'exercice biennal 2025-2026.</w:t>
      </w:r>
    </w:p>
    <w:p w14:paraId="20EC0EF9" w14:textId="20559CE4" w:rsidR="00B91D7D" w:rsidRPr="00B06DD1" w:rsidRDefault="1F9B268F" w:rsidP="00485A62">
      <w:pPr>
        <w:pStyle w:val="CBDNormalNumber"/>
        <w:rPr>
          <w:lang w:val="fr-FR"/>
        </w:rPr>
      </w:pPr>
      <w:r w:rsidRPr="00B06DD1">
        <w:rPr>
          <w:lang w:val="fr-FR"/>
        </w:rPr>
        <w:lastRenderedPageBreak/>
        <w:t xml:space="preserve">Le présent document fournit des informations détaillées sur l'exécution financière et administrative du Secrétariat pour l'exercice biennal 2025-2026 jusqu'au 31 mai 2026, sauf indication contraire. De plus amples informations sur l'état des contributions aux trois fonds d'affectation </w:t>
      </w:r>
      <w:r w:rsidR="00573887" w:rsidRPr="00B06DD1">
        <w:rPr>
          <w:lang w:val="fr-FR"/>
        </w:rPr>
        <w:t>spéciaux</w:t>
      </w:r>
      <w:r w:rsidRPr="00B06DD1">
        <w:rPr>
          <w:lang w:val="fr-FR"/>
        </w:rPr>
        <w:t xml:space="preserve"> (Fonds d'affectation spéciale pour la Convention, Fonds d'affectation spéciale</w:t>
      </w:r>
      <w:r w:rsidR="00A43A9D" w:rsidRPr="00B06DD1">
        <w:rPr>
          <w:lang w:val="fr-FR"/>
        </w:rPr>
        <w:t xml:space="preserve"> </w:t>
      </w:r>
      <w:r w:rsidRPr="00B06DD1">
        <w:rPr>
          <w:lang w:val="fr-FR"/>
        </w:rPr>
        <w:t>pour le budget du programme de base du Protocole de Cartagena et Fonds d'affectation spéciale pour le budget du programme de base du Protocole de Nagoya), au</w:t>
      </w:r>
      <w:r w:rsidR="00A23413" w:rsidRPr="00B06DD1">
        <w:rPr>
          <w:lang w:val="fr-FR"/>
        </w:rPr>
        <w:t xml:space="preserve"> Fonds d'affectation spéciale de contributions volontaires</w:t>
      </w:r>
      <w:r w:rsidR="00C2759E">
        <w:rPr>
          <w:lang w:val="fr-FR"/>
        </w:rPr>
        <w:t xml:space="preserve"> supplémentaires</w:t>
      </w:r>
      <w:r w:rsidR="00A23413" w:rsidRPr="00B06DD1">
        <w:rPr>
          <w:lang w:val="fr-FR"/>
        </w:rPr>
        <w:t xml:space="preserve"> en appui aux activités approuvées au titre </w:t>
      </w:r>
      <w:r w:rsidR="00FA14B1" w:rsidRPr="00B06DD1">
        <w:rPr>
          <w:lang w:val="fr-FR"/>
        </w:rPr>
        <w:t xml:space="preserve">de la </w:t>
      </w:r>
      <w:r w:rsidRPr="00B06DD1">
        <w:rPr>
          <w:lang w:val="fr-FR"/>
        </w:rPr>
        <w:t>Convention et de ses Protocoles,</w:t>
      </w:r>
      <w:r w:rsidR="007160EF" w:rsidRPr="00B06DD1">
        <w:rPr>
          <w:color w:val="000000"/>
          <w:shd w:val="clear" w:color="auto" w:fill="FFFFFF"/>
          <w:lang w:val="fr-FR"/>
        </w:rPr>
        <w:t xml:space="preserve"> </w:t>
      </w:r>
      <w:r w:rsidR="007160EF" w:rsidRPr="00B06DD1">
        <w:rPr>
          <w:lang w:val="fr-FR"/>
        </w:rPr>
        <w:t>le Fonds </w:t>
      </w:r>
      <w:r w:rsidR="001B1E74">
        <w:rPr>
          <w:lang w:val="fr-FR"/>
        </w:rPr>
        <w:t xml:space="preserve">d’affection spéciale </w:t>
      </w:r>
      <w:r w:rsidR="007160EF" w:rsidRPr="00B06DD1">
        <w:rPr>
          <w:lang w:val="fr-FR"/>
        </w:rPr>
        <w:t>de contributions volontaires destiné à faciliter la participation des Parties au</w:t>
      </w:r>
      <w:r w:rsidR="00C6192F">
        <w:rPr>
          <w:lang w:val="fr-FR"/>
        </w:rPr>
        <w:t>x</w:t>
      </w:r>
      <w:r w:rsidR="007160EF" w:rsidRPr="00B06DD1">
        <w:rPr>
          <w:lang w:val="fr-FR"/>
        </w:rPr>
        <w:t xml:space="preserve"> processus de la Convention et le Fonds </w:t>
      </w:r>
      <w:r w:rsidR="001B1E74">
        <w:rPr>
          <w:lang w:val="fr-FR"/>
        </w:rPr>
        <w:t xml:space="preserve">d’affection </w:t>
      </w:r>
      <w:r w:rsidR="007160EF" w:rsidRPr="00B06DD1">
        <w:rPr>
          <w:lang w:val="fr-FR"/>
        </w:rPr>
        <w:t>spécial</w:t>
      </w:r>
      <w:r w:rsidR="001B1E74">
        <w:rPr>
          <w:lang w:val="fr-FR"/>
        </w:rPr>
        <w:t>e</w:t>
      </w:r>
      <w:r w:rsidR="007160EF" w:rsidRPr="00B06DD1">
        <w:rPr>
          <w:lang w:val="fr-FR"/>
        </w:rPr>
        <w:t xml:space="preserve"> de contributions volontaires destiné à faciliter la participation des peuples autochtones et communautés locales</w:t>
      </w:r>
      <w:r w:rsidR="00B91D7D" w:rsidRPr="00B06DD1">
        <w:rPr>
          <w:lang w:val="fr-FR"/>
        </w:rPr>
        <w:t>, au 31 mai 2026, ainsi que les états financiers pour 2025, sont disponibles sur le site Web du Secrétariat.</w:t>
      </w:r>
      <w:r w:rsidR="001B1E74" w:rsidRPr="00B06DD1">
        <w:rPr>
          <w:lang w:val="fr-FR"/>
        </w:rPr>
        <w:tab/>
      </w:r>
    </w:p>
    <w:p w14:paraId="16A94953" w14:textId="37FE322B" w:rsidR="002C2291" w:rsidRPr="00B06DD1" w:rsidRDefault="002C2291" w:rsidP="002C2291">
      <w:pPr>
        <w:pStyle w:val="CBDH1"/>
        <w:rPr>
          <w:lang w:val="fr-FR"/>
        </w:rPr>
      </w:pPr>
      <w:r w:rsidRPr="00B06DD1">
        <w:rPr>
          <w:lang w:val="fr-FR"/>
        </w:rPr>
        <w:t xml:space="preserve">II. </w:t>
      </w:r>
      <w:r w:rsidRPr="00B06DD1">
        <w:rPr>
          <w:lang w:val="fr-FR"/>
        </w:rPr>
        <w:tab/>
      </w:r>
      <w:r w:rsidRPr="00B06DD1">
        <w:rPr>
          <w:bCs/>
          <w:lang w:val="fr-FR"/>
        </w:rPr>
        <w:t>Recettes et exécution financière pour l'exercice biennal 2025-2026</w:t>
      </w:r>
    </w:p>
    <w:p w14:paraId="4C1FB6F2" w14:textId="4A1334D3" w:rsidR="0093169E" w:rsidRPr="00B06DD1" w:rsidRDefault="00A111D1" w:rsidP="00A111D1">
      <w:pPr>
        <w:pStyle w:val="CBDH2"/>
        <w:rPr>
          <w:lang w:val="fr-FR"/>
        </w:rPr>
      </w:pPr>
      <w:r w:rsidRPr="00B06DD1">
        <w:rPr>
          <w:lang w:val="fr-FR"/>
        </w:rPr>
        <w:t xml:space="preserve">A. </w:t>
      </w:r>
      <w:r w:rsidRPr="00B06DD1">
        <w:rPr>
          <w:lang w:val="fr-FR"/>
        </w:rPr>
        <w:tab/>
      </w:r>
      <w:r w:rsidRPr="00B06DD1">
        <w:rPr>
          <w:bCs/>
          <w:lang w:val="fr-FR"/>
        </w:rPr>
        <w:t>État des contributions mises en recouvrement</w:t>
      </w:r>
    </w:p>
    <w:p w14:paraId="4F9F9CFF" w14:textId="503ED94A" w:rsidR="00EF007D" w:rsidRPr="00B06DD1" w:rsidRDefault="00162F9B" w:rsidP="00440131">
      <w:pPr>
        <w:pStyle w:val="CBDNormalNumber"/>
        <w:rPr>
          <w:lang w:val="fr-FR"/>
        </w:rPr>
      </w:pPr>
      <w:r w:rsidRPr="00B06DD1">
        <w:rPr>
          <w:lang w:val="fr-FR"/>
        </w:rPr>
        <w:t>Dans sa décision</w:t>
      </w:r>
      <w:r w:rsidR="00001F15" w:rsidRPr="00B06DD1">
        <w:rPr>
          <w:lang w:val="fr-FR"/>
        </w:rPr>
        <w:t xml:space="preserve"> </w:t>
      </w:r>
      <w:hyperlink r:id="rId16" w:history="1">
        <w:r w:rsidRPr="00B06DD1">
          <w:rPr>
            <w:rStyle w:val="Hyperlink"/>
            <w:lang w:val="fr-FR"/>
          </w:rPr>
          <w:t>16/28</w:t>
        </w:r>
      </w:hyperlink>
      <w:r w:rsidRPr="00B06DD1">
        <w:rPr>
          <w:lang w:val="fr-FR"/>
        </w:rPr>
        <w:t xml:space="preserve">, la Conférence des Parties a adopté un programme de travail et </w:t>
      </w:r>
      <w:r w:rsidR="00001F15" w:rsidRPr="00B06DD1">
        <w:rPr>
          <w:lang w:val="fr-FR"/>
        </w:rPr>
        <w:t>un budget intégré</w:t>
      </w:r>
      <w:r w:rsidRPr="00B06DD1">
        <w:rPr>
          <w:lang w:val="fr-FR"/>
        </w:rPr>
        <w:t xml:space="preserve"> pour la Convention et ses Protocoles. Dans la même décision, elle a décidé de répartir les coûts des services du </w:t>
      </w:r>
      <w:r w:rsidR="00137A93" w:rsidRPr="00B06DD1">
        <w:rPr>
          <w:lang w:val="fr-FR"/>
        </w:rPr>
        <w:t>Se</w:t>
      </w:r>
      <w:r w:rsidRPr="00B06DD1">
        <w:rPr>
          <w:lang w:val="fr-FR"/>
        </w:rPr>
        <w:t>crétariat entre la Convention, le Protocole de Cartagena et le Protocole de Nagoya selon un ratio de 72 à 15 à 13,</w:t>
      </w:r>
      <w:r w:rsidR="004F3C1B">
        <w:rPr>
          <w:lang w:val="fr-FR"/>
        </w:rPr>
        <w:t xml:space="preserve"> </w:t>
      </w:r>
      <w:r w:rsidRPr="00B06DD1">
        <w:rPr>
          <w:lang w:val="fr-FR"/>
        </w:rPr>
        <w:t>pour l'exercice biennal 2025-2026. Le budget intégré a également été adopté par la Conférence des Parties siégeant en tant que réunion des Parties au Protocole de Cartagena sur la prévention des risques biotechnologiques et par la Conférence des Parties siégeant en tant que réunion des Parties au Protocole de Nagoya dans les décisions</w:t>
      </w:r>
      <w:r w:rsidR="001A39D7" w:rsidRPr="00B06DD1">
        <w:rPr>
          <w:lang w:val="fr-FR"/>
        </w:rPr>
        <w:t xml:space="preserve"> </w:t>
      </w:r>
      <w:hyperlink r:id="rId17" w:history="1">
        <w:r w:rsidRPr="00B06DD1">
          <w:rPr>
            <w:rStyle w:val="Hyperlink"/>
            <w:lang w:val="fr-FR"/>
          </w:rPr>
          <w:t>CP-11/11</w:t>
        </w:r>
      </w:hyperlink>
      <w:r w:rsidRPr="00B06DD1">
        <w:rPr>
          <w:lang w:val="fr-FR"/>
        </w:rPr>
        <w:t xml:space="preserve"> et </w:t>
      </w:r>
      <w:hyperlink r:id="rId18" w:history="1">
        <w:r w:rsidRPr="00B06DD1">
          <w:rPr>
            <w:rStyle w:val="Hyperlink"/>
            <w:lang w:val="fr-FR"/>
          </w:rPr>
          <w:t>NP-5/12</w:t>
        </w:r>
      </w:hyperlink>
      <w:r w:rsidR="001A39D7" w:rsidRPr="00B06DD1">
        <w:rPr>
          <w:lang w:val="fr-FR"/>
        </w:rPr>
        <w:t xml:space="preserve">. </w:t>
      </w:r>
    </w:p>
    <w:p w14:paraId="5038BE1A" w14:textId="6180EBA8" w:rsidR="00EF007D" w:rsidRPr="00B06DD1" w:rsidRDefault="00BA557C" w:rsidP="00440131">
      <w:pPr>
        <w:pStyle w:val="CBDNormalNumber"/>
        <w:rPr>
          <w:lang w:val="fr-FR"/>
        </w:rPr>
      </w:pPr>
      <w:r w:rsidRPr="00B06DD1">
        <w:rPr>
          <w:lang w:val="fr-FR"/>
        </w:rPr>
        <w:t>Un budget intégré de 21 682 100 dollars pour 2025 et de 22 753 400 dollars pour 2026 a été approuvé, soit 44 435 500 dollars au total pour l'exercice biennal, coûts d'appui au programme compris (13 %). Le tableau 1 présente la répartition de ce budget entre la Convention et les Protocoles, telle qu'approuvée par leurs organes directeurs respectifs.</w:t>
      </w:r>
    </w:p>
    <w:p w14:paraId="1392082D" w14:textId="5866051F" w:rsidR="003F6EC1" w:rsidRPr="00B06DD1" w:rsidRDefault="003F6EC1" w:rsidP="003F6EC1">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lang w:val="fr-FR"/>
        </w:rPr>
      </w:pPr>
      <w:r w:rsidRPr="00B06DD1">
        <w:rPr>
          <w:rFonts w:eastAsia="Times New Roman"/>
          <w:lang w:val="fr-FR"/>
        </w:rPr>
        <w:t>Tableau 1</w:t>
      </w:r>
      <w:r w:rsidRPr="00B06DD1">
        <w:rPr>
          <w:rFonts w:eastAsia="Times New Roman"/>
          <w:b/>
          <w:bCs/>
          <w:lang w:val="fr-FR"/>
        </w:rPr>
        <w:br/>
        <w:t>Sommaire des ressources approuvées, par fonds d'affectation spéciale, 2025-2026</w:t>
      </w:r>
    </w:p>
    <w:p w14:paraId="64506968" w14:textId="16776140" w:rsidR="003F6EC1" w:rsidRPr="00B06DD1" w:rsidRDefault="003F6EC1" w:rsidP="003F6EC1">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lang w:val="fr-FR"/>
        </w:rPr>
      </w:pPr>
      <w:r w:rsidRPr="00B06DD1">
        <w:rPr>
          <w:rFonts w:eastAsia="Times New Roman"/>
          <w:sz w:val="18"/>
          <w:szCs w:val="18"/>
          <w:lang w:val="fr-FR"/>
        </w:rPr>
        <w:t>(</w:t>
      </w:r>
      <w:r w:rsidR="00DF1761">
        <w:rPr>
          <w:rFonts w:eastAsia="Times New Roman"/>
          <w:sz w:val="18"/>
          <w:szCs w:val="18"/>
          <w:lang w:val="fr-FR"/>
        </w:rPr>
        <w:t>D</w:t>
      </w:r>
      <w:r w:rsidRPr="00B06DD1">
        <w:rPr>
          <w:rFonts w:eastAsia="Times New Roman"/>
          <w:sz w:val="18"/>
          <w:szCs w:val="18"/>
          <w:lang w:val="fr-FR"/>
        </w:rPr>
        <w:t>ollars des États-Unis)</w:t>
      </w:r>
    </w:p>
    <w:tbl>
      <w:tblPr>
        <w:tblW w:w="0" w:type="auto"/>
        <w:tblInd w:w="630" w:type="dxa"/>
        <w:tblCellMar>
          <w:left w:w="28" w:type="dxa"/>
          <w:right w:w="28" w:type="dxa"/>
        </w:tblCellMar>
        <w:tblLook w:val="04A0" w:firstRow="1" w:lastRow="0" w:firstColumn="1" w:lastColumn="0" w:noHBand="0" w:noVBand="1"/>
      </w:tblPr>
      <w:tblGrid>
        <w:gridCol w:w="3765"/>
        <w:gridCol w:w="1984"/>
        <w:gridCol w:w="1649"/>
        <w:gridCol w:w="1332"/>
      </w:tblGrid>
      <w:tr w:rsidR="003F6EC1" w:rsidRPr="000518BB" w14:paraId="1F7CD7C7" w14:textId="77777777" w:rsidTr="00205A53">
        <w:trPr>
          <w:trHeight w:val="420"/>
        </w:trPr>
        <w:tc>
          <w:tcPr>
            <w:tcW w:w="3765" w:type="dxa"/>
            <w:vMerge w:val="restart"/>
            <w:tcBorders>
              <w:top w:val="single" w:sz="4" w:space="0" w:color="auto"/>
              <w:bottom w:val="single" w:sz="4" w:space="0" w:color="000000" w:themeColor="text1"/>
            </w:tcBorders>
            <w:vAlign w:val="bottom"/>
            <w:hideMark/>
          </w:tcPr>
          <w:p w14:paraId="7BE8AA6C" w14:textId="7DDFA54C" w:rsidR="003F6EC1" w:rsidRPr="00B06DD1" w:rsidRDefault="003F6EC1" w:rsidP="003F6EC1">
            <w:pPr>
              <w:tabs>
                <w:tab w:val="clear" w:pos="567"/>
                <w:tab w:val="clear" w:pos="1134"/>
                <w:tab w:val="clear" w:pos="1701"/>
                <w:tab w:val="clear" w:pos="2268"/>
              </w:tabs>
              <w:ind w:left="30"/>
              <w:jc w:val="left"/>
              <w:textAlignment w:val="baseline"/>
              <w:rPr>
                <w:rFonts w:eastAsia="Times New Roman"/>
                <w:sz w:val="24"/>
                <w:szCs w:val="24"/>
                <w:lang w:val="fr-FR"/>
              </w:rPr>
            </w:pPr>
            <w:r w:rsidRPr="00B06DD1">
              <w:rPr>
                <w:rFonts w:eastAsia="Times New Roman"/>
                <w:i/>
                <w:iCs/>
                <w:sz w:val="18"/>
                <w:szCs w:val="18"/>
                <w:lang w:val="fr-FR"/>
              </w:rPr>
              <w:t xml:space="preserve">Fonds d'affectation </w:t>
            </w:r>
            <w:r w:rsidR="00CE45E2" w:rsidRPr="00B06DD1">
              <w:rPr>
                <w:rFonts w:eastAsia="Times New Roman"/>
                <w:i/>
                <w:iCs/>
                <w:sz w:val="18"/>
                <w:szCs w:val="18"/>
                <w:lang w:val="fr-FR"/>
              </w:rPr>
              <w:t>spéciale</w:t>
            </w:r>
            <w:r w:rsidRPr="00B06DD1">
              <w:rPr>
                <w:rFonts w:eastAsia="Times New Roman"/>
                <w:sz w:val="18"/>
                <w:szCs w:val="18"/>
                <w:lang w:val="fr-FR"/>
              </w:rPr>
              <w:t xml:space="preserve"> </w:t>
            </w:r>
          </w:p>
        </w:tc>
        <w:tc>
          <w:tcPr>
            <w:tcW w:w="1984" w:type="dxa"/>
            <w:vMerge w:val="restart"/>
            <w:tcBorders>
              <w:top w:val="single" w:sz="4" w:space="0" w:color="auto"/>
              <w:bottom w:val="single" w:sz="4" w:space="0" w:color="000000" w:themeColor="text1"/>
            </w:tcBorders>
            <w:vAlign w:val="bottom"/>
            <w:hideMark/>
          </w:tcPr>
          <w:p w14:paraId="27DEE3CD" w14:textId="7B5DD0C8"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i/>
                <w:iCs/>
                <w:sz w:val="18"/>
                <w:szCs w:val="18"/>
                <w:lang w:val="fr-FR"/>
              </w:rPr>
              <w:t>Budget approuvé pour 2025</w:t>
            </w:r>
            <w:r w:rsidRPr="00B06DD1">
              <w:rPr>
                <w:rFonts w:eastAsia="Times New Roman"/>
                <w:sz w:val="18"/>
                <w:szCs w:val="18"/>
                <w:lang w:val="fr-FR"/>
              </w:rPr>
              <w:t xml:space="preserve"> </w:t>
            </w:r>
          </w:p>
        </w:tc>
        <w:tc>
          <w:tcPr>
            <w:tcW w:w="1649" w:type="dxa"/>
            <w:vMerge w:val="restart"/>
            <w:tcBorders>
              <w:top w:val="single" w:sz="4" w:space="0" w:color="auto"/>
              <w:bottom w:val="single" w:sz="4" w:space="0" w:color="000000" w:themeColor="text1"/>
            </w:tcBorders>
            <w:vAlign w:val="bottom"/>
            <w:hideMark/>
          </w:tcPr>
          <w:p w14:paraId="2CD5FEF9" w14:textId="293138EA"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i/>
                <w:iCs/>
                <w:sz w:val="18"/>
                <w:szCs w:val="18"/>
                <w:lang w:val="fr-FR"/>
              </w:rPr>
              <w:t>Budget approuvé pour 2026</w:t>
            </w:r>
            <w:r w:rsidRPr="00B06DD1">
              <w:rPr>
                <w:rFonts w:eastAsia="Times New Roman"/>
                <w:sz w:val="18"/>
                <w:szCs w:val="18"/>
                <w:lang w:val="fr-FR"/>
              </w:rPr>
              <w:t xml:space="preserve"> </w:t>
            </w:r>
          </w:p>
        </w:tc>
        <w:tc>
          <w:tcPr>
            <w:tcW w:w="1332" w:type="dxa"/>
            <w:vMerge w:val="restart"/>
            <w:tcBorders>
              <w:top w:val="single" w:sz="4" w:space="0" w:color="auto"/>
              <w:bottom w:val="single" w:sz="4" w:space="0" w:color="000000" w:themeColor="text1"/>
            </w:tcBorders>
            <w:vAlign w:val="bottom"/>
            <w:hideMark/>
          </w:tcPr>
          <w:p w14:paraId="28A36595" w14:textId="5735EB1A"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i/>
                <w:iCs/>
                <w:sz w:val="18"/>
                <w:szCs w:val="18"/>
                <w:lang w:val="fr-FR"/>
              </w:rPr>
              <w:t>Total du budget approuvé pour l'exercice biennal 2025-2026</w:t>
            </w:r>
            <w:r w:rsidRPr="00B06DD1">
              <w:rPr>
                <w:rFonts w:eastAsia="Times New Roman"/>
                <w:i/>
                <w:iCs/>
                <w:sz w:val="18"/>
                <w:szCs w:val="18"/>
                <w:lang w:val="fr-FR"/>
              </w:rPr>
              <w:br/>
            </w:r>
            <w:r w:rsidRPr="00B06DD1">
              <w:rPr>
                <w:rFonts w:eastAsia="Times New Roman"/>
                <w:sz w:val="18"/>
                <w:szCs w:val="18"/>
                <w:lang w:val="fr-FR"/>
              </w:rPr>
              <w:t xml:space="preserve"> </w:t>
            </w:r>
          </w:p>
        </w:tc>
      </w:tr>
      <w:tr w:rsidR="003F6EC1" w:rsidRPr="000518BB" w14:paraId="46B5DD20" w14:textId="77777777" w:rsidTr="00205A53">
        <w:trPr>
          <w:trHeight w:val="270"/>
        </w:trPr>
        <w:tc>
          <w:tcPr>
            <w:tcW w:w="3765" w:type="dxa"/>
            <w:vMerge/>
            <w:vAlign w:val="center"/>
            <w:hideMark/>
          </w:tcPr>
          <w:p w14:paraId="136EAE2F" w14:textId="77777777" w:rsidR="003F6EC1" w:rsidRPr="00B06DD1" w:rsidRDefault="003F6EC1" w:rsidP="003F6EC1">
            <w:pPr>
              <w:tabs>
                <w:tab w:val="clear" w:pos="567"/>
                <w:tab w:val="clear" w:pos="1134"/>
                <w:tab w:val="clear" w:pos="1701"/>
                <w:tab w:val="clear" w:pos="2268"/>
              </w:tabs>
              <w:jc w:val="left"/>
              <w:rPr>
                <w:rFonts w:eastAsia="Times New Roman"/>
                <w:sz w:val="24"/>
                <w:szCs w:val="24"/>
                <w:lang w:val="fr-FR"/>
              </w:rPr>
            </w:pPr>
          </w:p>
        </w:tc>
        <w:tc>
          <w:tcPr>
            <w:tcW w:w="1984" w:type="dxa"/>
            <w:vMerge/>
            <w:vAlign w:val="center"/>
            <w:hideMark/>
          </w:tcPr>
          <w:p w14:paraId="181D0017" w14:textId="77777777" w:rsidR="003F6EC1" w:rsidRPr="00B06DD1" w:rsidRDefault="003F6EC1" w:rsidP="003F6EC1">
            <w:pPr>
              <w:tabs>
                <w:tab w:val="clear" w:pos="567"/>
                <w:tab w:val="clear" w:pos="1134"/>
                <w:tab w:val="clear" w:pos="1701"/>
                <w:tab w:val="clear" w:pos="2268"/>
              </w:tabs>
              <w:jc w:val="left"/>
              <w:rPr>
                <w:rFonts w:eastAsia="Times New Roman"/>
                <w:sz w:val="24"/>
                <w:szCs w:val="24"/>
                <w:lang w:val="fr-FR"/>
              </w:rPr>
            </w:pPr>
          </w:p>
        </w:tc>
        <w:tc>
          <w:tcPr>
            <w:tcW w:w="1649" w:type="dxa"/>
            <w:vMerge/>
            <w:vAlign w:val="center"/>
            <w:hideMark/>
          </w:tcPr>
          <w:p w14:paraId="2B9942FB" w14:textId="77777777" w:rsidR="003F6EC1" w:rsidRPr="00B06DD1" w:rsidRDefault="003F6EC1" w:rsidP="003F6EC1">
            <w:pPr>
              <w:tabs>
                <w:tab w:val="clear" w:pos="567"/>
                <w:tab w:val="clear" w:pos="1134"/>
                <w:tab w:val="clear" w:pos="1701"/>
                <w:tab w:val="clear" w:pos="2268"/>
              </w:tabs>
              <w:jc w:val="left"/>
              <w:rPr>
                <w:rFonts w:eastAsia="Times New Roman"/>
                <w:sz w:val="24"/>
                <w:szCs w:val="24"/>
                <w:lang w:val="fr-FR"/>
              </w:rPr>
            </w:pPr>
          </w:p>
        </w:tc>
        <w:tc>
          <w:tcPr>
            <w:tcW w:w="1332" w:type="dxa"/>
            <w:vMerge/>
            <w:vAlign w:val="center"/>
            <w:hideMark/>
          </w:tcPr>
          <w:p w14:paraId="31AB5BBF" w14:textId="77777777" w:rsidR="003F6EC1" w:rsidRPr="00B06DD1" w:rsidRDefault="003F6EC1" w:rsidP="003F6EC1">
            <w:pPr>
              <w:tabs>
                <w:tab w:val="clear" w:pos="567"/>
                <w:tab w:val="clear" w:pos="1134"/>
                <w:tab w:val="clear" w:pos="1701"/>
                <w:tab w:val="clear" w:pos="2268"/>
              </w:tabs>
              <w:jc w:val="left"/>
              <w:rPr>
                <w:rFonts w:eastAsia="Times New Roman"/>
                <w:sz w:val="24"/>
                <w:szCs w:val="24"/>
                <w:lang w:val="fr-FR"/>
              </w:rPr>
            </w:pPr>
          </w:p>
        </w:tc>
      </w:tr>
      <w:tr w:rsidR="2080ABF3" w:rsidRPr="00B06DD1" w14:paraId="6E66F2CD" w14:textId="77777777" w:rsidTr="00205A53">
        <w:trPr>
          <w:trHeight w:val="270"/>
        </w:trPr>
        <w:tc>
          <w:tcPr>
            <w:tcW w:w="3765"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65691969" w14:textId="7C2EA2A1" w:rsidR="2080ABF3" w:rsidRPr="00B06DD1" w:rsidRDefault="2080ABF3" w:rsidP="2080ABF3">
            <w:pPr>
              <w:ind w:left="32"/>
              <w:jc w:val="left"/>
              <w:rPr>
                <w:lang w:val="fr-FR"/>
              </w:rPr>
            </w:pPr>
            <w:r w:rsidRPr="00B06DD1">
              <w:rPr>
                <w:rFonts w:eastAsia="Times New Roman"/>
                <w:sz w:val="18"/>
                <w:szCs w:val="18"/>
                <w:lang w:val="fr-FR"/>
              </w:rPr>
              <w:t xml:space="preserve">Fonds d'affectation spéciale </w:t>
            </w:r>
            <w:r w:rsidR="00E23625" w:rsidRPr="00B06DD1">
              <w:rPr>
                <w:rFonts w:eastAsia="Times New Roman"/>
                <w:sz w:val="18"/>
                <w:szCs w:val="18"/>
                <w:lang w:val="fr-FR"/>
              </w:rPr>
              <w:t>de la</w:t>
            </w:r>
            <w:r w:rsidRPr="00B06DD1">
              <w:rPr>
                <w:rFonts w:eastAsia="Times New Roman"/>
                <w:sz w:val="18"/>
                <w:szCs w:val="18"/>
                <w:lang w:val="fr-FR"/>
              </w:rPr>
              <w:t xml:space="preserve"> Convention</w:t>
            </w:r>
          </w:p>
        </w:tc>
        <w:tc>
          <w:tcPr>
            <w:tcW w:w="1984"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3275906B" w14:textId="25357FFD" w:rsidR="2080ABF3" w:rsidRPr="00B06DD1" w:rsidRDefault="2080ABF3" w:rsidP="2080ABF3">
            <w:pPr>
              <w:ind w:left="32"/>
              <w:jc w:val="right"/>
              <w:rPr>
                <w:lang w:val="fr-FR"/>
              </w:rPr>
            </w:pPr>
            <w:r w:rsidRPr="00B06DD1">
              <w:rPr>
                <w:rFonts w:eastAsia="Times New Roman"/>
                <w:sz w:val="18"/>
                <w:szCs w:val="18"/>
                <w:lang w:val="fr-FR"/>
              </w:rPr>
              <w:t>15</w:t>
            </w:r>
            <w:r w:rsidR="00D02627" w:rsidRPr="00B06DD1">
              <w:rPr>
                <w:rFonts w:eastAsia="Times New Roman"/>
                <w:sz w:val="18"/>
                <w:szCs w:val="18"/>
                <w:lang w:val="fr-FR"/>
              </w:rPr>
              <w:t xml:space="preserve"> </w:t>
            </w:r>
            <w:r w:rsidRPr="00B06DD1">
              <w:rPr>
                <w:rFonts w:eastAsia="Times New Roman"/>
                <w:sz w:val="18"/>
                <w:szCs w:val="18"/>
                <w:lang w:val="fr-FR"/>
              </w:rPr>
              <w:t>611</w:t>
            </w:r>
            <w:r w:rsidR="00ED3F9B">
              <w:rPr>
                <w:rFonts w:eastAsia="Times New Roman"/>
                <w:sz w:val="18"/>
                <w:szCs w:val="18"/>
                <w:lang w:val="fr-FR"/>
              </w:rPr>
              <w:t>,</w:t>
            </w:r>
            <w:r w:rsidRPr="00B06DD1">
              <w:rPr>
                <w:rFonts w:eastAsia="Times New Roman"/>
                <w:sz w:val="18"/>
                <w:szCs w:val="18"/>
                <w:lang w:val="fr-FR"/>
              </w:rPr>
              <w:t>1</w:t>
            </w:r>
          </w:p>
        </w:tc>
        <w:tc>
          <w:tcPr>
            <w:tcW w:w="1649"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6AAA8D7" w14:textId="2F13FD6E" w:rsidR="2080ABF3" w:rsidRPr="00B06DD1" w:rsidRDefault="2080ABF3" w:rsidP="2080ABF3">
            <w:pPr>
              <w:ind w:left="32"/>
              <w:jc w:val="right"/>
              <w:rPr>
                <w:lang w:val="fr-FR"/>
              </w:rPr>
            </w:pPr>
            <w:r w:rsidRPr="00B06DD1">
              <w:rPr>
                <w:rFonts w:eastAsia="Times New Roman"/>
                <w:sz w:val="18"/>
                <w:szCs w:val="18"/>
                <w:lang w:val="fr-FR"/>
              </w:rPr>
              <w:t>16</w:t>
            </w:r>
            <w:r w:rsidR="00D02627" w:rsidRPr="00B06DD1">
              <w:rPr>
                <w:rFonts w:eastAsia="Times New Roman"/>
                <w:sz w:val="18"/>
                <w:szCs w:val="18"/>
                <w:lang w:val="fr-FR"/>
              </w:rPr>
              <w:t xml:space="preserve"> </w:t>
            </w:r>
            <w:r w:rsidRPr="00B06DD1">
              <w:rPr>
                <w:rFonts w:eastAsia="Times New Roman"/>
                <w:sz w:val="18"/>
                <w:szCs w:val="18"/>
                <w:lang w:val="fr-FR"/>
              </w:rPr>
              <w:t>382</w:t>
            </w:r>
            <w:r w:rsidR="00451632">
              <w:rPr>
                <w:rFonts w:eastAsia="Times New Roman"/>
                <w:sz w:val="18"/>
                <w:szCs w:val="18"/>
                <w:lang w:val="fr-FR"/>
              </w:rPr>
              <w:t>,</w:t>
            </w:r>
            <w:r w:rsidRPr="00B06DD1">
              <w:rPr>
                <w:rFonts w:eastAsia="Times New Roman"/>
                <w:sz w:val="18"/>
                <w:szCs w:val="18"/>
                <w:lang w:val="fr-FR"/>
              </w:rPr>
              <w:t>4</w:t>
            </w:r>
          </w:p>
        </w:tc>
        <w:tc>
          <w:tcPr>
            <w:tcW w:w="1332"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E377C58" w14:textId="0E7AD6D0" w:rsidR="2080ABF3" w:rsidRPr="00B06DD1" w:rsidRDefault="2080ABF3" w:rsidP="2080ABF3">
            <w:pPr>
              <w:ind w:left="32"/>
              <w:jc w:val="right"/>
              <w:rPr>
                <w:lang w:val="fr-FR"/>
              </w:rPr>
            </w:pPr>
            <w:r w:rsidRPr="00B06DD1">
              <w:rPr>
                <w:rFonts w:eastAsia="Times New Roman"/>
                <w:sz w:val="18"/>
                <w:szCs w:val="18"/>
                <w:lang w:val="fr-FR"/>
              </w:rPr>
              <w:t>31</w:t>
            </w:r>
            <w:r w:rsidR="00D02627" w:rsidRPr="00B06DD1">
              <w:rPr>
                <w:rFonts w:eastAsia="Times New Roman"/>
                <w:sz w:val="18"/>
                <w:szCs w:val="18"/>
                <w:lang w:val="fr-FR"/>
              </w:rPr>
              <w:t xml:space="preserve"> </w:t>
            </w:r>
            <w:r w:rsidRPr="00B06DD1">
              <w:rPr>
                <w:rFonts w:eastAsia="Times New Roman"/>
                <w:sz w:val="18"/>
                <w:szCs w:val="18"/>
                <w:lang w:val="fr-FR"/>
              </w:rPr>
              <w:t>993</w:t>
            </w:r>
            <w:r w:rsidR="00451632">
              <w:rPr>
                <w:rFonts w:eastAsia="Times New Roman"/>
                <w:sz w:val="18"/>
                <w:szCs w:val="18"/>
                <w:lang w:val="fr-FR"/>
              </w:rPr>
              <w:t>,</w:t>
            </w:r>
            <w:r w:rsidRPr="00B06DD1">
              <w:rPr>
                <w:rFonts w:eastAsia="Times New Roman"/>
                <w:sz w:val="18"/>
                <w:szCs w:val="18"/>
                <w:lang w:val="fr-FR"/>
              </w:rPr>
              <w:t>5</w:t>
            </w:r>
          </w:p>
        </w:tc>
      </w:tr>
      <w:tr w:rsidR="003F6EC1" w:rsidRPr="00B06DD1" w14:paraId="4DCE20D0" w14:textId="77777777" w:rsidTr="00205A53">
        <w:trPr>
          <w:trHeight w:val="270"/>
        </w:trPr>
        <w:tc>
          <w:tcPr>
            <w:tcW w:w="3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9F0E248" w14:textId="460A064F" w:rsidR="003F6EC1" w:rsidRPr="00B06DD1" w:rsidRDefault="003F6EC1" w:rsidP="003F6EC1">
            <w:pPr>
              <w:tabs>
                <w:tab w:val="clear" w:pos="567"/>
                <w:tab w:val="clear" w:pos="1134"/>
                <w:tab w:val="clear" w:pos="1701"/>
                <w:tab w:val="clear" w:pos="2268"/>
              </w:tabs>
              <w:ind w:left="30"/>
              <w:jc w:val="left"/>
              <w:textAlignment w:val="baseline"/>
              <w:rPr>
                <w:rFonts w:eastAsia="Times New Roman"/>
                <w:sz w:val="24"/>
                <w:szCs w:val="24"/>
                <w:lang w:val="fr-FR"/>
              </w:rPr>
            </w:pPr>
            <w:r w:rsidRPr="00B06DD1">
              <w:rPr>
                <w:rFonts w:eastAsia="Times New Roman"/>
                <w:sz w:val="18"/>
                <w:szCs w:val="18"/>
                <w:lang w:val="fr-FR"/>
              </w:rPr>
              <w:t>Fonds d'affectation spéciale pour le budget d</w:t>
            </w:r>
            <w:r w:rsidR="00E764A8" w:rsidRPr="00B06DD1">
              <w:rPr>
                <w:rFonts w:eastAsia="Times New Roman"/>
                <w:sz w:val="18"/>
                <w:szCs w:val="18"/>
                <w:lang w:val="fr-FR"/>
              </w:rPr>
              <w:t>e</w:t>
            </w:r>
            <w:r w:rsidRPr="00B06DD1">
              <w:rPr>
                <w:rFonts w:eastAsia="Times New Roman"/>
                <w:sz w:val="18"/>
                <w:szCs w:val="18"/>
                <w:lang w:val="fr-FR"/>
              </w:rPr>
              <w:t xml:space="preserve"> programme de base </w:t>
            </w:r>
            <w:r w:rsidR="00E764A8" w:rsidRPr="00B06DD1">
              <w:rPr>
                <w:rFonts w:eastAsia="Times New Roman"/>
                <w:sz w:val="18"/>
                <w:szCs w:val="18"/>
                <w:lang w:val="fr-FR"/>
              </w:rPr>
              <w:t>pour le</w:t>
            </w:r>
            <w:r w:rsidRPr="00B06DD1">
              <w:rPr>
                <w:rFonts w:eastAsia="Times New Roman"/>
                <w:sz w:val="18"/>
                <w:szCs w:val="18"/>
                <w:lang w:val="fr-FR"/>
              </w:rPr>
              <w:t xml:space="preserve"> Protocole de Cartagena </w:t>
            </w:r>
          </w:p>
        </w:tc>
        <w:tc>
          <w:tcPr>
            <w:tcW w:w="1984"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3925B168" w14:textId="3007BA47"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sz w:val="18"/>
                <w:szCs w:val="18"/>
                <w:lang w:val="fr-FR"/>
              </w:rPr>
              <w:t>3</w:t>
            </w:r>
            <w:r w:rsidR="00D02627" w:rsidRPr="00B06DD1">
              <w:rPr>
                <w:rFonts w:eastAsia="Times New Roman"/>
                <w:sz w:val="18"/>
                <w:szCs w:val="18"/>
                <w:lang w:val="fr-FR"/>
              </w:rPr>
              <w:t xml:space="preserve"> </w:t>
            </w:r>
            <w:r w:rsidRPr="00B06DD1">
              <w:rPr>
                <w:rFonts w:eastAsia="Times New Roman"/>
                <w:sz w:val="18"/>
                <w:szCs w:val="18"/>
                <w:lang w:val="fr-FR"/>
              </w:rPr>
              <w:t>252</w:t>
            </w:r>
            <w:r w:rsidR="003A4B53">
              <w:rPr>
                <w:rFonts w:eastAsia="Times New Roman"/>
                <w:sz w:val="18"/>
                <w:szCs w:val="18"/>
                <w:lang w:val="fr-FR"/>
              </w:rPr>
              <w:t>,</w:t>
            </w:r>
            <w:r w:rsidRPr="00B06DD1">
              <w:rPr>
                <w:rFonts w:eastAsia="Times New Roman"/>
                <w:sz w:val="18"/>
                <w:szCs w:val="18"/>
                <w:lang w:val="fr-FR"/>
              </w:rPr>
              <w:t>3</w:t>
            </w:r>
          </w:p>
        </w:tc>
        <w:tc>
          <w:tcPr>
            <w:tcW w:w="1649"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7613C708" w14:textId="0B6E7B0C"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sz w:val="18"/>
                <w:szCs w:val="18"/>
                <w:lang w:val="fr-FR"/>
              </w:rPr>
              <w:t>3</w:t>
            </w:r>
            <w:r w:rsidR="00D42CE0" w:rsidRPr="00B06DD1">
              <w:rPr>
                <w:rFonts w:eastAsia="Times New Roman"/>
                <w:sz w:val="18"/>
                <w:szCs w:val="18"/>
                <w:lang w:val="fr-FR"/>
              </w:rPr>
              <w:t xml:space="preserve"> </w:t>
            </w:r>
            <w:r w:rsidRPr="00B06DD1">
              <w:rPr>
                <w:rFonts w:eastAsia="Times New Roman"/>
                <w:sz w:val="18"/>
                <w:szCs w:val="18"/>
                <w:lang w:val="fr-FR"/>
              </w:rPr>
              <w:t>413</w:t>
            </w:r>
            <w:r w:rsidR="00451632">
              <w:rPr>
                <w:rFonts w:eastAsia="Times New Roman"/>
                <w:sz w:val="18"/>
                <w:szCs w:val="18"/>
                <w:lang w:val="fr-FR"/>
              </w:rPr>
              <w:t>,</w:t>
            </w:r>
            <w:r w:rsidRPr="00B06DD1">
              <w:rPr>
                <w:rFonts w:eastAsia="Times New Roman"/>
                <w:sz w:val="18"/>
                <w:szCs w:val="18"/>
                <w:lang w:val="fr-FR"/>
              </w:rPr>
              <w:t>1</w:t>
            </w:r>
          </w:p>
        </w:tc>
        <w:tc>
          <w:tcPr>
            <w:tcW w:w="1332"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6FC77F74" w14:textId="32894945"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sz w:val="18"/>
                <w:szCs w:val="18"/>
                <w:lang w:val="fr-FR"/>
              </w:rPr>
              <w:t>6</w:t>
            </w:r>
            <w:r w:rsidR="00D42CE0" w:rsidRPr="00B06DD1">
              <w:rPr>
                <w:rFonts w:eastAsia="Times New Roman"/>
                <w:sz w:val="18"/>
                <w:szCs w:val="18"/>
                <w:lang w:val="fr-FR"/>
              </w:rPr>
              <w:t xml:space="preserve"> </w:t>
            </w:r>
            <w:r w:rsidRPr="00B06DD1">
              <w:rPr>
                <w:rFonts w:eastAsia="Times New Roman"/>
                <w:sz w:val="18"/>
                <w:szCs w:val="18"/>
                <w:lang w:val="fr-FR"/>
              </w:rPr>
              <w:t>665</w:t>
            </w:r>
            <w:r w:rsidR="00451632">
              <w:rPr>
                <w:rFonts w:eastAsia="Times New Roman"/>
                <w:sz w:val="18"/>
                <w:szCs w:val="18"/>
                <w:lang w:val="fr-FR"/>
              </w:rPr>
              <w:t>,</w:t>
            </w:r>
            <w:r w:rsidRPr="00B06DD1">
              <w:rPr>
                <w:rFonts w:eastAsia="Times New Roman"/>
                <w:sz w:val="18"/>
                <w:szCs w:val="18"/>
                <w:lang w:val="fr-FR"/>
              </w:rPr>
              <w:t>4</w:t>
            </w:r>
          </w:p>
        </w:tc>
      </w:tr>
      <w:tr w:rsidR="003F6EC1" w:rsidRPr="00B06DD1" w14:paraId="300EAA8F" w14:textId="77777777" w:rsidTr="00205A53">
        <w:trPr>
          <w:trHeight w:val="270"/>
        </w:trPr>
        <w:tc>
          <w:tcPr>
            <w:tcW w:w="3765" w:type="dxa"/>
            <w:tcBorders>
              <w:top w:val="none" w:sz="4" w:space="0" w:color="000000" w:themeColor="text1"/>
              <w:bottom w:val="single" w:sz="4" w:space="0" w:color="auto"/>
            </w:tcBorders>
            <w:vAlign w:val="bottom"/>
            <w:hideMark/>
          </w:tcPr>
          <w:p w14:paraId="77CDB609" w14:textId="0E9107B6" w:rsidR="003F6EC1" w:rsidRPr="00B06DD1" w:rsidRDefault="003F6EC1" w:rsidP="003F6EC1">
            <w:pPr>
              <w:tabs>
                <w:tab w:val="clear" w:pos="567"/>
                <w:tab w:val="clear" w:pos="1134"/>
                <w:tab w:val="clear" w:pos="1701"/>
                <w:tab w:val="clear" w:pos="2268"/>
              </w:tabs>
              <w:ind w:left="30"/>
              <w:jc w:val="left"/>
              <w:textAlignment w:val="baseline"/>
              <w:rPr>
                <w:rFonts w:eastAsia="Times New Roman"/>
                <w:sz w:val="24"/>
                <w:szCs w:val="24"/>
                <w:lang w:val="fr-FR"/>
              </w:rPr>
            </w:pPr>
            <w:r w:rsidRPr="00B06DD1">
              <w:rPr>
                <w:rFonts w:eastAsia="Times New Roman"/>
                <w:sz w:val="18"/>
                <w:szCs w:val="18"/>
                <w:lang w:val="fr-FR"/>
              </w:rPr>
              <w:t>Fonds d'affectation spéciale pour le budget d</w:t>
            </w:r>
            <w:r w:rsidR="004E26D0" w:rsidRPr="00B06DD1">
              <w:rPr>
                <w:rFonts w:eastAsia="Times New Roman"/>
                <w:sz w:val="18"/>
                <w:szCs w:val="18"/>
                <w:lang w:val="fr-FR"/>
              </w:rPr>
              <w:t>e</w:t>
            </w:r>
            <w:r w:rsidRPr="00B06DD1">
              <w:rPr>
                <w:rFonts w:eastAsia="Times New Roman"/>
                <w:sz w:val="18"/>
                <w:szCs w:val="18"/>
                <w:lang w:val="fr-FR"/>
              </w:rPr>
              <w:t xml:space="preserve"> programme de base </w:t>
            </w:r>
            <w:r w:rsidR="00E20073" w:rsidRPr="00B06DD1">
              <w:rPr>
                <w:rFonts w:eastAsia="Times New Roman"/>
                <w:sz w:val="18"/>
                <w:szCs w:val="18"/>
                <w:lang w:val="fr-FR"/>
              </w:rPr>
              <w:t>pour le</w:t>
            </w:r>
            <w:r w:rsidRPr="00B06DD1">
              <w:rPr>
                <w:rFonts w:eastAsia="Times New Roman"/>
                <w:sz w:val="18"/>
                <w:szCs w:val="18"/>
                <w:lang w:val="fr-FR"/>
              </w:rPr>
              <w:t xml:space="preserve"> Protocole de Nagoya </w:t>
            </w:r>
          </w:p>
        </w:tc>
        <w:tc>
          <w:tcPr>
            <w:tcW w:w="1984" w:type="dxa"/>
            <w:tcBorders>
              <w:top w:val="none" w:sz="4" w:space="0" w:color="000000" w:themeColor="text1"/>
              <w:bottom w:val="single" w:sz="4" w:space="0" w:color="auto"/>
            </w:tcBorders>
            <w:vAlign w:val="bottom"/>
            <w:hideMark/>
          </w:tcPr>
          <w:p w14:paraId="29CD63C4" w14:textId="5DA22239"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sz w:val="18"/>
                <w:szCs w:val="18"/>
                <w:lang w:val="fr-FR"/>
              </w:rPr>
              <w:t>2</w:t>
            </w:r>
            <w:r w:rsidR="00D42CE0" w:rsidRPr="00B06DD1">
              <w:rPr>
                <w:rFonts w:eastAsia="Times New Roman"/>
                <w:sz w:val="18"/>
                <w:szCs w:val="18"/>
                <w:lang w:val="fr-FR"/>
              </w:rPr>
              <w:t xml:space="preserve"> </w:t>
            </w:r>
            <w:r w:rsidRPr="00B06DD1">
              <w:rPr>
                <w:rFonts w:eastAsia="Times New Roman"/>
                <w:sz w:val="18"/>
                <w:szCs w:val="18"/>
                <w:lang w:val="fr-FR"/>
              </w:rPr>
              <w:t>818</w:t>
            </w:r>
            <w:r w:rsidR="0095632A">
              <w:rPr>
                <w:rFonts w:eastAsia="Times New Roman"/>
                <w:sz w:val="18"/>
                <w:szCs w:val="18"/>
                <w:lang w:val="fr-FR"/>
              </w:rPr>
              <w:t>,</w:t>
            </w:r>
            <w:r w:rsidRPr="00B06DD1">
              <w:rPr>
                <w:rFonts w:eastAsia="Times New Roman"/>
                <w:sz w:val="18"/>
                <w:szCs w:val="18"/>
                <w:lang w:val="fr-FR"/>
              </w:rPr>
              <w:t>7</w:t>
            </w:r>
          </w:p>
        </w:tc>
        <w:tc>
          <w:tcPr>
            <w:tcW w:w="1649" w:type="dxa"/>
            <w:tcBorders>
              <w:top w:val="none" w:sz="4" w:space="0" w:color="000000" w:themeColor="text1"/>
              <w:bottom w:val="single" w:sz="4" w:space="0" w:color="auto"/>
            </w:tcBorders>
            <w:vAlign w:val="bottom"/>
            <w:hideMark/>
          </w:tcPr>
          <w:p w14:paraId="477930A4" w14:textId="360B3DA0"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sz w:val="18"/>
                <w:szCs w:val="18"/>
                <w:lang w:val="fr-FR"/>
              </w:rPr>
              <w:t>2</w:t>
            </w:r>
            <w:r w:rsidR="00D42CE0" w:rsidRPr="00B06DD1">
              <w:rPr>
                <w:rFonts w:eastAsia="Times New Roman"/>
                <w:sz w:val="18"/>
                <w:szCs w:val="18"/>
                <w:lang w:val="fr-FR"/>
              </w:rPr>
              <w:t xml:space="preserve"> </w:t>
            </w:r>
            <w:r w:rsidRPr="00B06DD1">
              <w:rPr>
                <w:rFonts w:eastAsia="Times New Roman"/>
                <w:sz w:val="18"/>
                <w:szCs w:val="18"/>
                <w:lang w:val="fr-FR"/>
              </w:rPr>
              <w:t>957</w:t>
            </w:r>
            <w:r w:rsidR="00451632">
              <w:rPr>
                <w:rFonts w:eastAsia="Times New Roman"/>
                <w:sz w:val="18"/>
                <w:szCs w:val="18"/>
                <w:lang w:val="fr-FR"/>
              </w:rPr>
              <w:t>,</w:t>
            </w:r>
            <w:r w:rsidRPr="00B06DD1">
              <w:rPr>
                <w:rFonts w:eastAsia="Times New Roman"/>
                <w:sz w:val="18"/>
                <w:szCs w:val="18"/>
                <w:lang w:val="fr-FR"/>
              </w:rPr>
              <w:t>9</w:t>
            </w:r>
          </w:p>
        </w:tc>
        <w:tc>
          <w:tcPr>
            <w:tcW w:w="1332" w:type="dxa"/>
            <w:tcBorders>
              <w:top w:val="none" w:sz="4" w:space="0" w:color="000000" w:themeColor="text1"/>
              <w:bottom w:val="single" w:sz="4" w:space="0" w:color="auto"/>
            </w:tcBorders>
            <w:vAlign w:val="bottom"/>
            <w:hideMark/>
          </w:tcPr>
          <w:p w14:paraId="0F4BE6A3" w14:textId="3F74B021"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sz w:val="18"/>
                <w:szCs w:val="18"/>
                <w:lang w:val="fr-FR"/>
              </w:rPr>
              <w:t>5</w:t>
            </w:r>
            <w:r w:rsidR="00D42CE0" w:rsidRPr="00B06DD1">
              <w:rPr>
                <w:rFonts w:eastAsia="Times New Roman"/>
                <w:sz w:val="18"/>
                <w:szCs w:val="18"/>
                <w:lang w:val="fr-FR"/>
              </w:rPr>
              <w:t xml:space="preserve"> </w:t>
            </w:r>
            <w:r w:rsidRPr="00B06DD1">
              <w:rPr>
                <w:rFonts w:eastAsia="Times New Roman"/>
                <w:sz w:val="18"/>
                <w:szCs w:val="18"/>
                <w:lang w:val="fr-FR"/>
              </w:rPr>
              <w:t>776</w:t>
            </w:r>
            <w:r w:rsidR="0095632A">
              <w:rPr>
                <w:rFonts w:eastAsia="Times New Roman"/>
                <w:sz w:val="18"/>
                <w:szCs w:val="18"/>
                <w:lang w:val="fr-FR"/>
              </w:rPr>
              <w:t>,</w:t>
            </w:r>
            <w:r w:rsidRPr="00B06DD1">
              <w:rPr>
                <w:rFonts w:eastAsia="Times New Roman"/>
                <w:sz w:val="18"/>
                <w:szCs w:val="18"/>
                <w:lang w:val="fr-FR"/>
              </w:rPr>
              <w:t>6</w:t>
            </w:r>
          </w:p>
        </w:tc>
      </w:tr>
      <w:tr w:rsidR="003F6EC1" w:rsidRPr="00B06DD1" w14:paraId="29D27BF4" w14:textId="77777777" w:rsidTr="00205A53">
        <w:trPr>
          <w:trHeight w:val="270"/>
        </w:trPr>
        <w:tc>
          <w:tcPr>
            <w:tcW w:w="3765" w:type="dxa"/>
            <w:tcBorders>
              <w:top w:val="single" w:sz="4" w:space="0" w:color="auto"/>
              <w:bottom w:val="single" w:sz="4" w:space="0" w:color="auto"/>
            </w:tcBorders>
            <w:vAlign w:val="bottom"/>
            <w:hideMark/>
          </w:tcPr>
          <w:p w14:paraId="3DB1F628" w14:textId="55969BD7" w:rsidR="003F6EC1" w:rsidRPr="00B06DD1" w:rsidRDefault="003F6EC1" w:rsidP="003F6EC1">
            <w:pPr>
              <w:tabs>
                <w:tab w:val="clear" w:pos="567"/>
                <w:tab w:val="clear" w:pos="1134"/>
                <w:tab w:val="clear" w:pos="1701"/>
                <w:tab w:val="clear" w:pos="2268"/>
              </w:tabs>
              <w:ind w:left="30" w:firstLine="555"/>
              <w:jc w:val="left"/>
              <w:textAlignment w:val="baseline"/>
              <w:rPr>
                <w:rFonts w:eastAsia="Times New Roman"/>
                <w:sz w:val="24"/>
                <w:szCs w:val="24"/>
                <w:lang w:val="fr-FR"/>
              </w:rPr>
            </w:pPr>
            <w:r w:rsidRPr="00B06DD1">
              <w:rPr>
                <w:rFonts w:eastAsia="Times New Roman"/>
                <w:b/>
                <w:bCs/>
                <w:sz w:val="18"/>
                <w:szCs w:val="18"/>
                <w:lang w:val="fr-FR"/>
              </w:rPr>
              <w:t>Total</w:t>
            </w:r>
            <w:r w:rsidRPr="00B06DD1">
              <w:rPr>
                <w:rFonts w:eastAsia="Times New Roman"/>
                <w:sz w:val="18"/>
                <w:szCs w:val="18"/>
                <w:lang w:val="fr-FR"/>
              </w:rPr>
              <w:t xml:space="preserve"> </w:t>
            </w:r>
          </w:p>
        </w:tc>
        <w:tc>
          <w:tcPr>
            <w:tcW w:w="1984" w:type="dxa"/>
            <w:tcBorders>
              <w:top w:val="single" w:sz="4" w:space="0" w:color="auto"/>
              <w:bottom w:val="single" w:sz="4" w:space="0" w:color="auto"/>
            </w:tcBorders>
            <w:vAlign w:val="bottom"/>
            <w:hideMark/>
          </w:tcPr>
          <w:p w14:paraId="6F3D3DEF" w14:textId="32013EF7"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b/>
                <w:bCs/>
                <w:sz w:val="18"/>
                <w:szCs w:val="18"/>
                <w:lang w:val="fr-FR"/>
              </w:rPr>
              <w:t>21</w:t>
            </w:r>
            <w:r w:rsidR="00D42CE0" w:rsidRPr="00B06DD1">
              <w:rPr>
                <w:rFonts w:eastAsia="Times New Roman"/>
                <w:b/>
                <w:bCs/>
                <w:sz w:val="18"/>
                <w:szCs w:val="18"/>
                <w:lang w:val="fr-FR"/>
              </w:rPr>
              <w:t xml:space="preserve"> </w:t>
            </w:r>
            <w:r w:rsidRPr="00B06DD1">
              <w:rPr>
                <w:rFonts w:eastAsia="Times New Roman"/>
                <w:b/>
                <w:bCs/>
                <w:sz w:val="18"/>
                <w:szCs w:val="18"/>
                <w:lang w:val="fr-FR"/>
              </w:rPr>
              <w:t>682</w:t>
            </w:r>
            <w:r w:rsidR="0095632A">
              <w:rPr>
                <w:rFonts w:eastAsia="Times New Roman"/>
                <w:b/>
                <w:bCs/>
                <w:sz w:val="18"/>
                <w:szCs w:val="18"/>
                <w:lang w:val="fr-FR"/>
              </w:rPr>
              <w:t>,</w:t>
            </w:r>
            <w:r w:rsidRPr="00B06DD1">
              <w:rPr>
                <w:rFonts w:eastAsia="Times New Roman"/>
                <w:b/>
                <w:bCs/>
                <w:sz w:val="18"/>
                <w:szCs w:val="18"/>
                <w:lang w:val="fr-FR"/>
              </w:rPr>
              <w:t>1</w:t>
            </w:r>
          </w:p>
        </w:tc>
        <w:tc>
          <w:tcPr>
            <w:tcW w:w="1649" w:type="dxa"/>
            <w:tcBorders>
              <w:top w:val="single" w:sz="4" w:space="0" w:color="auto"/>
              <w:bottom w:val="single" w:sz="4" w:space="0" w:color="auto"/>
            </w:tcBorders>
            <w:vAlign w:val="bottom"/>
            <w:hideMark/>
          </w:tcPr>
          <w:p w14:paraId="1B7DFF20" w14:textId="71AC8FFE"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b/>
                <w:bCs/>
                <w:sz w:val="18"/>
                <w:szCs w:val="18"/>
                <w:lang w:val="fr-FR"/>
              </w:rPr>
              <w:t>22</w:t>
            </w:r>
            <w:r w:rsidR="00D42CE0" w:rsidRPr="00B06DD1">
              <w:rPr>
                <w:rFonts w:eastAsia="Times New Roman"/>
                <w:b/>
                <w:bCs/>
                <w:sz w:val="18"/>
                <w:szCs w:val="18"/>
                <w:lang w:val="fr-FR"/>
              </w:rPr>
              <w:t xml:space="preserve"> </w:t>
            </w:r>
            <w:r w:rsidRPr="00B06DD1">
              <w:rPr>
                <w:rFonts w:eastAsia="Times New Roman"/>
                <w:b/>
                <w:bCs/>
                <w:sz w:val="18"/>
                <w:szCs w:val="18"/>
                <w:lang w:val="fr-FR"/>
              </w:rPr>
              <w:t>753</w:t>
            </w:r>
            <w:r w:rsidR="0095632A">
              <w:rPr>
                <w:rFonts w:eastAsia="Times New Roman"/>
                <w:b/>
                <w:bCs/>
                <w:sz w:val="18"/>
                <w:szCs w:val="18"/>
                <w:lang w:val="fr-FR"/>
              </w:rPr>
              <w:t>,</w:t>
            </w:r>
            <w:r w:rsidRPr="00B06DD1">
              <w:rPr>
                <w:rFonts w:eastAsia="Times New Roman"/>
                <w:b/>
                <w:bCs/>
                <w:sz w:val="18"/>
                <w:szCs w:val="18"/>
                <w:lang w:val="fr-FR"/>
              </w:rPr>
              <w:t>4</w:t>
            </w:r>
          </w:p>
        </w:tc>
        <w:tc>
          <w:tcPr>
            <w:tcW w:w="1332" w:type="dxa"/>
            <w:tcBorders>
              <w:top w:val="single" w:sz="4" w:space="0" w:color="auto"/>
              <w:bottom w:val="single" w:sz="4" w:space="0" w:color="auto"/>
            </w:tcBorders>
            <w:vAlign w:val="bottom"/>
            <w:hideMark/>
          </w:tcPr>
          <w:p w14:paraId="4BB1277F" w14:textId="1D61C7A6" w:rsidR="003F6EC1" w:rsidRPr="00B06DD1" w:rsidRDefault="003F6EC1" w:rsidP="003F6EC1">
            <w:pPr>
              <w:tabs>
                <w:tab w:val="clear" w:pos="567"/>
                <w:tab w:val="clear" w:pos="1134"/>
                <w:tab w:val="clear" w:pos="1701"/>
                <w:tab w:val="clear" w:pos="2268"/>
              </w:tabs>
              <w:ind w:left="30"/>
              <w:jc w:val="right"/>
              <w:textAlignment w:val="baseline"/>
              <w:rPr>
                <w:rFonts w:eastAsia="Times New Roman"/>
                <w:sz w:val="24"/>
                <w:szCs w:val="24"/>
                <w:lang w:val="fr-FR"/>
              </w:rPr>
            </w:pPr>
            <w:r w:rsidRPr="00B06DD1">
              <w:rPr>
                <w:rFonts w:eastAsia="Times New Roman"/>
                <w:b/>
                <w:bCs/>
                <w:sz w:val="18"/>
                <w:szCs w:val="18"/>
                <w:lang w:val="fr-FR"/>
              </w:rPr>
              <w:t>44</w:t>
            </w:r>
            <w:r w:rsidR="0035695B" w:rsidRPr="00B06DD1">
              <w:rPr>
                <w:rFonts w:eastAsia="Times New Roman"/>
                <w:b/>
                <w:bCs/>
                <w:sz w:val="18"/>
                <w:szCs w:val="18"/>
                <w:lang w:val="fr-FR"/>
              </w:rPr>
              <w:t xml:space="preserve"> </w:t>
            </w:r>
            <w:r w:rsidRPr="00B06DD1">
              <w:rPr>
                <w:rFonts w:eastAsia="Times New Roman"/>
                <w:b/>
                <w:bCs/>
                <w:sz w:val="18"/>
                <w:szCs w:val="18"/>
                <w:lang w:val="fr-FR"/>
              </w:rPr>
              <w:t>435</w:t>
            </w:r>
            <w:r w:rsidR="0095632A">
              <w:rPr>
                <w:rFonts w:eastAsia="Times New Roman"/>
                <w:b/>
                <w:bCs/>
                <w:sz w:val="18"/>
                <w:szCs w:val="18"/>
                <w:lang w:val="fr-FR"/>
              </w:rPr>
              <w:t>,</w:t>
            </w:r>
            <w:r w:rsidRPr="00B06DD1">
              <w:rPr>
                <w:rFonts w:eastAsia="Times New Roman"/>
                <w:b/>
                <w:bCs/>
                <w:sz w:val="18"/>
                <w:szCs w:val="18"/>
                <w:lang w:val="fr-FR"/>
              </w:rPr>
              <w:t>5</w:t>
            </w:r>
          </w:p>
        </w:tc>
      </w:tr>
    </w:tbl>
    <w:p w14:paraId="2AC437B0" w14:textId="77777777" w:rsidR="00EA7274" w:rsidRDefault="000D2C12" w:rsidP="00EA7274">
      <w:pPr>
        <w:pStyle w:val="CBDNormalNumber"/>
        <w:rPr>
          <w:lang w:val="fr-FR"/>
        </w:rPr>
      </w:pPr>
      <w:r w:rsidRPr="00B06DD1">
        <w:rPr>
          <w:lang w:val="fr-FR"/>
        </w:rPr>
        <w:t>Tel que démontré dans le tableau</w:t>
      </w:r>
      <w:r w:rsidR="00535FD1" w:rsidRPr="00B06DD1">
        <w:rPr>
          <w:lang w:val="fr-FR"/>
        </w:rPr>
        <w:t xml:space="preserve"> 2, après déduction des économies des périodes précédentes de 668 900 dollars et de la contribution du pays hôte de 3 321 300 dollars, le total des contributions mises en recouvrement auprès des Parties à la Convention et de ses Protocoles, conformément au barème des quotes-parts, s'est élevé à 40 445 300 dollars pour l'exercice biennal.</w:t>
      </w:r>
    </w:p>
    <w:p w14:paraId="3ABE1F2E" w14:textId="12D5AFC1" w:rsidR="00981655" w:rsidRPr="00EA7274" w:rsidRDefault="00981655" w:rsidP="00EA7274">
      <w:pPr>
        <w:pStyle w:val="CBDNormalNumber"/>
        <w:numPr>
          <w:ilvl w:val="0"/>
          <w:numId w:val="0"/>
        </w:numPr>
        <w:ind w:left="567"/>
        <w:jc w:val="left"/>
        <w:rPr>
          <w:lang w:val="fr-FR"/>
        </w:rPr>
      </w:pPr>
      <w:r w:rsidRPr="00EA7274">
        <w:rPr>
          <w:rFonts w:eastAsia="Times New Roman"/>
          <w:lang w:val="fr-FR"/>
        </w:rPr>
        <w:t>Tableau 2</w:t>
      </w:r>
      <w:r w:rsidRPr="00EA7274">
        <w:rPr>
          <w:rFonts w:eastAsia="Times New Roman"/>
          <w:b/>
          <w:bCs/>
          <w:lang w:val="fr-FR"/>
        </w:rPr>
        <w:br/>
        <w:t>État global des contributions mises en recouvrement, 2025-2026</w:t>
      </w:r>
    </w:p>
    <w:p w14:paraId="7AB72665" w14:textId="0A1AEB53" w:rsidR="00981655" w:rsidRPr="00B06DD1" w:rsidRDefault="00981655" w:rsidP="00034006">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lang w:val="fr-FR"/>
        </w:rPr>
      </w:pPr>
      <w:r w:rsidRPr="00B06DD1">
        <w:rPr>
          <w:rFonts w:eastAsia="Times New Roman"/>
          <w:sz w:val="18"/>
          <w:szCs w:val="18"/>
          <w:lang w:val="fr-FR"/>
        </w:rPr>
        <w:t>(</w:t>
      </w:r>
      <w:r w:rsidR="00573538" w:rsidRPr="00B06DD1">
        <w:rPr>
          <w:rFonts w:eastAsia="Times New Roman"/>
          <w:sz w:val="18"/>
          <w:szCs w:val="18"/>
          <w:lang w:val="fr-FR"/>
        </w:rPr>
        <w:t>M</w:t>
      </w:r>
      <w:r w:rsidRPr="00B06DD1">
        <w:rPr>
          <w:rFonts w:eastAsia="Times New Roman"/>
          <w:sz w:val="18"/>
          <w:szCs w:val="18"/>
          <w:lang w:val="fr-FR"/>
        </w:rPr>
        <w:t>illiers de dollars des États-Unis)</w:t>
      </w:r>
    </w:p>
    <w:tbl>
      <w:tblPr>
        <w:tblW w:w="6255" w:type="dxa"/>
        <w:tblInd w:w="576"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4710"/>
        <w:gridCol w:w="1545"/>
      </w:tblGrid>
      <w:tr w:rsidR="00981655" w:rsidRPr="00B06DD1" w14:paraId="0EB4CB7B" w14:textId="77777777" w:rsidTr="00440131">
        <w:trPr>
          <w:trHeight w:val="450"/>
        </w:trPr>
        <w:tc>
          <w:tcPr>
            <w:tcW w:w="4710" w:type="dxa"/>
            <w:tcBorders>
              <w:top w:val="single" w:sz="4" w:space="0" w:color="auto"/>
              <w:left w:val="nil"/>
              <w:bottom w:val="single" w:sz="4" w:space="0" w:color="auto"/>
              <w:right w:val="nil"/>
            </w:tcBorders>
            <w:vAlign w:val="bottom"/>
            <w:hideMark/>
          </w:tcPr>
          <w:p w14:paraId="5F48E49B" w14:textId="0FA1F126" w:rsidR="00981655" w:rsidRPr="00B06DD1" w:rsidRDefault="00981655" w:rsidP="00BD6DBA">
            <w:pPr>
              <w:tabs>
                <w:tab w:val="clear" w:pos="567"/>
                <w:tab w:val="clear" w:pos="1134"/>
                <w:tab w:val="clear" w:pos="1701"/>
                <w:tab w:val="clear" w:pos="2268"/>
              </w:tabs>
              <w:jc w:val="left"/>
              <w:textAlignment w:val="baseline"/>
              <w:rPr>
                <w:rFonts w:eastAsia="Times New Roman"/>
                <w:sz w:val="24"/>
                <w:szCs w:val="24"/>
                <w:lang w:val="fr-FR"/>
              </w:rPr>
            </w:pPr>
            <w:r w:rsidRPr="00B06DD1">
              <w:rPr>
                <w:rFonts w:eastAsia="Times New Roman"/>
                <w:i/>
                <w:iCs/>
                <w:sz w:val="18"/>
                <w:szCs w:val="18"/>
                <w:lang w:val="fr-FR"/>
              </w:rPr>
              <w:lastRenderedPageBreak/>
              <w:t>Source de financement</w:t>
            </w:r>
            <w:r w:rsidRPr="00B06DD1">
              <w:rPr>
                <w:rFonts w:eastAsia="Times New Roman"/>
                <w:sz w:val="18"/>
                <w:szCs w:val="18"/>
                <w:lang w:val="fr-FR"/>
              </w:rPr>
              <w:t xml:space="preserve"> </w:t>
            </w:r>
          </w:p>
        </w:tc>
        <w:tc>
          <w:tcPr>
            <w:tcW w:w="1545" w:type="dxa"/>
            <w:tcBorders>
              <w:top w:val="single" w:sz="4" w:space="0" w:color="auto"/>
              <w:left w:val="nil"/>
              <w:bottom w:val="single" w:sz="4" w:space="0" w:color="auto"/>
              <w:right w:val="nil"/>
            </w:tcBorders>
            <w:vAlign w:val="bottom"/>
            <w:hideMark/>
          </w:tcPr>
          <w:p w14:paraId="0A76E827" w14:textId="5321BFEF" w:rsidR="00981655" w:rsidRPr="00B06DD1" w:rsidRDefault="00981655" w:rsidP="00BD6DBA">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i/>
                <w:iCs/>
                <w:sz w:val="18"/>
                <w:szCs w:val="18"/>
                <w:lang w:val="fr-FR"/>
              </w:rPr>
              <w:t>Montant</w:t>
            </w:r>
            <w:r w:rsidRPr="00B06DD1">
              <w:rPr>
                <w:rFonts w:eastAsia="Times New Roman"/>
                <w:sz w:val="18"/>
                <w:szCs w:val="18"/>
                <w:lang w:val="fr-FR"/>
              </w:rPr>
              <w:t xml:space="preserve"> </w:t>
            </w:r>
          </w:p>
        </w:tc>
      </w:tr>
      <w:tr w:rsidR="00981655" w:rsidRPr="00B06DD1" w14:paraId="2A8F1FB9" w14:textId="77777777" w:rsidTr="00440131">
        <w:trPr>
          <w:trHeight w:val="285"/>
        </w:trPr>
        <w:tc>
          <w:tcPr>
            <w:tcW w:w="4710" w:type="dxa"/>
            <w:tcBorders>
              <w:top w:val="nil"/>
              <w:left w:val="nil"/>
              <w:bottom w:val="nil"/>
              <w:right w:val="nil"/>
            </w:tcBorders>
            <w:vAlign w:val="center"/>
            <w:hideMark/>
          </w:tcPr>
          <w:p w14:paraId="48EEE0B6" w14:textId="6886026A" w:rsidR="00981655" w:rsidRPr="00B06DD1" w:rsidRDefault="00981655" w:rsidP="00981655">
            <w:pPr>
              <w:tabs>
                <w:tab w:val="clear" w:pos="567"/>
                <w:tab w:val="clear" w:pos="1134"/>
                <w:tab w:val="clear" w:pos="1701"/>
                <w:tab w:val="clear" w:pos="2268"/>
              </w:tabs>
              <w:jc w:val="left"/>
              <w:textAlignment w:val="baseline"/>
              <w:rPr>
                <w:rFonts w:eastAsia="Times New Roman"/>
                <w:sz w:val="24"/>
                <w:szCs w:val="24"/>
                <w:lang w:val="fr-FR"/>
              </w:rPr>
            </w:pPr>
            <w:r w:rsidRPr="00B06DD1">
              <w:rPr>
                <w:rFonts w:eastAsia="Times New Roman"/>
                <w:sz w:val="18"/>
                <w:szCs w:val="18"/>
                <w:lang w:val="fr-FR"/>
              </w:rPr>
              <w:t xml:space="preserve">Budget approuvé </w:t>
            </w:r>
          </w:p>
        </w:tc>
        <w:tc>
          <w:tcPr>
            <w:tcW w:w="1545" w:type="dxa"/>
            <w:tcBorders>
              <w:top w:val="nil"/>
              <w:left w:val="nil"/>
              <w:bottom w:val="nil"/>
              <w:right w:val="nil"/>
            </w:tcBorders>
            <w:vAlign w:val="center"/>
            <w:hideMark/>
          </w:tcPr>
          <w:p w14:paraId="0F2F7458" w14:textId="26B20084" w:rsidR="00981655" w:rsidRPr="00B06DD1" w:rsidRDefault="00981655" w:rsidP="00981655">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44</w:t>
            </w:r>
            <w:r w:rsidR="00FB20D4" w:rsidRPr="00B06DD1">
              <w:rPr>
                <w:rFonts w:eastAsia="Times New Roman"/>
                <w:sz w:val="18"/>
                <w:szCs w:val="18"/>
                <w:lang w:val="fr-FR"/>
              </w:rPr>
              <w:t xml:space="preserve"> </w:t>
            </w:r>
            <w:r w:rsidRPr="00B06DD1">
              <w:rPr>
                <w:rFonts w:eastAsia="Times New Roman"/>
                <w:sz w:val="18"/>
                <w:szCs w:val="18"/>
                <w:lang w:val="fr-FR"/>
              </w:rPr>
              <w:t>435</w:t>
            </w:r>
            <w:r w:rsidR="00634B5B" w:rsidRPr="00B06DD1">
              <w:rPr>
                <w:rFonts w:eastAsia="Times New Roman"/>
                <w:sz w:val="18"/>
                <w:szCs w:val="18"/>
                <w:lang w:val="fr-FR"/>
              </w:rPr>
              <w:t>,</w:t>
            </w:r>
            <w:r w:rsidRPr="00B06DD1">
              <w:rPr>
                <w:rFonts w:eastAsia="Times New Roman"/>
                <w:sz w:val="18"/>
                <w:szCs w:val="18"/>
                <w:lang w:val="fr-FR"/>
              </w:rPr>
              <w:t>5</w:t>
            </w:r>
          </w:p>
        </w:tc>
      </w:tr>
      <w:tr w:rsidR="00981655" w:rsidRPr="00B06DD1" w14:paraId="1054F287" w14:textId="77777777" w:rsidTr="00440131">
        <w:trPr>
          <w:trHeight w:val="285"/>
        </w:trPr>
        <w:tc>
          <w:tcPr>
            <w:tcW w:w="4710" w:type="dxa"/>
            <w:tcBorders>
              <w:top w:val="nil"/>
              <w:left w:val="nil"/>
              <w:bottom w:val="nil"/>
              <w:right w:val="nil"/>
            </w:tcBorders>
            <w:vAlign w:val="center"/>
            <w:hideMark/>
          </w:tcPr>
          <w:p w14:paraId="4FC0C82F" w14:textId="3B5FB540" w:rsidR="00981655" w:rsidRPr="00B06DD1" w:rsidRDefault="00981655" w:rsidP="00981655">
            <w:pPr>
              <w:tabs>
                <w:tab w:val="clear" w:pos="567"/>
                <w:tab w:val="clear" w:pos="1134"/>
                <w:tab w:val="clear" w:pos="1701"/>
                <w:tab w:val="clear" w:pos="2268"/>
              </w:tabs>
              <w:jc w:val="left"/>
              <w:textAlignment w:val="baseline"/>
              <w:rPr>
                <w:rFonts w:eastAsia="Times New Roman"/>
                <w:sz w:val="24"/>
                <w:szCs w:val="24"/>
                <w:lang w:val="fr-FR"/>
              </w:rPr>
            </w:pPr>
            <w:r w:rsidRPr="00B06DD1">
              <w:rPr>
                <w:rFonts w:eastAsia="Times New Roman"/>
                <w:sz w:val="18"/>
                <w:szCs w:val="18"/>
                <w:lang w:val="fr-FR"/>
              </w:rPr>
              <w:t xml:space="preserve">Pays hôte </w:t>
            </w:r>
          </w:p>
        </w:tc>
        <w:tc>
          <w:tcPr>
            <w:tcW w:w="1545" w:type="dxa"/>
            <w:tcBorders>
              <w:top w:val="nil"/>
              <w:left w:val="nil"/>
              <w:bottom w:val="nil"/>
              <w:right w:val="nil"/>
            </w:tcBorders>
            <w:vAlign w:val="center"/>
            <w:hideMark/>
          </w:tcPr>
          <w:p w14:paraId="31CC93F5" w14:textId="15CA9DE6" w:rsidR="00981655" w:rsidRPr="00B06DD1" w:rsidRDefault="00981655" w:rsidP="00981655">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(3</w:t>
            </w:r>
            <w:r w:rsidR="00FB20D4" w:rsidRPr="00B06DD1">
              <w:rPr>
                <w:rFonts w:eastAsia="Times New Roman"/>
                <w:sz w:val="18"/>
                <w:szCs w:val="18"/>
                <w:lang w:val="fr-FR"/>
              </w:rPr>
              <w:t xml:space="preserve"> </w:t>
            </w:r>
            <w:r w:rsidRPr="00B06DD1">
              <w:rPr>
                <w:rFonts w:eastAsia="Times New Roman"/>
                <w:sz w:val="18"/>
                <w:szCs w:val="18"/>
                <w:lang w:val="fr-FR"/>
              </w:rPr>
              <w:t>321</w:t>
            </w:r>
            <w:r w:rsidR="00634B5B" w:rsidRPr="00B06DD1">
              <w:rPr>
                <w:rFonts w:eastAsia="Times New Roman"/>
                <w:sz w:val="18"/>
                <w:szCs w:val="18"/>
                <w:lang w:val="fr-FR"/>
              </w:rPr>
              <w:t>,</w:t>
            </w:r>
            <w:r w:rsidRPr="00B06DD1">
              <w:rPr>
                <w:rFonts w:eastAsia="Times New Roman"/>
                <w:sz w:val="18"/>
                <w:szCs w:val="18"/>
                <w:lang w:val="fr-FR"/>
              </w:rPr>
              <w:t>3)</w:t>
            </w:r>
          </w:p>
        </w:tc>
      </w:tr>
      <w:tr w:rsidR="00981655" w:rsidRPr="00B06DD1" w14:paraId="0654946D" w14:textId="77777777" w:rsidTr="00440131">
        <w:trPr>
          <w:trHeight w:val="285"/>
        </w:trPr>
        <w:tc>
          <w:tcPr>
            <w:tcW w:w="4710" w:type="dxa"/>
            <w:tcBorders>
              <w:top w:val="nil"/>
              <w:left w:val="nil"/>
              <w:bottom w:val="single" w:sz="4" w:space="0" w:color="auto"/>
              <w:right w:val="nil"/>
            </w:tcBorders>
            <w:vAlign w:val="center"/>
            <w:hideMark/>
          </w:tcPr>
          <w:p w14:paraId="25E8D453" w14:textId="15D80FA8" w:rsidR="00981655" w:rsidRPr="00B06DD1" w:rsidRDefault="00981655" w:rsidP="00981655">
            <w:pPr>
              <w:tabs>
                <w:tab w:val="clear" w:pos="567"/>
                <w:tab w:val="clear" w:pos="1134"/>
                <w:tab w:val="clear" w:pos="1701"/>
                <w:tab w:val="clear" w:pos="2268"/>
              </w:tabs>
              <w:jc w:val="left"/>
              <w:textAlignment w:val="baseline"/>
              <w:rPr>
                <w:rFonts w:eastAsia="Times New Roman"/>
                <w:sz w:val="24"/>
                <w:szCs w:val="24"/>
                <w:lang w:val="fr-FR"/>
              </w:rPr>
            </w:pPr>
            <w:r w:rsidRPr="00B06DD1">
              <w:rPr>
                <w:rFonts w:eastAsia="Times New Roman"/>
                <w:sz w:val="18"/>
                <w:szCs w:val="18"/>
                <w:lang w:val="fr-FR"/>
              </w:rPr>
              <w:t xml:space="preserve">Économies des années précédentes </w:t>
            </w:r>
          </w:p>
        </w:tc>
        <w:tc>
          <w:tcPr>
            <w:tcW w:w="1545" w:type="dxa"/>
            <w:tcBorders>
              <w:top w:val="nil"/>
              <w:left w:val="nil"/>
              <w:bottom w:val="single" w:sz="4" w:space="0" w:color="auto"/>
              <w:right w:val="nil"/>
            </w:tcBorders>
            <w:vAlign w:val="center"/>
            <w:hideMark/>
          </w:tcPr>
          <w:p w14:paraId="70263F3A" w14:textId="7B812CA9" w:rsidR="00981655" w:rsidRPr="00B06DD1" w:rsidRDefault="00981655" w:rsidP="00981655">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(668</w:t>
            </w:r>
            <w:r w:rsidR="00634B5B" w:rsidRPr="00B06DD1">
              <w:rPr>
                <w:rFonts w:eastAsia="Times New Roman"/>
                <w:sz w:val="18"/>
                <w:szCs w:val="18"/>
                <w:lang w:val="fr-FR"/>
              </w:rPr>
              <w:t>,</w:t>
            </w:r>
            <w:r w:rsidRPr="00B06DD1">
              <w:rPr>
                <w:rFonts w:eastAsia="Times New Roman"/>
                <w:sz w:val="18"/>
                <w:szCs w:val="18"/>
                <w:lang w:val="fr-FR"/>
              </w:rPr>
              <w:t>9)</w:t>
            </w:r>
          </w:p>
        </w:tc>
      </w:tr>
      <w:tr w:rsidR="00981655" w:rsidRPr="00B06DD1" w14:paraId="1181E60B" w14:textId="77777777" w:rsidTr="00440131">
        <w:trPr>
          <w:trHeight w:val="285"/>
        </w:trPr>
        <w:tc>
          <w:tcPr>
            <w:tcW w:w="4710" w:type="dxa"/>
            <w:tcBorders>
              <w:top w:val="single" w:sz="4" w:space="0" w:color="auto"/>
              <w:left w:val="nil"/>
              <w:bottom w:val="single" w:sz="4" w:space="0" w:color="auto"/>
              <w:right w:val="nil"/>
            </w:tcBorders>
            <w:vAlign w:val="center"/>
            <w:hideMark/>
          </w:tcPr>
          <w:p w14:paraId="1F5784CA" w14:textId="7160B954" w:rsidR="00981655" w:rsidRPr="00B06DD1" w:rsidRDefault="00981655" w:rsidP="00981655">
            <w:pPr>
              <w:tabs>
                <w:tab w:val="clear" w:pos="567"/>
                <w:tab w:val="clear" w:pos="1134"/>
                <w:tab w:val="clear" w:pos="1701"/>
                <w:tab w:val="clear" w:pos="2268"/>
              </w:tabs>
              <w:textAlignment w:val="baseline"/>
              <w:rPr>
                <w:rFonts w:eastAsia="Times New Roman"/>
                <w:sz w:val="24"/>
                <w:szCs w:val="24"/>
                <w:lang w:val="fr-FR"/>
              </w:rPr>
            </w:pPr>
            <w:r w:rsidRPr="00B06DD1">
              <w:rPr>
                <w:rFonts w:eastAsia="Times New Roman"/>
                <w:b/>
                <w:bCs/>
                <w:sz w:val="18"/>
                <w:szCs w:val="18"/>
                <w:lang w:val="fr-FR"/>
              </w:rPr>
              <w:t>Total des quotes-parts</w:t>
            </w:r>
            <w:r w:rsidRPr="00B06DD1">
              <w:rPr>
                <w:rFonts w:eastAsia="Times New Roman"/>
                <w:sz w:val="18"/>
                <w:szCs w:val="18"/>
                <w:lang w:val="fr-FR"/>
              </w:rPr>
              <w:t xml:space="preserve"> </w:t>
            </w:r>
          </w:p>
        </w:tc>
        <w:tc>
          <w:tcPr>
            <w:tcW w:w="1545" w:type="dxa"/>
            <w:tcBorders>
              <w:top w:val="single" w:sz="4" w:space="0" w:color="auto"/>
              <w:left w:val="nil"/>
              <w:bottom w:val="single" w:sz="4" w:space="0" w:color="auto"/>
              <w:right w:val="nil"/>
            </w:tcBorders>
            <w:vAlign w:val="center"/>
            <w:hideMark/>
          </w:tcPr>
          <w:p w14:paraId="7B8DFF23" w14:textId="19184125" w:rsidR="00981655" w:rsidRPr="00B06DD1" w:rsidRDefault="00981655" w:rsidP="00981655">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b/>
                <w:bCs/>
                <w:sz w:val="18"/>
                <w:szCs w:val="18"/>
                <w:lang w:val="fr-FR"/>
              </w:rPr>
              <w:t>40</w:t>
            </w:r>
            <w:r w:rsidR="00FB20D4" w:rsidRPr="00B06DD1">
              <w:rPr>
                <w:rFonts w:eastAsia="Times New Roman"/>
                <w:b/>
                <w:bCs/>
                <w:sz w:val="18"/>
                <w:szCs w:val="18"/>
                <w:lang w:val="fr-FR"/>
              </w:rPr>
              <w:t xml:space="preserve"> </w:t>
            </w:r>
            <w:r w:rsidRPr="00B06DD1">
              <w:rPr>
                <w:rFonts w:eastAsia="Times New Roman"/>
                <w:b/>
                <w:bCs/>
                <w:sz w:val="18"/>
                <w:szCs w:val="18"/>
                <w:lang w:val="fr-FR"/>
              </w:rPr>
              <w:t>445</w:t>
            </w:r>
            <w:r w:rsidR="00634B5B" w:rsidRPr="00B06DD1">
              <w:rPr>
                <w:rFonts w:eastAsia="Times New Roman"/>
                <w:b/>
                <w:bCs/>
                <w:sz w:val="18"/>
                <w:szCs w:val="18"/>
                <w:lang w:val="fr-FR"/>
              </w:rPr>
              <w:t>,</w:t>
            </w:r>
            <w:r w:rsidRPr="00B06DD1">
              <w:rPr>
                <w:rFonts w:eastAsia="Times New Roman"/>
                <w:b/>
                <w:bCs/>
                <w:sz w:val="18"/>
                <w:szCs w:val="18"/>
                <w:lang w:val="fr-FR"/>
              </w:rPr>
              <w:t>3</w:t>
            </w:r>
          </w:p>
        </w:tc>
      </w:tr>
    </w:tbl>
    <w:p w14:paraId="7106011E" w14:textId="48C036FE" w:rsidR="00634B5B" w:rsidRPr="00B06DD1" w:rsidRDefault="00042AD8" w:rsidP="003710AB">
      <w:pPr>
        <w:tabs>
          <w:tab w:val="clear" w:pos="567"/>
          <w:tab w:val="clear" w:pos="1134"/>
          <w:tab w:val="clear" w:pos="1701"/>
          <w:tab w:val="clear" w:pos="2268"/>
        </w:tabs>
        <w:ind w:firstLine="555"/>
        <w:jc w:val="left"/>
        <w:textAlignment w:val="baseline"/>
        <w:rPr>
          <w:rFonts w:eastAsia="Times New Roman"/>
          <w:b/>
          <w:bCs/>
          <w:lang w:val="fr-FR"/>
        </w:rPr>
      </w:pPr>
      <w:r w:rsidRPr="00B06DD1">
        <w:rPr>
          <w:rFonts w:eastAsia="Times New Roman"/>
          <w:lang w:val="fr-FR"/>
        </w:rPr>
        <w:t>Tableau 3</w:t>
      </w:r>
      <w:r w:rsidRPr="00B06DD1">
        <w:rPr>
          <w:rFonts w:eastAsia="Times New Roman"/>
          <w:b/>
          <w:bCs/>
          <w:lang w:val="fr-FR"/>
        </w:rPr>
        <w:t xml:space="preserve"> </w:t>
      </w:r>
    </w:p>
    <w:p w14:paraId="11AC654B" w14:textId="496ED076" w:rsidR="00042AD8" w:rsidRPr="00B06DD1" w:rsidRDefault="00042AD8" w:rsidP="00042AD8">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lang w:val="fr-FR"/>
        </w:rPr>
      </w:pPr>
      <w:r w:rsidRPr="00B06DD1">
        <w:rPr>
          <w:rFonts w:eastAsia="Times New Roman"/>
          <w:b/>
          <w:bCs/>
          <w:lang w:val="fr-FR"/>
        </w:rPr>
        <w:t>État des contributions à la Convention et ses Protocoles pour l'exercice biennal 2025-2026, au 31 mai 2026</w:t>
      </w:r>
    </w:p>
    <w:p w14:paraId="1DB6A253" w14:textId="552DC8B9" w:rsidR="00042AD8" w:rsidRPr="00B06DD1" w:rsidRDefault="00042AD8" w:rsidP="00042AD8">
      <w:pPr>
        <w:tabs>
          <w:tab w:val="clear" w:pos="567"/>
          <w:tab w:val="clear" w:pos="1134"/>
          <w:tab w:val="clear" w:pos="1701"/>
          <w:tab w:val="clear" w:pos="2268"/>
        </w:tabs>
        <w:ind w:left="555"/>
        <w:jc w:val="left"/>
        <w:textAlignment w:val="baseline"/>
        <w:rPr>
          <w:rFonts w:ascii="Segoe UI" w:eastAsia="Times New Roman" w:hAnsi="Segoe UI" w:cs="Segoe UI"/>
          <w:b/>
          <w:bCs/>
          <w:i/>
          <w:iCs/>
          <w:sz w:val="18"/>
          <w:szCs w:val="18"/>
          <w:lang w:val="fr-FR"/>
        </w:rPr>
      </w:pPr>
      <w:r w:rsidRPr="00B06DD1">
        <w:rPr>
          <w:rFonts w:eastAsia="Times New Roman"/>
          <w:sz w:val="18"/>
          <w:szCs w:val="18"/>
          <w:lang w:val="fr-FR"/>
        </w:rPr>
        <w:t>(</w:t>
      </w:r>
      <w:r w:rsidR="00573538" w:rsidRPr="00B06DD1">
        <w:rPr>
          <w:rFonts w:eastAsia="Times New Roman"/>
          <w:sz w:val="18"/>
          <w:szCs w:val="18"/>
          <w:lang w:val="fr-FR"/>
        </w:rPr>
        <w:t>M</w:t>
      </w:r>
      <w:r w:rsidRPr="00B06DD1">
        <w:rPr>
          <w:rFonts w:eastAsia="Times New Roman"/>
          <w:sz w:val="18"/>
          <w:szCs w:val="18"/>
          <w:lang w:val="fr-FR"/>
        </w:rPr>
        <w:t>illiers de dollars des États-Unis)</w:t>
      </w:r>
    </w:p>
    <w:tbl>
      <w:tblPr>
        <w:tblW w:w="8784" w:type="dxa"/>
        <w:tblInd w:w="576"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3237"/>
        <w:gridCol w:w="1046"/>
        <w:gridCol w:w="1106"/>
        <w:gridCol w:w="1162"/>
        <w:gridCol w:w="1077"/>
        <w:gridCol w:w="1156"/>
      </w:tblGrid>
      <w:tr w:rsidR="00042AD8" w:rsidRPr="00B06DD1" w14:paraId="7057FE15" w14:textId="77777777" w:rsidTr="00B8475F">
        <w:trPr>
          <w:trHeight w:val="240"/>
        </w:trPr>
        <w:tc>
          <w:tcPr>
            <w:tcW w:w="3237" w:type="dxa"/>
            <w:tcBorders>
              <w:top w:val="single" w:sz="4" w:space="0" w:color="auto"/>
              <w:left w:val="nil"/>
              <w:bottom w:val="single" w:sz="4" w:space="0" w:color="auto"/>
              <w:right w:val="nil"/>
            </w:tcBorders>
            <w:vAlign w:val="bottom"/>
            <w:hideMark/>
          </w:tcPr>
          <w:p w14:paraId="027E06D9" w14:textId="082F75A7" w:rsidR="00042AD8" w:rsidRPr="00B06DD1" w:rsidRDefault="00D66E14" w:rsidP="00A803CA">
            <w:pPr>
              <w:tabs>
                <w:tab w:val="clear" w:pos="567"/>
                <w:tab w:val="clear" w:pos="1134"/>
                <w:tab w:val="clear" w:pos="1701"/>
                <w:tab w:val="clear" w:pos="2268"/>
              </w:tabs>
              <w:jc w:val="left"/>
              <w:textAlignment w:val="baseline"/>
              <w:rPr>
                <w:rFonts w:eastAsia="Times New Roman"/>
                <w:i/>
                <w:iCs/>
                <w:sz w:val="24"/>
                <w:szCs w:val="24"/>
                <w:lang w:val="fr-FR"/>
              </w:rPr>
            </w:pPr>
            <w:r w:rsidRPr="00B06DD1">
              <w:rPr>
                <w:rFonts w:eastAsia="Times New Roman"/>
                <w:i/>
                <w:iCs/>
                <w:sz w:val="18"/>
                <w:szCs w:val="18"/>
                <w:lang w:val="fr-FR"/>
              </w:rPr>
              <w:t>Fonds d'affectation spéciale</w:t>
            </w:r>
          </w:p>
        </w:tc>
        <w:tc>
          <w:tcPr>
            <w:tcW w:w="1046" w:type="dxa"/>
            <w:tcBorders>
              <w:top w:val="single" w:sz="4" w:space="0" w:color="auto"/>
              <w:left w:val="nil"/>
              <w:bottom w:val="single" w:sz="4" w:space="0" w:color="auto"/>
              <w:right w:val="nil"/>
            </w:tcBorders>
            <w:vAlign w:val="bottom"/>
            <w:hideMark/>
          </w:tcPr>
          <w:p w14:paraId="48F721BB" w14:textId="6F4774E1" w:rsidR="00042AD8" w:rsidRPr="00B06DD1" w:rsidRDefault="00042AD8" w:rsidP="2080ABF3">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i/>
                <w:iCs/>
                <w:sz w:val="18"/>
                <w:szCs w:val="18"/>
                <w:lang w:val="fr-FR"/>
              </w:rPr>
              <w:t xml:space="preserve">Montant </w:t>
            </w:r>
          </w:p>
          <w:p w14:paraId="37D96B41" w14:textId="1FC12DA9" w:rsidR="00042AD8" w:rsidRPr="00B06DD1" w:rsidRDefault="00042AD8" w:rsidP="00042AD8">
            <w:pPr>
              <w:tabs>
                <w:tab w:val="clear" w:pos="567"/>
                <w:tab w:val="clear" w:pos="1134"/>
                <w:tab w:val="clear" w:pos="1701"/>
                <w:tab w:val="clear" w:pos="2268"/>
              </w:tabs>
              <w:jc w:val="right"/>
              <w:textAlignment w:val="baseline"/>
              <w:rPr>
                <w:rFonts w:eastAsia="Times New Roman"/>
                <w:sz w:val="24"/>
                <w:szCs w:val="24"/>
                <w:lang w:val="fr-FR"/>
              </w:rPr>
            </w:pPr>
            <w:proofErr w:type="gramStart"/>
            <w:r w:rsidRPr="00B06DD1">
              <w:rPr>
                <w:rFonts w:eastAsia="Times New Roman"/>
                <w:i/>
                <w:iCs/>
                <w:sz w:val="18"/>
                <w:szCs w:val="18"/>
                <w:lang w:val="fr-FR"/>
              </w:rPr>
              <w:t>mis</w:t>
            </w:r>
            <w:proofErr w:type="gramEnd"/>
            <w:r w:rsidRPr="00B06DD1">
              <w:rPr>
                <w:rFonts w:eastAsia="Times New Roman"/>
                <w:i/>
                <w:iCs/>
                <w:sz w:val="18"/>
                <w:szCs w:val="18"/>
                <w:lang w:val="fr-FR"/>
              </w:rPr>
              <w:t xml:space="preserve"> en recouvrement</w:t>
            </w:r>
          </w:p>
        </w:tc>
        <w:tc>
          <w:tcPr>
            <w:tcW w:w="1106" w:type="dxa"/>
            <w:tcBorders>
              <w:top w:val="single" w:sz="4" w:space="0" w:color="auto"/>
              <w:left w:val="nil"/>
              <w:bottom w:val="single" w:sz="4" w:space="0" w:color="auto"/>
              <w:right w:val="nil"/>
            </w:tcBorders>
            <w:vAlign w:val="bottom"/>
            <w:hideMark/>
          </w:tcPr>
          <w:p w14:paraId="3AD1A71D" w14:textId="0341C0F9" w:rsidR="00042AD8" w:rsidRPr="00B06DD1" w:rsidRDefault="00042AD8" w:rsidP="2080ABF3">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i/>
                <w:iCs/>
                <w:sz w:val="18"/>
                <w:szCs w:val="18"/>
                <w:lang w:val="fr-FR"/>
              </w:rPr>
              <w:t xml:space="preserve">Montant </w:t>
            </w:r>
          </w:p>
          <w:p w14:paraId="2AF46DD7" w14:textId="51016364" w:rsidR="00042AD8" w:rsidRPr="00B06DD1" w:rsidRDefault="00042AD8" w:rsidP="00042AD8">
            <w:pPr>
              <w:tabs>
                <w:tab w:val="clear" w:pos="567"/>
                <w:tab w:val="clear" w:pos="1134"/>
                <w:tab w:val="clear" w:pos="1701"/>
                <w:tab w:val="clear" w:pos="2268"/>
              </w:tabs>
              <w:jc w:val="right"/>
              <w:textAlignment w:val="baseline"/>
              <w:rPr>
                <w:rFonts w:eastAsia="Times New Roman"/>
                <w:sz w:val="24"/>
                <w:szCs w:val="24"/>
                <w:lang w:val="fr-FR"/>
              </w:rPr>
            </w:pPr>
            <w:proofErr w:type="gramStart"/>
            <w:r w:rsidRPr="00B06DD1">
              <w:rPr>
                <w:rFonts w:eastAsia="Times New Roman"/>
                <w:i/>
                <w:iCs/>
                <w:sz w:val="18"/>
                <w:szCs w:val="18"/>
                <w:lang w:val="fr-FR"/>
              </w:rPr>
              <w:t>reçu</w:t>
            </w:r>
            <w:proofErr w:type="gramEnd"/>
          </w:p>
        </w:tc>
        <w:tc>
          <w:tcPr>
            <w:tcW w:w="1162" w:type="dxa"/>
            <w:tcBorders>
              <w:top w:val="single" w:sz="4" w:space="0" w:color="auto"/>
              <w:left w:val="nil"/>
              <w:bottom w:val="single" w:sz="4" w:space="0" w:color="auto"/>
              <w:right w:val="nil"/>
            </w:tcBorders>
            <w:vAlign w:val="bottom"/>
            <w:hideMark/>
          </w:tcPr>
          <w:p w14:paraId="7E2697AF" w14:textId="64A7A1E9" w:rsidR="00042AD8" w:rsidRPr="00B06DD1" w:rsidRDefault="00042AD8" w:rsidP="2080ABF3">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i/>
                <w:iCs/>
                <w:sz w:val="18"/>
                <w:szCs w:val="18"/>
                <w:lang w:val="fr-FR"/>
              </w:rPr>
              <w:t>Pourcentage</w:t>
            </w:r>
            <w:r w:rsidRPr="00B06DD1">
              <w:rPr>
                <w:rFonts w:eastAsia="Times New Roman"/>
                <w:sz w:val="18"/>
                <w:szCs w:val="18"/>
                <w:lang w:val="fr-FR"/>
              </w:rPr>
              <w:t xml:space="preserve"> </w:t>
            </w:r>
          </w:p>
        </w:tc>
        <w:tc>
          <w:tcPr>
            <w:tcW w:w="1077" w:type="dxa"/>
            <w:tcBorders>
              <w:top w:val="single" w:sz="4" w:space="0" w:color="auto"/>
              <w:left w:val="nil"/>
              <w:bottom w:val="single" w:sz="4" w:space="0" w:color="auto"/>
              <w:right w:val="nil"/>
            </w:tcBorders>
            <w:vAlign w:val="bottom"/>
            <w:hideMark/>
          </w:tcPr>
          <w:p w14:paraId="299618D3" w14:textId="5A039B15" w:rsidR="00042AD8" w:rsidRPr="00B06DD1" w:rsidRDefault="00C75AA0" w:rsidP="00C75AA0">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i/>
                <w:iCs/>
                <w:sz w:val="18"/>
                <w:szCs w:val="18"/>
                <w:lang w:val="fr-FR"/>
              </w:rPr>
              <w:t>Montant impayé</w:t>
            </w:r>
          </w:p>
        </w:tc>
        <w:tc>
          <w:tcPr>
            <w:tcW w:w="1156" w:type="dxa"/>
            <w:tcBorders>
              <w:top w:val="single" w:sz="4" w:space="0" w:color="auto"/>
              <w:left w:val="nil"/>
              <w:bottom w:val="single" w:sz="4" w:space="0" w:color="auto"/>
              <w:right w:val="nil"/>
            </w:tcBorders>
            <w:vAlign w:val="bottom"/>
            <w:hideMark/>
          </w:tcPr>
          <w:p w14:paraId="7E43210D" w14:textId="5761682B" w:rsidR="00042AD8" w:rsidRPr="00B06DD1" w:rsidRDefault="00042AD8" w:rsidP="2080ABF3">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i/>
                <w:iCs/>
                <w:sz w:val="18"/>
                <w:szCs w:val="18"/>
                <w:lang w:val="fr-FR"/>
              </w:rPr>
              <w:t>Pourcentage</w:t>
            </w:r>
          </w:p>
        </w:tc>
      </w:tr>
      <w:tr w:rsidR="00B8475F" w:rsidRPr="00B06DD1" w14:paraId="594AC397" w14:textId="77777777" w:rsidTr="00B8475F">
        <w:trPr>
          <w:trHeight w:val="255"/>
        </w:trPr>
        <w:tc>
          <w:tcPr>
            <w:tcW w:w="3237" w:type="dxa"/>
            <w:tcBorders>
              <w:top w:val="single" w:sz="4" w:space="0" w:color="auto"/>
              <w:left w:val="nil"/>
              <w:bottom w:val="nil"/>
              <w:right w:val="nil"/>
            </w:tcBorders>
            <w:vAlign w:val="bottom"/>
            <w:hideMark/>
          </w:tcPr>
          <w:p w14:paraId="7ABB7053" w14:textId="75CBD548" w:rsidR="00B8475F" w:rsidRPr="00B06DD1" w:rsidRDefault="00B8475F" w:rsidP="00B8475F">
            <w:pPr>
              <w:tabs>
                <w:tab w:val="clear" w:pos="567"/>
                <w:tab w:val="clear" w:pos="1134"/>
                <w:tab w:val="clear" w:pos="1701"/>
                <w:tab w:val="clear" w:pos="2268"/>
              </w:tabs>
              <w:jc w:val="left"/>
              <w:textAlignment w:val="baseline"/>
              <w:rPr>
                <w:rFonts w:eastAsia="Times New Roman"/>
                <w:sz w:val="24"/>
                <w:szCs w:val="24"/>
                <w:lang w:val="fr-FR"/>
              </w:rPr>
            </w:pPr>
            <w:r w:rsidRPr="00B06DD1">
              <w:rPr>
                <w:rFonts w:eastAsia="Times New Roman"/>
                <w:sz w:val="18"/>
                <w:szCs w:val="18"/>
                <w:lang w:val="fr-FR"/>
              </w:rPr>
              <w:t xml:space="preserve">Fonds d'affectation spéciale </w:t>
            </w:r>
            <w:r w:rsidR="00E23625" w:rsidRPr="00B06DD1">
              <w:rPr>
                <w:rFonts w:eastAsia="Times New Roman"/>
                <w:sz w:val="18"/>
                <w:szCs w:val="18"/>
                <w:lang w:val="fr-FR"/>
              </w:rPr>
              <w:t>de</w:t>
            </w:r>
            <w:r w:rsidRPr="00B06DD1">
              <w:rPr>
                <w:rFonts w:eastAsia="Times New Roman"/>
                <w:sz w:val="18"/>
                <w:szCs w:val="18"/>
                <w:lang w:val="fr-FR"/>
              </w:rPr>
              <w:t xml:space="preserve"> la Convention</w:t>
            </w:r>
          </w:p>
        </w:tc>
        <w:tc>
          <w:tcPr>
            <w:tcW w:w="1046" w:type="dxa"/>
            <w:tcBorders>
              <w:top w:val="single" w:sz="4" w:space="0" w:color="auto"/>
              <w:left w:val="nil"/>
              <w:bottom w:val="nil"/>
              <w:right w:val="nil"/>
            </w:tcBorders>
            <w:vAlign w:val="bottom"/>
            <w:hideMark/>
          </w:tcPr>
          <w:p w14:paraId="03D1145F" w14:textId="3509D7CA"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29</w:t>
            </w:r>
            <w:r w:rsidR="00596018" w:rsidRPr="00B06DD1">
              <w:rPr>
                <w:rFonts w:eastAsia="Times New Roman"/>
                <w:sz w:val="18"/>
                <w:szCs w:val="18"/>
                <w:lang w:val="fr-FR"/>
              </w:rPr>
              <w:t xml:space="preserve"> </w:t>
            </w:r>
            <w:r w:rsidRPr="00B06DD1">
              <w:rPr>
                <w:rFonts w:eastAsia="Times New Roman"/>
                <w:sz w:val="18"/>
                <w:szCs w:val="18"/>
                <w:lang w:val="fr-FR"/>
              </w:rPr>
              <w:t>120</w:t>
            </w:r>
            <w:r w:rsidR="00596018" w:rsidRPr="00B06DD1">
              <w:rPr>
                <w:rFonts w:eastAsia="Times New Roman"/>
                <w:sz w:val="18"/>
                <w:szCs w:val="18"/>
                <w:lang w:val="fr-FR"/>
              </w:rPr>
              <w:t>,</w:t>
            </w:r>
            <w:r w:rsidRPr="00B06DD1">
              <w:rPr>
                <w:rFonts w:eastAsia="Times New Roman"/>
                <w:sz w:val="18"/>
                <w:szCs w:val="18"/>
                <w:lang w:val="fr-FR"/>
              </w:rPr>
              <w:t>6</w:t>
            </w:r>
          </w:p>
        </w:tc>
        <w:tc>
          <w:tcPr>
            <w:tcW w:w="1106" w:type="dxa"/>
            <w:tcBorders>
              <w:top w:val="single" w:sz="4" w:space="0" w:color="auto"/>
              <w:left w:val="nil"/>
              <w:bottom w:val="nil"/>
              <w:right w:val="nil"/>
            </w:tcBorders>
            <w:vAlign w:val="bottom"/>
            <w:hideMark/>
          </w:tcPr>
          <w:p w14:paraId="07072980" w14:textId="39CDF5B5"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21</w:t>
            </w:r>
            <w:r w:rsidR="00596018" w:rsidRPr="00B06DD1">
              <w:rPr>
                <w:rFonts w:eastAsia="Times New Roman"/>
                <w:sz w:val="18"/>
                <w:szCs w:val="18"/>
                <w:lang w:val="fr-FR"/>
              </w:rPr>
              <w:t xml:space="preserve"> </w:t>
            </w:r>
            <w:r w:rsidRPr="00B06DD1">
              <w:rPr>
                <w:rFonts w:eastAsia="Times New Roman"/>
                <w:sz w:val="18"/>
                <w:szCs w:val="18"/>
                <w:lang w:val="fr-FR"/>
              </w:rPr>
              <w:t>084</w:t>
            </w:r>
            <w:r w:rsidR="00596018" w:rsidRPr="00B06DD1">
              <w:rPr>
                <w:rFonts w:eastAsia="Times New Roman"/>
                <w:sz w:val="18"/>
                <w:szCs w:val="18"/>
                <w:lang w:val="fr-FR"/>
              </w:rPr>
              <w:t>,</w:t>
            </w:r>
            <w:r w:rsidRPr="00B06DD1">
              <w:rPr>
                <w:rFonts w:eastAsia="Times New Roman"/>
                <w:sz w:val="18"/>
                <w:szCs w:val="18"/>
                <w:lang w:val="fr-FR"/>
              </w:rPr>
              <w:t>6</w:t>
            </w:r>
          </w:p>
        </w:tc>
        <w:tc>
          <w:tcPr>
            <w:tcW w:w="1162" w:type="dxa"/>
            <w:tcBorders>
              <w:top w:val="single" w:sz="4" w:space="0" w:color="auto"/>
              <w:left w:val="nil"/>
              <w:bottom w:val="nil"/>
              <w:right w:val="nil"/>
            </w:tcBorders>
            <w:vAlign w:val="bottom"/>
            <w:hideMark/>
          </w:tcPr>
          <w:p w14:paraId="38CFD4B0" w14:textId="3825F5D2"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 xml:space="preserve">72,40 </w:t>
            </w:r>
          </w:p>
        </w:tc>
        <w:tc>
          <w:tcPr>
            <w:tcW w:w="1077" w:type="dxa"/>
            <w:tcBorders>
              <w:top w:val="single" w:sz="4" w:space="0" w:color="auto"/>
              <w:left w:val="nil"/>
              <w:bottom w:val="nil"/>
              <w:right w:val="nil"/>
            </w:tcBorders>
            <w:vAlign w:val="bottom"/>
            <w:hideMark/>
          </w:tcPr>
          <w:p w14:paraId="181F3ED4" w14:textId="06D1CEC4" w:rsidR="00B8475F" w:rsidRPr="00B06DD1" w:rsidRDefault="00596018"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 xml:space="preserve"> </w:t>
            </w:r>
            <w:r w:rsidR="00B8475F" w:rsidRPr="00B06DD1">
              <w:rPr>
                <w:rFonts w:eastAsia="Times New Roman"/>
                <w:sz w:val="18"/>
                <w:szCs w:val="18"/>
                <w:lang w:val="fr-FR"/>
              </w:rPr>
              <w:t>8</w:t>
            </w:r>
            <w:r w:rsidRPr="00B06DD1">
              <w:rPr>
                <w:rFonts w:eastAsia="Times New Roman"/>
                <w:sz w:val="18"/>
                <w:szCs w:val="18"/>
                <w:lang w:val="fr-FR"/>
              </w:rPr>
              <w:t xml:space="preserve"> </w:t>
            </w:r>
            <w:r w:rsidR="00B8475F" w:rsidRPr="00B06DD1">
              <w:rPr>
                <w:rFonts w:eastAsia="Times New Roman"/>
                <w:sz w:val="18"/>
                <w:szCs w:val="18"/>
                <w:lang w:val="fr-FR"/>
              </w:rPr>
              <w:t>036</w:t>
            </w:r>
            <w:r w:rsidRPr="00B06DD1">
              <w:rPr>
                <w:rFonts w:eastAsia="Times New Roman"/>
                <w:sz w:val="18"/>
                <w:szCs w:val="18"/>
                <w:lang w:val="fr-FR"/>
              </w:rPr>
              <w:t>,</w:t>
            </w:r>
            <w:r w:rsidR="00B8475F" w:rsidRPr="00B06DD1">
              <w:rPr>
                <w:rFonts w:eastAsia="Times New Roman"/>
                <w:sz w:val="18"/>
                <w:szCs w:val="18"/>
                <w:lang w:val="fr-FR"/>
              </w:rPr>
              <w:t>0</w:t>
            </w:r>
          </w:p>
        </w:tc>
        <w:tc>
          <w:tcPr>
            <w:tcW w:w="1156" w:type="dxa"/>
            <w:tcBorders>
              <w:top w:val="single" w:sz="4" w:space="0" w:color="auto"/>
              <w:left w:val="nil"/>
              <w:bottom w:val="nil"/>
              <w:right w:val="nil"/>
            </w:tcBorders>
            <w:vAlign w:val="bottom"/>
            <w:hideMark/>
          </w:tcPr>
          <w:p w14:paraId="01BA0B29" w14:textId="71296377"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27,60</w:t>
            </w:r>
          </w:p>
        </w:tc>
      </w:tr>
      <w:tr w:rsidR="00B8475F" w:rsidRPr="00B06DD1" w14:paraId="168211C8" w14:textId="77777777" w:rsidTr="00B8475F">
        <w:trPr>
          <w:trHeight w:val="225"/>
        </w:trPr>
        <w:tc>
          <w:tcPr>
            <w:tcW w:w="3237" w:type="dxa"/>
            <w:tcBorders>
              <w:top w:val="nil"/>
              <w:left w:val="nil"/>
              <w:bottom w:val="nil"/>
              <w:right w:val="nil"/>
            </w:tcBorders>
            <w:vAlign w:val="bottom"/>
            <w:hideMark/>
          </w:tcPr>
          <w:p w14:paraId="243E4B54" w14:textId="759055E3" w:rsidR="00B8475F" w:rsidRPr="00B06DD1" w:rsidRDefault="00B8475F" w:rsidP="00B8475F">
            <w:pPr>
              <w:tabs>
                <w:tab w:val="clear" w:pos="567"/>
                <w:tab w:val="clear" w:pos="1134"/>
                <w:tab w:val="clear" w:pos="1701"/>
                <w:tab w:val="clear" w:pos="2268"/>
              </w:tabs>
              <w:jc w:val="left"/>
              <w:textAlignment w:val="baseline"/>
              <w:rPr>
                <w:rFonts w:eastAsia="Times New Roman"/>
                <w:sz w:val="24"/>
                <w:szCs w:val="24"/>
                <w:lang w:val="fr-FR"/>
              </w:rPr>
            </w:pPr>
            <w:r w:rsidRPr="00B06DD1">
              <w:rPr>
                <w:rFonts w:eastAsia="Times New Roman"/>
                <w:sz w:val="18"/>
                <w:szCs w:val="18"/>
                <w:lang w:val="fr-FR"/>
              </w:rPr>
              <w:t xml:space="preserve">Fonds d'affectation spéciale pour le budget de programme de base pour le Protocole de Cartagena </w:t>
            </w:r>
          </w:p>
        </w:tc>
        <w:tc>
          <w:tcPr>
            <w:tcW w:w="1046" w:type="dxa"/>
            <w:tcBorders>
              <w:top w:val="nil"/>
              <w:left w:val="nil"/>
              <w:bottom w:val="nil"/>
              <w:right w:val="nil"/>
            </w:tcBorders>
            <w:vAlign w:val="bottom"/>
            <w:hideMark/>
          </w:tcPr>
          <w:p w14:paraId="04DCAD56" w14:textId="31E46FE2"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6</w:t>
            </w:r>
            <w:r w:rsidR="00596018" w:rsidRPr="00B06DD1">
              <w:rPr>
                <w:rFonts w:eastAsia="Times New Roman"/>
                <w:sz w:val="18"/>
                <w:szCs w:val="18"/>
                <w:lang w:val="fr-FR"/>
              </w:rPr>
              <w:t xml:space="preserve"> </w:t>
            </w:r>
            <w:r w:rsidRPr="00B06DD1">
              <w:rPr>
                <w:rFonts w:eastAsia="Times New Roman"/>
                <w:sz w:val="18"/>
                <w:szCs w:val="18"/>
                <w:lang w:val="fr-FR"/>
              </w:rPr>
              <w:t>066</w:t>
            </w:r>
            <w:r w:rsidR="00596018" w:rsidRPr="00B06DD1">
              <w:rPr>
                <w:rFonts w:eastAsia="Times New Roman"/>
                <w:sz w:val="18"/>
                <w:szCs w:val="18"/>
                <w:lang w:val="fr-FR"/>
              </w:rPr>
              <w:t>,</w:t>
            </w:r>
            <w:r w:rsidRPr="00B06DD1">
              <w:rPr>
                <w:rFonts w:eastAsia="Times New Roman"/>
                <w:sz w:val="18"/>
                <w:szCs w:val="18"/>
                <w:lang w:val="fr-FR"/>
              </w:rPr>
              <w:t>8</w:t>
            </w:r>
          </w:p>
        </w:tc>
        <w:tc>
          <w:tcPr>
            <w:tcW w:w="1106" w:type="dxa"/>
            <w:tcBorders>
              <w:top w:val="nil"/>
              <w:left w:val="nil"/>
              <w:bottom w:val="nil"/>
              <w:right w:val="nil"/>
            </w:tcBorders>
            <w:vAlign w:val="bottom"/>
            <w:hideMark/>
          </w:tcPr>
          <w:p w14:paraId="20F26B39" w14:textId="5D8CA930"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4</w:t>
            </w:r>
            <w:r w:rsidR="00596018" w:rsidRPr="00B06DD1">
              <w:rPr>
                <w:rFonts w:eastAsia="Times New Roman"/>
                <w:sz w:val="18"/>
                <w:szCs w:val="18"/>
                <w:lang w:val="fr-FR"/>
              </w:rPr>
              <w:t xml:space="preserve"> </w:t>
            </w:r>
            <w:r w:rsidRPr="00B06DD1">
              <w:rPr>
                <w:rFonts w:eastAsia="Times New Roman"/>
                <w:sz w:val="18"/>
                <w:szCs w:val="18"/>
                <w:lang w:val="fr-FR"/>
              </w:rPr>
              <w:t>030</w:t>
            </w:r>
            <w:r w:rsidR="00596018" w:rsidRPr="00B06DD1">
              <w:rPr>
                <w:rFonts w:eastAsia="Times New Roman"/>
                <w:sz w:val="18"/>
                <w:szCs w:val="18"/>
                <w:lang w:val="fr-FR"/>
              </w:rPr>
              <w:t>,</w:t>
            </w:r>
            <w:r w:rsidRPr="00B06DD1">
              <w:rPr>
                <w:rFonts w:eastAsia="Times New Roman"/>
                <w:sz w:val="18"/>
                <w:szCs w:val="18"/>
                <w:lang w:val="fr-FR"/>
              </w:rPr>
              <w:t>8</w:t>
            </w:r>
          </w:p>
        </w:tc>
        <w:tc>
          <w:tcPr>
            <w:tcW w:w="1162" w:type="dxa"/>
            <w:tcBorders>
              <w:top w:val="nil"/>
              <w:left w:val="nil"/>
              <w:bottom w:val="nil"/>
              <w:right w:val="nil"/>
            </w:tcBorders>
            <w:vAlign w:val="bottom"/>
            <w:hideMark/>
          </w:tcPr>
          <w:p w14:paraId="0F083F47" w14:textId="7F87C33E"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 xml:space="preserve">66,44 </w:t>
            </w:r>
          </w:p>
        </w:tc>
        <w:tc>
          <w:tcPr>
            <w:tcW w:w="1077" w:type="dxa"/>
            <w:tcBorders>
              <w:top w:val="nil"/>
              <w:left w:val="nil"/>
              <w:bottom w:val="nil"/>
              <w:right w:val="nil"/>
            </w:tcBorders>
            <w:vAlign w:val="bottom"/>
            <w:hideMark/>
          </w:tcPr>
          <w:p w14:paraId="4A704AE7" w14:textId="6B50229A"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w:t>
            </w:r>
            <w:r w:rsidR="00596018" w:rsidRPr="00B06DD1">
              <w:rPr>
                <w:rFonts w:eastAsia="Times New Roman"/>
                <w:sz w:val="18"/>
                <w:szCs w:val="18"/>
                <w:lang w:val="fr-FR"/>
              </w:rPr>
              <w:t xml:space="preserve"> </w:t>
            </w:r>
            <w:r w:rsidRPr="00B06DD1">
              <w:rPr>
                <w:rFonts w:eastAsia="Times New Roman"/>
                <w:sz w:val="18"/>
                <w:szCs w:val="18"/>
                <w:lang w:val="fr-FR"/>
              </w:rPr>
              <w:t>035</w:t>
            </w:r>
            <w:r w:rsidR="00596018" w:rsidRPr="00B06DD1">
              <w:rPr>
                <w:rFonts w:eastAsia="Times New Roman"/>
                <w:sz w:val="18"/>
                <w:szCs w:val="18"/>
                <w:lang w:val="fr-FR"/>
              </w:rPr>
              <w:t>,</w:t>
            </w:r>
            <w:r w:rsidRPr="00B06DD1">
              <w:rPr>
                <w:rFonts w:eastAsia="Times New Roman"/>
                <w:sz w:val="18"/>
                <w:szCs w:val="18"/>
                <w:lang w:val="fr-FR"/>
              </w:rPr>
              <w:t>9</w:t>
            </w:r>
          </w:p>
        </w:tc>
        <w:tc>
          <w:tcPr>
            <w:tcW w:w="1156" w:type="dxa"/>
            <w:tcBorders>
              <w:top w:val="nil"/>
              <w:left w:val="nil"/>
              <w:bottom w:val="nil"/>
              <w:right w:val="nil"/>
            </w:tcBorders>
            <w:vAlign w:val="bottom"/>
            <w:hideMark/>
          </w:tcPr>
          <w:p w14:paraId="50F65E07" w14:textId="1CC3DC82"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33,56</w:t>
            </w:r>
          </w:p>
        </w:tc>
      </w:tr>
      <w:tr w:rsidR="00B8475F" w:rsidRPr="00B06DD1" w14:paraId="53D611E8" w14:textId="77777777" w:rsidTr="00B8475F">
        <w:trPr>
          <w:trHeight w:val="225"/>
        </w:trPr>
        <w:tc>
          <w:tcPr>
            <w:tcW w:w="3237" w:type="dxa"/>
            <w:tcBorders>
              <w:top w:val="nil"/>
              <w:left w:val="nil"/>
              <w:bottom w:val="nil"/>
              <w:right w:val="nil"/>
            </w:tcBorders>
            <w:vAlign w:val="bottom"/>
            <w:hideMark/>
          </w:tcPr>
          <w:p w14:paraId="16F0D3F7" w14:textId="3E2B9FC4" w:rsidR="00B8475F" w:rsidRPr="00B06DD1" w:rsidRDefault="00B8475F" w:rsidP="00B8475F">
            <w:pPr>
              <w:tabs>
                <w:tab w:val="clear" w:pos="567"/>
                <w:tab w:val="clear" w:pos="1134"/>
                <w:tab w:val="clear" w:pos="1701"/>
                <w:tab w:val="clear" w:pos="2268"/>
              </w:tabs>
              <w:jc w:val="left"/>
              <w:textAlignment w:val="baseline"/>
              <w:rPr>
                <w:rFonts w:eastAsia="Times New Roman"/>
                <w:sz w:val="24"/>
                <w:szCs w:val="24"/>
                <w:lang w:val="fr-FR"/>
              </w:rPr>
            </w:pPr>
            <w:r w:rsidRPr="00B06DD1">
              <w:rPr>
                <w:rFonts w:eastAsia="Times New Roman"/>
                <w:sz w:val="18"/>
                <w:szCs w:val="18"/>
                <w:lang w:val="fr-FR"/>
              </w:rPr>
              <w:t xml:space="preserve">Fonds d'affectation spéciale pour le budget de programme de base pour le Protocole de Nagoya </w:t>
            </w:r>
          </w:p>
        </w:tc>
        <w:tc>
          <w:tcPr>
            <w:tcW w:w="1046" w:type="dxa"/>
            <w:tcBorders>
              <w:top w:val="nil"/>
              <w:left w:val="nil"/>
              <w:bottom w:val="single" w:sz="4" w:space="0" w:color="auto"/>
              <w:right w:val="nil"/>
            </w:tcBorders>
            <w:vAlign w:val="bottom"/>
            <w:hideMark/>
          </w:tcPr>
          <w:p w14:paraId="300067F3" w14:textId="142CDCBD"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5</w:t>
            </w:r>
            <w:r w:rsidR="00596018" w:rsidRPr="00B06DD1">
              <w:rPr>
                <w:rFonts w:eastAsia="Times New Roman"/>
                <w:sz w:val="18"/>
                <w:szCs w:val="18"/>
                <w:lang w:val="fr-FR"/>
              </w:rPr>
              <w:t xml:space="preserve"> </w:t>
            </w:r>
            <w:r w:rsidRPr="00B06DD1">
              <w:rPr>
                <w:rFonts w:eastAsia="Times New Roman"/>
                <w:sz w:val="18"/>
                <w:szCs w:val="18"/>
                <w:lang w:val="fr-FR"/>
              </w:rPr>
              <w:t>257</w:t>
            </w:r>
            <w:r w:rsidR="00596018" w:rsidRPr="00B06DD1">
              <w:rPr>
                <w:rFonts w:eastAsia="Times New Roman"/>
                <w:sz w:val="18"/>
                <w:szCs w:val="18"/>
                <w:lang w:val="fr-FR"/>
              </w:rPr>
              <w:t>,</w:t>
            </w:r>
            <w:r w:rsidRPr="00B06DD1">
              <w:rPr>
                <w:rFonts w:eastAsia="Times New Roman"/>
                <w:sz w:val="18"/>
                <w:szCs w:val="18"/>
                <w:lang w:val="fr-FR"/>
              </w:rPr>
              <w:t>9</w:t>
            </w:r>
          </w:p>
        </w:tc>
        <w:tc>
          <w:tcPr>
            <w:tcW w:w="1106" w:type="dxa"/>
            <w:tcBorders>
              <w:top w:val="nil"/>
              <w:left w:val="nil"/>
              <w:bottom w:val="nil"/>
              <w:right w:val="nil"/>
            </w:tcBorders>
            <w:vAlign w:val="bottom"/>
            <w:hideMark/>
          </w:tcPr>
          <w:p w14:paraId="1AA0981E" w14:textId="44D2A777"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3047</w:t>
            </w:r>
            <w:r w:rsidR="00596018" w:rsidRPr="00B06DD1">
              <w:rPr>
                <w:rFonts w:eastAsia="Times New Roman"/>
                <w:sz w:val="18"/>
                <w:szCs w:val="18"/>
                <w:lang w:val="fr-FR"/>
              </w:rPr>
              <w:t>,</w:t>
            </w:r>
            <w:r w:rsidRPr="00B06DD1">
              <w:rPr>
                <w:rFonts w:eastAsia="Times New Roman"/>
                <w:sz w:val="18"/>
                <w:szCs w:val="18"/>
                <w:lang w:val="fr-FR"/>
              </w:rPr>
              <w:t>1</w:t>
            </w:r>
          </w:p>
        </w:tc>
        <w:tc>
          <w:tcPr>
            <w:tcW w:w="1162" w:type="dxa"/>
            <w:tcBorders>
              <w:top w:val="nil"/>
              <w:left w:val="nil"/>
              <w:bottom w:val="nil"/>
              <w:right w:val="nil"/>
            </w:tcBorders>
            <w:vAlign w:val="bottom"/>
            <w:hideMark/>
          </w:tcPr>
          <w:p w14:paraId="1DF86B47" w14:textId="674BE52A"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 xml:space="preserve">57,95 </w:t>
            </w:r>
          </w:p>
        </w:tc>
        <w:tc>
          <w:tcPr>
            <w:tcW w:w="1077" w:type="dxa"/>
            <w:tcBorders>
              <w:top w:val="nil"/>
              <w:left w:val="nil"/>
              <w:bottom w:val="nil"/>
              <w:right w:val="nil"/>
            </w:tcBorders>
            <w:vAlign w:val="bottom"/>
            <w:hideMark/>
          </w:tcPr>
          <w:p w14:paraId="5E3834FE" w14:textId="28DB603C"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w:t>
            </w:r>
            <w:r w:rsidR="00596018" w:rsidRPr="00B06DD1">
              <w:rPr>
                <w:rFonts w:eastAsia="Times New Roman"/>
                <w:sz w:val="18"/>
                <w:szCs w:val="18"/>
                <w:lang w:val="fr-FR"/>
              </w:rPr>
              <w:t xml:space="preserve"> </w:t>
            </w:r>
            <w:r w:rsidRPr="00B06DD1">
              <w:rPr>
                <w:rFonts w:eastAsia="Times New Roman"/>
                <w:sz w:val="18"/>
                <w:szCs w:val="18"/>
                <w:lang w:val="fr-FR"/>
              </w:rPr>
              <w:t>210</w:t>
            </w:r>
            <w:r w:rsidR="00596018" w:rsidRPr="00B06DD1">
              <w:rPr>
                <w:rFonts w:eastAsia="Times New Roman"/>
                <w:sz w:val="18"/>
                <w:szCs w:val="18"/>
                <w:lang w:val="fr-FR"/>
              </w:rPr>
              <w:t>,</w:t>
            </w:r>
            <w:r w:rsidRPr="00B06DD1">
              <w:rPr>
                <w:rFonts w:eastAsia="Times New Roman"/>
                <w:sz w:val="18"/>
                <w:szCs w:val="18"/>
                <w:lang w:val="fr-FR"/>
              </w:rPr>
              <w:t>8</w:t>
            </w:r>
          </w:p>
        </w:tc>
        <w:tc>
          <w:tcPr>
            <w:tcW w:w="1156" w:type="dxa"/>
            <w:tcBorders>
              <w:top w:val="nil"/>
              <w:left w:val="nil"/>
              <w:bottom w:val="nil"/>
              <w:right w:val="nil"/>
            </w:tcBorders>
            <w:vAlign w:val="bottom"/>
            <w:hideMark/>
          </w:tcPr>
          <w:p w14:paraId="2D55E8F0" w14:textId="20D530D7" w:rsidR="00B8475F" w:rsidRPr="00B06DD1" w:rsidRDefault="00B8475F" w:rsidP="00B8475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42,05</w:t>
            </w:r>
          </w:p>
        </w:tc>
      </w:tr>
      <w:tr w:rsidR="00042AD8" w:rsidRPr="00B06DD1" w14:paraId="13E8384A" w14:textId="77777777" w:rsidTr="00B8475F">
        <w:trPr>
          <w:trHeight w:val="225"/>
        </w:trPr>
        <w:tc>
          <w:tcPr>
            <w:tcW w:w="3237" w:type="dxa"/>
            <w:tcBorders>
              <w:top w:val="single" w:sz="4" w:space="0" w:color="auto"/>
              <w:left w:val="nil"/>
              <w:bottom w:val="single" w:sz="4" w:space="0" w:color="auto"/>
              <w:right w:val="nil"/>
            </w:tcBorders>
            <w:vAlign w:val="bottom"/>
            <w:hideMark/>
          </w:tcPr>
          <w:p w14:paraId="5679DF80" w14:textId="1E7CB95E" w:rsidR="00042AD8" w:rsidRPr="00B06DD1" w:rsidRDefault="00042AD8" w:rsidP="00042AD8">
            <w:pPr>
              <w:tabs>
                <w:tab w:val="clear" w:pos="567"/>
                <w:tab w:val="clear" w:pos="1134"/>
                <w:tab w:val="clear" w:pos="1701"/>
                <w:tab w:val="clear" w:pos="2268"/>
              </w:tabs>
              <w:ind w:firstLine="555"/>
              <w:jc w:val="left"/>
              <w:textAlignment w:val="baseline"/>
              <w:rPr>
                <w:rFonts w:eastAsia="Times New Roman"/>
                <w:sz w:val="24"/>
                <w:szCs w:val="24"/>
                <w:lang w:val="fr-FR"/>
              </w:rPr>
            </w:pPr>
            <w:r w:rsidRPr="00B06DD1">
              <w:rPr>
                <w:rFonts w:eastAsia="Times New Roman"/>
                <w:b/>
                <w:bCs/>
                <w:sz w:val="18"/>
                <w:szCs w:val="18"/>
                <w:lang w:val="fr-FR"/>
              </w:rPr>
              <w:t xml:space="preserve">Total </w:t>
            </w:r>
          </w:p>
        </w:tc>
        <w:tc>
          <w:tcPr>
            <w:tcW w:w="1046" w:type="dxa"/>
            <w:tcBorders>
              <w:top w:val="single" w:sz="4" w:space="0" w:color="auto"/>
              <w:left w:val="nil"/>
              <w:bottom w:val="single" w:sz="4" w:space="0" w:color="auto"/>
              <w:right w:val="nil"/>
            </w:tcBorders>
            <w:vAlign w:val="bottom"/>
            <w:hideMark/>
          </w:tcPr>
          <w:p w14:paraId="1C8012C2" w14:textId="23B14EA3" w:rsidR="00042AD8" w:rsidRPr="00B06DD1" w:rsidRDefault="00042AD8" w:rsidP="00042AD8">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b/>
                <w:bCs/>
                <w:sz w:val="18"/>
                <w:szCs w:val="18"/>
                <w:lang w:val="fr-FR"/>
              </w:rPr>
              <w:t>40</w:t>
            </w:r>
            <w:r w:rsidR="00596018" w:rsidRPr="00B06DD1">
              <w:rPr>
                <w:rFonts w:eastAsia="Times New Roman"/>
                <w:b/>
                <w:bCs/>
                <w:sz w:val="18"/>
                <w:szCs w:val="18"/>
                <w:lang w:val="fr-FR"/>
              </w:rPr>
              <w:t xml:space="preserve"> </w:t>
            </w:r>
            <w:r w:rsidRPr="00B06DD1">
              <w:rPr>
                <w:rFonts w:eastAsia="Times New Roman"/>
                <w:b/>
                <w:bCs/>
                <w:sz w:val="18"/>
                <w:szCs w:val="18"/>
                <w:lang w:val="fr-FR"/>
              </w:rPr>
              <w:t>445</w:t>
            </w:r>
            <w:r w:rsidR="00596018" w:rsidRPr="00B06DD1">
              <w:rPr>
                <w:rFonts w:eastAsia="Times New Roman"/>
                <w:b/>
                <w:bCs/>
                <w:sz w:val="18"/>
                <w:szCs w:val="18"/>
                <w:lang w:val="fr-FR"/>
              </w:rPr>
              <w:t>,</w:t>
            </w:r>
            <w:r w:rsidRPr="00B06DD1">
              <w:rPr>
                <w:rFonts w:eastAsia="Times New Roman"/>
                <w:b/>
                <w:bCs/>
                <w:sz w:val="18"/>
                <w:szCs w:val="18"/>
                <w:lang w:val="fr-FR"/>
              </w:rPr>
              <w:t>3</w:t>
            </w:r>
          </w:p>
        </w:tc>
        <w:tc>
          <w:tcPr>
            <w:tcW w:w="1106" w:type="dxa"/>
            <w:tcBorders>
              <w:top w:val="single" w:sz="4" w:space="0" w:color="auto"/>
              <w:left w:val="nil"/>
              <w:bottom w:val="single" w:sz="4" w:space="0" w:color="auto"/>
              <w:right w:val="nil"/>
            </w:tcBorders>
            <w:vAlign w:val="bottom"/>
            <w:hideMark/>
          </w:tcPr>
          <w:p w14:paraId="785C6D79" w14:textId="31D4A198" w:rsidR="00042AD8" w:rsidRPr="00B06DD1" w:rsidRDefault="00042AD8" w:rsidP="00042AD8">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b/>
                <w:bCs/>
                <w:sz w:val="18"/>
                <w:szCs w:val="18"/>
                <w:lang w:val="fr-FR"/>
              </w:rPr>
              <w:t>28</w:t>
            </w:r>
            <w:r w:rsidR="00596018" w:rsidRPr="00B06DD1">
              <w:rPr>
                <w:rFonts w:eastAsia="Times New Roman"/>
                <w:b/>
                <w:bCs/>
                <w:sz w:val="18"/>
                <w:szCs w:val="18"/>
                <w:lang w:val="fr-FR"/>
              </w:rPr>
              <w:t xml:space="preserve"> </w:t>
            </w:r>
            <w:r w:rsidRPr="00B06DD1">
              <w:rPr>
                <w:rFonts w:eastAsia="Times New Roman"/>
                <w:b/>
                <w:bCs/>
                <w:sz w:val="18"/>
                <w:szCs w:val="18"/>
                <w:lang w:val="fr-FR"/>
              </w:rPr>
              <w:t>162</w:t>
            </w:r>
            <w:r w:rsidR="00596018" w:rsidRPr="00B06DD1">
              <w:rPr>
                <w:rFonts w:eastAsia="Times New Roman"/>
                <w:b/>
                <w:bCs/>
                <w:sz w:val="18"/>
                <w:szCs w:val="18"/>
                <w:lang w:val="fr-FR"/>
              </w:rPr>
              <w:t>,</w:t>
            </w:r>
            <w:r w:rsidRPr="00B06DD1">
              <w:rPr>
                <w:rFonts w:eastAsia="Times New Roman"/>
                <w:b/>
                <w:bCs/>
                <w:sz w:val="18"/>
                <w:szCs w:val="18"/>
                <w:lang w:val="fr-FR"/>
              </w:rPr>
              <w:t>5</w:t>
            </w:r>
          </w:p>
        </w:tc>
        <w:tc>
          <w:tcPr>
            <w:tcW w:w="1162" w:type="dxa"/>
            <w:tcBorders>
              <w:top w:val="single" w:sz="4" w:space="0" w:color="auto"/>
              <w:left w:val="nil"/>
              <w:bottom w:val="single" w:sz="4" w:space="0" w:color="auto"/>
              <w:right w:val="nil"/>
            </w:tcBorders>
            <w:vAlign w:val="bottom"/>
            <w:hideMark/>
          </w:tcPr>
          <w:p w14:paraId="0CE0A25D" w14:textId="53B9C3D6" w:rsidR="00042AD8" w:rsidRPr="00B06DD1" w:rsidRDefault="00042AD8" w:rsidP="2080ABF3">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b/>
                <w:bCs/>
                <w:sz w:val="18"/>
                <w:szCs w:val="18"/>
                <w:lang w:val="fr-FR"/>
              </w:rPr>
              <w:t>69</w:t>
            </w:r>
            <w:r w:rsidR="00596018" w:rsidRPr="00B06DD1">
              <w:rPr>
                <w:rFonts w:eastAsia="Times New Roman"/>
                <w:b/>
                <w:bCs/>
                <w:sz w:val="18"/>
                <w:szCs w:val="18"/>
                <w:lang w:val="fr-FR"/>
              </w:rPr>
              <w:t>,</w:t>
            </w:r>
            <w:r w:rsidRPr="00B06DD1">
              <w:rPr>
                <w:rFonts w:eastAsia="Times New Roman"/>
                <w:b/>
                <w:bCs/>
                <w:sz w:val="18"/>
                <w:szCs w:val="18"/>
                <w:lang w:val="fr-FR"/>
              </w:rPr>
              <w:t>63</w:t>
            </w:r>
            <w:r w:rsidRPr="00B06DD1">
              <w:rPr>
                <w:rFonts w:eastAsia="Times New Roman"/>
                <w:sz w:val="18"/>
                <w:szCs w:val="18"/>
                <w:lang w:val="fr-FR"/>
              </w:rPr>
              <w:t xml:space="preserve"> </w:t>
            </w:r>
          </w:p>
        </w:tc>
        <w:tc>
          <w:tcPr>
            <w:tcW w:w="1077" w:type="dxa"/>
            <w:tcBorders>
              <w:top w:val="single" w:sz="4" w:space="0" w:color="auto"/>
              <w:left w:val="nil"/>
              <w:bottom w:val="single" w:sz="4" w:space="0" w:color="auto"/>
              <w:right w:val="nil"/>
            </w:tcBorders>
            <w:vAlign w:val="bottom"/>
            <w:hideMark/>
          </w:tcPr>
          <w:p w14:paraId="20C17060" w14:textId="227C72F5" w:rsidR="00042AD8" w:rsidRPr="00B06DD1" w:rsidRDefault="00042AD8" w:rsidP="00042AD8">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b/>
                <w:bCs/>
                <w:sz w:val="18"/>
                <w:szCs w:val="18"/>
                <w:lang w:val="fr-FR"/>
              </w:rPr>
              <w:t>12</w:t>
            </w:r>
            <w:r w:rsidR="00596018" w:rsidRPr="00B06DD1">
              <w:rPr>
                <w:rFonts w:eastAsia="Times New Roman"/>
                <w:b/>
                <w:bCs/>
                <w:sz w:val="18"/>
                <w:szCs w:val="18"/>
                <w:lang w:val="fr-FR"/>
              </w:rPr>
              <w:t xml:space="preserve"> </w:t>
            </w:r>
            <w:r w:rsidRPr="00B06DD1">
              <w:rPr>
                <w:rFonts w:eastAsia="Times New Roman"/>
                <w:b/>
                <w:bCs/>
                <w:sz w:val="18"/>
                <w:szCs w:val="18"/>
                <w:lang w:val="fr-FR"/>
              </w:rPr>
              <w:t>28</w:t>
            </w:r>
            <w:r w:rsidR="00596018" w:rsidRPr="00B06DD1">
              <w:rPr>
                <w:rFonts w:eastAsia="Times New Roman"/>
                <w:b/>
                <w:bCs/>
                <w:sz w:val="18"/>
                <w:szCs w:val="18"/>
                <w:lang w:val="fr-FR"/>
              </w:rPr>
              <w:t>2,</w:t>
            </w:r>
            <w:r w:rsidRPr="00B06DD1">
              <w:rPr>
                <w:rFonts w:eastAsia="Times New Roman"/>
                <w:b/>
                <w:bCs/>
                <w:sz w:val="18"/>
                <w:szCs w:val="18"/>
                <w:lang w:val="fr-FR"/>
              </w:rPr>
              <w:t>7</w:t>
            </w:r>
          </w:p>
        </w:tc>
        <w:tc>
          <w:tcPr>
            <w:tcW w:w="1156" w:type="dxa"/>
            <w:tcBorders>
              <w:top w:val="single" w:sz="4" w:space="0" w:color="auto"/>
              <w:left w:val="nil"/>
              <w:bottom w:val="single" w:sz="4" w:space="0" w:color="auto"/>
              <w:right w:val="nil"/>
            </w:tcBorders>
            <w:vAlign w:val="bottom"/>
            <w:hideMark/>
          </w:tcPr>
          <w:p w14:paraId="3800DB42" w14:textId="66C722BC" w:rsidR="00042AD8" w:rsidRPr="00B06DD1" w:rsidRDefault="00042AD8" w:rsidP="00042AD8">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b/>
                <w:bCs/>
                <w:sz w:val="18"/>
                <w:szCs w:val="18"/>
                <w:lang w:val="fr-FR"/>
              </w:rPr>
              <w:t>30,37</w:t>
            </w:r>
          </w:p>
        </w:tc>
      </w:tr>
    </w:tbl>
    <w:p w14:paraId="72572F6F" w14:textId="25A1E1D5" w:rsidR="00822565" w:rsidRPr="00B06DD1" w:rsidRDefault="00B8475F" w:rsidP="00F746EE">
      <w:pPr>
        <w:pStyle w:val="CBDNormalNumber"/>
        <w:rPr>
          <w:lang w:val="fr-FR"/>
        </w:rPr>
      </w:pPr>
      <w:r w:rsidRPr="00B06DD1">
        <w:rPr>
          <w:rStyle w:val="normaltextrun"/>
          <w:color w:val="000000"/>
          <w:shd w:val="clear" w:color="auto" w:fill="FFFFFF"/>
          <w:lang w:val="fr-FR"/>
        </w:rPr>
        <w:t>Tel que démontré dans le</w:t>
      </w:r>
      <w:r w:rsidR="00822565" w:rsidRPr="00B06DD1">
        <w:rPr>
          <w:rStyle w:val="normaltextrun"/>
          <w:color w:val="000000"/>
          <w:shd w:val="clear" w:color="auto" w:fill="FFFFFF"/>
          <w:lang w:val="fr-FR"/>
        </w:rPr>
        <w:t xml:space="preserve"> tableau 3, au 31 mai 2026, 69,63 % du total des contributions mises en recouvrement pour l'exercice biennal 2025-2026</w:t>
      </w:r>
      <w:r w:rsidR="00822565" w:rsidRPr="00B06DD1">
        <w:rPr>
          <w:rStyle w:val="normaltextrun"/>
          <w:b/>
          <w:bCs/>
          <w:color w:val="000000"/>
          <w:shd w:val="clear" w:color="auto" w:fill="FFFFFF"/>
          <w:lang w:val="fr-FR"/>
        </w:rPr>
        <w:t xml:space="preserve"> </w:t>
      </w:r>
      <w:r w:rsidR="00822565" w:rsidRPr="00B06DD1">
        <w:rPr>
          <w:rStyle w:val="normaltextrun"/>
          <w:color w:val="000000"/>
          <w:shd w:val="clear" w:color="auto" w:fill="FFFFFF"/>
          <w:lang w:val="fr-FR"/>
        </w:rPr>
        <w:t>avaient été versés par les Parties. Comme indiqué au tableau 4, à la même date, 94 Parties à la Convention, 80 Parties au Protocole de Cartagena et 57 Parties au Protocole de Nagoya avaient versé l'intégralité de leurs contributions mises en recouvrement pour 2025. En ce qui concerne 2026, 49 Parties à la Convention, 37 Parties au Protocole de Cartagena et 25 Parties au Protocole de Nagoya avaient versé l'intégralité de leurs contributions.</w:t>
      </w:r>
    </w:p>
    <w:p w14:paraId="51FCBA92" w14:textId="77777777" w:rsidR="00107A68" w:rsidRPr="00B06DD1" w:rsidRDefault="00E83DA7" w:rsidP="00E83DA7">
      <w:pPr>
        <w:tabs>
          <w:tab w:val="clear" w:pos="567"/>
          <w:tab w:val="clear" w:pos="1134"/>
          <w:tab w:val="clear" w:pos="1701"/>
          <w:tab w:val="clear" w:pos="2268"/>
        </w:tabs>
        <w:ind w:left="555"/>
        <w:jc w:val="left"/>
        <w:textAlignment w:val="baseline"/>
        <w:rPr>
          <w:rFonts w:eastAsia="Times New Roman"/>
          <w:b/>
          <w:bCs/>
          <w:lang w:val="fr-FR"/>
        </w:rPr>
      </w:pPr>
      <w:r w:rsidRPr="00B06DD1">
        <w:rPr>
          <w:rFonts w:eastAsia="Times New Roman"/>
          <w:lang w:val="fr-FR"/>
        </w:rPr>
        <w:t>Tableau 4</w:t>
      </w:r>
      <w:r w:rsidRPr="00B06DD1">
        <w:rPr>
          <w:rFonts w:eastAsia="Times New Roman"/>
          <w:b/>
          <w:bCs/>
          <w:lang w:val="fr-FR"/>
        </w:rPr>
        <w:t xml:space="preserve"> </w:t>
      </w:r>
    </w:p>
    <w:p w14:paraId="59A862CC" w14:textId="5A32FCFD" w:rsidR="00E83DA7" w:rsidRPr="00B06DD1" w:rsidRDefault="00E83DA7" w:rsidP="00E83DA7">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lang w:val="fr-FR"/>
        </w:rPr>
      </w:pPr>
      <w:r w:rsidRPr="00B06DD1">
        <w:rPr>
          <w:rFonts w:eastAsia="Times New Roman"/>
          <w:b/>
          <w:bCs/>
          <w:lang w:val="fr-FR"/>
        </w:rPr>
        <w:t>État des contributions mises en recouvrement pour l'exercice biennal 2025-2026 versées intégralement, au 31 mai 2026</w:t>
      </w:r>
    </w:p>
    <w:tbl>
      <w:tblPr>
        <w:tblW w:w="8780" w:type="dxa"/>
        <w:tblInd w:w="576" w:type="dxa"/>
        <w:tblBorders>
          <w:top w:val="outset" w:sz="6" w:space="0" w:color="auto"/>
          <w:left w:val="outset" w:sz="6" w:space="0" w:color="auto"/>
          <w:bottom w:val="outset" w:sz="6" w:space="0" w:color="auto"/>
          <w:right w:val="outset" w:sz="6" w:space="0" w:color="auto"/>
        </w:tblBorders>
        <w:tblLayout w:type="fixed"/>
        <w:tblCellMar>
          <w:left w:w="28" w:type="dxa"/>
          <w:right w:w="28" w:type="dxa"/>
        </w:tblCellMar>
        <w:tblLook w:val="04A0" w:firstRow="1" w:lastRow="0" w:firstColumn="1" w:lastColumn="0" w:noHBand="0" w:noVBand="1"/>
      </w:tblPr>
      <w:tblGrid>
        <w:gridCol w:w="2118"/>
        <w:gridCol w:w="1417"/>
        <w:gridCol w:w="1796"/>
        <w:gridCol w:w="47"/>
        <w:gridCol w:w="992"/>
        <w:gridCol w:w="342"/>
        <w:gridCol w:w="934"/>
        <w:gridCol w:w="1134"/>
      </w:tblGrid>
      <w:tr w:rsidR="005F2009" w:rsidRPr="00B06DD1" w14:paraId="3B074409" w14:textId="77777777" w:rsidTr="006E66AD">
        <w:trPr>
          <w:trHeight w:val="295"/>
        </w:trPr>
        <w:tc>
          <w:tcPr>
            <w:tcW w:w="2118" w:type="dxa"/>
            <w:vMerge w:val="restart"/>
            <w:tcBorders>
              <w:top w:val="single" w:sz="4" w:space="0" w:color="auto"/>
              <w:left w:val="nil"/>
              <w:right w:val="nil"/>
            </w:tcBorders>
            <w:vAlign w:val="bottom"/>
            <w:hideMark/>
          </w:tcPr>
          <w:p w14:paraId="2BE3195B" w14:textId="047470AE" w:rsidR="005F2009" w:rsidRPr="00B06DD1" w:rsidRDefault="005F2009" w:rsidP="00D96E88">
            <w:pPr>
              <w:tabs>
                <w:tab w:val="clear" w:pos="567"/>
                <w:tab w:val="clear" w:pos="1134"/>
                <w:tab w:val="clear" w:pos="1701"/>
                <w:tab w:val="clear" w:pos="2268"/>
              </w:tabs>
              <w:jc w:val="left"/>
              <w:textAlignment w:val="baseline"/>
              <w:rPr>
                <w:rFonts w:eastAsia="Times New Roman"/>
                <w:sz w:val="24"/>
                <w:szCs w:val="24"/>
                <w:lang w:val="fr-FR"/>
              </w:rPr>
            </w:pPr>
            <w:r w:rsidRPr="00B06DD1">
              <w:rPr>
                <w:rFonts w:eastAsia="Times New Roman"/>
                <w:i/>
                <w:iCs/>
                <w:sz w:val="18"/>
                <w:szCs w:val="18"/>
                <w:lang w:val="fr-FR"/>
              </w:rPr>
              <w:t>Fonds d'affectation spéciale</w:t>
            </w:r>
            <w:r w:rsidRPr="00B06DD1">
              <w:rPr>
                <w:rFonts w:eastAsia="Times New Roman"/>
                <w:sz w:val="18"/>
                <w:szCs w:val="18"/>
                <w:lang w:val="fr-FR"/>
              </w:rPr>
              <w:t xml:space="preserve"> </w:t>
            </w:r>
          </w:p>
        </w:tc>
        <w:tc>
          <w:tcPr>
            <w:tcW w:w="1417" w:type="dxa"/>
            <w:vMerge w:val="restart"/>
            <w:tcBorders>
              <w:top w:val="single" w:sz="4" w:space="0" w:color="auto"/>
              <w:left w:val="nil"/>
              <w:right w:val="nil"/>
            </w:tcBorders>
            <w:vAlign w:val="bottom"/>
            <w:hideMark/>
          </w:tcPr>
          <w:p w14:paraId="42508B74" w14:textId="0139DFFD" w:rsidR="005F2009" w:rsidRPr="00B06DD1" w:rsidRDefault="005F2009" w:rsidP="00440131">
            <w:pPr>
              <w:tabs>
                <w:tab w:val="clear" w:pos="567"/>
                <w:tab w:val="clear" w:pos="1134"/>
                <w:tab w:val="clear" w:pos="1701"/>
                <w:tab w:val="clear" w:pos="2268"/>
              </w:tabs>
              <w:ind w:right="139"/>
              <w:jc w:val="right"/>
              <w:textAlignment w:val="baseline"/>
              <w:rPr>
                <w:rFonts w:eastAsia="Times New Roman"/>
                <w:sz w:val="24"/>
                <w:szCs w:val="24"/>
                <w:lang w:val="fr-FR"/>
              </w:rPr>
            </w:pPr>
            <w:r w:rsidRPr="00B06DD1">
              <w:rPr>
                <w:rFonts w:eastAsia="Times New Roman"/>
                <w:i/>
                <w:iCs/>
                <w:sz w:val="18"/>
                <w:szCs w:val="18"/>
                <w:lang w:val="fr-FR"/>
              </w:rPr>
              <w:t>Nombre de Parties</w:t>
            </w:r>
          </w:p>
        </w:tc>
        <w:tc>
          <w:tcPr>
            <w:tcW w:w="3177" w:type="dxa"/>
            <w:gridSpan w:val="4"/>
            <w:tcBorders>
              <w:top w:val="single" w:sz="4" w:space="0" w:color="auto"/>
              <w:left w:val="nil"/>
              <w:bottom w:val="single" w:sz="4" w:space="0" w:color="auto"/>
              <w:right w:val="nil"/>
            </w:tcBorders>
            <w:vAlign w:val="bottom"/>
            <w:hideMark/>
          </w:tcPr>
          <w:p w14:paraId="00AAD3A9" w14:textId="1F399673" w:rsidR="005F2009" w:rsidRPr="00B06DD1" w:rsidRDefault="00921F04" w:rsidP="00440131">
            <w:pPr>
              <w:tabs>
                <w:tab w:val="clear" w:pos="567"/>
                <w:tab w:val="clear" w:pos="1134"/>
                <w:tab w:val="clear" w:pos="1701"/>
                <w:tab w:val="clear" w:pos="2268"/>
              </w:tabs>
              <w:jc w:val="center"/>
              <w:textAlignment w:val="baseline"/>
              <w:rPr>
                <w:rFonts w:eastAsia="Times New Roman"/>
                <w:i/>
                <w:iCs/>
                <w:sz w:val="24"/>
                <w:szCs w:val="24"/>
                <w:highlight w:val="cyan"/>
                <w:lang w:val="fr-FR"/>
              </w:rPr>
            </w:pPr>
            <w:r w:rsidRPr="00B06DD1">
              <w:rPr>
                <w:rFonts w:eastAsia="Times New Roman"/>
                <w:i/>
                <w:iCs/>
                <w:sz w:val="18"/>
                <w:szCs w:val="18"/>
                <w:lang w:val="fr-FR"/>
              </w:rPr>
              <w:t>Quote-part pour 2025</w:t>
            </w:r>
          </w:p>
        </w:tc>
        <w:tc>
          <w:tcPr>
            <w:tcW w:w="2068" w:type="dxa"/>
            <w:gridSpan w:val="2"/>
            <w:tcBorders>
              <w:top w:val="single" w:sz="4" w:space="0" w:color="auto"/>
              <w:left w:val="nil"/>
              <w:bottom w:val="single" w:sz="4" w:space="0" w:color="auto"/>
              <w:right w:val="nil"/>
            </w:tcBorders>
            <w:vAlign w:val="bottom"/>
          </w:tcPr>
          <w:p w14:paraId="57C1A5EC" w14:textId="4592EBDF" w:rsidR="005F2009" w:rsidRPr="00B06DD1" w:rsidRDefault="00921F04" w:rsidP="00440131">
            <w:pPr>
              <w:tabs>
                <w:tab w:val="clear" w:pos="567"/>
                <w:tab w:val="clear" w:pos="1134"/>
                <w:tab w:val="clear" w:pos="1701"/>
                <w:tab w:val="clear" w:pos="2268"/>
              </w:tabs>
              <w:jc w:val="center"/>
              <w:textAlignment w:val="baseline"/>
              <w:rPr>
                <w:rFonts w:eastAsia="Times New Roman"/>
                <w:i/>
                <w:iCs/>
                <w:sz w:val="18"/>
                <w:szCs w:val="18"/>
                <w:lang w:val="fr-FR"/>
              </w:rPr>
            </w:pPr>
            <w:r w:rsidRPr="00B06DD1">
              <w:rPr>
                <w:rFonts w:eastAsia="Times New Roman"/>
                <w:i/>
                <w:iCs/>
                <w:sz w:val="18"/>
                <w:szCs w:val="18"/>
                <w:lang w:val="fr-FR"/>
              </w:rPr>
              <w:t xml:space="preserve">Quote-part pour </w:t>
            </w:r>
            <w:r w:rsidRPr="00B06DD1">
              <w:rPr>
                <w:rFonts w:asciiTheme="minorHAnsi" w:eastAsiaTheme="minorEastAsia" w:hAnsiTheme="minorHAnsi" w:cstheme="minorBidi"/>
                <w:i/>
                <w:iCs/>
                <w:sz w:val="18"/>
                <w:szCs w:val="18"/>
                <w:lang w:val="fr-FR"/>
              </w:rPr>
              <w:t>2026</w:t>
            </w:r>
          </w:p>
        </w:tc>
      </w:tr>
      <w:tr w:rsidR="005F2009" w:rsidRPr="00B06DD1" w14:paraId="06985121" w14:textId="77777777" w:rsidTr="00EE059A">
        <w:trPr>
          <w:trHeight w:val="295"/>
        </w:trPr>
        <w:tc>
          <w:tcPr>
            <w:tcW w:w="2118" w:type="dxa"/>
            <w:vMerge/>
            <w:tcBorders>
              <w:left w:val="nil"/>
              <w:bottom w:val="single" w:sz="4" w:space="0" w:color="auto"/>
              <w:right w:val="nil"/>
            </w:tcBorders>
            <w:vAlign w:val="bottom"/>
          </w:tcPr>
          <w:p w14:paraId="3CFD5854" w14:textId="77777777" w:rsidR="005F2009" w:rsidRPr="00B06DD1" w:rsidRDefault="005F2009" w:rsidP="005F2009">
            <w:pPr>
              <w:tabs>
                <w:tab w:val="clear" w:pos="567"/>
                <w:tab w:val="clear" w:pos="1134"/>
                <w:tab w:val="clear" w:pos="1701"/>
                <w:tab w:val="clear" w:pos="2268"/>
              </w:tabs>
              <w:jc w:val="left"/>
              <w:textAlignment w:val="baseline"/>
              <w:rPr>
                <w:rFonts w:eastAsia="Times New Roman"/>
                <w:i/>
                <w:iCs/>
                <w:sz w:val="18"/>
                <w:szCs w:val="18"/>
                <w:lang w:val="fr-FR"/>
              </w:rPr>
            </w:pPr>
          </w:p>
        </w:tc>
        <w:tc>
          <w:tcPr>
            <w:tcW w:w="1417" w:type="dxa"/>
            <w:vMerge/>
            <w:tcBorders>
              <w:left w:val="nil"/>
              <w:bottom w:val="single" w:sz="4" w:space="0" w:color="auto"/>
              <w:right w:val="nil"/>
            </w:tcBorders>
            <w:vAlign w:val="bottom"/>
          </w:tcPr>
          <w:p w14:paraId="5E3264A5" w14:textId="77777777" w:rsidR="005F2009" w:rsidRPr="00B06DD1" w:rsidRDefault="005F2009" w:rsidP="005F2009">
            <w:pPr>
              <w:tabs>
                <w:tab w:val="clear" w:pos="567"/>
                <w:tab w:val="clear" w:pos="1134"/>
                <w:tab w:val="clear" w:pos="1701"/>
                <w:tab w:val="clear" w:pos="2268"/>
              </w:tabs>
              <w:ind w:right="139"/>
              <w:jc w:val="right"/>
              <w:textAlignment w:val="baseline"/>
              <w:rPr>
                <w:rFonts w:eastAsia="Times New Roman"/>
                <w:i/>
                <w:iCs/>
                <w:sz w:val="18"/>
                <w:szCs w:val="18"/>
                <w:lang w:val="fr-FR"/>
              </w:rPr>
            </w:pPr>
          </w:p>
        </w:tc>
        <w:tc>
          <w:tcPr>
            <w:tcW w:w="1843" w:type="dxa"/>
            <w:gridSpan w:val="2"/>
            <w:tcBorders>
              <w:top w:val="single" w:sz="4" w:space="0" w:color="auto"/>
              <w:left w:val="nil"/>
              <w:bottom w:val="single" w:sz="4" w:space="0" w:color="auto"/>
              <w:right w:val="nil"/>
            </w:tcBorders>
            <w:vAlign w:val="bottom"/>
          </w:tcPr>
          <w:p w14:paraId="13045A46" w14:textId="0DDD216C" w:rsidR="005F2009" w:rsidRPr="00B06DD1" w:rsidRDefault="005F2009" w:rsidP="005F2009">
            <w:pPr>
              <w:tabs>
                <w:tab w:val="clear" w:pos="567"/>
                <w:tab w:val="clear" w:pos="1134"/>
                <w:tab w:val="clear" w:pos="1701"/>
                <w:tab w:val="clear" w:pos="2268"/>
              </w:tabs>
              <w:jc w:val="right"/>
              <w:textAlignment w:val="baseline"/>
              <w:rPr>
                <w:rFonts w:eastAsia="Times New Roman"/>
                <w:i/>
                <w:iCs/>
                <w:sz w:val="18"/>
                <w:szCs w:val="18"/>
                <w:lang w:val="fr-FR"/>
              </w:rPr>
            </w:pPr>
            <w:r w:rsidRPr="00B06DD1">
              <w:rPr>
                <w:rFonts w:eastAsia="Times New Roman"/>
                <w:i/>
                <w:iCs/>
                <w:sz w:val="18"/>
                <w:szCs w:val="18"/>
                <w:lang w:val="fr-FR"/>
              </w:rPr>
              <w:t>Nombre de Parties ayant versé l'intégralité</w:t>
            </w:r>
            <w:r w:rsidRPr="00B06DD1">
              <w:rPr>
                <w:rFonts w:eastAsia="Times New Roman"/>
                <w:sz w:val="18"/>
                <w:szCs w:val="18"/>
                <w:lang w:val="fr-FR"/>
              </w:rPr>
              <w:t xml:space="preserve"> </w:t>
            </w:r>
          </w:p>
        </w:tc>
        <w:tc>
          <w:tcPr>
            <w:tcW w:w="992" w:type="dxa"/>
            <w:tcBorders>
              <w:top w:val="single" w:sz="4" w:space="0" w:color="auto"/>
              <w:left w:val="nil"/>
              <w:bottom w:val="single" w:sz="4" w:space="0" w:color="auto"/>
              <w:right w:val="nil"/>
            </w:tcBorders>
            <w:vAlign w:val="bottom"/>
          </w:tcPr>
          <w:p w14:paraId="4E4BF318" w14:textId="43C4964C" w:rsidR="005F2009" w:rsidRPr="00B06DD1" w:rsidRDefault="008E4668" w:rsidP="00440131">
            <w:pPr>
              <w:tabs>
                <w:tab w:val="clear" w:pos="567"/>
                <w:tab w:val="clear" w:pos="1134"/>
                <w:tab w:val="clear" w:pos="1701"/>
                <w:tab w:val="clear" w:pos="2268"/>
              </w:tabs>
              <w:ind w:left="-128" w:right="116"/>
              <w:jc w:val="right"/>
              <w:textAlignment w:val="baseline"/>
              <w:rPr>
                <w:rFonts w:eastAsia="Times New Roman"/>
                <w:i/>
                <w:iCs/>
                <w:sz w:val="18"/>
                <w:szCs w:val="18"/>
                <w:lang w:val="fr-FR"/>
              </w:rPr>
            </w:pPr>
            <w:r w:rsidRPr="00B06DD1">
              <w:rPr>
                <w:rFonts w:eastAsia="Times New Roman"/>
                <w:i/>
                <w:iCs/>
                <w:sz w:val="18"/>
                <w:szCs w:val="18"/>
                <w:lang w:val="fr-FR"/>
              </w:rPr>
              <w:t>Po</w:t>
            </w:r>
            <w:r w:rsidR="005F2009" w:rsidRPr="00B06DD1">
              <w:rPr>
                <w:rFonts w:eastAsia="Times New Roman"/>
                <w:i/>
                <w:iCs/>
                <w:sz w:val="18"/>
                <w:szCs w:val="18"/>
                <w:lang w:val="fr-FR"/>
              </w:rPr>
              <w:t>urcentage</w:t>
            </w:r>
          </w:p>
        </w:tc>
        <w:tc>
          <w:tcPr>
            <w:tcW w:w="1276" w:type="dxa"/>
            <w:gridSpan w:val="2"/>
            <w:tcBorders>
              <w:top w:val="single" w:sz="4" w:space="0" w:color="auto"/>
              <w:left w:val="nil"/>
              <w:bottom w:val="single" w:sz="4" w:space="0" w:color="auto"/>
              <w:right w:val="nil"/>
            </w:tcBorders>
            <w:vAlign w:val="bottom"/>
          </w:tcPr>
          <w:p w14:paraId="7F590B7F" w14:textId="5A3446A0" w:rsidR="005F2009" w:rsidRPr="00B06DD1" w:rsidRDefault="005F2009" w:rsidP="005F2009">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i/>
                <w:iCs/>
                <w:sz w:val="18"/>
                <w:szCs w:val="18"/>
                <w:lang w:val="fr-FR"/>
              </w:rPr>
              <w:t>Nombre de Parties</w:t>
            </w:r>
            <w:r w:rsidRPr="00B06DD1">
              <w:rPr>
                <w:rFonts w:eastAsia="Times New Roman"/>
                <w:sz w:val="18"/>
                <w:szCs w:val="18"/>
                <w:lang w:val="fr-FR"/>
              </w:rPr>
              <w:t xml:space="preserve"> </w:t>
            </w:r>
          </w:p>
          <w:p w14:paraId="3025F206" w14:textId="57E0FF13" w:rsidR="005F2009" w:rsidRPr="00B06DD1" w:rsidRDefault="00921F04" w:rsidP="005F2009">
            <w:pPr>
              <w:tabs>
                <w:tab w:val="clear" w:pos="567"/>
                <w:tab w:val="clear" w:pos="1134"/>
                <w:tab w:val="clear" w:pos="1701"/>
                <w:tab w:val="clear" w:pos="2268"/>
              </w:tabs>
              <w:jc w:val="right"/>
              <w:textAlignment w:val="baseline"/>
              <w:rPr>
                <w:rFonts w:asciiTheme="minorHAnsi" w:eastAsiaTheme="minorEastAsia" w:hAnsiTheme="minorHAnsi" w:cstheme="minorBidi"/>
                <w:i/>
                <w:iCs/>
                <w:sz w:val="18"/>
                <w:szCs w:val="18"/>
                <w:lang w:val="fr-FR"/>
              </w:rPr>
            </w:pPr>
            <w:proofErr w:type="gramStart"/>
            <w:r w:rsidRPr="00B06DD1">
              <w:rPr>
                <w:rFonts w:eastAsia="Times New Roman"/>
                <w:i/>
                <w:iCs/>
                <w:sz w:val="18"/>
                <w:szCs w:val="18"/>
                <w:lang w:val="fr-FR"/>
              </w:rPr>
              <w:t>ayant</w:t>
            </w:r>
            <w:proofErr w:type="gramEnd"/>
            <w:r w:rsidRPr="00B06DD1">
              <w:rPr>
                <w:rFonts w:eastAsia="Times New Roman"/>
                <w:i/>
                <w:iCs/>
                <w:sz w:val="18"/>
                <w:szCs w:val="18"/>
                <w:lang w:val="fr-FR"/>
              </w:rPr>
              <w:t xml:space="preserve"> versé l'intégralité</w:t>
            </w:r>
            <w:r w:rsidRPr="00B06DD1">
              <w:rPr>
                <w:rFonts w:eastAsia="Times New Roman"/>
                <w:sz w:val="18"/>
                <w:szCs w:val="18"/>
                <w:lang w:val="fr-FR"/>
              </w:rPr>
              <w:t xml:space="preserve"> </w:t>
            </w:r>
          </w:p>
        </w:tc>
        <w:tc>
          <w:tcPr>
            <w:tcW w:w="1134" w:type="dxa"/>
            <w:tcBorders>
              <w:top w:val="single" w:sz="4" w:space="0" w:color="auto"/>
              <w:left w:val="nil"/>
              <w:bottom w:val="single" w:sz="4" w:space="0" w:color="auto"/>
              <w:right w:val="nil"/>
            </w:tcBorders>
            <w:vAlign w:val="bottom"/>
          </w:tcPr>
          <w:p w14:paraId="3B4CA665" w14:textId="258B07C1" w:rsidR="005F2009" w:rsidRPr="00B06DD1" w:rsidRDefault="005F2009" w:rsidP="005F2009">
            <w:pPr>
              <w:tabs>
                <w:tab w:val="clear" w:pos="567"/>
                <w:tab w:val="clear" w:pos="1134"/>
                <w:tab w:val="clear" w:pos="1701"/>
                <w:tab w:val="clear" w:pos="2268"/>
              </w:tabs>
              <w:jc w:val="right"/>
              <w:textAlignment w:val="baseline"/>
              <w:rPr>
                <w:rFonts w:asciiTheme="minorHAnsi" w:eastAsiaTheme="minorEastAsia" w:hAnsiTheme="minorHAnsi" w:cstheme="minorBidi"/>
                <w:i/>
                <w:iCs/>
                <w:sz w:val="18"/>
                <w:szCs w:val="18"/>
                <w:lang w:val="fr-FR"/>
              </w:rPr>
            </w:pPr>
            <w:r w:rsidRPr="00B06DD1">
              <w:rPr>
                <w:rFonts w:eastAsia="Times New Roman"/>
                <w:i/>
                <w:iCs/>
                <w:sz w:val="18"/>
                <w:szCs w:val="18"/>
                <w:lang w:val="fr-FR"/>
              </w:rPr>
              <w:t>Pourcentage</w:t>
            </w:r>
            <w:r w:rsidRPr="00B06DD1">
              <w:rPr>
                <w:rFonts w:asciiTheme="minorHAnsi" w:eastAsiaTheme="minorEastAsia" w:hAnsiTheme="minorHAnsi" w:cstheme="minorBidi"/>
                <w:i/>
                <w:iCs/>
                <w:sz w:val="18"/>
                <w:szCs w:val="18"/>
                <w:lang w:val="fr-FR"/>
              </w:rPr>
              <w:t xml:space="preserve"> </w:t>
            </w:r>
          </w:p>
        </w:tc>
      </w:tr>
      <w:tr w:rsidR="008E4668" w:rsidRPr="00B06DD1" w14:paraId="2B40BFCC" w14:textId="77777777" w:rsidTr="00EE059A">
        <w:trPr>
          <w:trHeight w:val="255"/>
        </w:trPr>
        <w:tc>
          <w:tcPr>
            <w:tcW w:w="2118" w:type="dxa"/>
            <w:tcBorders>
              <w:top w:val="nil"/>
              <w:left w:val="nil"/>
              <w:bottom w:val="nil"/>
              <w:right w:val="nil"/>
            </w:tcBorders>
            <w:vAlign w:val="bottom"/>
            <w:hideMark/>
          </w:tcPr>
          <w:p w14:paraId="2026AEFD" w14:textId="3B2F6AC0" w:rsidR="008E4668" w:rsidRPr="00B06DD1" w:rsidRDefault="008E4668" w:rsidP="008E4668">
            <w:pPr>
              <w:jc w:val="left"/>
              <w:rPr>
                <w:lang w:val="fr-FR"/>
              </w:rPr>
            </w:pPr>
            <w:r w:rsidRPr="00B06DD1">
              <w:rPr>
                <w:rFonts w:eastAsia="Times New Roman"/>
                <w:sz w:val="18"/>
                <w:szCs w:val="18"/>
                <w:lang w:val="fr-FR"/>
              </w:rPr>
              <w:t xml:space="preserve">Fonds d'affectation spéciale </w:t>
            </w:r>
            <w:r w:rsidR="00FE0B1B" w:rsidRPr="00B06DD1">
              <w:rPr>
                <w:rFonts w:eastAsia="Times New Roman"/>
                <w:sz w:val="18"/>
                <w:szCs w:val="18"/>
                <w:lang w:val="fr-FR"/>
              </w:rPr>
              <w:t xml:space="preserve">de la </w:t>
            </w:r>
            <w:r w:rsidRPr="00B06DD1">
              <w:rPr>
                <w:rFonts w:eastAsia="Times New Roman"/>
                <w:sz w:val="18"/>
                <w:szCs w:val="18"/>
                <w:lang w:val="fr-FR"/>
              </w:rPr>
              <w:t>Convention sur la diversité biologique</w:t>
            </w:r>
          </w:p>
        </w:tc>
        <w:tc>
          <w:tcPr>
            <w:tcW w:w="1417" w:type="dxa"/>
            <w:tcBorders>
              <w:top w:val="nil"/>
              <w:left w:val="nil"/>
              <w:bottom w:val="nil"/>
              <w:right w:val="nil"/>
            </w:tcBorders>
            <w:hideMark/>
          </w:tcPr>
          <w:p w14:paraId="7233068D" w14:textId="7D27ACE2" w:rsidR="008E4668" w:rsidRPr="00B06DD1" w:rsidRDefault="008E4668" w:rsidP="008E4668">
            <w:pPr>
              <w:jc w:val="right"/>
              <w:rPr>
                <w:lang w:val="fr-FR"/>
              </w:rPr>
            </w:pPr>
            <w:r w:rsidRPr="00B06DD1">
              <w:rPr>
                <w:rFonts w:eastAsia="Times New Roman"/>
                <w:sz w:val="18"/>
                <w:szCs w:val="18"/>
                <w:lang w:val="fr-FR"/>
              </w:rPr>
              <w:t>196</w:t>
            </w:r>
          </w:p>
        </w:tc>
        <w:tc>
          <w:tcPr>
            <w:tcW w:w="1796" w:type="dxa"/>
            <w:tcBorders>
              <w:top w:val="nil"/>
              <w:left w:val="nil"/>
              <w:bottom w:val="nil"/>
              <w:right w:val="nil"/>
            </w:tcBorders>
            <w:hideMark/>
          </w:tcPr>
          <w:p w14:paraId="1B79CCBA" w14:textId="6DC1B038" w:rsidR="008E4668" w:rsidRPr="00B06DD1" w:rsidRDefault="008E4668" w:rsidP="008E4668">
            <w:pPr>
              <w:jc w:val="right"/>
              <w:rPr>
                <w:lang w:val="fr-FR"/>
              </w:rPr>
            </w:pPr>
            <w:r w:rsidRPr="00B06DD1">
              <w:rPr>
                <w:rFonts w:eastAsia="Times New Roman"/>
                <w:sz w:val="18"/>
                <w:szCs w:val="18"/>
                <w:lang w:val="fr-FR"/>
              </w:rPr>
              <w:t>94</w:t>
            </w:r>
          </w:p>
        </w:tc>
        <w:tc>
          <w:tcPr>
            <w:tcW w:w="1039" w:type="dxa"/>
            <w:gridSpan w:val="2"/>
            <w:tcBorders>
              <w:top w:val="nil"/>
              <w:left w:val="nil"/>
              <w:bottom w:val="nil"/>
              <w:right w:val="nil"/>
            </w:tcBorders>
            <w:hideMark/>
          </w:tcPr>
          <w:p w14:paraId="33F1C337" w14:textId="479CA3EC" w:rsidR="008E4668" w:rsidRPr="00B06DD1" w:rsidRDefault="008E4668" w:rsidP="008E4668">
            <w:pPr>
              <w:ind w:left="-128" w:right="116"/>
              <w:jc w:val="right"/>
              <w:rPr>
                <w:lang w:val="fr-FR"/>
              </w:rPr>
            </w:pPr>
            <w:r w:rsidRPr="00B06DD1">
              <w:rPr>
                <w:rFonts w:eastAsia="Times New Roman"/>
                <w:sz w:val="18"/>
                <w:szCs w:val="18"/>
                <w:lang w:val="fr-FR"/>
              </w:rPr>
              <w:t>47</w:t>
            </w:r>
            <w:r w:rsidR="005B7080" w:rsidRPr="00B06DD1">
              <w:rPr>
                <w:rFonts w:eastAsia="Times New Roman"/>
                <w:sz w:val="18"/>
                <w:szCs w:val="18"/>
                <w:lang w:val="fr-FR"/>
              </w:rPr>
              <w:t>,</w:t>
            </w:r>
            <w:r w:rsidRPr="00B06DD1">
              <w:rPr>
                <w:rFonts w:eastAsia="Times New Roman"/>
                <w:sz w:val="18"/>
                <w:szCs w:val="18"/>
                <w:lang w:val="fr-FR"/>
              </w:rPr>
              <w:t>96</w:t>
            </w:r>
          </w:p>
        </w:tc>
        <w:tc>
          <w:tcPr>
            <w:tcW w:w="1276" w:type="dxa"/>
            <w:gridSpan w:val="2"/>
            <w:tcBorders>
              <w:top w:val="nil"/>
              <w:left w:val="nil"/>
              <w:bottom w:val="nil"/>
              <w:right w:val="nil"/>
            </w:tcBorders>
            <w:hideMark/>
          </w:tcPr>
          <w:p w14:paraId="7D1625D4" w14:textId="58281E16" w:rsidR="008E4668" w:rsidRPr="00B06DD1" w:rsidRDefault="008E4668" w:rsidP="008E4668">
            <w:pPr>
              <w:jc w:val="right"/>
              <w:rPr>
                <w:lang w:val="fr-FR"/>
              </w:rPr>
            </w:pPr>
            <w:r w:rsidRPr="00B06DD1">
              <w:rPr>
                <w:rFonts w:eastAsia="Times New Roman"/>
                <w:sz w:val="18"/>
                <w:szCs w:val="18"/>
                <w:lang w:val="fr-FR"/>
              </w:rPr>
              <w:t>49</w:t>
            </w:r>
          </w:p>
        </w:tc>
        <w:tc>
          <w:tcPr>
            <w:tcW w:w="1134" w:type="dxa"/>
            <w:tcBorders>
              <w:top w:val="nil"/>
              <w:left w:val="nil"/>
              <w:bottom w:val="nil"/>
              <w:right w:val="nil"/>
            </w:tcBorders>
            <w:hideMark/>
          </w:tcPr>
          <w:p w14:paraId="682CD654" w14:textId="41CF5164" w:rsidR="008E4668" w:rsidRPr="00B06DD1" w:rsidRDefault="008E4668" w:rsidP="008E4668">
            <w:pPr>
              <w:jc w:val="right"/>
              <w:rPr>
                <w:lang w:val="fr-FR"/>
              </w:rPr>
            </w:pPr>
            <w:r w:rsidRPr="00B06DD1">
              <w:rPr>
                <w:rFonts w:eastAsia="Times New Roman"/>
                <w:sz w:val="18"/>
                <w:szCs w:val="18"/>
                <w:lang w:val="fr-FR"/>
              </w:rPr>
              <w:t>25</w:t>
            </w:r>
            <w:r w:rsidR="005B7080" w:rsidRPr="00B06DD1">
              <w:rPr>
                <w:rFonts w:eastAsia="Times New Roman"/>
                <w:sz w:val="18"/>
                <w:szCs w:val="18"/>
                <w:lang w:val="fr-FR"/>
              </w:rPr>
              <w:t>,</w:t>
            </w:r>
            <w:r w:rsidRPr="00B06DD1">
              <w:rPr>
                <w:rFonts w:eastAsia="Times New Roman"/>
                <w:sz w:val="18"/>
                <w:szCs w:val="18"/>
                <w:lang w:val="fr-FR"/>
              </w:rPr>
              <w:t>00</w:t>
            </w:r>
          </w:p>
        </w:tc>
      </w:tr>
      <w:tr w:rsidR="008E4668" w:rsidRPr="00B06DD1" w14:paraId="2ACB53A6" w14:textId="77777777" w:rsidTr="00EE059A">
        <w:trPr>
          <w:trHeight w:val="255"/>
        </w:trPr>
        <w:tc>
          <w:tcPr>
            <w:tcW w:w="2118" w:type="dxa"/>
            <w:tcBorders>
              <w:top w:val="nil"/>
              <w:left w:val="nil"/>
              <w:bottom w:val="nil"/>
              <w:right w:val="nil"/>
            </w:tcBorders>
            <w:vAlign w:val="bottom"/>
            <w:hideMark/>
          </w:tcPr>
          <w:p w14:paraId="2099DB93" w14:textId="28833C8D" w:rsidR="008E4668" w:rsidRPr="00B06DD1" w:rsidRDefault="008E4668" w:rsidP="008E4668">
            <w:pPr>
              <w:jc w:val="left"/>
              <w:rPr>
                <w:lang w:val="fr-FR"/>
              </w:rPr>
            </w:pPr>
            <w:r w:rsidRPr="00B06DD1">
              <w:rPr>
                <w:rFonts w:eastAsia="Times New Roman"/>
                <w:sz w:val="18"/>
                <w:szCs w:val="18"/>
                <w:lang w:val="fr-FR"/>
              </w:rPr>
              <w:t xml:space="preserve">Fonds d'affectation spéciale pour le budget de programme de base pour le Protocole de Cartagena </w:t>
            </w:r>
          </w:p>
        </w:tc>
        <w:tc>
          <w:tcPr>
            <w:tcW w:w="1417" w:type="dxa"/>
            <w:tcBorders>
              <w:top w:val="nil"/>
              <w:left w:val="nil"/>
              <w:bottom w:val="nil"/>
              <w:right w:val="nil"/>
            </w:tcBorders>
            <w:hideMark/>
          </w:tcPr>
          <w:p w14:paraId="0D0120D6" w14:textId="02D66A05" w:rsidR="008E4668" w:rsidRPr="00B06DD1" w:rsidRDefault="008E4668" w:rsidP="008E4668">
            <w:pPr>
              <w:jc w:val="right"/>
              <w:rPr>
                <w:lang w:val="fr-FR"/>
              </w:rPr>
            </w:pPr>
            <w:r w:rsidRPr="00B06DD1">
              <w:rPr>
                <w:rFonts w:eastAsia="Times New Roman"/>
                <w:sz w:val="18"/>
                <w:szCs w:val="18"/>
                <w:lang w:val="fr-FR"/>
              </w:rPr>
              <w:t>173</w:t>
            </w:r>
          </w:p>
        </w:tc>
        <w:tc>
          <w:tcPr>
            <w:tcW w:w="1796" w:type="dxa"/>
            <w:tcBorders>
              <w:top w:val="nil"/>
              <w:left w:val="nil"/>
              <w:bottom w:val="nil"/>
              <w:right w:val="nil"/>
            </w:tcBorders>
            <w:hideMark/>
          </w:tcPr>
          <w:p w14:paraId="4038C361" w14:textId="5171EAAA" w:rsidR="008E4668" w:rsidRPr="00B06DD1" w:rsidRDefault="008E4668" w:rsidP="008E4668">
            <w:pPr>
              <w:jc w:val="right"/>
              <w:rPr>
                <w:lang w:val="fr-FR"/>
              </w:rPr>
            </w:pPr>
            <w:r w:rsidRPr="00B06DD1">
              <w:rPr>
                <w:rFonts w:eastAsia="Times New Roman"/>
                <w:sz w:val="18"/>
                <w:szCs w:val="18"/>
                <w:lang w:val="fr-FR"/>
              </w:rPr>
              <w:t>80</w:t>
            </w:r>
          </w:p>
        </w:tc>
        <w:tc>
          <w:tcPr>
            <w:tcW w:w="1039" w:type="dxa"/>
            <w:gridSpan w:val="2"/>
            <w:tcBorders>
              <w:top w:val="nil"/>
              <w:left w:val="nil"/>
              <w:bottom w:val="nil"/>
              <w:right w:val="nil"/>
            </w:tcBorders>
            <w:hideMark/>
          </w:tcPr>
          <w:p w14:paraId="6E41BF53" w14:textId="2076FFD1" w:rsidR="008E4668" w:rsidRPr="00B06DD1" w:rsidRDefault="008E4668" w:rsidP="008E4668">
            <w:pPr>
              <w:ind w:left="-128" w:right="116"/>
              <w:jc w:val="right"/>
              <w:rPr>
                <w:lang w:val="fr-FR"/>
              </w:rPr>
            </w:pPr>
            <w:r w:rsidRPr="00B06DD1">
              <w:rPr>
                <w:rFonts w:eastAsia="Times New Roman"/>
                <w:sz w:val="18"/>
                <w:szCs w:val="18"/>
                <w:lang w:val="fr-FR"/>
              </w:rPr>
              <w:t>46</w:t>
            </w:r>
            <w:r w:rsidR="005B7080" w:rsidRPr="00B06DD1">
              <w:rPr>
                <w:rFonts w:eastAsia="Times New Roman"/>
                <w:sz w:val="18"/>
                <w:szCs w:val="18"/>
                <w:lang w:val="fr-FR"/>
              </w:rPr>
              <w:t>,</w:t>
            </w:r>
            <w:r w:rsidRPr="00B06DD1">
              <w:rPr>
                <w:rFonts w:eastAsia="Times New Roman"/>
                <w:sz w:val="18"/>
                <w:szCs w:val="18"/>
                <w:lang w:val="fr-FR"/>
              </w:rPr>
              <w:t>24</w:t>
            </w:r>
          </w:p>
        </w:tc>
        <w:tc>
          <w:tcPr>
            <w:tcW w:w="1276" w:type="dxa"/>
            <w:gridSpan w:val="2"/>
            <w:tcBorders>
              <w:top w:val="nil"/>
              <w:left w:val="nil"/>
              <w:bottom w:val="nil"/>
              <w:right w:val="nil"/>
            </w:tcBorders>
            <w:hideMark/>
          </w:tcPr>
          <w:p w14:paraId="61D14123" w14:textId="352FE6B2" w:rsidR="008E4668" w:rsidRPr="00B06DD1" w:rsidRDefault="008E4668" w:rsidP="008E4668">
            <w:pPr>
              <w:jc w:val="right"/>
              <w:rPr>
                <w:lang w:val="fr-FR"/>
              </w:rPr>
            </w:pPr>
            <w:r w:rsidRPr="00B06DD1">
              <w:rPr>
                <w:rFonts w:eastAsia="Times New Roman"/>
                <w:sz w:val="18"/>
                <w:szCs w:val="18"/>
                <w:lang w:val="fr-FR"/>
              </w:rPr>
              <w:t>37</w:t>
            </w:r>
          </w:p>
        </w:tc>
        <w:tc>
          <w:tcPr>
            <w:tcW w:w="1134" w:type="dxa"/>
            <w:tcBorders>
              <w:top w:val="nil"/>
              <w:left w:val="nil"/>
              <w:bottom w:val="nil"/>
              <w:right w:val="nil"/>
            </w:tcBorders>
            <w:hideMark/>
          </w:tcPr>
          <w:p w14:paraId="1C9E1565" w14:textId="3F879A4B" w:rsidR="008E4668" w:rsidRPr="00B06DD1" w:rsidRDefault="008E4668" w:rsidP="008E4668">
            <w:pPr>
              <w:jc w:val="right"/>
              <w:rPr>
                <w:lang w:val="fr-FR"/>
              </w:rPr>
            </w:pPr>
            <w:r w:rsidRPr="00B06DD1">
              <w:rPr>
                <w:rFonts w:eastAsia="Times New Roman"/>
                <w:sz w:val="18"/>
                <w:szCs w:val="18"/>
                <w:lang w:val="fr-FR"/>
              </w:rPr>
              <w:t>21</w:t>
            </w:r>
            <w:r w:rsidR="005B7080" w:rsidRPr="00B06DD1">
              <w:rPr>
                <w:rFonts w:eastAsia="Times New Roman"/>
                <w:sz w:val="18"/>
                <w:szCs w:val="18"/>
                <w:lang w:val="fr-FR"/>
              </w:rPr>
              <w:t>,</w:t>
            </w:r>
            <w:r w:rsidRPr="00B06DD1">
              <w:rPr>
                <w:rFonts w:eastAsia="Times New Roman"/>
                <w:sz w:val="18"/>
                <w:szCs w:val="18"/>
                <w:lang w:val="fr-FR"/>
              </w:rPr>
              <w:t>39</w:t>
            </w:r>
          </w:p>
        </w:tc>
      </w:tr>
      <w:tr w:rsidR="008E4668" w:rsidRPr="00B06DD1" w14:paraId="39917DEF" w14:textId="77777777" w:rsidTr="00EE059A">
        <w:trPr>
          <w:trHeight w:val="255"/>
        </w:trPr>
        <w:tc>
          <w:tcPr>
            <w:tcW w:w="2118" w:type="dxa"/>
            <w:tcBorders>
              <w:top w:val="nil"/>
              <w:left w:val="nil"/>
              <w:bottom w:val="single" w:sz="4" w:space="0" w:color="000000" w:themeColor="text1"/>
              <w:right w:val="nil"/>
            </w:tcBorders>
            <w:vAlign w:val="bottom"/>
            <w:hideMark/>
          </w:tcPr>
          <w:p w14:paraId="63E703DD" w14:textId="77AF061A" w:rsidR="008E4668" w:rsidRPr="00B06DD1" w:rsidRDefault="008E4668" w:rsidP="008E4668">
            <w:pPr>
              <w:jc w:val="left"/>
              <w:rPr>
                <w:lang w:val="fr-FR"/>
              </w:rPr>
            </w:pPr>
            <w:r w:rsidRPr="00B06DD1">
              <w:rPr>
                <w:rFonts w:eastAsia="Times New Roman"/>
                <w:sz w:val="18"/>
                <w:szCs w:val="18"/>
                <w:lang w:val="fr-FR"/>
              </w:rPr>
              <w:t xml:space="preserve">Fonds d'affectation spéciale pour le budget de programme de base pour le Protocole de Nagoya </w:t>
            </w:r>
          </w:p>
        </w:tc>
        <w:tc>
          <w:tcPr>
            <w:tcW w:w="1417" w:type="dxa"/>
            <w:tcBorders>
              <w:top w:val="nil"/>
              <w:left w:val="nil"/>
              <w:bottom w:val="single" w:sz="4" w:space="0" w:color="000000" w:themeColor="text1"/>
              <w:right w:val="nil"/>
            </w:tcBorders>
            <w:hideMark/>
          </w:tcPr>
          <w:p w14:paraId="78FE61FA" w14:textId="664B5952" w:rsidR="008E4668" w:rsidRPr="00B06DD1" w:rsidRDefault="008E4668" w:rsidP="008E4668">
            <w:pPr>
              <w:jc w:val="right"/>
              <w:rPr>
                <w:lang w:val="fr-FR"/>
              </w:rPr>
            </w:pPr>
            <w:r w:rsidRPr="00B06DD1">
              <w:rPr>
                <w:rFonts w:eastAsia="Times New Roman"/>
                <w:sz w:val="18"/>
                <w:szCs w:val="18"/>
                <w:lang w:val="fr-FR"/>
              </w:rPr>
              <w:t>142</w:t>
            </w:r>
          </w:p>
        </w:tc>
        <w:tc>
          <w:tcPr>
            <w:tcW w:w="1796" w:type="dxa"/>
            <w:tcBorders>
              <w:top w:val="nil"/>
              <w:left w:val="nil"/>
              <w:bottom w:val="single" w:sz="4" w:space="0" w:color="000000" w:themeColor="text1"/>
              <w:right w:val="nil"/>
            </w:tcBorders>
            <w:hideMark/>
          </w:tcPr>
          <w:p w14:paraId="4C067F2D" w14:textId="4B8908AE" w:rsidR="008E4668" w:rsidRPr="00B06DD1" w:rsidRDefault="008E4668" w:rsidP="008E4668">
            <w:pPr>
              <w:jc w:val="right"/>
              <w:rPr>
                <w:lang w:val="fr-FR"/>
              </w:rPr>
            </w:pPr>
            <w:r w:rsidRPr="00B06DD1">
              <w:rPr>
                <w:rFonts w:eastAsia="Times New Roman"/>
                <w:sz w:val="18"/>
                <w:szCs w:val="18"/>
                <w:lang w:val="fr-FR"/>
              </w:rPr>
              <w:t>57</w:t>
            </w:r>
          </w:p>
        </w:tc>
        <w:tc>
          <w:tcPr>
            <w:tcW w:w="1039" w:type="dxa"/>
            <w:gridSpan w:val="2"/>
            <w:tcBorders>
              <w:top w:val="nil"/>
              <w:left w:val="nil"/>
              <w:bottom w:val="single" w:sz="4" w:space="0" w:color="000000" w:themeColor="text1"/>
              <w:right w:val="nil"/>
            </w:tcBorders>
            <w:hideMark/>
          </w:tcPr>
          <w:p w14:paraId="555B7AC0" w14:textId="5B981E0E" w:rsidR="008E4668" w:rsidRPr="00B06DD1" w:rsidRDefault="008E4668" w:rsidP="008E4668">
            <w:pPr>
              <w:ind w:left="-128" w:right="116"/>
              <w:jc w:val="right"/>
              <w:rPr>
                <w:lang w:val="fr-FR"/>
              </w:rPr>
            </w:pPr>
            <w:r w:rsidRPr="00B06DD1">
              <w:rPr>
                <w:rFonts w:eastAsia="Times New Roman"/>
                <w:sz w:val="18"/>
                <w:szCs w:val="18"/>
                <w:lang w:val="fr-FR"/>
              </w:rPr>
              <w:t>40</w:t>
            </w:r>
            <w:r w:rsidR="005B7080" w:rsidRPr="00B06DD1">
              <w:rPr>
                <w:rFonts w:eastAsia="Times New Roman"/>
                <w:sz w:val="18"/>
                <w:szCs w:val="18"/>
                <w:lang w:val="fr-FR"/>
              </w:rPr>
              <w:t>,</w:t>
            </w:r>
            <w:r w:rsidRPr="00B06DD1">
              <w:rPr>
                <w:rFonts w:eastAsia="Times New Roman"/>
                <w:sz w:val="18"/>
                <w:szCs w:val="18"/>
                <w:lang w:val="fr-FR"/>
              </w:rPr>
              <w:t>14</w:t>
            </w:r>
          </w:p>
        </w:tc>
        <w:tc>
          <w:tcPr>
            <w:tcW w:w="1276" w:type="dxa"/>
            <w:gridSpan w:val="2"/>
            <w:tcBorders>
              <w:top w:val="nil"/>
              <w:left w:val="nil"/>
              <w:bottom w:val="single" w:sz="4" w:space="0" w:color="000000" w:themeColor="text1"/>
              <w:right w:val="nil"/>
            </w:tcBorders>
            <w:hideMark/>
          </w:tcPr>
          <w:p w14:paraId="7B691E72" w14:textId="03A6C91F" w:rsidR="008E4668" w:rsidRPr="00B06DD1" w:rsidRDefault="008E4668" w:rsidP="008E4668">
            <w:pPr>
              <w:jc w:val="right"/>
              <w:rPr>
                <w:lang w:val="fr-FR"/>
              </w:rPr>
            </w:pPr>
            <w:r w:rsidRPr="00B06DD1">
              <w:rPr>
                <w:rFonts w:eastAsia="Times New Roman"/>
                <w:sz w:val="18"/>
                <w:szCs w:val="18"/>
                <w:lang w:val="fr-FR"/>
              </w:rPr>
              <w:t>25</w:t>
            </w:r>
          </w:p>
        </w:tc>
        <w:tc>
          <w:tcPr>
            <w:tcW w:w="1134" w:type="dxa"/>
            <w:tcBorders>
              <w:top w:val="nil"/>
              <w:left w:val="nil"/>
              <w:bottom w:val="single" w:sz="4" w:space="0" w:color="000000" w:themeColor="text1"/>
              <w:right w:val="nil"/>
            </w:tcBorders>
            <w:hideMark/>
          </w:tcPr>
          <w:p w14:paraId="030B78AD" w14:textId="6A532370" w:rsidR="008E4668" w:rsidRPr="00B06DD1" w:rsidRDefault="008E4668" w:rsidP="008E4668">
            <w:pPr>
              <w:jc w:val="right"/>
              <w:rPr>
                <w:lang w:val="fr-FR"/>
              </w:rPr>
            </w:pPr>
            <w:r w:rsidRPr="00B06DD1">
              <w:rPr>
                <w:rFonts w:eastAsia="Times New Roman"/>
                <w:sz w:val="18"/>
                <w:szCs w:val="18"/>
                <w:lang w:val="fr-FR"/>
              </w:rPr>
              <w:t>17</w:t>
            </w:r>
            <w:r w:rsidR="005B7080" w:rsidRPr="00B06DD1">
              <w:rPr>
                <w:rFonts w:eastAsia="Times New Roman"/>
                <w:sz w:val="18"/>
                <w:szCs w:val="18"/>
                <w:lang w:val="fr-FR"/>
              </w:rPr>
              <w:t>,</w:t>
            </w:r>
            <w:r w:rsidRPr="00B06DD1">
              <w:rPr>
                <w:rFonts w:eastAsia="Times New Roman"/>
                <w:sz w:val="18"/>
                <w:szCs w:val="18"/>
                <w:lang w:val="fr-FR"/>
              </w:rPr>
              <w:t>61</w:t>
            </w:r>
          </w:p>
        </w:tc>
      </w:tr>
    </w:tbl>
    <w:p w14:paraId="532BFD67" w14:textId="57101184" w:rsidR="00822565" w:rsidRPr="00B06DD1" w:rsidRDefault="00846ACF" w:rsidP="00440131">
      <w:pPr>
        <w:pStyle w:val="CBDNormalNumber"/>
        <w:rPr>
          <w:lang w:val="fr-FR"/>
        </w:rPr>
      </w:pPr>
      <w:r w:rsidRPr="00B06DD1">
        <w:rPr>
          <w:lang w:val="fr-FR"/>
        </w:rPr>
        <w:t xml:space="preserve">L'état des contributions aux trois fonds </w:t>
      </w:r>
      <w:r w:rsidR="00307F83">
        <w:rPr>
          <w:lang w:val="fr-FR"/>
        </w:rPr>
        <w:t xml:space="preserve">généraux </w:t>
      </w:r>
      <w:r w:rsidRPr="00B06DD1">
        <w:rPr>
          <w:lang w:val="fr-FR"/>
        </w:rPr>
        <w:t>d'affectation spéciale</w:t>
      </w:r>
      <w:r w:rsidR="00770008">
        <w:rPr>
          <w:lang w:val="fr-FR"/>
        </w:rPr>
        <w:t xml:space="preserve"> </w:t>
      </w:r>
      <w:r w:rsidRPr="00B06DD1">
        <w:rPr>
          <w:lang w:val="fr-FR"/>
        </w:rPr>
        <w:t>est disponible sur le site Web du Secrétariat.</w:t>
      </w:r>
    </w:p>
    <w:p w14:paraId="2C2180DA" w14:textId="04D2C49E" w:rsidR="00F5246B" w:rsidRPr="00B06DD1" w:rsidRDefault="00F5246B" w:rsidP="00F5246B">
      <w:pPr>
        <w:pStyle w:val="CBDH2"/>
        <w:rPr>
          <w:lang w:val="fr-FR"/>
        </w:rPr>
      </w:pPr>
      <w:r w:rsidRPr="00B06DD1">
        <w:rPr>
          <w:lang w:val="fr-FR"/>
        </w:rPr>
        <w:t xml:space="preserve">B. </w:t>
      </w:r>
      <w:r w:rsidRPr="00B06DD1">
        <w:rPr>
          <w:lang w:val="fr-FR"/>
        </w:rPr>
        <w:tab/>
      </w:r>
      <w:r w:rsidRPr="00B06DD1">
        <w:rPr>
          <w:bCs/>
          <w:lang w:val="fr-FR"/>
        </w:rPr>
        <w:t>Exécution du budget intégré 2025-2026</w:t>
      </w:r>
    </w:p>
    <w:p w14:paraId="37B706F2" w14:textId="204B9D20" w:rsidR="00822565" w:rsidRPr="00B06DD1" w:rsidRDefault="009037F0" w:rsidP="2080ABF3">
      <w:pPr>
        <w:pStyle w:val="CBDNormalNumber"/>
        <w:tabs>
          <w:tab w:val="left" w:pos="900"/>
        </w:tabs>
        <w:rPr>
          <w:lang w:val="fr-FR"/>
        </w:rPr>
      </w:pPr>
      <w:r w:rsidRPr="00B06DD1">
        <w:rPr>
          <w:lang w:val="fr-FR"/>
        </w:rPr>
        <w:t xml:space="preserve">Comme indiqué dans la troisième colonne du tableau 5, au 31 mai 2026, les dépenses effectives ainsi que les montants prévisionnels jusqu'en décembre 2026 pour l'exercice biennal 2025-2026 </w:t>
      </w:r>
      <w:r w:rsidRPr="00B06DD1">
        <w:rPr>
          <w:lang w:val="fr-FR"/>
        </w:rPr>
        <w:lastRenderedPageBreak/>
        <w:t>s'élèvent au total à 39 023 699 dollars, y compris les dépenses effectives et les engagements qui seraient décaissés d'ici la fin de 2026.</w:t>
      </w:r>
    </w:p>
    <w:p w14:paraId="2B57EF41" w14:textId="43D11348" w:rsidR="004C38A4" w:rsidRPr="00B06DD1" w:rsidRDefault="000A0DFF" w:rsidP="002202AE">
      <w:pPr>
        <w:tabs>
          <w:tab w:val="clear" w:pos="567"/>
          <w:tab w:val="clear" w:pos="1134"/>
          <w:tab w:val="clear" w:pos="1701"/>
          <w:tab w:val="clear" w:pos="2268"/>
        </w:tabs>
        <w:ind w:firstLine="555"/>
        <w:jc w:val="left"/>
        <w:textAlignment w:val="baseline"/>
        <w:rPr>
          <w:rFonts w:eastAsia="Times New Roman"/>
          <w:b/>
          <w:bCs/>
          <w:lang w:val="fr-FR"/>
        </w:rPr>
      </w:pPr>
      <w:r w:rsidRPr="00B06DD1">
        <w:rPr>
          <w:rFonts w:eastAsia="Times New Roman"/>
          <w:lang w:val="fr-FR"/>
        </w:rPr>
        <w:t>Tableau 5</w:t>
      </w:r>
      <w:r w:rsidRPr="00B06DD1">
        <w:rPr>
          <w:rFonts w:eastAsia="Times New Roman"/>
          <w:b/>
          <w:bCs/>
          <w:lang w:val="fr-FR"/>
        </w:rPr>
        <w:t xml:space="preserve"> </w:t>
      </w:r>
    </w:p>
    <w:p w14:paraId="31E437A6" w14:textId="10B39BE5" w:rsidR="000A0DFF" w:rsidRPr="00B06DD1" w:rsidRDefault="000A0DFF" w:rsidP="000A0DFF">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lang w:val="fr-FR"/>
        </w:rPr>
      </w:pPr>
      <w:r w:rsidRPr="00B06DD1">
        <w:rPr>
          <w:rFonts w:eastAsia="Times New Roman"/>
          <w:b/>
          <w:bCs/>
          <w:lang w:val="fr-FR"/>
        </w:rPr>
        <w:t>Dépenses par ligne budgétaire comparées au budget intégré approuvé pour 2025-2026, au 31 mai 2026</w:t>
      </w:r>
    </w:p>
    <w:p w14:paraId="4261074C" w14:textId="218D19FF" w:rsidR="000A0DFF" w:rsidRPr="00B06DD1" w:rsidRDefault="000A0DFF" w:rsidP="00787265">
      <w:pPr>
        <w:tabs>
          <w:tab w:val="clear" w:pos="567"/>
          <w:tab w:val="clear" w:pos="1134"/>
          <w:tab w:val="clear" w:pos="1701"/>
          <w:tab w:val="clear" w:pos="2268"/>
        </w:tabs>
        <w:ind w:left="555"/>
        <w:jc w:val="left"/>
        <w:textAlignment w:val="baseline"/>
        <w:rPr>
          <w:rFonts w:ascii="Segoe UI" w:eastAsia="Times New Roman" w:hAnsi="Segoe UI" w:cs="Segoe UI"/>
          <w:b/>
          <w:bCs/>
          <w:i/>
          <w:iCs/>
          <w:sz w:val="18"/>
          <w:szCs w:val="18"/>
          <w:lang w:val="fr-FR"/>
        </w:rPr>
      </w:pPr>
      <w:r w:rsidRPr="00B06DD1">
        <w:rPr>
          <w:rFonts w:eastAsia="Times New Roman"/>
          <w:sz w:val="18"/>
          <w:szCs w:val="18"/>
          <w:lang w:val="fr-FR"/>
        </w:rPr>
        <w:t>(</w:t>
      </w:r>
      <w:r w:rsidR="004C38A4" w:rsidRPr="00B06DD1">
        <w:rPr>
          <w:rFonts w:eastAsia="Times New Roman"/>
          <w:sz w:val="18"/>
          <w:szCs w:val="18"/>
          <w:lang w:val="fr-FR"/>
        </w:rPr>
        <w:t>Milliers</w:t>
      </w:r>
      <w:r w:rsidRPr="00B06DD1">
        <w:rPr>
          <w:rFonts w:eastAsia="Times New Roman"/>
          <w:sz w:val="18"/>
          <w:szCs w:val="18"/>
          <w:lang w:val="fr-FR"/>
        </w:rPr>
        <w:t xml:space="preserve"> de dollars des États-Unis)</w:t>
      </w:r>
    </w:p>
    <w:tbl>
      <w:tblPr>
        <w:tblW w:w="4692" w:type="pct"/>
        <w:tblInd w:w="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1"/>
        <w:gridCol w:w="492"/>
        <w:gridCol w:w="643"/>
        <w:gridCol w:w="1983"/>
        <w:gridCol w:w="2414"/>
      </w:tblGrid>
      <w:tr w:rsidR="000A0DFF" w:rsidRPr="00B06DD1" w14:paraId="7E75297A" w14:textId="77777777" w:rsidTr="004C38A4">
        <w:trPr>
          <w:trHeight w:val="585"/>
          <w:tblHeader/>
        </w:trPr>
        <w:tc>
          <w:tcPr>
            <w:tcW w:w="1851" w:type="pct"/>
            <w:tcBorders>
              <w:top w:val="single" w:sz="4" w:space="0" w:color="auto"/>
              <w:left w:val="nil"/>
              <w:bottom w:val="single" w:sz="4" w:space="0" w:color="auto"/>
              <w:right w:val="nil"/>
            </w:tcBorders>
            <w:vAlign w:val="bottom"/>
            <w:hideMark/>
          </w:tcPr>
          <w:p w14:paraId="1F61B9B1" w14:textId="51AF5847" w:rsidR="000A0DFF" w:rsidRPr="00B06DD1" w:rsidRDefault="000A0DFF" w:rsidP="000A0DFF">
            <w:pPr>
              <w:tabs>
                <w:tab w:val="clear" w:pos="567"/>
                <w:tab w:val="clear" w:pos="1134"/>
                <w:tab w:val="clear" w:pos="1701"/>
                <w:tab w:val="clear" w:pos="2268"/>
              </w:tabs>
              <w:jc w:val="left"/>
              <w:textAlignment w:val="baseline"/>
              <w:rPr>
                <w:rFonts w:eastAsia="Times New Roman"/>
                <w:sz w:val="24"/>
                <w:szCs w:val="24"/>
                <w:lang w:val="fr-FR"/>
              </w:rPr>
            </w:pPr>
            <w:r w:rsidRPr="00B06DD1">
              <w:rPr>
                <w:rFonts w:eastAsia="Times New Roman"/>
                <w:i/>
                <w:iCs/>
                <w:sz w:val="18"/>
                <w:szCs w:val="18"/>
                <w:lang w:val="fr-FR"/>
              </w:rPr>
              <w:t>Objet de la dépense</w:t>
            </w:r>
            <w:r w:rsidRPr="00B06DD1">
              <w:rPr>
                <w:rFonts w:eastAsia="Times New Roman"/>
                <w:sz w:val="18"/>
                <w:szCs w:val="18"/>
                <w:lang w:val="fr-FR"/>
              </w:rPr>
              <w:t xml:space="preserve"> </w:t>
            </w:r>
          </w:p>
        </w:tc>
        <w:tc>
          <w:tcPr>
            <w:tcW w:w="646" w:type="pct"/>
            <w:gridSpan w:val="2"/>
            <w:tcBorders>
              <w:top w:val="single" w:sz="4" w:space="0" w:color="auto"/>
              <w:left w:val="nil"/>
              <w:bottom w:val="single" w:sz="4" w:space="0" w:color="auto"/>
              <w:right w:val="nil"/>
            </w:tcBorders>
            <w:vAlign w:val="bottom"/>
            <w:hideMark/>
          </w:tcPr>
          <w:p w14:paraId="1B3559B5" w14:textId="1E86243B" w:rsidR="000A0DFF" w:rsidRPr="00B06DD1" w:rsidRDefault="000A0DFF" w:rsidP="00F360E5">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i/>
                <w:iCs/>
                <w:sz w:val="18"/>
                <w:szCs w:val="18"/>
                <w:lang w:val="fr-FR"/>
              </w:rPr>
              <w:t>Budget approuvé pour 2025-2026</w:t>
            </w:r>
            <w:r w:rsidRPr="00B06DD1">
              <w:rPr>
                <w:rFonts w:eastAsia="Times New Roman"/>
                <w:i/>
                <w:iCs/>
                <w:sz w:val="18"/>
                <w:szCs w:val="18"/>
                <w:lang w:val="fr-FR"/>
              </w:rPr>
              <w:sym w:font="Symbol" w:char="F02D"/>
            </w:r>
          </w:p>
        </w:tc>
        <w:tc>
          <w:tcPr>
            <w:tcW w:w="1129" w:type="pct"/>
            <w:tcBorders>
              <w:top w:val="single" w:sz="4" w:space="0" w:color="auto"/>
              <w:left w:val="nil"/>
              <w:bottom w:val="single" w:sz="4" w:space="0" w:color="auto"/>
              <w:right w:val="nil"/>
            </w:tcBorders>
            <w:vAlign w:val="bottom"/>
            <w:hideMark/>
          </w:tcPr>
          <w:p w14:paraId="68BF45E7" w14:textId="1B289B2A"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i/>
                <w:iCs/>
                <w:sz w:val="18"/>
                <w:szCs w:val="18"/>
                <w:lang w:val="fr-FR"/>
              </w:rPr>
              <w:t>Dépenses 2025-2026</w:t>
            </w:r>
            <w:r w:rsidRPr="00B06DD1">
              <w:rPr>
                <w:rFonts w:eastAsia="Times New Roman"/>
                <w:i/>
                <w:iCs/>
                <w:sz w:val="18"/>
                <w:szCs w:val="18"/>
                <w:lang w:val="fr-FR"/>
              </w:rPr>
              <w:sym w:font="Symbol" w:char="F02D"/>
            </w:r>
            <w:r w:rsidRPr="00B06DD1">
              <w:rPr>
                <w:rFonts w:eastAsia="Times New Roman"/>
                <w:sz w:val="18"/>
                <w:szCs w:val="18"/>
                <w:lang w:val="fr-FR"/>
              </w:rPr>
              <w:t xml:space="preserve"> </w:t>
            </w:r>
          </w:p>
          <w:p w14:paraId="0CE994E6" w14:textId="3B327801" w:rsidR="000A0DFF" w:rsidRPr="00B06DD1" w:rsidRDefault="007E7223"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i/>
                <w:iCs/>
                <w:sz w:val="18"/>
                <w:szCs w:val="18"/>
                <w:lang w:val="fr-FR"/>
              </w:rPr>
              <w:t xml:space="preserve"> (</w:t>
            </w:r>
            <w:proofErr w:type="gramStart"/>
            <w:r w:rsidRPr="00B06DD1">
              <w:rPr>
                <w:rFonts w:eastAsia="Times New Roman"/>
                <w:i/>
                <w:iCs/>
                <w:sz w:val="18"/>
                <w:szCs w:val="18"/>
                <w:lang w:val="fr-FR"/>
              </w:rPr>
              <w:t>effectives</w:t>
            </w:r>
            <w:proofErr w:type="gramEnd"/>
            <w:r w:rsidRPr="00B06DD1">
              <w:rPr>
                <w:rFonts w:eastAsia="Times New Roman"/>
                <w:i/>
                <w:iCs/>
                <w:sz w:val="18"/>
                <w:szCs w:val="18"/>
                <w:lang w:val="fr-FR"/>
              </w:rPr>
              <w:t xml:space="preserve"> </w:t>
            </w:r>
            <w:r w:rsidR="004C38A4" w:rsidRPr="00B06DD1">
              <w:rPr>
                <w:rFonts w:eastAsia="Times New Roman"/>
                <w:i/>
                <w:iCs/>
                <w:sz w:val="18"/>
                <w:szCs w:val="18"/>
                <w:lang w:val="fr-FR"/>
              </w:rPr>
              <w:t>et</w:t>
            </w:r>
            <w:r w:rsidRPr="00B06DD1">
              <w:rPr>
                <w:rFonts w:eastAsia="Times New Roman"/>
                <w:i/>
                <w:iCs/>
                <w:sz w:val="18"/>
                <w:szCs w:val="18"/>
                <w:lang w:val="fr-FR"/>
              </w:rPr>
              <w:t xml:space="preserve"> prévisionnelles)</w:t>
            </w:r>
            <w:r w:rsidRPr="00B06DD1">
              <w:rPr>
                <w:rFonts w:eastAsia="Times New Roman"/>
                <w:sz w:val="18"/>
                <w:szCs w:val="18"/>
                <w:lang w:val="fr-FR"/>
              </w:rPr>
              <w:t xml:space="preserve"> </w:t>
            </w:r>
          </w:p>
        </w:tc>
        <w:tc>
          <w:tcPr>
            <w:tcW w:w="1374" w:type="pct"/>
            <w:tcBorders>
              <w:top w:val="single" w:sz="4" w:space="0" w:color="auto"/>
              <w:left w:val="nil"/>
              <w:bottom w:val="single" w:sz="4" w:space="0" w:color="auto"/>
              <w:right w:val="nil"/>
            </w:tcBorders>
            <w:vAlign w:val="bottom"/>
            <w:hideMark/>
          </w:tcPr>
          <w:p w14:paraId="7801F732" w14:textId="160E20F5" w:rsidR="000A0DFF" w:rsidRPr="00B06DD1" w:rsidRDefault="000A0DFF" w:rsidP="00440131">
            <w:pPr>
              <w:tabs>
                <w:tab w:val="clear" w:pos="567"/>
                <w:tab w:val="clear" w:pos="1134"/>
                <w:tab w:val="clear" w:pos="1701"/>
                <w:tab w:val="clear" w:pos="2268"/>
              </w:tabs>
              <w:ind w:right="4"/>
              <w:jc w:val="right"/>
              <w:textAlignment w:val="baseline"/>
              <w:rPr>
                <w:rFonts w:eastAsia="Times New Roman"/>
                <w:sz w:val="24"/>
                <w:szCs w:val="24"/>
                <w:lang w:val="fr-FR"/>
              </w:rPr>
            </w:pPr>
            <w:r w:rsidRPr="00B06DD1">
              <w:rPr>
                <w:rFonts w:eastAsia="Times New Roman"/>
                <w:i/>
                <w:iCs/>
                <w:sz w:val="18"/>
                <w:szCs w:val="18"/>
                <w:lang w:val="fr-FR"/>
              </w:rPr>
              <w:t>Écart prévisionnel 2025-2026</w:t>
            </w:r>
            <w:r w:rsidRPr="00B06DD1">
              <w:rPr>
                <w:rFonts w:eastAsia="Times New Roman"/>
                <w:sz w:val="18"/>
                <w:szCs w:val="18"/>
                <w:lang w:val="fr-FR"/>
              </w:rPr>
              <w:t xml:space="preserve"> </w:t>
            </w:r>
          </w:p>
        </w:tc>
      </w:tr>
      <w:tr w:rsidR="000A0DFF" w:rsidRPr="00B06DD1" w14:paraId="656E2232" w14:textId="77777777" w:rsidTr="004C38A4">
        <w:trPr>
          <w:trHeight w:val="285"/>
        </w:trPr>
        <w:tc>
          <w:tcPr>
            <w:tcW w:w="2131" w:type="pct"/>
            <w:gridSpan w:val="2"/>
            <w:tcBorders>
              <w:top w:val="nil"/>
              <w:left w:val="nil"/>
              <w:bottom w:val="nil"/>
              <w:right w:val="nil"/>
            </w:tcBorders>
            <w:vAlign w:val="bottom"/>
            <w:hideMark/>
          </w:tcPr>
          <w:p w14:paraId="6FC5384F" w14:textId="257539A9"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Dépenses de personnel</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7C0E2CCD" w14:textId="37CF2714"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27</w:t>
            </w:r>
            <w:r w:rsidR="006E66AD" w:rsidRPr="00B06DD1">
              <w:rPr>
                <w:rFonts w:eastAsia="Times New Roman"/>
                <w:sz w:val="18"/>
                <w:szCs w:val="18"/>
                <w:lang w:val="fr-FR"/>
              </w:rPr>
              <w:t xml:space="preserve"> </w:t>
            </w:r>
            <w:r w:rsidRPr="00B06DD1">
              <w:rPr>
                <w:rFonts w:eastAsia="Times New Roman"/>
                <w:sz w:val="18"/>
                <w:szCs w:val="18"/>
                <w:lang w:val="fr-FR"/>
              </w:rPr>
              <w:t>163</w:t>
            </w:r>
            <w:r w:rsidR="006E66AD" w:rsidRPr="00B06DD1">
              <w:rPr>
                <w:rFonts w:eastAsia="Times New Roman"/>
                <w:sz w:val="18"/>
                <w:szCs w:val="18"/>
                <w:lang w:val="fr-FR"/>
              </w:rPr>
              <w:t>,</w:t>
            </w:r>
            <w:r w:rsidRPr="00B06DD1">
              <w:rPr>
                <w:rFonts w:eastAsia="Times New Roman"/>
                <w:sz w:val="18"/>
                <w:szCs w:val="18"/>
                <w:lang w:val="fr-FR"/>
              </w:rPr>
              <w:t>7</w:t>
            </w:r>
          </w:p>
        </w:tc>
        <w:tc>
          <w:tcPr>
            <w:tcW w:w="1129" w:type="pct"/>
            <w:tcBorders>
              <w:top w:val="nil"/>
              <w:left w:val="nil"/>
              <w:bottom w:val="nil"/>
              <w:right w:val="nil"/>
            </w:tcBorders>
            <w:vAlign w:val="bottom"/>
            <w:hideMark/>
          </w:tcPr>
          <w:p w14:paraId="46D9A949" w14:textId="4F8A214E"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26</w:t>
            </w:r>
            <w:r w:rsidR="006E66AD" w:rsidRPr="00B06DD1">
              <w:rPr>
                <w:rFonts w:eastAsia="Times New Roman"/>
                <w:sz w:val="18"/>
                <w:szCs w:val="18"/>
                <w:lang w:val="fr-FR"/>
              </w:rPr>
              <w:t xml:space="preserve"> </w:t>
            </w:r>
            <w:r w:rsidRPr="00B06DD1">
              <w:rPr>
                <w:rFonts w:eastAsia="Times New Roman"/>
                <w:sz w:val="18"/>
                <w:szCs w:val="18"/>
                <w:lang w:val="fr-FR"/>
              </w:rPr>
              <w:t>277</w:t>
            </w:r>
            <w:r w:rsidR="006E66AD" w:rsidRPr="00B06DD1">
              <w:rPr>
                <w:rFonts w:eastAsia="Times New Roman"/>
                <w:sz w:val="18"/>
                <w:szCs w:val="18"/>
                <w:lang w:val="fr-FR"/>
              </w:rPr>
              <w:t>,</w:t>
            </w:r>
            <w:r w:rsidRPr="00B06DD1">
              <w:rPr>
                <w:rFonts w:eastAsia="Times New Roman"/>
                <w:sz w:val="18"/>
                <w:szCs w:val="18"/>
                <w:lang w:val="fr-FR"/>
              </w:rPr>
              <w:t>9</w:t>
            </w:r>
          </w:p>
        </w:tc>
        <w:tc>
          <w:tcPr>
            <w:tcW w:w="1374" w:type="pct"/>
            <w:tcBorders>
              <w:top w:val="nil"/>
              <w:left w:val="nil"/>
              <w:bottom w:val="nil"/>
              <w:right w:val="nil"/>
            </w:tcBorders>
            <w:vAlign w:val="bottom"/>
            <w:hideMark/>
          </w:tcPr>
          <w:p w14:paraId="27403641" w14:textId="251991B6"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885</w:t>
            </w:r>
            <w:r w:rsidR="006E66AD" w:rsidRPr="00B06DD1">
              <w:rPr>
                <w:rFonts w:eastAsia="Times New Roman"/>
                <w:sz w:val="18"/>
                <w:szCs w:val="18"/>
                <w:lang w:val="fr-FR"/>
              </w:rPr>
              <w:t>,</w:t>
            </w:r>
            <w:r w:rsidRPr="00B06DD1">
              <w:rPr>
                <w:rFonts w:eastAsia="Times New Roman"/>
                <w:sz w:val="18"/>
                <w:szCs w:val="18"/>
                <w:lang w:val="fr-FR"/>
              </w:rPr>
              <w:t>8</w:t>
            </w:r>
          </w:p>
        </w:tc>
      </w:tr>
      <w:tr w:rsidR="000A0DFF" w:rsidRPr="00B06DD1" w14:paraId="4DD37671" w14:textId="77777777" w:rsidTr="004C38A4">
        <w:trPr>
          <w:trHeight w:val="285"/>
        </w:trPr>
        <w:tc>
          <w:tcPr>
            <w:tcW w:w="2131" w:type="pct"/>
            <w:gridSpan w:val="2"/>
            <w:tcBorders>
              <w:top w:val="nil"/>
              <w:left w:val="nil"/>
              <w:bottom w:val="nil"/>
              <w:right w:val="nil"/>
            </w:tcBorders>
            <w:vAlign w:val="bottom"/>
            <w:hideMark/>
          </w:tcPr>
          <w:p w14:paraId="4D22B60C" w14:textId="67A7E463"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Personnel temporaire</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47AEDB0D" w14:textId="1CA538A1"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200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129" w:type="pct"/>
            <w:tcBorders>
              <w:top w:val="nil"/>
              <w:left w:val="nil"/>
              <w:bottom w:val="nil"/>
              <w:right w:val="nil"/>
            </w:tcBorders>
            <w:vAlign w:val="bottom"/>
            <w:hideMark/>
          </w:tcPr>
          <w:p w14:paraId="1A1662C2" w14:textId="41B63485"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180</w:t>
            </w:r>
            <w:r w:rsidR="006E66AD" w:rsidRPr="00B06DD1">
              <w:rPr>
                <w:rFonts w:eastAsia="Times New Roman"/>
                <w:sz w:val="18"/>
                <w:szCs w:val="18"/>
                <w:lang w:val="fr-FR"/>
              </w:rPr>
              <w:t>,</w:t>
            </w:r>
            <w:r w:rsidRPr="00B06DD1">
              <w:rPr>
                <w:rFonts w:eastAsia="Times New Roman"/>
                <w:sz w:val="18"/>
                <w:szCs w:val="18"/>
                <w:lang w:val="fr-FR"/>
              </w:rPr>
              <w:t>0</w:t>
            </w:r>
          </w:p>
        </w:tc>
        <w:tc>
          <w:tcPr>
            <w:tcW w:w="1374" w:type="pct"/>
            <w:tcBorders>
              <w:top w:val="nil"/>
              <w:left w:val="nil"/>
              <w:bottom w:val="nil"/>
              <w:right w:val="nil"/>
            </w:tcBorders>
            <w:vAlign w:val="bottom"/>
            <w:hideMark/>
          </w:tcPr>
          <w:p w14:paraId="67D76891" w14:textId="1934A195"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20</w:t>
            </w:r>
            <w:r w:rsidR="006E66AD" w:rsidRPr="00B06DD1">
              <w:rPr>
                <w:rFonts w:eastAsia="Times New Roman"/>
                <w:sz w:val="18"/>
                <w:szCs w:val="18"/>
                <w:lang w:val="fr-FR"/>
              </w:rPr>
              <w:t>,</w:t>
            </w:r>
            <w:r w:rsidRPr="00B06DD1">
              <w:rPr>
                <w:rFonts w:eastAsia="Times New Roman"/>
                <w:sz w:val="18"/>
                <w:szCs w:val="18"/>
                <w:lang w:val="fr-FR"/>
              </w:rPr>
              <w:t>0</w:t>
            </w:r>
          </w:p>
        </w:tc>
      </w:tr>
      <w:tr w:rsidR="000A0DFF" w:rsidRPr="00B06DD1" w14:paraId="61E7F8D6" w14:textId="77777777" w:rsidTr="004C38A4">
        <w:trPr>
          <w:trHeight w:val="285"/>
        </w:trPr>
        <w:tc>
          <w:tcPr>
            <w:tcW w:w="2131" w:type="pct"/>
            <w:gridSpan w:val="2"/>
            <w:tcBorders>
              <w:top w:val="nil"/>
              <w:left w:val="nil"/>
              <w:bottom w:val="nil"/>
              <w:right w:val="nil"/>
            </w:tcBorders>
            <w:vAlign w:val="bottom"/>
            <w:hideMark/>
          </w:tcPr>
          <w:p w14:paraId="447398E1" w14:textId="48E9E88A"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 xml:space="preserve">Réunions </w:t>
            </w:r>
            <w:r w:rsidR="00F375A7" w:rsidRPr="00B06DD1">
              <w:rPr>
                <w:rFonts w:eastAsia="Times New Roman"/>
                <w:sz w:val="18"/>
                <w:szCs w:val="18"/>
                <w:lang w:val="fr-FR"/>
              </w:rPr>
              <w:t>du Bureau</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21BCC2B0" w14:textId="317507A1"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338</w:t>
            </w:r>
            <w:r w:rsidR="00C55148" w:rsidRPr="00B06DD1">
              <w:rPr>
                <w:rFonts w:eastAsia="Times New Roman"/>
                <w:sz w:val="18"/>
                <w:szCs w:val="18"/>
                <w:lang w:val="fr-FR"/>
              </w:rPr>
              <w:t>,</w:t>
            </w:r>
            <w:r w:rsidRPr="00B06DD1">
              <w:rPr>
                <w:rFonts w:eastAsia="Times New Roman"/>
                <w:sz w:val="18"/>
                <w:szCs w:val="18"/>
                <w:lang w:val="fr-FR"/>
              </w:rPr>
              <w:t xml:space="preserve">3 </w:t>
            </w:r>
          </w:p>
        </w:tc>
        <w:tc>
          <w:tcPr>
            <w:tcW w:w="1129" w:type="pct"/>
            <w:tcBorders>
              <w:top w:val="nil"/>
              <w:left w:val="nil"/>
              <w:bottom w:val="nil"/>
              <w:right w:val="nil"/>
            </w:tcBorders>
            <w:vAlign w:val="bottom"/>
            <w:hideMark/>
          </w:tcPr>
          <w:p w14:paraId="61859055" w14:textId="3D96DB43"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300</w:t>
            </w:r>
            <w:r w:rsidR="006E66AD" w:rsidRPr="00B06DD1">
              <w:rPr>
                <w:rFonts w:eastAsia="Times New Roman"/>
                <w:sz w:val="18"/>
                <w:szCs w:val="18"/>
                <w:lang w:val="fr-FR"/>
              </w:rPr>
              <w:t>,</w:t>
            </w:r>
            <w:r w:rsidRPr="00B06DD1">
              <w:rPr>
                <w:rFonts w:eastAsia="Times New Roman"/>
                <w:sz w:val="18"/>
                <w:szCs w:val="18"/>
                <w:lang w:val="fr-FR"/>
              </w:rPr>
              <w:t xml:space="preserve">0 </w:t>
            </w:r>
          </w:p>
        </w:tc>
        <w:tc>
          <w:tcPr>
            <w:tcW w:w="1374" w:type="pct"/>
            <w:tcBorders>
              <w:top w:val="nil"/>
              <w:left w:val="nil"/>
              <w:bottom w:val="nil"/>
              <w:right w:val="nil"/>
            </w:tcBorders>
            <w:vAlign w:val="bottom"/>
            <w:hideMark/>
          </w:tcPr>
          <w:p w14:paraId="5BFF0822" w14:textId="706A0535"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38</w:t>
            </w:r>
            <w:r w:rsidR="006E66AD" w:rsidRPr="00B06DD1">
              <w:rPr>
                <w:rFonts w:eastAsia="Times New Roman"/>
                <w:sz w:val="18"/>
                <w:szCs w:val="18"/>
                <w:lang w:val="fr-FR"/>
              </w:rPr>
              <w:t>,</w:t>
            </w:r>
            <w:r w:rsidRPr="00B06DD1">
              <w:rPr>
                <w:rFonts w:eastAsia="Times New Roman"/>
                <w:sz w:val="18"/>
                <w:szCs w:val="18"/>
                <w:lang w:val="fr-FR"/>
              </w:rPr>
              <w:t>3</w:t>
            </w:r>
          </w:p>
        </w:tc>
      </w:tr>
      <w:tr w:rsidR="000A0DFF" w:rsidRPr="00B06DD1" w14:paraId="2EEBD51B" w14:textId="77777777" w:rsidTr="004C38A4">
        <w:trPr>
          <w:trHeight w:val="285"/>
        </w:trPr>
        <w:tc>
          <w:tcPr>
            <w:tcW w:w="2131" w:type="pct"/>
            <w:gridSpan w:val="2"/>
            <w:tcBorders>
              <w:top w:val="nil"/>
              <w:left w:val="nil"/>
              <w:bottom w:val="nil"/>
              <w:right w:val="nil"/>
            </w:tcBorders>
            <w:vAlign w:val="bottom"/>
            <w:hideMark/>
          </w:tcPr>
          <w:p w14:paraId="1B420695" w14:textId="487DF25A"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Réunions d'experts</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4F0337A1" w14:textId="6651C48A"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380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129" w:type="pct"/>
            <w:tcBorders>
              <w:top w:val="nil"/>
              <w:left w:val="nil"/>
              <w:bottom w:val="nil"/>
              <w:right w:val="nil"/>
            </w:tcBorders>
            <w:vAlign w:val="bottom"/>
            <w:hideMark/>
          </w:tcPr>
          <w:p w14:paraId="4979E97D" w14:textId="77E1E2F1"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380</w:t>
            </w:r>
            <w:r w:rsidR="006E66AD" w:rsidRPr="00B06DD1">
              <w:rPr>
                <w:rFonts w:eastAsia="Times New Roman"/>
                <w:sz w:val="18"/>
                <w:szCs w:val="18"/>
                <w:lang w:val="fr-FR"/>
              </w:rPr>
              <w:t>,</w:t>
            </w:r>
            <w:r w:rsidRPr="00B06DD1">
              <w:rPr>
                <w:rFonts w:eastAsia="Times New Roman"/>
                <w:sz w:val="18"/>
                <w:szCs w:val="18"/>
                <w:lang w:val="fr-FR"/>
              </w:rPr>
              <w:t xml:space="preserve">0 </w:t>
            </w:r>
          </w:p>
        </w:tc>
        <w:tc>
          <w:tcPr>
            <w:tcW w:w="1374" w:type="pct"/>
            <w:tcBorders>
              <w:top w:val="nil"/>
              <w:left w:val="nil"/>
              <w:bottom w:val="nil"/>
              <w:right w:val="nil"/>
            </w:tcBorders>
            <w:vAlign w:val="bottom"/>
            <w:hideMark/>
          </w:tcPr>
          <w:p w14:paraId="64FF3D9E" w14:textId="6C767096" w:rsidR="000A0DFF" w:rsidRPr="00B06DD1" w:rsidRDefault="0011339B"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 xml:space="preserve">– </w:t>
            </w:r>
          </w:p>
        </w:tc>
      </w:tr>
      <w:tr w:rsidR="000A0DFF" w:rsidRPr="00B06DD1" w14:paraId="4DF97F72" w14:textId="77777777" w:rsidTr="004C38A4">
        <w:trPr>
          <w:trHeight w:val="285"/>
        </w:trPr>
        <w:tc>
          <w:tcPr>
            <w:tcW w:w="2131" w:type="pct"/>
            <w:gridSpan w:val="2"/>
            <w:tcBorders>
              <w:top w:val="nil"/>
              <w:left w:val="nil"/>
              <w:bottom w:val="nil"/>
              <w:right w:val="nil"/>
            </w:tcBorders>
            <w:vAlign w:val="bottom"/>
            <w:hideMark/>
          </w:tcPr>
          <w:p w14:paraId="285B2635" w14:textId="7621C61E"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Réunions des organ</w:t>
            </w:r>
            <w:r w:rsidR="00F375A7" w:rsidRPr="00B06DD1">
              <w:rPr>
                <w:rFonts w:eastAsia="Times New Roman"/>
                <w:sz w:val="18"/>
                <w:szCs w:val="18"/>
                <w:lang w:val="fr-FR"/>
              </w:rPr>
              <w:t>isme</w:t>
            </w:r>
            <w:r w:rsidRPr="00B06DD1">
              <w:rPr>
                <w:rFonts w:eastAsia="Times New Roman"/>
                <w:sz w:val="18"/>
                <w:szCs w:val="18"/>
                <w:lang w:val="fr-FR"/>
              </w:rPr>
              <w:t>s intergouvernementaux</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4BD577F9" w14:textId="26BFA492"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4</w:t>
            </w:r>
            <w:r w:rsidR="00C55148" w:rsidRPr="00B06DD1">
              <w:rPr>
                <w:rFonts w:eastAsia="Times New Roman"/>
                <w:sz w:val="18"/>
                <w:szCs w:val="18"/>
                <w:lang w:val="fr-FR"/>
              </w:rPr>
              <w:t xml:space="preserve"> </w:t>
            </w:r>
            <w:r w:rsidRPr="00B06DD1">
              <w:rPr>
                <w:rFonts w:eastAsia="Times New Roman"/>
                <w:sz w:val="18"/>
                <w:szCs w:val="18"/>
                <w:lang w:val="fr-FR"/>
              </w:rPr>
              <w:t>975</w:t>
            </w:r>
            <w:r w:rsidR="00C55148" w:rsidRPr="00B06DD1">
              <w:rPr>
                <w:rFonts w:eastAsia="Times New Roman"/>
                <w:sz w:val="18"/>
                <w:szCs w:val="18"/>
                <w:lang w:val="fr-FR"/>
              </w:rPr>
              <w:t>,</w:t>
            </w:r>
            <w:r w:rsidRPr="00B06DD1">
              <w:rPr>
                <w:rFonts w:eastAsia="Times New Roman"/>
                <w:sz w:val="18"/>
                <w:szCs w:val="18"/>
                <w:lang w:val="fr-FR"/>
              </w:rPr>
              <w:t xml:space="preserve">5 </w:t>
            </w:r>
          </w:p>
        </w:tc>
        <w:tc>
          <w:tcPr>
            <w:tcW w:w="1129" w:type="pct"/>
            <w:tcBorders>
              <w:top w:val="nil"/>
              <w:left w:val="nil"/>
              <w:bottom w:val="nil"/>
              <w:right w:val="nil"/>
            </w:tcBorders>
            <w:vAlign w:val="bottom"/>
            <w:hideMark/>
          </w:tcPr>
          <w:p w14:paraId="5768788D" w14:textId="02858FC3"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5</w:t>
            </w:r>
            <w:r w:rsidR="00C55148" w:rsidRPr="00B06DD1">
              <w:rPr>
                <w:rFonts w:eastAsia="Times New Roman"/>
                <w:sz w:val="18"/>
                <w:szCs w:val="18"/>
                <w:lang w:val="fr-FR"/>
              </w:rPr>
              <w:t xml:space="preserve"> </w:t>
            </w:r>
            <w:r w:rsidRPr="00B06DD1">
              <w:rPr>
                <w:rFonts w:eastAsia="Times New Roman"/>
                <w:sz w:val="18"/>
                <w:szCs w:val="18"/>
                <w:lang w:val="fr-FR"/>
              </w:rPr>
              <w:t>855</w:t>
            </w:r>
            <w:r w:rsidR="006E66AD" w:rsidRPr="00B06DD1">
              <w:rPr>
                <w:rFonts w:eastAsia="Times New Roman"/>
                <w:sz w:val="18"/>
                <w:szCs w:val="18"/>
                <w:lang w:val="fr-FR"/>
              </w:rPr>
              <w:t>,</w:t>
            </w:r>
            <w:r w:rsidRPr="00B06DD1">
              <w:rPr>
                <w:rFonts w:eastAsia="Times New Roman"/>
                <w:sz w:val="18"/>
                <w:szCs w:val="18"/>
                <w:lang w:val="fr-FR"/>
              </w:rPr>
              <w:t xml:space="preserve">9 </w:t>
            </w:r>
          </w:p>
        </w:tc>
        <w:tc>
          <w:tcPr>
            <w:tcW w:w="1374" w:type="pct"/>
            <w:tcBorders>
              <w:top w:val="nil"/>
              <w:left w:val="nil"/>
              <w:bottom w:val="nil"/>
              <w:right w:val="nil"/>
            </w:tcBorders>
            <w:vAlign w:val="bottom"/>
            <w:hideMark/>
          </w:tcPr>
          <w:p w14:paraId="5DE5A50B" w14:textId="5001C499"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(880</w:t>
            </w:r>
            <w:r w:rsidR="006E66AD" w:rsidRPr="00B06DD1">
              <w:rPr>
                <w:rFonts w:eastAsia="Times New Roman"/>
                <w:sz w:val="18"/>
                <w:szCs w:val="18"/>
                <w:lang w:val="fr-FR"/>
              </w:rPr>
              <w:t>,</w:t>
            </w:r>
            <w:r w:rsidRPr="00B06DD1">
              <w:rPr>
                <w:rFonts w:eastAsia="Times New Roman"/>
                <w:sz w:val="18"/>
                <w:szCs w:val="18"/>
                <w:lang w:val="fr-FR"/>
              </w:rPr>
              <w:t>4)</w:t>
            </w:r>
          </w:p>
        </w:tc>
      </w:tr>
      <w:tr w:rsidR="000A0DFF" w:rsidRPr="00B06DD1" w14:paraId="697F89E0" w14:textId="77777777" w:rsidTr="004C38A4">
        <w:trPr>
          <w:trHeight w:val="285"/>
        </w:trPr>
        <w:tc>
          <w:tcPr>
            <w:tcW w:w="2131" w:type="pct"/>
            <w:gridSpan w:val="2"/>
            <w:tcBorders>
              <w:top w:val="nil"/>
              <w:left w:val="nil"/>
              <w:bottom w:val="nil"/>
              <w:right w:val="nil"/>
            </w:tcBorders>
            <w:vAlign w:val="bottom"/>
            <w:hideMark/>
          </w:tcPr>
          <w:p w14:paraId="779B1A31" w14:textId="5A871CA3"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Consultants</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1448CB94" w14:textId="6186CFD5"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150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129" w:type="pct"/>
            <w:tcBorders>
              <w:top w:val="nil"/>
              <w:left w:val="nil"/>
              <w:bottom w:val="nil"/>
              <w:right w:val="nil"/>
            </w:tcBorders>
            <w:vAlign w:val="bottom"/>
            <w:hideMark/>
          </w:tcPr>
          <w:p w14:paraId="47B6B752" w14:textId="7A30680F"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150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374" w:type="pct"/>
            <w:tcBorders>
              <w:top w:val="nil"/>
              <w:left w:val="nil"/>
              <w:bottom w:val="nil"/>
              <w:right w:val="nil"/>
            </w:tcBorders>
            <w:vAlign w:val="bottom"/>
            <w:hideMark/>
          </w:tcPr>
          <w:p w14:paraId="47A3945D" w14:textId="570D7082" w:rsidR="000A0DFF" w:rsidRPr="00B06DD1" w:rsidRDefault="0011339B"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 xml:space="preserve">– </w:t>
            </w:r>
          </w:p>
        </w:tc>
      </w:tr>
      <w:tr w:rsidR="000A0DFF" w:rsidRPr="00B06DD1" w14:paraId="733A80CE" w14:textId="77777777" w:rsidTr="004C38A4">
        <w:trPr>
          <w:trHeight w:val="285"/>
        </w:trPr>
        <w:tc>
          <w:tcPr>
            <w:tcW w:w="2131" w:type="pct"/>
            <w:gridSpan w:val="2"/>
            <w:tcBorders>
              <w:top w:val="nil"/>
              <w:left w:val="nil"/>
              <w:bottom w:val="nil"/>
              <w:right w:val="nil"/>
            </w:tcBorders>
            <w:vAlign w:val="bottom"/>
            <w:hideMark/>
          </w:tcPr>
          <w:p w14:paraId="5CD94B43" w14:textId="6D29A04B"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 xml:space="preserve">Examen </w:t>
            </w:r>
            <w:r w:rsidR="005829C5">
              <w:rPr>
                <w:rFonts w:eastAsia="Times New Roman"/>
                <w:sz w:val="18"/>
                <w:szCs w:val="18"/>
                <w:lang w:val="fr-FR"/>
              </w:rPr>
              <w:t>structurel</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172930F8" w14:textId="2DE2C43F"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250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129" w:type="pct"/>
            <w:tcBorders>
              <w:top w:val="nil"/>
              <w:left w:val="nil"/>
              <w:bottom w:val="nil"/>
              <w:right w:val="nil"/>
            </w:tcBorders>
            <w:vAlign w:val="bottom"/>
            <w:hideMark/>
          </w:tcPr>
          <w:p w14:paraId="22485597" w14:textId="795D319E"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278</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374" w:type="pct"/>
            <w:tcBorders>
              <w:top w:val="nil"/>
              <w:left w:val="nil"/>
              <w:bottom w:val="nil"/>
              <w:right w:val="nil"/>
            </w:tcBorders>
            <w:vAlign w:val="bottom"/>
            <w:hideMark/>
          </w:tcPr>
          <w:p w14:paraId="4C083DDF" w14:textId="16C16410"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(28</w:t>
            </w:r>
            <w:r w:rsidR="006E66AD" w:rsidRPr="00B06DD1">
              <w:rPr>
                <w:rFonts w:eastAsia="Times New Roman"/>
                <w:sz w:val="18"/>
                <w:szCs w:val="18"/>
                <w:lang w:val="fr-FR"/>
              </w:rPr>
              <w:t>,</w:t>
            </w:r>
            <w:r w:rsidRPr="00B06DD1">
              <w:rPr>
                <w:rFonts w:eastAsia="Times New Roman"/>
                <w:sz w:val="18"/>
                <w:szCs w:val="18"/>
                <w:lang w:val="fr-FR"/>
              </w:rPr>
              <w:t>0)</w:t>
            </w:r>
          </w:p>
        </w:tc>
      </w:tr>
      <w:tr w:rsidR="000A0DFF" w:rsidRPr="00B06DD1" w14:paraId="07A82F5C" w14:textId="77777777" w:rsidTr="004C38A4">
        <w:trPr>
          <w:trHeight w:val="285"/>
        </w:trPr>
        <w:tc>
          <w:tcPr>
            <w:tcW w:w="2131" w:type="pct"/>
            <w:gridSpan w:val="2"/>
            <w:tcBorders>
              <w:top w:val="nil"/>
              <w:left w:val="nil"/>
              <w:bottom w:val="nil"/>
              <w:right w:val="nil"/>
            </w:tcBorders>
            <w:vAlign w:val="bottom"/>
            <w:hideMark/>
          </w:tcPr>
          <w:p w14:paraId="266C5526" w14:textId="757E50D6"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Voyages officiels</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250B6574" w14:textId="6AEA062F"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850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129" w:type="pct"/>
            <w:tcBorders>
              <w:top w:val="nil"/>
              <w:left w:val="nil"/>
              <w:bottom w:val="nil"/>
              <w:right w:val="nil"/>
            </w:tcBorders>
            <w:vAlign w:val="bottom"/>
            <w:hideMark/>
          </w:tcPr>
          <w:p w14:paraId="413FD407" w14:textId="110CC5CB"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835</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374" w:type="pct"/>
            <w:tcBorders>
              <w:top w:val="nil"/>
              <w:left w:val="nil"/>
              <w:bottom w:val="nil"/>
              <w:right w:val="nil"/>
            </w:tcBorders>
            <w:vAlign w:val="bottom"/>
            <w:hideMark/>
          </w:tcPr>
          <w:p w14:paraId="48B5F5EC" w14:textId="6F87EF72"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15</w:t>
            </w:r>
            <w:r w:rsidR="006E66AD" w:rsidRPr="00B06DD1">
              <w:rPr>
                <w:rFonts w:eastAsia="Times New Roman"/>
                <w:sz w:val="18"/>
                <w:szCs w:val="18"/>
                <w:lang w:val="fr-FR"/>
              </w:rPr>
              <w:t>,</w:t>
            </w:r>
            <w:r w:rsidRPr="00B06DD1">
              <w:rPr>
                <w:rFonts w:eastAsia="Times New Roman"/>
                <w:sz w:val="18"/>
                <w:szCs w:val="18"/>
                <w:lang w:val="fr-FR"/>
              </w:rPr>
              <w:t>0</w:t>
            </w:r>
          </w:p>
        </w:tc>
      </w:tr>
      <w:tr w:rsidR="000A0DFF" w:rsidRPr="00B06DD1" w14:paraId="7B6C2399" w14:textId="77777777" w:rsidTr="004C38A4">
        <w:trPr>
          <w:trHeight w:val="285"/>
        </w:trPr>
        <w:tc>
          <w:tcPr>
            <w:tcW w:w="2131" w:type="pct"/>
            <w:gridSpan w:val="2"/>
            <w:tcBorders>
              <w:top w:val="nil"/>
              <w:left w:val="nil"/>
              <w:bottom w:val="nil"/>
              <w:right w:val="nil"/>
            </w:tcBorders>
            <w:vAlign w:val="bottom"/>
            <w:hideMark/>
          </w:tcPr>
          <w:p w14:paraId="5A2DA0FB" w14:textId="11800C22"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 xml:space="preserve">Loyer et </w:t>
            </w:r>
            <w:r w:rsidR="00F375A7" w:rsidRPr="00B06DD1">
              <w:rPr>
                <w:rFonts w:eastAsia="Times New Roman"/>
                <w:sz w:val="18"/>
                <w:szCs w:val="18"/>
                <w:lang w:val="fr-FR"/>
              </w:rPr>
              <w:t xml:space="preserve">frais </w:t>
            </w:r>
            <w:r w:rsidRPr="00B06DD1">
              <w:rPr>
                <w:rFonts w:eastAsia="Times New Roman"/>
                <w:sz w:val="18"/>
                <w:szCs w:val="18"/>
                <w:lang w:val="fr-FR"/>
              </w:rPr>
              <w:t>connexes</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23859EBE" w14:textId="1CEF815E"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w:t>
            </w:r>
            <w:r w:rsidR="00C55148" w:rsidRPr="00B06DD1">
              <w:rPr>
                <w:rFonts w:eastAsia="Times New Roman"/>
                <w:sz w:val="18"/>
                <w:szCs w:val="18"/>
                <w:lang w:val="fr-FR"/>
              </w:rPr>
              <w:t xml:space="preserve"> </w:t>
            </w:r>
            <w:r w:rsidRPr="00B06DD1">
              <w:rPr>
                <w:rFonts w:eastAsia="Times New Roman"/>
                <w:sz w:val="18"/>
                <w:szCs w:val="18"/>
                <w:lang w:val="fr-FR"/>
              </w:rPr>
              <w:t>939</w:t>
            </w:r>
            <w:r w:rsidR="00C55148" w:rsidRPr="00B06DD1">
              <w:rPr>
                <w:rFonts w:eastAsia="Times New Roman"/>
                <w:sz w:val="18"/>
                <w:szCs w:val="18"/>
                <w:lang w:val="fr-FR"/>
              </w:rPr>
              <w:t>,</w:t>
            </w:r>
            <w:r w:rsidRPr="00B06DD1">
              <w:rPr>
                <w:rFonts w:eastAsia="Times New Roman"/>
                <w:sz w:val="18"/>
                <w:szCs w:val="18"/>
                <w:lang w:val="fr-FR"/>
              </w:rPr>
              <w:t xml:space="preserve">2 </w:t>
            </w:r>
          </w:p>
        </w:tc>
        <w:tc>
          <w:tcPr>
            <w:tcW w:w="1129" w:type="pct"/>
            <w:tcBorders>
              <w:top w:val="nil"/>
              <w:left w:val="nil"/>
              <w:bottom w:val="nil"/>
              <w:right w:val="nil"/>
            </w:tcBorders>
            <w:vAlign w:val="bottom"/>
            <w:hideMark/>
          </w:tcPr>
          <w:p w14:paraId="5827A588" w14:textId="348EED1F" w:rsidR="000A0DFF" w:rsidRPr="00B06DD1" w:rsidRDefault="7D103107"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w:t>
            </w:r>
            <w:r w:rsidR="00C55148" w:rsidRPr="00B06DD1">
              <w:rPr>
                <w:rFonts w:eastAsia="Times New Roman"/>
                <w:sz w:val="18"/>
                <w:szCs w:val="18"/>
                <w:lang w:val="fr-FR"/>
              </w:rPr>
              <w:t xml:space="preserve"> </w:t>
            </w:r>
            <w:r w:rsidRPr="00B06DD1">
              <w:rPr>
                <w:rFonts w:eastAsia="Times New Roman"/>
                <w:sz w:val="18"/>
                <w:szCs w:val="18"/>
                <w:lang w:val="fr-FR"/>
              </w:rPr>
              <w:t>948</w:t>
            </w:r>
            <w:r w:rsidR="00C55148" w:rsidRPr="00B06DD1">
              <w:rPr>
                <w:rFonts w:eastAsia="Times New Roman"/>
                <w:sz w:val="18"/>
                <w:szCs w:val="18"/>
                <w:lang w:val="fr-FR"/>
              </w:rPr>
              <w:t>,</w:t>
            </w:r>
            <w:r w:rsidRPr="00B06DD1">
              <w:rPr>
                <w:rFonts w:eastAsia="Times New Roman"/>
                <w:sz w:val="18"/>
                <w:szCs w:val="18"/>
                <w:lang w:val="fr-FR"/>
              </w:rPr>
              <w:t xml:space="preserve">6 </w:t>
            </w:r>
          </w:p>
        </w:tc>
        <w:tc>
          <w:tcPr>
            <w:tcW w:w="1374" w:type="pct"/>
            <w:tcBorders>
              <w:top w:val="nil"/>
              <w:left w:val="nil"/>
              <w:bottom w:val="nil"/>
              <w:right w:val="nil"/>
            </w:tcBorders>
            <w:vAlign w:val="bottom"/>
            <w:hideMark/>
          </w:tcPr>
          <w:p w14:paraId="04062954" w14:textId="2A130A82" w:rsidR="000A0DFF" w:rsidRPr="00B06DD1" w:rsidRDefault="7D103107"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(9</w:t>
            </w:r>
            <w:r w:rsidR="006E66AD" w:rsidRPr="00B06DD1">
              <w:rPr>
                <w:rFonts w:eastAsia="Times New Roman"/>
                <w:sz w:val="18"/>
                <w:szCs w:val="18"/>
                <w:lang w:val="fr-FR"/>
              </w:rPr>
              <w:t>,</w:t>
            </w:r>
            <w:r w:rsidRPr="00B06DD1">
              <w:rPr>
                <w:rFonts w:eastAsia="Times New Roman"/>
                <w:sz w:val="18"/>
                <w:szCs w:val="18"/>
                <w:lang w:val="fr-FR"/>
              </w:rPr>
              <w:t>4)</w:t>
            </w:r>
          </w:p>
        </w:tc>
      </w:tr>
      <w:tr w:rsidR="000A0DFF" w:rsidRPr="00B06DD1" w14:paraId="79D14ED1" w14:textId="77777777" w:rsidTr="004C38A4">
        <w:trPr>
          <w:trHeight w:val="285"/>
        </w:trPr>
        <w:tc>
          <w:tcPr>
            <w:tcW w:w="2131" w:type="pct"/>
            <w:gridSpan w:val="2"/>
            <w:tcBorders>
              <w:top w:val="nil"/>
              <w:left w:val="nil"/>
              <w:bottom w:val="nil"/>
              <w:right w:val="nil"/>
            </w:tcBorders>
            <w:vAlign w:val="bottom"/>
            <w:hideMark/>
          </w:tcPr>
          <w:p w14:paraId="7E9EAB99" w14:textId="785E3310"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 xml:space="preserve">Formation </w:t>
            </w:r>
          </w:p>
        </w:tc>
        <w:tc>
          <w:tcPr>
            <w:tcW w:w="366" w:type="pct"/>
            <w:tcBorders>
              <w:top w:val="nil"/>
              <w:left w:val="nil"/>
              <w:bottom w:val="nil"/>
              <w:right w:val="nil"/>
            </w:tcBorders>
            <w:vAlign w:val="bottom"/>
            <w:hideMark/>
          </w:tcPr>
          <w:p w14:paraId="282A1913" w14:textId="39F037EA"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129" w:type="pct"/>
            <w:tcBorders>
              <w:top w:val="nil"/>
              <w:left w:val="nil"/>
              <w:bottom w:val="nil"/>
              <w:right w:val="nil"/>
            </w:tcBorders>
            <w:vAlign w:val="bottom"/>
            <w:hideMark/>
          </w:tcPr>
          <w:p w14:paraId="7210B78E" w14:textId="244BFC92"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374" w:type="pct"/>
            <w:tcBorders>
              <w:top w:val="nil"/>
              <w:left w:val="nil"/>
              <w:bottom w:val="nil"/>
              <w:right w:val="nil"/>
            </w:tcBorders>
            <w:vAlign w:val="bottom"/>
            <w:hideMark/>
          </w:tcPr>
          <w:p w14:paraId="065EB1A2" w14:textId="07B7D0F0" w:rsidR="000A0DFF" w:rsidRPr="00B06DD1" w:rsidRDefault="0011339B"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 xml:space="preserve">– </w:t>
            </w:r>
          </w:p>
        </w:tc>
      </w:tr>
      <w:tr w:rsidR="000A0DFF" w:rsidRPr="00B06DD1" w14:paraId="6068BA94" w14:textId="77777777" w:rsidTr="004C38A4">
        <w:trPr>
          <w:trHeight w:val="285"/>
        </w:trPr>
        <w:tc>
          <w:tcPr>
            <w:tcW w:w="2131" w:type="pct"/>
            <w:gridSpan w:val="2"/>
            <w:tcBorders>
              <w:top w:val="nil"/>
              <w:left w:val="nil"/>
              <w:bottom w:val="nil"/>
              <w:right w:val="nil"/>
            </w:tcBorders>
            <w:vAlign w:val="bottom"/>
            <w:hideMark/>
          </w:tcPr>
          <w:p w14:paraId="6DC9A641" w14:textId="7F1ACB61"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Technologi</w:t>
            </w:r>
            <w:r w:rsidR="005829C5">
              <w:rPr>
                <w:rFonts w:eastAsia="Times New Roman"/>
                <w:sz w:val="18"/>
                <w:szCs w:val="18"/>
                <w:lang w:val="fr-FR"/>
              </w:rPr>
              <w:t xml:space="preserve">es </w:t>
            </w:r>
            <w:r w:rsidRPr="00B06DD1">
              <w:rPr>
                <w:rFonts w:eastAsia="Times New Roman"/>
                <w:sz w:val="18"/>
                <w:szCs w:val="18"/>
                <w:lang w:val="fr-FR"/>
              </w:rPr>
              <w:t>de l'information</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6BFBEF0A" w14:textId="76A191D9"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130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129" w:type="pct"/>
            <w:tcBorders>
              <w:top w:val="nil"/>
              <w:left w:val="nil"/>
              <w:bottom w:val="nil"/>
              <w:right w:val="nil"/>
            </w:tcBorders>
            <w:vAlign w:val="bottom"/>
            <w:hideMark/>
          </w:tcPr>
          <w:p w14:paraId="3B0E5456" w14:textId="3648EF05"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130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374" w:type="pct"/>
            <w:tcBorders>
              <w:top w:val="nil"/>
              <w:left w:val="nil"/>
              <w:bottom w:val="nil"/>
              <w:right w:val="nil"/>
            </w:tcBorders>
            <w:vAlign w:val="bottom"/>
            <w:hideMark/>
          </w:tcPr>
          <w:p w14:paraId="2FC62AE7" w14:textId="51269ACF" w:rsidR="000A0DFF" w:rsidRPr="00B06DD1" w:rsidRDefault="0011339B"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 xml:space="preserve">– </w:t>
            </w:r>
          </w:p>
        </w:tc>
      </w:tr>
      <w:tr w:rsidR="000A0DFF" w:rsidRPr="00B06DD1" w14:paraId="26FE2573" w14:textId="77777777" w:rsidTr="004C38A4">
        <w:trPr>
          <w:trHeight w:val="285"/>
        </w:trPr>
        <w:tc>
          <w:tcPr>
            <w:tcW w:w="2131" w:type="pct"/>
            <w:gridSpan w:val="2"/>
            <w:tcBorders>
              <w:top w:val="nil"/>
              <w:left w:val="nil"/>
              <w:bottom w:val="nil"/>
              <w:right w:val="nil"/>
            </w:tcBorders>
            <w:vAlign w:val="bottom"/>
            <w:hideMark/>
          </w:tcPr>
          <w:p w14:paraId="2CCAB7BA" w14:textId="41F9375B"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 xml:space="preserve">Dépenses </w:t>
            </w:r>
            <w:r w:rsidR="00B545A4" w:rsidRPr="00B06DD1">
              <w:rPr>
                <w:rFonts w:eastAsia="Times New Roman"/>
                <w:sz w:val="18"/>
                <w:szCs w:val="18"/>
                <w:lang w:val="fr-FR"/>
              </w:rPr>
              <w:t>générales de fonctionnement</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77F72CFD" w14:textId="1516D636"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w:t>
            </w:r>
            <w:r w:rsidR="00C55148" w:rsidRPr="00B06DD1">
              <w:rPr>
                <w:rFonts w:eastAsia="Times New Roman"/>
                <w:sz w:val="18"/>
                <w:szCs w:val="18"/>
                <w:lang w:val="fr-FR"/>
              </w:rPr>
              <w:t xml:space="preserve"> </w:t>
            </w:r>
            <w:r w:rsidRPr="00B06DD1">
              <w:rPr>
                <w:rFonts w:eastAsia="Times New Roman"/>
                <w:sz w:val="18"/>
                <w:szCs w:val="18"/>
                <w:lang w:val="fr-FR"/>
              </w:rPr>
              <w:t>453</w:t>
            </w:r>
            <w:r w:rsidR="00C55148" w:rsidRPr="00B06DD1">
              <w:rPr>
                <w:rFonts w:eastAsia="Times New Roman"/>
                <w:sz w:val="18"/>
                <w:szCs w:val="18"/>
                <w:lang w:val="fr-FR"/>
              </w:rPr>
              <w:t>,</w:t>
            </w:r>
            <w:r w:rsidRPr="00B06DD1">
              <w:rPr>
                <w:rFonts w:eastAsia="Times New Roman"/>
                <w:sz w:val="18"/>
                <w:szCs w:val="18"/>
                <w:lang w:val="fr-FR"/>
              </w:rPr>
              <w:t xml:space="preserve">2 </w:t>
            </w:r>
          </w:p>
        </w:tc>
        <w:tc>
          <w:tcPr>
            <w:tcW w:w="1129" w:type="pct"/>
            <w:tcBorders>
              <w:top w:val="nil"/>
              <w:left w:val="nil"/>
              <w:bottom w:val="nil"/>
              <w:right w:val="nil"/>
            </w:tcBorders>
            <w:vAlign w:val="bottom"/>
            <w:hideMark/>
          </w:tcPr>
          <w:p w14:paraId="6085DE9E" w14:textId="32BDF2B9"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w:t>
            </w:r>
            <w:r w:rsidR="00C55148" w:rsidRPr="00B06DD1">
              <w:rPr>
                <w:rFonts w:eastAsia="Times New Roman"/>
                <w:sz w:val="18"/>
                <w:szCs w:val="18"/>
                <w:lang w:val="fr-FR"/>
              </w:rPr>
              <w:t xml:space="preserve"> </w:t>
            </w:r>
            <w:r w:rsidRPr="00B06DD1">
              <w:rPr>
                <w:rFonts w:eastAsia="Times New Roman"/>
                <w:sz w:val="18"/>
                <w:szCs w:val="18"/>
                <w:lang w:val="fr-FR"/>
              </w:rPr>
              <w:t>453</w:t>
            </w:r>
            <w:r w:rsidR="00C55148" w:rsidRPr="00B06DD1">
              <w:rPr>
                <w:rFonts w:eastAsia="Times New Roman"/>
                <w:sz w:val="18"/>
                <w:szCs w:val="18"/>
                <w:lang w:val="fr-FR"/>
              </w:rPr>
              <w:t>,</w:t>
            </w:r>
            <w:r w:rsidRPr="00B06DD1">
              <w:rPr>
                <w:rFonts w:eastAsia="Times New Roman"/>
                <w:sz w:val="18"/>
                <w:szCs w:val="18"/>
                <w:lang w:val="fr-FR"/>
              </w:rPr>
              <w:t xml:space="preserve">2 </w:t>
            </w:r>
          </w:p>
        </w:tc>
        <w:tc>
          <w:tcPr>
            <w:tcW w:w="1374" w:type="pct"/>
            <w:tcBorders>
              <w:top w:val="nil"/>
              <w:left w:val="nil"/>
              <w:bottom w:val="nil"/>
              <w:right w:val="nil"/>
            </w:tcBorders>
            <w:vAlign w:val="bottom"/>
            <w:hideMark/>
          </w:tcPr>
          <w:p w14:paraId="0ABA4538" w14:textId="45FD4357" w:rsidR="000A0DFF" w:rsidRPr="00B06DD1" w:rsidRDefault="0011339B"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 xml:space="preserve">– </w:t>
            </w:r>
          </w:p>
        </w:tc>
      </w:tr>
      <w:tr w:rsidR="000A0DFF" w:rsidRPr="00B06DD1" w14:paraId="736434A0" w14:textId="77777777" w:rsidTr="004C38A4">
        <w:trPr>
          <w:trHeight w:val="285"/>
        </w:trPr>
        <w:tc>
          <w:tcPr>
            <w:tcW w:w="2131" w:type="pct"/>
            <w:gridSpan w:val="2"/>
            <w:tcBorders>
              <w:top w:val="nil"/>
              <w:left w:val="nil"/>
              <w:bottom w:val="nil"/>
              <w:right w:val="nil"/>
            </w:tcBorders>
            <w:vAlign w:val="bottom"/>
            <w:hideMark/>
          </w:tcPr>
          <w:p w14:paraId="7EEF77C7" w14:textId="31BA20C0"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M</w:t>
            </w:r>
            <w:r w:rsidR="00676D86">
              <w:rPr>
                <w:rFonts w:eastAsia="Times New Roman"/>
                <w:sz w:val="18"/>
                <w:szCs w:val="18"/>
                <w:lang w:val="fr-FR"/>
              </w:rPr>
              <w:t>oyen</w:t>
            </w:r>
            <w:r w:rsidRPr="00B06DD1">
              <w:rPr>
                <w:rFonts w:eastAsia="Times New Roman"/>
                <w:sz w:val="18"/>
                <w:szCs w:val="18"/>
                <w:lang w:val="fr-FR"/>
              </w:rPr>
              <w:t xml:space="preserve"> de sensibilisation du public</w:t>
            </w:r>
            <w:r w:rsidRPr="00B06DD1">
              <w:rPr>
                <w:rFonts w:eastAsia="Times New Roman"/>
                <w:b/>
                <w:bCs/>
                <w:sz w:val="18"/>
                <w:szCs w:val="18"/>
                <w:lang w:val="fr-FR"/>
              </w:rPr>
              <w:t xml:space="preserve"> </w:t>
            </w:r>
          </w:p>
        </w:tc>
        <w:tc>
          <w:tcPr>
            <w:tcW w:w="366" w:type="pct"/>
            <w:tcBorders>
              <w:top w:val="nil"/>
              <w:left w:val="nil"/>
              <w:bottom w:val="nil"/>
              <w:right w:val="nil"/>
            </w:tcBorders>
            <w:vAlign w:val="bottom"/>
            <w:hideMark/>
          </w:tcPr>
          <w:p w14:paraId="43D306AD" w14:textId="1F8C0E49"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200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129" w:type="pct"/>
            <w:tcBorders>
              <w:top w:val="nil"/>
              <w:left w:val="nil"/>
              <w:bottom w:val="nil"/>
              <w:right w:val="nil"/>
            </w:tcBorders>
            <w:vAlign w:val="bottom"/>
            <w:hideMark/>
          </w:tcPr>
          <w:p w14:paraId="11B3FE95" w14:textId="1D1801CE"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198</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374" w:type="pct"/>
            <w:tcBorders>
              <w:top w:val="nil"/>
              <w:left w:val="nil"/>
              <w:bottom w:val="nil"/>
              <w:right w:val="nil"/>
            </w:tcBorders>
            <w:vAlign w:val="bottom"/>
            <w:hideMark/>
          </w:tcPr>
          <w:p w14:paraId="413A448A" w14:textId="4F8A7B4E"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2</w:t>
            </w:r>
            <w:r w:rsidR="006E66AD" w:rsidRPr="00B06DD1">
              <w:rPr>
                <w:rFonts w:eastAsia="Times New Roman"/>
                <w:sz w:val="18"/>
                <w:szCs w:val="18"/>
                <w:lang w:val="fr-FR"/>
              </w:rPr>
              <w:t>,</w:t>
            </w:r>
            <w:r w:rsidRPr="00B06DD1">
              <w:rPr>
                <w:rFonts w:eastAsia="Times New Roman"/>
                <w:sz w:val="18"/>
                <w:szCs w:val="18"/>
                <w:lang w:val="fr-FR"/>
              </w:rPr>
              <w:t>0</w:t>
            </w:r>
          </w:p>
        </w:tc>
      </w:tr>
      <w:tr w:rsidR="000A0DFF" w:rsidRPr="00B06DD1" w14:paraId="124AB9B2" w14:textId="77777777" w:rsidTr="004C38A4">
        <w:trPr>
          <w:trHeight w:val="285"/>
        </w:trPr>
        <w:tc>
          <w:tcPr>
            <w:tcW w:w="2131" w:type="pct"/>
            <w:gridSpan w:val="2"/>
            <w:tcBorders>
              <w:top w:val="nil"/>
              <w:left w:val="nil"/>
              <w:bottom w:val="single" w:sz="4" w:space="0" w:color="auto"/>
              <w:right w:val="nil"/>
            </w:tcBorders>
            <w:vAlign w:val="bottom"/>
            <w:hideMark/>
          </w:tcPr>
          <w:p w14:paraId="6643DDCD" w14:textId="03B7DA4B" w:rsidR="000A0DFF" w:rsidRPr="00B06DD1" w:rsidRDefault="000A0DFF" w:rsidP="000A0DFF">
            <w:pPr>
              <w:tabs>
                <w:tab w:val="clear" w:pos="567"/>
                <w:tab w:val="clear" w:pos="1134"/>
                <w:tab w:val="clear" w:pos="1701"/>
                <w:tab w:val="clear" w:pos="2268"/>
              </w:tabs>
              <w:jc w:val="left"/>
              <w:textAlignment w:val="baseline"/>
              <w:rPr>
                <w:rFonts w:eastAsia="Times New Roman"/>
                <w:b/>
                <w:bCs/>
                <w:sz w:val="24"/>
                <w:szCs w:val="24"/>
                <w:lang w:val="fr-FR"/>
              </w:rPr>
            </w:pPr>
            <w:r w:rsidRPr="00B06DD1">
              <w:rPr>
                <w:rFonts w:eastAsia="Times New Roman"/>
                <w:sz w:val="18"/>
                <w:szCs w:val="18"/>
                <w:lang w:val="fr-FR"/>
              </w:rPr>
              <w:t>Traduction des sites Web d</w:t>
            </w:r>
            <w:r w:rsidR="00B545A4" w:rsidRPr="00B06DD1">
              <w:rPr>
                <w:rFonts w:eastAsia="Times New Roman"/>
                <w:sz w:val="18"/>
                <w:szCs w:val="18"/>
                <w:lang w:val="fr-FR"/>
              </w:rPr>
              <w:t>u Centre d’échange</w:t>
            </w:r>
          </w:p>
        </w:tc>
        <w:tc>
          <w:tcPr>
            <w:tcW w:w="366" w:type="pct"/>
            <w:tcBorders>
              <w:top w:val="nil"/>
              <w:left w:val="nil"/>
              <w:bottom w:val="single" w:sz="4" w:space="0" w:color="auto"/>
              <w:right w:val="nil"/>
            </w:tcBorders>
            <w:vAlign w:val="bottom"/>
            <w:hideMark/>
          </w:tcPr>
          <w:p w14:paraId="54A0EF18" w14:textId="1516DCFB"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130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129" w:type="pct"/>
            <w:tcBorders>
              <w:top w:val="nil"/>
              <w:left w:val="nil"/>
              <w:bottom w:val="single" w:sz="4" w:space="0" w:color="auto"/>
              <w:right w:val="nil"/>
            </w:tcBorders>
            <w:vAlign w:val="bottom"/>
            <w:hideMark/>
          </w:tcPr>
          <w:p w14:paraId="3D013B98" w14:textId="427932DD"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80</w:t>
            </w:r>
            <w:r w:rsidR="00C55148" w:rsidRPr="00B06DD1">
              <w:rPr>
                <w:rFonts w:eastAsia="Times New Roman"/>
                <w:sz w:val="18"/>
                <w:szCs w:val="18"/>
                <w:lang w:val="fr-FR"/>
              </w:rPr>
              <w:t>,</w:t>
            </w:r>
            <w:r w:rsidRPr="00B06DD1">
              <w:rPr>
                <w:rFonts w:eastAsia="Times New Roman"/>
                <w:sz w:val="18"/>
                <w:szCs w:val="18"/>
                <w:lang w:val="fr-FR"/>
              </w:rPr>
              <w:t xml:space="preserve">0 </w:t>
            </w:r>
          </w:p>
        </w:tc>
        <w:tc>
          <w:tcPr>
            <w:tcW w:w="1374" w:type="pct"/>
            <w:tcBorders>
              <w:top w:val="nil"/>
              <w:left w:val="nil"/>
              <w:bottom w:val="single" w:sz="4" w:space="0" w:color="auto"/>
              <w:right w:val="nil"/>
            </w:tcBorders>
            <w:vAlign w:val="bottom"/>
            <w:hideMark/>
          </w:tcPr>
          <w:p w14:paraId="735801D2" w14:textId="0D2E6315"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sz w:val="18"/>
                <w:szCs w:val="18"/>
                <w:lang w:val="fr-FR"/>
              </w:rPr>
              <w:t>50</w:t>
            </w:r>
            <w:r w:rsidR="006E66AD" w:rsidRPr="00B06DD1">
              <w:rPr>
                <w:rFonts w:eastAsia="Times New Roman"/>
                <w:sz w:val="18"/>
                <w:szCs w:val="18"/>
                <w:lang w:val="fr-FR"/>
              </w:rPr>
              <w:t>,</w:t>
            </w:r>
            <w:r w:rsidRPr="00B06DD1">
              <w:rPr>
                <w:rFonts w:eastAsia="Times New Roman"/>
                <w:sz w:val="18"/>
                <w:szCs w:val="18"/>
                <w:lang w:val="fr-FR"/>
              </w:rPr>
              <w:t>0</w:t>
            </w:r>
          </w:p>
        </w:tc>
      </w:tr>
      <w:tr w:rsidR="000A0DFF" w:rsidRPr="00B06DD1" w14:paraId="6EDD2C5C" w14:textId="77777777" w:rsidTr="004C38A4">
        <w:trPr>
          <w:trHeight w:val="285"/>
        </w:trPr>
        <w:tc>
          <w:tcPr>
            <w:tcW w:w="2131" w:type="pct"/>
            <w:gridSpan w:val="2"/>
            <w:tcBorders>
              <w:top w:val="single" w:sz="4" w:space="0" w:color="auto"/>
              <w:left w:val="nil"/>
              <w:bottom w:val="single" w:sz="4" w:space="0" w:color="auto"/>
              <w:right w:val="nil"/>
            </w:tcBorders>
            <w:vAlign w:val="bottom"/>
            <w:hideMark/>
          </w:tcPr>
          <w:p w14:paraId="57C2A46D" w14:textId="305B5DBB" w:rsidR="000A0DFF" w:rsidRPr="00B06DD1" w:rsidRDefault="00AA6129" w:rsidP="00440131">
            <w:pPr>
              <w:tabs>
                <w:tab w:val="clear" w:pos="567"/>
                <w:tab w:val="clear" w:pos="1134"/>
                <w:tab w:val="clear" w:pos="1701"/>
                <w:tab w:val="clear" w:pos="2268"/>
              </w:tabs>
              <w:ind w:firstLine="271"/>
              <w:jc w:val="left"/>
              <w:textAlignment w:val="baseline"/>
              <w:rPr>
                <w:rFonts w:eastAsia="Times New Roman"/>
                <w:b/>
                <w:bCs/>
                <w:sz w:val="24"/>
                <w:szCs w:val="24"/>
                <w:lang w:val="fr-FR"/>
              </w:rPr>
            </w:pPr>
            <w:r w:rsidRPr="00B06DD1">
              <w:rPr>
                <w:rFonts w:eastAsia="Times New Roman"/>
                <w:b/>
                <w:bCs/>
                <w:sz w:val="18"/>
                <w:szCs w:val="18"/>
                <w:lang w:val="fr-FR"/>
              </w:rPr>
              <w:t xml:space="preserve">Total </w:t>
            </w:r>
          </w:p>
        </w:tc>
        <w:tc>
          <w:tcPr>
            <w:tcW w:w="366" w:type="pct"/>
            <w:tcBorders>
              <w:top w:val="single" w:sz="4" w:space="0" w:color="auto"/>
              <w:left w:val="nil"/>
              <w:bottom w:val="single" w:sz="4" w:space="0" w:color="auto"/>
              <w:right w:val="nil"/>
            </w:tcBorders>
            <w:vAlign w:val="bottom"/>
            <w:hideMark/>
          </w:tcPr>
          <w:p w14:paraId="612ABD5E" w14:textId="0DB378ED"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b/>
                <w:bCs/>
                <w:sz w:val="18"/>
                <w:szCs w:val="18"/>
                <w:lang w:val="fr-FR"/>
              </w:rPr>
              <w:t>39</w:t>
            </w:r>
            <w:r w:rsidR="00B545A4" w:rsidRPr="00B06DD1">
              <w:rPr>
                <w:rFonts w:eastAsia="Times New Roman"/>
                <w:b/>
                <w:bCs/>
                <w:sz w:val="18"/>
                <w:szCs w:val="18"/>
                <w:lang w:val="fr-FR"/>
              </w:rPr>
              <w:t xml:space="preserve"> </w:t>
            </w:r>
            <w:r w:rsidRPr="00B06DD1">
              <w:rPr>
                <w:rFonts w:eastAsia="Times New Roman"/>
                <w:b/>
                <w:bCs/>
                <w:sz w:val="18"/>
                <w:szCs w:val="18"/>
                <w:lang w:val="fr-FR"/>
              </w:rPr>
              <w:t>169</w:t>
            </w:r>
            <w:r w:rsidR="00B545A4" w:rsidRPr="00B06DD1">
              <w:rPr>
                <w:rFonts w:eastAsia="Times New Roman"/>
                <w:b/>
                <w:bCs/>
                <w:sz w:val="18"/>
                <w:szCs w:val="18"/>
                <w:lang w:val="fr-FR"/>
              </w:rPr>
              <w:t>,</w:t>
            </w:r>
            <w:r w:rsidRPr="00B06DD1">
              <w:rPr>
                <w:rFonts w:eastAsia="Times New Roman"/>
                <w:b/>
                <w:bCs/>
                <w:sz w:val="18"/>
                <w:szCs w:val="18"/>
                <w:lang w:val="fr-FR"/>
              </w:rPr>
              <w:t xml:space="preserve">9 </w:t>
            </w:r>
          </w:p>
        </w:tc>
        <w:tc>
          <w:tcPr>
            <w:tcW w:w="1129" w:type="pct"/>
            <w:tcBorders>
              <w:top w:val="single" w:sz="4" w:space="0" w:color="auto"/>
              <w:left w:val="nil"/>
              <w:bottom w:val="single" w:sz="4" w:space="0" w:color="auto"/>
              <w:right w:val="nil"/>
            </w:tcBorders>
            <w:vAlign w:val="bottom"/>
            <w:hideMark/>
          </w:tcPr>
          <w:p w14:paraId="3FAF9BD6" w14:textId="20F41C3C" w:rsidR="000A0DFF" w:rsidRPr="00B06DD1" w:rsidRDefault="000A0DFF"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b/>
                <w:bCs/>
                <w:sz w:val="18"/>
                <w:szCs w:val="18"/>
                <w:lang w:val="fr-FR"/>
              </w:rPr>
              <w:t>39</w:t>
            </w:r>
            <w:r w:rsidR="00B545A4" w:rsidRPr="00B06DD1">
              <w:rPr>
                <w:rFonts w:eastAsia="Times New Roman"/>
                <w:b/>
                <w:bCs/>
                <w:sz w:val="18"/>
                <w:szCs w:val="18"/>
                <w:lang w:val="fr-FR"/>
              </w:rPr>
              <w:t xml:space="preserve"> </w:t>
            </w:r>
            <w:r w:rsidRPr="00B06DD1">
              <w:rPr>
                <w:rFonts w:eastAsia="Times New Roman"/>
                <w:b/>
                <w:bCs/>
                <w:sz w:val="18"/>
                <w:szCs w:val="18"/>
                <w:lang w:val="fr-FR"/>
              </w:rPr>
              <w:t>080</w:t>
            </w:r>
            <w:r w:rsidR="00B545A4" w:rsidRPr="00B06DD1">
              <w:rPr>
                <w:rFonts w:eastAsia="Times New Roman"/>
                <w:b/>
                <w:bCs/>
                <w:sz w:val="18"/>
                <w:szCs w:val="18"/>
                <w:lang w:val="fr-FR"/>
              </w:rPr>
              <w:t>,</w:t>
            </w:r>
            <w:r w:rsidRPr="00B06DD1">
              <w:rPr>
                <w:rFonts w:eastAsia="Times New Roman"/>
                <w:b/>
                <w:bCs/>
                <w:sz w:val="18"/>
                <w:szCs w:val="18"/>
                <w:lang w:val="fr-FR"/>
              </w:rPr>
              <w:t xml:space="preserve">9 </w:t>
            </w:r>
          </w:p>
        </w:tc>
        <w:tc>
          <w:tcPr>
            <w:tcW w:w="1374" w:type="pct"/>
            <w:tcBorders>
              <w:top w:val="single" w:sz="4" w:space="0" w:color="auto"/>
              <w:left w:val="nil"/>
              <w:bottom w:val="single" w:sz="4" w:space="0" w:color="auto"/>
              <w:right w:val="nil"/>
            </w:tcBorders>
            <w:vAlign w:val="bottom"/>
            <w:hideMark/>
          </w:tcPr>
          <w:p w14:paraId="4EFA2EAB" w14:textId="7DC68960" w:rsidR="000A0DFF" w:rsidRPr="00B06DD1" w:rsidRDefault="25830CE9" w:rsidP="000A0DFF">
            <w:pPr>
              <w:tabs>
                <w:tab w:val="clear" w:pos="567"/>
                <w:tab w:val="clear" w:pos="1134"/>
                <w:tab w:val="clear" w:pos="1701"/>
                <w:tab w:val="clear" w:pos="2268"/>
              </w:tabs>
              <w:jc w:val="right"/>
              <w:textAlignment w:val="baseline"/>
              <w:rPr>
                <w:rFonts w:eastAsia="Times New Roman"/>
                <w:sz w:val="24"/>
                <w:szCs w:val="24"/>
                <w:lang w:val="fr-FR"/>
              </w:rPr>
            </w:pPr>
            <w:r w:rsidRPr="00B06DD1">
              <w:rPr>
                <w:rFonts w:eastAsia="Times New Roman"/>
                <w:b/>
                <w:bCs/>
                <w:sz w:val="18"/>
                <w:szCs w:val="18"/>
                <w:lang w:val="fr-FR"/>
              </w:rPr>
              <w:t>93</w:t>
            </w:r>
            <w:r w:rsidR="00B545A4" w:rsidRPr="00B06DD1">
              <w:rPr>
                <w:rFonts w:eastAsia="Times New Roman"/>
                <w:b/>
                <w:bCs/>
                <w:sz w:val="18"/>
                <w:szCs w:val="18"/>
                <w:lang w:val="fr-FR"/>
              </w:rPr>
              <w:t xml:space="preserve">, </w:t>
            </w:r>
            <w:r w:rsidRPr="00B06DD1">
              <w:rPr>
                <w:rFonts w:eastAsia="Times New Roman"/>
                <w:b/>
                <w:bCs/>
                <w:sz w:val="18"/>
                <w:szCs w:val="18"/>
                <w:lang w:val="fr-FR"/>
              </w:rPr>
              <w:t>4</w:t>
            </w:r>
          </w:p>
        </w:tc>
      </w:tr>
    </w:tbl>
    <w:p w14:paraId="44313585" w14:textId="6DF7117F" w:rsidR="00A556AC" w:rsidRPr="00B06DD1" w:rsidRDefault="00F10EB6" w:rsidP="00440131">
      <w:pPr>
        <w:pStyle w:val="CBDH5"/>
        <w:ind w:firstLine="0"/>
        <w:rPr>
          <w:lang w:val="fr-FR"/>
        </w:rPr>
      </w:pPr>
      <w:r w:rsidRPr="00B06DD1">
        <w:rPr>
          <w:iCs/>
          <w:lang w:val="fr-FR"/>
        </w:rPr>
        <w:t xml:space="preserve">Dépenses </w:t>
      </w:r>
      <w:r w:rsidRPr="00B06DD1">
        <w:rPr>
          <w:lang w:val="fr-FR"/>
        </w:rPr>
        <w:t>de personnel</w:t>
      </w:r>
    </w:p>
    <w:p w14:paraId="2ECDAC68" w14:textId="34457AC2" w:rsidR="00F10EB6" w:rsidRPr="00B06DD1" w:rsidRDefault="415B4EE3" w:rsidP="00440131">
      <w:pPr>
        <w:pStyle w:val="CBDNormalNumber"/>
        <w:rPr>
          <w:lang w:val="fr-FR"/>
        </w:rPr>
      </w:pPr>
      <w:r w:rsidRPr="00B06DD1">
        <w:rPr>
          <w:lang w:val="fr-FR"/>
        </w:rPr>
        <w:t>Dans sa décision</w:t>
      </w:r>
      <w:r w:rsidR="00B2356D" w:rsidRPr="00B06DD1">
        <w:rPr>
          <w:lang w:val="fr-FR"/>
        </w:rPr>
        <w:t xml:space="preserve"> </w:t>
      </w:r>
      <w:hyperlink r:id="rId19" w:history="1">
        <w:r w:rsidRPr="00B06DD1">
          <w:rPr>
            <w:rStyle w:val="Hyperlink"/>
            <w:lang w:val="fr-FR"/>
          </w:rPr>
          <w:t>16/28</w:t>
        </w:r>
      </w:hyperlink>
      <w:r w:rsidRPr="00B06DD1">
        <w:rPr>
          <w:lang w:val="fr-FR"/>
        </w:rPr>
        <w:t xml:space="preserve">, la Conférence des Parties a approuvé 87 postes (56 postes de la catégorie des administrateurs et fonctionnaires de rang supérieur et 31 postes de la catégorie des services généraux) pour le budget de base consolidé des trois fonds </w:t>
      </w:r>
      <w:r w:rsidR="001A1F89">
        <w:rPr>
          <w:lang w:val="fr-FR"/>
        </w:rPr>
        <w:t xml:space="preserve">généraux </w:t>
      </w:r>
      <w:r w:rsidRPr="00B06DD1">
        <w:rPr>
          <w:lang w:val="fr-FR"/>
        </w:rPr>
        <w:t>d'affectation spé</w:t>
      </w:r>
      <w:r w:rsidR="0053708F" w:rsidRPr="00B06DD1">
        <w:rPr>
          <w:lang w:val="fr-FR"/>
        </w:rPr>
        <w:t>c</w:t>
      </w:r>
      <w:r w:rsidR="001A1F89">
        <w:rPr>
          <w:lang w:val="fr-FR"/>
        </w:rPr>
        <w:t>iale</w:t>
      </w:r>
      <w:r w:rsidRPr="00B06DD1">
        <w:rPr>
          <w:lang w:val="fr-FR"/>
        </w:rPr>
        <w:t xml:space="preserve"> pour l'exercice biennal 2025-2026. L'Organisation des Nations </w:t>
      </w:r>
      <w:r w:rsidR="001A1F89">
        <w:rPr>
          <w:lang w:val="fr-FR"/>
        </w:rPr>
        <w:t>U</w:t>
      </w:r>
      <w:r w:rsidRPr="00B06DD1">
        <w:rPr>
          <w:lang w:val="fr-FR"/>
        </w:rPr>
        <w:t xml:space="preserve">nies a approuvé les barèmes de traitement révisés pour le personnel recruté localement à Montréal (catégories des services généraux et des administrateurs recrutés sur le plan national), à la suite des résultats d'une enquête sur les traitements menée par la Commission de la fonction publique internationale en 2024. Afin d'échelonner l'incidence financière de l'augmentation des traitements, celle-ci a été mise en œuvre en deux étapes : avec effet au 1er avril 2024, les traitements ont augmenté de 6,44 %, puis avec effet au 1er avril 2025, ils ont augmenté d'un nouveau 6,27 %. La part restante de l'augmentation sera échelonnée sur les années à venir, en fonction des examens intérimaires et des règles de l'Organisation des Nations </w:t>
      </w:r>
      <w:r w:rsidR="00177B2F">
        <w:rPr>
          <w:lang w:val="fr-FR"/>
        </w:rPr>
        <w:t>U</w:t>
      </w:r>
      <w:r w:rsidRPr="00B06DD1">
        <w:rPr>
          <w:lang w:val="fr-FR"/>
        </w:rPr>
        <w:t>nies. Les paiements rétroactifs ont été traités en 2025.</w:t>
      </w:r>
    </w:p>
    <w:p w14:paraId="5CF434A1" w14:textId="2481F3F8" w:rsidR="000C4971" w:rsidRPr="00B06DD1" w:rsidRDefault="000C4971" w:rsidP="00440131">
      <w:pPr>
        <w:pStyle w:val="CBDH5"/>
        <w:ind w:firstLine="0"/>
        <w:rPr>
          <w:lang w:val="fr-FR"/>
        </w:rPr>
      </w:pPr>
      <w:r w:rsidRPr="00B06DD1">
        <w:rPr>
          <w:iCs/>
          <w:lang w:val="fr-FR"/>
        </w:rPr>
        <w:t xml:space="preserve">Personnel </w:t>
      </w:r>
      <w:r w:rsidRPr="00B06DD1">
        <w:rPr>
          <w:lang w:val="fr-FR"/>
        </w:rPr>
        <w:t>temporaire</w:t>
      </w:r>
      <w:r w:rsidRPr="00B06DD1">
        <w:rPr>
          <w:iCs/>
          <w:lang w:val="fr-FR"/>
        </w:rPr>
        <w:t xml:space="preserve"> </w:t>
      </w:r>
      <w:r w:rsidRPr="00B06DD1">
        <w:rPr>
          <w:lang w:val="fr-FR"/>
        </w:rPr>
        <w:t xml:space="preserve"> </w:t>
      </w:r>
    </w:p>
    <w:p w14:paraId="74659399" w14:textId="5D3764FC" w:rsidR="000C4971" w:rsidRPr="00B06DD1" w:rsidRDefault="00E348D0" w:rsidP="00440131">
      <w:pPr>
        <w:pStyle w:val="CBDNormalNumber"/>
        <w:rPr>
          <w:lang w:val="fr-FR"/>
        </w:rPr>
      </w:pPr>
      <w:r w:rsidRPr="00B06DD1">
        <w:rPr>
          <w:lang w:val="fr-FR"/>
        </w:rPr>
        <w:t xml:space="preserve">Au 31 mai 2026, le Secrétariat avait dépensé environ 82 000 dollars pour recruter quatre contractants individuels afin de répondre à des besoins opérationnels accrus. Il est prévu de recruter du personnel temporaire supplémentaire pour le solde du budget afin d'appuyer la préparation des prochaines réunions de la Conférence des Parties. </w:t>
      </w:r>
    </w:p>
    <w:p w14:paraId="46B51D70" w14:textId="63BF7D9C" w:rsidR="00E348D0" w:rsidRPr="00B06DD1" w:rsidRDefault="00E348D0" w:rsidP="00440131">
      <w:pPr>
        <w:pStyle w:val="CBDH5"/>
        <w:ind w:firstLine="0"/>
        <w:rPr>
          <w:lang w:val="fr-FR"/>
        </w:rPr>
      </w:pPr>
      <w:r w:rsidRPr="00B06DD1">
        <w:rPr>
          <w:iCs/>
          <w:lang w:val="fr-FR"/>
        </w:rPr>
        <w:t>Consultants</w:t>
      </w:r>
    </w:p>
    <w:p w14:paraId="0869BFC2" w14:textId="4442C06F" w:rsidR="47C9D8B5" w:rsidRPr="00B06DD1" w:rsidRDefault="47C9D8B5" w:rsidP="00440131">
      <w:pPr>
        <w:pStyle w:val="CBDNormalNumber"/>
        <w:rPr>
          <w:rFonts w:eastAsia="Times New Roman"/>
          <w:lang w:val="fr-FR"/>
        </w:rPr>
      </w:pPr>
      <w:r w:rsidRPr="00B06DD1">
        <w:rPr>
          <w:rFonts w:eastAsia="Times New Roman"/>
          <w:lang w:val="fr-FR"/>
        </w:rPr>
        <w:t>Au 31 mai 2026, le Secrétariat avait dépensé environ 125 000 dollars pour sept consultants, avec la perspective de dépasser ce budget compte tenu du besoin actuel de recruter un ou deux consultants supplémentaires.</w:t>
      </w:r>
    </w:p>
    <w:p w14:paraId="39B5C50B" w14:textId="22EA3E3B" w:rsidR="00E348D0" w:rsidRPr="00B06DD1" w:rsidRDefault="00BA559A" w:rsidP="2080ABF3">
      <w:pPr>
        <w:pStyle w:val="CBDNormalNumber"/>
        <w:numPr>
          <w:ilvl w:val="0"/>
          <w:numId w:val="0"/>
        </w:numPr>
        <w:tabs>
          <w:tab w:val="left" w:pos="990"/>
        </w:tabs>
        <w:ind w:left="567"/>
        <w:rPr>
          <w:lang w:val="fr-FR"/>
        </w:rPr>
      </w:pPr>
      <w:r w:rsidRPr="00B06DD1">
        <w:rPr>
          <w:i/>
          <w:iCs/>
          <w:lang w:val="fr-FR"/>
        </w:rPr>
        <w:t>Formation</w:t>
      </w:r>
    </w:p>
    <w:p w14:paraId="0B2804EF" w14:textId="3A04A380" w:rsidR="000C4971" w:rsidRPr="00B06DD1" w:rsidRDefault="00CC7FBB" w:rsidP="00440131">
      <w:pPr>
        <w:pStyle w:val="CBDNormalNumber"/>
        <w:rPr>
          <w:lang w:val="fr-FR"/>
        </w:rPr>
      </w:pPr>
      <w:r w:rsidRPr="00B06DD1">
        <w:rPr>
          <w:lang w:val="fr-FR"/>
        </w:rPr>
        <w:lastRenderedPageBreak/>
        <w:t xml:space="preserve">Au 31 mai 2026, environ 7 000 dollars avaient été dépensés pour couvrir les coûts de la formation à l'analyse de données. Le solde restant sera consacré à d'autres formations du personnel avant décembre 2026. </w:t>
      </w:r>
    </w:p>
    <w:p w14:paraId="5D48CC34" w14:textId="6E06CE05" w:rsidR="00CC7FBB" w:rsidRPr="00B06DD1" w:rsidRDefault="00CC7FBB" w:rsidP="00440131">
      <w:pPr>
        <w:pStyle w:val="CBDH5"/>
        <w:ind w:firstLine="0"/>
        <w:rPr>
          <w:lang w:val="fr-FR"/>
        </w:rPr>
      </w:pPr>
      <w:r w:rsidRPr="00B06DD1">
        <w:rPr>
          <w:lang w:val="fr-FR"/>
        </w:rPr>
        <w:t xml:space="preserve">Examen structurel </w:t>
      </w:r>
    </w:p>
    <w:p w14:paraId="7AC61B96" w14:textId="15FCE96A" w:rsidR="000C4971" w:rsidRPr="00B06DD1" w:rsidRDefault="00CC7FBB" w:rsidP="00440131">
      <w:pPr>
        <w:pStyle w:val="CBDNormalNumber"/>
        <w:rPr>
          <w:lang w:val="fr-FR"/>
        </w:rPr>
      </w:pPr>
      <w:r w:rsidRPr="00B06DD1">
        <w:rPr>
          <w:lang w:val="fr-FR"/>
        </w:rPr>
        <w:t xml:space="preserve">L'examen </w:t>
      </w:r>
      <w:r w:rsidR="009B00DC">
        <w:rPr>
          <w:lang w:val="fr-FR"/>
        </w:rPr>
        <w:t>structurel</w:t>
      </w:r>
      <w:r w:rsidRPr="00B06DD1">
        <w:rPr>
          <w:lang w:val="fr-FR"/>
        </w:rPr>
        <w:t xml:space="preserve"> a été mené et achevé avec un dépassement de dépenses d'environ 28 000 dollars. Le rapport complet est présenté dans un document distinc</w:t>
      </w:r>
      <w:r w:rsidR="008714DE" w:rsidRPr="00B06DD1">
        <w:rPr>
          <w:lang w:val="fr-FR"/>
        </w:rPr>
        <w:t>t</w:t>
      </w:r>
      <w:r w:rsidRPr="00B06DD1">
        <w:rPr>
          <w:rStyle w:val="FootnoteReference"/>
          <w:lang w:val="fr-FR"/>
        </w:rPr>
        <w:footnoteReference w:id="6"/>
      </w:r>
      <w:r w:rsidR="008714DE" w:rsidRPr="00B06DD1">
        <w:rPr>
          <w:lang w:val="fr-FR"/>
        </w:rPr>
        <w:t>.</w:t>
      </w:r>
    </w:p>
    <w:p w14:paraId="5CA39446" w14:textId="4B576325" w:rsidR="00CC7FBB" w:rsidRPr="00B06DD1" w:rsidRDefault="003D6B40" w:rsidP="00440131">
      <w:pPr>
        <w:pStyle w:val="CBDH5"/>
        <w:ind w:firstLine="0"/>
        <w:rPr>
          <w:lang w:val="fr-FR"/>
        </w:rPr>
      </w:pPr>
      <w:r w:rsidRPr="00B06DD1">
        <w:rPr>
          <w:iCs/>
          <w:lang w:val="fr-FR"/>
        </w:rPr>
        <w:t>Réunions du Bureau</w:t>
      </w:r>
    </w:p>
    <w:p w14:paraId="7EFAE064" w14:textId="117C5C8E" w:rsidR="00CC7FBB" w:rsidRPr="00B06DD1" w:rsidRDefault="2E36DB68" w:rsidP="00440131">
      <w:pPr>
        <w:pStyle w:val="CBDNormalNumber"/>
        <w:rPr>
          <w:lang w:val="fr-FR"/>
        </w:rPr>
      </w:pPr>
      <w:r w:rsidRPr="00B06DD1">
        <w:rPr>
          <w:lang w:val="fr-FR"/>
        </w:rPr>
        <w:t xml:space="preserve">Dans sa </w:t>
      </w:r>
      <w:r w:rsidR="00B06DD1" w:rsidRPr="00B06DD1">
        <w:rPr>
          <w:lang w:val="fr-FR"/>
        </w:rPr>
        <w:t>décision</w:t>
      </w:r>
      <w:r w:rsidR="000270A2" w:rsidRPr="00B06DD1">
        <w:rPr>
          <w:lang w:val="fr-FR"/>
        </w:rPr>
        <w:t xml:space="preserve"> </w:t>
      </w:r>
      <w:hyperlink r:id="rId20" w:history="1">
        <w:r w:rsidRPr="00B06DD1">
          <w:rPr>
            <w:rStyle w:val="Hyperlink"/>
            <w:lang w:val="fr-FR"/>
          </w:rPr>
          <w:t>16/28</w:t>
        </w:r>
      </w:hyperlink>
      <w:r w:rsidRPr="00B06DD1">
        <w:rPr>
          <w:lang w:val="fr-FR"/>
        </w:rPr>
        <w:t xml:space="preserve">, la Conférence des Parties a approuvé un budget de 338 300 dollars pour l'exercice biennal afin de couvrir les coûts des </w:t>
      </w:r>
      <w:r w:rsidR="003D6B40" w:rsidRPr="00B06DD1">
        <w:rPr>
          <w:lang w:val="fr-FR"/>
        </w:rPr>
        <w:t>réunions du Bureau</w:t>
      </w:r>
      <w:r w:rsidRPr="00B06DD1">
        <w:rPr>
          <w:lang w:val="fr-FR"/>
        </w:rPr>
        <w:t>. Au cours de la période du 1er janvier 2025 au 30 juin 2026, neuf réunions du Bureau de la Conférence des Parties ont eu lieu, ainsi que deux réunions conjointes avec le Bureau de l'Organe subsidiaire chargé de fournir des avis scientifiques, techniques et technologiques. Sur ces neuf réunions, trois</w:t>
      </w:r>
      <w:r w:rsidRPr="00B06DD1">
        <w:rPr>
          <w:rStyle w:val="FootnoteReference"/>
          <w:lang w:val="fr-FR"/>
        </w:rPr>
        <w:footnoteReference w:id="7"/>
      </w:r>
      <w:r w:rsidRPr="00B06DD1">
        <w:rPr>
          <w:lang w:val="fr-FR"/>
        </w:rPr>
        <w:t xml:space="preserve"> ont eu lieu en personne et les </w:t>
      </w:r>
      <w:r w:rsidR="00E22109">
        <w:rPr>
          <w:lang w:val="fr-FR"/>
        </w:rPr>
        <w:t xml:space="preserve">six </w:t>
      </w:r>
      <w:r w:rsidRPr="00B06DD1">
        <w:rPr>
          <w:lang w:val="fr-FR"/>
        </w:rPr>
        <w:t xml:space="preserve">autres par visioconférence. Par ailleurs, une retraite s'est tenue à Panama en octobre 2025, immédiatement après la première réunion de l'Organe subsidiaire chargé de l'article 8 j) et des dispositions connexes de la Convention sur la diversité biologique relatives aux peuples autochtones et communautés locales. L'une des réunions conjointes s'est tenue en personne à Rome en 2025, en marge de la reprise de la seizième réunion de la Conférence des Parties à la Convention, et l'autre s'est tenue en ligne. Pour la période restante du 1er juillet au 30 octobre 2026, il y aura deux réunions en ligne et deux réunions en personne du Bureau, tenues à Nairobi pour la septième réunion de l'Organe subsidiaire chargé de l'application et à Erevan pour la dix-septième réunion de la Conférence des Parties. Un total d'environ 231 000 dollars avait été dépensé au 31 mai pour faciliter les déplacements des membres du Bureau originaires de pays en développement Parties, et le </w:t>
      </w:r>
      <w:r w:rsidR="000268E7" w:rsidRPr="00B06DD1">
        <w:rPr>
          <w:lang w:val="fr-FR"/>
        </w:rPr>
        <w:t>Se</w:t>
      </w:r>
      <w:r w:rsidRPr="00B06DD1">
        <w:rPr>
          <w:lang w:val="fr-FR"/>
        </w:rPr>
        <w:t xml:space="preserve">crétariat prévoit de dépenser intégralement le solde du budget d'ici la fin décembre 2026. </w:t>
      </w:r>
    </w:p>
    <w:p w14:paraId="5CF6EC49" w14:textId="6AE95C10" w:rsidR="009B154D" w:rsidRPr="00B06DD1" w:rsidRDefault="00650279" w:rsidP="00440131">
      <w:pPr>
        <w:pStyle w:val="CBDH5"/>
        <w:ind w:firstLine="0"/>
        <w:rPr>
          <w:lang w:val="fr-FR"/>
        </w:rPr>
      </w:pPr>
      <w:r w:rsidRPr="00B06DD1">
        <w:rPr>
          <w:iCs/>
          <w:lang w:val="fr-FR"/>
        </w:rPr>
        <w:t xml:space="preserve">Réunions </w:t>
      </w:r>
      <w:r w:rsidRPr="00B06DD1">
        <w:rPr>
          <w:lang w:val="fr-FR"/>
        </w:rPr>
        <w:t xml:space="preserve">d'experts </w:t>
      </w:r>
    </w:p>
    <w:p w14:paraId="54F6E804" w14:textId="5611B807" w:rsidR="00650279" w:rsidRPr="00B06DD1" w:rsidRDefault="490D05A6" w:rsidP="00440131">
      <w:pPr>
        <w:pStyle w:val="CBDNormalNumber"/>
        <w:keepNext/>
        <w:tabs>
          <w:tab w:val="left" w:pos="1080"/>
        </w:tabs>
        <w:rPr>
          <w:lang w:val="fr-FR"/>
        </w:rPr>
      </w:pPr>
      <w:r w:rsidRPr="00B06DD1">
        <w:rPr>
          <w:rFonts w:eastAsiaTheme="minorEastAsia"/>
          <w:lang w:val="fr-FR"/>
        </w:rPr>
        <w:t xml:space="preserve">À sa seizième réunion, la Conférence des Parties a approuvé un budget de 380 000 dollars pour organiser plusieurs réunions d'experts en 2025-2026. Au cours de la période du 1er janvier 2025 au 31 mai 2026, le Secrétariat a organisé </w:t>
      </w:r>
      <w:r w:rsidR="0048629F" w:rsidRPr="00B06DD1">
        <w:rPr>
          <w:rFonts w:eastAsiaTheme="minorEastAsia"/>
          <w:lang w:val="fr-FR"/>
        </w:rPr>
        <w:t>d</w:t>
      </w:r>
      <w:r w:rsidRPr="00B06DD1">
        <w:rPr>
          <w:rFonts w:eastAsiaTheme="minorEastAsia"/>
          <w:lang w:val="fr-FR"/>
        </w:rPr>
        <w:t>es réunions d'experts en p</w:t>
      </w:r>
      <w:r w:rsidR="0048629F" w:rsidRPr="00B06DD1">
        <w:rPr>
          <w:rFonts w:eastAsiaTheme="minorEastAsia"/>
          <w:lang w:val="fr-FR"/>
        </w:rPr>
        <w:t>résentiel,</w:t>
      </w:r>
      <w:r w:rsidRPr="00B06DD1">
        <w:rPr>
          <w:rFonts w:eastAsiaTheme="minorEastAsia"/>
          <w:lang w:val="fr-FR"/>
        </w:rPr>
        <w:t xml:space="preserve"> pour un coût total d'environ 352 000 dollars :</w:t>
      </w:r>
    </w:p>
    <w:p w14:paraId="0A6E60FA" w14:textId="77777777" w:rsidR="001724A7" w:rsidRPr="00B06DD1" w:rsidRDefault="490D05A6" w:rsidP="00440131">
      <w:pPr>
        <w:pStyle w:val="CBDNormalNumber"/>
        <w:keepNext/>
        <w:numPr>
          <w:ilvl w:val="1"/>
          <w:numId w:val="8"/>
        </w:numPr>
        <w:rPr>
          <w:lang w:val="fr-FR"/>
        </w:rPr>
      </w:pPr>
      <w:r w:rsidRPr="00B06DD1">
        <w:rPr>
          <w:lang w:val="fr-FR"/>
        </w:rPr>
        <w:t>Réunions d'experts au titre de la Convention :</w:t>
      </w:r>
    </w:p>
    <w:p w14:paraId="1BB01130" w14:textId="517C7F13" w:rsidR="001724A7" w:rsidRPr="00B06DD1" w:rsidRDefault="490D05A6" w:rsidP="00D925D9">
      <w:pPr>
        <w:pStyle w:val="CBDNormalNumber"/>
        <w:numPr>
          <w:ilvl w:val="2"/>
          <w:numId w:val="8"/>
        </w:numPr>
        <w:tabs>
          <w:tab w:val="clear" w:pos="567"/>
          <w:tab w:val="left" w:pos="1080"/>
          <w:tab w:val="left" w:pos="1890"/>
        </w:tabs>
        <w:ind w:left="2261" w:hanging="562"/>
        <w:jc w:val="left"/>
        <w:rPr>
          <w:lang w:val="fr-FR"/>
        </w:rPr>
      </w:pPr>
      <w:r w:rsidRPr="00B06DD1">
        <w:rPr>
          <w:rFonts w:eastAsiaTheme="minorEastAsia"/>
          <w:lang w:val="fr-FR"/>
        </w:rPr>
        <w:t>Première réunion du Groupe spécial d'experts techniques sur la méthode d'allocation (27-29 janvier 2026)</w:t>
      </w:r>
      <w:r w:rsidR="00B93EC7" w:rsidRPr="00B06DD1">
        <w:rPr>
          <w:rFonts w:eastAsiaTheme="minorEastAsia"/>
          <w:lang w:val="fr-FR"/>
        </w:rPr>
        <w:t xml:space="preserve"> </w:t>
      </w:r>
      <w:r w:rsidRPr="00B06DD1">
        <w:rPr>
          <w:rFonts w:eastAsiaTheme="minorEastAsia"/>
          <w:lang w:val="fr-FR"/>
        </w:rPr>
        <w:t>;</w:t>
      </w:r>
    </w:p>
    <w:p w14:paraId="6500B8E3" w14:textId="3023DCC9" w:rsidR="001724A7" w:rsidRPr="00B06DD1" w:rsidRDefault="490D05A6" w:rsidP="00D925D9">
      <w:pPr>
        <w:pStyle w:val="CBDNormalNumber"/>
        <w:numPr>
          <w:ilvl w:val="2"/>
          <w:numId w:val="8"/>
        </w:numPr>
        <w:tabs>
          <w:tab w:val="clear" w:pos="567"/>
          <w:tab w:val="left" w:pos="1080"/>
          <w:tab w:val="left" w:pos="1890"/>
        </w:tabs>
        <w:ind w:left="2261" w:hanging="562"/>
        <w:jc w:val="left"/>
        <w:rPr>
          <w:lang w:val="fr-FR"/>
        </w:rPr>
      </w:pPr>
      <w:r w:rsidRPr="00B06DD1">
        <w:rPr>
          <w:rFonts w:eastAsiaTheme="minorEastAsia"/>
          <w:lang w:val="fr-FR"/>
        </w:rPr>
        <w:t>Deuxième réunion du Groupe spécial d'experts techniques sur la méthode d'allocation (12-14 mai 2026)</w:t>
      </w:r>
      <w:r w:rsidR="00B93EC7" w:rsidRPr="00B06DD1">
        <w:rPr>
          <w:rFonts w:eastAsiaTheme="minorEastAsia"/>
          <w:lang w:val="fr-FR"/>
        </w:rPr>
        <w:t xml:space="preserve"> </w:t>
      </w:r>
      <w:r w:rsidRPr="00B06DD1">
        <w:rPr>
          <w:rFonts w:eastAsiaTheme="minorEastAsia"/>
          <w:lang w:val="fr-FR"/>
        </w:rPr>
        <w:t>;</w:t>
      </w:r>
    </w:p>
    <w:p w14:paraId="51F0180B" w14:textId="6AD9DF89" w:rsidR="00650279" w:rsidRPr="00B06DD1" w:rsidRDefault="00680AB0" w:rsidP="00D925D9">
      <w:pPr>
        <w:pStyle w:val="CBDNormalNumber"/>
        <w:numPr>
          <w:ilvl w:val="2"/>
          <w:numId w:val="8"/>
        </w:numPr>
        <w:tabs>
          <w:tab w:val="clear" w:pos="567"/>
          <w:tab w:val="left" w:pos="1080"/>
          <w:tab w:val="left" w:pos="1890"/>
        </w:tabs>
        <w:ind w:left="2261" w:hanging="562"/>
        <w:jc w:val="left"/>
        <w:rPr>
          <w:lang w:val="fr-FR"/>
        </w:rPr>
      </w:pPr>
      <w:r w:rsidRPr="00B06DD1">
        <w:rPr>
          <w:rFonts w:eastAsiaTheme="minorEastAsia"/>
          <w:lang w:val="fr-FR"/>
        </w:rPr>
        <w:t>Une réunion du Comité consultatif informel sur le Centre d'échange se tiendra avant décembre 2026</w:t>
      </w:r>
      <w:r w:rsidR="00B93EC7" w:rsidRPr="00B06DD1">
        <w:rPr>
          <w:rFonts w:eastAsiaTheme="minorEastAsia"/>
          <w:lang w:val="fr-FR"/>
        </w:rPr>
        <w:t xml:space="preserve"> </w:t>
      </w:r>
      <w:r w:rsidRPr="00B06DD1">
        <w:rPr>
          <w:rFonts w:eastAsiaTheme="minorEastAsia"/>
          <w:lang w:val="fr-FR"/>
        </w:rPr>
        <w:t>;</w:t>
      </w:r>
    </w:p>
    <w:p w14:paraId="2C8B9A9A" w14:textId="598EDEF3" w:rsidR="001724A7" w:rsidRPr="00B06DD1" w:rsidRDefault="490D05A6" w:rsidP="00440131">
      <w:pPr>
        <w:pStyle w:val="CBDNormalNumber"/>
        <w:keepNext/>
        <w:numPr>
          <w:ilvl w:val="1"/>
          <w:numId w:val="8"/>
        </w:numPr>
        <w:rPr>
          <w:lang w:val="fr-FR"/>
        </w:rPr>
      </w:pPr>
      <w:r w:rsidRPr="00B06DD1">
        <w:rPr>
          <w:rFonts w:eastAsiaTheme="minorEastAsia"/>
          <w:lang w:val="fr-FR"/>
        </w:rPr>
        <w:t>Réunions d'experts au titre du Protocole de Cartagena :</w:t>
      </w:r>
    </w:p>
    <w:p w14:paraId="73B78C42" w14:textId="293A0951" w:rsidR="00EE1A97" w:rsidRPr="00B06DD1" w:rsidRDefault="490D05A6" w:rsidP="00D925D9">
      <w:pPr>
        <w:pStyle w:val="ListParagraph"/>
        <w:numPr>
          <w:ilvl w:val="2"/>
          <w:numId w:val="8"/>
        </w:numPr>
        <w:spacing w:before="120" w:after="120"/>
        <w:ind w:left="2261" w:hanging="562"/>
        <w:contextualSpacing w:val="0"/>
        <w:jc w:val="left"/>
        <w:rPr>
          <w:lang w:val="fr-FR"/>
        </w:rPr>
      </w:pPr>
      <w:r w:rsidRPr="00B06DD1">
        <w:rPr>
          <w:rFonts w:eastAsiaTheme="minorEastAsia"/>
          <w:lang w:val="fr-FR"/>
        </w:rPr>
        <w:t>Vingtième réunion du Comité chargé du respect des obligations au titre du Protocole de Cartagena sur la prévention des risques biotechnologiques (27-29 mai 2025)</w:t>
      </w:r>
      <w:r w:rsidR="00DE5588" w:rsidRPr="00B06DD1">
        <w:rPr>
          <w:rFonts w:eastAsiaTheme="minorEastAsia"/>
          <w:lang w:val="fr-FR"/>
        </w:rPr>
        <w:t xml:space="preserve"> </w:t>
      </w:r>
      <w:r w:rsidRPr="00B06DD1">
        <w:rPr>
          <w:rFonts w:eastAsiaTheme="minorEastAsia"/>
          <w:lang w:val="fr-FR"/>
        </w:rPr>
        <w:t>;</w:t>
      </w:r>
    </w:p>
    <w:p w14:paraId="4948730D" w14:textId="4B23C269" w:rsidR="001724A7" w:rsidRPr="00B06DD1" w:rsidRDefault="490D05A6" w:rsidP="00D925D9">
      <w:pPr>
        <w:pStyle w:val="ListParagraph"/>
        <w:numPr>
          <w:ilvl w:val="2"/>
          <w:numId w:val="8"/>
        </w:numPr>
        <w:spacing w:before="120" w:after="120"/>
        <w:ind w:left="2261" w:hanging="562"/>
        <w:contextualSpacing w:val="0"/>
        <w:jc w:val="left"/>
        <w:rPr>
          <w:lang w:val="fr-FR"/>
        </w:rPr>
      </w:pPr>
      <w:r w:rsidRPr="00B06DD1">
        <w:rPr>
          <w:rFonts w:eastAsiaTheme="minorEastAsia"/>
          <w:lang w:val="fr-FR"/>
        </w:rPr>
        <w:t>Treizième réunion du Comité consultatif informel sur le Centre d'échange pour la prévention des risques biotechnologiques (9-11 décembre 2025)</w:t>
      </w:r>
      <w:r w:rsidR="00DE5588" w:rsidRPr="00B06DD1">
        <w:rPr>
          <w:rFonts w:eastAsiaTheme="minorEastAsia"/>
          <w:lang w:val="fr-FR"/>
        </w:rPr>
        <w:t xml:space="preserve"> </w:t>
      </w:r>
      <w:r w:rsidRPr="00B06DD1">
        <w:rPr>
          <w:rFonts w:eastAsiaTheme="minorEastAsia"/>
          <w:lang w:val="fr-FR"/>
        </w:rPr>
        <w:t>;</w:t>
      </w:r>
    </w:p>
    <w:p w14:paraId="58044582" w14:textId="707278CB" w:rsidR="001724A7" w:rsidRPr="00B06DD1" w:rsidRDefault="490D05A6" w:rsidP="00D925D9">
      <w:pPr>
        <w:pStyle w:val="ListParagraph"/>
        <w:numPr>
          <w:ilvl w:val="2"/>
          <w:numId w:val="8"/>
        </w:numPr>
        <w:spacing w:before="120" w:after="120"/>
        <w:ind w:left="2261" w:hanging="562"/>
        <w:contextualSpacing w:val="0"/>
        <w:jc w:val="left"/>
        <w:rPr>
          <w:lang w:val="fr-FR"/>
        </w:rPr>
      </w:pPr>
      <w:r w:rsidRPr="00B06DD1">
        <w:rPr>
          <w:rFonts w:eastAsiaTheme="minorEastAsia"/>
          <w:lang w:val="fr-FR"/>
        </w:rPr>
        <w:lastRenderedPageBreak/>
        <w:t>Vingt et unième réunion du Comité chargé du respect des obligations au titre du Protocole de Cartagena sur la prévention des risques biotechnologiques (10-12 juin 2026)</w:t>
      </w:r>
      <w:r w:rsidR="00DE5588" w:rsidRPr="00B06DD1">
        <w:rPr>
          <w:rFonts w:eastAsiaTheme="minorEastAsia"/>
          <w:lang w:val="fr-FR"/>
        </w:rPr>
        <w:t xml:space="preserve"> </w:t>
      </w:r>
      <w:r w:rsidRPr="00B06DD1">
        <w:rPr>
          <w:rFonts w:eastAsiaTheme="minorEastAsia"/>
          <w:lang w:val="fr-FR"/>
        </w:rPr>
        <w:t>;</w:t>
      </w:r>
    </w:p>
    <w:p w14:paraId="3350706A" w14:textId="280DF882" w:rsidR="00E34C9E" w:rsidRPr="00B06DD1" w:rsidRDefault="00417720" w:rsidP="00D925D9">
      <w:pPr>
        <w:pStyle w:val="ListParagraph"/>
        <w:numPr>
          <w:ilvl w:val="2"/>
          <w:numId w:val="8"/>
        </w:numPr>
        <w:spacing w:before="120" w:after="120"/>
        <w:ind w:left="2261" w:hanging="562"/>
        <w:contextualSpacing w:val="0"/>
        <w:jc w:val="left"/>
        <w:rPr>
          <w:lang w:val="fr-FR"/>
        </w:rPr>
      </w:pPr>
      <w:r w:rsidRPr="00B06DD1">
        <w:rPr>
          <w:rFonts w:eastAsiaTheme="minorEastAsia"/>
          <w:lang w:val="fr-FR"/>
        </w:rPr>
        <w:t>Quinzième réunion du Groupe de liaison sur le Protocole de Cartagena sur la prévention des risques biotechnologiques (16-18 juin 2026)</w:t>
      </w:r>
      <w:r w:rsidR="00572DDF" w:rsidRPr="00B06DD1">
        <w:rPr>
          <w:rFonts w:eastAsiaTheme="minorEastAsia"/>
          <w:lang w:val="fr-FR"/>
        </w:rPr>
        <w:t xml:space="preserve"> </w:t>
      </w:r>
      <w:r w:rsidRPr="00B06DD1">
        <w:rPr>
          <w:rFonts w:eastAsiaTheme="minorEastAsia"/>
          <w:lang w:val="fr-FR"/>
        </w:rPr>
        <w:t>;</w:t>
      </w:r>
    </w:p>
    <w:p w14:paraId="7CB7014C" w14:textId="4D9B2606" w:rsidR="00E34C9E" w:rsidRPr="00B06DD1" w:rsidRDefault="490D05A6" w:rsidP="00440131">
      <w:pPr>
        <w:pStyle w:val="ListParagraph"/>
        <w:keepNext/>
        <w:numPr>
          <w:ilvl w:val="1"/>
          <w:numId w:val="8"/>
        </w:numPr>
        <w:tabs>
          <w:tab w:val="clear" w:pos="567"/>
          <w:tab w:val="clear" w:pos="1134"/>
        </w:tabs>
        <w:spacing w:before="120" w:after="120"/>
        <w:contextualSpacing w:val="0"/>
        <w:jc w:val="left"/>
        <w:rPr>
          <w:lang w:val="fr-FR"/>
        </w:rPr>
      </w:pPr>
      <w:r w:rsidRPr="00B06DD1">
        <w:rPr>
          <w:rFonts w:eastAsiaTheme="minorEastAsia"/>
          <w:lang w:val="fr-FR"/>
        </w:rPr>
        <w:t>Réunions d'experts au titre du Protocole de Nagoya :</w:t>
      </w:r>
    </w:p>
    <w:p w14:paraId="2856A3D0" w14:textId="4D9D1026" w:rsidR="00EE1A97" w:rsidRPr="00B06DD1" w:rsidRDefault="490D05A6" w:rsidP="00D925D9">
      <w:pPr>
        <w:pStyle w:val="ListParagraph"/>
        <w:numPr>
          <w:ilvl w:val="2"/>
          <w:numId w:val="8"/>
        </w:numPr>
        <w:spacing w:before="120" w:after="120"/>
        <w:ind w:left="2261" w:hanging="562"/>
        <w:contextualSpacing w:val="0"/>
        <w:jc w:val="left"/>
        <w:rPr>
          <w:lang w:val="fr-FR"/>
        </w:rPr>
      </w:pPr>
      <w:r w:rsidRPr="00B06DD1">
        <w:rPr>
          <w:rFonts w:eastAsiaTheme="minorEastAsia"/>
          <w:lang w:val="fr-FR"/>
        </w:rPr>
        <w:t>Cinquième réunion du Comité chargé du respect des obligations au titre du Protocole de Nagoya sur l'accès et le partage des avantages (27-29 mai 2026)</w:t>
      </w:r>
      <w:r w:rsidR="00572DDF" w:rsidRPr="00B06DD1">
        <w:rPr>
          <w:rFonts w:eastAsiaTheme="minorEastAsia"/>
          <w:lang w:val="fr-FR"/>
        </w:rPr>
        <w:t xml:space="preserve"> </w:t>
      </w:r>
      <w:r w:rsidRPr="00B06DD1">
        <w:rPr>
          <w:rFonts w:eastAsiaTheme="minorEastAsia"/>
          <w:lang w:val="fr-FR"/>
        </w:rPr>
        <w:t>;</w:t>
      </w:r>
    </w:p>
    <w:p w14:paraId="05D57F88" w14:textId="119C4347" w:rsidR="00EE1A97" w:rsidRPr="00B06DD1" w:rsidRDefault="490D05A6" w:rsidP="00D925D9">
      <w:pPr>
        <w:pStyle w:val="ListParagraph"/>
        <w:numPr>
          <w:ilvl w:val="2"/>
          <w:numId w:val="8"/>
        </w:numPr>
        <w:spacing w:before="120" w:after="120"/>
        <w:ind w:left="2261" w:hanging="562"/>
        <w:contextualSpacing w:val="0"/>
        <w:jc w:val="left"/>
        <w:rPr>
          <w:lang w:val="fr-FR"/>
        </w:rPr>
      </w:pPr>
      <w:r w:rsidRPr="00B06DD1">
        <w:rPr>
          <w:rFonts w:eastAsiaTheme="minorEastAsia"/>
          <w:lang w:val="fr-FR"/>
        </w:rPr>
        <w:t>Sixième réunion du Comité consultatif informel sur le renforcement des capacités pour la mise en œuvre du Protocole de Nagoya (1-4 juin 2026)</w:t>
      </w:r>
      <w:r w:rsidR="00572DDF" w:rsidRPr="00B06DD1">
        <w:rPr>
          <w:rFonts w:eastAsiaTheme="minorEastAsia"/>
          <w:lang w:val="fr-FR"/>
        </w:rPr>
        <w:t xml:space="preserve"> </w:t>
      </w:r>
      <w:r w:rsidRPr="00B06DD1">
        <w:rPr>
          <w:rFonts w:eastAsiaTheme="minorEastAsia"/>
          <w:lang w:val="fr-FR"/>
        </w:rPr>
        <w:t>;</w:t>
      </w:r>
    </w:p>
    <w:p w14:paraId="32F5DF5B" w14:textId="69D79AE2" w:rsidR="00650279" w:rsidRPr="00B06DD1" w:rsidRDefault="490D05A6" w:rsidP="00D925D9">
      <w:pPr>
        <w:pStyle w:val="ListParagraph"/>
        <w:numPr>
          <w:ilvl w:val="2"/>
          <w:numId w:val="8"/>
        </w:numPr>
        <w:spacing w:before="120" w:after="120"/>
        <w:ind w:left="2261" w:hanging="562"/>
        <w:contextualSpacing w:val="0"/>
        <w:jc w:val="left"/>
        <w:rPr>
          <w:lang w:val="fr-FR"/>
        </w:rPr>
      </w:pPr>
      <w:r w:rsidRPr="00B06DD1">
        <w:rPr>
          <w:rFonts w:eastAsiaTheme="minorEastAsia"/>
          <w:lang w:val="fr-FR"/>
        </w:rPr>
        <w:t>Sixième réunion du Comité consultatif informel du Centre d'échange sur l'accès et le partage des avantages (17 juin 2026).</w:t>
      </w:r>
    </w:p>
    <w:p w14:paraId="6A8CBB23" w14:textId="66487E78" w:rsidR="00CC7FBB" w:rsidRPr="00B06DD1" w:rsidRDefault="00A83CD2" w:rsidP="00440131">
      <w:pPr>
        <w:pStyle w:val="CBDH5"/>
        <w:ind w:firstLine="0"/>
        <w:rPr>
          <w:lang w:val="fr-FR"/>
        </w:rPr>
      </w:pPr>
      <w:r w:rsidRPr="00B06DD1">
        <w:rPr>
          <w:iCs/>
          <w:lang w:val="fr-FR"/>
        </w:rPr>
        <w:t>Réunions des</w:t>
      </w:r>
      <w:r w:rsidRPr="00B06DD1">
        <w:rPr>
          <w:i w:val="0"/>
          <w:iCs/>
          <w:lang w:val="fr-FR"/>
        </w:rPr>
        <w:t xml:space="preserve"> </w:t>
      </w:r>
      <w:r w:rsidRPr="00B06DD1">
        <w:rPr>
          <w:lang w:val="fr-FR"/>
        </w:rPr>
        <w:t>organ</w:t>
      </w:r>
      <w:r w:rsidR="00CD6ECC" w:rsidRPr="00B06DD1">
        <w:rPr>
          <w:lang w:val="fr-FR"/>
        </w:rPr>
        <w:t>ismes</w:t>
      </w:r>
      <w:r w:rsidRPr="00B06DD1">
        <w:rPr>
          <w:lang w:val="fr-FR"/>
        </w:rPr>
        <w:t xml:space="preserve"> intergouvernementaux</w:t>
      </w:r>
      <w:r w:rsidRPr="00B06DD1">
        <w:rPr>
          <w:i w:val="0"/>
          <w:iCs/>
          <w:lang w:val="fr-FR"/>
        </w:rPr>
        <w:t xml:space="preserve"> </w:t>
      </w:r>
      <w:r w:rsidRPr="00B06DD1">
        <w:rPr>
          <w:lang w:val="fr-FR"/>
        </w:rPr>
        <w:t xml:space="preserve"> </w:t>
      </w:r>
    </w:p>
    <w:p w14:paraId="39F41DA6" w14:textId="404F66B8" w:rsidR="00CC7FBB" w:rsidRPr="00B06DD1" w:rsidRDefault="1682D5B9" w:rsidP="00440131">
      <w:pPr>
        <w:pStyle w:val="CBDNormalNumber"/>
        <w:rPr>
          <w:lang w:val="fr-FR"/>
        </w:rPr>
      </w:pPr>
      <w:r w:rsidRPr="00B06DD1">
        <w:rPr>
          <w:lang w:val="fr-FR"/>
        </w:rPr>
        <w:t>Dans sa décision</w:t>
      </w:r>
      <w:r w:rsidR="000270A2" w:rsidRPr="00B06DD1">
        <w:rPr>
          <w:lang w:val="fr-FR"/>
        </w:rPr>
        <w:t xml:space="preserve"> </w:t>
      </w:r>
      <w:hyperlink r:id="rId21" w:history="1">
        <w:r w:rsidRPr="00B06DD1">
          <w:rPr>
            <w:rStyle w:val="Hyperlink"/>
            <w:lang w:val="fr-FR"/>
          </w:rPr>
          <w:t>16/28</w:t>
        </w:r>
      </w:hyperlink>
      <w:r w:rsidRPr="00B06DD1">
        <w:rPr>
          <w:lang w:val="fr-FR"/>
        </w:rPr>
        <w:t>, la Conférence des Parties a approuvé un budget de 4 975 500 dollars pour l'exercice biennal afin de couvrir les coûts des réunions des organes subsidiaires, de la dix-septième réunion de la Conférence des Parties à la Convention, de la douzième réunion de la Conférence des Parties siégeant en tant que réunion des Parties au Protocole de Cartagena et de la sixième réunion de la Conférence des Parties siégeant en tant que réunion des Parties au Protocole de Nagoya. Au 31 mai 2026, environ 4,14 millions de dollars avaient été dépensés pour couvrir les coûts des vingt-septième et vingt-huitième réunions de l'Organe subsidiaire chargé de fournir des avis scientifiques, techniques et technologiques</w:t>
      </w:r>
      <w:r w:rsidR="00D64A94" w:rsidRPr="00B06DD1">
        <w:rPr>
          <w:lang w:val="fr-FR"/>
        </w:rPr>
        <w:t xml:space="preserve">, </w:t>
      </w:r>
      <w:r w:rsidRPr="00B06DD1">
        <w:rPr>
          <w:lang w:val="fr-FR"/>
        </w:rPr>
        <w:t>des sixième et septième réunions de l'Organe subsidiaire chargé de l'application</w:t>
      </w:r>
      <w:r w:rsidR="00C331FF" w:rsidRPr="00B06DD1">
        <w:rPr>
          <w:lang w:val="fr-FR"/>
        </w:rPr>
        <w:t>,</w:t>
      </w:r>
      <w:r w:rsidRPr="00B06DD1">
        <w:rPr>
          <w:lang w:val="fr-FR"/>
        </w:rPr>
        <w:t xml:space="preserve"> de la reprise de la seizième réunion de la Conférence des Parties à la Convention, de la onzième réunion de la Conférence des Parties siégeant en tant que réunion des Parties au Protocole de Cartagena et de la cinquième réunion de la Conférence des Parties siégeant en tant que réunion des Parties au Protocole de Nagoya</w:t>
      </w:r>
      <w:r w:rsidR="00C331FF" w:rsidRPr="00B06DD1">
        <w:rPr>
          <w:lang w:val="fr-FR"/>
        </w:rPr>
        <w:t xml:space="preserve">, </w:t>
      </w:r>
      <w:r w:rsidRPr="00B06DD1">
        <w:rPr>
          <w:lang w:val="fr-FR"/>
        </w:rPr>
        <w:t>de la première réunion de l'Organe subsidiaire chargé de l'article 8 j) et des dispositions connexes de la Convention relatives aux peuples autochtones et communautés locales</w:t>
      </w:r>
      <w:r w:rsidR="00C331FF" w:rsidRPr="00B06DD1">
        <w:rPr>
          <w:lang w:val="fr-FR"/>
        </w:rPr>
        <w:t xml:space="preserve">, </w:t>
      </w:r>
      <w:r w:rsidRPr="00B06DD1">
        <w:rPr>
          <w:lang w:val="fr-FR"/>
        </w:rPr>
        <w:t>de la dix-septième réunion de la Conférence des Parties à la Convention</w:t>
      </w:r>
      <w:r w:rsidR="00C331FF" w:rsidRPr="00B06DD1">
        <w:rPr>
          <w:lang w:val="fr-FR"/>
        </w:rPr>
        <w:t>, d</w:t>
      </w:r>
      <w:r w:rsidRPr="00B06DD1">
        <w:rPr>
          <w:lang w:val="fr-FR"/>
        </w:rPr>
        <w:t>e la douzième réunion de la Conférence des Parties siégeant en tant que réunion des Parties au Protocole de Cartagena</w:t>
      </w:r>
      <w:r w:rsidR="00C331FF" w:rsidRPr="00B06DD1">
        <w:rPr>
          <w:lang w:val="fr-FR"/>
        </w:rPr>
        <w:t>,</w:t>
      </w:r>
      <w:r w:rsidRPr="00B06DD1">
        <w:rPr>
          <w:lang w:val="fr-FR"/>
        </w:rPr>
        <w:t xml:space="preserve"> et de la sixième réunion de la Conférence des Parties siégeant en tant que réunion des Parties au Protocole de Nagoya. Il importe de noter qu'une réunion supplémentaire de l'Organe subsidiaire chargé de l'application a eu lieu pendant cet exercice biennal, qui n'avait pas été prise en compte dans le budget 2025-2026. Avec la prochaine</w:t>
      </w:r>
      <w:r w:rsidR="00D64A94" w:rsidRPr="00B06DD1">
        <w:rPr>
          <w:lang w:val="fr-FR"/>
        </w:rPr>
        <w:t xml:space="preserve"> </w:t>
      </w:r>
      <w:r w:rsidRPr="00B06DD1">
        <w:rPr>
          <w:lang w:val="fr-FR"/>
        </w:rPr>
        <w:t>vingt-huitième réunion de l'Organe subsidiaire chargé de fournir des avis scientifiques, techniques et technologiques et la septième réunion de l'Organe subsidiaire chargé de l'application, qui se tiendront à Nairobi, et la dix-septième réunion de la Conférence des Parties, qui se tiendra à Erevan, cette ligne budgétaire devrait être dépassée d'un montant estimé à 880 000 dollars.</w:t>
      </w:r>
    </w:p>
    <w:p w14:paraId="680F3A5B" w14:textId="32607EE6" w:rsidR="002D6AC6" w:rsidRPr="00B06DD1" w:rsidRDefault="002D6AC6" w:rsidP="00440131">
      <w:pPr>
        <w:pStyle w:val="CBDH5"/>
        <w:ind w:firstLine="0"/>
        <w:rPr>
          <w:lang w:val="fr-FR"/>
        </w:rPr>
      </w:pPr>
      <w:r w:rsidRPr="00B06DD1">
        <w:rPr>
          <w:lang w:val="fr-FR"/>
        </w:rPr>
        <w:t>M</w:t>
      </w:r>
      <w:r w:rsidR="00E750E5">
        <w:rPr>
          <w:lang w:val="fr-FR"/>
        </w:rPr>
        <w:t>oyen</w:t>
      </w:r>
      <w:r w:rsidRPr="00B06DD1">
        <w:rPr>
          <w:lang w:val="fr-FR"/>
        </w:rPr>
        <w:t xml:space="preserve"> de sensibilisation du public et communications </w:t>
      </w:r>
    </w:p>
    <w:p w14:paraId="2B3E9797" w14:textId="7555A4D1" w:rsidR="002D6AC6" w:rsidRPr="00B06DD1" w:rsidRDefault="7A497E6E" w:rsidP="00440131">
      <w:pPr>
        <w:pStyle w:val="CBDNormalNumber"/>
        <w:rPr>
          <w:lang w:val="fr-FR"/>
        </w:rPr>
      </w:pPr>
      <w:r w:rsidRPr="00B06DD1">
        <w:rPr>
          <w:lang w:val="fr-FR"/>
        </w:rPr>
        <w:t>Au 31 mai 2026, le Secrétariat avait dépensé environ 145 000 dollars pour produire des documents d'information destinés à l'impression, au Web, aux réseaux sociaux ainsi qu'à la diffusion audio et télévisée, mettant en avant et faisant connaître le Cadre mondial de la biodiversité de Kunming-Montréal, ainsi que pour la dix-septième réunion de la Conférence des Parties, d'autres travaux menés au titre de la Convention et la célébration de la Journée internationale de la diversité biologique.</w:t>
      </w:r>
    </w:p>
    <w:p w14:paraId="282DF589" w14:textId="19103251" w:rsidR="00A83CD2" w:rsidRPr="00B06DD1" w:rsidRDefault="002D6AC6" w:rsidP="00440131">
      <w:pPr>
        <w:pStyle w:val="CBDH5"/>
        <w:ind w:firstLine="0"/>
        <w:rPr>
          <w:lang w:val="fr-FR"/>
        </w:rPr>
      </w:pPr>
      <w:r w:rsidRPr="00B06DD1">
        <w:rPr>
          <w:lang w:val="fr-FR"/>
        </w:rPr>
        <w:t>Traduction du site Web</w:t>
      </w:r>
      <w:r w:rsidR="00694356" w:rsidRPr="00B06DD1">
        <w:rPr>
          <w:lang w:val="fr-FR"/>
        </w:rPr>
        <w:t xml:space="preserve"> du</w:t>
      </w:r>
      <w:r w:rsidR="00572DDF" w:rsidRPr="00B06DD1">
        <w:rPr>
          <w:lang w:val="fr-FR"/>
        </w:rPr>
        <w:t xml:space="preserve"> Centre d’</w:t>
      </w:r>
      <w:r w:rsidR="00BD740A" w:rsidRPr="00B06DD1">
        <w:rPr>
          <w:lang w:val="fr-FR"/>
        </w:rPr>
        <w:t xml:space="preserve">échange </w:t>
      </w:r>
      <w:r w:rsidRPr="00B06DD1">
        <w:rPr>
          <w:lang w:val="fr-FR"/>
        </w:rPr>
        <w:t xml:space="preserve">et </w:t>
      </w:r>
      <w:r w:rsidR="00AA37D1" w:rsidRPr="00B06DD1">
        <w:rPr>
          <w:lang w:val="fr-FR"/>
        </w:rPr>
        <w:t>des projets</w:t>
      </w:r>
      <w:r w:rsidRPr="00B06DD1">
        <w:rPr>
          <w:lang w:val="fr-FR"/>
        </w:rPr>
        <w:t xml:space="preserve"> </w:t>
      </w:r>
    </w:p>
    <w:p w14:paraId="4671EE62" w14:textId="6AFC9C55" w:rsidR="00CC7FBB" w:rsidRPr="00B06DD1" w:rsidRDefault="006B3801" w:rsidP="00440131">
      <w:pPr>
        <w:pStyle w:val="CBDNormalNumber"/>
        <w:rPr>
          <w:lang w:val="fr-FR"/>
        </w:rPr>
      </w:pPr>
      <w:r w:rsidRPr="00B06DD1">
        <w:rPr>
          <w:lang w:val="fr-FR"/>
        </w:rPr>
        <w:t xml:space="preserve">Au 31 mai 2026, le Secrétariat avait dépensé environ 7 000 dollars au titre de cet objet de dépense, principalement pour la traduction des plateformes du Centre d'échange pour la prévention des risques biotechnologiques et du Centre d'échange sur l'accès et le partage des avantages. Le site </w:t>
      </w:r>
      <w:r w:rsidRPr="00B06DD1">
        <w:rPr>
          <w:lang w:val="fr-FR"/>
        </w:rPr>
        <w:lastRenderedPageBreak/>
        <w:t>Web du Secrétariat étant en cours de refonte, la traduction de son contenu a été reportée jusqu'à l</w:t>
      </w:r>
      <w:r w:rsidR="00AD2C99" w:rsidRPr="00B06DD1">
        <w:rPr>
          <w:lang w:val="fr-FR"/>
        </w:rPr>
        <w:t xml:space="preserve">a finalisation </w:t>
      </w:r>
      <w:r w:rsidRPr="00B06DD1">
        <w:rPr>
          <w:lang w:val="fr-FR"/>
        </w:rPr>
        <w:t xml:space="preserve">de cette refonte. </w:t>
      </w:r>
    </w:p>
    <w:p w14:paraId="5D1C719E" w14:textId="447BFB61" w:rsidR="006B3801" w:rsidRPr="00B06DD1" w:rsidRDefault="006B3801" w:rsidP="00440131">
      <w:pPr>
        <w:pStyle w:val="CBDH5"/>
        <w:ind w:firstLine="0"/>
        <w:rPr>
          <w:lang w:val="fr-FR"/>
        </w:rPr>
      </w:pPr>
      <w:r w:rsidRPr="00B06DD1">
        <w:rPr>
          <w:iCs/>
          <w:lang w:val="fr-FR"/>
        </w:rPr>
        <w:t>Voyages officiels</w:t>
      </w:r>
      <w:r w:rsidRPr="00B06DD1">
        <w:rPr>
          <w:lang w:val="fr-FR"/>
        </w:rPr>
        <w:t xml:space="preserve"> </w:t>
      </w:r>
    </w:p>
    <w:p w14:paraId="4834A38B" w14:textId="5FBBDD45" w:rsidR="00393083" w:rsidRPr="00B06DD1" w:rsidRDefault="60FE1123" w:rsidP="00440131">
      <w:pPr>
        <w:pStyle w:val="CBDNormalNumber"/>
        <w:rPr>
          <w:rFonts w:eastAsia="Times New Roman"/>
          <w:lang w:val="fr-FR"/>
        </w:rPr>
      </w:pPr>
      <w:r w:rsidRPr="00B06DD1">
        <w:rPr>
          <w:rStyle w:val="normaltextrun"/>
          <w:lang w:val="fr-FR"/>
        </w:rPr>
        <w:t xml:space="preserve">Au 31 mai 2026, un montant approximatif de 600 000 dollars avait été dépensé au titre des voyages officiels du personnel du Secrétariat au cours de l'exercice biennal, pour représenter la Convention et ses Protocoles à diverses réunions et </w:t>
      </w:r>
      <w:r w:rsidR="00020FBF" w:rsidRPr="00B06DD1">
        <w:rPr>
          <w:rStyle w:val="normaltextrun"/>
          <w:lang w:val="fr-FR"/>
        </w:rPr>
        <w:t>évènements.</w:t>
      </w:r>
    </w:p>
    <w:p w14:paraId="2672D4DA" w14:textId="3C1F1948" w:rsidR="00393083" w:rsidRPr="00B06DD1" w:rsidRDefault="00393083" w:rsidP="00440131">
      <w:pPr>
        <w:pStyle w:val="CBDNormalNumber"/>
        <w:rPr>
          <w:lang w:val="fr-FR"/>
        </w:rPr>
      </w:pPr>
      <w:r w:rsidRPr="00B06DD1">
        <w:rPr>
          <w:rStyle w:val="normaltextrun"/>
          <w:lang w:val="fr-FR"/>
        </w:rPr>
        <w:t xml:space="preserve">Au cours de l'exercice biennal, le personnel du Secrétariat a également assisté à des réunions avec la société civile et des forums d'entreprises et a participé à des réunions techniques et à des processus intergouvernementaux </w:t>
      </w:r>
      <w:r w:rsidR="00D3438C" w:rsidRPr="00B06DD1">
        <w:rPr>
          <w:rStyle w:val="normaltextrun"/>
          <w:lang w:val="fr-FR"/>
        </w:rPr>
        <w:t>concernés.</w:t>
      </w:r>
      <w:r w:rsidRPr="00B06DD1">
        <w:rPr>
          <w:rStyle w:val="normaltextrun"/>
          <w:lang w:val="fr-FR"/>
        </w:rPr>
        <w:t xml:space="preserve"> La participation du personnel à d'autres réunions et </w:t>
      </w:r>
      <w:r w:rsidR="00D3438C" w:rsidRPr="00B06DD1">
        <w:rPr>
          <w:rStyle w:val="normaltextrun"/>
          <w:lang w:val="fr-FR"/>
        </w:rPr>
        <w:t>évènements</w:t>
      </w:r>
      <w:r w:rsidRPr="00B06DD1">
        <w:rPr>
          <w:rStyle w:val="normaltextrun"/>
          <w:lang w:val="fr-FR"/>
        </w:rPr>
        <w:t xml:space="preserve"> a été financée par des contributions volontaires, tandis que certaines participations ont été prises en charge par les différents organisateurs. En outre, des membres du personnel ont assisté à des réunions </w:t>
      </w:r>
      <w:r w:rsidR="00D3438C" w:rsidRPr="00B06DD1">
        <w:rPr>
          <w:rStyle w:val="normaltextrun"/>
          <w:lang w:val="fr-FR"/>
        </w:rPr>
        <w:t>et évènements</w:t>
      </w:r>
      <w:r w:rsidRPr="00B06DD1">
        <w:rPr>
          <w:rStyle w:val="normaltextrun"/>
          <w:lang w:val="fr-FR"/>
        </w:rPr>
        <w:t xml:space="preserve"> par visioconférence.</w:t>
      </w:r>
    </w:p>
    <w:p w14:paraId="254602D4" w14:textId="4D9F7DA6" w:rsidR="00393083" w:rsidRPr="00B06DD1" w:rsidRDefault="00393083" w:rsidP="00440131">
      <w:pPr>
        <w:pStyle w:val="CBDH5"/>
        <w:ind w:firstLine="0"/>
        <w:rPr>
          <w:lang w:val="fr-FR"/>
        </w:rPr>
      </w:pPr>
      <w:r w:rsidRPr="00B06DD1">
        <w:rPr>
          <w:iCs/>
          <w:lang w:val="fr-FR"/>
        </w:rPr>
        <w:t>Loyer</w:t>
      </w:r>
      <w:r w:rsidRPr="00B06DD1">
        <w:rPr>
          <w:i w:val="0"/>
          <w:iCs/>
          <w:lang w:val="fr-FR"/>
        </w:rPr>
        <w:t xml:space="preserve"> </w:t>
      </w:r>
      <w:r w:rsidRPr="00B06DD1">
        <w:rPr>
          <w:iCs/>
          <w:lang w:val="fr-FR"/>
        </w:rPr>
        <w:t xml:space="preserve">et </w:t>
      </w:r>
      <w:r w:rsidRPr="00B06DD1">
        <w:rPr>
          <w:lang w:val="fr-FR"/>
        </w:rPr>
        <w:t>coûts</w:t>
      </w:r>
      <w:r w:rsidRPr="00B06DD1">
        <w:rPr>
          <w:iCs/>
          <w:lang w:val="fr-FR"/>
        </w:rPr>
        <w:t xml:space="preserve"> connexes</w:t>
      </w:r>
      <w:r w:rsidRPr="00B06DD1">
        <w:rPr>
          <w:lang w:val="fr-FR"/>
        </w:rPr>
        <w:t xml:space="preserve"> </w:t>
      </w:r>
    </w:p>
    <w:p w14:paraId="08771BB2" w14:textId="5484749B" w:rsidR="00393083" w:rsidRPr="00B06DD1" w:rsidRDefault="00393083" w:rsidP="00440131">
      <w:pPr>
        <w:pStyle w:val="CBDNormalNumber"/>
        <w:rPr>
          <w:lang w:val="fr-FR"/>
        </w:rPr>
      </w:pPr>
      <w:r w:rsidRPr="00B06DD1">
        <w:rPr>
          <w:lang w:val="fr-FR"/>
        </w:rPr>
        <w:t>Le loyer et les coûts connexes des locaux du Secrétariat à Montréal (Canada) sont pris en charge par le Gouvernement du Canada et le Gouvernement d</w:t>
      </w:r>
      <w:r w:rsidR="003C1B21" w:rsidRPr="00B06DD1">
        <w:rPr>
          <w:lang w:val="fr-FR"/>
        </w:rPr>
        <w:t xml:space="preserve">u </w:t>
      </w:r>
      <w:r w:rsidRPr="00B06DD1">
        <w:rPr>
          <w:lang w:val="fr-FR"/>
        </w:rPr>
        <w:t xml:space="preserve">Québec, selon une répartition des coûts de 75/25. Le Secrétariat est en voie de décaisser 2 948 590 dollars pour la location de ses locaux au cours de l'exercice biennal, conformément au bail actuel de dix ans. </w:t>
      </w:r>
    </w:p>
    <w:p w14:paraId="7160723B" w14:textId="49FEBD29" w:rsidR="00393083" w:rsidRPr="00B06DD1" w:rsidRDefault="00814011" w:rsidP="00440131">
      <w:pPr>
        <w:pStyle w:val="CBDH5"/>
        <w:ind w:firstLine="0"/>
        <w:rPr>
          <w:lang w:val="fr-FR"/>
        </w:rPr>
      </w:pPr>
      <w:r w:rsidRPr="00B06DD1">
        <w:rPr>
          <w:iCs/>
          <w:lang w:val="fr-FR"/>
        </w:rPr>
        <w:t>Technologies de l'information</w:t>
      </w:r>
      <w:r w:rsidRPr="00B06DD1">
        <w:rPr>
          <w:i w:val="0"/>
          <w:iCs/>
          <w:lang w:val="fr-FR"/>
        </w:rPr>
        <w:t xml:space="preserve"> </w:t>
      </w:r>
    </w:p>
    <w:p w14:paraId="13D7F287" w14:textId="76F4C57E" w:rsidR="00814011" w:rsidRPr="00B06DD1" w:rsidRDefault="00814011" w:rsidP="00440131">
      <w:pPr>
        <w:pStyle w:val="CBDNormalNumber"/>
        <w:rPr>
          <w:lang w:val="fr-FR"/>
        </w:rPr>
      </w:pPr>
      <w:r w:rsidRPr="00B06DD1">
        <w:rPr>
          <w:lang w:val="fr-FR"/>
        </w:rPr>
        <w:t>Le Secrétariat a dépensé environ 80 000 dollars pour engager les services de concepteurs d'interface utilisateur afin d'améliorer la conception et les fonctionnalités du site Web du Secrétariat.</w:t>
      </w:r>
      <w:r w:rsidR="00774EF4" w:rsidRPr="00B06DD1">
        <w:rPr>
          <w:lang w:val="fr-FR"/>
        </w:rPr>
        <w:t xml:space="preserve"> Il en résultera un site plus dynamique, attractif et intuitif, adapté à tous types d'appareils (ordinateurs, tablettes, smartphones) et cohérent avec les thématiques du Cadre mondial de la biodiversité de Kunming-Montréal.</w:t>
      </w:r>
      <w:r w:rsidR="00037309" w:rsidRPr="00B06DD1">
        <w:rPr>
          <w:lang w:val="fr-FR"/>
        </w:rPr>
        <w:t xml:space="preserve"> </w:t>
      </w:r>
      <w:r w:rsidRPr="00B06DD1">
        <w:rPr>
          <w:lang w:val="fr-FR"/>
        </w:rPr>
        <w:t xml:space="preserve">D'autres services seront utilisés en consommant le solde du montant budgétisé jusqu'en décembre 2026. </w:t>
      </w:r>
    </w:p>
    <w:p w14:paraId="4032EE62" w14:textId="06502A68" w:rsidR="00814011" w:rsidRPr="00B06DD1" w:rsidRDefault="00EB542E" w:rsidP="00440131">
      <w:pPr>
        <w:pStyle w:val="CBDH5"/>
        <w:ind w:firstLine="0"/>
        <w:rPr>
          <w:lang w:val="fr-FR"/>
        </w:rPr>
      </w:pPr>
      <w:r w:rsidRPr="00B06DD1">
        <w:rPr>
          <w:iCs/>
          <w:lang w:val="fr-FR"/>
        </w:rPr>
        <w:t>Dépenses</w:t>
      </w:r>
      <w:r w:rsidRPr="00B06DD1">
        <w:rPr>
          <w:i w:val="0"/>
          <w:iCs/>
          <w:lang w:val="fr-FR"/>
        </w:rPr>
        <w:t xml:space="preserve"> </w:t>
      </w:r>
      <w:r w:rsidR="00037309" w:rsidRPr="00B06DD1">
        <w:rPr>
          <w:iCs/>
          <w:lang w:val="fr-FR"/>
        </w:rPr>
        <w:t>générales de fonctionnement</w:t>
      </w:r>
    </w:p>
    <w:p w14:paraId="1CFC712D" w14:textId="4A6D0631" w:rsidR="00814011" w:rsidRPr="00B06DD1" w:rsidRDefault="00EB542E" w:rsidP="00440131">
      <w:pPr>
        <w:pStyle w:val="CBDNormalNumber"/>
        <w:rPr>
          <w:lang w:val="fr-FR"/>
        </w:rPr>
      </w:pPr>
      <w:r w:rsidRPr="00B06DD1">
        <w:rPr>
          <w:lang w:val="fr-FR"/>
        </w:rPr>
        <w:t xml:space="preserve">Les </w:t>
      </w:r>
      <w:r w:rsidR="005E7BAB" w:rsidRPr="00B06DD1">
        <w:rPr>
          <w:lang w:val="fr-FR"/>
        </w:rPr>
        <w:t>dépenses générales de fonctionnement</w:t>
      </w:r>
      <w:r w:rsidRPr="00B06DD1">
        <w:rPr>
          <w:lang w:val="fr-FR"/>
        </w:rPr>
        <w:t xml:space="preserve"> comprennent le financement du matériel et des fournitures de bureau, des services publics, des coûts d'assurance, des services de messagerie, des coûts de communication, des coûts annuels de licence Umoja, des logiciels informatiques, des logiciels de réunion virtuelle, des licences de technologies de l'information, de l'entretien du matériel, de l'entretien des locaux, des frais bancaires et des dépenses diverses. Ce budget devrait être intégralement dépensé d'ici la fin décembre 2026. </w:t>
      </w:r>
    </w:p>
    <w:p w14:paraId="7CF82CC8" w14:textId="0423FE12" w:rsidR="008A3979" w:rsidRPr="00B06DD1" w:rsidRDefault="008A3979" w:rsidP="2080ABF3">
      <w:pPr>
        <w:pStyle w:val="CBDNormalNumber"/>
        <w:numPr>
          <w:ilvl w:val="0"/>
          <w:numId w:val="0"/>
        </w:numPr>
        <w:tabs>
          <w:tab w:val="left" w:pos="990"/>
        </w:tabs>
        <w:ind w:left="567"/>
        <w:rPr>
          <w:lang w:val="fr-FR"/>
        </w:rPr>
      </w:pPr>
      <w:r w:rsidRPr="00B06DD1">
        <w:rPr>
          <w:b/>
          <w:bCs/>
          <w:lang w:val="fr-FR"/>
        </w:rPr>
        <w:t xml:space="preserve">Réserve de fonds de roulement </w:t>
      </w:r>
    </w:p>
    <w:p w14:paraId="33FDDEC1" w14:textId="0B8D6744" w:rsidR="00814011" w:rsidRPr="00B06DD1" w:rsidRDefault="00581E72" w:rsidP="00440131">
      <w:pPr>
        <w:pStyle w:val="CBDNormalNumber"/>
        <w:rPr>
          <w:lang w:val="fr-FR"/>
        </w:rPr>
      </w:pPr>
      <w:r w:rsidRPr="00B06DD1">
        <w:rPr>
          <w:lang w:val="fr-FR"/>
        </w:rPr>
        <w:t>La réserve de fonds de roulement correspond à 15 % des dépenses annuelles estimées, y compris les coûts d'appui au programme. Elle a pour objet de garantir la continuité des opérations du Secrétariat en cas d'insuffisance temporaire de trésorerie. Les sommes prélevées sur cette réserve sont reconstituées à partir des contributions dès que possible.</w:t>
      </w:r>
    </w:p>
    <w:p w14:paraId="27CE7DFC" w14:textId="30482CBF" w:rsidR="00D320AF" w:rsidRPr="00B06DD1" w:rsidRDefault="00D320AF" w:rsidP="00D320AF">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lang w:val="fr-FR"/>
        </w:rPr>
      </w:pPr>
      <w:r w:rsidRPr="00B06DD1">
        <w:rPr>
          <w:rFonts w:eastAsia="Times New Roman"/>
          <w:lang w:val="fr-FR"/>
        </w:rPr>
        <w:t xml:space="preserve">Tableau 6 </w:t>
      </w:r>
      <w:r w:rsidRPr="00B06DD1">
        <w:rPr>
          <w:rFonts w:eastAsia="Times New Roman"/>
          <w:b/>
          <w:bCs/>
          <w:lang w:val="fr-FR"/>
        </w:rPr>
        <w:br/>
        <w:t>Réserve de fonds de roulement, au 31 mai 2026</w:t>
      </w:r>
    </w:p>
    <w:p w14:paraId="37C40317" w14:textId="0A7BFBEE" w:rsidR="00D320AF" w:rsidRPr="00B06DD1" w:rsidRDefault="00D320AF" w:rsidP="00D320AF">
      <w:pPr>
        <w:tabs>
          <w:tab w:val="clear" w:pos="567"/>
          <w:tab w:val="clear" w:pos="1134"/>
          <w:tab w:val="clear" w:pos="1701"/>
          <w:tab w:val="clear" w:pos="2268"/>
        </w:tabs>
        <w:ind w:left="555"/>
        <w:jc w:val="left"/>
        <w:textAlignment w:val="baseline"/>
        <w:rPr>
          <w:rFonts w:ascii="Segoe UI" w:eastAsia="Times New Roman" w:hAnsi="Segoe UI" w:cs="Segoe UI"/>
          <w:sz w:val="18"/>
          <w:szCs w:val="18"/>
          <w:lang w:val="fr-FR"/>
        </w:rPr>
      </w:pPr>
      <w:r w:rsidRPr="00B06DD1">
        <w:rPr>
          <w:rFonts w:eastAsia="Times New Roman"/>
          <w:sz w:val="18"/>
          <w:szCs w:val="18"/>
          <w:lang w:val="fr-FR"/>
        </w:rPr>
        <w:t>(</w:t>
      </w:r>
      <w:r w:rsidR="00B93EC7" w:rsidRPr="00B06DD1">
        <w:rPr>
          <w:rFonts w:eastAsia="Times New Roman"/>
          <w:sz w:val="18"/>
          <w:szCs w:val="18"/>
          <w:lang w:val="fr-FR"/>
        </w:rPr>
        <w:t>M</w:t>
      </w:r>
      <w:r w:rsidRPr="00B06DD1">
        <w:rPr>
          <w:rFonts w:eastAsia="Times New Roman"/>
          <w:sz w:val="18"/>
          <w:szCs w:val="18"/>
          <w:lang w:val="fr-FR"/>
        </w:rPr>
        <w:t>illiers de dollars des États-Unis)</w:t>
      </w:r>
    </w:p>
    <w:tbl>
      <w:tblPr>
        <w:tblW w:w="7995" w:type="dxa"/>
        <w:tblInd w:w="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4"/>
        <w:gridCol w:w="1641"/>
      </w:tblGrid>
      <w:tr w:rsidR="00D320AF" w:rsidRPr="00B06DD1" w14:paraId="6879EAAF" w14:textId="77777777" w:rsidTr="00440131">
        <w:trPr>
          <w:trHeight w:val="285"/>
        </w:trPr>
        <w:tc>
          <w:tcPr>
            <w:tcW w:w="6354" w:type="dxa"/>
            <w:tcBorders>
              <w:top w:val="single" w:sz="4" w:space="0" w:color="auto"/>
              <w:left w:val="nil"/>
              <w:bottom w:val="single" w:sz="4" w:space="0" w:color="auto"/>
              <w:right w:val="nil"/>
            </w:tcBorders>
            <w:vAlign w:val="center"/>
            <w:hideMark/>
          </w:tcPr>
          <w:p w14:paraId="75B75B53" w14:textId="785682A9" w:rsidR="00D320AF" w:rsidRPr="00B06DD1"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lang w:val="fr-FR"/>
              </w:rPr>
            </w:pPr>
            <w:r w:rsidRPr="00B06DD1">
              <w:rPr>
                <w:rFonts w:eastAsia="Times New Roman"/>
                <w:i/>
                <w:iCs/>
                <w:color w:val="000000"/>
                <w:sz w:val="18"/>
                <w:szCs w:val="18"/>
                <w:lang w:val="fr-FR"/>
              </w:rPr>
              <w:t>Fonds d'affectation spéciale</w:t>
            </w:r>
            <w:r w:rsidRPr="00B06DD1">
              <w:rPr>
                <w:rFonts w:eastAsia="Times New Roman"/>
                <w:color w:val="000000"/>
                <w:sz w:val="18"/>
                <w:szCs w:val="18"/>
                <w:lang w:val="fr-FR"/>
              </w:rPr>
              <w:t xml:space="preserve"> </w:t>
            </w:r>
          </w:p>
        </w:tc>
        <w:tc>
          <w:tcPr>
            <w:tcW w:w="1641" w:type="dxa"/>
            <w:tcBorders>
              <w:top w:val="single" w:sz="4" w:space="0" w:color="auto"/>
              <w:left w:val="nil"/>
              <w:bottom w:val="single" w:sz="4" w:space="0" w:color="auto"/>
              <w:right w:val="nil"/>
            </w:tcBorders>
            <w:vAlign w:val="center"/>
            <w:hideMark/>
          </w:tcPr>
          <w:p w14:paraId="1637746B" w14:textId="7F4543F7" w:rsidR="00D320AF" w:rsidRPr="00B06DD1"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lang w:val="fr-FR"/>
              </w:rPr>
            </w:pPr>
            <w:r w:rsidRPr="00B06DD1">
              <w:rPr>
                <w:rFonts w:eastAsia="Times New Roman"/>
                <w:i/>
                <w:iCs/>
                <w:color w:val="000000"/>
                <w:sz w:val="18"/>
                <w:szCs w:val="18"/>
                <w:lang w:val="fr-FR"/>
              </w:rPr>
              <w:t>2025</w:t>
            </w:r>
            <w:r w:rsidRPr="00B06DD1">
              <w:rPr>
                <w:rFonts w:eastAsia="Times New Roman"/>
                <w:color w:val="000000"/>
                <w:sz w:val="18"/>
                <w:szCs w:val="18"/>
                <w:lang w:val="fr-FR"/>
              </w:rPr>
              <w:t xml:space="preserve"> </w:t>
            </w:r>
          </w:p>
        </w:tc>
      </w:tr>
      <w:tr w:rsidR="00D320AF" w:rsidRPr="00B06DD1" w14:paraId="74526151" w14:textId="77777777" w:rsidTr="00440131">
        <w:trPr>
          <w:trHeight w:val="285"/>
        </w:trPr>
        <w:tc>
          <w:tcPr>
            <w:tcW w:w="6354" w:type="dxa"/>
            <w:tcBorders>
              <w:top w:val="single" w:sz="4" w:space="0" w:color="auto"/>
              <w:left w:val="nil"/>
              <w:bottom w:val="nil"/>
              <w:right w:val="nil"/>
            </w:tcBorders>
            <w:vAlign w:val="center"/>
            <w:hideMark/>
          </w:tcPr>
          <w:p w14:paraId="282D3629" w14:textId="6405A886" w:rsidR="00D320AF" w:rsidRPr="00B06DD1"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lang w:val="fr-FR"/>
              </w:rPr>
            </w:pPr>
            <w:r w:rsidRPr="00B06DD1">
              <w:rPr>
                <w:rFonts w:eastAsia="Times New Roman"/>
                <w:sz w:val="18"/>
                <w:szCs w:val="18"/>
                <w:lang w:val="fr-FR"/>
              </w:rPr>
              <w:t xml:space="preserve">Fonds d'affectation spéciale </w:t>
            </w:r>
            <w:r w:rsidR="00E23625" w:rsidRPr="00B06DD1">
              <w:rPr>
                <w:rFonts w:eastAsia="Times New Roman"/>
                <w:sz w:val="18"/>
                <w:szCs w:val="18"/>
                <w:lang w:val="fr-FR"/>
              </w:rPr>
              <w:t xml:space="preserve">de la </w:t>
            </w:r>
            <w:r w:rsidRPr="00B06DD1">
              <w:rPr>
                <w:rFonts w:eastAsia="Times New Roman"/>
                <w:sz w:val="18"/>
                <w:szCs w:val="18"/>
                <w:lang w:val="fr-FR"/>
              </w:rPr>
              <w:t>Convention</w:t>
            </w:r>
            <w:r w:rsidRPr="00B06DD1">
              <w:rPr>
                <w:rFonts w:eastAsia="Times New Roman"/>
                <w:color w:val="000000"/>
                <w:sz w:val="18"/>
                <w:szCs w:val="18"/>
                <w:lang w:val="fr-FR"/>
              </w:rPr>
              <w:t xml:space="preserve"> </w:t>
            </w:r>
          </w:p>
        </w:tc>
        <w:tc>
          <w:tcPr>
            <w:tcW w:w="1641" w:type="dxa"/>
            <w:tcBorders>
              <w:top w:val="single" w:sz="4" w:space="0" w:color="auto"/>
              <w:left w:val="nil"/>
              <w:bottom w:val="nil"/>
              <w:right w:val="nil"/>
            </w:tcBorders>
            <w:vAlign w:val="center"/>
            <w:hideMark/>
          </w:tcPr>
          <w:p w14:paraId="69837CA9" w14:textId="6100E855" w:rsidR="00D320AF" w:rsidRPr="00B06DD1"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lang w:val="fr-FR"/>
              </w:rPr>
            </w:pPr>
            <w:r w:rsidRPr="00B06DD1">
              <w:rPr>
                <w:rFonts w:eastAsia="Times New Roman"/>
                <w:sz w:val="18"/>
                <w:szCs w:val="18"/>
                <w:lang w:val="fr-FR"/>
              </w:rPr>
              <w:t>2</w:t>
            </w:r>
            <w:r w:rsidR="00B93EC7" w:rsidRPr="00B06DD1">
              <w:rPr>
                <w:rFonts w:eastAsia="Times New Roman"/>
                <w:sz w:val="18"/>
                <w:szCs w:val="18"/>
                <w:lang w:val="fr-FR"/>
              </w:rPr>
              <w:t xml:space="preserve"> </w:t>
            </w:r>
            <w:r w:rsidRPr="00B06DD1">
              <w:rPr>
                <w:rFonts w:eastAsia="Times New Roman"/>
                <w:sz w:val="18"/>
                <w:szCs w:val="18"/>
                <w:lang w:val="fr-FR"/>
              </w:rPr>
              <w:t>441</w:t>
            </w:r>
            <w:r w:rsidR="00B93EC7" w:rsidRPr="00B06DD1">
              <w:rPr>
                <w:rFonts w:eastAsia="Times New Roman"/>
                <w:sz w:val="18"/>
                <w:szCs w:val="18"/>
                <w:lang w:val="fr-FR"/>
              </w:rPr>
              <w:t>,</w:t>
            </w:r>
            <w:r w:rsidRPr="00B06DD1">
              <w:rPr>
                <w:rFonts w:eastAsia="Times New Roman"/>
                <w:sz w:val="18"/>
                <w:szCs w:val="18"/>
                <w:lang w:val="fr-FR"/>
              </w:rPr>
              <w:t xml:space="preserve">9 </w:t>
            </w:r>
          </w:p>
        </w:tc>
      </w:tr>
      <w:tr w:rsidR="00E23625" w:rsidRPr="00B06DD1" w14:paraId="3971B620" w14:textId="77777777" w:rsidTr="00424D72">
        <w:trPr>
          <w:trHeight w:val="285"/>
        </w:trPr>
        <w:tc>
          <w:tcPr>
            <w:tcW w:w="6354" w:type="dxa"/>
            <w:tcBorders>
              <w:top w:val="nil"/>
              <w:left w:val="nil"/>
              <w:bottom w:val="nil"/>
              <w:right w:val="nil"/>
            </w:tcBorders>
            <w:vAlign w:val="bottom"/>
            <w:hideMark/>
          </w:tcPr>
          <w:p w14:paraId="176C5F48" w14:textId="4B76FD0F" w:rsidR="00E23625" w:rsidRPr="00B06DD1" w:rsidRDefault="00E23625" w:rsidP="00E23625">
            <w:pPr>
              <w:tabs>
                <w:tab w:val="clear" w:pos="567"/>
                <w:tab w:val="clear" w:pos="1134"/>
                <w:tab w:val="clear" w:pos="1701"/>
                <w:tab w:val="clear" w:pos="2268"/>
              </w:tabs>
              <w:spacing w:before="40" w:after="40"/>
              <w:jc w:val="left"/>
              <w:textAlignment w:val="baseline"/>
              <w:rPr>
                <w:rFonts w:eastAsia="Times New Roman"/>
                <w:sz w:val="24"/>
                <w:szCs w:val="24"/>
                <w:lang w:val="fr-FR"/>
              </w:rPr>
            </w:pPr>
            <w:r w:rsidRPr="00B06DD1">
              <w:rPr>
                <w:rFonts w:eastAsia="Times New Roman"/>
                <w:sz w:val="18"/>
                <w:szCs w:val="18"/>
                <w:lang w:val="fr-FR"/>
              </w:rPr>
              <w:t xml:space="preserve">Fonds d'affectation spéciale pour le budget de programme de base pour le Protocole de Cartagena </w:t>
            </w:r>
          </w:p>
        </w:tc>
        <w:tc>
          <w:tcPr>
            <w:tcW w:w="1641" w:type="dxa"/>
            <w:tcBorders>
              <w:top w:val="nil"/>
              <w:left w:val="nil"/>
              <w:bottom w:val="nil"/>
              <w:right w:val="nil"/>
            </w:tcBorders>
            <w:vAlign w:val="center"/>
            <w:hideMark/>
          </w:tcPr>
          <w:p w14:paraId="33901490" w14:textId="4C51415B" w:rsidR="00E23625" w:rsidRPr="00B06DD1" w:rsidRDefault="00E23625" w:rsidP="00E23625">
            <w:pPr>
              <w:tabs>
                <w:tab w:val="clear" w:pos="567"/>
                <w:tab w:val="clear" w:pos="1134"/>
                <w:tab w:val="clear" w:pos="1701"/>
                <w:tab w:val="clear" w:pos="2268"/>
              </w:tabs>
              <w:spacing w:before="40" w:after="40"/>
              <w:jc w:val="right"/>
              <w:textAlignment w:val="baseline"/>
              <w:rPr>
                <w:rFonts w:eastAsia="Times New Roman"/>
                <w:sz w:val="24"/>
                <w:szCs w:val="24"/>
                <w:lang w:val="fr-FR"/>
              </w:rPr>
            </w:pPr>
            <w:r w:rsidRPr="00B06DD1">
              <w:rPr>
                <w:rFonts w:eastAsia="Times New Roman"/>
                <w:color w:val="000000"/>
                <w:sz w:val="18"/>
                <w:szCs w:val="18"/>
                <w:lang w:val="fr-FR"/>
              </w:rPr>
              <w:t xml:space="preserve">508,7 </w:t>
            </w:r>
          </w:p>
        </w:tc>
      </w:tr>
      <w:tr w:rsidR="00E23625" w:rsidRPr="00B06DD1" w14:paraId="2185C91C" w14:textId="77777777" w:rsidTr="00424D72">
        <w:trPr>
          <w:trHeight w:val="285"/>
        </w:trPr>
        <w:tc>
          <w:tcPr>
            <w:tcW w:w="6354" w:type="dxa"/>
            <w:tcBorders>
              <w:top w:val="nil"/>
              <w:left w:val="nil"/>
              <w:bottom w:val="single" w:sz="4" w:space="0" w:color="auto"/>
              <w:right w:val="nil"/>
            </w:tcBorders>
            <w:vAlign w:val="bottom"/>
            <w:hideMark/>
          </w:tcPr>
          <w:p w14:paraId="5A64ACFC" w14:textId="0932060D" w:rsidR="00E23625" w:rsidRPr="00B06DD1" w:rsidRDefault="00E23625" w:rsidP="00E23625">
            <w:pPr>
              <w:tabs>
                <w:tab w:val="clear" w:pos="567"/>
                <w:tab w:val="clear" w:pos="1134"/>
                <w:tab w:val="clear" w:pos="1701"/>
                <w:tab w:val="clear" w:pos="2268"/>
              </w:tabs>
              <w:spacing w:before="40" w:after="40"/>
              <w:jc w:val="left"/>
              <w:textAlignment w:val="baseline"/>
              <w:rPr>
                <w:rFonts w:eastAsia="Times New Roman"/>
                <w:sz w:val="24"/>
                <w:szCs w:val="24"/>
                <w:lang w:val="fr-FR"/>
              </w:rPr>
            </w:pPr>
            <w:r w:rsidRPr="00B06DD1">
              <w:rPr>
                <w:rFonts w:eastAsia="Times New Roman"/>
                <w:sz w:val="18"/>
                <w:szCs w:val="18"/>
                <w:lang w:val="fr-FR"/>
              </w:rPr>
              <w:t xml:space="preserve">Fonds d'affectation spéciale pour le budget de programme de base pour le Protocole de Nagoya </w:t>
            </w:r>
          </w:p>
        </w:tc>
        <w:tc>
          <w:tcPr>
            <w:tcW w:w="1641" w:type="dxa"/>
            <w:tcBorders>
              <w:top w:val="nil"/>
              <w:left w:val="nil"/>
              <w:bottom w:val="single" w:sz="4" w:space="0" w:color="auto"/>
              <w:right w:val="nil"/>
            </w:tcBorders>
            <w:vAlign w:val="center"/>
            <w:hideMark/>
          </w:tcPr>
          <w:p w14:paraId="634D24B3" w14:textId="4930678A" w:rsidR="00E23625" w:rsidRPr="00B06DD1" w:rsidRDefault="00E23625" w:rsidP="00E23625">
            <w:pPr>
              <w:tabs>
                <w:tab w:val="clear" w:pos="567"/>
                <w:tab w:val="clear" w:pos="1134"/>
                <w:tab w:val="clear" w:pos="1701"/>
                <w:tab w:val="clear" w:pos="2268"/>
              </w:tabs>
              <w:spacing w:before="40" w:after="40"/>
              <w:jc w:val="right"/>
              <w:textAlignment w:val="baseline"/>
              <w:rPr>
                <w:rFonts w:eastAsia="Times New Roman"/>
                <w:sz w:val="24"/>
                <w:szCs w:val="24"/>
                <w:lang w:val="fr-FR"/>
              </w:rPr>
            </w:pPr>
            <w:r w:rsidRPr="00B06DD1">
              <w:rPr>
                <w:rFonts w:eastAsia="Times New Roman"/>
                <w:color w:val="000000"/>
                <w:sz w:val="18"/>
                <w:szCs w:val="18"/>
                <w:lang w:val="fr-FR"/>
              </w:rPr>
              <w:t xml:space="preserve">440,9 </w:t>
            </w:r>
          </w:p>
        </w:tc>
      </w:tr>
      <w:tr w:rsidR="00D320AF" w:rsidRPr="00B06DD1" w14:paraId="463BE63E" w14:textId="77777777" w:rsidTr="00440131">
        <w:trPr>
          <w:trHeight w:val="285"/>
        </w:trPr>
        <w:tc>
          <w:tcPr>
            <w:tcW w:w="6354" w:type="dxa"/>
            <w:tcBorders>
              <w:top w:val="single" w:sz="4" w:space="0" w:color="auto"/>
              <w:left w:val="nil"/>
              <w:bottom w:val="single" w:sz="4" w:space="0" w:color="auto"/>
              <w:right w:val="nil"/>
            </w:tcBorders>
            <w:vAlign w:val="center"/>
            <w:hideMark/>
          </w:tcPr>
          <w:p w14:paraId="24810819" w14:textId="271E6174" w:rsidR="00D320AF" w:rsidRPr="00B06DD1" w:rsidRDefault="00D320AF" w:rsidP="00440131">
            <w:pPr>
              <w:tabs>
                <w:tab w:val="clear" w:pos="567"/>
                <w:tab w:val="clear" w:pos="1134"/>
                <w:tab w:val="clear" w:pos="1701"/>
                <w:tab w:val="clear" w:pos="2268"/>
              </w:tabs>
              <w:spacing w:before="40" w:after="40"/>
              <w:ind w:firstLine="555"/>
              <w:jc w:val="left"/>
              <w:textAlignment w:val="baseline"/>
              <w:rPr>
                <w:rFonts w:eastAsia="Times New Roman"/>
                <w:sz w:val="24"/>
                <w:szCs w:val="24"/>
                <w:lang w:val="fr-FR"/>
              </w:rPr>
            </w:pPr>
            <w:r w:rsidRPr="00B06DD1">
              <w:rPr>
                <w:rFonts w:eastAsia="Times New Roman"/>
                <w:b/>
                <w:bCs/>
                <w:color w:val="000000"/>
                <w:sz w:val="18"/>
                <w:szCs w:val="18"/>
                <w:lang w:val="fr-FR"/>
              </w:rPr>
              <w:t>Total</w:t>
            </w:r>
            <w:r w:rsidRPr="00B06DD1">
              <w:rPr>
                <w:rFonts w:eastAsia="Times New Roman"/>
                <w:color w:val="000000"/>
                <w:sz w:val="18"/>
                <w:szCs w:val="18"/>
                <w:lang w:val="fr-FR"/>
              </w:rPr>
              <w:t xml:space="preserve"> </w:t>
            </w:r>
          </w:p>
        </w:tc>
        <w:tc>
          <w:tcPr>
            <w:tcW w:w="1641" w:type="dxa"/>
            <w:tcBorders>
              <w:top w:val="single" w:sz="4" w:space="0" w:color="auto"/>
              <w:left w:val="nil"/>
              <w:bottom w:val="single" w:sz="4" w:space="0" w:color="auto"/>
              <w:right w:val="nil"/>
            </w:tcBorders>
            <w:vAlign w:val="center"/>
            <w:hideMark/>
          </w:tcPr>
          <w:p w14:paraId="05206128" w14:textId="4879775C" w:rsidR="00D320AF" w:rsidRPr="00B06DD1"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lang w:val="fr-FR"/>
              </w:rPr>
            </w:pPr>
            <w:r w:rsidRPr="00B06DD1">
              <w:rPr>
                <w:rFonts w:eastAsia="Times New Roman"/>
                <w:b/>
                <w:bCs/>
                <w:color w:val="000000"/>
                <w:sz w:val="18"/>
                <w:szCs w:val="18"/>
                <w:lang w:val="fr-FR"/>
              </w:rPr>
              <w:t>3</w:t>
            </w:r>
            <w:r w:rsidR="00987820" w:rsidRPr="00B06DD1">
              <w:rPr>
                <w:rFonts w:eastAsia="Times New Roman"/>
                <w:b/>
                <w:bCs/>
                <w:color w:val="000000"/>
                <w:sz w:val="18"/>
                <w:szCs w:val="18"/>
                <w:lang w:val="fr-FR"/>
              </w:rPr>
              <w:t xml:space="preserve"> </w:t>
            </w:r>
            <w:r w:rsidRPr="00B06DD1">
              <w:rPr>
                <w:rFonts w:eastAsia="Times New Roman"/>
                <w:b/>
                <w:bCs/>
                <w:color w:val="000000"/>
                <w:sz w:val="18"/>
                <w:szCs w:val="18"/>
                <w:lang w:val="fr-FR"/>
              </w:rPr>
              <w:t>391,5</w:t>
            </w:r>
            <w:r w:rsidRPr="00B06DD1">
              <w:rPr>
                <w:rFonts w:eastAsia="Times New Roman"/>
                <w:color w:val="000000"/>
                <w:sz w:val="18"/>
                <w:szCs w:val="18"/>
                <w:lang w:val="fr-FR"/>
              </w:rPr>
              <w:t xml:space="preserve"> </w:t>
            </w:r>
          </w:p>
        </w:tc>
      </w:tr>
    </w:tbl>
    <w:p w14:paraId="6CDEFE7E" w14:textId="73928AD8" w:rsidR="00272076" w:rsidRPr="00B06DD1" w:rsidRDefault="00272076" w:rsidP="00440131">
      <w:pPr>
        <w:pStyle w:val="CBDNormalNumber"/>
        <w:rPr>
          <w:lang w:val="fr-FR"/>
        </w:rPr>
      </w:pPr>
      <w:r w:rsidRPr="00B06DD1">
        <w:rPr>
          <w:lang w:val="fr-FR"/>
        </w:rPr>
        <w:lastRenderedPageBreak/>
        <w:t xml:space="preserve">Le tableau 6 présente la réserve de fonds de roulement au 31 décembre 2025. </w:t>
      </w:r>
    </w:p>
    <w:p w14:paraId="271BECF2" w14:textId="79CD7BF7" w:rsidR="00693773" w:rsidRPr="00B06DD1" w:rsidRDefault="2E2864F1" w:rsidP="00693773">
      <w:pPr>
        <w:pStyle w:val="CBDNormalNumber"/>
        <w:rPr>
          <w:lang w:val="fr-FR"/>
        </w:rPr>
      </w:pPr>
      <w:r w:rsidRPr="00B06DD1">
        <w:rPr>
          <w:lang w:val="fr-FR"/>
        </w:rPr>
        <w:t xml:space="preserve">Au 31 décembre 2025, l'excédent net cumulé des actifs, à l'exclusion de la réserve de fonds de roulement de 3 391 500 dollars, des trois fonds </w:t>
      </w:r>
      <w:r w:rsidR="001377C9">
        <w:rPr>
          <w:lang w:val="fr-FR"/>
        </w:rPr>
        <w:t xml:space="preserve">généraux </w:t>
      </w:r>
      <w:r w:rsidRPr="00B06DD1">
        <w:rPr>
          <w:lang w:val="fr-FR"/>
        </w:rPr>
        <w:t xml:space="preserve">d'affectation spéciale s'élevait à 18,2 millions de dollars (voir tableau 7). </w:t>
      </w:r>
    </w:p>
    <w:p w14:paraId="4E3C0EED" w14:textId="00040AE7" w:rsidR="00693773" w:rsidRPr="00B06DD1" w:rsidRDefault="004F5CDB" w:rsidP="004F5CDB">
      <w:pPr>
        <w:pStyle w:val="CBDNormalNumber"/>
        <w:numPr>
          <w:ilvl w:val="0"/>
          <w:numId w:val="0"/>
        </w:numPr>
        <w:ind w:left="567"/>
        <w:jc w:val="left"/>
        <w:rPr>
          <w:lang w:val="fr-FR"/>
        </w:rPr>
      </w:pPr>
      <w:r w:rsidRPr="00B06DD1">
        <w:rPr>
          <w:lang w:val="fr-FR"/>
        </w:rPr>
        <w:t>Tableau 7</w:t>
      </w:r>
      <w:r w:rsidR="00693773" w:rsidRPr="00B06DD1">
        <w:rPr>
          <w:rFonts w:eastAsia="Times New Roman"/>
          <w:b/>
          <w:bCs/>
          <w:lang w:val="fr-FR"/>
        </w:rPr>
        <w:br/>
        <w:t>Excédent cumulé (à l’exclusion de la réserve de fonds de roulement), au 31 décembre 2025</w:t>
      </w:r>
    </w:p>
    <w:p w14:paraId="756AD92F" w14:textId="3BB66A80" w:rsidR="00F210E7" w:rsidRPr="00B06DD1" w:rsidRDefault="00F210E7" w:rsidP="00693773">
      <w:pPr>
        <w:tabs>
          <w:tab w:val="clear" w:pos="567"/>
          <w:tab w:val="clear" w:pos="1134"/>
          <w:tab w:val="clear" w:pos="1701"/>
          <w:tab w:val="clear" w:pos="2268"/>
        </w:tabs>
        <w:ind w:left="555"/>
        <w:jc w:val="left"/>
        <w:textAlignment w:val="baseline"/>
        <w:rPr>
          <w:rFonts w:ascii="Segoe UI" w:eastAsia="Times New Roman" w:hAnsi="Segoe UI" w:cs="Segoe UI"/>
          <w:sz w:val="18"/>
          <w:szCs w:val="18"/>
          <w:lang w:val="fr-FR"/>
        </w:rPr>
      </w:pPr>
      <w:r w:rsidRPr="00B06DD1">
        <w:rPr>
          <w:rFonts w:eastAsia="Times New Roman"/>
          <w:sz w:val="18"/>
          <w:szCs w:val="18"/>
          <w:lang w:val="fr-FR"/>
        </w:rPr>
        <w:t>(</w:t>
      </w:r>
      <w:r w:rsidR="00B93EC7" w:rsidRPr="00B06DD1">
        <w:rPr>
          <w:rFonts w:eastAsia="Times New Roman"/>
          <w:sz w:val="18"/>
          <w:szCs w:val="18"/>
          <w:lang w:val="fr-FR"/>
        </w:rPr>
        <w:t>Mi</w:t>
      </w:r>
      <w:r w:rsidRPr="00B06DD1">
        <w:rPr>
          <w:rFonts w:eastAsia="Times New Roman"/>
          <w:sz w:val="18"/>
          <w:szCs w:val="18"/>
          <w:lang w:val="fr-FR"/>
        </w:rPr>
        <w:t>llions de dollars des États-Unis)</w:t>
      </w:r>
      <w:r w:rsidRPr="00B06DD1">
        <w:rPr>
          <w:rFonts w:eastAsia="Times New Roman"/>
          <w:sz w:val="18"/>
          <w:szCs w:val="18"/>
          <w:bdr w:val="none" w:sz="0" w:space="0" w:color="auto" w:frame="1"/>
          <w:shd w:val="clear" w:color="auto" w:fill="C6C6C6"/>
          <w:lang w:val="fr-FR"/>
        </w:rPr>
        <w:t xml:space="preserve"> </w:t>
      </w:r>
    </w:p>
    <w:tbl>
      <w:tblPr>
        <w:tblW w:w="4215"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2520"/>
      </w:tblGrid>
      <w:tr w:rsidR="00F210E7" w:rsidRPr="00B06DD1" w14:paraId="4A055C36" w14:textId="77777777" w:rsidTr="00DB54C3">
        <w:tc>
          <w:tcPr>
            <w:tcW w:w="1695" w:type="dxa"/>
            <w:tcBorders>
              <w:top w:val="single" w:sz="4" w:space="0" w:color="auto"/>
              <w:left w:val="nil"/>
              <w:bottom w:val="nil"/>
              <w:right w:val="nil"/>
            </w:tcBorders>
            <w:vAlign w:val="center"/>
            <w:hideMark/>
          </w:tcPr>
          <w:p w14:paraId="1F1AD09E" w14:textId="5A12F641" w:rsidR="00F210E7" w:rsidRPr="00B06DD1"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lang w:val="fr-FR"/>
              </w:rPr>
            </w:pPr>
            <w:r w:rsidRPr="00B06DD1">
              <w:rPr>
                <w:rFonts w:eastAsia="Times New Roman"/>
                <w:sz w:val="18"/>
                <w:szCs w:val="18"/>
                <w:lang w:val="fr-FR"/>
              </w:rPr>
              <w:t xml:space="preserve">Convention </w:t>
            </w:r>
          </w:p>
        </w:tc>
        <w:tc>
          <w:tcPr>
            <w:tcW w:w="2520" w:type="dxa"/>
            <w:tcBorders>
              <w:top w:val="single" w:sz="4" w:space="0" w:color="auto"/>
              <w:left w:val="nil"/>
              <w:bottom w:val="nil"/>
              <w:right w:val="nil"/>
            </w:tcBorders>
            <w:vAlign w:val="center"/>
            <w:hideMark/>
          </w:tcPr>
          <w:p w14:paraId="62C210A4" w14:textId="2CAD6AE8" w:rsidR="00F210E7" w:rsidRPr="00B06DD1"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lang w:val="fr-FR"/>
              </w:rPr>
            </w:pPr>
            <w:r w:rsidRPr="00B06DD1">
              <w:rPr>
                <w:rFonts w:eastAsia="Times New Roman"/>
                <w:sz w:val="18"/>
                <w:szCs w:val="18"/>
                <w:lang w:val="fr-FR"/>
              </w:rPr>
              <w:t>11</w:t>
            </w:r>
            <w:r w:rsidR="00B93EC7" w:rsidRPr="00B06DD1">
              <w:rPr>
                <w:rFonts w:eastAsia="Times New Roman"/>
                <w:sz w:val="18"/>
                <w:szCs w:val="18"/>
                <w:lang w:val="fr-FR"/>
              </w:rPr>
              <w:t>,</w:t>
            </w:r>
            <w:r w:rsidRPr="00B06DD1">
              <w:rPr>
                <w:rFonts w:eastAsia="Times New Roman"/>
                <w:sz w:val="18"/>
                <w:szCs w:val="18"/>
                <w:lang w:val="fr-FR"/>
              </w:rPr>
              <w:t xml:space="preserve">0 </w:t>
            </w:r>
          </w:p>
        </w:tc>
      </w:tr>
      <w:tr w:rsidR="00F210E7" w:rsidRPr="00B06DD1" w14:paraId="4EF8CA07" w14:textId="77777777" w:rsidTr="00DB54C3">
        <w:tc>
          <w:tcPr>
            <w:tcW w:w="1695" w:type="dxa"/>
            <w:tcBorders>
              <w:top w:val="nil"/>
              <w:left w:val="nil"/>
              <w:bottom w:val="nil"/>
              <w:right w:val="nil"/>
            </w:tcBorders>
            <w:vAlign w:val="center"/>
            <w:hideMark/>
          </w:tcPr>
          <w:p w14:paraId="4AAF6E64" w14:textId="7EDCDB87" w:rsidR="00F210E7" w:rsidRPr="00B06DD1"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lang w:val="fr-FR"/>
              </w:rPr>
            </w:pPr>
            <w:r w:rsidRPr="00B06DD1">
              <w:rPr>
                <w:rFonts w:eastAsia="Times New Roman"/>
                <w:sz w:val="18"/>
                <w:szCs w:val="18"/>
                <w:lang w:val="fr-FR"/>
              </w:rPr>
              <w:t xml:space="preserve">Protocole de Cartagena </w:t>
            </w:r>
          </w:p>
        </w:tc>
        <w:tc>
          <w:tcPr>
            <w:tcW w:w="2520" w:type="dxa"/>
            <w:tcBorders>
              <w:top w:val="nil"/>
              <w:left w:val="nil"/>
              <w:bottom w:val="nil"/>
              <w:right w:val="nil"/>
            </w:tcBorders>
            <w:vAlign w:val="center"/>
            <w:hideMark/>
          </w:tcPr>
          <w:p w14:paraId="472AC5F3" w14:textId="3A484475" w:rsidR="00F210E7" w:rsidRPr="00B06DD1"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lang w:val="fr-FR"/>
              </w:rPr>
            </w:pPr>
            <w:r w:rsidRPr="00B06DD1">
              <w:rPr>
                <w:rFonts w:eastAsia="Times New Roman"/>
                <w:sz w:val="18"/>
                <w:szCs w:val="18"/>
                <w:lang w:val="fr-FR"/>
              </w:rPr>
              <w:t>4</w:t>
            </w:r>
            <w:r w:rsidR="00B93EC7" w:rsidRPr="00B06DD1">
              <w:rPr>
                <w:rFonts w:eastAsia="Times New Roman"/>
                <w:sz w:val="18"/>
                <w:szCs w:val="18"/>
                <w:lang w:val="fr-FR"/>
              </w:rPr>
              <w:t>,</w:t>
            </w:r>
            <w:r w:rsidRPr="00B06DD1">
              <w:rPr>
                <w:rFonts w:eastAsia="Times New Roman"/>
                <w:sz w:val="18"/>
                <w:szCs w:val="18"/>
                <w:lang w:val="fr-FR"/>
              </w:rPr>
              <w:t xml:space="preserve">9 </w:t>
            </w:r>
          </w:p>
        </w:tc>
      </w:tr>
      <w:tr w:rsidR="00F210E7" w:rsidRPr="00B06DD1" w14:paraId="6F24772D" w14:textId="77777777" w:rsidTr="00DB54C3">
        <w:tc>
          <w:tcPr>
            <w:tcW w:w="1695" w:type="dxa"/>
            <w:tcBorders>
              <w:top w:val="nil"/>
              <w:left w:val="nil"/>
              <w:bottom w:val="single" w:sz="4" w:space="0" w:color="auto"/>
              <w:right w:val="nil"/>
            </w:tcBorders>
            <w:vAlign w:val="center"/>
            <w:hideMark/>
          </w:tcPr>
          <w:p w14:paraId="396B44B6" w14:textId="1FFC58E2" w:rsidR="00F210E7" w:rsidRPr="00B06DD1"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lang w:val="fr-FR"/>
              </w:rPr>
            </w:pPr>
            <w:r w:rsidRPr="00B06DD1">
              <w:rPr>
                <w:rFonts w:eastAsia="Times New Roman"/>
                <w:sz w:val="18"/>
                <w:szCs w:val="18"/>
                <w:lang w:val="fr-FR"/>
              </w:rPr>
              <w:t xml:space="preserve">Protocole de Nagoya </w:t>
            </w:r>
          </w:p>
        </w:tc>
        <w:tc>
          <w:tcPr>
            <w:tcW w:w="2520" w:type="dxa"/>
            <w:tcBorders>
              <w:top w:val="nil"/>
              <w:left w:val="nil"/>
              <w:bottom w:val="single" w:sz="4" w:space="0" w:color="auto"/>
              <w:right w:val="nil"/>
            </w:tcBorders>
            <w:vAlign w:val="center"/>
            <w:hideMark/>
          </w:tcPr>
          <w:p w14:paraId="6337CF9C" w14:textId="4F7BCCD5" w:rsidR="00F210E7" w:rsidRPr="00B06DD1"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lang w:val="fr-FR"/>
              </w:rPr>
            </w:pPr>
            <w:r w:rsidRPr="00B06DD1">
              <w:rPr>
                <w:rFonts w:eastAsia="Times New Roman"/>
                <w:sz w:val="18"/>
                <w:szCs w:val="18"/>
                <w:lang w:val="fr-FR"/>
              </w:rPr>
              <w:t>2</w:t>
            </w:r>
            <w:r w:rsidR="00B93EC7" w:rsidRPr="00B06DD1">
              <w:rPr>
                <w:rFonts w:eastAsia="Times New Roman"/>
                <w:sz w:val="18"/>
                <w:szCs w:val="18"/>
                <w:lang w:val="fr-FR"/>
              </w:rPr>
              <w:t>,</w:t>
            </w:r>
            <w:r w:rsidRPr="00B06DD1">
              <w:rPr>
                <w:rFonts w:eastAsia="Times New Roman"/>
                <w:sz w:val="18"/>
                <w:szCs w:val="18"/>
                <w:lang w:val="fr-FR"/>
              </w:rPr>
              <w:t xml:space="preserve">3 </w:t>
            </w:r>
          </w:p>
        </w:tc>
      </w:tr>
      <w:tr w:rsidR="00F210E7" w:rsidRPr="00B06DD1" w14:paraId="07E20131" w14:textId="77777777" w:rsidTr="00DB54C3">
        <w:tc>
          <w:tcPr>
            <w:tcW w:w="1695" w:type="dxa"/>
            <w:tcBorders>
              <w:top w:val="single" w:sz="4" w:space="0" w:color="auto"/>
              <w:left w:val="nil"/>
              <w:bottom w:val="single" w:sz="4" w:space="0" w:color="auto"/>
              <w:right w:val="nil"/>
            </w:tcBorders>
            <w:vAlign w:val="center"/>
            <w:hideMark/>
          </w:tcPr>
          <w:p w14:paraId="64FCDB94" w14:textId="3F505200" w:rsidR="00F210E7" w:rsidRPr="00B06DD1" w:rsidRDefault="00F210E7" w:rsidP="00440131">
            <w:pPr>
              <w:tabs>
                <w:tab w:val="clear" w:pos="567"/>
                <w:tab w:val="clear" w:pos="1134"/>
                <w:tab w:val="clear" w:pos="1701"/>
                <w:tab w:val="clear" w:pos="2268"/>
              </w:tabs>
              <w:spacing w:before="40" w:after="40"/>
              <w:ind w:left="180"/>
              <w:jc w:val="left"/>
              <w:textAlignment w:val="baseline"/>
              <w:rPr>
                <w:rFonts w:eastAsia="Times New Roman"/>
                <w:sz w:val="24"/>
                <w:szCs w:val="24"/>
                <w:lang w:val="fr-FR"/>
              </w:rPr>
            </w:pPr>
            <w:r w:rsidRPr="00B06DD1">
              <w:rPr>
                <w:rFonts w:eastAsia="Times New Roman"/>
                <w:b/>
                <w:bCs/>
                <w:sz w:val="18"/>
                <w:szCs w:val="18"/>
                <w:lang w:val="fr-FR"/>
              </w:rPr>
              <w:t>Total</w:t>
            </w:r>
            <w:r w:rsidRPr="00B06DD1">
              <w:rPr>
                <w:rFonts w:eastAsia="Times New Roman"/>
                <w:sz w:val="18"/>
                <w:szCs w:val="18"/>
                <w:lang w:val="fr-FR"/>
              </w:rPr>
              <w:t xml:space="preserve"> </w:t>
            </w:r>
          </w:p>
        </w:tc>
        <w:tc>
          <w:tcPr>
            <w:tcW w:w="2520" w:type="dxa"/>
            <w:tcBorders>
              <w:top w:val="single" w:sz="4" w:space="0" w:color="auto"/>
              <w:left w:val="nil"/>
              <w:bottom w:val="single" w:sz="4" w:space="0" w:color="auto"/>
              <w:right w:val="nil"/>
            </w:tcBorders>
            <w:vAlign w:val="center"/>
            <w:hideMark/>
          </w:tcPr>
          <w:p w14:paraId="53809BB3" w14:textId="047505A4" w:rsidR="00F210E7" w:rsidRPr="00B06DD1"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lang w:val="fr-FR"/>
              </w:rPr>
            </w:pPr>
            <w:r w:rsidRPr="00B06DD1">
              <w:rPr>
                <w:rFonts w:eastAsia="Times New Roman"/>
                <w:b/>
                <w:bCs/>
                <w:sz w:val="18"/>
                <w:szCs w:val="18"/>
                <w:lang w:val="fr-FR"/>
              </w:rPr>
              <w:t>18,2</w:t>
            </w:r>
            <w:r w:rsidRPr="00B06DD1">
              <w:rPr>
                <w:rFonts w:eastAsia="Times New Roman"/>
                <w:sz w:val="18"/>
                <w:szCs w:val="18"/>
                <w:lang w:val="fr-FR"/>
              </w:rPr>
              <w:t xml:space="preserve"> </w:t>
            </w:r>
          </w:p>
        </w:tc>
      </w:tr>
    </w:tbl>
    <w:p w14:paraId="0A7F9139" w14:textId="479CA536" w:rsidR="00EF5B53" w:rsidRPr="00B06DD1" w:rsidRDefault="00EF5B53" w:rsidP="00440131">
      <w:pPr>
        <w:pStyle w:val="CBDH2"/>
        <w:jc w:val="left"/>
        <w:rPr>
          <w:lang w:val="fr-FR"/>
        </w:rPr>
      </w:pPr>
      <w:r w:rsidRPr="00B06DD1">
        <w:rPr>
          <w:lang w:val="fr-FR"/>
        </w:rPr>
        <w:t xml:space="preserve">C. </w:t>
      </w:r>
      <w:r w:rsidRPr="00B06DD1">
        <w:rPr>
          <w:lang w:val="fr-FR"/>
        </w:rPr>
        <w:tab/>
      </w:r>
      <w:r w:rsidR="0001792F" w:rsidRPr="00B06DD1">
        <w:rPr>
          <w:lang w:val="fr-FR"/>
        </w:rPr>
        <w:t xml:space="preserve">Fonds d'affectation spéciale de contributions volontaires </w:t>
      </w:r>
      <w:r w:rsidR="0090186D" w:rsidRPr="00B06DD1">
        <w:rPr>
          <w:lang w:val="fr-FR"/>
        </w:rPr>
        <w:t xml:space="preserve">supplémentaires </w:t>
      </w:r>
      <w:r w:rsidR="0001792F" w:rsidRPr="00B06DD1">
        <w:rPr>
          <w:lang w:val="fr-FR"/>
        </w:rPr>
        <w:t>en appui aux activités approuvées au titre de la Convention et de ses Protocoles</w:t>
      </w:r>
    </w:p>
    <w:p w14:paraId="768DD603" w14:textId="0D78E66A" w:rsidR="001A5B2D" w:rsidRPr="00B06DD1" w:rsidRDefault="001A5B2D" w:rsidP="00440131">
      <w:pPr>
        <w:pStyle w:val="CBDNormalNumber"/>
        <w:rPr>
          <w:rFonts w:eastAsia="Times New Roman"/>
          <w:lang w:val="fr-FR"/>
        </w:rPr>
      </w:pPr>
      <w:r w:rsidRPr="00B06DD1">
        <w:rPr>
          <w:rStyle w:val="normaltextrun"/>
          <w:color w:val="000000"/>
          <w:lang w:val="fr-FR"/>
        </w:rPr>
        <w:t>Dans sa décision</w:t>
      </w:r>
      <w:r w:rsidR="000270A2" w:rsidRPr="00B06DD1">
        <w:rPr>
          <w:rStyle w:val="normaltextrun"/>
          <w:color w:val="000000"/>
          <w:lang w:val="fr-FR"/>
        </w:rPr>
        <w:t xml:space="preserve"> </w:t>
      </w:r>
      <w:hyperlink r:id="rId22" w:history="1">
        <w:r w:rsidRPr="00B06DD1">
          <w:rPr>
            <w:rStyle w:val="Hyperlink"/>
            <w:lang w:val="fr-FR"/>
          </w:rPr>
          <w:t>16/28</w:t>
        </w:r>
      </w:hyperlink>
      <w:r w:rsidRPr="00B06DD1">
        <w:rPr>
          <w:rStyle w:val="normaltextrun"/>
          <w:color w:val="000000"/>
          <w:lang w:val="fr-FR"/>
        </w:rPr>
        <w:t>, la Conférence des Parties a pris acte d'une estimation de financement de 28 690 983 dollars pour le</w:t>
      </w:r>
      <w:r w:rsidR="00CA4C24" w:rsidRPr="00B06DD1">
        <w:rPr>
          <w:rStyle w:val="normaltextrun"/>
          <w:color w:val="000000"/>
          <w:lang w:val="fr-FR"/>
        </w:rPr>
        <w:t xml:space="preserve"> </w:t>
      </w:r>
      <w:r w:rsidR="00CA4C24" w:rsidRPr="00B06DD1">
        <w:rPr>
          <w:lang w:val="fr-FR"/>
        </w:rPr>
        <w:t xml:space="preserve">Fonds d'affectation spéciale de contributions volontaires </w:t>
      </w:r>
      <w:r w:rsidR="0090186D" w:rsidRPr="00B06DD1">
        <w:rPr>
          <w:lang w:val="fr-FR"/>
        </w:rPr>
        <w:t xml:space="preserve">supplémentaires </w:t>
      </w:r>
      <w:r w:rsidR="00CA4C24" w:rsidRPr="00B06DD1">
        <w:rPr>
          <w:lang w:val="fr-FR"/>
        </w:rPr>
        <w:t>en appui aux activités approuvées au titre de la Convention et de ses Protocoles</w:t>
      </w:r>
      <w:r w:rsidRPr="00B06DD1">
        <w:rPr>
          <w:rStyle w:val="normaltextrun"/>
          <w:color w:val="000000"/>
          <w:lang w:val="fr-FR"/>
        </w:rPr>
        <w:t xml:space="preserve"> pour l'exercice biennal 2025-2026. Au 31 mai 2026, le Secrétariat avait reçu des contributions </w:t>
      </w:r>
      <w:r w:rsidR="0090186D" w:rsidRPr="00B06DD1">
        <w:rPr>
          <w:rStyle w:val="normaltextrun"/>
          <w:color w:val="000000"/>
          <w:lang w:val="fr-FR"/>
        </w:rPr>
        <w:t xml:space="preserve">supplémentaires </w:t>
      </w:r>
      <w:r w:rsidRPr="00B06DD1">
        <w:rPr>
          <w:rStyle w:val="normaltextrun"/>
          <w:color w:val="000000"/>
          <w:lang w:val="fr-FR"/>
        </w:rPr>
        <w:t>pour des activités</w:t>
      </w:r>
      <w:r w:rsidR="0090186D" w:rsidRPr="00B06DD1">
        <w:rPr>
          <w:rStyle w:val="normaltextrun"/>
          <w:color w:val="000000"/>
          <w:lang w:val="fr-FR"/>
        </w:rPr>
        <w:t xml:space="preserve"> </w:t>
      </w:r>
      <w:r w:rsidRPr="00B06DD1">
        <w:rPr>
          <w:rStyle w:val="normaltextrun"/>
          <w:color w:val="000000"/>
          <w:lang w:val="fr-FR"/>
        </w:rPr>
        <w:t>approuvées totalisant 7 918 486 dollars.</w:t>
      </w:r>
    </w:p>
    <w:p w14:paraId="687B2372" w14:textId="2E7E5516" w:rsidR="00AC0DC6" w:rsidRPr="00B06DD1" w:rsidRDefault="00836C04" w:rsidP="004B36FD">
      <w:pPr>
        <w:pStyle w:val="CBDH2"/>
        <w:tabs>
          <w:tab w:val="left" w:pos="990"/>
        </w:tabs>
        <w:ind w:hanging="657"/>
        <w:jc w:val="left"/>
        <w:rPr>
          <w:lang w:val="fr-FR"/>
        </w:rPr>
      </w:pPr>
      <w:r w:rsidRPr="00B06DD1">
        <w:rPr>
          <w:lang w:val="fr-FR"/>
        </w:rPr>
        <w:t xml:space="preserve">  </w:t>
      </w:r>
      <w:r w:rsidR="00F00DAE" w:rsidRPr="00B06DD1">
        <w:rPr>
          <w:lang w:val="fr-FR"/>
        </w:rPr>
        <w:t xml:space="preserve">D. </w:t>
      </w:r>
      <w:r w:rsidRPr="00B06DD1">
        <w:rPr>
          <w:lang w:val="fr-FR"/>
        </w:rPr>
        <w:tab/>
      </w:r>
      <w:r w:rsidR="004B36FD" w:rsidRPr="00B06DD1">
        <w:rPr>
          <w:lang w:val="fr-FR"/>
        </w:rPr>
        <w:t>Fonds d’affectation spéciale de contributions volontaires destiné à faciliter la participation des Parties au</w:t>
      </w:r>
      <w:r w:rsidR="00385E63" w:rsidRPr="00B06DD1">
        <w:rPr>
          <w:lang w:val="fr-FR"/>
        </w:rPr>
        <w:t>x</w:t>
      </w:r>
      <w:r w:rsidR="004B36FD" w:rsidRPr="00B06DD1">
        <w:rPr>
          <w:lang w:val="fr-FR"/>
        </w:rPr>
        <w:t xml:space="preserve"> processus de la Convention</w:t>
      </w:r>
      <w:r w:rsidR="00F00DAE" w:rsidRPr="00B06DD1">
        <w:rPr>
          <w:lang w:val="fr-FR"/>
        </w:rPr>
        <w:tab/>
      </w:r>
    </w:p>
    <w:p w14:paraId="595ED2E9" w14:textId="3E40D38B" w:rsidR="00620D85" w:rsidRPr="00B06DD1" w:rsidRDefault="00620D85" w:rsidP="00440131">
      <w:pPr>
        <w:pStyle w:val="CBDNormalNumber"/>
        <w:rPr>
          <w:rFonts w:eastAsia="Times New Roman"/>
          <w:lang w:val="fr-FR"/>
        </w:rPr>
      </w:pPr>
      <w:r w:rsidRPr="00B06DD1">
        <w:rPr>
          <w:rStyle w:val="normaltextrun"/>
          <w:lang w:val="fr-FR"/>
        </w:rPr>
        <w:t>Dans sa décision</w:t>
      </w:r>
      <w:r w:rsidR="000270A2" w:rsidRPr="00B06DD1">
        <w:rPr>
          <w:rStyle w:val="normaltextrun"/>
          <w:lang w:val="fr-FR"/>
        </w:rPr>
        <w:t xml:space="preserve"> </w:t>
      </w:r>
      <w:hyperlink r:id="rId23" w:history="1">
        <w:r w:rsidRPr="00B06DD1">
          <w:rPr>
            <w:rStyle w:val="Hyperlink"/>
            <w:lang w:val="fr-FR"/>
          </w:rPr>
          <w:t>16/28</w:t>
        </w:r>
      </w:hyperlink>
      <w:r w:rsidRPr="00B06DD1">
        <w:rPr>
          <w:rStyle w:val="normaltextrun"/>
          <w:lang w:val="fr-FR"/>
        </w:rPr>
        <w:t xml:space="preserve">, la Conférence des Parties a pris </w:t>
      </w:r>
      <w:r w:rsidR="004C52D3" w:rsidRPr="00B06DD1">
        <w:rPr>
          <w:rStyle w:val="normaltextrun"/>
          <w:lang w:val="fr-FR"/>
        </w:rPr>
        <w:t>note</w:t>
      </w:r>
      <w:r w:rsidRPr="00B06DD1">
        <w:rPr>
          <w:rStyle w:val="normaltextrun"/>
          <w:lang w:val="fr-FR"/>
        </w:rPr>
        <w:t xml:space="preserve"> d'une estimation de financement de 7 894 300 dollars pour le Fonds d'affectation spéciale </w:t>
      </w:r>
      <w:r w:rsidR="00B0234D" w:rsidRPr="00B06DD1">
        <w:rPr>
          <w:rStyle w:val="normaltextrun"/>
          <w:lang w:val="fr-FR"/>
        </w:rPr>
        <w:t xml:space="preserve">de contributions volontaires destiné </w:t>
      </w:r>
      <w:r w:rsidR="00082759" w:rsidRPr="00B06DD1">
        <w:rPr>
          <w:rStyle w:val="normaltextrun"/>
          <w:lang w:val="fr-FR"/>
        </w:rPr>
        <w:t>à</w:t>
      </w:r>
      <w:r w:rsidRPr="00B06DD1">
        <w:rPr>
          <w:rStyle w:val="normaltextrun"/>
          <w:lang w:val="fr-FR"/>
        </w:rPr>
        <w:t xml:space="preserve"> faciliter la participation des Parties au</w:t>
      </w:r>
      <w:r w:rsidR="00082759" w:rsidRPr="00B06DD1">
        <w:rPr>
          <w:rStyle w:val="normaltextrun"/>
          <w:lang w:val="fr-FR"/>
        </w:rPr>
        <w:t>x</w:t>
      </w:r>
      <w:r w:rsidRPr="00B06DD1">
        <w:rPr>
          <w:rStyle w:val="normaltextrun"/>
          <w:lang w:val="fr-FR"/>
        </w:rPr>
        <w:t xml:space="preserve"> processus de la Convention pour l'exercice biennal 2025-2026. Au 31 mai 2026, le Secrétariat avait reçu des contributions à ce Fonds totalisant 2 178 459 dollars.</w:t>
      </w:r>
    </w:p>
    <w:p w14:paraId="25CE2C28" w14:textId="4A8E85E0" w:rsidR="00620D85" w:rsidRPr="00B06DD1" w:rsidRDefault="00620D85" w:rsidP="00440131">
      <w:pPr>
        <w:pStyle w:val="CBDNormalNumber"/>
        <w:rPr>
          <w:lang w:val="fr-FR"/>
        </w:rPr>
      </w:pPr>
      <w:r w:rsidRPr="00B06DD1">
        <w:rPr>
          <w:rStyle w:val="normaltextrun"/>
          <w:lang w:val="fr-FR"/>
        </w:rPr>
        <w:t>Au 31 mai 2026, le Secrétariat avait dépensé 1 277 734 dollars en 2025 et 2026 pour la participation de 352 délégués de pays en développement à la vingt-septième réunion de l'Organe subsidiaire chargé de fournir des avis scientifiques, techniques et technologiques</w:t>
      </w:r>
      <w:r w:rsidR="002F22EE" w:rsidRPr="00B06DD1">
        <w:rPr>
          <w:rStyle w:val="normaltextrun"/>
          <w:lang w:val="fr-FR"/>
        </w:rPr>
        <w:t xml:space="preserve">, </w:t>
      </w:r>
      <w:r w:rsidRPr="00B06DD1">
        <w:rPr>
          <w:rStyle w:val="normaltextrun"/>
          <w:lang w:val="fr-FR"/>
        </w:rPr>
        <w:t>à la sixième réunion de l'Organe subsidiaire chargé de l'application</w:t>
      </w:r>
      <w:r w:rsidR="002F22EE" w:rsidRPr="00B06DD1">
        <w:rPr>
          <w:rStyle w:val="normaltextrun"/>
          <w:lang w:val="fr-FR"/>
        </w:rPr>
        <w:t>,</w:t>
      </w:r>
      <w:r w:rsidRPr="00B06DD1">
        <w:rPr>
          <w:rStyle w:val="normaltextrun"/>
          <w:lang w:val="fr-FR"/>
        </w:rPr>
        <w:t xml:space="preserve"> à la reprise de la seizième réunion de la Conférence des Parties à la Convention, à la onzième réunion de la Conférence des Parties siégeant en tant que réunion des Parties au Protocole de Cartagena et à la cinquième réunion de la Conférence des Parties siégeant en tant que réunion des Parties au Protocole de Nagoya</w:t>
      </w:r>
      <w:r w:rsidR="002F22EE" w:rsidRPr="00B06DD1">
        <w:rPr>
          <w:rStyle w:val="normaltextrun"/>
          <w:lang w:val="fr-FR"/>
        </w:rPr>
        <w:t>,</w:t>
      </w:r>
      <w:r w:rsidRPr="00B06DD1">
        <w:rPr>
          <w:rStyle w:val="normaltextrun"/>
          <w:lang w:val="fr-FR"/>
        </w:rPr>
        <w:t xml:space="preserve"> et à la première réunion de l'Organe subsidiaire chargé de l'article 8 j) et des dispositions connexes de la Convention relatives aux peuples autochtones et communautés locales</w:t>
      </w:r>
      <w:r w:rsidRPr="00B06DD1">
        <w:rPr>
          <w:rStyle w:val="normaltextrun"/>
          <w:color w:val="0000FF"/>
          <w:lang w:val="fr-FR"/>
        </w:rPr>
        <w:t>.</w:t>
      </w:r>
    </w:p>
    <w:p w14:paraId="0744239D" w14:textId="3E47DC49" w:rsidR="00F00DAE" w:rsidRPr="00B06DD1" w:rsidRDefault="00836C04" w:rsidP="2080ABF3">
      <w:pPr>
        <w:pStyle w:val="CBDH2"/>
        <w:tabs>
          <w:tab w:val="left" w:pos="990"/>
        </w:tabs>
        <w:rPr>
          <w:lang w:val="fr-FR"/>
        </w:rPr>
      </w:pPr>
      <w:r w:rsidRPr="00B06DD1">
        <w:rPr>
          <w:lang w:val="fr-FR"/>
        </w:rPr>
        <w:t xml:space="preserve"> </w:t>
      </w:r>
      <w:r w:rsidR="00F00DAE" w:rsidRPr="00B06DD1">
        <w:rPr>
          <w:lang w:val="fr-FR"/>
        </w:rPr>
        <w:t xml:space="preserve">E. </w:t>
      </w:r>
      <w:r w:rsidRPr="00B06DD1">
        <w:rPr>
          <w:lang w:val="fr-FR"/>
        </w:rPr>
        <w:tab/>
      </w:r>
      <w:r w:rsidR="00F00DAE" w:rsidRPr="00B06DD1">
        <w:rPr>
          <w:lang w:val="fr-FR"/>
        </w:rPr>
        <w:t xml:space="preserve">Fonds d'affectation spéciale </w:t>
      </w:r>
      <w:r w:rsidR="00830AAD" w:rsidRPr="00B06DD1">
        <w:rPr>
          <w:lang w:val="fr-FR"/>
        </w:rPr>
        <w:t>de contributions volontaires destiné à faciliter la participation des peuples autochtones et communautés locales</w:t>
      </w:r>
      <w:r w:rsidR="00F00DAE" w:rsidRPr="00B06DD1">
        <w:rPr>
          <w:lang w:val="fr-FR"/>
        </w:rPr>
        <w:tab/>
      </w:r>
    </w:p>
    <w:p w14:paraId="7CDE06A1" w14:textId="6DB7ACA8" w:rsidR="00E03C00" w:rsidRPr="00B06DD1" w:rsidRDefault="00E03C00" w:rsidP="00440131">
      <w:pPr>
        <w:pStyle w:val="CBDNormalNumber"/>
        <w:rPr>
          <w:rFonts w:eastAsia="Times New Roman"/>
          <w:lang w:val="fr-FR"/>
        </w:rPr>
      </w:pPr>
      <w:r w:rsidRPr="00B06DD1">
        <w:rPr>
          <w:rStyle w:val="normaltextrun"/>
          <w:lang w:val="fr-FR"/>
        </w:rPr>
        <w:t>Dans sa décision</w:t>
      </w:r>
      <w:r w:rsidR="000270A2" w:rsidRPr="00B06DD1">
        <w:rPr>
          <w:rStyle w:val="normaltextrun"/>
          <w:lang w:val="fr-FR"/>
        </w:rPr>
        <w:t xml:space="preserve"> </w:t>
      </w:r>
      <w:hyperlink r:id="rId24" w:history="1">
        <w:r w:rsidRPr="00B06DD1">
          <w:rPr>
            <w:rStyle w:val="Hyperlink"/>
            <w:lang w:val="fr-FR"/>
          </w:rPr>
          <w:t>16/28</w:t>
        </w:r>
      </w:hyperlink>
      <w:r w:rsidRPr="00B06DD1">
        <w:rPr>
          <w:rStyle w:val="normaltextrun"/>
          <w:lang w:val="fr-FR"/>
        </w:rPr>
        <w:t>, la Conférence des Parties a pris acte d'une estimation de financement de 317 000 dollars pour le Fonds d'affectation spéciale</w:t>
      </w:r>
      <w:r w:rsidR="000561DA">
        <w:rPr>
          <w:rStyle w:val="normaltextrun"/>
          <w:lang w:val="fr-FR"/>
        </w:rPr>
        <w:t xml:space="preserve"> de contributions volontaires destiné à faciliter </w:t>
      </w:r>
      <w:r w:rsidRPr="00B06DD1">
        <w:rPr>
          <w:rStyle w:val="normaltextrun"/>
          <w:lang w:val="fr-FR"/>
        </w:rPr>
        <w:t>la participation des peuples autochtones et communautés locales pour l'exercice biennal 2025-2026. Au 31 mai 2026, le Secrétariat avait reçu des contributions totalisant 258 357 dollars.</w:t>
      </w:r>
    </w:p>
    <w:p w14:paraId="6CB15C7A" w14:textId="01684C5C" w:rsidR="00E03C00" w:rsidRPr="00B06DD1" w:rsidRDefault="7BD48914" w:rsidP="00440131">
      <w:pPr>
        <w:pStyle w:val="CBDNormalNumber"/>
        <w:rPr>
          <w:rStyle w:val="normaltextrun"/>
          <w:i/>
          <w:iCs/>
          <w:lang w:val="fr-FR"/>
        </w:rPr>
      </w:pPr>
      <w:r w:rsidRPr="00B06DD1">
        <w:rPr>
          <w:rStyle w:val="normaltextrun"/>
          <w:lang w:val="fr-FR"/>
        </w:rPr>
        <w:t>Au 31 mai 2026, le Secrétariat avait engagé des dépenses totalisant 88 523 dollars pour couvrir les frais de voyage des participants des peuples autochtones et communautés locales à la vingt-septième réunion de l'Organe subsidiaire chargé de fournir des avis scientifiques, techniques et technologiques</w:t>
      </w:r>
      <w:r w:rsidR="006B6E10" w:rsidRPr="00B06DD1">
        <w:rPr>
          <w:rStyle w:val="normaltextrun"/>
          <w:lang w:val="fr-FR"/>
        </w:rPr>
        <w:t xml:space="preserve">, </w:t>
      </w:r>
      <w:r w:rsidRPr="00B06DD1">
        <w:rPr>
          <w:rStyle w:val="normaltextrun"/>
          <w:lang w:val="fr-FR"/>
        </w:rPr>
        <w:t>à la sixième réunion de l'Organe subsidiaire chargé de l'application</w:t>
      </w:r>
      <w:r w:rsidR="006B6E10" w:rsidRPr="00B06DD1">
        <w:rPr>
          <w:rStyle w:val="normaltextrun"/>
          <w:lang w:val="fr-FR"/>
        </w:rPr>
        <w:t>,</w:t>
      </w:r>
      <w:r w:rsidRPr="00B06DD1">
        <w:rPr>
          <w:rStyle w:val="normaltextrun"/>
          <w:lang w:val="fr-FR"/>
        </w:rPr>
        <w:t xml:space="preserve"> à la reprise de la seizième réunion de la Conférence des Parties à la Convention, à la onzième réunion de la Conférence des Parties siégeant en tant que réunion des Parties au Protocole de Cartagena et à la cinquième réunion de la Conférence des Parties siégeant en tant que réunion des Parties au Protocole </w:t>
      </w:r>
      <w:r w:rsidRPr="00B06DD1">
        <w:rPr>
          <w:rStyle w:val="normaltextrun"/>
          <w:lang w:val="fr-FR"/>
        </w:rPr>
        <w:lastRenderedPageBreak/>
        <w:t>de Nagoya</w:t>
      </w:r>
      <w:r w:rsidR="006B6E10" w:rsidRPr="00B06DD1">
        <w:rPr>
          <w:rStyle w:val="normaltextrun"/>
          <w:lang w:val="fr-FR"/>
        </w:rPr>
        <w:t>,</w:t>
      </w:r>
      <w:r w:rsidRPr="00B06DD1">
        <w:rPr>
          <w:rStyle w:val="normaltextrun"/>
          <w:lang w:val="fr-FR"/>
        </w:rPr>
        <w:t xml:space="preserve"> et à la première réunion de l'Organe subsidiaire chargé de l'article 8 j) et des dispositions connexes de la Convention relatives aux peuples autochtones et communautés locales. Il est prévu que le Secrétariat dépensera le solde de 169 834 dollars avant la fin de l'exercice biennal 2025-2026.</w:t>
      </w:r>
    </w:p>
    <w:p w14:paraId="388B531D" w14:textId="7A66C81D" w:rsidR="007C4951" w:rsidRPr="00B06DD1" w:rsidRDefault="00A111D1" w:rsidP="00A111D1">
      <w:pPr>
        <w:pStyle w:val="CBDH1"/>
        <w:rPr>
          <w:bCs/>
          <w:lang w:val="fr-FR"/>
        </w:rPr>
      </w:pPr>
      <w:r w:rsidRPr="00B06DD1">
        <w:rPr>
          <w:lang w:val="fr-FR"/>
        </w:rPr>
        <w:t xml:space="preserve">III. </w:t>
      </w:r>
      <w:r w:rsidRPr="00B06DD1">
        <w:rPr>
          <w:lang w:val="fr-FR"/>
        </w:rPr>
        <w:tab/>
      </w:r>
      <w:r w:rsidRPr="00B06DD1">
        <w:rPr>
          <w:bCs/>
          <w:lang w:val="fr-FR"/>
        </w:rPr>
        <w:t>Autres questions administratives</w:t>
      </w:r>
    </w:p>
    <w:p w14:paraId="55707796" w14:textId="13513537" w:rsidR="00CA7C53" w:rsidRPr="00B06DD1" w:rsidRDefault="00CA7C53" w:rsidP="00440131">
      <w:pPr>
        <w:pStyle w:val="CBDH2"/>
        <w:rPr>
          <w:lang w:val="fr-FR"/>
        </w:rPr>
      </w:pPr>
      <w:r w:rsidRPr="00B06DD1">
        <w:rPr>
          <w:lang w:val="fr-FR"/>
        </w:rPr>
        <w:t xml:space="preserve">A. </w:t>
      </w:r>
      <w:r w:rsidR="000270A2" w:rsidRPr="00B06DD1">
        <w:rPr>
          <w:lang w:val="fr-FR"/>
        </w:rPr>
        <w:tab/>
      </w:r>
      <w:r w:rsidRPr="00B06DD1">
        <w:rPr>
          <w:lang w:val="fr-FR"/>
        </w:rPr>
        <w:t>Effectifs</w:t>
      </w:r>
      <w:r w:rsidRPr="00B06DD1">
        <w:rPr>
          <w:lang w:val="fr-FR"/>
        </w:rPr>
        <w:tab/>
      </w:r>
    </w:p>
    <w:p w14:paraId="7835DF25" w14:textId="7E07FBBB" w:rsidR="00CA7C53" w:rsidRPr="00B06DD1" w:rsidRDefault="00CA7C53" w:rsidP="00CF4362">
      <w:pPr>
        <w:pStyle w:val="Para1"/>
        <w:numPr>
          <w:ilvl w:val="0"/>
          <w:numId w:val="28"/>
        </w:numPr>
        <w:tabs>
          <w:tab w:val="clear" w:pos="720"/>
        </w:tabs>
        <w:ind w:left="540" w:firstLine="0"/>
        <w:rPr>
          <w:lang w:val="fr-FR"/>
        </w:rPr>
      </w:pPr>
      <w:r w:rsidRPr="00B06DD1">
        <w:rPr>
          <w:lang w:val="fr-FR"/>
        </w:rPr>
        <w:t>Dans sa décision</w:t>
      </w:r>
      <w:r w:rsidR="000270A2" w:rsidRPr="00B06DD1">
        <w:rPr>
          <w:lang w:val="fr-FR"/>
        </w:rPr>
        <w:t xml:space="preserve"> </w:t>
      </w:r>
      <w:hyperlink r:id="rId25" w:history="1">
        <w:r w:rsidRPr="00B06DD1">
          <w:rPr>
            <w:rStyle w:val="Hyperlink"/>
            <w:lang w:val="fr-FR"/>
          </w:rPr>
          <w:t>16/28</w:t>
        </w:r>
      </w:hyperlink>
      <w:r w:rsidRPr="00B06DD1">
        <w:rPr>
          <w:lang w:val="fr-FR"/>
        </w:rPr>
        <w:t xml:space="preserve"> la Conférence des Parties a adopté un tableau des effectifs du Secrétariat pour l'exercice biennal 2025-2026 comptant 56 postes de la catégorie des administrateurs et fonctionnaires de rang supérieur et 31 postes de la catégorie des services généraux. Au 31 mai 2026, il y avait neuf postes vacants dans la catégorie des administrateurs et fonctionnaires de rang supérieur et cinq postes vacants dans la catégorie des services généraux, pour lesquels le recrutement est en cours à différents stades. Tous les postes vacants devraient être pourvus d'ici la fin de 2026. </w:t>
      </w:r>
    </w:p>
    <w:p w14:paraId="45BE9393" w14:textId="74A1EB71" w:rsidR="00CA7C53" w:rsidRPr="00B06DD1" w:rsidRDefault="1739BEF3" w:rsidP="00440131">
      <w:pPr>
        <w:pStyle w:val="Para1"/>
        <w:numPr>
          <w:ilvl w:val="0"/>
          <w:numId w:val="28"/>
        </w:numPr>
        <w:tabs>
          <w:tab w:val="clear" w:pos="720"/>
        </w:tabs>
        <w:ind w:left="540" w:firstLine="0"/>
        <w:rPr>
          <w:lang w:val="fr-FR"/>
        </w:rPr>
      </w:pPr>
      <w:r w:rsidRPr="00B06DD1">
        <w:rPr>
          <w:lang w:val="fr-FR"/>
        </w:rPr>
        <w:t>Outre les postes financés au titre du budget de base intégré, il existe 18 postes (4 dans la catégorie des administrateurs et fonctionnaires de rang supérieur et 14 dans la catégorie des services généraux) au sein de la Division de l'administration, des finances et des services de conférence, financés par le</w:t>
      </w:r>
      <w:r w:rsidR="009033F2" w:rsidRPr="00B06DD1">
        <w:rPr>
          <w:lang w:val="fr-FR"/>
        </w:rPr>
        <w:t>s</w:t>
      </w:r>
      <w:r w:rsidRPr="00B06DD1">
        <w:rPr>
          <w:lang w:val="fr-FR"/>
        </w:rPr>
        <w:t xml:space="preserve"> fonds </w:t>
      </w:r>
      <w:r w:rsidR="00F56B10">
        <w:rPr>
          <w:lang w:val="fr-FR"/>
        </w:rPr>
        <w:t xml:space="preserve">généraux </w:t>
      </w:r>
      <w:r w:rsidRPr="00B06DD1">
        <w:rPr>
          <w:lang w:val="fr-FR"/>
        </w:rPr>
        <w:t>d'affectation spéciale</w:t>
      </w:r>
      <w:r w:rsidR="009033F2" w:rsidRPr="00B06DD1">
        <w:rPr>
          <w:lang w:val="fr-FR"/>
        </w:rPr>
        <w:t xml:space="preserve"> </w:t>
      </w:r>
      <w:r w:rsidRPr="00B06DD1">
        <w:rPr>
          <w:lang w:val="fr-FR"/>
        </w:rPr>
        <w:t xml:space="preserve">du Programme des Nations </w:t>
      </w:r>
      <w:r w:rsidR="007B413B">
        <w:rPr>
          <w:lang w:val="fr-FR"/>
        </w:rPr>
        <w:t>Un</w:t>
      </w:r>
      <w:r w:rsidRPr="00B06DD1">
        <w:rPr>
          <w:lang w:val="fr-FR"/>
        </w:rPr>
        <w:t xml:space="preserve">ies pour l'environnement, 5 postes au sein de l'équipe du </w:t>
      </w:r>
      <w:r w:rsidR="00886B17" w:rsidRPr="00B06DD1">
        <w:rPr>
          <w:lang w:val="fr-FR"/>
        </w:rPr>
        <w:t xml:space="preserve">Fonds du Japon </w:t>
      </w:r>
      <w:r w:rsidRPr="00B06DD1">
        <w:rPr>
          <w:lang w:val="fr-FR"/>
        </w:rPr>
        <w:t>pour la biodiversité (3 dans la catégorie des administrateurs et fonctionnaires de rang supérieur, dont un poste d'expert associé financé par le Japon, et 2 dans la catégorie des services généraux). En outre, deux postes de la catégorie des administrateurs sont financés par des contributions volontaires de l'Union européenne et de la Norvège, et deux postes sont financés par la République de Corée dans le cadre du projet Initiative Bio-Bridge (un dans la catégorie des administrateurs et fonctionnaires de rang supérieur et un dans la catégorie des services généraux). La France et la République de Corée financent directement deux experts professionnels en mission.</w:t>
      </w:r>
    </w:p>
    <w:p w14:paraId="3B304F23" w14:textId="3CCD15B3" w:rsidR="00CA7C53" w:rsidRPr="00B06DD1" w:rsidRDefault="1739BEF3" w:rsidP="00440131">
      <w:pPr>
        <w:pStyle w:val="Para1"/>
        <w:numPr>
          <w:ilvl w:val="0"/>
          <w:numId w:val="28"/>
        </w:numPr>
        <w:tabs>
          <w:tab w:val="clear" w:pos="720"/>
        </w:tabs>
        <w:ind w:left="540" w:firstLine="0"/>
        <w:rPr>
          <w:lang w:val="fr-FR"/>
        </w:rPr>
      </w:pPr>
      <w:r w:rsidRPr="00B06DD1">
        <w:rPr>
          <w:lang w:val="fr-FR"/>
        </w:rPr>
        <w:t>Par ailleurs, quatre experts associés parrainés respectivement par l'Italie (un), le Japon (un), la République de Corée (un) et le Royaume-Uni de Grande-Bretagne et d'Irlande du Nord (un) appuient actuellement le Secrétariat dans la mise en œuvre du programme de travail. Deux experts associés supplémentaires sont attendus avant la fin décembre 2026, parrainés respectivement par la Chine et l'Allemagne.</w:t>
      </w:r>
    </w:p>
    <w:p w14:paraId="4758B84C" w14:textId="309F83DA" w:rsidR="00CA7C53" w:rsidRPr="00B06DD1" w:rsidRDefault="1739BEF3" w:rsidP="00440131">
      <w:pPr>
        <w:pStyle w:val="Para1"/>
        <w:numPr>
          <w:ilvl w:val="0"/>
          <w:numId w:val="28"/>
        </w:numPr>
        <w:tabs>
          <w:tab w:val="clear" w:pos="720"/>
        </w:tabs>
        <w:ind w:left="540" w:firstLine="0"/>
        <w:rPr>
          <w:lang w:val="fr-FR"/>
        </w:rPr>
      </w:pPr>
      <w:r w:rsidRPr="00B06DD1">
        <w:rPr>
          <w:lang w:val="fr-FR"/>
        </w:rPr>
        <w:t>Au 31 mai 2026, le Secrétariat avait établi environ 72 contrats de consultant et de contractant individuel au cours de l'exercice biennal, financés principalement par des contributions volontaires, en tant que ressources additionnelles pour la mise en œuvre du programme de travail et la gestion des besoins en personnel à court terme.</w:t>
      </w:r>
    </w:p>
    <w:p w14:paraId="0DDDF550" w14:textId="2D733142" w:rsidR="00C43244" w:rsidRPr="00B06DD1" w:rsidRDefault="00C43244" w:rsidP="00440131">
      <w:pPr>
        <w:pStyle w:val="CBDH2"/>
        <w:rPr>
          <w:lang w:val="fr-FR"/>
        </w:rPr>
      </w:pPr>
      <w:r w:rsidRPr="00B06DD1">
        <w:rPr>
          <w:lang w:val="fr-FR"/>
        </w:rPr>
        <w:t xml:space="preserve">B. </w:t>
      </w:r>
      <w:r w:rsidR="000270A2" w:rsidRPr="00B06DD1">
        <w:rPr>
          <w:lang w:val="fr-FR"/>
        </w:rPr>
        <w:tab/>
      </w:r>
      <w:r w:rsidRPr="00B06DD1">
        <w:rPr>
          <w:lang w:val="fr-FR"/>
        </w:rPr>
        <w:t>Budgétisation axée sur les résultats</w:t>
      </w:r>
      <w:r w:rsidRPr="00B06DD1">
        <w:rPr>
          <w:lang w:val="fr-FR"/>
        </w:rPr>
        <w:tab/>
      </w:r>
    </w:p>
    <w:p w14:paraId="7E1EC4FE" w14:textId="2E0B35B2" w:rsidR="00C71696" w:rsidRPr="00B06DD1" w:rsidRDefault="00C71696" w:rsidP="00440131">
      <w:pPr>
        <w:pStyle w:val="Para1"/>
        <w:numPr>
          <w:ilvl w:val="0"/>
          <w:numId w:val="28"/>
        </w:numPr>
        <w:tabs>
          <w:tab w:val="clear" w:pos="720"/>
        </w:tabs>
        <w:ind w:left="540" w:firstLine="0"/>
        <w:rPr>
          <w:lang w:val="fr-FR"/>
        </w:rPr>
      </w:pPr>
      <w:r w:rsidRPr="00B06DD1">
        <w:rPr>
          <w:lang w:val="fr-FR"/>
        </w:rPr>
        <w:t>En réponse à une demande formulée par la Conférence des Parties dans sa décision</w:t>
      </w:r>
      <w:r w:rsidR="002E7B23" w:rsidRPr="00B06DD1">
        <w:rPr>
          <w:lang w:val="fr-FR"/>
        </w:rPr>
        <w:t xml:space="preserve"> </w:t>
      </w:r>
      <w:hyperlink r:id="rId26" w:history="1">
        <w:r w:rsidRPr="00B06DD1">
          <w:rPr>
            <w:rStyle w:val="Hyperlink"/>
            <w:lang w:val="fr-FR"/>
          </w:rPr>
          <w:t>14/37</w:t>
        </w:r>
      </w:hyperlink>
      <w:r w:rsidRPr="00B06DD1">
        <w:rPr>
          <w:lang w:val="fr-FR"/>
        </w:rPr>
        <w:t xml:space="preserve"> et aux recommandations d'audit, le Secrétariat a élaboré un cadre axé sur les résultats pour ses travaux de programmation et de budgétisation. Ce cadre a été progressivement mis en place depuis le début de 2023, l'objectif étant de le rendre pleinement opérationnel au cours de l'exercice biennal 2025-2026. Il sera actualisé régulièrement, en particulier après les réunions importantes, afin de veiller à ce que la planification soit alignée sur les décisions de la Conférence des Parties à la Convention et de la Conférence des Parties siégeant en tant que réunions des Parties aux Protocoles, et ajustée en conséquence. Ce cadre devrait guider le Secrétariat dans la détermination de ses besoins en ressources et permettre d'optimiser davantage l'utilisation des fonds volontaires aux fins de l'obtention de résultats.</w:t>
      </w:r>
    </w:p>
    <w:p w14:paraId="7D784C0A" w14:textId="3B01F0DF" w:rsidR="00C71696" w:rsidRPr="00B06DD1" w:rsidRDefault="00C71696" w:rsidP="00440131">
      <w:pPr>
        <w:pStyle w:val="Para1"/>
        <w:numPr>
          <w:ilvl w:val="0"/>
          <w:numId w:val="28"/>
        </w:numPr>
        <w:tabs>
          <w:tab w:val="clear" w:pos="720"/>
        </w:tabs>
        <w:ind w:left="540" w:firstLine="0"/>
        <w:rPr>
          <w:lang w:val="fr-FR"/>
        </w:rPr>
      </w:pPr>
      <w:r w:rsidRPr="00B06DD1">
        <w:rPr>
          <w:lang w:val="fr-FR"/>
        </w:rPr>
        <w:t xml:space="preserve">Le Secrétariat a commencé à utiliser le cadre axé sur les résultats afin d'assurer une mise en œuvre optimisée de ses activités et une utilisation optimisée des fonds volontaires. Ce cadre permettra également au Secrétariat de suivre la mise en œuvre de ses activités et de rendre compte des résultats de manière efficace. </w:t>
      </w:r>
    </w:p>
    <w:p w14:paraId="074A1572" w14:textId="42EA690F" w:rsidR="00C43244" w:rsidRPr="00B06DD1" w:rsidRDefault="00C43244" w:rsidP="00440131">
      <w:pPr>
        <w:pStyle w:val="CBDH2"/>
        <w:rPr>
          <w:lang w:val="fr-FR"/>
        </w:rPr>
      </w:pPr>
      <w:r w:rsidRPr="00B06DD1">
        <w:rPr>
          <w:lang w:val="fr-FR"/>
        </w:rPr>
        <w:lastRenderedPageBreak/>
        <w:t xml:space="preserve">C. </w:t>
      </w:r>
      <w:r w:rsidR="000270A2" w:rsidRPr="00B06DD1">
        <w:rPr>
          <w:lang w:val="fr-FR"/>
        </w:rPr>
        <w:tab/>
      </w:r>
      <w:r w:rsidRPr="00B06DD1">
        <w:rPr>
          <w:lang w:val="fr-FR"/>
        </w:rPr>
        <w:t xml:space="preserve">Recommandations d'audit </w:t>
      </w:r>
      <w:r w:rsidR="007F0AD2" w:rsidRPr="00B06DD1">
        <w:rPr>
          <w:lang w:val="fr-FR"/>
        </w:rPr>
        <w:t>restées en suspens</w:t>
      </w:r>
    </w:p>
    <w:p w14:paraId="63BBBEAE" w14:textId="46F0F800" w:rsidR="00C71696" w:rsidRPr="00B06DD1" w:rsidRDefault="00C71696" w:rsidP="00440131">
      <w:pPr>
        <w:pStyle w:val="Para1"/>
        <w:numPr>
          <w:ilvl w:val="0"/>
          <w:numId w:val="28"/>
        </w:numPr>
        <w:tabs>
          <w:tab w:val="clear" w:pos="720"/>
        </w:tabs>
        <w:ind w:left="540" w:firstLine="0"/>
        <w:rPr>
          <w:lang w:val="fr-FR"/>
        </w:rPr>
      </w:pPr>
      <w:r w:rsidRPr="00B06DD1">
        <w:rPr>
          <w:lang w:val="fr-FR"/>
        </w:rPr>
        <w:t xml:space="preserve">Le Secrétariat a fait l'objet de trois audits au cours des cinq dernières années. Le premier, réalisé par le Bureau des services de contrôle interne en juillet 2019, a été suivi de deux audits menés par le Comité des commissaires aux comptes en janvier 2020 et en octobre 2021. Au 31 mai 2026, toutes les recommandations issues de ces audits avaient été mises en œuvre et closes, à l'exception de la recommandation </w:t>
      </w:r>
      <w:r w:rsidRPr="00B06DD1">
        <w:rPr>
          <w:snapToGrid/>
          <w:szCs w:val="22"/>
          <w:lang w:val="fr-FR"/>
        </w:rPr>
        <w:t xml:space="preserve">figurant au </w:t>
      </w:r>
      <w:r w:rsidRPr="00B06DD1">
        <w:rPr>
          <w:lang w:val="fr-FR"/>
        </w:rPr>
        <w:t>paragraphe </w:t>
      </w:r>
      <w:r w:rsidRPr="00B06DD1">
        <w:rPr>
          <w:snapToGrid/>
          <w:szCs w:val="22"/>
          <w:lang w:val="fr-FR"/>
        </w:rPr>
        <w:t xml:space="preserve">78 du </w:t>
      </w:r>
      <w:r w:rsidRPr="00B06DD1">
        <w:rPr>
          <w:lang w:val="fr-FR"/>
        </w:rPr>
        <w:t>r</w:t>
      </w:r>
      <w:r w:rsidRPr="00B06DD1">
        <w:rPr>
          <w:snapToGrid/>
          <w:szCs w:val="22"/>
          <w:lang w:val="fr-FR"/>
        </w:rPr>
        <w:t>apport du Comité des commissaires aux comptes pour l'année</w:t>
      </w:r>
      <w:r w:rsidRPr="00B06DD1">
        <w:rPr>
          <w:lang w:val="fr-FR"/>
        </w:rPr>
        <w:t xml:space="preserve"> </w:t>
      </w:r>
      <w:r w:rsidRPr="00B06DD1">
        <w:rPr>
          <w:snapToGrid/>
          <w:szCs w:val="22"/>
          <w:lang w:val="fr-FR"/>
        </w:rPr>
        <w:t>202</w:t>
      </w:r>
      <w:r w:rsidR="00613DEC">
        <w:rPr>
          <w:snapToGrid/>
          <w:szCs w:val="22"/>
          <w:lang w:val="fr-FR"/>
        </w:rPr>
        <w:t>1</w:t>
      </w:r>
      <w:r w:rsidRPr="00B06DD1">
        <w:rPr>
          <w:rStyle w:val="FootnoteReference"/>
          <w:lang w:val="fr-FR"/>
        </w:rPr>
        <w:footnoteReference w:id="8"/>
      </w:r>
      <w:r w:rsidR="00EC5EA9" w:rsidRPr="00B06DD1">
        <w:rPr>
          <w:snapToGrid/>
          <w:szCs w:val="22"/>
          <w:lang w:val="fr-FR"/>
        </w:rPr>
        <w:t>,</w:t>
      </w:r>
      <w:r w:rsidRPr="00B06DD1">
        <w:rPr>
          <w:lang w:val="fr-FR"/>
        </w:rPr>
        <w:t xml:space="preserve"> concernant les subventions clôturées. Dans sa mise à jour la plus récente communiquée aux commissaires aux comptes, le Secrétariat a indiqué que des progrès avaient été réalisés dans la mise en œuvre de cette recommandation et a demandé sa clôture.</w:t>
      </w:r>
    </w:p>
    <w:p w14:paraId="0879F275" w14:textId="7E02862D" w:rsidR="00C71696" w:rsidRPr="00B06DD1" w:rsidRDefault="139053FA" w:rsidP="00440131">
      <w:pPr>
        <w:pStyle w:val="Para1"/>
        <w:numPr>
          <w:ilvl w:val="0"/>
          <w:numId w:val="28"/>
        </w:numPr>
        <w:tabs>
          <w:tab w:val="clear" w:pos="720"/>
        </w:tabs>
        <w:ind w:left="540" w:firstLine="0"/>
        <w:rPr>
          <w:lang w:val="fr-FR"/>
        </w:rPr>
      </w:pPr>
      <w:r w:rsidRPr="00B06DD1">
        <w:rPr>
          <w:lang w:val="fr-FR"/>
        </w:rPr>
        <w:t>En ce qui concerne l'établissement d'une stratégie de mobilisation des ressources et l'élaboration d'une politique et d'un mécanisme d'évaluation, le Secrétariat a donné la priorité à la mise en place du cadre de gestion axée sur les résultats devant guider l'élaboration et la gestion de son programme de travail, processus qui se poursuit et devrait être achevé en 2026. Le cadre de gestion axée sur les résultats est considéré comme une étape nécessaire avant l'élaboration d'une stratégie de mobilisation des ressources et d'une politique et d'un mécanisme d'évaluation. Compte tenu de son manque de capacités, le Secrétariat prévoit de mobiliser des fonds pour recruter des spécialistes des stratégies de mobilisation des ressources et de l'évaluation des politiques, en vue de mettre en œuvre ces recommandations d'ici décembre 2026.</w:t>
      </w:r>
    </w:p>
    <w:p w14:paraId="46C37A0B" w14:textId="5CBB91C7" w:rsidR="0067657C" w:rsidRPr="00B06DD1" w:rsidRDefault="0067657C" w:rsidP="00440131">
      <w:pPr>
        <w:pStyle w:val="Para1"/>
        <w:numPr>
          <w:ilvl w:val="0"/>
          <w:numId w:val="28"/>
        </w:numPr>
        <w:tabs>
          <w:tab w:val="clear" w:pos="720"/>
        </w:tabs>
        <w:ind w:left="540" w:firstLine="0"/>
        <w:rPr>
          <w:lang w:val="fr-FR"/>
        </w:rPr>
      </w:pPr>
      <w:r w:rsidRPr="00B06DD1">
        <w:rPr>
          <w:lang w:val="fr-FR"/>
        </w:rPr>
        <w:t xml:space="preserve">De plus amples informations sur la mise en œuvre des recommandations d'audit </w:t>
      </w:r>
      <w:r w:rsidR="007F0AD2" w:rsidRPr="00B06DD1">
        <w:rPr>
          <w:lang w:val="fr-FR"/>
        </w:rPr>
        <w:t>restées en suspens</w:t>
      </w:r>
      <w:r w:rsidR="00261E03" w:rsidRPr="00B06DD1">
        <w:rPr>
          <w:lang w:val="fr-FR"/>
        </w:rPr>
        <w:t xml:space="preserve"> d’application </w:t>
      </w:r>
      <w:r w:rsidRPr="00B06DD1">
        <w:rPr>
          <w:lang w:val="fr-FR"/>
        </w:rPr>
        <w:t xml:space="preserve">figurent dans le document </w:t>
      </w:r>
      <w:hyperlink r:id="rId27" w:history="1">
        <w:r w:rsidRPr="00B06DD1">
          <w:rPr>
            <w:rStyle w:val="Hyperlink"/>
            <w:lang w:val="fr-FR"/>
          </w:rPr>
          <w:t>CBD/SBI/7/14/Add.1-CBD/COP/17/4/Add.3</w:t>
        </w:r>
      </w:hyperlink>
      <w:r w:rsidRPr="00B06DD1">
        <w:rPr>
          <w:lang w:val="fr-FR"/>
        </w:rPr>
        <w:t>.</w:t>
      </w:r>
    </w:p>
    <w:p w14:paraId="58CA2240" w14:textId="4FACDFB0" w:rsidR="0072239A" w:rsidRPr="00B06DD1" w:rsidRDefault="00D23EC8" w:rsidP="00440131">
      <w:pPr>
        <w:pStyle w:val="CBDH2"/>
        <w:rPr>
          <w:lang w:val="fr-FR"/>
        </w:rPr>
      </w:pPr>
      <w:r w:rsidRPr="00B06DD1">
        <w:rPr>
          <w:lang w:val="fr-FR"/>
        </w:rPr>
        <w:t xml:space="preserve">D. </w:t>
      </w:r>
      <w:r w:rsidR="000270A2" w:rsidRPr="00B06DD1">
        <w:rPr>
          <w:lang w:val="fr-FR"/>
        </w:rPr>
        <w:tab/>
      </w:r>
      <w:r w:rsidRPr="00B06DD1">
        <w:rPr>
          <w:lang w:val="fr-FR"/>
        </w:rPr>
        <w:t xml:space="preserve">Examen </w:t>
      </w:r>
      <w:r w:rsidR="00A746D0">
        <w:rPr>
          <w:lang w:val="fr-FR"/>
        </w:rPr>
        <w:t>fonctionnel</w:t>
      </w:r>
    </w:p>
    <w:p w14:paraId="4786EDFD" w14:textId="373EAE19" w:rsidR="00962801" w:rsidRPr="00B06DD1" w:rsidRDefault="005538A6" w:rsidP="0029796C">
      <w:pPr>
        <w:pStyle w:val="CBDNormalNumber"/>
        <w:numPr>
          <w:ilvl w:val="0"/>
          <w:numId w:val="0"/>
        </w:numPr>
        <w:tabs>
          <w:tab w:val="left" w:pos="1440"/>
        </w:tabs>
        <w:ind w:left="540"/>
        <w:rPr>
          <w:lang w:val="fr-FR"/>
        </w:rPr>
      </w:pPr>
      <w:r w:rsidRPr="00B06DD1">
        <w:rPr>
          <w:snapToGrid w:val="0"/>
          <w:lang w:val="fr-FR"/>
        </w:rPr>
        <w:t>41</w:t>
      </w:r>
      <w:r w:rsidRPr="00B06DD1">
        <w:rPr>
          <w:snapToGrid w:val="0"/>
          <w:szCs w:val="18"/>
          <w:lang w:val="fr-FR"/>
        </w:rPr>
        <w:t>.</w:t>
      </w:r>
      <w:r w:rsidRPr="00B06DD1">
        <w:rPr>
          <w:lang w:val="fr-FR"/>
        </w:rPr>
        <w:tab/>
      </w:r>
      <w:r w:rsidRPr="00B06DD1">
        <w:rPr>
          <w:snapToGrid w:val="0"/>
          <w:lang w:val="fr-FR"/>
        </w:rPr>
        <w:t>Conformément aux demandes formulées par la Conférence des Parties au paragraphe 35 de la décision</w:t>
      </w:r>
      <w:r w:rsidR="000270A2" w:rsidRPr="00B06DD1">
        <w:rPr>
          <w:snapToGrid w:val="0"/>
          <w:lang w:val="fr-FR"/>
        </w:rPr>
        <w:t xml:space="preserve"> </w:t>
      </w:r>
      <w:hyperlink r:id="rId28" w:history="1">
        <w:r w:rsidRPr="00B06DD1">
          <w:rPr>
            <w:rStyle w:val="Hyperlink"/>
            <w:snapToGrid w:val="0"/>
            <w:lang w:val="fr-FR"/>
          </w:rPr>
          <w:t>15/34</w:t>
        </w:r>
      </w:hyperlink>
      <w:r w:rsidRPr="00B06DD1">
        <w:rPr>
          <w:snapToGrid w:val="0"/>
          <w:lang w:val="fr-FR"/>
        </w:rPr>
        <w:t xml:space="preserve"> et au paragraphe 11 de la décision</w:t>
      </w:r>
      <w:r w:rsidR="000270A2" w:rsidRPr="00B06DD1">
        <w:rPr>
          <w:snapToGrid w:val="0"/>
          <w:lang w:val="fr-FR"/>
        </w:rPr>
        <w:t xml:space="preserve"> </w:t>
      </w:r>
      <w:hyperlink r:id="rId29" w:history="1">
        <w:r w:rsidRPr="00B06DD1">
          <w:rPr>
            <w:rStyle w:val="Hyperlink"/>
            <w:snapToGrid w:val="0"/>
            <w:lang w:val="fr-FR"/>
          </w:rPr>
          <w:t>16/28</w:t>
        </w:r>
      </w:hyperlink>
      <w:r w:rsidRPr="00B06DD1">
        <w:rPr>
          <w:snapToGrid w:val="0"/>
          <w:lang w:val="fr-FR"/>
        </w:rPr>
        <w:t xml:space="preserve">, le Secrétariat a </w:t>
      </w:r>
      <w:r w:rsidR="00844347">
        <w:rPr>
          <w:snapToGrid w:val="0"/>
          <w:lang w:val="fr-FR"/>
        </w:rPr>
        <w:t>commandé un ex</w:t>
      </w:r>
      <w:r w:rsidR="00136167">
        <w:rPr>
          <w:snapToGrid w:val="0"/>
          <w:lang w:val="fr-FR"/>
        </w:rPr>
        <w:t>a</w:t>
      </w:r>
      <w:r w:rsidR="00844347">
        <w:rPr>
          <w:snapToGrid w:val="0"/>
          <w:lang w:val="fr-FR"/>
        </w:rPr>
        <w:t>m</w:t>
      </w:r>
      <w:r w:rsidR="00136167">
        <w:rPr>
          <w:snapToGrid w:val="0"/>
          <w:lang w:val="fr-FR"/>
        </w:rPr>
        <w:t>e</w:t>
      </w:r>
      <w:r w:rsidR="00844347">
        <w:rPr>
          <w:snapToGrid w:val="0"/>
          <w:lang w:val="fr-FR"/>
        </w:rPr>
        <w:t xml:space="preserve">n </w:t>
      </w:r>
      <w:r w:rsidR="00A746D0">
        <w:rPr>
          <w:snapToGrid w:val="0"/>
          <w:lang w:val="fr-FR"/>
        </w:rPr>
        <w:t>fonctionnel</w:t>
      </w:r>
      <w:r w:rsidR="00844347">
        <w:rPr>
          <w:snapToGrid w:val="0"/>
          <w:lang w:val="fr-FR"/>
        </w:rPr>
        <w:t xml:space="preserve"> </w:t>
      </w:r>
      <w:r w:rsidR="00742C4D">
        <w:rPr>
          <w:snapToGrid w:val="0"/>
          <w:lang w:val="fr-FR"/>
        </w:rPr>
        <w:t xml:space="preserve">externe </w:t>
      </w:r>
      <w:r w:rsidR="00844347">
        <w:rPr>
          <w:snapToGrid w:val="0"/>
          <w:lang w:val="fr-FR"/>
        </w:rPr>
        <w:t>approfondi</w:t>
      </w:r>
      <w:r w:rsidR="00A746D0">
        <w:rPr>
          <w:snapToGrid w:val="0"/>
          <w:lang w:val="fr-FR"/>
        </w:rPr>
        <w:t xml:space="preserve"> de sa structure</w:t>
      </w:r>
      <w:r w:rsidR="007B22B2">
        <w:rPr>
          <w:snapToGrid w:val="0"/>
          <w:lang w:val="fr-FR"/>
        </w:rPr>
        <w:t xml:space="preserve">. </w:t>
      </w:r>
      <w:r w:rsidRPr="00B06DD1">
        <w:rPr>
          <w:snapToGrid w:val="0"/>
          <w:lang w:val="fr-FR"/>
        </w:rPr>
        <w:t xml:space="preserve">Cet examen a été mené par l'équipe de conseil en gestion du Programme des Nations Unies pour le développement. </w:t>
      </w:r>
    </w:p>
    <w:p w14:paraId="6B90875E" w14:textId="27D22843" w:rsidR="00962801" w:rsidRPr="00B06DD1" w:rsidRDefault="7BFD5AA8" w:rsidP="0029796C">
      <w:pPr>
        <w:pStyle w:val="CBDNormalNumber"/>
        <w:numPr>
          <w:ilvl w:val="0"/>
          <w:numId w:val="0"/>
        </w:numPr>
        <w:tabs>
          <w:tab w:val="left" w:pos="1440"/>
        </w:tabs>
        <w:ind w:left="540"/>
        <w:rPr>
          <w:lang w:val="fr-FR"/>
        </w:rPr>
      </w:pPr>
      <w:r w:rsidRPr="00B06DD1">
        <w:rPr>
          <w:snapToGrid w:val="0"/>
          <w:lang w:val="fr-FR"/>
        </w:rPr>
        <w:t>42.</w:t>
      </w:r>
      <w:r w:rsidRPr="00B06DD1">
        <w:rPr>
          <w:lang w:val="fr-FR"/>
        </w:rPr>
        <w:tab/>
        <w:t xml:space="preserve">L'Organe subsidiaire, à sa sixième réunion, a examiné cette question et élaboré la recommandation 6/9, prenant note du </w:t>
      </w:r>
      <w:r w:rsidRPr="00B06DD1">
        <w:rPr>
          <w:snapToGrid w:val="0"/>
          <w:lang w:val="fr-FR"/>
        </w:rPr>
        <w:t xml:space="preserve">résumé analytique du rapport sur l'examen </w:t>
      </w:r>
      <w:r w:rsidR="00742C4D">
        <w:rPr>
          <w:snapToGrid w:val="0"/>
          <w:lang w:val="fr-FR"/>
        </w:rPr>
        <w:t>fonctionnel</w:t>
      </w:r>
      <w:r w:rsidR="00423CA7">
        <w:rPr>
          <w:snapToGrid w:val="0"/>
          <w:lang w:val="fr-FR"/>
        </w:rPr>
        <w:t xml:space="preserve"> </w:t>
      </w:r>
      <w:r w:rsidRPr="00B06DD1">
        <w:rPr>
          <w:snapToGrid w:val="0"/>
          <w:lang w:val="fr-FR"/>
        </w:rPr>
        <w:t xml:space="preserve">externe approfondi du Secrétariat, tel qu'il figure à l'annexe I au document </w:t>
      </w:r>
      <w:hyperlink r:id="rId30" w:history="1">
        <w:r w:rsidRPr="00B06DD1">
          <w:rPr>
            <w:rStyle w:val="Hyperlink"/>
            <w:u w:val="none"/>
            <w:lang w:val="fr-FR"/>
          </w:rPr>
          <w:t>CBD/SBI/6/10</w:t>
        </w:r>
      </w:hyperlink>
      <w:r w:rsidRPr="00B06DD1">
        <w:rPr>
          <w:snapToGrid w:val="0"/>
          <w:lang w:val="fr-FR"/>
        </w:rPr>
        <w:t xml:space="preserve">. Le rapport complet sur cet examen figurait dans le document </w:t>
      </w:r>
      <w:hyperlink r:id="rId31" w:history="1">
        <w:r w:rsidRPr="00B06DD1">
          <w:rPr>
            <w:rStyle w:val="Hyperlink"/>
            <w:snapToGrid w:val="0"/>
            <w:lang w:val="fr-FR"/>
          </w:rPr>
          <w:t>CBD</w:t>
        </w:r>
        <w:r w:rsidRPr="00B06DD1">
          <w:rPr>
            <w:rStyle w:val="Hyperlink"/>
            <w:lang w:val="fr-FR"/>
          </w:rPr>
          <w:t>/</w:t>
        </w:r>
        <w:r w:rsidRPr="00B06DD1">
          <w:rPr>
            <w:rStyle w:val="Hyperlink"/>
            <w:snapToGrid w:val="0"/>
            <w:lang w:val="fr-FR"/>
          </w:rPr>
          <w:t>SBI</w:t>
        </w:r>
        <w:r w:rsidRPr="00B06DD1">
          <w:rPr>
            <w:rStyle w:val="Hyperlink"/>
            <w:lang w:val="fr-FR"/>
          </w:rPr>
          <w:t>/6/</w:t>
        </w:r>
        <w:r w:rsidRPr="00B06DD1">
          <w:rPr>
            <w:rStyle w:val="Hyperlink"/>
            <w:snapToGrid w:val="0"/>
            <w:lang w:val="fr-FR"/>
          </w:rPr>
          <w:t>INF</w:t>
        </w:r>
        <w:r w:rsidRPr="00B06DD1">
          <w:rPr>
            <w:rStyle w:val="Hyperlink"/>
            <w:lang w:val="fr-FR"/>
          </w:rPr>
          <w:t>/12</w:t>
        </w:r>
      </w:hyperlink>
      <w:r w:rsidRPr="00B06DD1">
        <w:rPr>
          <w:snapToGrid w:val="0"/>
          <w:lang w:val="fr-FR"/>
        </w:rPr>
        <w:t xml:space="preserve">. </w:t>
      </w:r>
    </w:p>
    <w:p w14:paraId="0FCB9751" w14:textId="63DC9EF4" w:rsidR="008A1499" w:rsidRPr="00B06DD1" w:rsidRDefault="00453CD1" w:rsidP="7497CBEE">
      <w:pPr>
        <w:pStyle w:val="CBDAnnex"/>
        <w:tabs>
          <w:tab w:val="left" w:pos="1440"/>
        </w:tabs>
        <w:ind w:left="540"/>
        <w:jc w:val="both"/>
        <w:rPr>
          <w:b w:val="0"/>
          <w:bCs/>
          <w:sz w:val="22"/>
          <w:szCs w:val="18"/>
          <w:lang w:val="fr-FR"/>
        </w:rPr>
      </w:pPr>
      <w:r w:rsidRPr="00B06DD1">
        <w:rPr>
          <w:b w:val="0"/>
          <w:snapToGrid w:val="0"/>
          <w:sz w:val="22"/>
          <w:lang w:val="fr-FR" w:bidi="ar-SA"/>
        </w:rPr>
        <w:t>43.</w:t>
      </w:r>
      <w:r w:rsidRPr="00B06DD1">
        <w:rPr>
          <w:lang w:val="fr-FR"/>
        </w:rPr>
        <w:tab/>
      </w:r>
      <w:r w:rsidRPr="00B06DD1">
        <w:rPr>
          <w:b w:val="0"/>
          <w:snapToGrid w:val="0"/>
          <w:sz w:val="22"/>
          <w:lang w:val="fr-FR" w:bidi="ar-SA"/>
        </w:rPr>
        <w:t xml:space="preserve">Le Secrétariat a préparé un rapport d'étape sur l'examen </w:t>
      </w:r>
      <w:r w:rsidR="00742C4D">
        <w:rPr>
          <w:b w:val="0"/>
          <w:snapToGrid w:val="0"/>
          <w:sz w:val="22"/>
          <w:lang w:val="fr-FR" w:bidi="ar-SA"/>
        </w:rPr>
        <w:t>fonctionnel</w:t>
      </w:r>
      <w:r w:rsidRPr="00B06DD1">
        <w:rPr>
          <w:b w:val="0"/>
          <w:snapToGrid w:val="0"/>
          <w:sz w:val="22"/>
          <w:lang w:val="fr-FR" w:bidi="ar-SA"/>
        </w:rPr>
        <w:t xml:space="preserve"> du Secrétariat, tel qu'il figure dans le document </w:t>
      </w:r>
      <w:hyperlink r:id="rId32" w:history="1">
        <w:r w:rsidRPr="00B06DD1">
          <w:rPr>
            <w:rStyle w:val="Hyperlink"/>
            <w:b w:val="0"/>
            <w:snapToGrid w:val="0"/>
            <w:sz w:val="22"/>
            <w:lang w:val="fr-FR" w:bidi="ar-SA"/>
          </w:rPr>
          <w:t>CBD/SBI/7/15/Add.1-CBD/COP/17/4/Add.4</w:t>
        </w:r>
      </w:hyperlink>
      <w:r w:rsidRPr="00B06DD1">
        <w:rPr>
          <w:b w:val="0"/>
          <w:snapToGrid w:val="0"/>
          <w:sz w:val="22"/>
          <w:lang w:val="fr-FR" w:bidi="ar-SA"/>
        </w:rPr>
        <w:t xml:space="preserve">, qui rend compte aux Parties des progrès accomplis dans la mise en œuvre de l'examen </w:t>
      </w:r>
      <w:r w:rsidR="00016439">
        <w:rPr>
          <w:b w:val="0"/>
          <w:snapToGrid w:val="0"/>
          <w:sz w:val="22"/>
          <w:lang w:val="fr-FR" w:bidi="ar-SA"/>
        </w:rPr>
        <w:t>fonctionnel</w:t>
      </w:r>
      <w:r w:rsidRPr="00B06DD1">
        <w:rPr>
          <w:b w:val="0"/>
          <w:snapToGrid w:val="0"/>
          <w:sz w:val="22"/>
          <w:lang w:val="fr-FR" w:bidi="ar-SA"/>
        </w:rPr>
        <w:t xml:space="preserve"> depuis la sixième réunion de l'Organe subsidiaire, de mars à mai 2026, en particulier en ce qui concerne les mesures énumérées au paragraphe 3 de la recommandation 6/9, y compris les incidences budgétaires des mesures proposées dans le cadre d</w:t>
      </w:r>
      <w:r w:rsidR="00C479EE">
        <w:rPr>
          <w:b w:val="0"/>
          <w:snapToGrid w:val="0"/>
          <w:sz w:val="22"/>
          <w:lang w:val="fr-FR" w:bidi="ar-SA"/>
        </w:rPr>
        <w:t>e cet examen.</w:t>
      </w:r>
    </w:p>
    <w:p w14:paraId="1078C802" w14:textId="67D820D3" w:rsidR="00A111D1" w:rsidRPr="00B06DD1" w:rsidRDefault="002210A5" w:rsidP="00440131">
      <w:pPr>
        <w:pStyle w:val="Para1"/>
        <w:numPr>
          <w:ilvl w:val="0"/>
          <w:numId w:val="0"/>
        </w:numPr>
        <w:ind w:left="567"/>
        <w:jc w:val="center"/>
        <w:rPr>
          <w:lang w:val="fr-FR"/>
        </w:rPr>
      </w:pPr>
      <w:r w:rsidRPr="00B06DD1">
        <w:rPr>
          <w:lang w:val="fr-FR"/>
        </w:rPr>
        <w:t>__________</w:t>
      </w:r>
    </w:p>
    <w:sectPr w:rsidR="00A111D1" w:rsidRPr="00B06DD1" w:rsidSect="00440131">
      <w:headerReference w:type="even" r:id="rId33"/>
      <w:headerReference w:type="default" r:id="rId34"/>
      <w:footerReference w:type="even" r:id="rId35"/>
      <w:footerReference w:type="default" r:id="rId3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6BDA9" w14:textId="77777777" w:rsidR="00E053E0" w:rsidRPr="00866063" w:rsidRDefault="00E053E0" w:rsidP="00CF1848">
      <w:r w:rsidRPr="00866063">
        <w:separator/>
      </w:r>
    </w:p>
  </w:endnote>
  <w:endnote w:type="continuationSeparator" w:id="0">
    <w:p w14:paraId="7A0C8207" w14:textId="77777777" w:rsidR="00E053E0" w:rsidRPr="00866063" w:rsidRDefault="00E053E0"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87D91BF"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3152CDB" w14:textId="77777777" w:rsidR="00D75CA6" w:rsidRPr="00866063" w:rsidRDefault="00D75CA6" w:rsidP="000518BB">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23E36" w14:textId="77777777" w:rsidR="00E053E0" w:rsidRPr="00866063" w:rsidRDefault="00E053E0" w:rsidP="00CF1848">
      <w:r w:rsidRPr="00866063">
        <w:separator/>
      </w:r>
    </w:p>
  </w:footnote>
  <w:footnote w:type="continuationSeparator" w:id="0">
    <w:p w14:paraId="21EE2528" w14:textId="77777777" w:rsidR="00E053E0" w:rsidRPr="00866063" w:rsidRDefault="00E053E0" w:rsidP="00CF1848">
      <w:r w:rsidRPr="00866063">
        <w:continuationSeparator/>
      </w:r>
    </w:p>
  </w:footnote>
  <w:footnote w:id="1">
    <w:p w14:paraId="5CE81DAA" w14:textId="3922254A" w:rsidR="009C7B8F" w:rsidRPr="00866063" w:rsidRDefault="00F02A86" w:rsidP="009C7B8F">
      <w:pPr>
        <w:pStyle w:val="FootnoteText"/>
      </w:pPr>
      <w:r w:rsidRPr="00440131">
        <w:t xml:space="preserve">* </w:t>
      </w:r>
      <w:hyperlink r:id="rId1" w:history="1">
        <w:r w:rsidRPr="00F02A86">
          <w:rPr>
            <w:rStyle w:val="Hyperlink"/>
          </w:rPr>
          <w:t>CBD/SBI/7/1</w:t>
        </w:r>
      </w:hyperlink>
      <w:r w:rsidR="009C7B8F" w:rsidRPr="00866063">
        <w:t>.</w:t>
      </w:r>
    </w:p>
  </w:footnote>
  <w:footnote w:id="2">
    <w:p w14:paraId="4FC6DEEB" w14:textId="446754EB" w:rsidR="009C7B8F" w:rsidRPr="007E603B" w:rsidRDefault="009C7B8F" w:rsidP="009C7B8F">
      <w:pPr>
        <w:pStyle w:val="FootnoteText"/>
      </w:pPr>
      <w:r>
        <w:rPr>
          <w:rStyle w:val="FootnoteReference"/>
        </w:rPr>
        <w:t>**</w:t>
      </w:r>
      <w:r>
        <w:t xml:space="preserve"> </w:t>
      </w:r>
      <w:hyperlink r:id="rId2" w:history="1">
        <w:r w:rsidRPr="00427C19">
          <w:rPr>
            <w:rStyle w:val="Hyperlink"/>
          </w:rPr>
          <w:t>CBD/COP/17/1/Rev.1</w:t>
        </w:r>
      </w:hyperlink>
      <w:r>
        <w:t>.</w:t>
      </w:r>
    </w:p>
  </w:footnote>
  <w:footnote w:id="3">
    <w:p w14:paraId="1B62C73F" w14:textId="684FCFFE" w:rsidR="009C7B8F" w:rsidRPr="007C7D55" w:rsidRDefault="009C7B8F" w:rsidP="009C7B8F">
      <w:pPr>
        <w:pStyle w:val="FootnoteText"/>
        <w:rPr>
          <w:lang w:val="en-CA"/>
        </w:rPr>
      </w:pPr>
      <w:r>
        <w:rPr>
          <w:rStyle w:val="FootnoteReference"/>
        </w:rPr>
        <w:t>***</w:t>
      </w:r>
      <w:r>
        <w:t xml:space="preserve"> </w:t>
      </w:r>
      <w:hyperlink r:id="rId3" w:history="1">
        <w:r w:rsidRPr="00515C39">
          <w:rPr>
            <w:rStyle w:val="Hyperlink"/>
          </w:rPr>
          <w:t>CBD/CP/MOP/12/1</w:t>
        </w:r>
      </w:hyperlink>
      <w:r>
        <w:t>.</w:t>
      </w:r>
    </w:p>
  </w:footnote>
  <w:footnote w:id="4">
    <w:p w14:paraId="3782889D" w14:textId="54D57A0D" w:rsidR="009C7B8F" w:rsidRPr="007C7D55" w:rsidRDefault="009C7B8F" w:rsidP="009C7B8F">
      <w:pPr>
        <w:pStyle w:val="FootnoteText"/>
        <w:rPr>
          <w:lang w:val="en-CA"/>
        </w:rPr>
      </w:pPr>
      <w:r>
        <w:rPr>
          <w:rStyle w:val="FootnoteReference"/>
        </w:rPr>
        <w:t>****</w:t>
      </w:r>
      <w:r>
        <w:t xml:space="preserve"> </w:t>
      </w:r>
      <w:hyperlink r:id="rId4" w:history="1">
        <w:r w:rsidRPr="0028398D">
          <w:rPr>
            <w:rStyle w:val="Hyperlink"/>
          </w:rPr>
          <w:t>CBD/NP/MOP/6/1</w:t>
        </w:r>
      </w:hyperlink>
      <w:r w:rsidRPr="007F6189">
        <w:t>.</w:t>
      </w:r>
    </w:p>
  </w:footnote>
  <w:footnote w:id="5">
    <w:p w14:paraId="781904B5" w14:textId="0FF3CD02" w:rsidR="00532C40" w:rsidRPr="000270A2" w:rsidRDefault="00532C40">
      <w:pPr>
        <w:pStyle w:val="FootnoteText"/>
        <w:rPr>
          <w:lang w:val="fr-FR"/>
        </w:rPr>
      </w:pPr>
      <w:r w:rsidRPr="000270A2">
        <w:rPr>
          <w:rStyle w:val="FootnoteReference"/>
          <w:lang w:val="fr-FR"/>
        </w:rPr>
        <w:t>†</w:t>
      </w:r>
      <w:r w:rsidRPr="000270A2">
        <w:rPr>
          <w:lang w:val="fr-FR"/>
        </w:rPr>
        <w:t xml:space="preserve"> Le présent document est publié sans avoir été soumis à une mise en forme officielle.</w:t>
      </w:r>
    </w:p>
  </w:footnote>
  <w:footnote w:id="6">
    <w:p w14:paraId="1B43FC27" w14:textId="5A70A3CA" w:rsidR="004F7C74" w:rsidRPr="000270A2" w:rsidRDefault="004F7C74">
      <w:pPr>
        <w:pStyle w:val="FootnoteText"/>
        <w:rPr>
          <w:lang w:val="fr-FR"/>
        </w:rPr>
      </w:pPr>
      <w:r w:rsidRPr="004F7C74">
        <w:rPr>
          <w:rStyle w:val="FootnoteReference"/>
        </w:rPr>
        <w:footnoteRef/>
      </w:r>
      <w:r w:rsidRPr="000270A2">
        <w:rPr>
          <w:lang w:val="fr-FR"/>
        </w:rPr>
        <w:t xml:space="preserve"> </w:t>
      </w:r>
      <w:r>
        <w:fldChar w:fldCharType="begin"/>
      </w:r>
      <w:r w:rsidRPr="000518BB">
        <w:rPr>
          <w:lang w:val="fr-CA"/>
        </w:rPr>
        <w:instrText>HYPERLINK "https://www.cbd.int/documents/CBD/SBI/6/10" \h</w:instrText>
      </w:r>
      <w:r>
        <w:fldChar w:fldCharType="separate"/>
      </w:r>
      <w:r w:rsidRPr="000270A2">
        <w:rPr>
          <w:rStyle w:val="Hyperlink"/>
          <w:lang w:val="fr-FR"/>
        </w:rPr>
        <w:t>CBD/SBI/6/10.</w:t>
      </w:r>
      <w:r>
        <w:fldChar w:fldCharType="end"/>
      </w:r>
    </w:p>
  </w:footnote>
  <w:footnote w:id="7">
    <w:p w14:paraId="03C50FA4" w14:textId="59DAD586" w:rsidR="001B3B54" w:rsidRPr="000270A2" w:rsidRDefault="001B3B54" w:rsidP="001B3B54">
      <w:pPr>
        <w:pStyle w:val="FootnoteText"/>
        <w:rPr>
          <w:lang w:val="fr-FR"/>
        </w:rPr>
      </w:pPr>
      <w:r>
        <w:rPr>
          <w:rStyle w:val="FootnoteReference"/>
        </w:rPr>
        <w:footnoteRef/>
      </w:r>
      <w:r w:rsidRPr="000270A2">
        <w:rPr>
          <w:lang w:val="fr-FR"/>
        </w:rPr>
        <w:t xml:space="preserve"> Reprise de la seizième réunion de la Conférence des Parties, tenue à Rome en 2025, première réunion de l'Organe subsidiaire chargé de l'article</w:t>
      </w:r>
      <w:r w:rsidR="000E16CA" w:rsidRPr="000270A2">
        <w:rPr>
          <w:lang w:val="fr-FR"/>
        </w:rPr>
        <w:t> </w:t>
      </w:r>
      <w:r w:rsidRPr="000270A2">
        <w:rPr>
          <w:lang w:val="fr-FR"/>
        </w:rPr>
        <w:t xml:space="preserve">8 j) et des dispositions connexes de la Convention </w:t>
      </w:r>
      <w:r w:rsidR="004A08FA" w:rsidRPr="000270A2">
        <w:rPr>
          <w:lang w:val="fr-FR"/>
        </w:rPr>
        <w:t xml:space="preserve">sur la diversité biologique </w:t>
      </w:r>
      <w:r w:rsidRPr="000270A2">
        <w:rPr>
          <w:lang w:val="fr-FR"/>
        </w:rPr>
        <w:t>relatives aux peuples autochtones et aux communautés locales, tenue à Panama en 2025, et sixième réunion de l'Organe subsidiaire chargé de l'application, tenue à Rome en 2026.</w:t>
      </w:r>
    </w:p>
  </w:footnote>
  <w:footnote w:id="8">
    <w:p w14:paraId="4B76D813" w14:textId="7AD4A0B7" w:rsidR="00AA6129" w:rsidRDefault="00AA6129">
      <w:pPr>
        <w:pStyle w:val="FootnoteText"/>
      </w:pPr>
      <w:r>
        <w:rPr>
          <w:rStyle w:val="FootnoteReference"/>
        </w:rPr>
        <w:footnoteRef/>
      </w:r>
      <w:r>
        <w:t>A/77/5/Add.7.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6FA007" w14:textId="451E010A" w:rsidR="00534681" w:rsidRPr="00866063" w:rsidRDefault="009C3FC8" w:rsidP="007C4951">
        <w:pPr>
          <w:pStyle w:val="Header"/>
          <w:spacing w:after="240"/>
          <w:rPr>
            <w:szCs w:val="20"/>
          </w:rPr>
        </w:pPr>
        <w:r w:rsidRPr="009C3FC8">
          <w:rPr>
            <w:szCs w:val="20"/>
          </w:rPr>
          <w:t>CBD/SBI/7/14-CBD/COP/17/3-CBD/CP/MOP/12/4-CBD/NP/MOP/6/4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A317FCF" w14:textId="2B1AAB16" w:rsidR="009505C9" w:rsidRPr="00866063" w:rsidRDefault="009C3FC8" w:rsidP="007C4951">
        <w:pPr>
          <w:pStyle w:val="Header"/>
          <w:spacing w:after="240"/>
          <w:jc w:val="right"/>
        </w:pPr>
        <w:r>
          <w:t>CBD/SBI/7/14-CBD/COP/17/3-CBD/CP/MOP/12/4-CBD/NP/MOP/6/4</w:t>
        </w:r>
      </w:p>
    </w:sdtContent>
  </w:sdt>
</w:hdr>
</file>

<file path=word/intelligence2.xml><?xml version="1.0" encoding="utf-8"?>
<int2:intelligence xmlns:int2="http://schemas.microsoft.com/office/intelligence/2020/intelligence" xmlns:oel="http://schemas.microsoft.com/office/2019/extlst">
  <int2:observations>
    <int2:textHash int2:hashCode="6HlNd//X5elTua" int2:id="K95Zkg16">
      <int2:state int2:value="Rejected" int2:type="spell"/>
    </int2:textHash>
    <int2:textHash int2:hashCode="c+hB4if5bBCinG" int2:id="OLhjXbMr">
      <int2:state int2:value="Rejected" int2:type="spell"/>
    </int2:textHash>
    <int2:textHash int2:hashCode="nFY4Nt3Fmkc+u8" int2:id="fPZ4OzhF">
      <int2:state int2:value="Rejected" int2:type="spell"/>
    </int2:textHash>
    <int2:textHash int2:hashCode="Hw5JyNsliGoZEX" int2:id="jVRjBkw1">
      <int2:state int2:value="Rejected" int2:type="spell"/>
    </int2:textHash>
    <int2:textHash int2:hashCode="1p0MAGQCfU9lYg" int2:id="k2F5n1J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AE8"/>
    <w:multiLevelType w:val="multilevel"/>
    <w:tmpl w:val="2D9C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76B7B"/>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0590A"/>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4611AF"/>
    <w:multiLevelType w:val="multilevel"/>
    <w:tmpl w:val="3A72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4A1F14"/>
    <w:multiLevelType w:val="multilevel"/>
    <w:tmpl w:val="CE4E03C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EA2D93"/>
    <w:multiLevelType w:val="multilevel"/>
    <w:tmpl w:val="561CC61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8A519C"/>
    <w:multiLevelType w:val="multilevel"/>
    <w:tmpl w:val="45124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9F3D00"/>
    <w:multiLevelType w:val="multilevel"/>
    <w:tmpl w:val="CD20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3E7000"/>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533469"/>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314EA9"/>
    <w:multiLevelType w:val="multilevel"/>
    <w:tmpl w:val="F2787132"/>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2A4318"/>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1D7982"/>
    <w:multiLevelType w:val="multilevel"/>
    <w:tmpl w:val="9CAE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5F307B"/>
    <w:multiLevelType w:val="multilevel"/>
    <w:tmpl w:val="109A44A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C3123B"/>
    <w:multiLevelType w:val="multilevel"/>
    <w:tmpl w:val="2B18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4F49FD"/>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4116E1"/>
    <w:multiLevelType w:val="multilevel"/>
    <w:tmpl w:val="F416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1501EF"/>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6E4A8A"/>
    <w:multiLevelType w:val="multilevel"/>
    <w:tmpl w:val="8FEA8F7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DD7041C"/>
    <w:multiLevelType w:val="hybridMultilevel"/>
    <w:tmpl w:val="85BE4202"/>
    <w:lvl w:ilvl="0" w:tplc="D562D0F4">
      <w:start w:val="1"/>
      <w:numFmt w:val="lowerLetter"/>
      <w:lvlText w:val="(%1)"/>
      <w:lvlJc w:val="left"/>
      <w:pPr>
        <w:ind w:left="927" w:hanging="360"/>
      </w:pPr>
    </w:lvl>
    <w:lvl w:ilvl="1" w:tplc="C7940422">
      <w:start w:val="1"/>
      <w:numFmt w:val="lowerLetter"/>
      <w:lvlText w:val="%2."/>
      <w:lvlJc w:val="left"/>
      <w:pPr>
        <w:ind w:left="1647" w:hanging="360"/>
      </w:pPr>
    </w:lvl>
    <w:lvl w:ilvl="2" w:tplc="C3F0561C">
      <w:start w:val="1"/>
      <w:numFmt w:val="lowerRoman"/>
      <w:lvlText w:val="%3."/>
      <w:lvlJc w:val="right"/>
      <w:pPr>
        <w:ind w:left="2367" w:hanging="180"/>
      </w:pPr>
    </w:lvl>
    <w:lvl w:ilvl="3" w:tplc="C96A825A">
      <w:start w:val="1"/>
      <w:numFmt w:val="decimal"/>
      <w:lvlText w:val="%4."/>
      <w:lvlJc w:val="left"/>
      <w:pPr>
        <w:ind w:left="3087" w:hanging="360"/>
      </w:pPr>
    </w:lvl>
    <w:lvl w:ilvl="4" w:tplc="2BACF106">
      <w:start w:val="1"/>
      <w:numFmt w:val="lowerLetter"/>
      <w:lvlText w:val="%5."/>
      <w:lvlJc w:val="left"/>
      <w:pPr>
        <w:ind w:left="3807" w:hanging="360"/>
      </w:pPr>
    </w:lvl>
    <w:lvl w:ilvl="5" w:tplc="265E4F1E">
      <w:start w:val="1"/>
      <w:numFmt w:val="lowerRoman"/>
      <w:lvlText w:val="%6."/>
      <w:lvlJc w:val="right"/>
      <w:pPr>
        <w:ind w:left="4527" w:hanging="180"/>
      </w:pPr>
    </w:lvl>
    <w:lvl w:ilvl="6" w:tplc="B5B2F4AC">
      <w:start w:val="1"/>
      <w:numFmt w:val="decimal"/>
      <w:lvlText w:val="%7."/>
      <w:lvlJc w:val="left"/>
      <w:pPr>
        <w:ind w:left="5247" w:hanging="360"/>
      </w:pPr>
    </w:lvl>
    <w:lvl w:ilvl="7" w:tplc="0B8EA6CE">
      <w:start w:val="1"/>
      <w:numFmt w:val="lowerLetter"/>
      <w:lvlText w:val="%8."/>
      <w:lvlJc w:val="left"/>
      <w:pPr>
        <w:ind w:left="5967" w:hanging="360"/>
      </w:pPr>
    </w:lvl>
    <w:lvl w:ilvl="8" w:tplc="9998E24A">
      <w:start w:val="1"/>
      <w:numFmt w:val="lowerRoman"/>
      <w:lvlText w:val="%9."/>
      <w:lvlJc w:val="right"/>
      <w:pPr>
        <w:ind w:left="6687" w:hanging="180"/>
      </w:p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FD60C87"/>
    <w:multiLevelType w:val="multilevel"/>
    <w:tmpl w:val="6F825B6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896178"/>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DD51FB"/>
    <w:multiLevelType w:val="multilevel"/>
    <w:tmpl w:val="ACF8177A"/>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B022ED"/>
    <w:multiLevelType w:val="multilevel"/>
    <w:tmpl w:val="4E0CAB4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5436C7"/>
    <w:multiLevelType w:val="multilevel"/>
    <w:tmpl w:val="5DE0C28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6715C3"/>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5E122810"/>
    <w:multiLevelType w:val="multilevel"/>
    <w:tmpl w:val="45AC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4E63A5"/>
    <w:multiLevelType w:val="multilevel"/>
    <w:tmpl w:val="DFAA12D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EB6789"/>
    <w:multiLevelType w:val="multilevel"/>
    <w:tmpl w:val="958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83453F"/>
    <w:multiLevelType w:val="multilevel"/>
    <w:tmpl w:val="ACF8177A"/>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A6B35BF"/>
    <w:multiLevelType w:val="multilevel"/>
    <w:tmpl w:val="33B2A9A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FA1C65"/>
    <w:multiLevelType w:val="multilevel"/>
    <w:tmpl w:val="0434A42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3985739">
    <w:abstractNumId w:val="21"/>
  </w:num>
  <w:num w:numId="2" w16cid:durableId="830828777">
    <w:abstractNumId w:val="22"/>
  </w:num>
  <w:num w:numId="3" w16cid:durableId="1858829">
    <w:abstractNumId w:val="17"/>
  </w:num>
  <w:num w:numId="4" w16cid:durableId="1333221471">
    <w:abstractNumId w:val="34"/>
  </w:num>
  <w:num w:numId="5" w16cid:durableId="1072390599">
    <w:abstractNumId w:val="36"/>
  </w:num>
  <w:num w:numId="6" w16cid:durableId="960385107">
    <w:abstractNumId w:val="20"/>
  </w:num>
  <w:num w:numId="7" w16cid:durableId="893932166">
    <w:abstractNumId w:val="33"/>
  </w:num>
  <w:num w:numId="8" w16cid:durableId="323945383">
    <w:abstractNumId w:val="29"/>
  </w:num>
  <w:num w:numId="9" w16cid:durableId="1318264103">
    <w:abstractNumId w:val="30"/>
  </w:num>
  <w:num w:numId="10" w16cid:durableId="723023974">
    <w:abstractNumId w:val="3"/>
  </w:num>
  <w:num w:numId="11" w16cid:durableId="1279752305">
    <w:abstractNumId w:val="14"/>
  </w:num>
  <w:num w:numId="12" w16cid:durableId="768737553">
    <w:abstractNumId w:val="32"/>
  </w:num>
  <w:num w:numId="13" w16cid:durableId="1547832458">
    <w:abstractNumId w:val="7"/>
  </w:num>
  <w:num w:numId="14" w16cid:durableId="1377850853">
    <w:abstractNumId w:val="12"/>
  </w:num>
  <w:num w:numId="15" w16cid:durableId="1304627828">
    <w:abstractNumId w:val="0"/>
  </w:num>
  <w:num w:numId="16" w16cid:durableId="1177160814">
    <w:abstractNumId w:val="16"/>
  </w:num>
  <w:num w:numId="17" w16cid:durableId="964653830">
    <w:abstractNumId w:val="6"/>
  </w:num>
  <w:num w:numId="18" w16cid:durableId="347559551">
    <w:abstractNumId w:val="23"/>
  </w:num>
  <w:num w:numId="19" w16cid:durableId="1147281334">
    <w:abstractNumId w:val="27"/>
  </w:num>
  <w:num w:numId="20" w16cid:durableId="902448211">
    <w:abstractNumId w:val="19"/>
  </w:num>
  <w:num w:numId="21" w16cid:durableId="1012339864">
    <w:abstractNumId w:val="4"/>
  </w:num>
  <w:num w:numId="22" w16cid:durableId="1267272033">
    <w:abstractNumId w:val="13"/>
  </w:num>
  <w:num w:numId="23" w16cid:durableId="1072968927">
    <w:abstractNumId w:val="5"/>
  </w:num>
  <w:num w:numId="24" w16cid:durableId="819420783">
    <w:abstractNumId w:val="38"/>
  </w:num>
  <w:num w:numId="25" w16cid:durableId="13506192">
    <w:abstractNumId w:val="10"/>
  </w:num>
  <w:num w:numId="26" w16cid:durableId="984747958">
    <w:abstractNumId w:val="26"/>
  </w:num>
  <w:num w:numId="27" w16cid:durableId="865631605">
    <w:abstractNumId w:val="31"/>
  </w:num>
  <w:num w:numId="28" w16cid:durableId="182595086">
    <w:abstractNumId w:val="18"/>
  </w:num>
  <w:num w:numId="29" w16cid:durableId="1551452963">
    <w:abstractNumId w:val="37"/>
  </w:num>
  <w:num w:numId="30" w16cid:durableId="2053531393">
    <w:abstractNumId w:val="11"/>
  </w:num>
  <w:num w:numId="31" w16cid:durableId="629436019">
    <w:abstractNumId w:val="15"/>
  </w:num>
  <w:num w:numId="32" w16cid:durableId="397824792">
    <w:abstractNumId w:val="28"/>
  </w:num>
  <w:num w:numId="33" w16cid:durableId="174074477">
    <w:abstractNumId w:val="2"/>
  </w:num>
  <w:num w:numId="34" w16cid:durableId="81920689">
    <w:abstractNumId w:val="24"/>
  </w:num>
  <w:num w:numId="35" w16cid:durableId="686298985">
    <w:abstractNumId w:val="1"/>
  </w:num>
  <w:num w:numId="36" w16cid:durableId="1670937414">
    <w:abstractNumId w:val="25"/>
  </w:num>
  <w:num w:numId="37" w16cid:durableId="936862715">
    <w:abstractNumId w:val="35"/>
  </w:num>
  <w:num w:numId="38" w16cid:durableId="1199317941">
    <w:abstractNumId w:val="9"/>
  </w:num>
  <w:num w:numId="39" w16cid:durableId="2085178711">
    <w:abstractNumId w:val="8"/>
  </w:num>
  <w:num w:numId="40" w16cid:durableId="19817683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92487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6781254">
    <w:abstractNumId w:val="29"/>
  </w:num>
  <w:num w:numId="43" w16cid:durableId="550580665">
    <w:abstractNumId w:val="22"/>
  </w:num>
  <w:num w:numId="44" w16cid:durableId="1469929726">
    <w:abstractNumId w:val="22"/>
  </w:num>
  <w:num w:numId="45" w16cid:durableId="776019789">
    <w:abstractNumId w:val="22"/>
  </w:num>
  <w:num w:numId="46" w16cid:durableId="621883597">
    <w:abstractNumId w:val="22"/>
  </w:num>
  <w:num w:numId="47" w16cid:durableId="1438335158">
    <w:abstractNumId w:val="22"/>
  </w:num>
  <w:num w:numId="48" w16cid:durableId="1652173042">
    <w:abstractNumId w:val="22"/>
  </w:num>
  <w:num w:numId="49" w16cid:durableId="894045348">
    <w:abstractNumId w:val="22"/>
  </w:num>
  <w:num w:numId="50" w16cid:durableId="1857307761">
    <w:abstractNumId w:val="22"/>
  </w:num>
  <w:num w:numId="51" w16cid:durableId="384184836">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4BC"/>
    <w:rsid w:val="00001F15"/>
    <w:rsid w:val="00012C71"/>
    <w:rsid w:val="000148D1"/>
    <w:rsid w:val="00016439"/>
    <w:rsid w:val="0001792F"/>
    <w:rsid w:val="00020FBF"/>
    <w:rsid w:val="000238E2"/>
    <w:rsid w:val="000248CB"/>
    <w:rsid w:val="0002530A"/>
    <w:rsid w:val="000268E7"/>
    <w:rsid w:val="00026A77"/>
    <w:rsid w:val="000270A2"/>
    <w:rsid w:val="00027508"/>
    <w:rsid w:val="00030227"/>
    <w:rsid w:val="00034006"/>
    <w:rsid w:val="00035A70"/>
    <w:rsid w:val="00037309"/>
    <w:rsid w:val="00042AD8"/>
    <w:rsid w:val="000504A0"/>
    <w:rsid w:val="000518BB"/>
    <w:rsid w:val="000554B0"/>
    <w:rsid w:val="000561DA"/>
    <w:rsid w:val="00064224"/>
    <w:rsid w:val="00064563"/>
    <w:rsid w:val="0006725E"/>
    <w:rsid w:val="0007171B"/>
    <w:rsid w:val="00074C36"/>
    <w:rsid w:val="00077FCF"/>
    <w:rsid w:val="00081548"/>
    <w:rsid w:val="00082418"/>
    <w:rsid w:val="00082759"/>
    <w:rsid w:val="0008611A"/>
    <w:rsid w:val="0008650F"/>
    <w:rsid w:val="000872D3"/>
    <w:rsid w:val="00092128"/>
    <w:rsid w:val="000A0DFF"/>
    <w:rsid w:val="000A293F"/>
    <w:rsid w:val="000A4A16"/>
    <w:rsid w:val="000C4971"/>
    <w:rsid w:val="000D0F68"/>
    <w:rsid w:val="000D25F3"/>
    <w:rsid w:val="000D26E6"/>
    <w:rsid w:val="000D2A86"/>
    <w:rsid w:val="000D2C12"/>
    <w:rsid w:val="000E0733"/>
    <w:rsid w:val="000E16CA"/>
    <w:rsid w:val="000E364C"/>
    <w:rsid w:val="000E673A"/>
    <w:rsid w:val="000E7B33"/>
    <w:rsid w:val="000E7C6F"/>
    <w:rsid w:val="000F554D"/>
    <w:rsid w:val="000F6945"/>
    <w:rsid w:val="000F73BF"/>
    <w:rsid w:val="000F74F5"/>
    <w:rsid w:val="000F78FC"/>
    <w:rsid w:val="001011AD"/>
    <w:rsid w:val="00105372"/>
    <w:rsid w:val="001054A6"/>
    <w:rsid w:val="00106238"/>
    <w:rsid w:val="001078A1"/>
    <w:rsid w:val="00107A68"/>
    <w:rsid w:val="001110B8"/>
    <w:rsid w:val="001111C4"/>
    <w:rsid w:val="0011339B"/>
    <w:rsid w:val="00117484"/>
    <w:rsid w:val="00120B4B"/>
    <w:rsid w:val="0012110F"/>
    <w:rsid w:val="001312AD"/>
    <w:rsid w:val="00131E7A"/>
    <w:rsid w:val="00132E77"/>
    <w:rsid w:val="0013424B"/>
    <w:rsid w:val="00134846"/>
    <w:rsid w:val="00136167"/>
    <w:rsid w:val="001377C9"/>
    <w:rsid w:val="00137A93"/>
    <w:rsid w:val="00140CBD"/>
    <w:rsid w:val="001445CE"/>
    <w:rsid w:val="00151F54"/>
    <w:rsid w:val="00162F9B"/>
    <w:rsid w:val="00163EA8"/>
    <w:rsid w:val="00164E45"/>
    <w:rsid w:val="0016508B"/>
    <w:rsid w:val="001724A7"/>
    <w:rsid w:val="00172AF6"/>
    <w:rsid w:val="00176CEE"/>
    <w:rsid w:val="00177B2F"/>
    <w:rsid w:val="00177FD3"/>
    <w:rsid w:val="001812C8"/>
    <w:rsid w:val="0018608D"/>
    <w:rsid w:val="00186DD8"/>
    <w:rsid w:val="00193A11"/>
    <w:rsid w:val="00194B41"/>
    <w:rsid w:val="001A1F89"/>
    <w:rsid w:val="001A35EC"/>
    <w:rsid w:val="001A39D7"/>
    <w:rsid w:val="001A4B18"/>
    <w:rsid w:val="001A5B2D"/>
    <w:rsid w:val="001B13FE"/>
    <w:rsid w:val="001B1E74"/>
    <w:rsid w:val="001B3B54"/>
    <w:rsid w:val="001B6759"/>
    <w:rsid w:val="001D17C4"/>
    <w:rsid w:val="001D23F7"/>
    <w:rsid w:val="001E4682"/>
    <w:rsid w:val="001E6C08"/>
    <w:rsid w:val="001F32C8"/>
    <w:rsid w:val="00205A53"/>
    <w:rsid w:val="00206E55"/>
    <w:rsid w:val="002112B6"/>
    <w:rsid w:val="002202AE"/>
    <w:rsid w:val="002210A5"/>
    <w:rsid w:val="0022421C"/>
    <w:rsid w:val="00225585"/>
    <w:rsid w:val="00233CD3"/>
    <w:rsid w:val="002370F5"/>
    <w:rsid w:val="002406A1"/>
    <w:rsid w:val="00242906"/>
    <w:rsid w:val="00242C9A"/>
    <w:rsid w:val="0025215D"/>
    <w:rsid w:val="00252CCC"/>
    <w:rsid w:val="002536A4"/>
    <w:rsid w:val="00257EBB"/>
    <w:rsid w:val="0026098E"/>
    <w:rsid w:val="00261E03"/>
    <w:rsid w:val="0026635C"/>
    <w:rsid w:val="00272076"/>
    <w:rsid w:val="002723C7"/>
    <w:rsid w:val="00275673"/>
    <w:rsid w:val="002769D1"/>
    <w:rsid w:val="00277DCC"/>
    <w:rsid w:val="0028398D"/>
    <w:rsid w:val="00285231"/>
    <w:rsid w:val="00291436"/>
    <w:rsid w:val="0029796C"/>
    <w:rsid w:val="002A428B"/>
    <w:rsid w:val="002B13E1"/>
    <w:rsid w:val="002B3342"/>
    <w:rsid w:val="002C14FF"/>
    <w:rsid w:val="002C2291"/>
    <w:rsid w:val="002D0406"/>
    <w:rsid w:val="002D1FE4"/>
    <w:rsid w:val="002D6AC6"/>
    <w:rsid w:val="002D7C75"/>
    <w:rsid w:val="002E3F07"/>
    <w:rsid w:val="002E7A67"/>
    <w:rsid w:val="002E7B23"/>
    <w:rsid w:val="002F0572"/>
    <w:rsid w:val="002F22EE"/>
    <w:rsid w:val="002F5D98"/>
    <w:rsid w:val="003008FE"/>
    <w:rsid w:val="0030169D"/>
    <w:rsid w:val="003060EB"/>
    <w:rsid w:val="00307F83"/>
    <w:rsid w:val="003106EF"/>
    <w:rsid w:val="003111CD"/>
    <w:rsid w:val="003153EB"/>
    <w:rsid w:val="00316C63"/>
    <w:rsid w:val="00320064"/>
    <w:rsid w:val="00321985"/>
    <w:rsid w:val="00321BE9"/>
    <w:rsid w:val="003231F5"/>
    <w:rsid w:val="00323C88"/>
    <w:rsid w:val="00326ED1"/>
    <w:rsid w:val="003337F1"/>
    <w:rsid w:val="00344C27"/>
    <w:rsid w:val="00351205"/>
    <w:rsid w:val="0035695B"/>
    <w:rsid w:val="00360D50"/>
    <w:rsid w:val="00363BB4"/>
    <w:rsid w:val="0036679A"/>
    <w:rsid w:val="003710AB"/>
    <w:rsid w:val="0037217A"/>
    <w:rsid w:val="00372F74"/>
    <w:rsid w:val="00377010"/>
    <w:rsid w:val="00381266"/>
    <w:rsid w:val="003817B6"/>
    <w:rsid w:val="00385E63"/>
    <w:rsid w:val="003860F3"/>
    <w:rsid w:val="00387CD3"/>
    <w:rsid w:val="0039130C"/>
    <w:rsid w:val="00393083"/>
    <w:rsid w:val="00396750"/>
    <w:rsid w:val="003A0711"/>
    <w:rsid w:val="003A2D06"/>
    <w:rsid w:val="003A4B53"/>
    <w:rsid w:val="003A68A6"/>
    <w:rsid w:val="003B0678"/>
    <w:rsid w:val="003C1B21"/>
    <w:rsid w:val="003C3C3F"/>
    <w:rsid w:val="003D6B40"/>
    <w:rsid w:val="003E265B"/>
    <w:rsid w:val="003E26CF"/>
    <w:rsid w:val="003E40C9"/>
    <w:rsid w:val="003E49E8"/>
    <w:rsid w:val="003F4652"/>
    <w:rsid w:val="003F5C8D"/>
    <w:rsid w:val="003F6EC1"/>
    <w:rsid w:val="003F7224"/>
    <w:rsid w:val="00401DEB"/>
    <w:rsid w:val="00406E92"/>
    <w:rsid w:val="00410176"/>
    <w:rsid w:val="00417720"/>
    <w:rsid w:val="00423CA7"/>
    <w:rsid w:val="00427C19"/>
    <w:rsid w:val="00427D21"/>
    <w:rsid w:val="00440131"/>
    <w:rsid w:val="00443281"/>
    <w:rsid w:val="00446ADE"/>
    <w:rsid w:val="00447F4A"/>
    <w:rsid w:val="004504C8"/>
    <w:rsid w:val="00451632"/>
    <w:rsid w:val="00451C2F"/>
    <w:rsid w:val="0045383B"/>
    <w:rsid w:val="00453CD1"/>
    <w:rsid w:val="00454242"/>
    <w:rsid w:val="00455AF2"/>
    <w:rsid w:val="00456F67"/>
    <w:rsid w:val="004570F4"/>
    <w:rsid w:val="004626E0"/>
    <w:rsid w:val="004644C2"/>
    <w:rsid w:val="004665BE"/>
    <w:rsid w:val="00467F9C"/>
    <w:rsid w:val="00470EE1"/>
    <w:rsid w:val="00471C2D"/>
    <w:rsid w:val="004727A1"/>
    <w:rsid w:val="00484032"/>
    <w:rsid w:val="004857DA"/>
    <w:rsid w:val="00485A62"/>
    <w:rsid w:val="00485B03"/>
    <w:rsid w:val="0048629F"/>
    <w:rsid w:val="00493A0A"/>
    <w:rsid w:val="004A08FA"/>
    <w:rsid w:val="004A1304"/>
    <w:rsid w:val="004A5BD3"/>
    <w:rsid w:val="004B34E8"/>
    <w:rsid w:val="004B36FD"/>
    <w:rsid w:val="004B7582"/>
    <w:rsid w:val="004C38A4"/>
    <w:rsid w:val="004C52D3"/>
    <w:rsid w:val="004C7335"/>
    <w:rsid w:val="004D02D3"/>
    <w:rsid w:val="004D1480"/>
    <w:rsid w:val="004D22ED"/>
    <w:rsid w:val="004D79C0"/>
    <w:rsid w:val="004E26D0"/>
    <w:rsid w:val="004F3C1B"/>
    <w:rsid w:val="004F5CDB"/>
    <w:rsid w:val="004F69F3"/>
    <w:rsid w:val="004F7C74"/>
    <w:rsid w:val="00504787"/>
    <w:rsid w:val="0051006C"/>
    <w:rsid w:val="0051228C"/>
    <w:rsid w:val="00515899"/>
    <w:rsid w:val="00515C39"/>
    <w:rsid w:val="00522770"/>
    <w:rsid w:val="00524D8C"/>
    <w:rsid w:val="00524EFE"/>
    <w:rsid w:val="0052679A"/>
    <w:rsid w:val="00532C40"/>
    <w:rsid w:val="005343B1"/>
    <w:rsid w:val="00534681"/>
    <w:rsid w:val="00535FD1"/>
    <w:rsid w:val="0053708F"/>
    <w:rsid w:val="00540BDC"/>
    <w:rsid w:val="00544D19"/>
    <w:rsid w:val="00550913"/>
    <w:rsid w:val="0055141C"/>
    <w:rsid w:val="005538A6"/>
    <w:rsid w:val="00555D81"/>
    <w:rsid w:val="00556605"/>
    <w:rsid w:val="0056068E"/>
    <w:rsid w:val="00563442"/>
    <w:rsid w:val="0056348E"/>
    <w:rsid w:val="00565B42"/>
    <w:rsid w:val="00565FEA"/>
    <w:rsid w:val="00572DDF"/>
    <w:rsid w:val="00573538"/>
    <w:rsid w:val="00573719"/>
    <w:rsid w:val="00573887"/>
    <w:rsid w:val="00581085"/>
    <w:rsid w:val="00581E72"/>
    <w:rsid w:val="005829C5"/>
    <w:rsid w:val="00593A60"/>
    <w:rsid w:val="005946F1"/>
    <w:rsid w:val="00596018"/>
    <w:rsid w:val="00597361"/>
    <w:rsid w:val="005A0508"/>
    <w:rsid w:val="005B35E2"/>
    <w:rsid w:val="005B7002"/>
    <w:rsid w:val="005B7080"/>
    <w:rsid w:val="005C1BBA"/>
    <w:rsid w:val="005C4CE6"/>
    <w:rsid w:val="005C6616"/>
    <w:rsid w:val="005D72DA"/>
    <w:rsid w:val="005E39F4"/>
    <w:rsid w:val="005E7BAB"/>
    <w:rsid w:val="005F2009"/>
    <w:rsid w:val="005F5C1F"/>
    <w:rsid w:val="00605966"/>
    <w:rsid w:val="00607FEB"/>
    <w:rsid w:val="0061132D"/>
    <w:rsid w:val="006122BA"/>
    <w:rsid w:val="00612A4E"/>
    <w:rsid w:val="00612C27"/>
    <w:rsid w:val="00613DEC"/>
    <w:rsid w:val="00613E0F"/>
    <w:rsid w:val="00620D85"/>
    <w:rsid w:val="006254E7"/>
    <w:rsid w:val="00634243"/>
    <w:rsid w:val="00634B5B"/>
    <w:rsid w:val="0063639E"/>
    <w:rsid w:val="006478BF"/>
    <w:rsid w:val="00650279"/>
    <w:rsid w:val="00650AB2"/>
    <w:rsid w:val="006546C9"/>
    <w:rsid w:val="00660B19"/>
    <w:rsid w:val="0066188B"/>
    <w:rsid w:val="00665647"/>
    <w:rsid w:val="00667825"/>
    <w:rsid w:val="0067657C"/>
    <w:rsid w:val="00676D86"/>
    <w:rsid w:val="00680AB0"/>
    <w:rsid w:val="0068746E"/>
    <w:rsid w:val="00693773"/>
    <w:rsid w:val="006938A2"/>
    <w:rsid w:val="00694356"/>
    <w:rsid w:val="006A0E32"/>
    <w:rsid w:val="006A300E"/>
    <w:rsid w:val="006A73C1"/>
    <w:rsid w:val="006B13EE"/>
    <w:rsid w:val="006B2290"/>
    <w:rsid w:val="006B3801"/>
    <w:rsid w:val="006B6E10"/>
    <w:rsid w:val="006C4058"/>
    <w:rsid w:val="006C4A75"/>
    <w:rsid w:val="006D14E0"/>
    <w:rsid w:val="006D25E0"/>
    <w:rsid w:val="006D438F"/>
    <w:rsid w:val="006D5F90"/>
    <w:rsid w:val="006E097E"/>
    <w:rsid w:val="006E0AB1"/>
    <w:rsid w:val="006E66AD"/>
    <w:rsid w:val="006F2B9D"/>
    <w:rsid w:val="006F4F60"/>
    <w:rsid w:val="006F5551"/>
    <w:rsid w:val="007011ED"/>
    <w:rsid w:val="00702D70"/>
    <w:rsid w:val="00714499"/>
    <w:rsid w:val="00714D52"/>
    <w:rsid w:val="007160EF"/>
    <w:rsid w:val="00717D88"/>
    <w:rsid w:val="0072239A"/>
    <w:rsid w:val="00723CEA"/>
    <w:rsid w:val="00726A43"/>
    <w:rsid w:val="00727EF4"/>
    <w:rsid w:val="00730156"/>
    <w:rsid w:val="00735CDD"/>
    <w:rsid w:val="00742C4D"/>
    <w:rsid w:val="00744555"/>
    <w:rsid w:val="00745BE7"/>
    <w:rsid w:val="00752555"/>
    <w:rsid w:val="007556B1"/>
    <w:rsid w:val="00762CD5"/>
    <w:rsid w:val="00770008"/>
    <w:rsid w:val="00770727"/>
    <w:rsid w:val="00772C64"/>
    <w:rsid w:val="007738C8"/>
    <w:rsid w:val="007745B3"/>
    <w:rsid w:val="00774EF4"/>
    <w:rsid w:val="00776BBC"/>
    <w:rsid w:val="00781EC6"/>
    <w:rsid w:val="00783CE5"/>
    <w:rsid w:val="00786056"/>
    <w:rsid w:val="00786C19"/>
    <w:rsid w:val="00787265"/>
    <w:rsid w:val="00793F25"/>
    <w:rsid w:val="007942D3"/>
    <w:rsid w:val="007A013F"/>
    <w:rsid w:val="007A1A37"/>
    <w:rsid w:val="007A59C7"/>
    <w:rsid w:val="007A6942"/>
    <w:rsid w:val="007A7039"/>
    <w:rsid w:val="007A7675"/>
    <w:rsid w:val="007A7ABD"/>
    <w:rsid w:val="007B2099"/>
    <w:rsid w:val="007B22B2"/>
    <w:rsid w:val="007B413B"/>
    <w:rsid w:val="007B6C09"/>
    <w:rsid w:val="007B6EB4"/>
    <w:rsid w:val="007B7709"/>
    <w:rsid w:val="007B7741"/>
    <w:rsid w:val="007C244A"/>
    <w:rsid w:val="007C41D0"/>
    <w:rsid w:val="007C4951"/>
    <w:rsid w:val="007C4E70"/>
    <w:rsid w:val="007C7FF3"/>
    <w:rsid w:val="007D021B"/>
    <w:rsid w:val="007D2D67"/>
    <w:rsid w:val="007D7246"/>
    <w:rsid w:val="007D7556"/>
    <w:rsid w:val="007E09DA"/>
    <w:rsid w:val="007E0F8A"/>
    <w:rsid w:val="007E23E9"/>
    <w:rsid w:val="007E7223"/>
    <w:rsid w:val="007E7E7D"/>
    <w:rsid w:val="007F0AD2"/>
    <w:rsid w:val="007F675E"/>
    <w:rsid w:val="007F718D"/>
    <w:rsid w:val="00801FAD"/>
    <w:rsid w:val="00811167"/>
    <w:rsid w:val="00813B08"/>
    <w:rsid w:val="00814011"/>
    <w:rsid w:val="008178B6"/>
    <w:rsid w:val="00822565"/>
    <w:rsid w:val="00825540"/>
    <w:rsid w:val="00830AAD"/>
    <w:rsid w:val="00832368"/>
    <w:rsid w:val="00834769"/>
    <w:rsid w:val="00836C04"/>
    <w:rsid w:val="00844347"/>
    <w:rsid w:val="00846ACF"/>
    <w:rsid w:val="0084744E"/>
    <w:rsid w:val="00851D43"/>
    <w:rsid w:val="00852DEE"/>
    <w:rsid w:val="008611BD"/>
    <w:rsid w:val="0086378E"/>
    <w:rsid w:val="00865B74"/>
    <w:rsid w:val="00866063"/>
    <w:rsid w:val="00867902"/>
    <w:rsid w:val="008714DE"/>
    <w:rsid w:val="008743B7"/>
    <w:rsid w:val="00877545"/>
    <w:rsid w:val="00880062"/>
    <w:rsid w:val="00886B17"/>
    <w:rsid w:val="008875C7"/>
    <w:rsid w:val="00887EB0"/>
    <w:rsid w:val="0089346E"/>
    <w:rsid w:val="00893F81"/>
    <w:rsid w:val="008974F0"/>
    <w:rsid w:val="008A1499"/>
    <w:rsid w:val="008A3979"/>
    <w:rsid w:val="008B012A"/>
    <w:rsid w:val="008B0B04"/>
    <w:rsid w:val="008B31E7"/>
    <w:rsid w:val="008B4C79"/>
    <w:rsid w:val="008B516A"/>
    <w:rsid w:val="008C22E8"/>
    <w:rsid w:val="008C5F97"/>
    <w:rsid w:val="008C68B1"/>
    <w:rsid w:val="008C76B3"/>
    <w:rsid w:val="008E268C"/>
    <w:rsid w:val="008E36E7"/>
    <w:rsid w:val="008E4668"/>
    <w:rsid w:val="008E738F"/>
    <w:rsid w:val="008F029E"/>
    <w:rsid w:val="008F23D4"/>
    <w:rsid w:val="009011A8"/>
    <w:rsid w:val="009016D9"/>
    <w:rsid w:val="0090186D"/>
    <w:rsid w:val="0090257B"/>
    <w:rsid w:val="009033F2"/>
    <w:rsid w:val="009037F0"/>
    <w:rsid w:val="00903EB8"/>
    <w:rsid w:val="00904B7C"/>
    <w:rsid w:val="00906E17"/>
    <w:rsid w:val="0090704E"/>
    <w:rsid w:val="009163E0"/>
    <w:rsid w:val="00921F04"/>
    <w:rsid w:val="00930BA1"/>
    <w:rsid w:val="0093169E"/>
    <w:rsid w:val="009378E8"/>
    <w:rsid w:val="00942BFF"/>
    <w:rsid w:val="0094623C"/>
    <w:rsid w:val="009505C9"/>
    <w:rsid w:val="00950752"/>
    <w:rsid w:val="00952CAF"/>
    <w:rsid w:val="0095632A"/>
    <w:rsid w:val="00960562"/>
    <w:rsid w:val="00960BAE"/>
    <w:rsid w:val="00962801"/>
    <w:rsid w:val="00963E2A"/>
    <w:rsid w:val="00966424"/>
    <w:rsid w:val="00966648"/>
    <w:rsid w:val="00981655"/>
    <w:rsid w:val="00987820"/>
    <w:rsid w:val="00987F44"/>
    <w:rsid w:val="009956BD"/>
    <w:rsid w:val="0099625B"/>
    <w:rsid w:val="009B00DC"/>
    <w:rsid w:val="009B154D"/>
    <w:rsid w:val="009B5CD2"/>
    <w:rsid w:val="009C2DE6"/>
    <w:rsid w:val="009C3FC8"/>
    <w:rsid w:val="009C5078"/>
    <w:rsid w:val="009C7B8F"/>
    <w:rsid w:val="009D390F"/>
    <w:rsid w:val="009D4106"/>
    <w:rsid w:val="009D6087"/>
    <w:rsid w:val="009D6682"/>
    <w:rsid w:val="009E0966"/>
    <w:rsid w:val="009E6817"/>
    <w:rsid w:val="009E7E8E"/>
    <w:rsid w:val="009F0207"/>
    <w:rsid w:val="009F16B3"/>
    <w:rsid w:val="009F1721"/>
    <w:rsid w:val="00A0224C"/>
    <w:rsid w:val="00A111D1"/>
    <w:rsid w:val="00A147B1"/>
    <w:rsid w:val="00A14C7E"/>
    <w:rsid w:val="00A23413"/>
    <w:rsid w:val="00A2352E"/>
    <w:rsid w:val="00A246FF"/>
    <w:rsid w:val="00A35EC9"/>
    <w:rsid w:val="00A43A9D"/>
    <w:rsid w:val="00A525CF"/>
    <w:rsid w:val="00A547D4"/>
    <w:rsid w:val="00A556AC"/>
    <w:rsid w:val="00A57E5A"/>
    <w:rsid w:val="00A61C30"/>
    <w:rsid w:val="00A746D0"/>
    <w:rsid w:val="00A74A28"/>
    <w:rsid w:val="00A74BBA"/>
    <w:rsid w:val="00A76EF1"/>
    <w:rsid w:val="00A803CA"/>
    <w:rsid w:val="00A826A3"/>
    <w:rsid w:val="00A83651"/>
    <w:rsid w:val="00A83CD2"/>
    <w:rsid w:val="00A92AA5"/>
    <w:rsid w:val="00A95DD5"/>
    <w:rsid w:val="00AA37D1"/>
    <w:rsid w:val="00AA6129"/>
    <w:rsid w:val="00AA6F92"/>
    <w:rsid w:val="00AB6934"/>
    <w:rsid w:val="00AC0DC6"/>
    <w:rsid w:val="00AC7266"/>
    <w:rsid w:val="00AD2C99"/>
    <w:rsid w:val="00AD6C66"/>
    <w:rsid w:val="00AE376F"/>
    <w:rsid w:val="00AE3C9C"/>
    <w:rsid w:val="00AF3649"/>
    <w:rsid w:val="00AF42DE"/>
    <w:rsid w:val="00AF46BE"/>
    <w:rsid w:val="00AF7C22"/>
    <w:rsid w:val="00B01C9B"/>
    <w:rsid w:val="00B0234D"/>
    <w:rsid w:val="00B06DD1"/>
    <w:rsid w:val="00B114C8"/>
    <w:rsid w:val="00B16A3C"/>
    <w:rsid w:val="00B2356D"/>
    <w:rsid w:val="00B23D6F"/>
    <w:rsid w:val="00B30F3F"/>
    <w:rsid w:val="00B311B1"/>
    <w:rsid w:val="00B3369F"/>
    <w:rsid w:val="00B41677"/>
    <w:rsid w:val="00B42194"/>
    <w:rsid w:val="00B423DC"/>
    <w:rsid w:val="00B452A8"/>
    <w:rsid w:val="00B47D38"/>
    <w:rsid w:val="00B5084B"/>
    <w:rsid w:val="00B51FD2"/>
    <w:rsid w:val="00B52895"/>
    <w:rsid w:val="00B545A4"/>
    <w:rsid w:val="00B560F6"/>
    <w:rsid w:val="00B61298"/>
    <w:rsid w:val="00B61B85"/>
    <w:rsid w:val="00B654B6"/>
    <w:rsid w:val="00B679BD"/>
    <w:rsid w:val="00B67DFE"/>
    <w:rsid w:val="00B75171"/>
    <w:rsid w:val="00B80BF5"/>
    <w:rsid w:val="00B82367"/>
    <w:rsid w:val="00B82A45"/>
    <w:rsid w:val="00B8475F"/>
    <w:rsid w:val="00B86D46"/>
    <w:rsid w:val="00B91D7D"/>
    <w:rsid w:val="00B93EC7"/>
    <w:rsid w:val="00B94E6C"/>
    <w:rsid w:val="00BA33A8"/>
    <w:rsid w:val="00BA4678"/>
    <w:rsid w:val="00BA557C"/>
    <w:rsid w:val="00BA559A"/>
    <w:rsid w:val="00BB0FC8"/>
    <w:rsid w:val="00BB4606"/>
    <w:rsid w:val="00BB6855"/>
    <w:rsid w:val="00BB7F95"/>
    <w:rsid w:val="00BC09E3"/>
    <w:rsid w:val="00BC0ED8"/>
    <w:rsid w:val="00BC4036"/>
    <w:rsid w:val="00BC7A87"/>
    <w:rsid w:val="00BD43F2"/>
    <w:rsid w:val="00BD44BC"/>
    <w:rsid w:val="00BD4BA6"/>
    <w:rsid w:val="00BD6DBA"/>
    <w:rsid w:val="00BD740A"/>
    <w:rsid w:val="00BF7150"/>
    <w:rsid w:val="00BF7B16"/>
    <w:rsid w:val="00C06FAB"/>
    <w:rsid w:val="00C16663"/>
    <w:rsid w:val="00C16917"/>
    <w:rsid w:val="00C17A23"/>
    <w:rsid w:val="00C2261B"/>
    <w:rsid w:val="00C23D2F"/>
    <w:rsid w:val="00C250C0"/>
    <w:rsid w:val="00C2759E"/>
    <w:rsid w:val="00C3153C"/>
    <w:rsid w:val="00C331FF"/>
    <w:rsid w:val="00C33F27"/>
    <w:rsid w:val="00C41AD8"/>
    <w:rsid w:val="00C41CAB"/>
    <w:rsid w:val="00C425DF"/>
    <w:rsid w:val="00C43244"/>
    <w:rsid w:val="00C4348A"/>
    <w:rsid w:val="00C443BD"/>
    <w:rsid w:val="00C448E7"/>
    <w:rsid w:val="00C451C5"/>
    <w:rsid w:val="00C479EE"/>
    <w:rsid w:val="00C50D72"/>
    <w:rsid w:val="00C55148"/>
    <w:rsid w:val="00C5613B"/>
    <w:rsid w:val="00C6032B"/>
    <w:rsid w:val="00C6192F"/>
    <w:rsid w:val="00C71696"/>
    <w:rsid w:val="00C74564"/>
    <w:rsid w:val="00C75AA0"/>
    <w:rsid w:val="00C8093B"/>
    <w:rsid w:val="00C869A1"/>
    <w:rsid w:val="00C900D8"/>
    <w:rsid w:val="00C9161D"/>
    <w:rsid w:val="00C95D43"/>
    <w:rsid w:val="00C964C4"/>
    <w:rsid w:val="00CA0C1D"/>
    <w:rsid w:val="00CA4C24"/>
    <w:rsid w:val="00CA7C53"/>
    <w:rsid w:val="00CB0209"/>
    <w:rsid w:val="00CB1A91"/>
    <w:rsid w:val="00CC10F0"/>
    <w:rsid w:val="00CC2261"/>
    <w:rsid w:val="00CC315E"/>
    <w:rsid w:val="00CC3224"/>
    <w:rsid w:val="00CC5A73"/>
    <w:rsid w:val="00CC7FBB"/>
    <w:rsid w:val="00CD1B23"/>
    <w:rsid w:val="00CD6ECC"/>
    <w:rsid w:val="00CD783D"/>
    <w:rsid w:val="00CE1E8D"/>
    <w:rsid w:val="00CE224F"/>
    <w:rsid w:val="00CE2551"/>
    <w:rsid w:val="00CE45E2"/>
    <w:rsid w:val="00CF1848"/>
    <w:rsid w:val="00CF4018"/>
    <w:rsid w:val="00CF4362"/>
    <w:rsid w:val="00CF5E7D"/>
    <w:rsid w:val="00D02627"/>
    <w:rsid w:val="00D0372E"/>
    <w:rsid w:val="00D06B68"/>
    <w:rsid w:val="00D07A34"/>
    <w:rsid w:val="00D12044"/>
    <w:rsid w:val="00D13FCC"/>
    <w:rsid w:val="00D152BB"/>
    <w:rsid w:val="00D15CB3"/>
    <w:rsid w:val="00D170D9"/>
    <w:rsid w:val="00D200E4"/>
    <w:rsid w:val="00D21080"/>
    <w:rsid w:val="00D23EC8"/>
    <w:rsid w:val="00D27126"/>
    <w:rsid w:val="00D3035D"/>
    <w:rsid w:val="00D320AF"/>
    <w:rsid w:val="00D33EFC"/>
    <w:rsid w:val="00D3438C"/>
    <w:rsid w:val="00D359F0"/>
    <w:rsid w:val="00D35DB4"/>
    <w:rsid w:val="00D40DBC"/>
    <w:rsid w:val="00D42758"/>
    <w:rsid w:val="00D42CE0"/>
    <w:rsid w:val="00D51B53"/>
    <w:rsid w:val="00D569E6"/>
    <w:rsid w:val="00D61C85"/>
    <w:rsid w:val="00D64A94"/>
    <w:rsid w:val="00D66E14"/>
    <w:rsid w:val="00D744A5"/>
    <w:rsid w:val="00D75CA6"/>
    <w:rsid w:val="00D76A18"/>
    <w:rsid w:val="00D77135"/>
    <w:rsid w:val="00D80849"/>
    <w:rsid w:val="00D8139F"/>
    <w:rsid w:val="00D82E8F"/>
    <w:rsid w:val="00D8501A"/>
    <w:rsid w:val="00D85667"/>
    <w:rsid w:val="00D925D9"/>
    <w:rsid w:val="00D931C0"/>
    <w:rsid w:val="00D94C7C"/>
    <w:rsid w:val="00D96E88"/>
    <w:rsid w:val="00DA0F60"/>
    <w:rsid w:val="00DA5E26"/>
    <w:rsid w:val="00DB32D3"/>
    <w:rsid w:val="00DB54C3"/>
    <w:rsid w:val="00DB5D9E"/>
    <w:rsid w:val="00DB5E0F"/>
    <w:rsid w:val="00DB7B9C"/>
    <w:rsid w:val="00DC5A11"/>
    <w:rsid w:val="00DC6FC3"/>
    <w:rsid w:val="00DC760C"/>
    <w:rsid w:val="00DD118C"/>
    <w:rsid w:val="00DD1E60"/>
    <w:rsid w:val="00DE3A2A"/>
    <w:rsid w:val="00DE41EE"/>
    <w:rsid w:val="00DE4759"/>
    <w:rsid w:val="00DE5588"/>
    <w:rsid w:val="00DE765C"/>
    <w:rsid w:val="00DF0E6F"/>
    <w:rsid w:val="00DF14DB"/>
    <w:rsid w:val="00DF1761"/>
    <w:rsid w:val="00E01524"/>
    <w:rsid w:val="00E03C00"/>
    <w:rsid w:val="00E053E0"/>
    <w:rsid w:val="00E11EF3"/>
    <w:rsid w:val="00E13C2A"/>
    <w:rsid w:val="00E14A23"/>
    <w:rsid w:val="00E20073"/>
    <w:rsid w:val="00E21A5D"/>
    <w:rsid w:val="00E22109"/>
    <w:rsid w:val="00E235FD"/>
    <w:rsid w:val="00E23625"/>
    <w:rsid w:val="00E348D0"/>
    <w:rsid w:val="00E34C9E"/>
    <w:rsid w:val="00E4076A"/>
    <w:rsid w:val="00E43FD9"/>
    <w:rsid w:val="00E44339"/>
    <w:rsid w:val="00E44BAD"/>
    <w:rsid w:val="00E45D51"/>
    <w:rsid w:val="00E50315"/>
    <w:rsid w:val="00E55EF0"/>
    <w:rsid w:val="00E66235"/>
    <w:rsid w:val="00E750E5"/>
    <w:rsid w:val="00E764A8"/>
    <w:rsid w:val="00E82F1D"/>
    <w:rsid w:val="00E839AD"/>
    <w:rsid w:val="00E83C24"/>
    <w:rsid w:val="00E83DA7"/>
    <w:rsid w:val="00E924F2"/>
    <w:rsid w:val="00E9318D"/>
    <w:rsid w:val="00E93F3E"/>
    <w:rsid w:val="00E95EF6"/>
    <w:rsid w:val="00E969B6"/>
    <w:rsid w:val="00E96A80"/>
    <w:rsid w:val="00EA1368"/>
    <w:rsid w:val="00EA7274"/>
    <w:rsid w:val="00EA736F"/>
    <w:rsid w:val="00EB1588"/>
    <w:rsid w:val="00EB3B45"/>
    <w:rsid w:val="00EB542E"/>
    <w:rsid w:val="00EC5EA9"/>
    <w:rsid w:val="00EC7272"/>
    <w:rsid w:val="00ED06F4"/>
    <w:rsid w:val="00ED1C67"/>
    <w:rsid w:val="00ED3F9B"/>
    <w:rsid w:val="00ED6CDC"/>
    <w:rsid w:val="00EE059A"/>
    <w:rsid w:val="00EE1A97"/>
    <w:rsid w:val="00EE567D"/>
    <w:rsid w:val="00EE6A85"/>
    <w:rsid w:val="00EF007D"/>
    <w:rsid w:val="00EF444C"/>
    <w:rsid w:val="00EF53C4"/>
    <w:rsid w:val="00EF5B53"/>
    <w:rsid w:val="00F00DAE"/>
    <w:rsid w:val="00F02662"/>
    <w:rsid w:val="00F02A86"/>
    <w:rsid w:val="00F03760"/>
    <w:rsid w:val="00F03E61"/>
    <w:rsid w:val="00F063AF"/>
    <w:rsid w:val="00F063C2"/>
    <w:rsid w:val="00F10E3A"/>
    <w:rsid w:val="00F10EB6"/>
    <w:rsid w:val="00F11203"/>
    <w:rsid w:val="00F143A2"/>
    <w:rsid w:val="00F16E52"/>
    <w:rsid w:val="00F21007"/>
    <w:rsid w:val="00F210E7"/>
    <w:rsid w:val="00F249A1"/>
    <w:rsid w:val="00F33764"/>
    <w:rsid w:val="00F357FB"/>
    <w:rsid w:val="00F35BB4"/>
    <w:rsid w:val="00F360E5"/>
    <w:rsid w:val="00F375A7"/>
    <w:rsid w:val="00F37657"/>
    <w:rsid w:val="00F42FAB"/>
    <w:rsid w:val="00F45B26"/>
    <w:rsid w:val="00F5246B"/>
    <w:rsid w:val="00F53193"/>
    <w:rsid w:val="00F5357E"/>
    <w:rsid w:val="00F56B10"/>
    <w:rsid w:val="00F6133A"/>
    <w:rsid w:val="00F6586C"/>
    <w:rsid w:val="00F70CCB"/>
    <w:rsid w:val="00F746EE"/>
    <w:rsid w:val="00F9038B"/>
    <w:rsid w:val="00F94774"/>
    <w:rsid w:val="00F97B3F"/>
    <w:rsid w:val="00FA0F37"/>
    <w:rsid w:val="00FA14B1"/>
    <w:rsid w:val="00FA663B"/>
    <w:rsid w:val="00FB20D4"/>
    <w:rsid w:val="00FB4207"/>
    <w:rsid w:val="00FB5EF3"/>
    <w:rsid w:val="00FB6391"/>
    <w:rsid w:val="00FC0548"/>
    <w:rsid w:val="00FC3A5A"/>
    <w:rsid w:val="00FC53DB"/>
    <w:rsid w:val="00FD17FC"/>
    <w:rsid w:val="00FD29CC"/>
    <w:rsid w:val="00FD5FFD"/>
    <w:rsid w:val="00FE0B1B"/>
    <w:rsid w:val="00FE6051"/>
    <w:rsid w:val="015B2FA8"/>
    <w:rsid w:val="01F516B2"/>
    <w:rsid w:val="02C23D5C"/>
    <w:rsid w:val="031102E7"/>
    <w:rsid w:val="03414D10"/>
    <w:rsid w:val="054A3BF1"/>
    <w:rsid w:val="0569D571"/>
    <w:rsid w:val="057D1065"/>
    <w:rsid w:val="062622E8"/>
    <w:rsid w:val="09428AC2"/>
    <w:rsid w:val="09E08320"/>
    <w:rsid w:val="0A12E7A7"/>
    <w:rsid w:val="0A510DD1"/>
    <w:rsid w:val="0AE64EA5"/>
    <w:rsid w:val="0B334F41"/>
    <w:rsid w:val="0C1016F2"/>
    <w:rsid w:val="0C2922ED"/>
    <w:rsid w:val="0C630A6E"/>
    <w:rsid w:val="0CE2214C"/>
    <w:rsid w:val="0CE4237D"/>
    <w:rsid w:val="0DFDA32A"/>
    <w:rsid w:val="0E21F297"/>
    <w:rsid w:val="0E516E63"/>
    <w:rsid w:val="0EE251D4"/>
    <w:rsid w:val="0F813963"/>
    <w:rsid w:val="0F9D50EE"/>
    <w:rsid w:val="1043287E"/>
    <w:rsid w:val="10D21FE6"/>
    <w:rsid w:val="113E92F1"/>
    <w:rsid w:val="11A1FD9D"/>
    <w:rsid w:val="12A9799C"/>
    <w:rsid w:val="12D3017D"/>
    <w:rsid w:val="12FEDF3A"/>
    <w:rsid w:val="1389FC31"/>
    <w:rsid w:val="139053FA"/>
    <w:rsid w:val="13DA249F"/>
    <w:rsid w:val="14F757D8"/>
    <w:rsid w:val="15CE5A08"/>
    <w:rsid w:val="1682D5B9"/>
    <w:rsid w:val="1739BEF3"/>
    <w:rsid w:val="17514A8A"/>
    <w:rsid w:val="17EEDD5F"/>
    <w:rsid w:val="1889FE0B"/>
    <w:rsid w:val="189B9400"/>
    <w:rsid w:val="1A4D4525"/>
    <w:rsid w:val="1B2ADD5E"/>
    <w:rsid w:val="1B6C77CD"/>
    <w:rsid w:val="1C203FEB"/>
    <w:rsid w:val="1CC0C67E"/>
    <w:rsid w:val="1D541839"/>
    <w:rsid w:val="1D5F7610"/>
    <w:rsid w:val="1D93D67F"/>
    <w:rsid w:val="1F7CBA6D"/>
    <w:rsid w:val="1F9B268F"/>
    <w:rsid w:val="1FB535F6"/>
    <w:rsid w:val="2064DD93"/>
    <w:rsid w:val="207A3B5D"/>
    <w:rsid w:val="2080462C"/>
    <w:rsid w:val="2080ABF3"/>
    <w:rsid w:val="20B202C8"/>
    <w:rsid w:val="21DAE825"/>
    <w:rsid w:val="220ECB09"/>
    <w:rsid w:val="22F397B3"/>
    <w:rsid w:val="250580A9"/>
    <w:rsid w:val="25830CE9"/>
    <w:rsid w:val="266C1CC8"/>
    <w:rsid w:val="277ADA37"/>
    <w:rsid w:val="27F43F0C"/>
    <w:rsid w:val="28761DDB"/>
    <w:rsid w:val="294A1D63"/>
    <w:rsid w:val="29509DDC"/>
    <w:rsid w:val="29D07EF3"/>
    <w:rsid w:val="2A0C21EB"/>
    <w:rsid w:val="2A3C18D7"/>
    <w:rsid w:val="2A895581"/>
    <w:rsid w:val="2B4599C2"/>
    <w:rsid w:val="2BAFF3C0"/>
    <w:rsid w:val="2C022A15"/>
    <w:rsid w:val="2C115141"/>
    <w:rsid w:val="2D14B7B8"/>
    <w:rsid w:val="2E2864F1"/>
    <w:rsid w:val="2E36DB68"/>
    <w:rsid w:val="2EA4CF1C"/>
    <w:rsid w:val="2EB98086"/>
    <w:rsid w:val="307683CD"/>
    <w:rsid w:val="30DDA5E1"/>
    <w:rsid w:val="31B5A2D6"/>
    <w:rsid w:val="3203A947"/>
    <w:rsid w:val="3273CA76"/>
    <w:rsid w:val="3341D2BD"/>
    <w:rsid w:val="335A363C"/>
    <w:rsid w:val="3367AB37"/>
    <w:rsid w:val="338F1080"/>
    <w:rsid w:val="34AD3CB4"/>
    <w:rsid w:val="34C183CC"/>
    <w:rsid w:val="34CA3076"/>
    <w:rsid w:val="35048CBF"/>
    <w:rsid w:val="35365195"/>
    <w:rsid w:val="36091F9C"/>
    <w:rsid w:val="39D296BE"/>
    <w:rsid w:val="3A238844"/>
    <w:rsid w:val="3A2FAEB3"/>
    <w:rsid w:val="3A34D4B6"/>
    <w:rsid w:val="3A38E417"/>
    <w:rsid w:val="3AC511FE"/>
    <w:rsid w:val="3B65744D"/>
    <w:rsid w:val="3BEDAB71"/>
    <w:rsid w:val="3CD4F904"/>
    <w:rsid w:val="3CD52135"/>
    <w:rsid w:val="3D0B2980"/>
    <w:rsid w:val="3D140A42"/>
    <w:rsid w:val="3DCD0692"/>
    <w:rsid w:val="3E40A0E1"/>
    <w:rsid w:val="3EFEB623"/>
    <w:rsid w:val="403A7052"/>
    <w:rsid w:val="415B4EE3"/>
    <w:rsid w:val="41855F1B"/>
    <w:rsid w:val="41CB2D26"/>
    <w:rsid w:val="425E6CCC"/>
    <w:rsid w:val="42733BA0"/>
    <w:rsid w:val="4278B5D8"/>
    <w:rsid w:val="432C7D5F"/>
    <w:rsid w:val="43783ACE"/>
    <w:rsid w:val="449C5CD8"/>
    <w:rsid w:val="4673DD3E"/>
    <w:rsid w:val="46781BA4"/>
    <w:rsid w:val="46EA4E04"/>
    <w:rsid w:val="47C9D8B5"/>
    <w:rsid w:val="47FF465E"/>
    <w:rsid w:val="48417EE5"/>
    <w:rsid w:val="48AA825D"/>
    <w:rsid w:val="490D05A6"/>
    <w:rsid w:val="49522C86"/>
    <w:rsid w:val="4A09DE0B"/>
    <w:rsid w:val="4A22138F"/>
    <w:rsid w:val="4AA90660"/>
    <w:rsid w:val="4B32DFED"/>
    <w:rsid w:val="4B4E3794"/>
    <w:rsid w:val="4C640087"/>
    <w:rsid w:val="4D40C56C"/>
    <w:rsid w:val="4DB6E9E7"/>
    <w:rsid w:val="4DCE218A"/>
    <w:rsid w:val="4DD1DB1F"/>
    <w:rsid w:val="4DFC66F0"/>
    <w:rsid w:val="4E08F73E"/>
    <w:rsid w:val="4E2B9DF4"/>
    <w:rsid w:val="4F9D62EC"/>
    <w:rsid w:val="4FC7D5E6"/>
    <w:rsid w:val="50AAE3D9"/>
    <w:rsid w:val="50F4A216"/>
    <w:rsid w:val="5117110B"/>
    <w:rsid w:val="51A88939"/>
    <w:rsid w:val="525E8CC0"/>
    <w:rsid w:val="528192D8"/>
    <w:rsid w:val="5389517E"/>
    <w:rsid w:val="549EC945"/>
    <w:rsid w:val="5517FA05"/>
    <w:rsid w:val="555B441D"/>
    <w:rsid w:val="556CF1FA"/>
    <w:rsid w:val="5591804A"/>
    <w:rsid w:val="55B2CB42"/>
    <w:rsid w:val="55B6E4B7"/>
    <w:rsid w:val="55EACB24"/>
    <w:rsid w:val="56FD37FC"/>
    <w:rsid w:val="58251660"/>
    <w:rsid w:val="58AF0B7B"/>
    <w:rsid w:val="58B3C024"/>
    <w:rsid w:val="594914B1"/>
    <w:rsid w:val="598A480A"/>
    <w:rsid w:val="5A1D01CE"/>
    <w:rsid w:val="5B1D5782"/>
    <w:rsid w:val="5B60A43E"/>
    <w:rsid w:val="5BF7CF0E"/>
    <w:rsid w:val="5C396ACE"/>
    <w:rsid w:val="5C74F9B2"/>
    <w:rsid w:val="5D17526C"/>
    <w:rsid w:val="5D45A2E9"/>
    <w:rsid w:val="5D577CF8"/>
    <w:rsid w:val="5D813F19"/>
    <w:rsid w:val="5EB4A53A"/>
    <w:rsid w:val="5F683058"/>
    <w:rsid w:val="5FDCE974"/>
    <w:rsid w:val="60FE1123"/>
    <w:rsid w:val="61667905"/>
    <w:rsid w:val="61A4EBB9"/>
    <w:rsid w:val="61CABE20"/>
    <w:rsid w:val="61F14027"/>
    <w:rsid w:val="6214AB84"/>
    <w:rsid w:val="635196D2"/>
    <w:rsid w:val="636B9E07"/>
    <w:rsid w:val="63C96652"/>
    <w:rsid w:val="644B30EC"/>
    <w:rsid w:val="66053882"/>
    <w:rsid w:val="6668795D"/>
    <w:rsid w:val="66708360"/>
    <w:rsid w:val="677D3C0F"/>
    <w:rsid w:val="681DF1DD"/>
    <w:rsid w:val="68246F97"/>
    <w:rsid w:val="684B3A67"/>
    <w:rsid w:val="6887B3E0"/>
    <w:rsid w:val="6891C3DB"/>
    <w:rsid w:val="69911143"/>
    <w:rsid w:val="6A81AA77"/>
    <w:rsid w:val="6B5AC77D"/>
    <w:rsid w:val="6CE3263B"/>
    <w:rsid w:val="6D282BC6"/>
    <w:rsid w:val="6D32760A"/>
    <w:rsid w:val="6D8C0F12"/>
    <w:rsid w:val="6E374A4C"/>
    <w:rsid w:val="6E6EEB81"/>
    <w:rsid w:val="6ED59538"/>
    <w:rsid w:val="6FBFFF5C"/>
    <w:rsid w:val="6FD44F51"/>
    <w:rsid w:val="70D9C2F7"/>
    <w:rsid w:val="70FFE5AE"/>
    <w:rsid w:val="72E71F72"/>
    <w:rsid w:val="73576E4D"/>
    <w:rsid w:val="7497CBEE"/>
    <w:rsid w:val="76158DEC"/>
    <w:rsid w:val="76F6DD58"/>
    <w:rsid w:val="7702FADA"/>
    <w:rsid w:val="771172B6"/>
    <w:rsid w:val="77F2CCAC"/>
    <w:rsid w:val="7835686A"/>
    <w:rsid w:val="78931A54"/>
    <w:rsid w:val="79FF13D7"/>
    <w:rsid w:val="7A0257F9"/>
    <w:rsid w:val="7A307F7E"/>
    <w:rsid w:val="7A30B97F"/>
    <w:rsid w:val="7A3388E5"/>
    <w:rsid w:val="7A497E6E"/>
    <w:rsid w:val="7A6E2A9D"/>
    <w:rsid w:val="7AF88754"/>
    <w:rsid w:val="7B345BFF"/>
    <w:rsid w:val="7B783B54"/>
    <w:rsid w:val="7B7F19F9"/>
    <w:rsid w:val="7B8D8E0E"/>
    <w:rsid w:val="7BD48914"/>
    <w:rsid w:val="7BF84FB5"/>
    <w:rsid w:val="7BFD5AA8"/>
    <w:rsid w:val="7C524FAE"/>
    <w:rsid w:val="7CC86DAD"/>
    <w:rsid w:val="7D103107"/>
    <w:rsid w:val="7D33680F"/>
    <w:rsid w:val="7DA4C10C"/>
    <w:rsid w:val="7DB7E7FE"/>
    <w:rsid w:val="7DDE058F"/>
    <w:rsid w:val="7E54B13A"/>
    <w:rsid w:val="7EB4FF39"/>
    <w:rsid w:val="7F37ECAE"/>
    <w:rsid w:val="7F8F8A1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11628"/>
  <w15:docId w15:val="{C5FC7903-4AF8-419C-933D-D8030F4C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8"/>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6"/>
      </w:numPr>
    </w:pPr>
  </w:style>
  <w:style w:type="numbering" w:customStyle="1" w:styleId="CBDHeadings">
    <w:name w:val="CBD_Headings"/>
    <w:basedOn w:val="ListCBD"/>
    <w:uiPriority w:val="99"/>
    <w:rsid w:val="00866063"/>
    <w:pPr>
      <w:numPr>
        <w:numId w:val="7"/>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graph">
    <w:name w:val="paragraph"/>
    <w:basedOn w:val="Normal"/>
    <w:rsid w:val="003F6EC1"/>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normaltextrun">
    <w:name w:val="normaltextrun"/>
    <w:basedOn w:val="DefaultParagraphFont"/>
    <w:rsid w:val="003F6EC1"/>
  </w:style>
  <w:style w:type="character" w:customStyle="1" w:styleId="scxw207255067">
    <w:name w:val="scxw207255067"/>
    <w:basedOn w:val="DefaultParagraphFont"/>
    <w:rsid w:val="003F6EC1"/>
  </w:style>
  <w:style w:type="character" w:customStyle="1" w:styleId="eop">
    <w:name w:val="eop"/>
    <w:basedOn w:val="DefaultParagraphFont"/>
    <w:rsid w:val="003F6EC1"/>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D1E60"/>
    <w:pPr>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np-mop/?m=np-mop-05" TargetMode="External"/><Relationship Id="rId26" Type="http://schemas.openxmlformats.org/officeDocument/2006/relationships/hyperlink" Target="https://www.cbd.int/decisions/cop?m=cop-14" TargetMode="External"/><Relationship Id="rId39" Type="http://schemas.openxmlformats.org/officeDocument/2006/relationships/theme" Target="theme/theme1.xml"/><Relationship Id="rId21" Type="http://schemas.openxmlformats.org/officeDocument/2006/relationships/hyperlink" Target="https://www.cbd.int/decisions/cop/?m=cop-16"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yperlink" Target="https://www.cbd.int/decisions/cop/?m=cop-16"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ocuments/CBD/SBI/7/15/ADD1" TargetMode="External"/><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I/6/INF/1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ocuments/CBD/SBI/7/14/ADD1" TargetMode="External"/><Relationship Id="rId30" Type="http://schemas.openxmlformats.org/officeDocument/2006/relationships/hyperlink" Target="https://www.cbd.int/documents/CBD/SBI/6/10"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MOP/12/1"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4" Type="http://schemas.openxmlformats.org/officeDocument/2006/relationships/hyperlink" Target="https://www.cbd.int/documents/CBD/NP/MOP/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sbi-0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30D00C199F4F7295DEF710CB577B8B"/>
        <w:category>
          <w:name w:val="General"/>
          <w:gallery w:val="placeholder"/>
        </w:category>
        <w:types>
          <w:type w:val="bbPlcHdr"/>
        </w:types>
        <w:behaviors>
          <w:behavior w:val="content"/>
        </w:behaviors>
        <w:guid w:val="{AF837FE0-919B-4988-9CC8-84DA66CEEDBD}"/>
      </w:docPartPr>
      <w:docPartBody>
        <w:p w:rsidR="00E75F7B" w:rsidRDefault="00E75F7B">
          <w:pPr>
            <w:pStyle w:val="3330D00C199F4F7295DEF710CB577B8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7B"/>
    <w:rsid w:val="00031B07"/>
    <w:rsid w:val="001111C4"/>
    <w:rsid w:val="0017767A"/>
    <w:rsid w:val="001B668E"/>
    <w:rsid w:val="001B6759"/>
    <w:rsid w:val="002112B6"/>
    <w:rsid w:val="00252CCC"/>
    <w:rsid w:val="0028707B"/>
    <w:rsid w:val="002F2E10"/>
    <w:rsid w:val="003209A6"/>
    <w:rsid w:val="00323C88"/>
    <w:rsid w:val="0036679A"/>
    <w:rsid w:val="00413795"/>
    <w:rsid w:val="004665BE"/>
    <w:rsid w:val="00471C2D"/>
    <w:rsid w:val="004D41CA"/>
    <w:rsid w:val="004F013A"/>
    <w:rsid w:val="00543451"/>
    <w:rsid w:val="00544D19"/>
    <w:rsid w:val="00613E0F"/>
    <w:rsid w:val="006B13EE"/>
    <w:rsid w:val="006E3CE0"/>
    <w:rsid w:val="00770727"/>
    <w:rsid w:val="00786C19"/>
    <w:rsid w:val="007A7039"/>
    <w:rsid w:val="007D7556"/>
    <w:rsid w:val="008906FD"/>
    <w:rsid w:val="00893B50"/>
    <w:rsid w:val="008C76B3"/>
    <w:rsid w:val="008F1961"/>
    <w:rsid w:val="00963E2A"/>
    <w:rsid w:val="00973D8A"/>
    <w:rsid w:val="00A43C06"/>
    <w:rsid w:val="00A57E5A"/>
    <w:rsid w:val="00A74A28"/>
    <w:rsid w:val="00B436B4"/>
    <w:rsid w:val="00B74C90"/>
    <w:rsid w:val="00BF7B16"/>
    <w:rsid w:val="00CF4527"/>
    <w:rsid w:val="00D41FE4"/>
    <w:rsid w:val="00DB7B9C"/>
    <w:rsid w:val="00E14A23"/>
    <w:rsid w:val="00E412C2"/>
    <w:rsid w:val="00E75F7B"/>
    <w:rsid w:val="00F06648"/>
    <w:rsid w:val="00F623A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330D00C199F4F7295DEF710CB577B8B">
    <w:name w:val="3330D00C199F4F7295DEF710CB577B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2C542E-0846-4ECA-A0DF-20348BF5C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 id="{c307faef-2b20-4230-8fe2-82615b77dcea}" enabled="0" method="" siteId="{c307faef-2b20-4230-8fe2-82615b77dcea}" removed="1"/>
</clbl:labelList>
</file>

<file path=docProps/app.xml><?xml version="1.0" encoding="utf-8"?>
<Properties xmlns="http://schemas.openxmlformats.org/officeDocument/2006/extended-properties" xmlns:vt="http://schemas.openxmlformats.org/officeDocument/2006/docPropsVTypes">
  <Template>sbi-07-template-en (1).dotm</Template>
  <TotalTime>2368</TotalTime>
  <Pages>10</Pages>
  <Words>4928</Words>
  <Characters>28095</Characters>
  <Application>Microsoft Office Word</Application>
  <DocSecurity>0</DocSecurity>
  <Lines>234</Lines>
  <Paragraphs>65</Paragraphs>
  <ScaleCrop>false</ScaleCrop>
  <Company>SCBD</Company>
  <LinksUpToDate>false</LinksUpToDate>
  <CharactersWithSpaces>32958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de la Convention et de ses Protocoles pour l'exercice biennal 2025-2026</dc:title>
  <dc:subject>CBD/SBI/7/14-CBD/COP/17/3-CBD/CP/MOP/12/4-CBD/NP/MOP/6/4</dc:subject>
  <dc:creator>Nada Matta</dc:creator>
  <cp:keywords>Convention on Biological Diversity</cp:keywords>
  <cp:lastModifiedBy>Mariko Nishi</cp:lastModifiedBy>
  <cp:revision>189</cp:revision>
  <cp:lastPrinted>2020-01-21T19:56:00Z</cp:lastPrinted>
  <dcterms:created xsi:type="dcterms:W3CDTF">2026-07-15T15:39:00Z</dcterms:created>
  <dcterms:modified xsi:type="dcterms:W3CDTF">2026-07-20T16:51:00Z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