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9F7128" w:rsidP="0084008D">
            <w:pPr>
              <w:tabs>
                <w:tab w:val="left" w:pos="-720"/>
              </w:tabs>
              <w:suppressAutoHyphens/>
              <w:jc w:val="center"/>
              <w:rPr>
                <w:b/>
                <w:bCs/>
                <w:lang w:bidi="ar-EG"/>
              </w:rPr>
            </w:pPr>
            <w:r w:rsidRPr="00E440E5">
              <w:rPr>
                <w:b/>
                <w:noProof/>
                <w:lang w:val="en-GB" w:eastAsia="en-GB"/>
              </w:rPr>
              <w:drawing>
                <wp:inline distT="0" distB="0" distL="0" distR="0">
                  <wp:extent cx="685800" cy="556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5626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9F7128" w:rsidP="0084008D">
            <w:pPr>
              <w:tabs>
                <w:tab w:val="left" w:pos="-720"/>
              </w:tabs>
              <w:suppressAutoHyphens/>
              <w:spacing w:before="120"/>
              <w:jc w:val="center"/>
            </w:pPr>
            <w:r w:rsidRPr="00E440E5">
              <w:rPr>
                <w:noProof/>
                <w:lang w:val="en-GB" w:eastAsia="en-GB"/>
              </w:rPr>
              <w:drawing>
                <wp:inline distT="0" distB="0" distL="0" distR="0">
                  <wp:extent cx="5029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9F7128" w:rsidRDefault="00AB2DD6" w:rsidP="009F7128">
            <w:pPr>
              <w:bidi w:val="0"/>
              <w:rPr>
                <w:rFonts w:asciiTheme="majorBidi" w:hAnsiTheme="majorBidi" w:cstheme="majorBidi"/>
                <w:sz w:val="22"/>
                <w:szCs w:val="22"/>
                <w:lang w:val="en-CA" w:bidi="ar-EG"/>
              </w:rPr>
            </w:pPr>
            <w:r w:rsidRPr="009F7128">
              <w:rPr>
                <w:rFonts w:asciiTheme="majorBidi" w:hAnsiTheme="majorBidi" w:cstheme="majorBidi"/>
                <w:snapToGrid w:val="0"/>
                <w:kern w:val="22"/>
                <w:sz w:val="22"/>
                <w:szCs w:val="22"/>
              </w:rPr>
              <w:t>CBD/SBI/2/</w:t>
            </w:r>
            <w:r w:rsidR="009F7128" w:rsidRPr="009F7128">
              <w:rPr>
                <w:rFonts w:asciiTheme="majorBidi" w:hAnsiTheme="majorBidi" w:cstheme="majorBidi"/>
                <w:snapToGrid w:val="0"/>
                <w:kern w:val="22"/>
                <w:sz w:val="22"/>
                <w:szCs w:val="22"/>
                <w:rtl/>
              </w:rPr>
              <w:t>7</w:t>
            </w:r>
          </w:p>
          <w:p w:rsidR="00D67361" w:rsidRPr="009F7128" w:rsidRDefault="009F7128" w:rsidP="009F7128">
            <w:pPr>
              <w:bidi w:val="0"/>
              <w:jc w:val="left"/>
              <w:rPr>
                <w:rFonts w:eastAsia="MS Mincho"/>
                <w:sz w:val="22"/>
                <w:szCs w:val="22"/>
                <w:lang w:eastAsia="ja-JP"/>
              </w:rPr>
            </w:pPr>
            <w:r>
              <w:rPr>
                <w:rFonts w:hint="cs"/>
                <w:sz w:val="22"/>
                <w:szCs w:val="22"/>
                <w:rtl/>
              </w:rPr>
              <w:t>12</w:t>
            </w:r>
            <w:r w:rsidR="00395EE5" w:rsidRPr="009F7128">
              <w:rPr>
                <w:sz w:val="22"/>
                <w:szCs w:val="22"/>
              </w:rPr>
              <w:t xml:space="preserve"> </w:t>
            </w:r>
            <w:r>
              <w:rPr>
                <w:sz w:val="22"/>
                <w:szCs w:val="22"/>
              </w:rPr>
              <w:t>May</w:t>
            </w:r>
            <w:r w:rsidR="00395EE5" w:rsidRPr="009F7128">
              <w:rPr>
                <w:sz w:val="22"/>
                <w:szCs w:val="22"/>
              </w:rPr>
              <w:t xml:space="preserve"> </w:t>
            </w:r>
            <w:r>
              <w:rPr>
                <w:sz w:val="22"/>
                <w:szCs w:val="22"/>
              </w:rPr>
              <w:t>2018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9F7128" w:rsidP="0084008D">
            <w:pPr>
              <w:tabs>
                <w:tab w:val="left" w:pos="-720"/>
              </w:tabs>
              <w:suppressAutoHyphens/>
              <w:spacing w:before="120"/>
              <w:jc w:val="both"/>
              <w:rPr>
                <w:rtl/>
                <w:lang w:bidi="ar-EG"/>
              </w:rPr>
            </w:pPr>
            <w:r w:rsidRPr="00E440E5">
              <w:rPr>
                <w:b/>
                <w:bCs/>
                <w:noProof/>
                <w:sz w:val="36"/>
                <w:szCs w:val="36"/>
                <w:rtl/>
                <w:lang w:val="en-GB" w:eastAsia="en-GB"/>
              </w:rPr>
              <w:drawing>
                <wp:inline distT="0" distB="0" distL="0" distR="0">
                  <wp:extent cx="2560320" cy="1028700"/>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AB2DD6">
        <w:rPr>
          <w:rFonts w:hint="cs"/>
          <w:sz w:val="26"/>
          <w:szCs w:val="26"/>
          <w:rtl/>
          <w:lang w:bidi="ar-EG"/>
        </w:rPr>
        <w:t>يوليو</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9F7128">
      <w:pPr>
        <w:rPr>
          <w:sz w:val="26"/>
          <w:szCs w:val="26"/>
          <w:rtl/>
          <w:lang w:bidi="ar-EG"/>
        </w:rPr>
      </w:pPr>
      <w:r>
        <w:rPr>
          <w:rFonts w:hint="cs"/>
          <w:sz w:val="26"/>
          <w:szCs w:val="26"/>
          <w:rtl/>
          <w:lang w:bidi="ar-EG"/>
        </w:rPr>
        <w:t xml:space="preserve">البند </w:t>
      </w:r>
      <w:r w:rsidR="009F7128">
        <w:rPr>
          <w:sz w:val="26"/>
          <w:szCs w:val="26"/>
          <w:lang w:bidi="ar-EG"/>
        </w:rPr>
        <w:t>8</w:t>
      </w:r>
      <w:r>
        <w:rPr>
          <w:rFonts w:hint="cs"/>
          <w:sz w:val="26"/>
          <w:szCs w:val="26"/>
          <w:rtl/>
          <w:lang w:bidi="ar-EG"/>
        </w:rPr>
        <w:t xml:space="preserve"> من جدول الأعمال المؤق</w:t>
      </w:r>
      <w:r w:rsidR="009F7128">
        <w:rPr>
          <w:rFonts w:hint="cs"/>
          <w:sz w:val="26"/>
          <w:szCs w:val="26"/>
          <w:rtl/>
          <w:lang w:bidi="ar-EG"/>
        </w:rPr>
        <w:t>ت</w:t>
      </w:r>
      <w:r w:rsidR="009F7128">
        <w:rPr>
          <w:rStyle w:val="FootnoteReference"/>
          <w:sz w:val="26"/>
          <w:rtl/>
        </w:rPr>
        <w:footnoteReference w:customMarkFollows="1" w:id="1"/>
        <w:t>*</w:t>
      </w:r>
    </w:p>
    <w:p w:rsidR="0008758D" w:rsidRPr="00E440E5" w:rsidRDefault="0008758D" w:rsidP="000E409E">
      <w:pPr>
        <w:spacing w:line="120" w:lineRule="auto"/>
        <w:rPr>
          <w:lang w:bidi="ar-EG"/>
        </w:rPr>
      </w:pPr>
    </w:p>
    <w:p w:rsidR="009F7128" w:rsidRPr="004966A2" w:rsidRDefault="009F7128" w:rsidP="009F7128">
      <w:pPr>
        <w:suppressLineNumbers/>
        <w:suppressAutoHyphens/>
        <w:kinsoku w:val="0"/>
        <w:overflowPunct w:val="0"/>
        <w:autoSpaceDE w:val="0"/>
        <w:autoSpaceDN w:val="0"/>
        <w:adjustRightInd w:val="0"/>
        <w:snapToGrid w:val="0"/>
        <w:rPr>
          <w:rFonts w:ascii="Simplified Arabic" w:hAnsi="Simplified Arabic"/>
          <w:snapToGrid w:val="0"/>
          <w:kern w:val="22"/>
          <w:szCs w:val="22"/>
          <w:lang w:eastAsia="nb-NO"/>
        </w:rPr>
      </w:pPr>
    </w:p>
    <w:p w:rsidR="009F7128" w:rsidRPr="000F6BDE" w:rsidRDefault="009F7128" w:rsidP="009F712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iCs/>
          <w:caps/>
          <w:snapToGrid w:val="0"/>
          <w:kern w:val="22"/>
          <w:szCs w:val="22"/>
          <w:lang w:val="en-US" w:bidi="ar-EG"/>
        </w:rPr>
      </w:pPr>
      <w:r>
        <w:rPr>
          <w:rFonts w:ascii="Simplified Arabic" w:hAnsi="Simplified Arabic" w:cs="Simplified Arabic" w:hint="cs"/>
          <w:iCs/>
          <w:sz w:val="26"/>
          <w:szCs w:val="26"/>
          <w:rtl/>
          <w:lang w:bidi="ar-EG"/>
        </w:rPr>
        <w:t xml:space="preserve">حشد </w:t>
      </w:r>
      <w:r w:rsidRPr="00070E37">
        <w:rPr>
          <w:rFonts w:ascii="Simplified Arabic" w:hAnsi="Simplified Arabic" w:cs="Simplified Arabic" w:hint="cs"/>
          <w:i/>
          <w:sz w:val="26"/>
          <w:szCs w:val="26"/>
          <w:rtl/>
          <w:lang w:bidi="ar-EG"/>
        </w:rPr>
        <w:t>الموارد</w:t>
      </w:r>
    </w:p>
    <w:p w:rsidR="009F7128" w:rsidRPr="000F6BDE" w:rsidRDefault="009F7128" w:rsidP="009F712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b w:val="0"/>
          <w:bCs w:val="0"/>
          <w:i/>
          <w:iCs/>
          <w:snapToGrid w:val="0"/>
          <w:kern w:val="22"/>
          <w:szCs w:val="22"/>
          <w:lang w:val="en-US"/>
        </w:rPr>
      </w:pPr>
      <w:r w:rsidRPr="00070E37">
        <w:rPr>
          <w:rFonts w:ascii="Simplified Arabic" w:hAnsi="Simplified Arabic" w:cs="Simplified Arabic"/>
          <w:b w:val="0"/>
          <w:bCs w:val="0"/>
          <w:i/>
          <w:iCs/>
          <w:rtl/>
          <w:lang w:bidi="ar-EG"/>
        </w:rPr>
        <w:t>مذكرة من الأمين التنفيذي</w:t>
      </w:r>
    </w:p>
    <w:p w:rsidR="009F7128" w:rsidRPr="004966A2" w:rsidRDefault="009F7128" w:rsidP="009F7128">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sidRPr="004966A2">
        <w:rPr>
          <w:rFonts w:ascii="Simplified Arabic" w:hAnsi="Simplified Arabic" w:cs="Simplified Arabic"/>
          <w:b w:val="0"/>
          <w:sz w:val="26"/>
          <w:szCs w:val="26"/>
          <w:rtl/>
          <w:lang w:bidi="ar-EG"/>
        </w:rPr>
        <w:t>مقدمة</w:t>
      </w:r>
    </w:p>
    <w:p w:rsidR="009F7128" w:rsidRPr="00D9578F" w:rsidRDefault="00B06CC1" w:rsidP="00C7642D">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 xml:space="preserve">في الفقرة 1 من المقرر </w:t>
      </w:r>
      <w:hyperlink r:id="rId11" w:history="1">
        <w:r w:rsidRPr="00B06CC1">
          <w:rPr>
            <w:rStyle w:val="Hyperlink"/>
            <w:rFonts w:ascii="Simplified Arabic" w:hAnsi="Simplified Arabic" w:hint="cs"/>
            <w:sz w:val="24"/>
            <w:rtl/>
            <w:lang w:bidi="ar-EG"/>
          </w:rPr>
          <w:t>12/3</w:t>
        </w:r>
      </w:hyperlink>
      <w:r>
        <w:rPr>
          <w:rFonts w:ascii="Simplified Arabic" w:hAnsi="Simplified Arabic" w:hint="cs"/>
          <w:sz w:val="24"/>
          <w:rtl/>
          <w:lang w:bidi="ar-EG"/>
        </w:rPr>
        <w:t xml:space="preserve">، اعتمد مؤتمر الأطراف </w:t>
      </w:r>
      <w:r w:rsidR="00E0013F">
        <w:rPr>
          <w:rFonts w:ascii="Simplified Arabic" w:hAnsi="Simplified Arabic" w:hint="cs"/>
          <w:sz w:val="24"/>
          <w:rtl/>
          <w:lang w:bidi="ar-EG"/>
        </w:rPr>
        <w:t>أهدافا بشأن</w:t>
      </w:r>
      <w:r>
        <w:rPr>
          <w:rFonts w:ascii="Simplified Arabic" w:hAnsi="Simplified Arabic" w:hint="cs"/>
          <w:sz w:val="24"/>
          <w:rtl/>
          <w:lang w:bidi="ar-EG"/>
        </w:rPr>
        <w:t xml:space="preserve"> الموارد في إطار الهدف 20 من أهداف أيشي للتنوع البيولوجي الواردة في الخطة الاستراتيجية للتنوع البيولوجي 2011-2020. واستعرض مؤتمر الأطراف، في اجتماعه الثالث عشر، التقدم المحرز في بلوغ هذه الأهداف، استنادا إلى تحليل للمعلومات المقدمة من الأطراف من خلال إطار الإبلاغ المالي، </w:t>
      </w:r>
      <w:r w:rsidR="00E0013F">
        <w:rPr>
          <w:rFonts w:ascii="Simplified Arabic" w:hAnsi="Simplified Arabic" w:hint="cs"/>
          <w:sz w:val="24"/>
          <w:rtl/>
          <w:lang w:bidi="ar-EG"/>
        </w:rPr>
        <w:t>و</w:t>
      </w:r>
      <w:r>
        <w:rPr>
          <w:rFonts w:ascii="Simplified Arabic" w:hAnsi="Simplified Arabic" w:hint="cs"/>
          <w:sz w:val="24"/>
          <w:rtl/>
          <w:lang w:bidi="ar-EG"/>
        </w:rPr>
        <w:t>طلب إلى الأمين التنفيذي</w:t>
      </w:r>
      <w:r w:rsidR="00E0013F">
        <w:rPr>
          <w:rFonts w:ascii="Simplified Arabic" w:hAnsi="Simplified Arabic" w:hint="cs"/>
          <w:sz w:val="24"/>
          <w:rtl/>
          <w:lang w:bidi="ar-EG"/>
        </w:rPr>
        <w:t xml:space="preserve">، في </w:t>
      </w:r>
      <w:r w:rsidR="00C7642D">
        <w:rPr>
          <w:rFonts w:ascii="Simplified Arabic" w:hAnsi="Simplified Arabic" w:hint="cs"/>
          <w:sz w:val="24"/>
          <w:rtl/>
          <w:lang w:bidi="ar-EG"/>
        </w:rPr>
        <w:t xml:space="preserve">الفقرة 9 من </w:t>
      </w:r>
      <w:r w:rsidR="00E0013F">
        <w:rPr>
          <w:rFonts w:ascii="Simplified Arabic" w:hAnsi="Simplified Arabic" w:hint="cs"/>
          <w:sz w:val="24"/>
          <w:rtl/>
          <w:lang w:bidi="ar-EG"/>
        </w:rPr>
        <w:t xml:space="preserve">المقرر </w:t>
      </w:r>
      <w:hyperlink r:id="rId12" w:history="1">
        <w:r w:rsidR="00E0013F" w:rsidRPr="00B06CC1">
          <w:rPr>
            <w:rStyle w:val="Hyperlink"/>
            <w:rFonts w:ascii="Simplified Arabic" w:hAnsi="Simplified Arabic" w:hint="cs"/>
            <w:sz w:val="24"/>
            <w:rtl/>
            <w:lang w:bidi="ar-EG"/>
          </w:rPr>
          <w:t>13/20</w:t>
        </w:r>
      </w:hyperlink>
      <w:r w:rsidR="00E0013F">
        <w:rPr>
          <w:rFonts w:ascii="Simplified Arabic" w:hAnsi="Simplified Arabic" w:hint="cs"/>
          <w:sz w:val="24"/>
          <w:rtl/>
          <w:lang w:bidi="ar-EG"/>
        </w:rPr>
        <w:t>،</w:t>
      </w:r>
      <w:r>
        <w:rPr>
          <w:rFonts w:ascii="Simplified Arabic" w:hAnsi="Simplified Arabic" w:hint="cs"/>
          <w:sz w:val="24"/>
          <w:rtl/>
          <w:lang w:bidi="ar-EG"/>
        </w:rPr>
        <w:t xml:space="preserve"> </w:t>
      </w:r>
      <w:r w:rsidR="00E0013F">
        <w:rPr>
          <w:rFonts w:ascii="Simplified Arabic" w:hAnsi="Simplified Arabic" w:hint="cs"/>
          <w:sz w:val="24"/>
          <w:rtl/>
          <w:lang w:bidi="ar-EG"/>
        </w:rPr>
        <w:t>أن يعد</w:t>
      </w:r>
      <w:r>
        <w:rPr>
          <w:rFonts w:ascii="Simplified Arabic" w:hAnsi="Simplified Arabic" w:hint="cs"/>
          <w:sz w:val="24"/>
          <w:rtl/>
          <w:lang w:bidi="ar-EG"/>
        </w:rPr>
        <w:t xml:space="preserve"> تقييم</w:t>
      </w:r>
      <w:r w:rsidR="00E0013F">
        <w:rPr>
          <w:rFonts w:ascii="Simplified Arabic" w:hAnsi="Simplified Arabic" w:hint="cs"/>
          <w:sz w:val="24"/>
          <w:rtl/>
          <w:lang w:bidi="ar-EG"/>
        </w:rPr>
        <w:t>ا</w:t>
      </w:r>
      <w:r>
        <w:rPr>
          <w:rFonts w:ascii="Simplified Arabic" w:hAnsi="Simplified Arabic" w:hint="cs"/>
          <w:sz w:val="24"/>
          <w:rtl/>
          <w:lang w:bidi="ar-EG"/>
        </w:rPr>
        <w:t xml:space="preserve"> وتحليل</w:t>
      </w:r>
      <w:r w:rsidR="00E0013F">
        <w:rPr>
          <w:rFonts w:ascii="Simplified Arabic" w:hAnsi="Simplified Arabic" w:hint="cs"/>
          <w:sz w:val="24"/>
          <w:rtl/>
          <w:lang w:bidi="ar-EG"/>
        </w:rPr>
        <w:t>ا</w:t>
      </w:r>
      <w:r>
        <w:rPr>
          <w:rFonts w:ascii="Simplified Arabic" w:hAnsi="Simplified Arabic" w:hint="cs"/>
          <w:sz w:val="24"/>
          <w:rtl/>
          <w:lang w:bidi="ar-EG"/>
        </w:rPr>
        <w:t xml:space="preserve"> محدّث</w:t>
      </w:r>
      <w:r w:rsidR="00E0013F">
        <w:rPr>
          <w:rFonts w:ascii="Simplified Arabic" w:hAnsi="Simplified Arabic" w:hint="cs"/>
          <w:sz w:val="24"/>
          <w:rtl/>
          <w:lang w:bidi="ar-EG"/>
        </w:rPr>
        <w:t>ا للتقارير المالية المستلمة، لكي تنظر فيه</w:t>
      </w:r>
      <w:r>
        <w:rPr>
          <w:rFonts w:ascii="Simplified Arabic" w:hAnsi="Simplified Arabic" w:hint="cs"/>
          <w:sz w:val="24"/>
          <w:rtl/>
          <w:lang w:bidi="ar-EG"/>
        </w:rPr>
        <w:t xml:space="preserve">ا الهيئة الفرعية للتنفيذ في اجتماعها الثاني، بغية تقديم توصيات إلى مؤتمر الأطراف في اجتماعه الرابع عشر. وبت مؤتمر الأطراف أيضا في سلسلة من الأنشطة التشغيلية، الواردة بالتفصيل أدناه، </w:t>
      </w:r>
      <w:r w:rsidR="00E0013F">
        <w:rPr>
          <w:rFonts w:ascii="Simplified Arabic" w:hAnsi="Simplified Arabic" w:hint="cs"/>
          <w:sz w:val="24"/>
          <w:rtl/>
          <w:lang w:bidi="ar-EG"/>
        </w:rPr>
        <w:t>التي من المقرر</w:t>
      </w:r>
      <w:r>
        <w:rPr>
          <w:rFonts w:ascii="Simplified Arabic" w:hAnsi="Simplified Arabic" w:hint="cs"/>
          <w:sz w:val="24"/>
          <w:rtl/>
          <w:lang w:bidi="ar-EG"/>
        </w:rPr>
        <w:t xml:space="preserve"> أن تضطلع بها الأطراف، والحكومات الأخرى، والمنظمات والمبادرات الدولية ذات الصلة والأمين التنفيذي.</w:t>
      </w:r>
    </w:p>
    <w:p w:rsidR="00D9578F" w:rsidRPr="008562CB" w:rsidRDefault="00D9578F" w:rsidP="00C7642D">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 xml:space="preserve">وتقدم هذه </w:t>
      </w:r>
      <w:r w:rsidR="00C7642D">
        <w:rPr>
          <w:rFonts w:ascii="Simplified Arabic" w:hAnsi="Simplified Arabic" w:hint="cs"/>
          <w:sz w:val="24"/>
          <w:rtl/>
          <w:lang w:bidi="ar-EG"/>
        </w:rPr>
        <w:t>الوثيقة</w:t>
      </w:r>
      <w:r w:rsidR="00E0013F">
        <w:rPr>
          <w:rFonts w:ascii="Simplified Arabic" w:hAnsi="Simplified Arabic" w:hint="cs"/>
          <w:sz w:val="24"/>
          <w:rtl/>
          <w:lang w:bidi="ar-EG"/>
        </w:rPr>
        <w:t>،</w:t>
      </w:r>
      <w:r>
        <w:rPr>
          <w:rFonts w:ascii="Simplified Arabic" w:hAnsi="Simplified Arabic" w:hint="cs"/>
          <w:sz w:val="24"/>
          <w:rtl/>
          <w:lang w:bidi="ar-EG"/>
        </w:rPr>
        <w:t xml:space="preserve"> في القسم ثانيا</w:t>
      </w:r>
      <w:r w:rsidR="00E0013F">
        <w:rPr>
          <w:rFonts w:ascii="Simplified Arabic" w:hAnsi="Simplified Arabic" w:hint="cs"/>
          <w:sz w:val="24"/>
          <w:rtl/>
          <w:lang w:bidi="ar-EG"/>
        </w:rPr>
        <w:t>،</w:t>
      </w:r>
      <w:r>
        <w:rPr>
          <w:rFonts w:ascii="Simplified Arabic" w:hAnsi="Simplified Arabic" w:hint="cs"/>
          <w:sz w:val="24"/>
          <w:rtl/>
          <w:lang w:bidi="ar-EG"/>
        </w:rPr>
        <w:t xml:space="preserve"> </w:t>
      </w:r>
      <w:r w:rsidR="00E0013F">
        <w:rPr>
          <w:rFonts w:ascii="Simplified Arabic" w:hAnsi="Simplified Arabic" w:hint="cs"/>
          <w:sz w:val="24"/>
          <w:rtl/>
          <w:lang w:bidi="ar-EG"/>
        </w:rPr>
        <w:t>موجزا قصيرا</w:t>
      </w:r>
      <w:r>
        <w:rPr>
          <w:rFonts w:ascii="Simplified Arabic" w:hAnsi="Simplified Arabic" w:hint="cs"/>
          <w:sz w:val="24"/>
          <w:rtl/>
          <w:lang w:bidi="ar-EG"/>
        </w:rPr>
        <w:t xml:space="preserve"> </w:t>
      </w:r>
      <w:r w:rsidR="00447FF2">
        <w:rPr>
          <w:rFonts w:ascii="Simplified Arabic" w:hAnsi="Simplified Arabic" w:hint="cs"/>
          <w:sz w:val="24"/>
          <w:rtl/>
          <w:lang w:bidi="ar-EG"/>
        </w:rPr>
        <w:t>للتقييم والتحليل المحدّث</w:t>
      </w:r>
      <w:r w:rsidR="00E0013F">
        <w:rPr>
          <w:rFonts w:ascii="Simplified Arabic" w:hAnsi="Simplified Arabic" w:hint="cs"/>
          <w:sz w:val="24"/>
          <w:rtl/>
          <w:lang w:bidi="ar-EG"/>
        </w:rPr>
        <w:t xml:space="preserve"> المطلوبين ل</w:t>
      </w:r>
      <w:r w:rsidR="00447FF2">
        <w:rPr>
          <w:rFonts w:ascii="Simplified Arabic" w:hAnsi="Simplified Arabic" w:hint="cs"/>
          <w:sz w:val="24"/>
          <w:rtl/>
          <w:lang w:bidi="ar-EG"/>
        </w:rPr>
        <w:t>لتقارير المالية المستلمة؛ ويرد</w:t>
      </w:r>
      <w:r w:rsidR="00E0013F">
        <w:rPr>
          <w:rFonts w:ascii="Simplified Arabic" w:hAnsi="Simplified Arabic" w:hint="cs"/>
          <w:sz w:val="24"/>
          <w:rtl/>
          <w:lang w:bidi="ar-EG"/>
        </w:rPr>
        <w:t xml:space="preserve"> التحليل الكامل</w:t>
      </w:r>
      <w:r w:rsidR="00447FF2">
        <w:rPr>
          <w:rFonts w:ascii="Simplified Arabic" w:hAnsi="Simplified Arabic" w:hint="cs"/>
          <w:sz w:val="24"/>
          <w:rtl/>
          <w:lang w:bidi="ar-EG"/>
        </w:rPr>
        <w:t xml:space="preserve"> في الوثيقة </w:t>
      </w:r>
      <w:r w:rsidR="00447FF2" w:rsidRPr="00B840DD">
        <w:rPr>
          <w:kern w:val="22"/>
          <w:szCs w:val="22"/>
        </w:rPr>
        <w:t>CBD/SBI/2/7/Add.1</w:t>
      </w:r>
      <w:r w:rsidR="00447FF2">
        <w:rPr>
          <w:rFonts w:ascii="Simplified Arabic" w:hAnsi="Simplified Arabic" w:hint="cs"/>
          <w:sz w:val="24"/>
          <w:rtl/>
          <w:lang w:bidi="ar-EG"/>
        </w:rPr>
        <w:t>. ويقدم القسم ثالثا تقريرا مرحليا واستنتاجات ناجمة عن تنفيذ الأنشطة الو</w:t>
      </w:r>
      <w:r w:rsidR="00E0013F">
        <w:rPr>
          <w:rFonts w:ascii="Simplified Arabic" w:hAnsi="Simplified Arabic" w:hint="cs"/>
          <w:sz w:val="24"/>
          <w:rtl/>
          <w:lang w:bidi="ar-EG"/>
        </w:rPr>
        <w:t>اردة في المقرر 13/20. ويتضمن هذا</w:t>
      </w:r>
      <w:r w:rsidR="00447FF2">
        <w:rPr>
          <w:rFonts w:ascii="Simplified Arabic" w:hAnsi="Simplified Arabic" w:hint="cs"/>
          <w:sz w:val="24"/>
          <w:rtl/>
          <w:lang w:bidi="ar-EG"/>
        </w:rPr>
        <w:t xml:space="preserve"> القسم موجزا لتحليل التقدم المحرز في تنفيذ المعالم الرئيسية للتنفيذ الكامل للهدف 3 من أهداف أيشي للتنوع البيولوجي، كما طُلب في الفقرة 25 من المقرر 13/20. ويقدم القسم رابعا اعتبارات تتعلق بعملية إعداد الإطار العالمي للتنوع البيولوجي لما بعد عام 2020، ولاسيما العناصر المرتبطة بهذا الإطار </w:t>
      </w:r>
      <w:r w:rsidR="00E0013F">
        <w:rPr>
          <w:rFonts w:ascii="Simplified Arabic" w:hAnsi="Simplified Arabic" w:hint="cs"/>
          <w:sz w:val="24"/>
          <w:rtl/>
          <w:lang w:bidi="ar-EG"/>
        </w:rPr>
        <w:t>و</w:t>
      </w:r>
      <w:r w:rsidR="00447FF2">
        <w:rPr>
          <w:rFonts w:ascii="Simplified Arabic" w:hAnsi="Simplified Arabic" w:hint="cs"/>
          <w:sz w:val="24"/>
          <w:rtl/>
          <w:lang w:bidi="ar-EG"/>
        </w:rPr>
        <w:t>ذات الصلة بحشد الموارد. ويعرض</w:t>
      </w:r>
      <w:r w:rsidR="007937E6">
        <w:rPr>
          <w:rFonts w:ascii="Simplified Arabic" w:hAnsi="Simplified Arabic" w:hint="cs"/>
          <w:sz w:val="24"/>
          <w:rtl/>
          <w:lang w:bidi="ar-EG"/>
        </w:rPr>
        <w:t xml:space="preserve"> القسم خامسا عناصر لمشروع توصية</w:t>
      </w:r>
      <w:r w:rsidR="00447FF2">
        <w:rPr>
          <w:rFonts w:ascii="Simplified Arabic" w:hAnsi="Simplified Arabic" w:hint="cs"/>
          <w:sz w:val="24"/>
          <w:rtl/>
          <w:lang w:bidi="ar-EG"/>
        </w:rPr>
        <w:t xml:space="preserve"> لنظر الهيئة الفرعية.</w:t>
      </w:r>
    </w:p>
    <w:p w:rsidR="008562CB" w:rsidRPr="004966A2" w:rsidRDefault="00C7642D" w:rsidP="008562CB">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Pr>
          <w:rFonts w:ascii="Simplified Arabic" w:hAnsi="Simplified Arabic" w:cs="Simplified Arabic" w:hint="cs"/>
          <w:b w:val="0"/>
          <w:sz w:val="26"/>
          <w:szCs w:val="26"/>
          <w:rtl/>
          <w:lang w:bidi="ar-EG"/>
        </w:rPr>
        <w:t>أولا</w:t>
      </w:r>
      <w:r w:rsidR="008562CB" w:rsidRPr="004966A2">
        <w:rPr>
          <w:rFonts w:ascii="Simplified Arabic" w:hAnsi="Simplified Arabic" w:cs="Simplified Arabic"/>
          <w:b w:val="0"/>
          <w:sz w:val="26"/>
          <w:szCs w:val="26"/>
          <w:rtl/>
          <w:lang w:bidi="ar-EG"/>
        </w:rPr>
        <w:t>-</w:t>
      </w:r>
      <w:r w:rsidR="008562CB" w:rsidRPr="004966A2">
        <w:rPr>
          <w:rFonts w:ascii="Simplified Arabic" w:hAnsi="Simplified Arabic" w:cs="Simplified Arabic"/>
          <w:b w:val="0"/>
          <w:sz w:val="26"/>
          <w:szCs w:val="26"/>
          <w:rtl/>
          <w:lang w:bidi="ar-EG"/>
        </w:rPr>
        <w:tab/>
      </w:r>
      <w:r w:rsidR="008562CB">
        <w:rPr>
          <w:rFonts w:ascii="Simplified Arabic" w:hAnsi="Simplified Arabic" w:cs="Simplified Arabic" w:hint="cs"/>
          <w:b w:val="0"/>
          <w:sz w:val="26"/>
          <w:szCs w:val="26"/>
          <w:rtl/>
          <w:lang w:bidi="ar-EG"/>
        </w:rPr>
        <w:t>الإبلاغ المالي</w:t>
      </w:r>
    </w:p>
    <w:p w:rsidR="008562CB" w:rsidRDefault="008562CB" w:rsidP="00000C9D">
      <w:pPr>
        <w:numPr>
          <w:ilvl w:val="0"/>
          <w:numId w:val="28"/>
        </w:numPr>
        <w:spacing w:after="120"/>
        <w:ind w:left="0" w:firstLine="0"/>
        <w:jc w:val="both"/>
        <w:rPr>
          <w:rFonts w:ascii="Simplified Arabic" w:hAnsi="Simplified Arabic"/>
          <w:snapToGrid w:val="0"/>
          <w:kern w:val="22"/>
          <w:sz w:val="24"/>
        </w:rPr>
      </w:pPr>
      <w:r w:rsidRPr="008562CB">
        <w:rPr>
          <w:rFonts w:ascii="Simplified Arabic" w:hAnsi="Simplified Arabic" w:hint="cs"/>
          <w:snapToGrid w:val="0"/>
          <w:kern w:val="22"/>
          <w:sz w:val="24"/>
          <w:rtl/>
        </w:rPr>
        <w:t>يدعو الهدف 20 من أهداف أيشي للتنوع البيولوجي الواردة</w:t>
      </w:r>
      <w:r>
        <w:rPr>
          <w:rFonts w:ascii="Simplified Arabic" w:hAnsi="Simplified Arabic" w:hint="cs"/>
          <w:snapToGrid w:val="0"/>
          <w:kern w:val="22"/>
          <w:sz w:val="24"/>
          <w:rtl/>
        </w:rPr>
        <w:t xml:space="preserve"> في الخطة الاستراتيجية للتنوع البيولوجي 2011-2020 إلى أنه بحلول عام 2020</w:t>
      </w:r>
      <w:r w:rsidR="00B4136A">
        <w:rPr>
          <w:rFonts w:ascii="Simplified Arabic" w:hAnsi="Simplified Arabic" w:hint="cs"/>
          <w:snapToGrid w:val="0"/>
          <w:kern w:val="22"/>
          <w:sz w:val="24"/>
          <w:rtl/>
        </w:rPr>
        <w:t xml:space="preserve">، </w:t>
      </w:r>
      <w:r>
        <w:rPr>
          <w:rFonts w:ascii="Simplified Arabic" w:hAnsi="Simplified Arabic" w:hint="cs"/>
          <w:snapToGrid w:val="0"/>
          <w:kern w:val="22"/>
          <w:sz w:val="24"/>
          <w:rtl/>
        </w:rPr>
        <w:t xml:space="preserve">ينبغي إحداث زيادة محسومة في المستويات الحالية لحشد الموارد المالية </w:t>
      </w:r>
      <w:r w:rsidR="00B4136A">
        <w:rPr>
          <w:rFonts w:ascii="Simplified Arabic" w:hAnsi="Simplified Arabic" w:hint="cs"/>
          <w:snapToGrid w:val="0"/>
          <w:kern w:val="22"/>
          <w:sz w:val="24"/>
          <w:rtl/>
        </w:rPr>
        <w:t>من جميع المصادر.</w:t>
      </w:r>
      <w:r>
        <w:rPr>
          <w:rFonts w:ascii="Simplified Arabic" w:hAnsi="Simplified Arabic" w:hint="cs"/>
          <w:snapToGrid w:val="0"/>
          <w:kern w:val="22"/>
          <w:sz w:val="24"/>
          <w:rtl/>
        </w:rPr>
        <w:t xml:space="preserve"> </w:t>
      </w:r>
      <w:r w:rsidR="00C7642D">
        <w:rPr>
          <w:rFonts w:ascii="Simplified Arabic" w:hAnsi="Simplified Arabic" w:hint="cs"/>
          <w:snapToGrid w:val="0"/>
          <w:kern w:val="22"/>
          <w:sz w:val="24"/>
          <w:rtl/>
        </w:rPr>
        <w:t xml:space="preserve">وبعد </w:t>
      </w:r>
      <w:r w:rsidR="00C7642D">
        <w:rPr>
          <w:rFonts w:ascii="Simplified Arabic" w:hAnsi="Simplified Arabic" w:hint="cs"/>
          <w:snapToGrid w:val="0"/>
          <w:kern w:val="22"/>
          <w:sz w:val="24"/>
          <w:rtl/>
        </w:rPr>
        <w:lastRenderedPageBreak/>
        <w:t xml:space="preserve">أن قرر مؤتمر </w:t>
      </w:r>
      <w:r w:rsidR="00B4136A">
        <w:rPr>
          <w:rFonts w:ascii="Simplified Arabic" w:hAnsi="Simplified Arabic" w:hint="cs"/>
          <w:snapToGrid w:val="0"/>
          <w:kern w:val="22"/>
          <w:sz w:val="24"/>
          <w:rtl/>
        </w:rPr>
        <w:t xml:space="preserve">الأطراف تحقيق </w:t>
      </w:r>
      <w:r w:rsidR="00C7642D">
        <w:rPr>
          <w:rFonts w:ascii="Simplified Arabic" w:hAnsi="Simplified Arabic" w:hint="cs"/>
          <w:snapToGrid w:val="0"/>
          <w:kern w:val="22"/>
          <w:sz w:val="24"/>
          <w:rtl/>
        </w:rPr>
        <w:t>أهداف أولية محددة</w:t>
      </w:r>
      <w:r w:rsidR="00B4136A">
        <w:rPr>
          <w:rFonts w:ascii="Simplified Arabic" w:hAnsi="Simplified Arabic" w:hint="cs"/>
          <w:snapToGrid w:val="0"/>
          <w:kern w:val="22"/>
          <w:sz w:val="24"/>
          <w:rtl/>
        </w:rPr>
        <w:t xml:space="preserve"> </w:t>
      </w:r>
      <w:r w:rsidR="007937E6">
        <w:rPr>
          <w:rFonts w:ascii="Simplified Arabic" w:hAnsi="Simplified Arabic" w:hint="cs"/>
          <w:snapToGrid w:val="0"/>
          <w:kern w:val="22"/>
          <w:sz w:val="24"/>
          <w:rtl/>
        </w:rPr>
        <w:t xml:space="preserve">اعتُمدت </w:t>
      </w:r>
      <w:r w:rsidR="00B4136A">
        <w:rPr>
          <w:rFonts w:ascii="Simplified Arabic" w:hAnsi="Simplified Arabic" w:hint="cs"/>
          <w:snapToGrid w:val="0"/>
          <w:kern w:val="22"/>
          <w:sz w:val="24"/>
          <w:rtl/>
        </w:rPr>
        <w:t>في اجتماعه الحادي عشر،</w:t>
      </w:r>
      <w:r w:rsidR="003C5894">
        <w:rPr>
          <w:rStyle w:val="FootnoteReference"/>
          <w:rFonts w:ascii="Simplified Arabic" w:hAnsi="Simplified Arabic"/>
          <w:snapToGrid w:val="0"/>
          <w:kern w:val="22"/>
          <w:sz w:val="24"/>
          <w:rtl/>
        </w:rPr>
        <w:footnoteReference w:id="2"/>
      </w:r>
      <w:r w:rsidR="00B4136A">
        <w:rPr>
          <w:rFonts w:ascii="Simplified Arabic" w:hAnsi="Simplified Arabic" w:hint="cs"/>
          <w:snapToGrid w:val="0"/>
          <w:kern w:val="22"/>
          <w:sz w:val="24"/>
          <w:rtl/>
        </w:rPr>
        <w:t xml:space="preserve"> فقد اعتمد في اجتماعه الثاني عشر أهداف</w:t>
      </w:r>
      <w:r w:rsidR="00E0013F">
        <w:rPr>
          <w:rFonts w:ascii="Simplified Arabic" w:hAnsi="Simplified Arabic" w:hint="cs"/>
          <w:snapToGrid w:val="0"/>
          <w:kern w:val="22"/>
          <w:sz w:val="24"/>
          <w:rtl/>
        </w:rPr>
        <w:t>ا</w:t>
      </w:r>
      <w:r w:rsidR="00B4136A">
        <w:rPr>
          <w:rFonts w:ascii="Simplified Arabic" w:hAnsi="Simplified Arabic" w:hint="cs"/>
          <w:snapToGrid w:val="0"/>
          <w:kern w:val="22"/>
          <w:sz w:val="24"/>
          <w:rtl/>
        </w:rPr>
        <w:t xml:space="preserve"> لحشد الموارد</w:t>
      </w:r>
      <w:r w:rsidR="00C7642D">
        <w:rPr>
          <w:rFonts w:ascii="Simplified Arabic" w:hAnsi="Simplified Arabic" w:hint="cs"/>
          <w:snapToGrid w:val="0"/>
          <w:kern w:val="22"/>
          <w:sz w:val="24"/>
          <w:rtl/>
        </w:rPr>
        <w:t>،</w:t>
      </w:r>
      <w:r w:rsidR="00B4136A">
        <w:rPr>
          <w:rFonts w:ascii="Simplified Arabic" w:hAnsi="Simplified Arabic" w:hint="cs"/>
          <w:snapToGrid w:val="0"/>
          <w:kern w:val="22"/>
          <w:sz w:val="24"/>
          <w:rtl/>
        </w:rPr>
        <w:t xml:space="preserve"> في إطار الهدف 20 من أهداف أيشي، </w:t>
      </w:r>
      <w:r w:rsidR="00C7642D">
        <w:rPr>
          <w:rFonts w:ascii="Simplified Arabic" w:hAnsi="Simplified Arabic" w:hint="cs"/>
          <w:snapToGrid w:val="0"/>
          <w:kern w:val="22"/>
          <w:sz w:val="24"/>
          <w:rtl/>
        </w:rPr>
        <w:t>و</w:t>
      </w:r>
      <w:r w:rsidR="00B4136A">
        <w:rPr>
          <w:rFonts w:ascii="Simplified Arabic" w:hAnsi="Simplified Arabic" w:hint="cs"/>
          <w:snapToGrid w:val="0"/>
          <w:kern w:val="22"/>
          <w:sz w:val="24"/>
          <w:rtl/>
        </w:rPr>
        <w:t>إطار</w:t>
      </w:r>
      <w:r w:rsidR="00C7642D">
        <w:rPr>
          <w:rFonts w:ascii="Simplified Arabic" w:hAnsi="Simplified Arabic" w:hint="cs"/>
          <w:snapToGrid w:val="0"/>
          <w:kern w:val="22"/>
          <w:sz w:val="24"/>
          <w:rtl/>
        </w:rPr>
        <w:t>ا منقحا ل</w:t>
      </w:r>
      <w:r w:rsidR="00B4136A">
        <w:rPr>
          <w:rFonts w:ascii="Simplified Arabic" w:hAnsi="Simplified Arabic" w:hint="cs"/>
          <w:snapToGrid w:val="0"/>
          <w:kern w:val="22"/>
          <w:sz w:val="24"/>
          <w:rtl/>
        </w:rPr>
        <w:t>لإبلاغ المالي المراد استخدامه من جانب الأطراف لتقديم معلومات خط الأساس والإبلاغ عن مساهماتها في بلوغ هذه الأهداف</w:t>
      </w:r>
      <w:r w:rsidR="00C7642D">
        <w:rPr>
          <w:rFonts w:ascii="Simplified Arabic" w:hAnsi="Simplified Arabic" w:hint="cs"/>
          <w:snapToGrid w:val="0"/>
          <w:kern w:val="22"/>
          <w:sz w:val="24"/>
          <w:rtl/>
        </w:rPr>
        <w:t>.</w:t>
      </w:r>
      <w:r w:rsidR="00C7642D">
        <w:rPr>
          <w:rStyle w:val="FootnoteReference"/>
          <w:rFonts w:ascii="Simplified Arabic" w:hAnsi="Simplified Arabic"/>
          <w:snapToGrid w:val="0"/>
          <w:kern w:val="22"/>
          <w:sz w:val="24"/>
          <w:rtl/>
        </w:rPr>
        <w:footnoteReference w:id="3"/>
      </w:r>
      <w:r w:rsidR="003C5894">
        <w:rPr>
          <w:rFonts w:ascii="Simplified Arabic" w:hAnsi="Simplified Arabic" w:hint="cs"/>
          <w:snapToGrid w:val="0"/>
          <w:kern w:val="22"/>
          <w:sz w:val="24"/>
          <w:rtl/>
        </w:rPr>
        <w:t xml:space="preserve"> وينص إطار الإبلاغ المالي على الإبلاغ في جولتين: (أ) الإبلاغ عن خط الأساس والتقدم المحرز حتى عام 2015؛ (ب) والإبلاغ عن مزيد من التقدم حتى عام 2020. وقد أعد الأمين التنفيذي تحليلا</w:t>
      </w:r>
      <w:r w:rsidR="00E0013F">
        <w:rPr>
          <w:rFonts w:ascii="Simplified Arabic" w:hAnsi="Simplified Arabic" w:hint="cs"/>
          <w:snapToGrid w:val="0"/>
          <w:kern w:val="22"/>
          <w:sz w:val="24"/>
          <w:rtl/>
        </w:rPr>
        <w:t>ت مسبقة</w:t>
      </w:r>
      <w:r w:rsidR="003C5894">
        <w:rPr>
          <w:rFonts w:ascii="Simplified Arabic" w:hAnsi="Simplified Arabic" w:hint="cs"/>
          <w:snapToGrid w:val="0"/>
          <w:kern w:val="22"/>
          <w:sz w:val="24"/>
          <w:rtl/>
        </w:rPr>
        <w:t xml:space="preserve"> للمعلومات المستلمة من خلال أطر الإبلاغ المالي لكي تنظر فيه</w:t>
      </w:r>
      <w:r w:rsidR="00E0013F">
        <w:rPr>
          <w:rFonts w:ascii="Simplified Arabic" w:hAnsi="Simplified Arabic" w:hint="cs"/>
          <w:snapToGrid w:val="0"/>
          <w:kern w:val="22"/>
          <w:sz w:val="24"/>
          <w:rtl/>
        </w:rPr>
        <w:t>ا</w:t>
      </w:r>
      <w:r w:rsidR="003C5894">
        <w:rPr>
          <w:rFonts w:ascii="Simplified Arabic" w:hAnsi="Simplified Arabic" w:hint="cs"/>
          <w:snapToGrid w:val="0"/>
          <w:kern w:val="22"/>
          <w:sz w:val="24"/>
          <w:rtl/>
        </w:rPr>
        <w:t xml:space="preserve"> الهيئة الفرعية للتنفيذ في اجتماعها الأول</w:t>
      </w:r>
      <w:r w:rsidR="003C5894">
        <w:rPr>
          <w:rStyle w:val="FootnoteReference"/>
          <w:rFonts w:ascii="Simplified Arabic" w:hAnsi="Simplified Arabic"/>
          <w:snapToGrid w:val="0"/>
          <w:kern w:val="22"/>
          <w:sz w:val="24"/>
          <w:rtl/>
        </w:rPr>
        <w:footnoteReference w:id="4"/>
      </w:r>
      <w:r w:rsidR="003C5894">
        <w:rPr>
          <w:rFonts w:ascii="Simplified Arabic" w:hAnsi="Simplified Arabic" w:hint="cs"/>
          <w:snapToGrid w:val="0"/>
          <w:kern w:val="22"/>
          <w:sz w:val="24"/>
          <w:rtl/>
        </w:rPr>
        <w:t xml:space="preserve"> ومؤتمر الأطراف في اجتماعه الثالث عشر.</w:t>
      </w:r>
      <w:r w:rsidR="005C16A2">
        <w:rPr>
          <w:rStyle w:val="FootnoteReference"/>
          <w:rFonts w:ascii="Simplified Arabic" w:hAnsi="Simplified Arabic"/>
          <w:snapToGrid w:val="0"/>
          <w:kern w:val="22"/>
          <w:sz w:val="24"/>
          <w:rtl/>
        </w:rPr>
        <w:footnoteReference w:id="5"/>
      </w:r>
      <w:r w:rsidR="005C16A2">
        <w:rPr>
          <w:rFonts w:ascii="Simplified Arabic" w:hAnsi="Simplified Arabic" w:hint="cs"/>
          <w:snapToGrid w:val="0"/>
          <w:kern w:val="22"/>
          <w:sz w:val="24"/>
          <w:rtl/>
        </w:rPr>
        <w:t xml:space="preserve"> واستند الأخير إلى 73 تقريرا تم استلامها في 15 نوفمبر/تشرين الثاني 2016</w:t>
      </w:r>
      <w:r w:rsidR="00000C9D">
        <w:rPr>
          <w:rFonts w:ascii="Simplified Arabic" w:hAnsi="Simplified Arabic" w:hint="cs"/>
          <w:snapToGrid w:val="0"/>
          <w:kern w:val="22"/>
          <w:sz w:val="24"/>
          <w:rtl/>
        </w:rPr>
        <w:t>.</w:t>
      </w:r>
    </w:p>
    <w:p w:rsidR="005C16A2" w:rsidRDefault="00D92C5F" w:rsidP="00D92C5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w:t>
      </w:r>
      <w:r w:rsidR="005C16A2">
        <w:rPr>
          <w:rFonts w:ascii="Simplified Arabic" w:hAnsi="Simplified Arabic" w:hint="cs"/>
          <w:snapToGrid w:val="0"/>
          <w:kern w:val="22"/>
          <w:sz w:val="24"/>
          <w:rtl/>
        </w:rPr>
        <w:t xml:space="preserve">حثّ مؤتمر الأطراف في اجتماعه الثالث عشر الأطراف التي لم تقدم حتى الآن معلومات خط الأساس اللازمة على أن تفعل ذلك، في الجولة الأولى من الإبلاغ، وأن تبلغ عن التقدم المحرز في أهداف حشد الموارد بحلول 1 يوليو/تموز 2017، باستخدام إطار الإبلاغ المالي، ودعا الأطراف إلى أن تقوم، حسب الاقتضاء، بتحديث أُطرها للإبلاغ المالي كلما توافرت البيانات المؤكدة/النهائية لعام 2015، بهدف تحسين متانة البيانات. </w:t>
      </w:r>
      <w:r>
        <w:rPr>
          <w:rFonts w:ascii="Simplified Arabic" w:hAnsi="Simplified Arabic" w:hint="cs"/>
          <w:snapToGrid w:val="0"/>
          <w:kern w:val="22"/>
          <w:sz w:val="24"/>
          <w:rtl/>
        </w:rPr>
        <w:t>و</w:t>
      </w:r>
      <w:r w:rsidR="005C16A2">
        <w:rPr>
          <w:rFonts w:ascii="Simplified Arabic" w:hAnsi="Simplified Arabic" w:hint="cs"/>
          <w:snapToGrid w:val="0"/>
          <w:kern w:val="22"/>
          <w:sz w:val="24"/>
          <w:rtl/>
        </w:rPr>
        <w:t xml:space="preserve">طلب مؤتمر الأطراف إلى الأمين التنفيذي </w:t>
      </w:r>
      <w:r w:rsidR="009200C4">
        <w:rPr>
          <w:rFonts w:ascii="Simplified Arabic" w:hAnsi="Simplified Arabic" w:hint="cs"/>
          <w:snapToGrid w:val="0"/>
          <w:kern w:val="22"/>
          <w:sz w:val="24"/>
          <w:rtl/>
        </w:rPr>
        <w:t>أن يتيح على الإنترنت</w:t>
      </w:r>
      <w:r w:rsidR="005C16A2">
        <w:rPr>
          <w:rFonts w:ascii="Simplified Arabic" w:hAnsi="Simplified Arabic" w:hint="cs"/>
          <w:snapToGrid w:val="0"/>
          <w:kern w:val="22"/>
          <w:sz w:val="24"/>
          <w:rtl/>
        </w:rPr>
        <w:t xml:space="preserve"> إطار الإبلاغ المالي للجولة الثانية من الإبلاغ بحلول 1 يوليو/تموز 2017، ودعا الأطراف إلى أن تبلغ، باستخدام إطار الإبلاغ المالي على الإنترنت، عن مساهماتها الإضافية في الجهود الجماعية الرامية إلى تحقيق الأهداف العالمية لحشد الموارد</w:t>
      </w:r>
      <w:r w:rsidR="009200C4">
        <w:rPr>
          <w:rFonts w:ascii="Simplified Arabic" w:hAnsi="Simplified Arabic" w:hint="cs"/>
          <w:snapToGrid w:val="0"/>
          <w:kern w:val="22"/>
          <w:sz w:val="24"/>
          <w:rtl/>
        </w:rPr>
        <w:t xml:space="preserve"> بحلول عام 2020</w:t>
      </w:r>
      <w:r w:rsidR="005C16A2">
        <w:rPr>
          <w:rFonts w:ascii="Simplified Arabic" w:hAnsi="Simplified Arabic" w:hint="cs"/>
          <w:snapToGrid w:val="0"/>
          <w:kern w:val="22"/>
          <w:sz w:val="24"/>
          <w:rtl/>
        </w:rPr>
        <w:t>، مقابل خط الأساس المحدد، بالاقتران مع تقاريرها الوطنية السادسة، بحلول 31 ديسمبر/كانون الأول 2018.</w:t>
      </w:r>
      <w:r>
        <w:rPr>
          <w:rStyle w:val="FootnoteReference"/>
          <w:rFonts w:ascii="Simplified Arabic" w:hAnsi="Simplified Arabic"/>
          <w:snapToGrid w:val="0"/>
          <w:kern w:val="22"/>
          <w:sz w:val="24"/>
          <w:rtl/>
        </w:rPr>
        <w:footnoteReference w:id="6"/>
      </w:r>
    </w:p>
    <w:p w:rsidR="006617E1" w:rsidRDefault="006617E1" w:rsidP="005C354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وأبلغ الأمين التنفيذي الأطراف بما ذُكر أعلاه </w:t>
      </w:r>
      <w:r w:rsidR="005C3546">
        <w:rPr>
          <w:rFonts w:ascii="Simplified Arabic" w:hAnsi="Simplified Arabic" w:hint="cs"/>
          <w:snapToGrid w:val="0"/>
          <w:kern w:val="22"/>
          <w:sz w:val="24"/>
          <w:rtl/>
        </w:rPr>
        <w:t>من خلال</w:t>
      </w:r>
      <w:r w:rsidR="00591C63">
        <w:rPr>
          <w:rFonts w:ascii="Simplified Arabic" w:hAnsi="Simplified Arabic" w:hint="cs"/>
          <w:snapToGrid w:val="0"/>
          <w:kern w:val="22"/>
          <w:sz w:val="24"/>
          <w:rtl/>
        </w:rPr>
        <w:t xml:space="preserve"> </w:t>
      </w:r>
      <w:r>
        <w:rPr>
          <w:rFonts w:ascii="Simplified Arabic" w:hAnsi="Simplified Arabic" w:hint="cs"/>
          <w:snapToGrid w:val="0"/>
          <w:kern w:val="22"/>
          <w:sz w:val="24"/>
          <w:rtl/>
        </w:rPr>
        <w:t>إخطار</w:t>
      </w:r>
      <w:r w:rsidRPr="006617E1">
        <w:rPr>
          <w:rFonts w:ascii="Simplified Arabic" w:hAnsi="Simplified Arabic" w:hint="cs"/>
          <w:snapToGrid w:val="0"/>
          <w:kern w:val="22"/>
          <w:sz w:val="24"/>
          <w:rtl/>
        </w:rPr>
        <w:t xml:space="preserve"> </w:t>
      </w:r>
      <w:r w:rsidR="005C3546">
        <w:rPr>
          <w:rFonts w:ascii="Simplified Arabic" w:hAnsi="Simplified Arabic" w:hint="cs"/>
          <w:snapToGrid w:val="0"/>
          <w:kern w:val="22"/>
          <w:sz w:val="24"/>
          <w:rtl/>
        </w:rPr>
        <w:t>مؤرخ</w:t>
      </w:r>
      <w:r>
        <w:rPr>
          <w:rFonts w:ascii="Simplified Arabic" w:hAnsi="Simplified Arabic" w:hint="cs"/>
          <w:snapToGrid w:val="0"/>
          <w:kern w:val="22"/>
          <w:sz w:val="24"/>
          <w:rtl/>
        </w:rPr>
        <w:t xml:space="preserve"> 8 فبراير/شباط 2017.</w:t>
      </w:r>
      <w:r w:rsidR="005C3546">
        <w:rPr>
          <w:rStyle w:val="FootnoteReference"/>
          <w:rFonts w:ascii="Simplified Arabic" w:hAnsi="Simplified Arabic"/>
          <w:snapToGrid w:val="0"/>
          <w:kern w:val="22"/>
          <w:sz w:val="24"/>
          <w:rtl/>
        </w:rPr>
        <w:footnoteReference w:id="7"/>
      </w:r>
      <w:r>
        <w:rPr>
          <w:rFonts w:ascii="Simplified Arabic" w:hAnsi="Simplified Arabic" w:hint="cs"/>
          <w:snapToGrid w:val="0"/>
          <w:kern w:val="22"/>
          <w:sz w:val="24"/>
          <w:rtl/>
        </w:rPr>
        <w:t xml:space="preserve"> ونظرا للعدد المحدود للتقديمات الجديدة أو المحدثة المستلمة حتى 1 يوليو/تموز 2017، وعملا بالطلبات المقدمة من أطراف عديدة، </w:t>
      </w:r>
      <w:r w:rsidR="005C3546">
        <w:rPr>
          <w:rFonts w:ascii="Simplified Arabic" w:hAnsi="Simplified Arabic" w:hint="cs"/>
          <w:snapToGrid w:val="0"/>
          <w:kern w:val="22"/>
          <w:sz w:val="24"/>
          <w:rtl/>
        </w:rPr>
        <w:t xml:space="preserve">أرسل الأمين التنفيذي إخطارا في </w:t>
      </w:r>
      <w:r>
        <w:rPr>
          <w:rFonts w:ascii="Simplified Arabic" w:hAnsi="Simplified Arabic" w:hint="cs"/>
          <w:snapToGrid w:val="0"/>
          <w:kern w:val="22"/>
          <w:sz w:val="24"/>
          <w:rtl/>
        </w:rPr>
        <w:t>7 يوليو/تموز 2017</w:t>
      </w:r>
      <w:r w:rsidR="005C3546">
        <w:rPr>
          <w:rStyle w:val="FootnoteReference"/>
          <w:rFonts w:ascii="Simplified Arabic" w:hAnsi="Simplified Arabic"/>
          <w:snapToGrid w:val="0"/>
          <w:kern w:val="22"/>
          <w:sz w:val="24"/>
          <w:rtl/>
        </w:rPr>
        <w:footnoteReference w:id="8"/>
      </w:r>
      <w:r>
        <w:rPr>
          <w:rFonts w:ascii="Simplified Arabic" w:hAnsi="Simplified Arabic" w:hint="cs"/>
          <w:snapToGrid w:val="0"/>
          <w:kern w:val="22"/>
          <w:sz w:val="24"/>
          <w:rtl/>
        </w:rPr>
        <w:t xml:space="preserve"> </w:t>
      </w:r>
      <w:r w:rsidR="005C3546">
        <w:rPr>
          <w:rFonts w:ascii="Simplified Arabic" w:hAnsi="Simplified Arabic" w:hint="cs"/>
          <w:snapToGrid w:val="0"/>
          <w:kern w:val="22"/>
          <w:sz w:val="24"/>
          <w:rtl/>
        </w:rPr>
        <w:t>يبلغ الأطراف</w:t>
      </w:r>
      <w:r>
        <w:rPr>
          <w:rFonts w:ascii="Simplified Arabic" w:hAnsi="Simplified Arabic" w:hint="cs"/>
          <w:snapToGrid w:val="0"/>
          <w:kern w:val="22"/>
          <w:sz w:val="24"/>
          <w:rtl/>
        </w:rPr>
        <w:t xml:space="preserve"> أن إطار الإبلاغ المالي للجولة الأولى من الإبلاغ المالي سيظل متاحا من خلال آلية غرفة تبادل المعلومات وسيمتد الموعد النهائي لتقديم أي معلومات مالية جديدة أو محدثة حتى 1 مارس/آذار 2018، في الوقت المحدد لإدراجها في هذه </w:t>
      </w:r>
      <w:r w:rsidR="005C3546">
        <w:rPr>
          <w:rFonts w:ascii="Simplified Arabic" w:hAnsi="Simplified Arabic" w:hint="cs"/>
          <w:snapToGrid w:val="0"/>
          <w:kern w:val="22"/>
          <w:sz w:val="24"/>
          <w:rtl/>
        </w:rPr>
        <w:t>الوثيقة</w:t>
      </w:r>
      <w:r>
        <w:rPr>
          <w:rFonts w:ascii="Simplified Arabic" w:hAnsi="Simplified Arabic" w:hint="cs"/>
          <w:snapToGrid w:val="0"/>
          <w:kern w:val="22"/>
          <w:sz w:val="24"/>
          <w:rtl/>
        </w:rPr>
        <w:t>. وتم إرسال إخطار للتذكير في 1 فبراير/شباط 2018.</w:t>
      </w:r>
      <w:r w:rsidR="005C3546">
        <w:rPr>
          <w:rStyle w:val="FootnoteReference"/>
          <w:rFonts w:ascii="Simplified Arabic" w:hAnsi="Simplified Arabic"/>
          <w:snapToGrid w:val="0"/>
          <w:kern w:val="22"/>
          <w:sz w:val="24"/>
          <w:rtl/>
        </w:rPr>
        <w:footnoteReference w:id="9"/>
      </w:r>
    </w:p>
    <w:p w:rsidR="00924089" w:rsidRDefault="00C72236" w:rsidP="00A570B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وبين الموعد النهائي لآخر تحليل (15 نوفمبر/تشرين الثاني 2016) و1 مارس/آذار 2018، تم تلقي ثلاثة تقديمات جديدة</w:t>
      </w:r>
      <w:r w:rsidR="005C3546">
        <w:rPr>
          <w:rFonts w:ascii="Simplified Arabic" w:hAnsi="Simplified Arabic" w:hint="cs"/>
          <w:snapToGrid w:val="0"/>
          <w:kern w:val="22"/>
          <w:sz w:val="24"/>
          <w:rtl/>
        </w:rPr>
        <w:t xml:space="preserve"> (من الكويت، ومالطا وموريتانيا)</w:t>
      </w:r>
      <w:r>
        <w:rPr>
          <w:rFonts w:ascii="Simplified Arabic" w:hAnsi="Simplified Arabic" w:hint="cs"/>
          <w:snapToGrid w:val="0"/>
          <w:kern w:val="22"/>
          <w:sz w:val="24"/>
          <w:rtl/>
        </w:rPr>
        <w:t xml:space="preserve"> تبلغ عن خط الأساس والت</w:t>
      </w:r>
      <w:r w:rsidR="005C3546">
        <w:rPr>
          <w:rFonts w:ascii="Simplified Arabic" w:hAnsi="Simplified Arabic" w:hint="cs"/>
          <w:snapToGrid w:val="0"/>
          <w:kern w:val="22"/>
          <w:sz w:val="24"/>
          <w:rtl/>
        </w:rPr>
        <w:t>قدم المحرز حتى عام 2015</w:t>
      </w:r>
      <w:r>
        <w:rPr>
          <w:rFonts w:ascii="Simplified Arabic" w:hAnsi="Simplified Arabic" w:hint="cs"/>
          <w:snapToGrid w:val="0"/>
          <w:kern w:val="22"/>
          <w:sz w:val="24"/>
          <w:rtl/>
        </w:rPr>
        <w:t>، بينما تم تلقي معلومات محدثة عن خط</w:t>
      </w:r>
      <w:r w:rsidR="007E4448">
        <w:rPr>
          <w:rFonts w:ascii="Simplified Arabic" w:hAnsi="Simplified Arabic" w:hint="cs"/>
          <w:snapToGrid w:val="0"/>
          <w:kern w:val="22"/>
          <w:sz w:val="24"/>
          <w:rtl/>
        </w:rPr>
        <w:t>وط</w:t>
      </w:r>
      <w:r>
        <w:rPr>
          <w:rFonts w:ascii="Simplified Arabic" w:hAnsi="Simplified Arabic" w:hint="cs"/>
          <w:snapToGrid w:val="0"/>
          <w:kern w:val="22"/>
          <w:sz w:val="24"/>
          <w:rtl/>
        </w:rPr>
        <w:t xml:space="preserve"> الأساس والتقدم المحرز حتى عام 2015 من 12 طرفا (النمسا، </w:t>
      </w:r>
      <w:r w:rsidR="005C3546">
        <w:rPr>
          <w:rFonts w:ascii="Simplified Arabic" w:hAnsi="Simplified Arabic" w:hint="cs"/>
          <w:snapToGrid w:val="0"/>
          <w:kern w:val="22"/>
          <w:sz w:val="24"/>
          <w:rtl/>
        </w:rPr>
        <w:t>وتشيكيا</w:t>
      </w:r>
      <w:r>
        <w:rPr>
          <w:rFonts w:ascii="Simplified Arabic" w:hAnsi="Simplified Arabic" w:hint="cs"/>
          <w:snapToGrid w:val="0"/>
          <w:kern w:val="22"/>
          <w:sz w:val="24"/>
          <w:rtl/>
        </w:rPr>
        <w:t>، والدنمارك، وإستونيا، وألمانيا، واليابان، ولوكسمبورغ، وبولندا، وسلوفينيا، والسويد وإسبانيا، بالإضافة إلى الاتحاد الأوروبي).</w:t>
      </w:r>
      <w:r>
        <w:rPr>
          <w:rStyle w:val="FootnoteReference"/>
          <w:rFonts w:ascii="Simplified Arabic" w:hAnsi="Simplified Arabic"/>
          <w:snapToGrid w:val="0"/>
          <w:kern w:val="22"/>
          <w:sz w:val="24"/>
          <w:rtl/>
        </w:rPr>
        <w:footnoteReference w:id="10"/>
      </w:r>
      <w:r>
        <w:rPr>
          <w:rFonts w:ascii="Simplified Arabic" w:hAnsi="Simplified Arabic" w:hint="cs"/>
          <w:snapToGrid w:val="0"/>
          <w:kern w:val="22"/>
          <w:sz w:val="24"/>
          <w:rtl/>
        </w:rPr>
        <w:t xml:space="preserve"> </w:t>
      </w:r>
      <w:r w:rsidR="00281EA9">
        <w:rPr>
          <w:rFonts w:ascii="Simplified Arabic" w:hAnsi="Simplified Arabic" w:hint="cs"/>
          <w:snapToGrid w:val="0"/>
          <w:kern w:val="22"/>
          <w:sz w:val="24"/>
          <w:rtl/>
        </w:rPr>
        <w:t xml:space="preserve">وبذلك يرتفع عدد الأطراف التي قدمت معلومات من خلال إطار الإبلاغ المالي إلى 76 طرفا. وترد في المرفق الثاني </w:t>
      </w:r>
      <w:r w:rsidR="00A570BC">
        <w:rPr>
          <w:rFonts w:ascii="Simplified Arabic" w:hAnsi="Simplified Arabic" w:hint="cs"/>
          <w:snapToGrid w:val="0"/>
          <w:kern w:val="22"/>
          <w:sz w:val="24"/>
          <w:rtl/>
        </w:rPr>
        <w:t>بالإضافة</w:t>
      </w:r>
      <w:r w:rsidR="00281EA9">
        <w:rPr>
          <w:rFonts w:ascii="Simplified Arabic" w:hAnsi="Simplified Arabic" w:hint="cs"/>
          <w:snapToGrid w:val="0"/>
          <w:kern w:val="22"/>
          <w:sz w:val="24"/>
          <w:rtl/>
        </w:rPr>
        <w:t xml:space="preserve"> القائمة الموحدة للأطراف التي قدمت معلومات من خلال </w:t>
      </w:r>
      <w:r w:rsidR="005C3546">
        <w:rPr>
          <w:rFonts w:ascii="Simplified Arabic" w:hAnsi="Simplified Arabic" w:hint="cs"/>
          <w:snapToGrid w:val="0"/>
          <w:kern w:val="22"/>
          <w:sz w:val="24"/>
          <w:rtl/>
        </w:rPr>
        <w:t xml:space="preserve">إطار </w:t>
      </w:r>
      <w:r w:rsidR="00281EA9">
        <w:rPr>
          <w:rFonts w:ascii="Simplified Arabic" w:hAnsi="Simplified Arabic" w:hint="cs"/>
          <w:snapToGrid w:val="0"/>
          <w:kern w:val="22"/>
          <w:sz w:val="24"/>
          <w:rtl/>
        </w:rPr>
        <w:t xml:space="preserve">الإبلاغ المالي بحلول 1 مارس/آذار 2018. ويتعين مراعاة العدد الذي لا يزال محدودا من مجموع </w:t>
      </w:r>
      <w:r w:rsidR="00281EA9">
        <w:rPr>
          <w:rFonts w:ascii="Simplified Arabic" w:hAnsi="Simplified Arabic" w:hint="cs"/>
          <w:snapToGrid w:val="0"/>
          <w:kern w:val="22"/>
          <w:sz w:val="24"/>
          <w:rtl/>
        </w:rPr>
        <w:lastRenderedPageBreak/>
        <w:t>التقارير المقدمة والإبلاغ المحدود عن التقدم المحرز منذ عام 2015 عند تقدير بعض المعلومات الكمية وشبه الكمية المقدمة فيما تبقى من هذا القسم.</w:t>
      </w:r>
    </w:p>
    <w:p w:rsidR="007104DB" w:rsidRDefault="007104DB" w:rsidP="005C354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i/>
          <w:iCs/>
          <w:snapToGrid w:val="0"/>
          <w:kern w:val="22"/>
          <w:sz w:val="24"/>
          <w:rtl/>
        </w:rPr>
        <w:t xml:space="preserve">والهدف </w:t>
      </w:r>
      <w:r w:rsidR="00E411CE">
        <w:rPr>
          <w:rFonts w:ascii="Simplified Arabic" w:hAnsi="Simplified Arabic" w:hint="cs"/>
          <w:i/>
          <w:iCs/>
          <w:snapToGrid w:val="0"/>
          <w:kern w:val="22"/>
          <w:sz w:val="24"/>
          <w:rtl/>
        </w:rPr>
        <w:t>1(</w:t>
      </w:r>
      <w:r>
        <w:rPr>
          <w:rFonts w:ascii="Simplified Arabic" w:hAnsi="Simplified Arabic" w:hint="cs"/>
          <w:i/>
          <w:iCs/>
          <w:snapToGrid w:val="0"/>
          <w:kern w:val="22"/>
          <w:sz w:val="24"/>
          <w:rtl/>
        </w:rPr>
        <w:t>أ) (مضاعفة التدفقات الدولية بحلول عام 2015 والاحتفاظ بهذا المستوى حتى عام 2020)</w:t>
      </w:r>
      <w:r>
        <w:rPr>
          <w:rFonts w:ascii="Simplified Arabic" w:hAnsi="Simplified Arabic" w:hint="cs"/>
          <w:snapToGrid w:val="0"/>
          <w:kern w:val="22"/>
          <w:sz w:val="24"/>
          <w:rtl/>
        </w:rPr>
        <w:t>: قدم ما مجموعه 30 طرفا (23 طرفا من أصل 30 عضوا في لجنة المساعدة الإنمائية و7 أطراف من غير الأعضاء في لجنة المساعدة الإنمائية) معلومات ذات صلة. وأبلغ</w:t>
      </w:r>
      <w:r w:rsidR="005C3546">
        <w:rPr>
          <w:rFonts w:ascii="Simplified Arabic" w:hAnsi="Simplified Arabic" w:hint="cs"/>
          <w:snapToGrid w:val="0"/>
          <w:kern w:val="22"/>
          <w:sz w:val="24"/>
          <w:rtl/>
        </w:rPr>
        <w:t xml:space="preserve"> ما مجموعه</w:t>
      </w:r>
      <w:r>
        <w:rPr>
          <w:rFonts w:ascii="Simplified Arabic" w:hAnsi="Simplified Arabic" w:hint="cs"/>
          <w:snapToGrid w:val="0"/>
          <w:kern w:val="22"/>
          <w:sz w:val="24"/>
          <w:rtl/>
        </w:rPr>
        <w:t xml:space="preserve"> 26 طرفا (22 طرفا أعضاء في لجنة المساعدة الإنمائية و4 أطراف من غير الأعضاء في لجنة المساعدة الإنمائية) عن بيانات خط الأساس، وأبلغ 23 طرفا (16 طرفا أعضاء في لجنة المساعدة الإنمائية </w:t>
      </w:r>
      <w:r w:rsidR="005C3546">
        <w:rPr>
          <w:rFonts w:ascii="Simplified Arabic" w:hAnsi="Simplified Arabic" w:hint="cs"/>
          <w:snapToGrid w:val="0"/>
          <w:kern w:val="22"/>
          <w:sz w:val="24"/>
          <w:rtl/>
        </w:rPr>
        <w:t>و7</w:t>
      </w:r>
      <w:r>
        <w:rPr>
          <w:rFonts w:ascii="Simplified Arabic" w:hAnsi="Simplified Arabic" w:hint="cs"/>
          <w:snapToGrid w:val="0"/>
          <w:kern w:val="22"/>
          <w:sz w:val="24"/>
          <w:rtl/>
        </w:rPr>
        <w:t xml:space="preserve"> أطراف من غير الأعضاء في لجنة المساعدة الإنمائية) عن بيانات عام 2015، وهو ما يمثل مجتمعا 85 في المائة من مجموع خط الأساس المبلغ عنه. وحققت هذه الأطراف مجتمعة البالغ عددها 23 طرفا زيادة قدرها 92 في المائة نظير خط الأساس الخاص بها، مع استبعاد تأثيرات سعر الصرف </w:t>
      </w:r>
      <w:r w:rsidR="00D4415E">
        <w:rPr>
          <w:rFonts w:ascii="Simplified Arabic" w:hAnsi="Simplified Arabic" w:hint="cs"/>
          <w:snapToGrid w:val="0"/>
          <w:kern w:val="22"/>
          <w:sz w:val="24"/>
          <w:rtl/>
        </w:rPr>
        <w:t>الناجمة عن</w:t>
      </w:r>
      <w:r>
        <w:rPr>
          <w:rFonts w:ascii="Simplified Arabic" w:hAnsi="Simplified Arabic" w:hint="cs"/>
          <w:snapToGrid w:val="0"/>
          <w:kern w:val="22"/>
          <w:sz w:val="24"/>
          <w:rtl/>
        </w:rPr>
        <w:t xml:space="preserve"> </w:t>
      </w:r>
      <w:r w:rsidR="00D4415E">
        <w:rPr>
          <w:rFonts w:ascii="Simplified Arabic" w:hAnsi="Simplified Arabic" w:hint="cs"/>
          <w:snapToGrid w:val="0"/>
          <w:kern w:val="22"/>
          <w:sz w:val="24"/>
          <w:rtl/>
        </w:rPr>
        <w:t>ارتفاع قيمة الدولار الأمريكي في الفترة الأخيرة. ويبقى التقدم المُقاس مقابل مجموع خط الأساس المبلغ عنه عند زيادة قدرها 62 في المائة. وباستخدام متوسط سعر الصرف لعام 2015، يبلغ هذا التقدم 70 في المائة و44 في المائة، على التوالي.</w:t>
      </w:r>
    </w:p>
    <w:p w:rsidR="00D4415E" w:rsidRDefault="00D4415E" w:rsidP="00F6750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i/>
          <w:iCs/>
          <w:snapToGrid w:val="0"/>
          <w:kern w:val="22"/>
          <w:sz w:val="24"/>
          <w:rtl/>
        </w:rPr>
        <w:t xml:space="preserve">والهدف </w:t>
      </w:r>
      <w:r w:rsidR="00E411CE">
        <w:rPr>
          <w:rFonts w:ascii="Simplified Arabic" w:hAnsi="Simplified Arabic" w:hint="cs"/>
          <w:i/>
          <w:iCs/>
          <w:snapToGrid w:val="0"/>
          <w:kern w:val="22"/>
          <w:sz w:val="24"/>
          <w:rtl/>
        </w:rPr>
        <w:t>1(</w:t>
      </w:r>
      <w:r>
        <w:rPr>
          <w:rFonts w:ascii="Simplified Arabic" w:hAnsi="Simplified Arabic" w:hint="cs"/>
          <w:i/>
          <w:iCs/>
          <w:snapToGrid w:val="0"/>
          <w:kern w:val="22"/>
          <w:sz w:val="24"/>
          <w:rtl/>
        </w:rPr>
        <w:t>ب) (إدراج التنوع البيولوجي</w:t>
      </w:r>
      <w:r w:rsidR="005C3546">
        <w:rPr>
          <w:rFonts w:ascii="Simplified Arabic" w:hAnsi="Simplified Arabic" w:hint="cs"/>
          <w:i/>
          <w:iCs/>
          <w:snapToGrid w:val="0"/>
          <w:kern w:val="22"/>
          <w:sz w:val="24"/>
          <w:rtl/>
        </w:rPr>
        <w:t xml:space="preserve"> في الأولويات أو خطط التنمية</w:t>
      </w:r>
      <w:r w:rsidR="00F67501" w:rsidRPr="00F67501">
        <w:rPr>
          <w:rFonts w:ascii="Simplified Arabic" w:hAnsi="Simplified Arabic" w:hint="cs"/>
          <w:i/>
          <w:iCs/>
          <w:snapToGrid w:val="0"/>
          <w:kern w:val="22"/>
          <w:sz w:val="24"/>
          <w:rtl/>
        </w:rPr>
        <w:t xml:space="preserve"> </w:t>
      </w:r>
      <w:r w:rsidR="00F67501">
        <w:rPr>
          <w:rFonts w:ascii="Simplified Arabic" w:hAnsi="Simplified Arabic" w:hint="cs"/>
          <w:i/>
          <w:iCs/>
          <w:snapToGrid w:val="0"/>
          <w:kern w:val="22"/>
          <w:sz w:val="24"/>
          <w:rtl/>
        </w:rPr>
        <w:t>الوطنية</w:t>
      </w:r>
      <w:r>
        <w:rPr>
          <w:rFonts w:ascii="Simplified Arabic" w:hAnsi="Simplified Arabic" w:hint="cs"/>
          <w:i/>
          <w:iCs/>
          <w:snapToGrid w:val="0"/>
          <w:kern w:val="22"/>
          <w:sz w:val="24"/>
          <w:rtl/>
        </w:rPr>
        <w:t xml:space="preserve"> بحلول عام 2015)</w:t>
      </w:r>
      <w:r>
        <w:rPr>
          <w:rFonts w:ascii="Simplified Arabic" w:hAnsi="Simplified Arabic" w:hint="cs"/>
          <w:snapToGrid w:val="0"/>
          <w:kern w:val="22"/>
          <w:sz w:val="24"/>
          <w:rtl/>
        </w:rPr>
        <w:t xml:space="preserve">: مع مراعاة العدد الإجمالي المحدود من التقارير المستلمة، يبدو أن الأطراف المبلغة تسير على الطريق الصحيح </w:t>
      </w:r>
      <w:r w:rsidR="007E4448">
        <w:rPr>
          <w:rFonts w:ascii="Simplified Arabic" w:hAnsi="Simplified Arabic" w:hint="cs"/>
          <w:snapToGrid w:val="0"/>
          <w:kern w:val="22"/>
          <w:sz w:val="24"/>
          <w:rtl/>
        </w:rPr>
        <w:t xml:space="preserve">بوجه عام </w:t>
      </w:r>
      <w:r>
        <w:rPr>
          <w:rFonts w:ascii="Simplified Arabic" w:hAnsi="Simplified Arabic" w:hint="cs"/>
          <w:snapToGrid w:val="0"/>
          <w:kern w:val="22"/>
          <w:sz w:val="24"/>
          <w:rtl/>
        </w:rPr>
        <w:t>نحو تحقيق هذا الهدف، حيث إن جميعها قد أبلغت على الأقل عن تحقيق بعض التقدم.</w:t>
      </w:r>
    </w:p>
    <w:p w:rsidR="00D4415E" w:rsidRDefault="00D4415E" w:rsidP="00E411CE">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i/>
          <w:iCs/>
          <w:snapToGrid w:val="0"/>
          <w:kern w:val="22"/>
          <w:sz w:val="24"/>
          <w:rtl/>
        </w:rPr>
        <w:t xml:space="preserve">والهدف </w:t>
      </w:r>
      <w:r w:rsidR="00E411CE">
        <w:rPr>
          <w:rFonts w:ascii="Simplified Arabic" w:hAnsi="Simplified Arabic" w:hint="cs"/>
          <w:i/>
          <w:iCs/>
          <w:snapToGrid w:val="0"/>
          <w:kern w:val="22"/>
          <w:sz w:val="24"/>
          <w:rtl/>
        </w:rPr>
        <w:t>1(</w:t>
      </w:r>
      <w:r>
        <w:rPr>
          <w:rFonts w:ascii="Simplified Arabic" w:hAnsi="Simplified Arabic" w:hint="cs"/>
          <w:i/>
          <w:iCs/>
          <w:snapToGrid w:val="0"/>
          <w:kern w:val="22"/>
          <w:sz w:val="24"/>
          <w:rtl/>
        </w:rPr>
        <w:t>ج) (الإبلاغ عن النفقات المحلية ذات الصلة بالتنوع البيولوجي بحلول عام 2015 فضلا عن احتياجات التمويل والفجوات والأولويات)</w:t>
      </w:r>
      <w:r>
        <w:rPr>
          <w:rFonts w:ascii="Simplified Arabic" w:hAnsi="Simplified Arabic" w:hint="cs"/>
          <w:snapToGrid w:val="0"/>
          <w:kern w:val="22"/>
          <w:sz w:val="24"/>
          <w:rtl/>
        </w:rPr>
        <w:t xml:space="preserve">: </w:t>
      </w:r>
      <w:r w:rsidR="00E411CE">
        <w:rPr>
          <w:rFonts w:ascii="Simplified Arabic" w:hAnsi="Simplified Arabic" w:hint="cs"/>
          <w:snapToGrid w:val="0"/>
          <w:kern w:val="22"/>
          <w:sz w:val="24"/>
          <w:rtl/>
        </w:rPr>
        <w:t>استنادا إلى تفسير دقيق</w:t>
      </w:r>
      <w:r>
        <w:rPr>
          <w:rFonts w:ascii="Simplified Arabic" w:hAnsi="Simplified Arabic" w:hint="cs"/>
          <w:snapToGrid w:val="0"/>
          <w:kern w:val="22"/>
          <w:sz w:val="24"/>
          <w:rtl/>
        </w:rPr>
        <w:t>، لم يتحقق هذا الهدف</w:t>
      </w:r>
      <w:r w:rsidR="00621B7E">
        <w:rPr>
          <w:rFonts w:ascii="Simplified Arabic" w:hAnsi="Simplified Arabic" w:hint="cs"/>
          <w:snapToGrid w:val="0"/>
          <w:kern w:val="22"/>
          <w:sz w:val="24"/>
          <w:rtl/>
        </w:rPr>
        <w:t xml:space="preserve"> بحلول عام 2015، نظرا لأن أقل من 75 في المائة من الأطراف أبلغت عن النفقات المحلية ذات الصلة بالتنوع البيولوجي فضلا عن احتياجات التمويل والفجوات والأولويات. إلا أنه من بين البلدان المبلغة، يعتبر التقدم المحرز في الإبلاغ عن النفقات المحلية ذات الصلة بالتنوع البيولوجي مشجعا. ويبدو أن الإبلاغ عن احتياجات التمويل والفجوات والأولويات</w:t>
      </w:r>
      <w:r w:rsidR="00E411CE">
        <w:rPr>
          <w:rFonts w:ascii="Simplified Arabic" w:hAnsi="Simplified Arabic" w:hint="cs"/>
          <w:snapToGrid w:val="0"/>
          <w:kern w:val="22"/>
          <w:sz w:val="24"/>
          <w:rtl/>
        </w:rPr>
        <w:t xml:space="preserve"> أمرا</w:t>
      </w:r>
      <w:r w:rsidR="00621B7E">
        <w:rPr>
          <w:rFonts w:ascii="Simplified Arabic" w:hAnsi="Simplified Arabic" w:hint="cs"/>
          <w:snapToGrid w:val="0"/>
          <w:kern w:val="22"/>
          <w:sz w:val="24"/>
          <w:rtl/>
        </w:rPr>
        <w:t xml:space="preserve"> أكثر صعوبة.</w:t>
      </w:r>
    </w:p>
    <w:p w:rsidR="004454DD" w:rsidRDefault="004454DD" w:rsidP="00D4415E">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i/>
          <w:iCs/>
          <w:snapToGrid w:val="0"/>
          <w:kern w:val="22"/>
          <w:sz w:val="24"/>
          <w:rtl/>
        </w:rPr>
        <w:t xml:space="preserve">والهدف </w:t>
      </w:r>
      <w:r w:rsidR="00E411CE">
        <w:rPr>
          <w:rFonts w:ascii="Simplified Arabic" w:hAnsi="Simplified Arabic" w:hint="cs"/>
          <w:i/>
          <w:iCs/>
          <w:snapToGrid w:val="0"/>
          <w:kern w:val="22"/>
          <w:sz w:val="24"/>
          <w:rtl/>
        </w:rPr>
        <w:t>1(</w:t>
      </w:r>
      <w:r>
        <w:rPr>
          <w:rFonts w:ascii="Simplified Arabic" w:hAnsi="Simplified Arabic" w:hint="cs"/>
          <w:i/>
          <w:iCs/>
          <w:snapToGrid w:val="0"/>
          <w:kern w:val="22"/>
          <w:sz w:val="24"/>
          <w:rtl/>
        </w:rPr>
        <w:t>د) (إعداد خطط مالية وطنية وتقدير القيم بحلول عام 2015)</w:t>
      </w:r>
      <w:r>
        <w:rPr>
          <w:rFonts w:ascii="Simplified Arabic" w:hAnsi="Simplified Arabic" w:hint="cs"/>
          <w:snapToGrid w:val="0"/>
          <w:kern w:val="22"/>
          <w:sz w:val="24"/>
          <w:rtl/>
        </w:rPr>
        <w:t>: يبدو أن التقدم المحرز مرضيا فيما يتعلق بالعنصر الخاص بتقدير القيم، ولكن يبدو أن الأطراف قد واجهت صعوبات مستمرة في إعداد خطط التمويل الوطنية الخاصة بها والإبلاغ عنها.</w:t>
      </w:r>
    </w:p>
    <w:p w:rsidR="00514B67" w:rsidRPr="008562CB" w:rsidRDefault="00514B67" w:rsidP="00D4415E">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i/>
          <w:iCs/>
          <w:snapToGrid w:val="0"/>
          <w:kern w:val="22"/>
          <w:sz w:val="24"/>
          <w:rtl/>
        </w:rPr>
        <w:t xml:space="preserve">والهدف </w:t>
      </w:r>
      <w:r w:rsidR="00E411CE">
        <w:rPr>
          <w:rFonts w:ascii="Simplified Arabic" w:hAnsi="Simplified Arabic" w:hint="cs"/>
          <w:i/>
          <w:iCs/>
          <w:snapToGrid w:val="0"/>
          <w:kern w:val="22"/>
          <w:sz w:val="24"/>
          <w:rtl/>
        </w:rPr>
        <w:t>1(</w:t>
      </w:r>
      <w:r>
        <w:rPr>
          <w:rFonts w:ascii="Simplified Arabic" w:hAnsi="Simplified Arabic" w:hint="cs"/>
          <w:i/>
          <w:iCs/>
          <w:snapToGrid w:val="0"/>
          <w:kern w:val="22"/>
          <w:sz w:val="24"/>
          <w:rtl/>
        </w:rPr>
        <w:t>ه) (حشد الموارد المالية المحلية)</w:t>
      </w:r>
      <w:r>
        <w:rPr>
          <w:rFonts w:ascii="Simplified Arabic" w:hAnsi="Simplified Arabic" w:hint="cs"/>
          <w:snapToGrid w:val="0"/>
          <w:kern w:val="22"/>
          <w:sz w:val="24"/>
          <w:rtl/>
        </w:rPr>
        <w:t>: ليس لهذا الهدف إطار زمني في عام 2015، وبالتالي يُقيّم التقدم المحرز في هذا الهدف أثناء جولة الإبلاغ الثانية، بالتزامن مع التقارير الوطنية السادسة. وستؤثر الصعوبات المذكورة أعلاه أيضا على قياس التقدم المحرز في هذا الهدف.</w:t>
      </w:r>
    </w:p>
    <w:p w:rsidR="00BA6768" w:rsidRDefault="0080326E" w:rsidP="00A876D5">
      <w:pPr>
        <w:numPr>
          <w:ilvl w:val="0"/>
          <w:numId w:val="28"/>
        </w:numPr>
        <w:spacing w:after="120"/>
        <w:ind w:left="0" w:firstLine="0"/>
        <w:jc w:val="both"/>
        <w:rPr>
          <w:sz w:val="22"/>
          <w:lang w:val="en-GB" w:bidi="ar-EG"/>
        </w:rPr>
      </w:pPr>
      <w:r>
        <w:rPr>
          <w:rFonts w:hint="cs"/>
          <w:sz w:val="22"/>
          <w:rtl/>
          <w:lang w:val="en-GB" w:bidi="ar-EG"/>
        </w:rPr>
        <w:t xml:space="preserve">ويعتبر التقدم المحرز في الإبلاغ عن أهداف حشد الموارد بطيئا بوجه عام. </w:t>
      </w:r>
      <w:r w:rsidR="00D929DD">
        <w:rPr>
          <w:rFonts w:hint="cs"/>
          <w:sz w:val="22"/>
          <w:rtl/>
          <w:lang w:val="en-GB" w:bidi="ar-EG"/>
        </w:rPr>
        <w:t xml:space="preserve">فمن بين الأطراف </w:t>
      </w:r>
      <w:r w:rsidR="00E411CE">
        <w:rPr>
          <w:rFonts w:hint="cs"/>
          <w:sz w:val="22"/>
          <w:rtl/>
          <w:lang w:val="en-GB" w:bidi="ar-EG"/>
        </w:rPr>
        <w:t>المبلغة</w:t>
      </w:r>
      <w:r w:rsidR="00D929DD">
        <w:rPr>
          <w:rFonts w:hint="cs"/>
          <w:sz w:val="22"/>
          <w:rtl/>
          <w:lang w:val="en-GB" w:bidi="ar-EG"/>
        </w:rPr>
        <w:t xml:space="preserve"> عن الهدف 1(أ) البالغ عددها 30 طرفا، لم يبلغ بعد ما مجموعه 7 أطراف، تمثل 15 في المائة من خط الأساس المبلغ عنه، عن بياناتها لعام 2015. وفيما يتعلق بالأهداف الأخرى، من المرجح أيضا عزو التقدم البطيء إلى التحديات </w:t>
      </w:r>
      <w:r w:rsidR="005C3546">
        <w:rPr>
          <w:rFonts w:hint="cs"/>
          <w:sz w:val="22"/>
          <w:rtl/>
          <w:lang w:val="en-GB" w:bidi="ar-EG"/>
        </w:rPr>
        <w:t>في التنفيذ</w:t>
      </w:r>
      <w:r w:rsidR="00D929DD">
        <w:rPr>
          <w:rFonts w:hint="cs"/>
          <w:sz w:val="22"/>
          <w:rtl/>
          <w:lang w:val="en-GB" w:bidi="ar-EG"/>
        </w:rPr>
        <w:t xml:space="preserve">، وعلى وجه الخصوص </w:t>
      </w:r>
      <w:r w:rsidR="005C3546">
        <w:rPr>
          <w:rFonts w:hint="cs"/>
          <w:sz w:val="22"/>
          <w:rtl/>
          <w:lang w:val="en-GB" w:bidi="ar-EG"/>
        </w:rPr>
        <w:t>فيما يتعلق ب</w:t>
      </w:r>
      <w:r w:rsidR="00D929DD">
        <w:rPr>
          <w:rFonts w:hint="cs"/>
          <w:sz w:val="22"/>
          <w:rtl/>
          <w:lang w:val="en-GB" w:bidi="ar-EG"/>
        </w:rPr>
        <w:t xml:space="preserve">الهدفين </w:t>
      </w:r>
      <w:r w:rsidR="00E411CE">
        <w:rPr>
          <w:rFonts w:hint="cs"/>
          <w:sz w:val="22"/>
          <w:rtl/>
          <w:lang w:val="en-GB" w:bidi="ar-EG"/>
        </w:rPr>
        <w:t>1(</w:t>
      </w:r>
      <w:r w:rsidR="00D929DD">
        <w:rPr>
          <w:rFonts w:hint="cs"/>
          <w:sz w:val="22"/>
          <w:rtl/>
          <w:lang w:val="en-GB" w:bidi="ar-EG"/>
        </w:rPr>
        <w:t>ج) و</w:t>
      </w:r>
      <w:r w:rsidR="00E411CE">
        <w:rPr>
          <w:rFonts w:hint="cs"/>
          <w:sz w:val="22"/>
          <w:rtl/>
          <w:lang w:val="en-GB" w:bidi="ar-EG"/>
        </w:rPr>
        <w:t>1(</w:t>
      </w:r>
      <w:r w:rsidR="00D929DD">
        <w:rPr>
          <w:rFonts w:hint="cs"/>
          <w:sz w:val="22"/>
          <w:rtl/>
          <w:lang w:val="en-GB" w:bidi="ar-EG"/>
        </w:rPr>
        <w:t xml:space="preserve">د)، بجانب افتقار </w:t>
      </w:r>
      <w:r w:rsidR="00A876D5">
        <w:rPr>
          <w:rFonts w:hint="cs"/>
          <w:sz w:val="22"/>
          <w:rtl/>
          <w:lang w:val="en-GB" w:bidi="ar-EG"/>
        </w:rPr>
        <w:t>إلى القدرات بوجه عام، ولا سيما بالنسبة ل</w:t>
      </w:r>
      <w:r w:rsidR="00D929DD">
        <w:rPr>
          <w:rFonts w:hint="cs"/>
          <w:sz w:val="22"/>
          <w:rtl/>
          <w:lang w:val="en-GB" w:bidi="ar-EG"/>
        </w:rPr>
        <w:t xml:space="preserve">لبلدان التي لا تشارك في مبادرة تمويل التنوع البيولوجي </w:t>
      </w:r>
      <w:r w:rsidR="00E411CE" w:rsidRPr="000F6BDE">
        <w:rPr>
          <w:rFonts w:hint="cs"/>
          <w:sz w:val="22"/>
          <w:rtl/>
          <w:lang w:val="en-GB" w:bidi="ar-EG"/>
        </w:rPr>
        <w:t>ل</w:t>
      </w:r>
      <w:r w:rsidR="00D929DD" w:rsidRPr="000F6BDE">
        <w:rPr>
          <w:rFonts w:hint="cs"/>
          <w:sz w:val="22"/>
          <w:rtl/>
          <w:lang w:val="en-GB" w:bidi="ar-EG"/>
        </w:rPr>
        <w:t>برنامج الأمم المتحدة الإنمائي</w:t>
      </w:r>
      <w:r w:rsidR="00D929DD">
        <w:rPr>
          <w:rFonts w:hint="cs"/>
          <w:sz w:val="22"/>
          <w:rtl/>
          <w:lang w:val="en-GB" w:bidi="ar-EG"/>
        </w:rPr>
        <w:t xml:space="preserve">، والتي تقدم بناء القدرات والدعم التقني إلى البلدان النامية لقياس النفقات الحالية للتنوع البيولوجي، </w:t>
      </w:r>
      <w:r w:rsidR="00E411CE">
        <w:rPr>
          <w:rFonts w:hint="cs"/>
          <w:sz w:val="22"/>
          <w:rtl/>
          <w:lang w:val="en-GB" w:bidi="ar-EG"/>
        </w:rPr>
        <w:t>و</w:t>
      </w:r>
      <w:r w:rsidR="00D929DD">
        <w:rPr>
          <w:rFonts w:hint="cs"/>
          <w:sz w:val="22"/>
          <w:rtl/>
          <w:lang w:val="en-GB" w:bidi="ar-EG"/>
        </w:rPr>
        <w:t>لتقييم احتياجاتها المالية، ولإعداد خطة التمويل الوطنية أو استراتيجية حشد الموارد.</w:t>
      </w:r>
      <w:r w:rsidR="00D929DD">
        <w:rPr>
          <w:rStyle w:val="FootnoteReference"/>
          <w:sz w:val="22"/>
          <w:rtl/>
          <w:lang w:val="en-GB"/>
        </w:rPr>
        <w:footnoteReference w:id="11"/>
      </w:r>
      <w:r w:rsidR="00D929DD">
        <w:rPr>
          <w:rFonts w:hint="cs"/>
          <w:sz w:val="22"/>
          <w:rtl/>
          <w:lang w:val="en-GB" w:bidi="ar-EG"/>
        </w:rPr>
        <w:t xml:space="preserve"> </w:t>
      </w:r>
      <w:r w:rsidR="003B7243">
        <w:rPr>
          <w:rFonts w:hint="cs"/>
          <w:sz w:val="22"/>
          <w:rtl/>
          <w:lang w:val="en-GB" w:bidi="ar-EG"/>
        </w:rPr>
        <w:t xml:space="preserve">وجاري إحراز تقدم في التنفيذ في البلدان التي </w:t>
      </w:r>
      <w:r w:rsidR="00E411CE">
        <w:rPr>
          <w:rFonts w:hint="cs"/>
          <w:sz w:val="22"/>
          <w:rtl/>
          <w:lang w:val="en-GB" w:bidi="ar-EG"/>
        </w:rPr>
        <w:t>تتلقى دعما مباشرا من</w:t>
      </w:r>
      <w:r w:rsidR="003B7243">
        <w:rPr>
          <w:rFonts w:hint="cs"/>
          <w:sz w:val="22"/>
          <w:rtl/>
          <w:lang w:val="en-GB" w:bidi="ar-EG"/>
        </w:rPr>
        <w:t xml:space="preserve"> مبادرة تمويل التنوع البيولوجي، إلا أن هذا </w:t>
      </w:r>
      <w:r w:rsidR="003D574D">
        <w:rPr>
          <w:rFonts w:hint="cs"/>
          <w:sz w:val="22"/>
          <w:rtl/>
          <w:lang w:val="en-GB" w:bidi="ar-EG"/>
        </w:rPr>
        <w:t>التنفيذ</w:t>
      </w:r>
      <w:r w:rsidR="003B7243">
        <w:rPr>
          <w:rFonts w:hint="cs"/>
          <w:sz w:val="22"/>
          <w:rtl/>
          <w:lang w:val="en-GB" w:bidi="ar-EG"/>
        </w:rPr>
        <w:t xml:space="preserve"> </w:t>
      </w:r>
      <w:r w:rsidR="00A876D5">
        <w:rPr>
          <w:rFonts w:hint="cs"/>
          <w:sz w:val="22"/>
          <w:rtl/>
          <w:lang w:val="en-GB" w:bidi="ar-EG"/>
        </w:rPr>
        <w:t>قد واجه</w:t>
      </w:r>
      <w:r w:rsidR="003B7243">
        <w:rPr>
          <w:rFonts w:hint="cs"/>
          <w:sz w:val="22"/>
          <w:rtl/>
          <w:lang w:val="en-GB" w:bidi="ar-EG"/>
        </w:rPr>
        <w:t xml:space="preserve"> أيضا تحديات تقنية ومنهجية مختلفة.</w:t>
      </w:r>
    </w:p>
    <w:p w:rsidR="00202478" w:rsidRDefault="00202478" w:rsidP="00202478">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b w:val="0"/>
          <w:sz w:val="26"/>
          <w:szCs w:val="26"/>
          <w:rtl/>
          <w:lang w:bidi="ar-EG"/>
        </w:rPr>
      </w:pPr>
      <w:r w:rsidRPr="00FE6C2B">
        <w:rPr>
          <w:rFonts w:ascii="Simplified Arabic" w:hAnsi="Simplified Arabic" w:cs="Simplified Arabic" w:hint="cs"/>
          <w:b w:val="0"/>
          <w:sz w:val="26"/>
          <w:szCs w:val="26"/>
          <w:rtl/>
          <w:lang w:bidi="ar-EG"/>
        </w:rPr>
        <w:lastRenderedPageBreak/>
        <w:t>ثالثا</w:t>
      </w:r>
      <w:r w:rsidRPr="00FE6C2B">
        <w:rPr>
          <w:rFonts w:ascii="Simplified Arabic" w:hAnsi="Simplified Arabic" w:cs="Simplified Arabic"/>
          <w:b w:val="0"/>
          <w:sz w:val="26"/>
          <w:szCs w:val="26"/>
          <w:rtl/>
          <w:lang w:bidi="ar-EG"/>
        </w:rPr>
        <w:t>-</w:t>
      </w:r>
      <w:r w:rsidRPr="00FE6C2B">
        <w:rPr>
          <w:rFonts w:ascii="Simplified Arabic" w:hAnsi="Simplified Arabic" w:cs="Simplified Arabic"/>
          <w:b w:val="0"/>
          <w:sz w:val="26"/>
          <w:szCs w:val="26"/>
          <w:rtl/>
          <w:lang w:bidi="ar-EG"/>
        </w:rPr>
        <w:tab/>
      </w:r>
      <w:r w:rsidRPr="00FE6C2B">
        <w:rPr>
          <w:rFonts w:ascii="Simplified Arabic" w:hAnsi="Simplified Arabic" w:cs="Simplified Arabic" w:hint="cs"/>
          <w:b w:val="0"/>
          <w:sz w:val="26"/>
          <w:szCs w:val="26"/>
          <w:rtl/>
          <w:lang w:bidi="ar-EG"/>
        </w:rPr>
        <w:t>عناصر أخرى للمقرر 13/20</w:t>
      </w:r>
    </w:p>
    <w:p w:rsidR="00202478" w:rsidRPr="00202478" w:rsidRDefault="00F77E9E" w:rsidP="00202478">
      <w:pPr>
        <w:keepNext/>
        <w:jc w:val="center"/>
        <w:rPr>
          <w:b/>
          <w:bCs/>
          <w:lang w:bidi="ar-EG"/>
        </w:rPr>
      </w:pPr>
      <w:r>
        <w:rPr>
          <w:rFonts w:hint="cs"/>
          <w:b/>
          <w:bCs/>
          <w:rtl/>
          <w:lang w:bidi="ar-EG"/>
        </w:rPr>
        <w:t>ألف-</w:t>
      </w:r>
      <w:r>
        <w:rPr>
          <w:rFonts w:hint="cs"/>
          <w:b/>
          <w:bCs/>
          <w:rtl/>
          <w:lang w:bidi="ar-EG"/>
        </w:rPr>
        <w:tab/>
      </w:r>
      <w:r w:rsidR="00202478">
        <w:rPr>
          <w:rFonts w:hint="cs"/>
          <w:b/>
          <w:bCs/>
          <w:rtl/>
          <w:lang w:bidi="ar-EG"/>
        </w:rPr>
        <w:t>بناء القدرات والدعم التقني</w:t>
      </w:r>
    </w:p>
    <w:p w:rsidR="00202478" w:rsidRDefault="00202478" w:rsidP="00FE6C2B">
      <w:pPr>
        <w:numPr>
          <w:ilvl w:val="0"/>
          <w:numId w:val="28"/>
        </w:numPr>
        <w:spacing w:after="120"/>
        <w:ind w:left="0" w:firstLine="0"/>
        <w:jc w:val="both"/>
        <w:rPr>
          <w:sz w:val="22"/>
          <w:lang w:val="en-GB" w:bidi="ar-EG"/>
        </w:rPr>
      </w:pPr>
      <w:r>
        <w:rPr>
          <w:rFonts w:hint="cs"/>
          <w:sz w:val="22"/>
          <w:rtl/>
          <w:lang w:val="en-GB" w:bidi="ar-EG"/>
        </w:rPr>
        <w:t xml:space="preserve">في </w:t>
      </w:r>
      <w:r w:rsidRPr="009D3AE4">
        <w:rPr>
          <w:rFonts w:hint="cs"/>
          <w:sz w:val="22"/>
          <w:rtl/>
          <w:lang w:val="en-GB" w:bidi="ar-EG"/>
        </w:rPr>
        <w:t>الفقرة</w:t>
      </w:r>
      <w:r>
        <w:rPr>
          <w:rFonts w:hint="cs"/>
          <w:sz w:val="22"/>
          <w:rtl/>
          <w:lang w:val="en-GB" w:bidi="ar-EG"/>
        </w:rPr>
        <w:t xml:space="preserve"> 10 من المقرر 13/20، دعا مؤتمر الأطراف المنظمات والمبادرات ذات الصلة، بما في ذل</w:t>
      </w:r>
      <w:r w:rsidR="00FE6C2B">
        <w:rPr>
          <w:rFonts w:hint="cs"/>
          <w:sz w:val="22"/>
          <w:rtl/>
          <w:lang w:val="en-GB" w:bidi="ar-EG"/>
        </w:rPr>
        <w:t>ك مبادرة تمويل التنوع البيولوجي</w:t>
      </w:r>
      <w:r>
        <w:rPr>
          <w:rFonts w:hint="cs"/>
          <w:sz w:val="22"/>
          <w:rtl/>
          <w:lang w:val="en-GB" w:bidi="ar-EG"/>
        </w:rPr>
        <w:t xml:space="preserve">، إلى تقديم الدعم التقني وبناء القدرات للأطراف المهتمة والمؤهلة من </w:t>
      </w:r>
      <w:r w:rsidR="007E4448">
        <w:rPr>
          <w:rFonts w:hint="cs"/>
          <w:sz w:val="22"/>
          <w:rtl/>
          <w:lang w:val="en-GB" w:bidi="ar-EG"/>
        </w:rPr>
        <w:t xml:space="preserve">البلدان النامية في مجال تحديد </w:t>
      </w:r>
      <w:r>
        <w:rPr>
          <w:rFonts w:hint="cs"/>
          <w:sz w:val="22"/>
          <w:rtl/>
          <w:lang w:val="en-GB" w:bidi="ar-EG"/>
        </w:rPr>
        <w:t>احتياجات التمويل والفجوات والأولويات، ووضع وتنفيذ استراتيجيات وطنية لحشد الموارد وللإبلاغ المالي. وفي الفقرة 12، رحب مؤتمر الأطراف</w:t>
      </w:r>
      <w:r w:rsidR="00E22AA7">
        <w:rPr>
          <w:rFonts w:hint="cs"/>
          <w:sz w:val="22"/>
          <w:rtl/>
          <w:lang w:val="en-GB" w:bidi="ar-EG"/>
        </w:rPr>
        <w:t xml:space="preserve"> بإنشاء الوحدات الإقليمية لمبادرة تمويل التنوع البيولوجي في اتفاقية التنوع البيولوجي كوسيلة لتقديم الدعم التقني إلى الأطراف المهتمة التي لم تدعمها مبادرة تمويل التنوع البيولوجي، وشجع مبادرة تمويل التنوع البيولوجي على أن تأخذ في الاعتبار الإطار المفاهيمي </w:t>
      </w:r>
      <w:r w:rsidR="00E22AA7" w:rsidRPr="000F6BDE">
        <w:rPr>
          <w:rFonts w:hint="cs"/>
          <w:sz w:val="22"/>
          <w:rtl/>
          <w:lang w:val="en-GB" w:bidi="ar-EG"/>
        </w:rPr>
        <w:t xml:space="preserve">للمنبر الحكومي الدولي للعلوم والسياسات في </w:t>
      </w:r>
      <w:r w:rsidR="00E22AA7" w:rsidRPr="000F6BDE">
        <w:rPr>
          <w:rFonts w:hint="cs"/>
          <w:sz w:val="22"/>
          <w:rtl/>
          <w:lang w:val="en-GB" w:bidi="ar-EG"/>
        </w:rPr>
        <w:t>م</w:t>
      </w:r>
      <w:r w:rsidR="00E22AA7" w:rsidRPr="000F6BDE">
        <w:rPr>
          <w:rFonts w:hint="cs"/>
          <w:sz w:val="22"/>
          <w:rtl/>
          <w:lang w:val="en-GB" w:bidi="ar-EG"/>
        </w:rPr>
        <w:t>جال التنوع البيولوجي وخدمات النظم الإيكولوجية</w:t>
      </w:r>
      <w:r w:rsidR="00E22AA7">
        <w:rPr>
          <w:rFonts w:hint="cs"/>
          <w:sz w:val="22"/>
          <w:rtl/>
          <w:lang w:val="en-GB" w:bidi="ar-EG"/>
        </w:rPr>
        <w:t xml:space="preserve"> في العمل الذي ستضطلع بها مستقبلا.</w:t>
      </w:r>
    </w:p>
    <w:p w:rsidR="00E22AA7" w:rsidRDefault="00E22AA7" w:rsidP="00FE6C2B">
      <w:pPr>
        <w:numPr>
          <w:ilvl w:val="0"/>
          <w:numId w:val="28"/>
        </w:numPr>
        <w:spacing w:after="120"/>
        <w:ind w:left="0" w:firstLine="0"/>
        <w:jc w:val="both"/>
        <w:rPr>
          <w:sz w:val="22"/>
          <w:lang w:val="en-GB" w:bidi="ar-EG"/>
        </w:rPr>
      </w:pPr>
      <w:r>
        <w:rPr>
          <w:rFonts w:hint="cs"/>
          <w:sz w:val="22"/>
          <w:rtl/>
          <w:lang w:val="en-GB" w:bidi="ar-EG"/>
        </w:rPr>
        <w:t>وهناك 11 بلدا إضافيا</w:t>
      </w:r>
      <w:r w:rsidR="005E588B">
        <w:rPr>
          <w:rStyle w:val="FootnoteReference"/>
          <w:sz w:val="22"/>
          <w:rtl/>
          <w:lang w:val="en-GB"/>
        </w:rPr>
        <w:footnoteReference w:id="12"/>
      </w:r>
      <w:r>
        <w:rPr>
          <w:rFonts w:hint="cs"/>
          <w:sz w:val="22"/>
          <w:rtl/>
          <w:lang w:val="en-GB" w:bidi="ar-EG"/>
        </w:rPr>
        <w:t xml:space="preserve"> التحقت بمبادرة تمويل التنوع البيولوجي في</w:t>
      </w:r>
      <w:r w:rsidR="009D3AE4">
        <w:rPr>
          <w:rFonts w:hint="cs"/>
          <w:sz w:val="22"/>
          <w:rtl/>
          <w:lang w:val="en-GB" w:bidi="ar-EG"/>
        </w:rPr>
        <w:t xml:space="preserve"> عام</w:t>
      </w:r>
      <w:r>
        <w:rPr>
          <w:rFonts w:hint="cs"/>
          <w:sz w:val="22"/>
          <w:rtl/>
          <w:lang w:val="en-GB" w:bidi="ar-EG"/>
        </w:rPr>
        <w:t xml:space="preserve"> 2016، وهو ما يرفع إجمالي عدد البلدان المدعومة</w:t>
      </w:r>
      <w:r w:rsidR="009D3AE4">
        <w:rPr>
          <w:rFonts w:hint="cs"/>
          <w:sz w:val="22"/>
          <w:rtl/>
          <w:lang w:val="en-GB" w:bidi="ar-EG"/>
        </w:rPr>
        <w:t xml:space="preserve"> من المبادرة</w:t>
      </w:r>
      <w:r>
        <w:rPr>
          <w:rFonts w:hint="cs"/>
          <w:sz w:val="22"/>
          <w:rtl/>
          <w:lang w:val="en-GB" w:bidi="ar-EG"/>
        </w:rPr>
        <w:t xml:space="preserve"> إلى </w:t>
      </w:r>
      <w:r w:rsidR="00FE6C2B">
        <w:rPr>
          <w:rFonts w:hint="cs"/>
          <w:sz w:val="22"/>
          <w:rtl/>
          <w:lang w:val="en-GB" w:bidi="ar-EG"/>
        </w:rPr>
        <w:t>30</w:t>
      </w:r>
      <w:r>
        <w:rPr>
          <w:rFonts w:hint="cs"/>
          <w:sz w:val="22"/>
          <w:rtl/>
          <w:lang w:val="en-GB" w:bidi="ar-EG"/>
        </w:rPr>
        <w:t xml:space="preserve"> بلدا. وبدأت المرحلة الثانية من مبادرة تمويل التنوع البيولوجي في</w:t>
      </w:r>
      <w:r w:rsidR="009D3AE4">
        <w:rPr>
          <w:rFonts w:hint="cs"/>
          <w:sz w:val="22"/>
          <w:rtl/>
          <w:lang w:val="en-GB" w:bidi="ar-EG"/>
        </w:rPr>
        <w:t xml:space="preserve"> عام</w:t>
      </w:r>
      <w:r>
        <w:rPr>
          <w:rFonts w:hint="cs"/>
          <w:sz w:val="22"/>
          <w:rtl/>
          <w:lang w:val="en-GB" w:bidi="ar-EG"/>
        </w:rPr>
        <w:t xml:space="preserve"> 2018 </w:t>
      </w:r>
      <w:r w:rsidR="009D3AE4">
        <w:rPr>
          <w:rFonts w:hint="cs"/>
          <w:sz w:val="22"/>
          <w:rtl/>
          <w:lang w:val="en-GB" w:bidi="ar-EG"/>
        </w:rPr>
        <w:t>لمدة</w:t>
      </w:r>
      <w:r>
        <w:rPr>
          <w:rFonts w:hint="cs"/>
          <w:sz w:val="22"/>
          <w:rtl/>
          <w:lang w:val="en-GB" w:bidi="ar-EG"/>
        </w:rPr>
        <w:t xml:space="preserve"> خمس سنوات، مع زيادة التركيز على دعم البلدان في تنفيذ خطط تمويل التنوع البيولوجي والحلول المالية. وتعمل الوحدات الإقليمية لمبادرة تمويل التنوع البيولوجي حاليا في أفريقيا، وآسيا والمحيط الهادئ، وشرق أوروبا، وأمريكا اللاتينية والكاريبي. وهناك فرقة مكونة من ثلاثة خب</w:t>
      </w:r>
      <w:r w:rsidR="009D3AE4">
        <w:rPr>
          <w:rFonts w:hint="cs"/>
          <w:sz w:val="22"/>
          <w:rtl/>
          <w:lang w:val="en-GB" w:bidi="ar-EG"/>
        </w:rPr>
        <w:t>راء إقليميين تقدم الدعم التقني إلى ا</w:t>
      </w:r>
      <w:r>
        <w:rPr>
          <w:rFonts w:hint="cs"/>
          <w:sz w:val="22"/>
          <w:rtl/>
          <w:lang w:val="en-GB" w:bidi="ar-EG"/>
        </w:rPr>
        <w:t xml:space="preserve">لبلدان المؤهلة في هذه المناطق والتي لم تدعمها </w:t>
      </w:r>
      <w:r w:rsidR="009D3AE4">
        <w:rPr>
          <w:rFonts w:hint="cs"/>
          <w:sz w:val="22"/>
          <w:rtl/>
          <w:lang w:val="en-GB" w:bidi="ar-EG"/>
        </w:rPr>
        <w:t xml:space="preserve">مبادرة تمويل التنوع البيولوجي، بهدف </w:t>
      </w:r>
      <w:r>
        <w:rPr>
          <w:rFonts w:hint="cs"/>
          <w:sz w:val="22"/>
          <w:rtl/>
          <w:lang w:val="en-GB" w:bidi="ar-EG"/>
        </w:rPr>
        <w:t>مساعدتها في التعلم بشأن منهجية</w:t>
      </w:r>
      <w:r w:rsidR="00FE6C2B">
        <w:rPr>
          <w:rFonts w:hint="cs"/>
          <w:sz w:val="22"/>
          <w:rtl/>
          <w:lang w:val="en-GB" w:bidi="ar-EG"/>
        </w:rPr>
        <w:t xml:space="preserve"> مبادرة</w:t>
      </w:r>
      <w:r>
        <w:rPr>
          <w:rFonts w:hint="cs"/>
          <w:sz w:val="22"/>
          <w:rtl/>
          <w:lang w:val="en-GB" w:bidi="ar-EG"/>
        </w:rPr>
        <w:t xml:space="preserve"> تمويل التنوع البيولوجي وتطبيقها.</w:t>
      </w:r>
      <w:r>
        <w:rPr>
          <w:rStyle w:val="FootnoteReference"/>
          <w:sz w:val="22"/>
          <w:rtl/>
          <w:lang w:val="en-GB"/>
        </w:rPr>
        <w:footnoteReference w:id="13"/>
      </w:r>
      <w:r>
        <w:rPr>
          <w:rFonts w:hint="cs"/>
          <w:sz w:val="22"/>
          <w:rtl/>
          <w:lang w:val="en-GB" w:bidi="ar-EG"/>
        </w:rPr>
        <w:t xml:space="preserve"> </w:t>
      </w:r>
      <w:r w:rsidR="005E588B">
        <w:rPr>
          <w:rFonts w:hint="cs"/>
          <w:sz w:val="22"/>
          <w:rtl/>
          <w:lang w:val="en-GB" w:bidi="ar-EG"/>
        </w:rPr>
        <w:t xml:space="preserve">وتتضمن الخدمات المقدمة حلقات دراسية عالمية بشأن </w:t>
      </w:r>
      <w:r w:rsidR="009D3AE4">
        <w:rPr>
          <w:rFonts w:hint="cs"/>
          <w:sz w:val="22"/>
          <w:rtl/>
          <w:lang w:val="en-GB" w:bidi="ar-EG"/>
        </w:rPr>
        <w:t>الخطوات الفردية</w:t>
      </w:r>
      <w:r w:rsidR="005E588B">
        <w:rPr>
          <w:rFonts w:hint="cs"/>
          <w:sz w:val="22"/>
          <w:rtl/>
          <w:lang w:val="en-GB" w:bidi="ar-EG"/>
        </w:rPr>
        <w:t xml:space="preserve"> </w:t>
      </w:r>
      <w:r w:rsidR="009D3AE4">
        <w:rPr>
          <w:rFonts w:hint="cs"/>
          <w:sz w:val="22"/>
          <w:rtl/>
          <w:lang w:val="en-GB" w:bidi="ar-EG"/>
        </w:rPr>
        <w:t>ل</w:t>
      </w:r>
      <w:r w:rsidR="005E588B">
        <w:rPr>
          <w:rFonts w:hint="cs"/>
          <w:sz w:val="22"/>
          <w:rtl/>
          <w:lang w:val="en-GB" w:bidi="ar-EG"/>
        </w:rPr>
        <w:t>منهجية تمويل التنوع البيولوجي وروابطها بالإبلاغ المالي في إطار الاتفاقية، ودورة مفتوحة ضخمة على الإنترنت بشأن تمويل التنوع البيولوجي على الصعيد العالمي من المقرر أن يبدأ عملها في 2018، وحلقات عمل إقليمية وعالمية،</w:t>
      </w:r>
      <w:r w:rsidR="005E588B">
        <w:rPr>
          <w:rStyle w:val="FootnoteReference"/>
          <w:sz w:val="22"/>
          <w:rtl/>
          <w:lang w:val="en-GB"/>
        </w:rPr>
        <w:footnoteReference w:id="14"/>
      </w:r>
      <w:r w:rsidR="005E588B">
        <w:rPr>
          <w:rFonts w:hint="cs"/>
          <w:sz w:val="22"/>
          <w:rtl/>
          <w:lang w:val="en-GB" w:bidi="ar-EG"/>
        </w:rPr>
        <w:t xml:space="preserve"> فضلا عن بعثات داخل البلدان، وتقديم الدعم من أجل إعداد مخزونات لآليات التمويل القائمة، وتقديم إرشادات معدة خصيصا لموارد إضافية. ودُعيت البلدان المؤهلة إلى تقديم </w:t>
      </w:r>
      <w:r w:rsidR="009C5DE4">
        <w:rPr>
          <w:rFonts w:hint="cs"/>
          <w:sz w:val="22"/>
          <w:rtl/>
          <w:lang w:val="en-GB" w:bidi="ar-EG"/>
        </w:rPr>
        <w:t>أدلة على وجود اهتمام</w:t>
      </w:r>
      <w:r w:rsidR="00E8165B">
        <w:rPr>
          <w:rStyle w:val="FootnoteReference"/>
          <w:sz w:val="22"/>
          <w:rtl/>
          <w:lang w:val="en-GB"/>
        </w:rPr>
        <w:footnoteReference w:id="15"/>
      </w:r>
      <w:r w:rsidR="009C5DE4">
        <w:rPr>
          <w:rFonts w:hint="cs"/>
          <w:sz w:val="22"/>
          <w:rtl/>
          <w:lang w:val="en-GB" w:bidi="ar-EG"/>
        </w:rPr>
        <w:t xml:space="preserve">، وقد كان ما مجموعه 39 بلدا في مراحل مختلفة من المشاركة </w:t>
      </w:r>
      <w:r w:rsidR="009D3AE4">
        <w:rPr>
          <w:rFonts w:hint="cs"/>
          <w:sz w:val="22"/>
          <w:rtl/>
          <w:lang w:val="en-GB" w:bidi="ar-EG"/>
        </w:rPr>
        <w:t>مع</w:t>
      </w:r>
      <w:r w:rsidR="009C5DE4">
        <w:rPr>
          <w:rFonts w:hint="cs"/>
          <w:sz w:val="22"/>
          <w:rtl/>
          <w:lang w:val="en-GB" w:bidi="ar-EG"/>
        </w:rPr>
        <w:t xml:space="preserve"> الوحدات الإقليمية لتمويل التنوع البيولوجي حتى نهاية شهر مارس/آذار 2018.</w:t>
      </w:r>
    </w:p>
    <w:p w:rsidR="00655027" w:rsidRDefault="00655027" w:rsidP="00143780">
      <w:pPr>
        <w:numPr>
          <w:ilvl w:val="0"/>
          <w:numId w:val="28"/>
        </w:numPr>
        <w:spacing w:after="120"/>
        <w:ind w:left="0" w:firstLine="0"/>
        <w:jc w:val="both"/>
        <w:rPr>
          <w:sz w:val="22"/>
          <w:lang w:val="en-GB" w:bidi="ar-EG"/>
        </w:rPr>
      </w:pPr>
      <w:r>
        <w:rPr>
          <w:rFonts w:hint="cs"/>
          <w:sz w:val="22"/>
          <w:rtl/>
          <w:lang w:val="en-GB" w:bidi="ar-EG"/>
        </w:rPr>
        <w:t xml:space="preserve">وأصدرت مبادرة تمويل التنوع البيولوجي ترجمات إسبانية وفرنسية وروسية </w:t>
      </w:r>
      <w:r w:rsidR="00FE6C2B">
        <w:rPr>
          <w:rFonts w:hint="cs"/>
          <w:sz w:val="22"/>
          <w:rtl/>
          <w:lang w:val="en-GB" w:bidi="ar-EG"/>
        </w:rPr>
        <w:t>لنسختها</w:t>
      </w:r>
      <w:r w:rsidR="00143780">
        <w:rPr>
          <w:rFonts w:hint="cs"/>
          <w:sz w:val="22"/>
          <w:rtl/>
          <w:lang w:val="en-GB" w:bidi="ar-EG"/>
        </w:rPr>
        <w:t xml:space="preserve"> </w:t>
      </w:r>
      <w:r>
        <w:rPr>
          <w:rFonts w:hint="cs"/>
          <w:sz w:val="22"/>
          <w:rtl/>
          <w:lang w:val="en-GB" w:bidi="ar-EG"/>
        </w:rPr>
        <w:t xml:space="preserve">من </w:t>
      </w:r>
      <w:r w:rsidRPr="000F6BDE">
        <w:rPr>
          <w:rFonts w:hint="cs"/>
          <w:sz w:val="22"/>
          <w:rtl/>
          <w:lang w:val="en-GB" w:bidi="ar-EG"/>
        </w:rPr>
        <w:t>كتاب عمل</w:t>
      </w:r>
      <w:r w:rsidRPr="000F6BDE">
        <w:rPr>
          <w:rFonts w:hint="cs"/>
          <w:sz w:val="22"/>
          <w:rtl/>
          <w:lang w:val="en-GB" w:bidi="ar-EG"/>
        </w:rPr>
        <w:t xml:space="preserve"> </w:t>
      </w:r>
      <w:r w:rsidRPr="000F6BDE">
        <w:rPr>
          <w:rFonts w:hint="cs"/>
          <w:sz w:val="22"/>
          <w:rtl/>
          <w:lang w:val="en-GB" w:bidi="ar-EG"/>
        </w:rPr>
        <w:t>تمويل التنوع البيولوجي</w:t>
      </w:r>
      <w:r w:rsidR="00143780" w:rsidRPr="000F6BDE">
        <w:rPr>
          <w:rFonts w:hint="cs"/>
          <w:sz w:val="22"/>
          <w:rtl/>
          <w:lang w:val="en-GB" w:bidi="ar-EG"/>
        </w:rPr>
        <w:t xml:space="preserve"> لعام 2016</w:t>
      </w:r>
      <w:r>
        <w:rPr>
          <w:rFonts w:hint="cs"/>
          <w:sz w:val="22"/>
          <w:rtl/>
          <w:lang w:val="en-GB" w:bidi="ar-EG"/>
        </w:rPr>
        <w:t xml:space="preserve">. </w:t>
      </w:r>
      <w:r w:rsidR="00F50783">
        <w:rPr>
          <w:rFonts w:hint="cs"/>
          <w:sz w:val="22"/>
          <w:rtl/>
          <w:lang w:val="en-GB" w:bidi="ar-EG"/>
        </w:rPr>
        <w:t>ومن المقرر أن تُنشر نسخة منقحة من كتاب العمل في نوفمبر/تشرين الثاني 2018، والتي ستتوافق في إطارها النظري مع الإطار المفاهيمي للمنبر الحكومي الدولي للعلوم والسياسات في مجال التنوع البيولوجي وخدمات النظم الإيكولوجية،</w:t>
      </w:r>
      <w:r w:rsidR="00F50783">
        <w:rPr>
          <w:rStyle w:val="FootnoteReference"/>
          <w:sz w:val="22"/>
          <w:rtl/>
          <w:lang w:val="en-GB"/>
        </w:rPr>
        <w:footnoteReference w:id="16"/>
      </w:r>
      <w:r w:rsidR="00F50783">
        <w:rPr>
          <w:rFonts w:hint="cs"/>
          <w:sz w:val="22"/>
          <w:rtl/>
          <w:lang w:val="en-GB" w:bidi="ar-EG"/>
        </w:rPr>
        <w:t xml:space="preserve"> </w:t>
      </w:r>
      <w:r w:rsidR="009D3AE4">
        <w:rPr>
          <w:rFonts w:hint="cs"/>
          <w:sz w:val="22"/>
          <w:rtl/>
          <w:lang w:val="en-GB" w:bidi="ar-EG"/>
        </w:rPr>
        <w:t>وهو ما يلبي بالتالي</w:t>
      </w:r>
      <w:r w:rsidR="00F50783">
        <w:rPr>
          <w:rFonts w:hint="cs"/>
          <w:sz w:val="22"/>
          <w:rtl/>
          <w:lang w:val="en-GB" w:bidi="ar-EG"/>
        </w:rPr>
        <w:t xml:space="preserve"> دعوة مؤتمر الأطراف الواردة في الفقرة 11 من المقرر 13/20. وستُقدم إرشادات إضافية بشأن حساب فجوات التمويل الوطنية، وإضفاء الطابع المؤسسي على عملية تمويل التنوع البيولوجي، والعمل مع القطاع الخاص، ووضع خطط اتصال بهدف مناصرة حلول تمويل التنوع البيولوجي. وأخيرا، تم إعداد فهرس إلكتروني لحلول التمويل بشأن تمويل التنوع البيولوجي. ويعرض هذا الفهرس سعة الخيارات المتاحة للبلدان للنهوض بتمويل التنوع البيولوجي وإدراجه في خطط التمويل الخاصة </w:t>
      </w:r>
      <w:r w:rsidR="00F63906">
        <w:rPr>
          <w:rFonts w:hint="cs"/>
          <w:sz w:val="22"/>
          <w:rtl/>
          <w:lang w:val="en-GB" w:bidi="ar-EG"/>
        </w:rPr>
        <w:t>بهذه البلدان</w:t>
      </w:r>
      <w:r w:rsidR="00F50783">
        <w:rPr>
          <w:rFonts w:hint="cs"/>
          <w:sz w:val="22"/>
          <w:rtl/>
          <w:lang w:val="en-GB" w:bidi="ar-EG"/>
        </w:rPr>
        <w:t xml:space="preserve">، ويتضمن تفسيرات </w:t>
      </w:r>
      <w:r w:rsidR="00F63906">
        <w:rPr>
          <w:rFonts w:hint="cs"/>
          <w:sz w:val="22"/>
          <w:rtl/>
          <w:lang w:val="en-GB" w:bidi="ar-EG"/>
        </w:rPr>
        <w:t>مختصرة</w:t>
      </w:r>
      <w:r w:rsidR="00F50783">
        <w:rPr>
          <w:rFonts w:hint="cs"/>
          <w:sz w:val="22"/>
          <w:rtl/>
          <w:lang w:val="en-GB" w:bidi="ar-EG"/>
        </w:rPr>
        <w:t xml:space="preserve"> للخيارات الممكنة.</w:t>
      </w:r>
      <w:r w:rsidR="00F50783">
        <w:rPr>
          <w:rStyle w:val="FootnoteReference"/>
          <w:sz w:val="22"/>
          <w:rtl/>
          <w:lang w:val="en-GB"/>
        </w:rPr>
        <w:footnoteReference w:id="17"/>
      </w:r>
    </w:p>
    <w:p w:rsidR="008422D6" w:rsidRPr="008422D6" w:rsidRDefault="008422D6" w:rsidP="008422D6">
      <w:pPr>
        <w:keepNext/>
        <w:jc w:val="center"/>
        <w:rPr>
          <w:b/>
          <w:bCs/>
          <w:lang w:bidi="ar-EG"/>
        </w:rPr>
      </w:pPr>
      <w:r>
        <w:rPr>
          <w:rFonts w:hint="cs"/>
          <w:b/>
          <w:bCs/>
          <w:rtl/>
          <w:lang w:bidi="ar-EG"/>
        </w:rPr>
        <w:lastRenderedPageBreak/>
        <w:t>باء</w:t>
      </w:r>
      <w:r w:rsidR="00F77E9E">
        <w:rPr>
          <w:rFonts w:hint="cs"/>
          <w:b/>
          <w:bCs/>
          <w:rtl/>
          <w:lang w:bidi="ar-EG"/>
        </w:rPr>
        <w:t>-</w:t>
      </w:r>
      <w:r w:rsidR="00F77E9E">
        <w:rPr>
          <w:rFonts w:hint="cs"/>
          <w:b/>
          <w:bCs/>
          <w:rtl/>
          <w:lang w:bidi="ar-EG"/>
        </w:rPr>
        <w:tab/>
      </w:r>
      <w:r>
        <w:rPr>
          <w:rFonts w:hint="cs"/>
          <w:b/>
          <w:bCs/>
          <w:rtl/>
          <w:lang w:bidi="ar-EG"/>
        </w:rPr>
        <w:t>تعزيز نُظم المعلومات المالية المتعلقة بالتنوع البيولوجي</w:t>
      </w:r>
    </w:p>
    <w:p w:rsidR="008422D6" w:rsidRDefault="008422D6" w:rsidP="008422D6">
      <w:pPr>
        <w:numPr>
          <w:ilvl w:val="0"/>
          <w:numId w:val="28"/>
        </w:numPr>
        <w:spacing w:after="120"/>
        <w:ind w:left="0" w:firstLine="0"/>
        <w:jc w:val="both"/>
        <w:rPr>
          <w:sz w:val="22"/>
          <w:lang w:val="en-GB" w:bidi="ar-EG"/>
        </w:rPr>
      </w:pPr>
      <w:r>
        <w:rPr>
          <w:rFonts w:hint="cs"/>
          <w:sz w:val="22"/>
          <w:rtl/>
          <w:lang w:val="en-GB" w:bidi="ar-EG"/>
        </w:rPr>
        <w:t>في الفقرة 13 من المقرر 13/20، أُحيط مؤتمر الأطراف علما بالعمل الذي تقوم به لجنة المساعدة الإنمائية لمنظمة التعاون والتنمية في الميدان الاقتصادي من أجل تحسين منهجية علامات ريو،</w:t>
      </w:r>
      <w:r w:rsidR="00CC6656">
        <w:rPr>
          <w:rStyle w:val="FootnoteReference"/>
          <w:sz w:val="22"/>
          <w:rtl/>
          <w:lang w:val="en-GB"/>
        </w:rPr>
        <w:footnoteReference w:id="18"/>
      </w:r>
      <w:r>
        <w:rPr>
          <w:rFonts w:hint="cs"/>
          <w:sz w:val="22"/>
          <w:rtl/>
          <w:lang w:val="en-GB" w:bidi="ar-EG"/>
        </w:rPr>
        <w:t xml:space="preserve"> وشجع اللجنة على مواصلة هذا العمل وتكثيفه.</w:t>
      </w:r>
    </w:p>
    <w:p w:rsidR="00CC6656" w:rsidRDefault="00CC6656" w:rsidP="00C9493E">
      <w:pPr>
        <w:numPr>
          <w:ilvl w:val="0"/>
          <w:numId w:val="28"/>
        </w:numPr>
        <w:spacing w:after="120"/>
        <w:ind w:left="0" w:firstLine="0"/>
        <w:jc w:val="both"/>
        <w:rPr>
          <w:sz w:val="22"/>
          <w:lang w:val="en-GB" w:bidi="ar-EG"/>
        </w:rPr>
      </w:pPr>
      <w:r>
        <w:rPr>
          <w:rFonts w:hint="cs"/>
          <w:sz w:val="22"/>
          <w:rtl/>
          <w:lang w:val="en-GB" w:bidi="ar-EG"/>
        </w:rPr>
        <w:t>ومنذ ذلك الحين، قامت منظمة التعاون والتنمية في الميدان الاقتصادي، بالتعاون مع أعضاء لجنة المساعدة الإنمائية، باستعراض علامات ريو للتنوع البيولوجي في محاولة لتحسين مواءمة الإبلاغ عن</w:t>
      </w:r>
      <w:r w:rsidR="00E82200">
        <w:rPr>
          <w:rFonts w:hint="cs"/>
          <w:sz w:val="22"/>
          <w:rtl/>
          <w:lang w:val="en-GB" w:bidi="ar-EG"/>
        </w:rPr>
        <w:t xml:space="preserve"> تمويل التنمية ذات الصلة بالتنوع البيولوجي في ظل التطورات الأخيرة في إطار عملية الاتفاقية. وبالرغم من أنه لن يتم إدخال أي تغييرات على تعريف العلامات، سيتم تعديل معايير التأهيل التكميلية بحيث تعكس أهدف أيشي ذات الصلة والهدف 15 من أهداف التنمية المستدامة. وستقوم الفرقة العاملة المعنية بإحصاءات تمويل التنمية والتابعة لمنظمة التعاون والتنمية في الميدان الاقتصادي باستعراض التغييرات المقترحة في يونيو/حزيران 2018، بغية تطبيق هذه التعديلات على البيانات المبلغ عنها بدءا من عام 2019 فصاعدا. وفي محاولة لتيسير الإبلاغ من جانب أعضاء لجنة المساعدة الإنمائية وتحسين تجانسه، يجري أيضا إعداد جدول بأمثلة على كيفية تطبيق</w:t>
      </w:r>
      <w:r w:rsidR="00C9493E">
        <w:rPr>
          <w:rFonts w:hint="cs"/>
          <w:sz w:val="22"/>
          <w:rtl/>
          <w:lang w:val="en-GB" w:bidi="ar-EG"/>
        </w:rPr>
        <w:t xml:space="preserve"> العلامات في القطاعات المختلفة.</w:t>
      </w:r>
    </w:p>
    <w:p w:rsidR="00C9493E" w:rsidRDefault="00C9493E" w:rsidP="00F63906">
      <w:pPr>
        <w:numPr>
          <w:ilvl w:val="0"/>
          <w:numId w:val="28"/>
        </w:numPr>
        <w:spacing w:after="120"/>
        <w:ind w:left="0" w:firstLine="0"/>
        <w:jc w:val="both"/>
        <w:rPr>
          <w:sz w:val="22"/>
          <w:lang w:val="en-GB" w:bidi="ar-EG"/>
        </w:rPr>
      </w:pPr>
      <w:r>
        <w:rPr>
          <w:rFonts w:hint="cs"/>
          <w:sz w:val="22"/>
          <w:rtl/>
          <w:lang w:val="en-GB" w:bidi="ar-EG"/>
        </w:rPr>
        <w:t xml:space="preserve">وفي الفقرة 14 من المقرر 13/20، أُحيط مؤتمر الأطراف علما بالعمل الذي تضطلع به المصارف الإنمائية المتعددة الأطراف لتتبع التدفقات المالية المتعددة الأطراف المتعلقة بالتنوع البيولوجي والإبلاغ عنها، وشجعها على الإسراع في إنجاز هذا العمل. واستمر هذا العمل، </w:t>
      </w:r>
      <w:r w:rsidR="00F63906">
        <w:rPr>
          <w:rFonts w:hint="cs"/>
          <w:sz w:val="22"/>
          <w:rtl/>
          <w:lang w:val="en-GB" w:bidi="ar-EG"/>
        </w:rPr>
        <w:t>الذي يقوده</w:t>
      </w:r>
      <w:r>
        <w:rPr>
          <w:rFonts w:hint="cs"/>
          <w:sz w:val="22"/>
          <w:rtl/>
          <w:lang w:val="en-GB" w:bidi="ar-EG"/>
        </w:rPr>
        <w:t xml:space="preserve"> البنك الأوروبي للاستثمار، ولكنه لم يتوصل حتى الآن إلى منهجية متفق عليها.</w:t>
      </w:r>
    </w:p>
    <w:p w:rsidR="001113E0" w:rsidRDefault="001113E0" w:rsidP="00143780">
      <w:pPr>
        <w:numPr>
          <w:ilvl w:val="0"/>
          <w:numId w:val="28"/>
        </w:numPr>
        <w:spacing w:after="120"/>
        <w:ind w:left="0" w:firstLine="0"/>
        <w:jc w:val="both"/>
        <w:rPr>
          <w:sz w:val="22"/>
          <w:lang w:val="en-GB" w:bidi="ar-EG"/>
        </w:rPr>
      </w:pPr>
      <w:r>
        <w:rPr>
          <w:rFonts w:hint="cs"/>
          <w:sz w:val="22"/>
          <w:rtl/>
          <w:lang w:val="en-GB" w:bidi="ar-EG"/>
        </w:rPr>
        <w:t xml:space="preserve">وفي الفقرة 17 من المقرر 13/20، طلب مؤتمر الأطراف إلى الأمين التنفيذي أن يستكشف، من خلال </w:t>
      </w:r>
      <w:r w:rsidRPr="001C4E19">
        <w:rPr>
          <w:rFonts w:hint="cs"/>
          <w:sz w:val="22"/>
          <w:rtl/>
          <w:lang w:val="en-GB" w:bidi="ar-EG"/>
        </w:rPr>
        <w:t xml:space="preserve">فرقة العمل المشتركة بين الوكالات </w:t>
      </w:r>
      <w:r w:rsidR="007D6F6E" w:rsidRPr="001C4E19">
        <w:rPr>
          <w:rFonts w:hint="cs"/>
          <w:sz w:val="22"/>
          <w:rtl/>
          <w:lang w:val="en-GB" w:bidi="ar-EG"/>
        </w:rPr>
        <w:t>المعنية ب</w:t>
      </w:r>
      <w:r w:rsidR="00514B97" w:rsidRPr="001C4E19">
        <w:rPr>
          <w:rFonts w:hint="cs"/>
          <w:sz w:val="22"/>
          <w:rtl/>
          <w:lang w:val="en-GB" w:bidi="ar-EG"/>
        </w:rPr>
        <w:t>تمويل التنمية</w:t>
      </w:r>
      <w:r>
        <w:rPr>
          <w:rFonts w:hint="cs"/>
          <w:sz w:val="22"/>
          <w:rtl/>
          <w:lang w:val="en-GB" w:bidi="ar-EG"/>
        </w:rPr>
        <w:t>، جدوى ربط الإبلاغ المالي بموجب الاتفاقية بعملية الرصد ال</w:t>
      </w:r>
      <w:r w:rsidR="00F63906">
        <w:rPr>
          <w:rFonts w:hint="cs"/>
          <w:sz w:val="22"/>
          <w:rtl/>
          <w:lang w:val="en-GB" w:bidi="ar-EG"/>
        </w:rPr>
        <w:t>ناشئة من أجل متابعة واستعراض ا</w:t>
      </w:r>
      <w:r>
        <w:rPr>
          <w:rFonts w:hint="cs"/>
          <w:sz w:val="22"/>
          <w:rtl/>
          <w:lang w:val="en-GB" w:bidi="ar-EG"/>
        </w:rPr>
        <w:t>لتزامات خطة عمل أديس أبابا</w:t>
      </w:r>
      <w:r w:rsidR="00F3601A">
        <w:rPr>
          <w:rFonts w:hint="cs"/>
          <w:sz w:val="22"/>
          <w:rtl/>
          <w:lang w:val="en-GB" w:bidi="ar-EG"/>
        </w:rPr>
        <w:t>،</w:t>
      </w:r>
      <w:r w:rsidR="00FE6C2B">
        <w:rPr>
          <w:rFonts w:hint="cs"/>
          <w:sz w:val="22"/>
          <w:rtl/>
          <w:lang w:val="en-GB" w:bidi="ar-EG"/>
        </w:rPr>
        <w:t xml:space="preserve"> التي اعتُمدت في المؤتمر الدولي الثالث لتمويل التنمية (أديس أبابا، 13-16 يوليو/تموز 2015) وأقرتها الجمعية العامة في قرارها </w:t>
      </w:r>
      <w:hyperlink r:id="rId13" w:history="1">
        <w:r w:rsidR="00143780" w:rsidRPr="00634160">
          <w:rPr>
            <w:rStyle w:val="Hyperlink"/>
            <w:snapToGrid w:val="0"/>
            <w:kern w:val="22"/>
            <w:sz w:val="22"/>
            <w:szCs w:val="22"/>
          </w:rPr>
          <w:t>69/</w:t>
        </w:r>
        <w:r w:rsidR="00143780" w:rsidRPr="00634160">
          <w:rPr>
            <w:rStyle w:val="Hyperlink"/>
            <w:snapToGrid w:val="0"/>
            <w:kern w:val="22"/>
            <w:sz w:val="22"/>
            <w:szCs w:val="22"/>
          </w:rPr>
          <w:t>3</w:t>
        </w:r>
        <w:r w:rsidR="00143780" w:rsidRPr="00634160">
          <w:rPr>
            <w:rStyle w:val="Hyperlink"/>
            <w:snapToGrid w:val="0"/>
            <w:kern w:val="22"/>
            <w:sz w:val="22"/>
            <w:szCs w:val="22"/>
          </w:rPr>
          <w:t>13</w:t>
        </w:r>
      </w:hyperlink>
      <w:r w:rsidR="00FE6C2B">
        <w:rPr>
          <w:rFonts w:hint="cs"/>
          <w:sz w:val="22"/>
          <w:rtl/>
          <w:lang w:val="en-GB" w:bidi="ar-EG"/>
        </w:rPr>
        <w:t xml:space="preserve"> الذي اتخذته في 27 يوليو/تموز 2015</w:t>
      </w:r>
      <w:r>
        <w:rPr>
          <w:rFonts w:hint="cs"/>
          <w:sz w:val="22"/>
          <w:rtl/>
          <w:lang w:val="en-GB" w:bidi="ar-EG"/>
        </w:rPr>
        <w:t>،</w:t>
      </w:r>
      <w:r>
        <w:rPr>
          <w:rStyle w:val="FootnoteReference"/>
          <w:sz w:val="22"/>
          <w:rtl/>
          <w:lang w:val="en-GB"/>
        </w:rPr>
        <w:footnoteReference w:id="19"/>
      </w:r>
      <w:r>
        <w:rPr>
          <w:rFonts w:hint="cs"/>
          <w:sz w:val="22"/>
          <w:rtl/>
          <w:lang w:val="en-GB" w:bidi="ar-EG"/>
        </w:rPr>
        <w:t xml:space="preserve"> وأن </w:t>
      </w:r>
      <w:r w:rsidR="00F63906">
        <w:rPr>
          <w:rFonts w:hint="cs"/>
          <w:sz w:val="22"/>
          <w:rtl/>
          <w:lang w:val="en-GB" w:bidi="ar-EG"/>
        </w:rPr>
        <w:t>يقوم</w:t>
      </w:r>
      <w:r>
        <w:rPr>
          <w:rFonts w:hint="cs"/>
          <w:sz w:val="22"/>
          <w:rtl/>
          <w:lang w:val="en-GB" w:bidi="ar-EG"/>
        </w:rPr>
        <w:t>، حسب الاقتضاء،</w:t>
      </w:r>
      <w:r w:rsidR="00F63906">
        <w:rPr>
          <w:rFonts w:hint="cs"/>
          <w:sz w:val="22"/>
          <w:rtl/>
          <w:lang w:val="en-GB" w:bidi="ar-EG"/>
        </w:rPr>
        <w:t xml:space="preserve"> بتحديث</w:t>
      </w:r>
      <w:r>
        <w:rPr>
          <w:rFonts w:hint="cs"/>
          <w:sz w:val="22"/>
          <w:rtl/>
          <w:lang w:val="en-GB" w:bidi="ar-EG"/>
        </w:rPr>
        <w:t xml:space="preserve"> الإرشادات الواردة في تقرير حلقة </w:t>
      </w:r>
      <w:r w:rsidR="00941FF5">
        <w:rPr>
          <w:rFonts w:hint="cs"/>
          <w:sz w:val="22"/>
          <w:rtl/>
          <w:lang w:val="en-GB" w:bidi="ar-EG"/>
        </w:rPr>
        <w:t>العمل الدولية للخبراء التقنيين بشأن تحديد الاستثمارات والآثار المحلية والدولية ذات الصلة بالتنوع البيولوجي والوصول إليها وجمعها وتجميعها</w:t>
      </w:r>
      <w:r>
        <w:rPr>
          <w:rFonts w:hint="cs"/>
          <w:sz w:val="22"/>
          <w:rtl/>
          <w:lang w:val="en-GB" w:bidi="ar-EG"/>
        </w:rPr>
        <w:t xml:space="preserve"> </w:t>
      </w:r>
      <w:r w:rsidR="00941FF5">
        <w:rPr>
          <w:rFonts w:hint="cs"/>
          <w:sz w:val="22"/>
          <w:rtl/>
          <w:lang w:val="en-GB" w:bidi="ar-EG"/>
        </w:rPr>
        <w:t>(مكسيكو سيتي، 5-7 مايو/أيار 2015)</w:t>
      </w:r>
      <w:r>
        <w:rPr>
          <w:rStyle w:val="FootnoteReference"/>
          <w:sz w:val="22"/>
          <w:rtl/>
          <w:lang w:val="en-GB"/>
        </w:rPr>
        <w:footnoteReference w:id="20"/>
      </w:r>
      <w:r>
        <w:rPr>
          <w:rFonts w:hint="cs"/>
          <w:sz w:val="22"/>
          <w:rtl/>
          <w:lang w:val="en-GB" w:bidi="ar-EG"/>
        </w:rPr>
        <w:t xml:space="preserve"> بأي معلومات منهجية جديدة. وإعمالا لهذين الطلبين، ووفقا للمشاورات مع أمانة ف</w:t>
      </w:r>
      <w:r w:rsidR="00941FF5">
        <w:rPr>
          <w:rFonts w:hint="cs"/>
          <w:sz w:val="22"/>
          <w:rtl/>
          <w:lang w:val="en-GB" w:bidi="ar-EG"/>
        </w:rPr>
        <w:t>رقة العمل المشتركة بين الوكالات</w:t>
      </w:r>
      <w:r>
        <w:rPr>
          <w:rFonts w:hint="cs"/>
          <w:sz w:val="22"/>
          <w:rtl/>
          <w:lang w:val="en-GB" w:bidi="ar-EG"/>
        </w:rPr>
        <w:t xml:space="preserve">، </w:t>
      </w:r>
      <w:r w:rsidR="00941FF5">
        <w:rPr>
          <w:rFonts w:hint="cs"/>
          <w:sz w:val="22"/>
          <w:rtl/>
          <w:lang w:val="en-GB" w:bidi="ar-EG"/>
        </w:rPr>
        <w:t>قُدمت</w:t>
      </w:r>
      <w:r>
        <w:rPr>
          <w:rFonts w:hint="cs"/>
          <w:sz w:val="22"/>
          <w:rtl/>
          <w:lang w:val="en-GB" w:bidi="ar-EG"/>
        </w:rPr>
        <w:t xml:space="preserve"> </w:t>
      </w:r>
      <w:r w:rsidR="00941FF5">
        <w:rPr>
          <w:rFonts w:hint="cs"/>
          <w:sz w:val="22"/>
          <w:rtl/>
          <w:lang w:val="en-GB" w:bidi="ar-EG"/>
        </w:rPr>
        <w:t xml:space="preserve">الروابط مع </w:t>
      </w:r>
      <w:r>
        <w:rPr>
          <w:rFonts w:hint="cs"/>
          <w:sz w:val="22"/>
          <w:rtl/>
          <w:lang w:val="en-GB" w:bidi="ar-EG"/>
        </w:rPr>
        <w:t xml:space="preserve">إطار الإبلاغ المالي وكذلك التحليلات ذات الصلة المضطلع بها بموجب الاتفاقية كمساهمة في </w:t>
      </w:r>
      <w:r w:rsidR="005307B3">
        <w:rPr>
          <w:rFonts w:hint="cs"/>
          <w:sz w:val="22"/>
          <w:rtl/>
          <w:lang w:val="en-GB" w:bidi="ar-EG"/>
        </w:rPr>
        <w:t>إعداد التقرير السنوي ل</w:t>
      </w:r>
      <w:r>
        <w:rPr>
          <w:rFonts w:hint="cs"/>
          <w:sz w:val="22"/>
          <w:rtl/>
          <w:lang w:val="en-GB" w:bidi="ar-EG"/>
        </w:rPr>
        <w:t>فرقة العمل المشتركة بين الوكالات</w:t>
      </w:r>
      <w:r w:rsidR="005307B3" w:rsidRPr="005307B3">
        <w:rPr>
          <w:rFonts w:hint="cs"/>
          <w:sz w:val="22"/>
          <w:rtl/>
          <w:lang w:val="en-GB" w:bidi="ar-EG"/>
        </w:rPr>
        <w:t xml:space="preserve"> </w:t>
      </w:r>
      <w:r w:rsidR="005307B3">
        <w:rPr>
          <w:rFonts w:hint="cs"/>
          <w:sz w:val="22"/>
          <w:rtl/>
          <w:lang w:val="en-GB" w:bidi="ar-EG"/>
        </w:rPr>
        <w:t>لعام 2018</w:t>
      </w:r>
      <w:r>
        <w:rPr>
          <w:rFonts w:hint="cs"/>
          <w:sz w:val="22"/>
          <w:rtl/>
          <w:lang w:val="en-GB" w:bidi="ar-EG"/>
        </w:rPr>
        <w:t>.</w:t>
      </w:r>
      <w:r w:rsidR="00941FF5">
        <w:rPr>
          <w:rStyle w:val="FootnoteReference"/>
          <w:sz w:val="22"/>
          <w:rtl/>
          <w:lang w:val="en-GB"/>
        </w:rPr>
        <w:footnoteReference w:id="21"/>
      </w:r>
      <w:r>
        <w:rPr>
          <w:rFonts w:hint="cs"/>
          <w:sz w:val="22"/>
          <w:rtl/>
          <w:lang w:val="en-GB" w:bidi="ar-EG"/>
        </w:rPr>
        <w:t xml:space="preserve"> وتم إدراج هذه المساهمة في القسم المعني بالهدف 15 من أهداف التنمية المستدامة الوارد في تقرير فرقة العمل المشتركة بين الوكالات لعام 2018</w:t>
      </w:r>
      <w:r w:rsidR="0086689A">
        <w:rPr>
          <w:rFonts w:hint="cs"/>
          <w:sz w:val="22"/>
          <w:rtl/>
          <w:lang w:val="en-GB" w:bidi="ar-EG"/>
        </w:rPr>
        <w:t xml:space="preserve"> وفي المرفق بهذا التقرير على الإنترنت.</w:t>
      </w:r>
      <w:r w:rsidR="0086689A">
        <w:rPr>
          <w:rStyle w:val="FootnoteReference"/>
          <w:sz w:val="22"/>
          <w:rtl/>
          <w:lang w:val="en-GB"/>
        </w:rPr>
        <w:footnoteReference w:id="22"/>
      </w:r>
      <w:r w:rsidR="0086689A">
        <w:rPr>
          <w:rFonts w:hint="cs"/>
          <w:sz w:val="22"/>
          <w:rtl/>
          <w:lang w:val="en-GB" w:bidi="ar-EG"/>
        </w:rPr>
        <w:t xml:space="preserve"> </w:t>
      </w:r>
      <w:r w:rsidR="005307B3">
        <w:rPr>
          <w:rFonts w:hint="cs"/>
          <w:sz w:val="22"/>
          <w:rtl/>
          <w:lang w:val="en-GB" w:bidi="ar-EG"/>
        </w:rPr>
        <w:t>وتُرصد</w:t>
      </w:r>
      <w:r w:rsidR="0086689A">
        <w:rPr>
          <w:rFonts w:hint="cs"/>
          <w:sz w:val="22"/>
          <w:rtl/>
          <w:lang w:val="en-GB" w:bidi="ar-EG"/>
        </w:rPr>
        <w:t xml:space="preserve"> الحاجة إلى تحديث الإرشادات الواردة في التقرير المنهجي </w:t>
      </w:r>
      <w:r w:rsidR="005307B3">
        <w:rPr>
          <w:rFonts w:hint="cs"/>
          <w:sz w:val="22"/>
          <w:rtl/>
          <w:lang w:val="en-GB" w:bidi="ar-EG"/>
        </w:rPr>
        <w:t>بصورة مستمرة</w:t>
      </w:r>
      <w:r w:rsidR="0086689A">
        <w:rPr>
          <w:rFonts w:hint="cs"/>
          <w:sz w:val="22"/>
          <w:rtl/>
          <w:lang w:val="en-GB" w:bidi="ar-EG"/>
        </w:rPr>
        <w:t>.</w:t>
      </w:r>
      <w:r w:rsidR="005307B3">
        <w:rPr>
          <w:rFonts w:hint="cs"/>
          <w:sz w:val="22"/>
          <w:rtl/>
          <w:lang w:val="en-GB" w:bidi="ar-EG"/>
        </w:rPr>
        <w:t xml:space="preserve"> </w:t>
      </w:r>
    </w:p>
    <w:p w:rsidR="00B011D9" w:rsidRPr="00B011D9" w:rsidRDefault="00B011D9" w:rsidP="00B011D9">
      <w:pPr>
        <w:keepNext/>
        <w:jc w:val="center"/>
        <w:rPr>
          <w:b/>
          <w:bCs/>
          <w:lang w:bidi="ar-EG"/>
        </w:rPr>
      </w:pPr>
      <w:r>
        <w:rPr>
          <w:rFonts w:hint="cs"/>
          <w:b/>
          <w:bCs/>
          <w:rtl/>
          <w:lang w:bidi="ar-EG"/>
        </w:rPr>
        <w:lastRenderedPageBreak/>
        <w:t>جيم</w:t>
      </w:r>
      <w:r w:rsidR="00F77E9E">
        <w:rPr>
          <w:rFonts w:hint="cs"/>
          <w:b/>
          <w:bCs/>
          <w:rtl/>
          <w:lang w:bidi="ar-EG"/>
        </w:rPr>
        <w:t>-</w:t>
      </w:r>
      <w:r w:rsidR="00F77E9E">
        <w:rPr>
          <w:rFonts w:hint="cs"/>
          <w:b/>
          <w:bCs/>
          <w:rtl/>
          <w:lang w:bidi="ar-EG"/>
        </w:rPr>
        <w:tab/>
      </w:r>
      <w:r>
        <w:rPr>
          <w:rFonts w:hint="cs"/>
          <w:b/>
          <w:bCs/>
          <w:rtl/>
          <w:lang w:bidi="ar-EG"/>
        </w:rPr>
        <w:t>العمل الجماعي للشعوب الأصلية والمجتمعات المحلية، والضمانات في آليات تمويل التنوع البيولوجي</w:t>
      </w:r>
    </w:p>
    <w:p w:rsidR="00B011D9" w:rsidRDefault="00B011D9" w:rsidP="00A3372D">
      <w:pPr>
        <w:numPr>
          <w:ilvl w:val="0"/>
          <w:numId w:val="28"/>
        </w:numPr>
        <w:spacing w:after="120"/>
        <w:ind w:left="0" w:firstLine="0"/>
        <w:jc w:val="both"/>
        <w:rPr>
          <w:sz w:val="22"/>
          <w:lang w:val="en-GB" w:bidi="ar-EG"/>
        </w:rPr>
      </w:pPr>
      <w:r>
        <w:rPr>
          <w:rFonts w:hint="cs"/>
          <w:sz w:val="22"/>
          <w:rtl/>
          <w:lang w:val="en-GB" w:bidi="ar-EG"/>
        </w:rPr>
        <w:t>يحتوي المقرر 13/20</w:t>
      </w:r>
      <w:r w:rsidR="00597904">
        <w:rPr>
          <w:rStyle w:val="FootnoteReference"/>
          <w:sz w:val="22"/>
          <w:rtl/>
          <w:lang w:val="en-GB"/>
        </w:rPr>
        <w:footnoteReference w:id="23"/>
      </w:r>
      <w:r>
        <w:rPr>
          <w:rFonts w:hint="cs"/>
          <w:sz w:val="22"/>
          <w:rtl/>
          <w:lang w:val="en-GB" w:bidi="ar-EG"/>
        </w:rPr>
        <w:t xml:space="preserve"> على عدد من الدعوات </w:t>
      </w:r>
      <w:r w:rsidR="00414ADD">
        <w:rPr>
          <w:rFonts w:hint="cs"/>
          <w:sz w:val="22"/>
          <w:rtl/>
          <w:lang w:val="en-GB" w:bidi="ar-EG"/>
        </w:rPr>
        <w:t>ذات الصلة</w:t>
      </w:r>
      <w:r w:rsidR="005307B3">
        <w:rPr>
          <w:rFonts w:hint="cs"/>
          <w:sz w:val="22"/>
          <w:rtl/>
          <w:lang w:val="en-GB" w:bidi="ar-EG"/>
        </w:rPr>
        <w:t xml:space="preserve"> إلى ا</w:t>
      </w:r>
      <w:r>
        <w:rPr>
          <w:rFonts w:hint="cs"/>
          <w:sz w:val="22"/>
          <w:rtl/>
          <w:lang w:val="en-GB" w:bidi="ar-EG"/>
        </w:rPr>
        <w:t>لأطراف والحكومات الأخرى، وكذلك وأصحاب المصلحة المعنيين، والمنظمات، وطلبات ذات صلة إلى الأمين التنفيذي. ويرد ملخص لهذه الفقرات</w:t>
      </w:r>
      <w:r w:rsidR="005307B3">
        <w:rPr>
          <w:rFonts w:hint="cs"/>
          <w:sz w:val="22"/>
          <w:rtl/>
          <w:lang w:val="en-GB" w:bidi="ar-EG"/>
        </w:rPr>
        <w:t xml:space="preserve"> التشغيلية</w:t>
      </w:r>
      <w:r>
        <w:rPr>
          <w:rFonts w:hint="cs"/>
          <w:sz w:val="22"/>
          <w:rtl/>
          <w:lang w:val="en-GB" w:bidi="ar-EG"/>
        </w:rPr>
        <w:t xml:space="preserve"> والإجراءات المضطلع بها فيما بعد، فضلا عن عناصر لمشروع توصية، في </w:t>
      </w:r>
      <w:r w:rsidR="00A3372D">
        <w:rPr>
          <w:rFonts w:hint="cs"/>
          <w:sz w:val="22"/>
          <w:rtl/>
          <w:lang w:val="en-GB" w:bidi="ar-EG"/>
        </w:rPr>
        <w:t xml:space="preserve">المذكرتين اللتان أعدهما الأمين التنفيذي بشأن </w:t>
      </w:r>
      <w:r>
        <w:rPr>
          <w:rFonts w:hint="cs"/>
          <w:sz w:val="22"/>
          <w:rtl/>
          <w:lang w:val="en-GB" w:bidi="ar-EG"/>
        </w:rPr>
        <w:t>عناصر الإرشادات المنهجية لتحديد ورصد وتقييم مساهمة ال</w:t>
      </w:r>
      <w:r w:rsidR="00A3372D">
        <w:rPr>
          <w:rFonts w:hint="cs"/>
          <w:sz w:val="22"/>
          <w:rtl/>
          <w:lang w:val="en-GB" w:bidi="ar-EG"/>
        </w:rPr>
        <w:t>شعوب الأصلية والمجتمعات المحلية (</w:t>
      </w:r>
      <w:hyperlink r:id="rId14" w:history="1">
        <w:r w:rsidR="00A3372D" w:rsidRPr="007D33A7">
          <w:rPr>
            <w:rStyle w:val="Hyperlink"/>
            <w:snapToGrid w:val="0"/>
            <w:kern w:val="22"/>
            <w:sz w:val="22"/>
            <w:szCs w:val="22"/>
          </w:rPr>
          <w:t>CBD/SBI/2/19</w:t>
        </w:r>
      </w:hyperlink>
      <w:r w:rsidR="00A3372D">
        <w:rPr>
          <w:rFonts w:hint="cs"/>
          <w:sz w:val="22"/>
          <w:rtl/>
          <w:lang w:val="en-GB" w:bidi="ar-EG"/>
        </w:rPr>
        <w:t>)</w:t>
      </w:r>
      <w:r>
        <w:rPr>
          <w:rFonts w:hint="cs"/>
          <w:sz w:val="22"/>
          <w:rtl/>
          <w:lang w:val="en-GB" w:bidi="ar-EG"/>
        </w:rPr>
        <w:t xml:space="preserve"> و</w:t>
      </w:r>
      <w:r w:rsidR="00A3372D">
        <w:rPr>
          <w:rFonts w:hint="cs"/>
          <w:sz w:val="22"/>
          <w:rtl/>
          <w:lang w:val="en-GB" w:bidi="ar-EG"/>
        </w:rPr>
        <w:t xml:space="preserve">بشأن </w:t>
      </w:r>
      <w:r>
        <w:rPr>
          <w:rFonts w:hint="cs"/>
          <w:sz w:val="22"/>
          <w:rtl/>
          <w:lang w:val="en-GB" w:bidi="ar-EG"/>
        </w:rPr>
        <w:t>مراعاة المبادئ التوجيهية الطوعية بشأن الضمانات في آليات تمويل التنوع البيولوجي عند اختيار وتصميم وتنفيذ آليات تمويل التنوع البيولوجي</w:t>
      </w:r>
      <w:r w:rsidR="00A3372D">
        <w:rPr>
          <w:rFonts w:hint="cs"/>
          <w:sz w:val="22"/>
          <w:rtl/>
          <w:lang w:val="en-GB" w:bidi="ar-EG"/>
        </w:rPr>
        <w:t>، وعند وضع ضمانات محددة الأدوات (</w:t>
      </w:r>
      <w:hyperlink r:id="rId15" w:history="1">
        <w:r w:rsidR="00A3372D" w:rsidRPr="00B840DD">
          <w:rPr>
            <w:rStyle w:val="Hyperlink"/>
            <w:snapToGrid w:val="0"/>
            <w:kern w:val="22"/>
            <w:sz w:val="22"/>
            <w:szCs w:val="22"/>
          </w:rPr>
          <w:t>CBD/SBI/2/20</w:t>
        </w:r>
      </w:hyperlink>
      <w:r w:rsidR="00A3372D">
        <w:rPr>
          <w:rFonts w:hint="cs"/>
          <w:sz w:val="22"/>
          <w:rtl/>
          <w:lang w:val="en-GB" w:bidi="ar-EG"/>
        </w:rPr>
        <w:t>)</w:t>
      </w:r>
      <w:r>
        <w:rPr>
          <w:rFonts w:hint="cs"/>
          <w:sz w:val="22"/>
          <w:rtl/>
          <w:lang w:val="en-GB" w:bidi="ar-EG"/>
        </w:rPr>
        <w:t>.</w:t>
      </w:r>
    </w:p>
    <w:p w:rsidR="00B011D9" w:rsidRPr="00B011D9" w:rsidRDefault="00B011D9" w:rsidP="00B011D9">
      <w:pPr>
        <w:keepNext/>
        <w:jc w:val="center"/>
        <w:rPr>
          <w:b/>
          <w:bCs/>
          <w:lang w:bidi="ar-EG"/>
        </w:rPr>
      </w:pPr>
      <w:r w:rsidRPr="007D33A7">
        <w:rPr>
          <w:rFonts w:hint="cs"/>
          <w:b/>
          <w:bCs/>
          <w:rtl/>
          <w:lang w:bidi="ar-EG"/>
        </w:rPr>
        <w:t>دال</w:t>
      </w:r>
      <w:r w:rsidR="00F77E9E" w:rsidRPr="007D33A7">
        <w:rPr>
          <w:rFonts w:hint="cs"/>
          <w:b/>
          <w:bCs/>
          <w:rtl/>
          <w:lang w:bidi="ar-EG"/>
        </w:rPr>
        <w:t>-</w:t>
      </w:r>
      <w:r w:rsidR="00F77E9E" w:rsidRPr="007D33A7">
        <w:rPr>
          <w:rFonts w:hint="cs"/>
          <w:b/>
          <w:bCs/>
          <w:rtl/>
          <w:lang w:bidi="ar-EG"/>
        </w:rPr>
        <w:tab/>
      </w:r>
      <w:r w:rsidRPr="007D33A7">
        <w:rPr>
          <w:rFonts w:hint="cs"/>
          <w:b/>
          <w:bCs/>
          <w:rtl/>
          <w:lang w:bidi="ar-EG"/>
        </w:rPr>
        <w:t>المعالم الرئيسية للتنفيذ الكامل للهدف 3 من أهداف أيشي للتنوع البيولوجي</w:t>
      </w:r>
    </w:p>
    <w:p w:rsidR="00B011D9" w:rsidRDefault="00B011D9" w:rsidP="00A3372D">
      <w:pPr>
        <w:numPr>
          <w:ilvl w:val="0"/>
          <w:numId w:val="28"/>
        </w:numPr>
        <w:spacing w:after="120"/>
        <w:ind w:left="0" w:firstLine="0"/>
        <w:jc w:val="both"/>
        <w:rPr>
          <w:sz w:val="22"/>
          <w:lang w:val="en-GB" w:bidi="ar-EG"/>
        </w:rPr>
      </w:pPr>
      <w:r>
        <w:rPr>
          <w:rFonts w:hint="cs"/>
          <w:sz w:val="22"/>
          <w:rtl/>
          <w:lang w:val="en-GB" w:bidi="ar-EG"/>
        </w:rPr>
        <w:t>في الفقرة 23 من المقرر 13/20،</w:t>
      </w:r>
      <w:r w:rsidR="0014107B">
        <w:rPr>
          <w:rFonts w:hint="cs"/>
          <w:sz w:val="22"/>
          <w:rtl/>
          <w:lang w:val="en-GB" w:bidi="ar-EG"/>
        </w:rPr>
        <w:t xml:space="preserve"> أشار مؤتمر الأطراف إلى دعوته </w:t>
      </w:r>
      <w:r w:rsidR="007D33A7">
        <w:rPr>
          <w:rFonts w:hint="cs"/>
          <w:sz w:val="22"/>
          <w:rtl/>
          <w:lang w:val="en-GB" w:bidi="ar-EG"/>
        </w:rPr>
        <w:t>ل</w:t>
      </w:r>
      <w:r w:rsidR="0014107B">
        <w:rPr>
          <w:rFonts w:hint="cs"/>
          <w:sz w:val="22"/>
          <w:rtl/>
          <w:lang w:val="en-GB" w:bidi="ar-EG"/>
        </w:rPr>
        <w:t>لأطراف إلى الإبلاغ عن التقدم المحرز في تحقيق المعالم الرئيسية للتنفيذ الكامل للهدف 3 من أهداف أيشي للتنوع البيولوجي، وكذلك أي معالم رئيسية وجداول زمنية إضافية موضوعة على الصعيد الوطني، ودعا الأطراف إلى أن تدرج أيضا معلومات عن الدراسات التحليلية الوطنية التي تحدد الحوافز الضارة بالتنوع البيولوجي المرشحة للإلغاء أو الإزالة التدريجية أو الإصلاح، بما في ذلك الإعانات، والتي تحدد الفرص المتاحة لتعزيز تصميم وتنفيذ التدابير الحافزة الإيجابية، مثل الاعتراف بالشكل المناسب بالشعوب الأصلية والمجتمعات المحلية التي تحفظ الأراضي والمناطق ودعمها، وغيرها من مبادرات الحفظ المجتمعية الفعالة الأخرى. وفي الفقرة 25، طلب مؤتمر الأطراف إلى الأمين التنفيذي أن يجمع ويحلل المعلومات ذات الصلة، بما في ذلك تحليل بشأن الكيفية التي يسهم بها</w:t>
      </w:r>
      <w:r w:rsidR="007D33A7" w:rsidRPr="007D33A7">
        <w:rPr>
          <w:rFonts w:hint="cs"/>
          <w:sz w:val="22"/>
          <w:rtl/>
          <w:lang w:val="en-GB" w:bidi="ar-EG"/>
        </w:rPr>
        <w:t xml:space="preserve"> </w:t>
      </w:r>
      <w:r w:rsidR="007D33A7">
        <w:rPr>
          <w:rFonts w:hint="cs"/>
          <w:sz w:val="22"/>
          <w:rtl/>
          <w:lang w:val="en-GB" w:bidi="ar-EG"/>
        </w:rPr>
        <w:t>أيضا</w:t>
      </w:r>
      <w:r w:rsidR="0014107B">
        <w:rPr>
          <w:rFonts w:hint="cs"/>
          <w:sz w:val="22"/>
          <w:rtl/>
          <w:lang w:val="en-GB" w:bidi="ar-EG"/>
        </w:rPr>
        <w:t xml:space="preserve"> تنفيذ الهدف 3 من أهداف أيشي للتنوع البيولوجي في تنفيذ الهدف 20 من أهداف أيشي للتنوع البيولوجي، وأن يقدم التجميع والتحليل إلى الهيئة الفرعية للتنفيذ</w:t>
      </w:r>
      <w:r w:rsidR="00096E55">
        <w:rPr>
          <w:rFonts w:hint="cs"/>
          <w:sz w:val="22"/>
          <w:rtl/>
          <w:lang w:val="en-GB" w:bidi="ar-EG"/>
        </w:rPr>
        <w:t xml:space="preserve">. ويقدم هذا القسم الفرعي موجزا للتحليل المطلوب، بينما يُقدم التحليل والتجميع الكاملان </w:t>
      </w:r>
      <w:r w:rsidR="00A3372D">
        <w:rPr>
          <w:rFonts w:hint="cs"/>
          <w:sz w:val="22"/>
          <w:rtl/>
          <w:lang w:val="en-GB" w:bidi="ar-EG"/>
        </w:rPr>
        <w:t>كوثيقة</w:t>
      </w:r>
      <w:r w:rsidR="00096E55">
        <w:rPr>
          <w:rFonts w:hint="cs"/>
          <w:sz w:val="22"/>
          <w:rtl/>
          <w:lang w:val="en-GB" w:bidi="ar-EG"/>
        </w:rPr>
        <w:t xml:space="preserve"> إعلامية (</w:t>
      </w:r>
      <w:r w:rsidR="00096E55" w:rsidRPr="00B840DD">
        <w:rPr>
          <w:snapToGrid w:val="0"/>
          <w:kern w:val="22"/>
          <w:szCs w:val="22"/>
        </w:rPr>
        <w:t>CBD/SBI/2/INF/15</w:t>
      </w:r>
      <w:r w:rsidR="00096E55">
        <w:rPr>
          <w:rFonts w:hint="cs"/>
          <w:sz w:val="22"/>
          <w:rtl/>
          <w:lang w:val="en-GB" w:bidi="ar-EG"/>
        </w:rPr>
        <w:t>).</w:t>
      </w:r>
    </w:p>
    <w:p w:rsidR="00B011D9" w:rsidRDefault="00A24C1A" w:rsidP="00A24C1A">
      <w:pPr>
        <w:numPr>
          <w:ilvl w:val="0"/>
          <w:numId w:val="28"/>
        </w:numPr>
        <w:spacing w:after="120"/>
        <w:ind w:left="0" w:firstLine="0"/>
        <w:jc w:val="both"/>
        <w:rPr>
          <w:sz w:val="22"/>
          <w:lang w:val="en-GB" w:bidi="ar-EG"/>
        </w:rPr>
      </w:pPr>
      <w:r>
        <w:rPr>
          <w:rFonts w:hint="cs"/>
          <w:sz w:val="22"/>
          <w:rtl/>
          <w:lang w:val="en-GB" w:bidi="ar-EG"/>
        </w:rPr>
        <w:t>وأخذ</w:t>
      </w:r>
      <w:r w:rsidR="00414ADD">
        <w:rPr>
          <w:rFonts w:hint="cs"/>
          <w:sz w:val="22"/>
          <w:rtl/>
          <w:lang w:val="en-GB" w:bidi="ar-EG"/>
        </w:rPr>
        <w:t xml:space="preserve"> التحليل</w:t>
      </w:r>
      <w:r>
        <w:rPr>
          <w:rFonts w:hint="cs"/>
          <w:sz w:val="22"/>
          <w:rtl/>
          <w:lang w:val="en-GB" w:bidi="ar-EG"/>
        </w:rPr>
        <w:t xml:space="preserve"> بعين الاعتبار</w:t>
      </w:r>
      <w:r w:rsidR="00414ADD">
        <w:rPr>
          <w:rFonts w:hint="cs"/>
          <w:sz w:val="22"/>
          <w:rtl/>
          <w:lang w:val="en-GB" w:bidi="ar-EG"/>
        </w:rPr>
        <w:t xml:space="preserve"> التقارير الوطنية الخامسة المستلمة فيما يتعلق بالتقدم المحرز في تنفيذ الهدف 3 من أهداف أيشي للتنوع البيولوجي، مع مراعاة أيضا المعلومات ذات الصلة المبلغ عنها في إطار الهدف 20 من أهداف أيشي للتنوع البيولوجي. ونظرا لأن المعلم الرئيسي الأول يدعو إلى أن ينعكس الهدف 3 من أهداف أيشي للتنوع البيولوجي في هدف وطني وأن تُدرج بنود </w:t>
      </w:r>
      <w:r w:rsidR="005F106F">
        <w:rPr>
          <w:rFonts w:hint="cs"/>
          <w:sz w:val="22"/>
          <w:rtl/>
          <w:lang w:val="en-GB" w:bidi="ar-EG"/>
        </w:rPr>
        <w:t>العمل</w:t>
      </w:r>
      <w:r w:rsidR="00414ADD">
        <w:rPr>
          <w:rFonts w:hint="cs"/>
          <w:sz w:val="22"/>
          <w:rtl/>
          <w:lang w:val="en-GB" w:bidi="ar-EG"/>
        </w:rPr>
        <w:t xml:space="preserve"> ذات صلة في الاستراتيجيات وخطط العمل الوطنية ال</w:t>
      </w:r>
      <w:r w:rsidR="007D33A7">
        <w:rPr>
          <w:rFonts w:hint="cs"/>
          <w:sz w:val="22"/>
          <w:rtl/>
          <w:lang w:val="en-GB" w:bidi="ar-EG"/>
        </w:rPr>
        <w:t>منقحة للتنوع البيولوجي، فقد راعى</w:t>
      </w:r>
      <w:r w:rsidR="00414ADD">
        <w:rPr>
          <w:rFonts w:hint="cs"/>
          <w:sz w:val="22"/>
          <w:rtl/>
          <w:lang w:val="en-GB" w:bidi="ar-EG"/>
        </w:rPr>
        <w:t xml:space="preserve"> التحليل أيضا المعلومات ذات الصلة المستمدة من الاستراتيجيات وخطط العمل الوطنية للتنوع البيولوجي. واستنادا إلى هذه المعلومات والمطبوعات </w:t>
      </w:r>
      <w:r w:rsidR="00E304DD">
        <w:rPr>
          <w:rFonts w:hint="cs"/>
          <w:sz w:val="22"/>
          <w:rtl/>
          <w:lang w:val="en-GB" w:bidi="ar-EG"/>
        </w:rPr>
        <w:t>الحديثة</w:t>
      </w:r>
      <w:r w:rsidR="00414ADD">
        <w:rPr>
          <w:rFonts w:hint="cs"/>
          <w:sz w:val="22"/>
          <w:rtl/>
          <w:lang w:val="en-GB" w:bidi="ar-EG"/>
        </w:rPr>
        <w:t xml:space="preserve"> ذات الصلة الواردة من منظمات دولية، تم تحليل </w:t>
      </w:r>
      <w:r>
        <w:rPr>
          <w:rFonts w:hint="cs"/>
          <w:sz w:val="22"/>
          <w:rtl/>
          <w:lang w:val="en-GB" w:bidi="ar-EG"/>
        </w:rPr>
        <w:t>الطريقة</w:t>
      </w:r>
      <w:r w:rsidR="00414ADD">
        <w:rPr>
          <w:rFonts w:hint="cs"/>
          <w:sz w:val="22"/>
          <w:rtl/>
          <w:lang w:val="en-GB" w:bidi="ar-EG"/>
        </w:rPr>
        <w:t xml:space="preserve"> التي يساهم بها الهدف 3 من أهداف أيشي للتنوع البيولوجي في تنفيذ الهدف 20 من أهدف أيشي للتنوع البيولوجي.</w:t>
      </w:r>
    </w:p>
    <w:p w:rsidR="005F106F" w:rsidRDefault="00F73788" w:rsidP="00A24C1A">
      <w:pPr>
        <w:numPr>
          <w:ilvl w:val="0"/>
          <w:numId w:val="28"/>
        </w:numPr>
        <w:spacing w:after="120"/>
        <w:ind w:left="0" w:firstLine="0"/>
        <w:jc w:val="both"/>
        <w:rPr>
          <w:sz w:val="22"/>
          <w:lang w:val="en-GB" w:bidi="ar-EG"/>
        </w:rPr>
      </w:pPr>
      <w:r>
        <w:rPr>
          <w:rFonts w:hint="cs"/>
          <w:i/>
          <w:iCs/>
          <w:sz w:val="22"/>
          <w:rtl/>
          <w:lang w:val="en-GB" w:bidi="ar-EG"/>
        </w:rPr>
        <w:t xml:space="preserve">المعلم الرئيسي الأول (هناك هدف وطني يعكس الهدف 3 </w:t>
      </w:r>
      <w:r w:rsidR="007D33A7">
        <w:rPr>
          <w:rFonts w:hint="cs"/>
          <w:i/>
          <w:iCs/>
          <w:sz w:val="22"/>
          <w:rtl/>
          <w:lang w:val="en-GB" w:bidi="ar-EG"/>
        </w:rPr>
        <w:t xml:space="preserve">من أهداف أيشي للتنوع البيولوجي وتُدرج </w:t>
      </w:r>
      <w:r>
        <w:rPr>
          <w:rFonts w:hint="cs"/>
          <w:i/>
          <w:iCs/>
          <w:sz w:val="22"/>
          <w:rtl/>
          <w:lang w:val="en-GB" w:bidi="ar-EG"/>
        </w:rPr>
        <w:t>بنود العمل المرتبطة به في الاستراتيجية وخطة العمل الوطنية</w:t>
      </w:r>
      <w:r w:rsidRPr="00F73788">
        <w:rPr>
          <w:rFonts w:hint="cs"/>
          <w:i/>
          <w:iCs/>
          <w:sz w:val="22"/>
          <w:rtl/>
          <w:lang w:val="en-GB" w:bidi="ar-EG"/>
        </w:rPr>
        <w:t xml:space="preserve"> </w:t>
      </w:r>
      <w:r>
        <w:rPr>
          <w:rFonts w:hint="cs"/>
          <w:i/>
          <w:iCs/>
          <w:sz w:val="22"/>
          <w:rtl/>
          <w:lang w:val="en-GB" w:bidi="ar-EG"/>
        </w:rPr>
        <w:t>المنقحة للتنوع البيولوجي)</w:t>
      </w:r>
      <w:r>
        <w:rPr>
          <w:rFonts w:hint="cs"/>
          <w:sz w:val="22"/>
          <w:rtl/>
          <w:lang w:val="en-GB" w:bidi="ar-EG"/>
        </w:rPr>
        <w:t>: يحتوي ما مجموعه 52 استراتيجية وخطة عمل وطنية للتنوع البيولوجي، أو حوالي 40 في المائة، على هدف وطني، أو أهداف وطنية، تعكس بقدر ما على الأقل الهدف 3 من أهداف أيشي للتنوع البيولوجي. ويحتوي ما مجموعه 24 استراتيجية وخطة عمل وطنية للتنوع البيولوجي</w:t>
      </w:r>
      <w:r w:rsidR="00A24C1A">
        <w:rPr>
          <w:rFonts w:hint="cs"/>
          <w:sz w:val="22"/>
          <w:rtl/>
          <w:lang w:val="en-GB" w:bidi="ar-EG"/>
        </w:rPr>
        <w:t xml:space="preserve"> (20 في المائة تقريبا) </w:t>
      </w:r>
      <w:r>
        <w:rPr>
          <w:rFonts w:hint="cs"/>
          <w:sz w:val="22"/>
          <w:rtl/>
          <w:lang w:val="en-GB" w:bidi="ar-EG"/>
        </w:rPr>
        <w:t>على أهداف معنية فقط ب</w:t>
      </w:r>
      <w:r w:rsidR="007D33A7">
        <w:rPr>
          <w:rFonts w:hint="cs"/>
          <w:sz w:val="22"/>
          <w:rtl/>
          <w:lang w:val="en-GB" w:bidi="ar-EG"/>
        </w:rPr>
        <w:t>ال</w:t>
      </w:r>
      <w:r>
        <w:rPr>
          <w:rFonts w:hint="cs"/>
          <w:sz w:val="22"/>
          <w:rtl/>
          <w:lang w:val="en-GB" w:bidi="ar-EG"/>
        </w:rPr>
        <w:t xml:space="preserve">تدابير </w:t>
      </w:r>
      <w:r w:rsidR="007D33A7">
        <w:rPr>
          <w:rFonts w:hint="cs"/>
          <w:sz w:val="22"/>
          <w:rtl/>
          <w:lang w:val="en-GB" w:bidi="ar-EG"/>
        </w:rPr>
        <w:t>ال</w:t>
      </w:r>
      <w:r>
        <w:rPr>
          <w:rFonts w:hint="cs"/>
          <w:sz w:val="22"/>
          <w:rtl/>
          <w:lang w:val="en-GB" w:bidi="ar-EG"/>
        </w:rPr>
        <w:t>حافزة</w:t>
      </w:r>
      <w:r w:rsidRPr="00F73788">
        <w:rPr>
          <w:rFonts w:hint="cs"/>
          <w:sz w:val="22"/>
          <w:rtl/>
          <w:lang w:val="en-GB" w:bidi="ar-EG"/>
        </w:rPr>
        <w:t xml:space="preserve"> </w:t>
      </w:r>
      <w:r w:rsidR="007D33A7">
        <w:rPr>
          <w:rFonts w:hint="cs"/>
          <w:sz w:val="22"/>
          <w:rtl/>
          <w:lang w:val="en-GB" w:bidi="ar-EG"/>
        </w:rPr>
        <w:t>ال</w:t>
      </w:r>
      <w:r>
        <w:rPr>
          <w:rFonts w:hint="cs"/>
          <w:sz w:val="22"/>
          <w:rtl/>
          <w:lang w:val="en-GB" w:bidi="ar-EG"/>
        </w:rPr>
        <w:t xml:space="preserve">إيجابية، </w:t>
      </w:r>
      <w:r w:rsidR="006F5FCA">
        <w:rPr>
          <w:rFonts w:hint="cs"/>
          <w:sz w:val="22"/>
          <w:rtl/>
          <w:lang w:val="en-GB" w:bidi="ar-EG"/>
        </w:rPr>
        <w:t xml:space="preserve">وليس هناك سوى </w:t>
      </w:r>
      <w:r>
        <w:rPr>
          <w:rFonts w:hint="cs"/>
          <w:sz w:val="22"/>
          <w:rtl/>
          <w:lang w:val="en-GB" w:bidi="ar-EG"/>
        </w:rPr>
        <w:t xml:space="preserve">4 استراتيجيات وخطط عمل وطنية للتنوع البيولوجي </w:t>
      </w:r>
      <w:r w:rsidR="006F5FCA">
        <w:rPr>
          <w:rFonts w:hint="cs"/>
          <w:sz w:val="22"/>
          <w:rtl/>
          <w:lang w:val="en-GB" w:bidi="ar-EG"/>
        </w:rPr>
        <w:t xml:space="preserve">تقدم هدفا بشأن الحوافز الضارة، في حين أن هناك 25 هدفا للاستراتيجية وخطة العمل الوطنية للتنوع البيولوجي تتناول عنصري الهدف 3 من أهداف أيشي للتنوع البيولوجي على حد سواء. وقدم ما مجموعه 21 استراتيجية وخطة عمل وطنية للتنوع البيولوجي، أو أعلى </w:t>
      </w:r>
      <w:r w:rsidR="006F5FCA" w:rsidRPr="00A24C1A">
        <w:rPr>
          <w:rFonts w:hint="cs"/>
          <w:sz w:val="22"/>
          <w:rtl/>
          <w:lang w:val="en-GB" w:bidi="ar-EG"/>
        </w:rPr>
        <w:t>بقليل</w:t>
      </w:r>
      <w:r w:rsidR="006F5FCA">
        <w:rPr>
          <w:rFonts w:hint="cs"/>
          <w:sz w:val="22"/>
          <w:rtl/>
          <w:lang w:val="en-GB" w:bidi="ar-EG"/>
        </w:rPr>
        <w:t xml:space="preserve"> من 15 في المائة، أهدافا فرعية أو بنود عمل إضافية، يمكن فهمها على أنها معالم رئيسية. وقدم ما مجموعه 23 بلدا (20 في المائة تقريبا) نطاقات زمنية إضافية لتحقيق هذه الأهداف، تنحرف في بعض الأحيان عن النطاقات الزمنية المقترحة في المعالم الرئيسية.</w:t>
      </w:r>
    </w:p>
    <w:p w:rsidR="006C5794" w:rsidRDefault="006C5794" w:rsidP="00A24C1A">
      <w:pPr>
        <w:numPr>
          <w:ilvl w:val="0"/>
          <w:numId w:val="28"/>
        </w:numPr>
        <w:spacing w:after="120"/>
        <w:ind w:left="0" w:firstLine="0"/>
        <w:jc w:val="both"/>
        <w:rPr>
          <w:sz w:val="22"/>
          <w:lang w:val="en-GB" w:bidi="ar-EG"/>
        </w:rPr>
      </w:pPr>
      <w:r>
        <w:rPr>
          <w:rFonts w:hint="cs"/>
          <w:sz w:val="22"/>
          <w:rtl/>
          <w:lang w:val="en-GB" w:bidi="ar-EG"/>
        </w:rPr>
        <w:lastRenderedPageBreak/>
        <w:t>ويوضح هذا المعلم الرئيسي الأول أيضا بعض بنود العمل التي يمكن إدراجها في الاستراتيجية وخطة</w:t>
      </w:r>
      <w:r w:rsidR="00A24C1A">
        <w:rPr>
          <w:rFonts w:hint="cs"/>
          <w:sz w:val="22"/>
          <w:rtl/>
          <w:lang w:val="en-GB" w:bidi="ar-EG"/>
        </w:rPr>
        <w:t xml:space="preserve"> العمل الوطنية للتنوع البيولوجي</w:t>
      </w:r>
      <w:r>
        <w:rPr>
          <w:rFonts w:hint="cs"/>
          <w:sz w:val="22"/>
          <w:rtl/>
          <w:lang w:val="en-GB" w:bidi="ar-EG"/>
        </w:rPr>
        <w:t>:</w:t>
      </w:r>
    </w:p>
    <w:p w:rsidR="006C5794" w:rsidRDefault="006C5794" w:rsidP="007D33A7">
      <w:pPr>
        <w:spacing w:after="120"/>
        <w:ind w:firstLine="720"/>
        <w:jc w:val="both"/>
        <w:rPr>
          <w:sz w:val="22"/>
          <w:rtl/>
          <w:lang w:val="en-GB" w:bidi="ar-EG"/>
        </w:rPr>
      </w:pPr>
      <w:r>
        <w:rPr>
          <w:rFonts w:hint="cs"/>
          <w:sz w:val="22"/>
          <w:rtl/>
          <w:lang w:val="en-GB" w:bidi="ar-EG"/>
        </w:rPr>
        <w:t>(أ)</w:t>
      </w:r>
      <w:r>
        <w:rPr>
          <w:rFonts w:hint="cs"/>
          <w:sz w:val="22"/>
          <w:rtl/>
          <w:lang w:val="en-GB" w:bidi="ar-EG"/>
        </w:rPr>
        <w:tab/>
      </w:r>
      <w:r>
        <w:rPr>
          <w:rFonts w:hint="cs"/>
          <w:i/>
          <w:iCs/>
          <w:sz w:val="22"/>
          <w:rtl/>
          <w:lang w:val="en-GB" w:bidi="ar-EG"/>
        </w:rPr>
        <w:t xml:space="preserve">إجراء دراسات تحليلية وطنية تحدد </w:t>
      </w:r>
      <w:r w:rsidRPr="006C5794">
        <w:rPr>
          <w:rFonts w:hint="cs"/>
          <w:i/>
          <w:iCs/>
          <w:sz w:val="22"/>
          <w:rtl/>
          <w:lang w:val="en-GB" w:bidi="ar-EG"/>
        </w:rPr>
        <w:t xml:space="preserve">الحوافز الضارة المرشحة </w:t>
      </w:r>
      <w:r w:rsidR="00874C2D">
        <w:rPr>
          <w:rFonts w:hint="cs"/>
          <w:i/>
          <w:iCs/>
          <w:sz w:val="22"/>
          <w:rtl/>
          <w:lang w:val="en-GB" w:bidi="ar-EG"/>
        </w:rPr>
        <w:t>لاتخاذ إجراء بشأنها</w:t>
      </w:r>
      <w:r w:rsidRPr="006C5794">
        <w:rPr>
          <w:rFonts w:hint="cs"/>
          <w:i/>
          <w:iCs/>
          <w:sz w:val="22"/>
          <w:rtl/>
          <w:lang w:val="en-GB" w:bidi="ar-EG"/>
        </w:rPr>
        <w:t xml:space="preserve">، بما في ذلك الإعانات، </w:t>
      </w:r>
      <w:r w:rsidR="007D33A7">
        <w:rPr>
          <w:rFonts w:hint="cs"/>
          <w:i/>
          <w:iCs/>
          <w:sz w:val="22"/>
          <w:rtl/>
          <w:lang w:val="en-GB" w:bidi="ar-EG"/>
        </w:rPr>
        <w:t>و</w:t>
      </w:r>
      <w:r w:rsidRPr="006C5794">
        <w:rPr>
          <w:rFonts w:hint="cs"/>
          <w:i/>
          <w:iCs/>
          <w:sz w:val="22"/>
          <w:rtl/>
          <w:lang w:val="en-GB" w:bidi="ar-EG"/>
        </w:rPr>
        <w:t>تحدد الفرص المتاحة لتعزيز التدابير الحافزة الإيجابية</w:t>
      </w:r>
      <w:r w:rsidR="00874C2D">
        <w:rPr>
          <w:rFonts w:hint="cs"/>
          <w:i/>
          <w:iCs/>
          <w:sz w:val="22"/>
          <w:rtl/>
          <w:lang w:val="en-GB" w:bidi="ar-EG"/>
        </w:rPr>
        <w:t>:</w:t>
      </w:r>
      <w:r w:rsidR="00874C2D">
        <w:rPr>
          <w:rFonts w:hint="cs"/>
          <w:sz w:val="22"/>
          <w:rtl/>
          <w:lang w:val="en-GB" w:bidi="ar-EG"/>
        </w:rPr>
        <w:t xml:space="preserve"> يشير ما مجموعه 7 استراتيجيات وخطط عمل وطنية للتنوع البيولوجي إلى هذه الاستعراضات والدراسات؛</w:t>
      </w:r>
    </w:p>
    <w:p w:rsidR="00874C2D" w:rsidRDefault="00874C2D" w:rsidP="00874C2D">
      <w:pPr>
        <w:spacing w:after="120"/>
        <w:ind w:firstLine="720"/>
        <w:jc w:val="both"/>
        <w:rPr>
          <w:sz w:val="22"/>
          <w:rtl/>
          <w:lang w:val="en-GB" w:bidi="ar-EG"/>
        </w:rPr>
      </w:pPr>
      <w:r>
        <w:rPr>
          <w:rFonts w:hint="cs"/>
          <w:sz w:val="22"/>
          <w:rtl/>
          <w:lang w:val="en-GB" w:bidi="ar-EG"/>
        </w:rPr>
        <w:t>(ب)</w:t>
      </w:r>
      <w:r>
        <w:rPr>
          <w:rFonts w:hint="cs"/>
          <w:sz w:val="22"/>
          <w:rtl/>
          <w:lang w:val="en-GB" w:bidi="ar-EG"/>
        </w:rPr>
        <w:tab/>
      </w:r>
      <w:r>
        <w:rPr>
          <w:rFonts w:hint="cs"/>
          <w:i/>
          <w:iCs/>
          <w:sz w:val="22"/>
          <w:rtl/>
          <w:lang w:val="en-GB" w:bidi="ar-EG"/>
        </w:rPr>
        <w:t>إعداد خطط بشأن السياسة العامة تحدد الحوافز الضارة المرشحة لاتخاذ إجراء سياساتي بشأنها وتقدم قوائم تدابير مرتبة حسب الأولوية:</w:t>
      </w:r>
      <w:r>
        <w:rPr>
          <w:rFonts w:hint="cs"/>
          <w:sz w:val="22"/>
          <w:rtl/>
          <w:lang w:val="en-GB" w:bidi="ar-EG"/>
        </w:rPr>
        <w:t xml:space="preserve"> يشير ما مجموعه 12 بلدا إلى إعداد هذه السياسات أو خطط العمل؛</w:t>
      </w:r>
    </w:p>
    <w:p w:rsidR="00874C2D" w:rsidRPr="00874C2D" w:rsidRDefault="00874C2D" w:rsidP="00A24C1A">
      <w:pPr>
        <w:spacing w:after="120"/>
        <w:ind w:firstLine="720"/>
        <w:jc w:val="both"/>
        <w:rPr>
          <w:sz w:val="22"/>
          <w:lang w:val="en-GB" w:bidi="ar-EG"/>
        </w:rPr>
      </w:pPr>
      <w:r>
        <w:rPr>
          <w:rFonts w:hint="cs"/>
          <w:sz w:val="22"/>
          <w:rtl/>
          <w:lang w:val="en-GB" w:bidi="ar-EG"/>
        </w:rPr>
        <w:t>(ج)</w:t>
      </w:r>
      <w:r>
        <w:rPr>
          <w:rFonts w:hint="cs"/>
          <w:sz w:val="22"/>
          <w:rtl/>
          <w:lang w:val="en-GB" w:bidi="ar-EG"/>
        </w:rPr>
        <w:tab/>
      </w:r>
      <w:r w:rsidR="007D33A7">
        <w:rPr>
          <w:rFonts w:hint="cs"/>
          <w:i/>
          <w:iCs/>
          <w:sz w:val="22"/>
          <w:rtl/>
          <w:lang w:val="en-GB" w:bidi="ar-EG"/>
        </w:rPr>
        <w:t>التأهب</w:t>
      </w:r>
      <w:r w:rsidR="004827EA">
        <w:rPr>
          <w:rFonts w:hint="cs"/>
          <w:i/>
          <w:iCs/>
          <w:sz w:val="22"/>
          <w:rtl/>
          <w:lang w:val="en-GB" w:bidi="ar-EG"/>
        </w:rPr>
        <w:t xml:space="preserve"> لاتخاذ</w:t>
      </w:r>
      <w:r>
        <w:rPr>
          <w:rFonts w:hint="cs"/>
          <w:i/>
          <w:iCs/>
          <w:sz w:val="22"/>
          <w:rtl/>
          <w:lang w:val="en-GB" w:bidi="ar-EG"/>
        </w:rPr>
        <w:t xml:space="preserve"> إجراءات فورية بشأن السياسة العامة في حالات الحوافز المعروفة ذات التأثيرات الضارة:</w:t>
      </w:r>
      <w:r>
        <w:rPr>
          <w:rFonts w:hint="cs"/>
          <w:sz w:val="22"/>
          <w:rtl/>
          <w:lang w:val="en-GB" w:bidi="ar-EG"/>
        </w:rPr>
        <w:t xml:space="preserve"> لا</w:t>
      </w:r>
      <w:r w:rsidR="004827EA">
        <w:rPr>
          <w:rFonts w:hint="cs"/>
          <w:sz w:val="22"/>
          <w:rtl/>
          <w:lang w:val="en-GB" w:bidi="ar-EG"/>
        </w:rPr>
        <w:t xml:space="preserve"> </w:t>
      </w:r>
      <w:r w:rsidR="00A24C1A">
        <w:rPr>
          <w:rFonts w:hint="cs"/>
          <w:sz w:val="22"/>
          <w:rtl/>
          <w:lang w:val="en-GB" w:bidi="ar-EG"/>
        </w:rPr>
        <w:t>يتم التأهب</w:t>
      </w:r>
      <w:r w:rsidR="004827EA">
        <w:rPr>
          <w:rFonts w:hint="cs"/>
          <w:sz w:val="22"/>
          <w:rtl/>
          <w:lang w:val="en-GB" w:bidi="ar-EG"/>
        </w:rPr>
        <w:t xml:space="preserve"> </w:t>
      </w:r>
      <w:r w:rsidR="00A24C1A">
        <w:rPr>
          <w:rFonts w:hint="cs"/>
          <w:sz w:val="22"/>
          <w:rtl/>
          <w:lang w:val="en-GB" w:bidi="ar-EG"/>
        </w:rPr>
        <w:t>ل</w:t>
      </w:r>
      <w:r w:rsidR="004827EA">
        <w:rPr>
          <w:rFonts w:hint="cs"/>
          <w:sz w:val="22"/>
          <w:rtl/>
          <w:lang w:val="en-GB" w:bidi="ar-EG"/>
        </w:rPr>
        <w:t>اتخاذ</w:t>
      </w:r>
      <w:r>
        <w:rPr>
          <w:rFonts w:hint="cs"/>
          <w:sz w:val="22"/>
          <w:rtl/>
          <w:lang w:val="en-GB" w:bidi="ar-EG"/>
        </w:rPr>
        <w:t xml:space="preserve"> هذه الإجراءات الفورية بشأن برامج حافزة محددة سوى</w:t>
      </w:r>
      <w:r w:rsidR="00A24C1A">
        <w:rPr>
          <w:rFonts w:hint="cs"/>
          <w:sz w:val="22"/>
          <w:rtl/>
          <w:lang w:val="en-GB" w:bidi="ar-EG"/>
        </w:rPr>
        <w:t xml:space="preserve"> في خمس</w:t>
      </w:r>
      <w:r>
        <w:rPr>
          <w:rFonts w:hint="cs"/>
          <w:sz w:val="22"/>
          <w:rtl/>
          <w:lang w:val="en-GB" w:bidi="ar-EG"/>
        </w:rPr>
        <w:t xml:space="preserve"> </w:t>
      </w:r>
      <w:r w:rsidR="004827EA">
        <w:rPr>
          <w:rFonts w:hint="cs"/>
          <w:sz w:val="22"/>
          <w:rtl/>
          <w:lang w:val="en-GB" w:bidi="ar-EG"/>
        </w:rPr>
        <w:t xml:space="preserve">استراتيجيات وخطط عمل </w:t>
      </w:r>
      <w:r>
        <w:rPr>
          <w:rFonts w:hint="cs"/>
          <w:sz w:val="22"/>
          <w:rtl/>
          <w:lang w:val="en-GB" w:bidi="ar-EG"/>
        </w:rPr>
        <w:t>وطنية للتنو</w:t>
      </w:r>
      <w:r w:rsidR="00A24C1A">
        <w:rPr>
          <w:rFonts w:hint="cs"/>
          <w:sz w:val="22"/>
          <w:rtl/>
          <w:lang w:val="en-GB" w:bidi="ar-EG"/>
        </w:rPr>
        <w:t>ع البيولوجي</w:t>
      </w:r>
      <w:r>
        <w:rPr>
          <w:rFonts w:hint="cs"/>
          <w:sz w:val="22"/>
          <w:rtl/>
          <w:lang w:val="en-GB" w:bidi="ar-EG"/>
        </w:rPr>
        <w:t>، ربما بسبب تأثيراتها الضارة.</w:t>
      </w:r>
    </w:p>
    <w:p w:rsidR="006C5794" w:rsidRPr="0038760B" w:rsidRDefault="000F5C6B" w:rsidP="007D33A7">
      <w:pPr>
        <w:numPr>
          <w:ilvl w:val="0"/>
          <w:numId w:val="28"/>
        </w:numPr>
        <w:spacing w:after="120"/>
        <w:ind w:left="0" w:firstLine="0"/>
        <w:jc w:val="both"/>
        <w:rPr>
          <w:i/>
          <w:iCs/>
          <w:sz w:val="22"/>
          <w:lang w:val="en-GB" w:bidi="ar-EG"/>
        </w:rPr>
      </w:pPr>
      <w:r w:rsidRPr="000F5C6B">
        <w:rPr>
          <w:rFonts w:hint="cs"/>
          <w:i/>
          <w:iCs/>
          <w:sz w:val="22"/>
          <w:rtl/>
          <w:lang w:val="en-GB" w:bidi="ar-EG"/>
        </w:rPr>
        <w:t xml:space="preserve">المعلم الرئيسي الثاني (إجراء سياساتي أو تشريعي بشأن الحوافز، بما في ذلك الإعانات، المعروفة فعليا بأن لها </w:t>
      </w:r>
      <w:r>
        <w:rPr>
          <w:rFonts w:hint="cs"/>
          <w:i/>
          <w:iCs/>
          <w:sz w:val="22"/>
          <w:rtl/>
          <w:lang w:val="en-GB" w:bidi="ar-EG"/>
        </w:rPr>
        <w:t>تأثيرات</w:t>
      </w:r>
      <w:r w:rsidRPr="000F5C6B">
        <w:rPr>
          <w:rFonts w:hint="cs"/>
          <w:i/>
          <w:iCs/>
          <w:sz w:val="22"/>
          <w:rtl/>
          <w:lang w:val="en-GB" w:bidi="ar-EG"/>
        </w:rPr>
        <w:t xml:space="preserve"> ضارة):</w:t>
      </w:r>
      <w:r>
        <w:rPr>
          <w:rFonts w:hint="cs"/>
          <w:i/>
          <w:iCs/>
          <w:sz w:val="22"/>
          <w:rtl/>
          <w:lang w:val="en-GB" w:bidi="ar-EG"/>
        </w:rPr>
        <w:t xml:space="preserve"> </w:t>
      </w:r>
      <w:r>
        <w:rPr>
          <w:rFonts w:hint="cs"/>
          <w:sz w:val="22"/>
          <w:rtl/>
          <w:lang w:val="en-GB" w:bidi="ar-EG"/>
        </w:rPr>
        <w:t>لم يدرج سوى 5 أطراف هذا المعلم الرئيسي بوضوح كبند عمل في استراتيجي</w:t>
      </w:r>
      <w:r w:rsidR="007D33A7">
        <w:rPr>
          <w:rFonts w:hint="cs"/>
          <w:sz w:val="22"/>
          <w:rtl/>
          <w:lang w:val="en-GB" w:bidi="ar-EG"/>
        </w:rPr>
        <w:t>اتهم وخطط</w:t>
      </w:r>
      <w:r>
        <w:rPr>
          <w:rFonts w:hint="cs"/>
          <w:sz w:val="22"/>
          <w:rtl/>
          <w:lang w:val="en-GB" w:bidi="ar-EG"/>
        </w:rPr>
        <w:t xml:space="preserve"> عملهم الوطنية للتنوع البيولوجي، عادة في شكل </w:t>
      </w:r>
      <w:r w:rsidR="007D33A7">
        <w:rPr>
          <w:rFonts w:hint="cs"/>
          <w:sz w:val="22"/>
          <w:rtl/>
          <w:lang w:val="en-GB" w:bidi="ar-EG"/>
        </w:rPr>
        <w:t>إشارة إلى برامج بعينها يمكن أن ت</w:t>
      </w:r>
      <w:r>
        <w:rPr>
          <w:rFonts w:hint="cs"/>
          <w:sz w:val="22"/>
          <w:rtl/>
          <w:lang w:val="en-GB" w:bidi="ar-EG"/>
        </w:rPr>
        <w:t xml:space="preserve">كون لها تأثيرات ضارة. ولكن أبلغت 25 طرفا عن الإجراءات ذات الصلة المتخذة بالفعل في تقاريرها الوطنية الخامسة، إما </w:t>
      </w:r>
      <w:r w:rsidR="009168A7">
        <w:rPr>
          <w:rFonts w:hint="cs"/>
          <w:sz w:val="22"/>
          <w:rtl/>
          <w:lang w:val="en-GB" w:bidi="ar-EG"/>
        </w:rPr>
        <w:t xml:space="preserve">في شكل إشارات </w:t>
      </w:r>
      <w:r>
        <w:rPr>
          <w:rFonts w:hint="cs"/>
          <w:sz w:val="22"/>
          <w:rtl/>
          <w:lang w:val="en-GB" w:bidi="ar-EG"/>
        </w:rPr>
        <w:t xml:space="preserve">عامة إلى تدابير الإصلاح </w:t>
      </w:r>
      <w:r w:rsidR="007D33A7">
        <w:rPr>
          <w:rFonts w:hint="cs"/>
          <w:sz w:val="22"/>
          <w:rtl/>
          <w:lang w:val="en-GB" w:bidi="ar-EG"/>
        </w:rPr>
        <w:t>وإما</w:t>
      </w:r>
      <w:r>
        <w:rPr>
          <w:rFonts w:hint="cs"/>
          <w:sz w:val="22"/>
          <w:rtl/>
          <w:lang w:val="en-GB" w:bidi="ar-EG"/>
        </w:rPr>
        <w:t xml:space="preserve"> عن طريق تقديم أمثلة محددة.</w:t>
      </w:r>
    </w:p>
    <w:p w:rsidR="0038760B" w:rsidRPr="0038760B" w:rsidRDefault="0038760B" w:rsidP="001C4672">
      <w:pPr>
        <w:numPr>
          <w:ilvl w:val="0"/>
          <w:numId w:val="28"/>
        </w:numPr>
        <w:spacing w:after="120"/>
        <w:ind w:left="0" w:firstLine="0"/>
        <w:jc w:val="both"/>
        <w:rPr>
          <w:i/>
          <w:iCs/>
          <w:sz w:val="22"/>
          <w:lang w:val="en-GB" w:bidi="ar-EG"/>
        </w:rPr>
      </w:pPr>
      <w:r w:rsidRPr="000F5C6B">
        <w:rPr>
          <w:rFonts w:hint="cs"/>
          <w:i/>
          <w:iCs/>
          <w:sz w:val="22"/>
          <w:rtl/>
          <w:lang w:val="en-GB" w:bidi="ar-EG"/>
        </w:rPr>
        <w:t xml:space="preserve">المعلم الرئيسي </w:t>
      </w:r>
      <w:r>
        <w:rPr>
          <w:rFonts w:hint="cs"/>
          <w:i/>
          <w:iCs/>
          <w:sz w:val="22"/>
          <w:rtl/>
          <w:lang w:val="en-GB" w:bidi="ar-EG"/>
        </w:rPr>
        <w:t>الثالث</w:t>
      </w:r>
      <w:r w:rsidRPr="000F5C6B">
        <w:rPr>
          <w:rFonts w:hint="cs"/>
          <w:i/>
          <w:iCs/>
          <w:sz w:val="22"/>
          <w:rtl/>
          <w:lang w:val="en-GB" w:bidi="ar-EG"/>
        </w:rPr>
        <w:t xml:space="preserve"> (</w:t>
      </w:r>
      <w:r>
        <w:rPr>
          <w:rFonts w:hint="cs"/>
          <w:i/>
          <w:iCs/>
          <w:sz w:val="22"/>
          <w:rtl/>
          <w:lang w:val="en-GB" w:bidi="ar-EG"/>
        </w:rPr>
        <w:t xml:space="preserve">الانتهاء من الدراسات التحليلية الوطنية التي تحدد </w:t>
      </w:r>
      <w:r w:rsidRPr="006C5794">
        <w:rPr>
          <w:rFonts w:hint="cs"/>
          <w:i/>
          <w:iCs/>
          <w:sz w:val="22"/>
          <w:rtl/>
          <w:lang w:val="en-GB" w:bidi="ar-EG"/>
        </w:rPr>
        <w:t xml:space="preserve">الحوافز الضارة المرشحة </w:t>
      </w:r>
      <w:r>
        <w:rPr>
          <w:rFonts w:hint="cs"/>
          <w:i/>
          <w:iCs/>
          <w:sz w:val="22"/>
          <w:rtl/>
          <w:lang w:val="en-GB" w:bidi="ar-EG"/>
        </w:rPr>
        <w:t>لاتخاذ إجراء بشأنها</w:t>
      </w:r>
      <w:r w:rsidRPr="006C5794">
        <w:rPr>
          <w:rFonts w:hint="cs"/>
          <w:i/>
          <w:iCs/>
          <w:sz w:val="22"/>
          <w:rtl/>
          <w:lang w:val="en-GB" w:bidi="ar-EG"/>
        </w:rPr>
        <w:t>، بما في ذلك الإعانات، والتي تحدد الفرص المتاحة لتعزيز التدابير الحافزة الإيجابية</w:t>
      </w:r>
      <w:r w:rsidRPr="000F5C6B">
        <w:rPr>
          <w:rFonts w:hint="cs"/>
          <w:i/>
          <w:iCs/>
          <w:sz w:val="22"/>
          <w:rtl/>
          <w:lang w:val="en-GB" w:bidi="ar-EG"/>
        </w:rPr>
        <w:t>):</w:t>
      </w:r>
      <w:r>
        <w:rPr>
          <w:rFonts w:hint="cs"/>
          <w:i/>
          <w:iCs/>
          <w:sz w:val="22"/>
          <w:rtl/>
          <w:lang w:val="en-GB" w:bidi="ar-EG"/>
        </w:rPr>
        <w:t xml:space="preserve"> </w:t>
      </w:r>
      <w:r>
        <w:rPr>
          <w:rFonts w:hint="cs"/>
          <w:sz w:val="22"/>
          <w:rtl/>
          <w:lang w:val="en-GB" w:bidi="ar-EG"/>
        </w:rPr>
        <w:t>ذكر ما مجموعه 11 طرفا، أو أقل من 10 في المائة من الأطراف المبلغة، الاس</w:t>
      </w:r>
      <w:r w:rsidR="007D33A7">
        <w:rPr>
          <w:rFonts w:hint="cs"/>
          <w:sz w:val="22"/>
          <w:rtl/>
          <w:lang w:val="en-GB" w:bidi="ar-EG"/>
        </w:rPr>
        <w:t xml:space="preserve">تعراضات أو التقييمات التي تسعى إلى </w:t>
      </w:r>
      <w:r>
        <w:rPr>
          <w:rFonts w:hint="cs"/>
          <w:sz w:val="22"/>
          <w:rtl/>
          <w:lang w:val="en-GB" w:bidi="ar-EG"/>
        </w:rPr>
        <w:t xml:space="preserve">تحديد الحوافز الضارة </w:t>
      </w:r>
      <w:r w:rsidR="008915FB">
        <w:rPr>
          <w:rFonts w:hint="cs"/>
          <w:sz w:val="22"/>
          <w:rtl/>
          <w:lang w:val="en-GB" w:bidi="ar-EG"/>
        </w:rPr>
        <w:t>ب</w:t>
      </w:r>
      <w:r>
        <w:rPr>
          <w:rFonts w:hint="cs"/>
          <w:sz w:val="22"/>
          <w:rtl/>
          <w:lang w:val="en-GB" w:bidi="ar-EG"/>
        </w:rPr>
        <w:t xml:space="preserve">التنوع البيولوجي، بما في ذلك الإعانات، وأشارت 4 أطراف فقط إلى أنه تم استكمال هذه الاستعراضات أو التقييمات. وبالإضافة إلى ذلك، أشارت 25 طرفا، أو 15 في المائة من الأطراف المبلغة، إلى أمثلة لسياسات أو برامج محددة عُرفت على أنها، أو يُشتبه في أنها، تولد حوافز </w:t>
      </w:r>
      <w:r w:rsidR="001C4672">
        <w:rPr>
          <w:rFonts w:hint="cs"/>
          <w:sz w:val="22"/>
          <w:rtl/>
          <w:lang w:val="en-GB" w:bidi="ar-EG"/>
        </w:rPr>
        <w:t>ضارة</w:t>
      </w:r>
      <w:r>
        <w:rPr>
          <w:rFonts w:hint="cs"/>
          <w:sz w:val="22"/>
          <w:rtl/>
          <w:lang w:val="en-GB" w:bidi="ar-EG"/>
        </w:rPr>
        <w:t xml:space="preserve"> </w:t>
      </w:r>
      <w:r w:rsidR="001C4672">
        <w:rPr>
          <w:rFonts w:hint="cs"/>
          <w:sz w:val="22"/>
          <w:rtl/>
          <w:lang w:val="en-GB" w:bidi="ar-EG"/>
        </w:rPr>
        <w:t>ب</w:t>
      </w:r>
      <w:r>
        <w:rPr>
          <w:rFonts w:hint="cs"/>
          <w:sz w:val="22"/>
          <w:rtl/>
          <w:lang w:val="en-GB" w:bidi="ar-EG"/>
        </w:rPr>
        <w:t>التنوع البيولوجي.</w:t>
      </w:r>
    </w:p>
    <w:p w:rsidR="0038760B" w:rsidRPr="00180ECA" w:rsidRDefault="0038760B" w:rsidP="00180ECA">
      <w:pPr>
        <w:numPr>
          <w:ilvl w:val="0"/>
          <w:numId w:val="28"/>
        </w:numPr>
        <w:spacing w:after="120"/>
        <w:ind w:left="0" w:firstLine="0"/>
        <w:jc w:val="both"/>
        <w:rPr>
          <w:i/>
          <w:iCs/>
          <w:sz w:val="22"/>
          <w:lang w:val="en-GB" w:bidi="ar-EG"/>
        </w:rPr>
      </w:pPr>
      <w:r>
        <w:rPr>
          <w:rFonts w:hint="cs"/>
          <w:i/>
          <w:iCs/>
          <w:sz w:val="22"/>
          <w:rtl/>
          <w:lang w:val="en-GB" w:bidi="ar-EG"/>
        </w:rPr>
        <w:t>المعلم الرئيسي الرابع (</w:t>
      </w:r>
      <w:r w:rsidR="004144A1">
        <w:rPr>
          <w:rFonts w:hint="cs"/>
          <w:i/>
          <w:iCs/>
          <w:sz w:val="22"/>
          <w:rtl/>
          <w:lang w:val="en-GB" w:bidi="ar-EG"/>
        </w:rPr>
        <w:t>الانتهاء من وضع</w:t>
      </w:r>
      <w:r>
        <w:rPr>
          <w:rFonts w:hint="cs"/>
          <w:i/>
          <w:iCs/>
          <w:sz w:val="22"/>
          <w:rtl/>
          <w:lang w:val="en-GB" w:bidi="ar-EG"/>
        </w:rPr>
        <w:t xml:space="preserve"> الخطط المتعلقة بالسياسة العامة التي تحدد حوافز مرشحة لاتخاذ إجراءات سياساتية بشأنها</w:t>
      </w:r>
      <w:r w:rsidR="004144A1" w:rsidRPr="004144A1">
        <w:rPr>
          <w:rFonts w:hint="cs"/>
          <w:i/>
          <w:iCs/>
          <w:sz w:val="22"/>
          <w:rtl/>
          <w:lang w:val="en-GB" w:bidi="ar-EG"/>
        </w:rPr>
        <w:t xml:space="preserve"> </w:t>
      </w:r>
      <w:r w:rsidR="004144A1">
        <w:rPr>
          <w:rFonts w:hint="cs"/>
          <w:i/>
          <w:iCs/>
          <w:sz w:val="22"/>
          <w:rtl/>
          <w:lang w:val="en-GB" w:bidi="ar-EG"/>
        </w:rPr>
        <w:t>وقوائم</w:t>
      </w:r>
      <w:r>
        <w:rPr>
          <w:rFonts w:hint="cs"/>
          <w:i/>
          <w:iCs/>
          <w:sz w:val="22"/>
          <w:rtl/>
          <w:lang w:val="en-GB" w:bidi="ar-EG"/>
        </w:rPr>
        <w:t xml:space="preserve"> بالتدابير المراد اتخاذها</w:t>
      </w:r>
      <w:r w:rsidR="004144A1" w:rsidRPr="004144A1">
        <w:rPr>
          <w:rFonts w:hint="cs"/>
          <w:i/>
          <w:iCs/>
          <w:sz w:val="22"/>
          <w:rtl/>
          <w:lang w:val="en-GB" w:bidi="ar-EG"/>
        </w:rPr>
        <w:t xml:space="preserve"> </w:t>
      </w:r>
      <w:r w:rsidR="004144A1">
        <w:rPr>
          <w:rFonts w:hint="cs"/>
          <w:i/>
          <w:iCs/>
          <w:sz w:val="22"/>
          <w:rtl/>
          <w:lang w:val="en-GB" w:bidi="ar-EG"/>
        </w:rPr>
        <w:t>مرتبة حسب الأولوية</w:t>
      </w:r>
      <w:r>
        <w:rPr>
          <w:rFonts w:hint="cs"/>
          <w:i/>
          <w:iCs/>
          <w:sz w:val="22"/>
          <w:rtl/>
          <w:lang w:val="en-GB" w:bidi="ar-EG"/>
        </w:rPr>
        <w:t>):</w:t>
      </w:r>
      <w:r>
        <w:rPr>
          <w:rFonts w:hint="cs"/>
          <w:sz w:val="22"/>
          <w:rtl/>
          <w:lang w:val="en-GB" w:bidi="ar-EG"/>
        </w:rPr>
        <w:t xml:space="preserve"> </w:t>
      </w:r>
      <w:r w:rsidR="00180ECA">
        <w:rPr>
          <w:rFonts w:hint="cs"/>
          <w:sz w:val="22"/>
          <w:rtl/>
          <w:lang w:val="en-GB" w:bidi="ar-EG"/>
        </w:rPr>
        <w:t>يشير</w:t>
      </w:r>
      <w:r w:rsidR="004144A1">
        <w:rPr>
          <w:rFonts w:hint="cs"/>
          <w:sz w:val="22"/>
          <w:rtl/>
          <w:lang w:val="en-GB" w:bidi="ar-EG"/>
        </w:rPr>
        <w:t xml:space="preserve"> ما مجموعه 10 بلدان إلى عملية إعداد هذه السياسات أو خطط العمل في استراتيجياتها وخطط عملها الوطنية للتنوع البيولوجي، </w:t>
      </w:r>
      <w:r w:rsidR="006B0B87">
        <w:rPr>
          <w:rFonts w:hint="cs"/>
          <w:sz w:val="22"/>
          <w:rtl/>
          <w:lang w:val="en-GB" w:bidi="ar-EG"/>
        </w:rPr>
        <w:t>و</w:t>
      </w:r>
      <w:r w:rsidR="004144A1">
        <w:rPr>
          <w:rFonts w:hint="cs"/>
          <w:sz w:val="22"/>
          <w:rtl/>
          <w:lang w:val="en-GB" w:bidi="ar-EG"/>
        </w:rPr>
        <w:t xml:space="preserve">كان لأربعة بلدان منها </w:t>
      </w:r>
      <w:r w:rsidR="00180ECA">
        <w:rPr>
          <w:rFonts w:hint="cs"/>
          <w:sz w:val="22"/>
          <w:rtl/>
          <w:lang w:val="en-GB" w:bidi="ar-EG"/>
        </w:rPr>
        <w:t>جداول</w:t>
      </w:r>
      <w:r w:rsidR="004144A1">
        <w:rPr>
          <w:rFonts w:hint="cs"/>
          <w:sz w:val="22"/>
          <w:rtl/>
          <w:lang w:val="en-GB" w:bidi="ar-EG"/>
        </w:rPr>
        <w:t xml:space="preserve"> زمنية إضافية.</w:t>
      </w:r>
    </w:p>
    <w:p w:rsidR="00180ECA" w:rsidRPr="00D42512" w:rsidRDefault="00180ECA" w:rsidP="006B0B87">
      <w:pPr>
        <w:numPr>
          <w:ilvl w:val="0"/>
          <w:numId w:val="28"/>
        </w:numPr>
        <w:spacing w:after="120"/>
        <w:ind w:left="0" w:firstLine="0"/>
        <w:jc w:val="both"/>
        <w:rPr>
          <w:i/>
          <w:iCs/>
          <w:sz w:val="22"/>
          <w:lang w:val="en-GB" w:bidi="ar-EG"/>
        </w:rPr>
      </w:pPr>
      <w:r>
        <w:rPr>
          <w:rFonts w:hint="cs"/>
          <w:sz w:val="22"/>
          <w:rtl/>
          <w:lang w:val="en-GB" w:bidi="ar-EG"/>
        </w:rPr>
        <w:t xml:space="preserve">وفيما هو أبعد من الإبلاغ ذي الصلة بالمعالم الرئيسية، يبلغ عدد هائل من الأطراف عن التقدم المحرز بالفعل في تنفيذ الهدف 3 من أهداف أيشي للتنوع البيولوجي، مع التركيز على تصميم وتنفيذ تدابير حافزة إيجابية. </w:t>
      </w:r>
      <w:r w:rsidR="006B0B87">
        <w:rPr>
          <w:rFonts w:hint="cs"/>
          <w:sz w:val="22"/>
          <w:rtl/>
          <w:lang w:val="en-GB" w:bidi="ar-EG"/>
        </w:rPr>
        <w:t>وكما ذُكر</w:t>
      </w:r>
      <w:r>
        <w:rPr>
          <w:rFonts w:hint="cs"/>
          <w:sz w:val="22"/>
          <w:rtl/>
          <w:lang w:val="en-GB" w:bidi="ar-EG"/>
        </w:rPr>
        <w:t xml:space="preserve"> أعلاه، لم يشر سوى نسبة أعلى بقليل من 10 في المائة</w:t>
      </w:r>
      <w:r w:rsidR="00796466">
        <w:rPr>
          <w:rFonts w:hint="cs"/>
          <w:sz w:val="22"/>
          <w:rtl/>
          <w:lang w:val="en-GB" w:bidi="ar-EG"/>
        </w:rPr>
        <w:t xml:space="preserve"> من الأطراف المبلغة</w:t>
      </w:r>
      <w:r>
        <w:rPr>
          <w:rFonts w:hint="cs"/>
          <w:sz w:val="22"/>
          <w:rtl/>
          <w:lang w:val="en-GB" w:bidi="ar-EG"/>
        </w:rPr>
        <w:t xml:space="preserve"> إلى إلغاء الحوافز، أو إزالتها تدريجيا أو إصلاحها</w:t>
      </w:r>
      <w:r w:rsidR="007D33A7">
        <w:rPr>
          <w:rFonts w:hint="cs"/>
          <w:sz w:val="22"/>
          <w:rtl/>
          <w:lang w:val="en-GB" w:bidi="ar-EG"/>
        </w:rPr>
        <w:t>، بما في ذلك الإعانات</w:t>
      </w:r>
      <w:r>
        <w:rPr>
          <w:rFonts w:hint="cs"/>
          <w:sz w:val="22"/>
          <w:rtl/>
          <w:lang w:val="en-GB" w:bidi="ar-EG"/>
        </w:rPr>
        <w:t>. ويشير ما مجموع نسبته 20 في المائة من الأطراف المبلغة إلى تطبيق تدابير مالية، من قبيل الضرائب الخضراء أو الإعفاءات الضريبية على الأنشطة</w:t>
      </w:r>
      <w:r w:rsidR="00D42512">
        <w:rPr>
          <w:rFonts w:hint="cs"/>
          <w:sz w:val="22"/>
          <w:rtl/>
          <w:lang w:val="en-GB" w:bidi="ar-EG"/>
        </w:rPr>
        <w:t xml:space="preserve"> المفيدة. ويشير أكثر من نصف الأطراف المبلغة إلى إدخال أو تعزيز خطط المدفوعات لخدمات النظم الإيكولوجية أو إدخال أو تعزيز التدابير الحافزة الإيجابية التي قد تنطوي على مفاهيم مماثلة، مثل المدفوعات الزراعية البيئية.</w:t>
      </w:r>
    </w:p>
    <w:p w:rsidR="00D42512" w:rsidRPr="008915FB" w:rsidRDefault="00D42512" w:rsidP="006B0B87">
      <w:pPr>
        <w:numPr>
          <w:ilvl w:val="0"/>
          <w:numId w:val="28"/>
        </w:numPr>
        <w:spacing w:after="120"/>
        <w:ind w:left="0" w:firstLine="0"/>
        <w:jc w:val="both"/>
        <w:rPr>
          <w:i/>
          <w:iCs/>
          <w:sz w:val="22"/>
          <w:lang w:val="en-GB" w:bidi="ar-EG"/>
        </w:rPr>
      </w:pPr>
      <w:r>
        <w:rPr>
          <w:rFonts w:hint="cs"/>
          <w:sz w:val="22"/>
          <w:rtl/>
          <w:lang w:val="en-GB" w:bidi="ar-EG"/>
        </w:rPr>
        <w:t>وفيما يتعلق بالتدابير الحافزة غير النقدية، مثل الاعتراف بالشكل المناسب بالشعوب الأصلية والمجتمعات المحلية التي تحفظ الأراضي والمناطق ودعمها، وغيرها من مبادرات الحفظ المجتمعية الفعالة الأخرى</w:t>
      </w:r>
      <w:r w:rsidR="00796466">
        <w:rPr>
          <w:rFonts w:hint="cs"/>
          <w:sz w:val="22"/>
          <w:rtl/>
          <w:lang w:val="en-GB" w:bidi="ar-EG"/>
        </w:rPr>
        <w:t>، فإن هناك نسبة أصغر</w:t>
      </w:r>
      <w:r>
        <w:rPr>
          <w:rFonts w:hint="cs"/>
          <w:sz w:val="22"/>
          <w:rtl/>
          <w:lang w:val="en-GB" w:bidi="ar-EG"/>
        </w:rPr>
        <w:t>، ولكنها تظل كبيرة، قدرها 30 في المائة</w:t>
      </w:r>
      <w:r w:rsidR="00796466">
        <w:rPr>
          <w:rFonts w:hint="cs"/>
          <w:sz w:val="22"/>
          <w:rtl/>
          <w:lang w:val="en-GB" w:bidi="ar-EG"/>
        </w:rPr>
        <w:t xml:space="preserve"> من الأطراف المبلغة</w:t>
      </w:r>
      <w:r>
        <w:rPr>
          <w:rFonts w:hint="cs"/>
          <w:sz w:val="22"/>
          <w:rtl/>
          <w:lang w:val="en-GB" w:bidi="ar-EG"/>
        </w:rPr>
        <w:t xml:space="preserve"> أشارت إلى مشاركة المجتمع في إدارة التنوع البيولوجي وإلى إدخال أو تعزيز حوافز إيجابية ذات صلة، مثل اتخاذ ترتيبات لتقاسم </w:t>
      </w:r>
      <w:r w:rsidR="006B0B87">
        <w:rPr>
          <w:rFonts w:hint="cs"/>
          <w:sz w:val="22"/>
          <w:rtl/>
          <w:lang w:val="en-GB" w:bidi="ar-EG"/>
        </w:rPr>
        <w:t>إيرادات</w:t>
      </w:r>
      <w:r>
        <w:rPr>
          <w:rFonts w:hint="cs"/>
          <w:sz w:val="22"/>
          <w:rtl/>
          <w:lang w:val="en-GB" w:bidi="ar-EG"/>
        </w:rPr>
        <w:t xml:space="preserve"> السياحة، كما هو الحال في سياق الإدارة المجتمعية للموارد الطبيعية، </w:t>
      </w:r>
      <w:r w:rsidR="006B0B87">
        <w:rPr>
          <w:rFonts w:hint="cs"/>
          <w:sz w:val="22"/>
          <w:rtl/>
          <w:lang w:val="en-GB" w:bidi="ar-EG"/>
        </w:rPr>
        <w:lastRenderedPageBreak/>
        <w:t>والمشاركة</w:t>
      </w:r>
      <w:r w:rsidR="00796466">
        <w:rPr>
          <w:rFonts w:hint="cs"/>
          <w:sz w:val="22"/>
          <w:rtl/>
          <w:lang w:val="en-GB" w:bidi="ar-EG"/>
        </w:rPr>
        <w:t xml:space="preserve"> مع الشعوب الأصلية أو المجتمعات المحلية في إدارة المناطق المحمية، أو إنشاء مناطق محمية مجتمعية والاعتراف الرسمي بها.</w:t>
      </w:r>
    </w:p>
    <w:p w:rsidR="008915FB" w:rsidRPr="00F3601A" w:rsidRDefault="008915FB" w:rsidP="006B0B87">
      <w:pPr>
        <w:keepNext/>
        <w:spacing w:after="120"/>
        <w:jc w:val="center"/>
        <w:rPr>
          <w:b/>
          <w:bCs/>
          <w:lang w:bidi="ar-EG"/>
        </w:rPr>
      </w:pPr>
      <w:r w:rsidRPr="00F3601A">
        <w:rPr>
          <w:rFonts w:hint="cs"/>
          <w:b/>
          <w:bCs/>
          <w:rtl/>
          <w:lang w:bidi="ar-EG"/>
        </w:rPr>
        <w:t>مساهمة الهدف 3 من أهداف أيشي للتنوع البيولوجي في تحقيق الهدف 20 من أهداف أيشي للتنوع البيولوجي</w:t>
      </w:r>
    </w:p>
    <w:p w:rsidR="0040656E" w:rsidRPr="00687CBA" w:rsidRDefault="005C56C9" w:rsidP="005C56C9">
      <w:pPr>
        <w:numPr>
          <w:ilvl w:val="0"/>
          <w:numId w:val="28"/>
        </w:numPr>
        <w:spacing w:after="120"/>
        <w:ind w:left="0" w:firstLine="0"/>
        <w:jc w:val="both"/>
        <w:rPr>
          <w:i/>
          <w:iCs/>
          <w:sz w:val="22"/>
          <w:lang w:val="en-GB" w:bidi="ar-EG"/>
        </w:rPr>
      </w:pPr>
      <w:r>
        <w:rPr>
          <w:rFonts w:hint="cs"/>
          <w:sz w:val="22"/>
          <w:rtl/>
          <w:lang w:val="en-GB" w:bidi="ar-EG"/>
        </w:rPr>
        <w:t>ورد في نص سابق اعتمده</w:t>
      </w:r>
      <w:r w:rsidR="008915FB">
        <w:rPr>
          <w:rFonts w:hint="cs"/>
          <w:sz w:val="22"/>
          <w:rtl/>
          <w:lang w:val="en-GB" w:bidi="ar-EG"/>
        </w:rPr>
        <w:t xml:space="preserve"> مؤتمر الأطراف</w:t>
      </w:r>
      <w:r w:rsidR="00252F47">
        <w:rPr>
          <w:rStyle w:val="FootnoteReference"/>
          <w:sz w:val="22"/>
          <w:rtl/>
          <w:lang w:val="en-GB"/>
        </w:rPr>
        <w:footnoteReference w:id="24"/>
      </w:r>
      <w:r w:rsidR="008915FB">
        <w:rPr>
          <w:rFonts w:hint="cs"/>
          <w:sz w:val="22"/>
          <w:rtl/>
          <w:lang w:val="en-GB" w:bidi="ar-EG"/>
        </w:rPr>
        <w:t xml:space="preserve"> أن الحوافز الضارة بالتنوع البيولوجي </w:t>
      </w:r>
      <w:r w:rsidR="008915FB">
        <w:rPr>
          <w:rFonts w:hint="cs"/>
          <w:i/>
          <w:iCs/>
          <w:sz w:val="22"/>
          <w:rtl/>
          <w:lang w:val="en-GB" w:bidi="ar-EG"/>
        </w:rPr>
        <w:t>"كثيرا ما تكون غير فعالة من حيث التكلفة و/أو غير فعالة للوفاء بالأهداف الاجتماعية، في حين أنها تستخدم في بعض الحالات الأموال العامة النادرة"</w:t>
      </w:r>
      <w:r w:rsidR="008915FB">
        <w:rPr>
          <w:rFonts w:hint="cs"/>
          <w:sz w:val="22"/>
          <w:rtl/>
          <w:lang w:val="en-GB" w:bidi="ar-EG"/>
        </w:rPr>
        <w:t xml:space="preserve">، وبالتالي </w:t>
      </w:r>
      <w:r>
        <w:rPr>
          <w:rFonts w:hint="cs"/>
          <w:sz w:val="22"/>
          <w:rtl/>
          <w:lang w:val="en-GB" w:bidi="ar-EG"/>
        </w:rPr>
        <w:t>فهو ما أشار بالفعل</w:t>
      </w:r>
      <w:r w:rsidR="008915FB">
        <w:rPr>
          <w:rFonts w:hint="cs"/>
          <w:sz w:val="22"/>
          <w:rtl/>
          <w:lang w:val="en-GB" w:bidi="ar-EG"/>
        </w:rPr>
        <w:t xml:space="preserve"> إلى التأثيرات المحتمل</w:t>
      </w:r>
      <w:r w:rsidR="00687CBA">
        <w:rPr>
          <w:rFonts w:hint="cs"/>
          <w:sz w:val="22"/>
          <w:rtl/>
          <w:lang w:val="en-GB" w:bidi="ar-EG"/>
        </w:rPr>
        <w:t>ة على حشد الموارد لاتخاذ إجراء سياساتي</w:t>
      </w:r>
      <w:r w:rsidR="008915FB">
        <w:rPr>
          <w:rFonts w:hint="cs"/>
          <w:sz w:val="22"/>
          <w:rtl/>
          <w:lang w:val="en-GB" w:bidi="ar-EG"/>
        </w:rPr>
        <w:t xml:space="preserve"> بشأن الحوافز الضارة.</w:t>
      </w:r>
    </w:p>
    <w:p w:rsidR="00687CBA" w:rsidRPr="0075422E" w:rsidRDefault="00687CBA" w:rsidP="00687CBA">
      <w:pPr>
        <w:numPr>
          <w:ilvl w:val="0"/>
          <w:numId w:val="28"/>
        </w:numPr>
        <w:spacing w:after="120"/>
        <w:ind w:left="0" w:firstLine="0"/>
        <w:jc w:val="both"/>
        <w:rPr>
          <w:i/>
          <w:iCs/>
          <w:sz w:val="22"/>
          <w:lang w:val="en-GB" w:bidi="ar-EG"/>
        </w:rPr>
      </w:pPr>
      <w:r>
        <w:rPr>
          <w:rFonts w:hint="cs"/>
          <w:sz w:val="22"/>
          <w:rtl/>
          <w:lang w:val="en-GB" w:bidi="ar-EG"/>
        </w:rPr>
        <w:t>أولا، إن اتخاذ إجراء سياساتي بشأن الحوافز الضارة، على قدم المساواة مع</w:t>
      </w:r>
      <w:r w:rsidR="00A24C1A">
        <w:rPr>
          <w:rFonts w:hint="cs"/>
          <w:sz w:val="22"/>
          <w:rtl/>
          <w:lang w:val="en-GB" w:bidi="ar-EG"/>
        </w:rPr>
        <w:t xml:space="preserve"> جميع</w:t>
      </w:r>
      <w:r>
        <w:rPr>
          <w:rFonts w:hint="cs"/>
          <w:sz w:val="22"/>
          <w:rtl/>
          <w:lang w:val="en-GB" w:bidi="ar-EG"/>
        </w:rPr>
        <w:t xml:space="preserve"> </w:t>
      </w:r>
      <w:r w:rsidR="00A24C1A">
        <w:rPr>
          <w:rFonts w:hint="cs"/>
          <w:sz w:val="22"/>
          <w:rtl/>
          <w:lang w:val="en-GB" w:bidi="ar-EG"/>
        </w:rPr>
        <w:t>ال</w:t>
      </w:r>
      <w:r>
        <w:rPr>
          <w:rFonts w:hint="cs"/>
          <w:sz w:val="22"/>
          <w:rtl/>
          <w:lang w:val="en-GB" w:bidi="ar-EG"/>
        </w:rPr>
        <w:t xml:space="preserve">أمور </w:t>
      </w:r>
      <w:r w:rsidR="00A24C1A">
        <w:rPr>
          <w:rFonts w:hint="cs"/>
          <w:sz w:val="22"/>
          <w:rtl/>
          <w:lang w:val="en-GB" w:bidi="ar-EG"/>
        </w:rPr>
        <w:t>ال</w:t>
      </w:r>
      <w:r>
        <w:rPr>
          <w:rFonts w:hint="cs"/>
          <w:sz w:val="22"/>
          <w:rtl/>
          <w:lang w:val="en-GB" w:bidi="ar-EG"/>
        </w:rPr>
        <w:t xml:space="preserve">أخرى، سيقلل من الحاجة إلى زيادة الموارد المالية من أجل السياسات المتعلقة بالتنوع البيولوجي. ويكون ذلك أكثر وضوحا عندما يتخذ هذا الإجراء السياساتي شكل التخلص التام أو </w:t>
      </w:r>
      <w:r w:rsidR="00A24C1A">
        <w:rPr>
          <w:rFonts w:hint="cs"/>
          <w:sz w:val="22"/>
          <w:rtl/>
          <w:lang w:val="en-GB" w:bidi="ar-EG"/>
        </w:rPr>
        <w:t>التخلص التدريجي من الحافز الضار</w:t>
      </w:r>
      <w:r>
        <w:rPr>
          <w:rFonts w:hint="cs"/>
          <w:sz w:val="22"/>
          <w:rtl/>
          <w:lang w:val="en-GB" w:bidi="ar-EG"/>
        </w:rPr>
        <w:t xml:space="preserve"> لأنه سيؤدي، بحكم تعريفه، إلى إزالة التأثيرات الضارة على التنوع البيولوجي وبالتالي سيقلل الحاجة إلى السياسات المتعلقة بالتنوع البيولوجي إلى مجرد "إصلاح" الضرر الناجم عن سياسات أخرى، و</w:t>
      </w:r>
      <w:r w:rsidR="005C56C9">
        <w:rPr>
          <w:rFonts w:hint="cs"/>
          <w:sz w:val="22"/>
          <w:rtl/>
          <w:lang w:val="en-GB" w:bidi="ar-EG"/>
        </w:rPr>
        <w:t>ال</w:t>
      </w:r>
      <w:r>
        <w:rPr>
          <w:rFonts w:hint="cs"/>
          <w:sz w:val="22"/>
          <w:rtl/>
          <w:lang w:val="en-GB" w:bidi="ar-EG"/>
        </w:rPr>
        <w:t xml:space="preserve">احتياجات </w:t>
      </w:r>
      <w:r w:rsidR="005C56C9">
        <w:rPr>
          <w:rFonts w:hint="cs"/>
          <w:sz w:val="22"/>
          <w:rtl/>
          <w:lang w:val="en-GB" w:bidi="ar-EG"/>
        </w:rPr>
        <w:t xml:space="preserve">من </w:t>
      </w:r>
      <w:r>
        <w:rPr>
          <w:rFonts w:hint="cs"/>
          <w:sz w:val="22"/>
          <w:rtl/>
          <w:lang w:val="en-GB" w:bidi="ar-EG"/>
        </w:rPr>
        <w:t>الموارد المرتبطة بذلك.</w:t>
      </w:r>
    </w:p>
    <w:p w:rsidR="0075422E" w:rsidRPr="00AD2937" w:rsidRDefault="00AD2937" w:rsidP="00A24C1A">
      <w:pPr>
        <w:numPr>
          <w:ilvl w:val="0"/>
          <w:numId w:val="28"/>
        </w:numPr>
        <w:spacing w:after="120"/>
        <w:ind w:left="0" w:firstLine="0"/>
        <w:jc w:val="both"/>
        <w:rPr>
          <w:i/>
          <w:iCs/>
          <w:sz w:val="22"/>
          <w:lang w:val="en-GB" w:bidi="ar-EG"/>
        </w:rPr>
      </w:pPr>
      <w:r>
        <w:rPr>
          <w:rFonts w:hint="cs"/>
          <w:sz w:val="22"/>
          <w:rtl/>
          <w:lang w:val="en-GB" w:bidi="ar-EG"/>
        </w:rPr>
        <w:t xml:space="preserve">وتعتبر المعلومات المتاحة عن مدى هذا التأثير على التنوع البيولوجي في مجملها قصصية وغير محددة كميا في كثير من الأحيان. ويتم الإبلاغ بشكل خاص عن التأثيرات الإيجابية في حالات مبادرات الإصلاح الرئيسية، على الرغم من أنه من الصعب في كثير من الأحيان فصل التأثير الحقيقي لإلغاء الدعم عن التأثيرات الأخرى، خاصة </w:t>
      </w:r>
      <w:r w:rsidR="005C56C9">
        <w:rPr>
          <w:rFonts w:hint="cs"/>
          <w:sz w:val="22"/>
          <w:rtl/>
          <w:lang w:val="en-GB" w:bidi="ar-EG"/>
        </w:rPr>
        <w:t xml:space="preserve">على المدى </w:t>
      </w:r>
      <w:r w:rsidR="00A24C1A">
        <w:rPr>
          <w:rFonts w:hint="cs"/>
          <w:sz w:val="22"/>
          <w:rtl/>
          <w:lang w:val="en-GB" w:bidi="ar-EG"/>
        </w:rPr>
        <w:t>الطويل</w:t>
      </w:r>
      <w:r>
        <w:rPr>
          <w:rFonts w:hint="cs"/>
          <w:sz w:val="22"/>
          <w:rtl/>
          <w:lang w:val="en-GB" w:bidi="ar-EG"/>
        </w:rPr>
        <w:t>.</w:t>
      </w:r>
    </w:p>
    <w:p w:rsidR="00AD2937" w:rsidRPr="00006442" w:rsidRDefault="00AD2937" w:rsidP="00A24C1A">
      <w:pPr>
        <w:numPr>
          <w:ilvl w:val="0"/>
          <w:numId w:val="28"/>
        </w:numPr>
        <w:spacing w:after="120"/>
        <w:ind w:left="0" w:firstLine="0"/>
        <w:jc w:val="both"/>
        <w:rPr>
          <w:i/>
          <w:iCs/>
          <w:sz w:val="22"/>
          <w:lang w:val="en-GB" w:bidi="ar-EG"/>
        </w:rPr>
      </w:pPr>
      <w:r>
        <w:rPr>
          <w:rFonts w:hint="cs"/>
          <w:sz w:val="22"/>
          <w:rtl/>
          <w:lang w:val="en-GB" w:bidi="ar-EG"/>
        </w:rPr>
        <w:t xml:space="preserve">ثانيا، </w:t>
      </w:r>
      <w:r w:rsidR="00AF63B0">
        <w:rPr>
          <w:rFonts w:hint="cs"/>
          <w:sz w:val="22"/>
          <w:rtl/>
          <w:lang w:val="en-GB" w:bidi="ar-EG"/>
        </w:rPr>
        <w:t>من شأن تأثير العائد المباشر</w:t>
      </w:r>
      <w:r>
        <w:rPr>
          <w:rFonts w:hint="cs"/>
          <w:sz w:val="22"/>
          <w:rtl/>
          <w:lang w:val="en-GB" w:bidi="ar-EG"/>
        </w:rPr>
        <w:t xml:space="preserve"> أن يؤدي بشكل خاص إلى اتخاذ إجراء سياساتي بشأن الإعانات الضارة، ويكون</w:t>
      </w:r>
      <w:r w:rsidR="005C56C9">
        <w:rPr>
          <w:rFonts w:hint="cs"/>
          <w:sz w:val="22"/>
          <w:rtl/>
          <w:lang w:val="en-GB" w:bidi="ar-EG"/>
        </w:rPr>
        <w:t xml:space="preserve"> أيضا</w:t>
      </w:r>
      <w:r>
        <w:rPr>
          <w:rFonts w:hint="cs"/>
          <w:sz w:val="22"/>
          <w:rtl/>
          <w:lang w:val="en-GB" w:bidi="ar-EG"/>
        </w:rPr>
        <w:t xml:space="preserve"> أكثر وضوحا</w:t>
      </w:r>
      <w:r w:rsidR="00AF63B0">
        <w:rPr>
          <w:rFonts w:hint="cs"/>
          <w:sz w:val="22"/>
          <w:rtl/>
          <w:lang w:val="en-GB" w:bidi="ar-EG"/>
        </w:rPr>
        <w:t xml:space="preserve"> عندما يت</w:t>
      </w:r>
      <w:r>
        <w:rPr>
          <w:rFonts w:hint="cs"/>
          <w:sz w:val="22"/>
          <w:rtl/>
          <w:lang w:val="en-GB" w:bidi="ar-EG"/>
        </w:rPr>
        <w:t xml:space="preserve">خذ هذا الإجراء السياساتي شكل التخلص التام أو التخلص التدريجي من الإعانة الضارة، لأن هذا الأمر </w:t>
      </w:r>
      <w:r w:rsidR="00AF63B0">
        <w:rPr>
          <w:rFonts w:hint="cs"/>
          <w:sz w:val="22"/>
          <w:rtl/>
          <w:lang w:val="en-GB" w:bidi="ar-EG"/>
        </w:rPr>
        <w:t xml:space="preserve">من شأنه أن </w:t>
      </w:r>
      <w:r>
        <w:rPr>
          <w:rFonts w:hint="cs"/>
          <w:sz w:val="22"/>
          <w:rtl/>
          <w:lang w:val="en-GB" w:bidi="ar-EG"/>
        </w:rPr>
        <w:t>يحرر الموارد العامة النادرة،</w:t>
      </w:r>
      <w:r w:rsidR="00AF63B0">
        <w:rPr>
          <w:rFonts w:hint="cs"/>
          <w:sz w:val="22"/>
          <w:rtl/>
          <w:lang w:val="en-GB" w:bidi="ar-EG"/>
        </w:rPr>
        <w:t xml:space="preserve"> التي يمكن استخدامها من حيث المبدأ</w:t>
      </w:r>
      <w:r>
        <w:rPr>
          <w:rFonts w:hint="cs"/>
          <w:sz w:val="22"/>
          <w:rtl/>
          <w:lang w:val="en-GB" w:bidi="ar-EG"/>
        </w:rPr>
        <w:t xml:space="preserve">، </w:t>
      </w:r>
      <w:r w:rsidR="00AF63B0">
        <w:rPr>
          <w:rFonts w:hint="cs"/>
          <w:sz w:val="22"/>
          <w:rtl/>
          <w:lang w:val="en-GB" w:bidi="ar-EG"/>
        </w:rPr>
        <w:t xml:space="preserve">ولكن ليس بالضرورة، لتمويل السياسات المتعلقة بالتنوع البيولوجي. كما أن إصلاح إعانة ضارة </w:t>
      </w:r>
      <w:r w:rsidR="00006442">
        <w:rPr>
          <w:rFonts w:hint="cs"/>
          <w:sz w:val="22"/>
          <w:rtl/>
          <w:lang w:val="en-GB" w:bidi="ar-EG"/>
        </w:rPr>
        <w:t>سينتج</w:t>
      </w:r>
      <w:r w:rsidR="00AF63B0">
        <w:rPr>
          <w:rFonts w:hint="cs"/>
          <w:sz w:val="22"/>
          <w:rtl/>
          <w:lang w:val="en-GB" w:bidi="ar-EG"/>
        </w:rPr>
        <w:t xml:space="preserve"> عنه تأثير </w:t>
      </w:r>
      <w:r w:rsidR="005C56C9">
        <w:rPr>
          <w:rFonts w:hint="cs"/>
          <w:sz w:val="22"/>
          <w:rtl/>
          <w:lang w:val="en-GB" w:bidi="ar-EG"/>
        </w:rPr>
        <w:t>عائد إيجابي</w:t>
      </w:r>
      <w:r w:rsidR="00AF63B0">
        <w:rPr>
          <w:rFonts w:hint="cs"/>
          <w:sz w:val="22"/>
          <w:rtl/>
          <w:lang w:val="en-GB" w:bidi="ar-EG"/>
        </w:rPr>
        <w:t xml:space="preserve"> إذا أدت الزيادة الناتجة في الفعالية من حيث التكلفة إلى </w:t>
      </w:r>
      <w:r w:rsidR="00006442">
        <w:rPr>
          <w:rFonts w:hint="cs"/>
          <w:sz w:val="22"/>
          <w:rtl/>
          <w:lang w:val="en-GB" w:bidi="ar-EG"/>
        </w:rPr>
        <w:t>تحقيق</w:t>
      </w:r>
      <w:r w:rsidR="00AF63B0">
        <w:rPr>
          <w:rFonts w:hint="cs"/>
          <w:sz w:val="22"/>
          <w:rtl/>
          <w:lang w:val="en-GB" w:bidi="ar-EG"/>
        </w:rPr>
        <w:t xml:space="preserve"> وفورات صافية، مع مراعاة أن الحكومات قد ترغب أيضا في </w:t>
      </w:r>
      <w:r w:rsidR="00A24C1A">
        <w:rPr>
          <w:rFonts w:hint="cs"/>
          <w:sz w:val="22"/>
          <w:rtl/>
          <w:lang w:val="en-GB" w:bidi="ar-EG"/>
        </w:rPr>
        <w:t>جعل</w:t>
      </w:r>
      <w:r w:rsidR="00AF63B0">
        <w:rPr>
          <w:rFonts w:hint="cs"/>
          <w:sz w:val="22"/>
          <w:rtl/>
          <w:lang w:val="en-GB" w:bidi="ar-EG"/>
        </w:rPr>
        <w:t xml:space="preserve"> الأهداف المعلنة بشأن السياسة التي تم إصلاحها</w:t>
      </w:r>
      <w:r w:rsidR="00A24C1A">
        <w:rPr>
          <w:rFonts w:hint="cs"/>
          <w:sz w:val="22"/>
          <w:rtl/>
          <w:lang w:val="en-GB" w:bidi="ar-EG"/>
        </w:rPr>
        <w:t xml:space="preserve"> أكثر طموحا</w:t>
      </w:r>
      <w:r w:rsidR="00AF63B0">
        <w:rPr>
          <w:rFonts w:hint="cs"/>
          <w:sz w:val="22"/>
          <w:rtl/>
          <w:lang w:val="en-GB" w:bidi="ar-EG"/>
        </w:rPr>
        <w:t>.</w:t>
      </w:r>
    </w:p>
    <w:p w:rsidR="00006442" w:rsidRPr="00764893" w:rsidRDefault="00006442" w:rsidP="004A1B9D">
      <w:pPr>
        <w:numPr>
          <w:ilvl w:val="0"/>
          <w:numId w:val="28"/>
        </w:numPr>
        <w:spacing w:after="120"/>
        <w:ind w:left="0" w:firstLine="0"/>
        <w:jc w:val="both"/>
        <w:rPr>
          <w:i/>
          <w:iCs/>
          <w:sz w:val="22"/>
          <w:lang w:val="en-GB" w:bidi="ar-EG"/>
        </w:rPr>
      </w:pPr>
      <w:r>
        <w:rPr>
          <w:rFonts w:hint="cs"/>
          <w:sz w:val="22"/>
          <w:rtl/>
          <w:lang w:val="en-GB" w:bidi="ar-EG"/>
        </w:rPr>
        <w:t>والمعلومات الكمية العالمية الحالية عن حجم الحوافز الضارة بالتنوع البيولوجي، بما في ذلك الإعانات، تتكون عادة من تقديرات لمرة واحدة ولا تقدم بيانات تسلسلية زمنية</w:t>
      </w:r>
      <w:r w:rsidR="00A7425A">
        <w:rPr>
          <w:rFonts w:hint="cs"/>
          <w:sz w:val="22"/>
          <w:rtl/>
          <w:lang w:val="en-GB" w:bidi="ar-EG"/>
        </w:rPr>
        <w:t xml:space="preserve"> من شأنها أن</w:t>
      </w:r>
      <w:r>
        <w:rPr>
          <w:rFonts w:hint="cs"/>
          <w:sz w:val="22"/>
          <w:rtl/>
          <w:lang w:val="en-GB" w:bidi="ar-EG"/>
        </w:rPr>
        <w:t xml:space="preserve"> تسمح </w:t>
      </w:r>
      <w:r w:rsidR="00A7425A">
        <w:rPr>
          <w:rFonts w:hint="cs"/>
          <w:sz w:val="22"/>
          <w:rtl/>
          <w:lang w:val="en-GB" w:bidi="ar-EG"/>
        </w:rPr>
        <w:t>بالفصل المنهجي ل</w:t>
      </w:r>
      <w:r>
        <w:rPr>
          <w:rFonts w:hint="cs"/>
          <w:sz w:val="22"/>
          <w:rtl/>
          <w:lang w:val="en-GB" w:bidi="ar-EG"/>
        </w:rPr>
        <w:t xml:space="preserve">لتأثيرات على التنوع البيولوجي </w:t>
      </w:r>
      <w:r w:rsidR="00A24C1A">
        <w:rPr>
          <w:rFonts w:hint="cs"/>
          <w:sz w:val="22"/>
          <w:rtl/>
          <w:lang w:val="en-GB" w:bidi="ar-EG"/>
        </w:rPr>
        <w:t>الموضحة</w:t>
      </w:r>
      <w:r>
        <w:rPr>
          <w:rFonts w:hint="cs"/>
          <w:sz w:val="22"/>
          <w:rtl/>
          <w:lang w:val="en-GB" w:bidi="ar-EG"/>
        </w:rPr>
        <w:t xml:space="preserve"> أعلاه أو </w:t>
      </w:r>
      <w:r w:rsidR="00A7425A">
        <w:rPr>
          <w:rFonts w:hint="cs"/>
          <w:sz w:val="22"/>
          <w:rtl/>
          <w:lang w:val="en-GB" w:bidi="ar-EG"/>
        </w:rPr>
        <w:t>إجراء تقييم ل</w:t>
      </w:r>
      <w:r>
        <w:rPr>
          <w:rFonts w:hint="cs"/>
          <w:sz w:val="22"/>
          <w:rtl/>
          <w:lang w:val="en-GB" w:bidi="ar-EG"/>
        </w:rPr>
        <w:t>لتقدم الشامل المحرز.</w:t>
      </w:r>
      <w:r w:rsidR="00A7425A">
        <w:rPr>
          <w:rFonts w:hint="cs"/>
          <w:sz w:val="22"/>
          <w:rtl/>
          <w:lang w:val="en-GB" w:bidi="ar-EG"/>
        </w:rPr>
        <w:t xml:space="preserve"> ومع ذلك، تُتاح المعلومات الكمية التي توضح هذه التأثيرات بشأن الإعانات الزراعية التي قد تكون ضارة بيئيا في بلدان منظمة التعاون والتنمية في الميدان الاقتصادي.</w:t>
      </w:r>
      <w:r w:rsidR="00236654">
        <w:rPr>
          <w:rFonts w:hint="cs"/>
          <w:sz w:val="22"/>
          <w:rtl/>
          <w:lang w:val="en-GB" w:bidi="ar-EG"/>
        </w:rPr>
        <w:t xml:space="preserve"> واستنادا إلى منهجية منظمة التعاون والتنمية في الميدان الاقتصادي لقياس الدعم الزراعي، تصنف منظمة التعاون والتنمية في الميدان الاقتصادي أنواع الدعم الزراعي حسب تأثيرها البيئي المحتمل. ووفقا </w:t>
      </w:r>
      <w:r w:rsidR="005A7221">
        <w:rPr>
          <w:rFonts w:hint="cs"/>
          <w:sz w:val="22"/>
          <w:rtl/>
          <w:lang w:val="en-GB" w:bidi="ar-EG"/>
        </w:rPr>
        <w:t xml:space="preserve">للتقييمات </w:t>
      </w:r>
      <w:r w:rsidR="00E304DD">
        <w:rPr>
          <w:rFonts w:hint="cs"/>
          <w:sz w:val="22"/>
          <w:rtl/>
          <w:lang w:val="en-GB" w:bidi="ar-EG"/>
        </w:rPr>
        <w:t>الحديثة</w:t>
      </w:r>
      <w:r w:rsidR="00236654">
        <w:rPr>
          <w:rFonts w:hint="cs"/>
          <w:sz w:val="22"/>
          <w:rtl/>
          <w:lang w:val="en-GB" w:bidi="ar-EG"/>
        </w:rPr>
        <w:t xml:space="preserve"> </w:t>
      </w:r>
      <w:r w:rsidR="005A7221">
        <w:rPr>
          <w:rFonts w:hint="cs"/>
          <w:sz w:val="22"/>
          <w:rtl/>
          <w:lang w:val="en-GB" w:bidi="ar-EG"/>
        </w:rPr>
        <w:t>ل</w:t>
      </w:r>
      <w:r w:rsidR="00236654">
        <w:rPr>
          <w:rFonts w:hint="cs"/>
          <w:sz w:val="22"/>
          <w:rtl/>
          <w:lang w:val="en-GB" w:bidi="ar-EG"/>
        </w:rPr>
        <w:t xml:space="preserve">منظمة التعاون والتنمية في الميدان الاقتصادي القائمة على هذه المنهجية، فإن مقدار الدعم الزراعي الذي من المحتمل أن يكون الأكثر ضررا على البيئة قد انخفض بشكل كبير خلال العقود </w:t>
      </w:r>
      <w:r w:rsidR="005B738A">
        <w:rPr>
          <w:rFonts w:hint="cs"/>
          <w:sz w:val="22"/>
          <w:rtl/>
          <w:lang w:val="en-GB" w:bidi="ar-EG"/>
        </w:rPr>
        <w:t>الأخيرة</w:t>
      </w:r>
      <w:r w:rsidR="00236654">
        <w:rPr>
          <w:rFonts w:hint="cs"/>
          <w:sz w:val="22"/>
          <w:rtl/>
          <w:lang w:val="en-GB" w:bidi="ar-EG"/>
        </w:rPr>
        <w:t xml:space="preserve">، سواء بالأرقام </w:t>
      </w:r>
      <w:r w:rsidR="005A7221">
        <w:rPr>
          <w:rFonts w:hint="cs"/>
          <w:sz w:val="22"/>
          <w:rtl/>
          <w:lang w:val="en-GB" w:bidi="ar-EG"/>
        </w:rPr>
        <w:t>الحقيقية</w:t>
      </w:r>
      <w:r w:rsidR="00236654">
        <w:rPr>
          <w:rFonts w:hint="cs"/>
          <w:sz w:val="22"/>
          <w:rtl/>
          <w:lang w:val="en-GB" w:bidi="ar-EG"/>
        </w:rPr>
        <w:t xml:space="preserve"> (من أكثر من 200 مليار دولار أمريكي في</w:t>
      </w:r>
      <w:r w:rsidR="00C75C0D">
        <w:rPr>
          <w:rFonts w:hint="cs"/>
          <w:sz w:val="22"/>
          <w:rtl/>
          <w:lang w:val="en-GB" w:bidi="ar-EG"/>
        </w:rPr>
        <w:t xml:space="preserve"> عام</w:t>
      </w:r>
      <w:r w:rsidR="00236654">
        <w:rPr>
          <w:rFonts w:hint="cs"/>
          <w:sz w:val="22"/>
          <w:rtl/>
          <w:lang w:val="en-GB" w:bidi="ar-EG"/>
        </w:rPr>
        <w:t xml:space="preserve"> 1990 إلى أكثر بقليل من 100 مليار دولار أمريكي في</w:t>
      </w:r>
      <w:r w:rsidR="00C75C0D">
        <w:rPr>
          <w:rFonts w:hint="cs"/>
          <w:sz w:val="22"/>
          <w:rtl/>
          <w:lang w:val="en-GB" w:bidi="ar-EG"/>
        </w:rPr>
        <w:t xml:space="preserve"> عام</w:t>
      </w:r>
      <w:r w:rsidR="00236654">
        <w:rPr>
          <w:rFonts w:hint="cs"/>
          <w:sz w:val="22"/>
          <w:rtl/>
          <w:lang w:val="en-GB" w:bidi="ar-EG"/>
        </w:rPr>
        <w:t xml:space="preserve"> </w:t>
      </w:r>
      <w:r w:rsidR="004A1B9D">
        <w:rPr>
          <w:rFonts w:hint="cs"/>
          <w:sz w:val="22"/>
          <w:rtl/>
          <w:lang w:val="en-GB" w:bidi="ar-EG"/>
        </w:rPr>
        <w:t>2015</w:t>
      </w:r>
      <w:r w:rsidR="00236654">
        <w:rPr>
          <w:rFonts w:hint="cs"/>
          <w:sz w:val="22"/>
          <w:rtl/>
          <w:lang w:val="en-GB" w:bidi="ar-EG"/>
        </w:rPr>
        <w:t xml:space="preserve">) </w:t>
      </w:r>
      <w:r w:rsidR="00C75C0D">
        <w:rPr>
          <w:rFonts w:hint="cs"/>
          <w:sz w:val="22"/>
          <w:rtl/>
          <w:lang w:val="en-GB" w:bidi="ar-EG"/>
        </w:rPr>
        <w:t>أو ب</w:t>
      </w:r>
      <w:r w:rsidR="005A7221">
        <w:rPr>
          <w:rFonts w:hint="cs"/>
          <w:sz w:val="22"/>
          <w:rtl/>
          <w:lang w:val="en-GB" w:bidi="ar-EG"/>
        </w:rPr>
        <w:t>الحصة النسبية لإجمالي الإعانات (</w:t>
      </w:r>
      <w:r w:rsidR="005B738A">
        <w:rPr>
          <w:rFonts w:hint="cs"/>
          <w:sz w:val="22"/>
          <w:rtl/>
          <w:lang w:val="en-GB" w:bidi="ar-EG"/>
        </w:rPr>
        <w:t xml:space="preserve">من </w:t>
      </w:r>
      <w:r w:rsidR="005A7221">
        <w:rPr>
          <w:rFonts w:hint="cs"/>
          <w:sz w:val="22"/>
          <w:rtl/>
          <w:lang w:val="en-GB" w:bidi="ar-EG"/>
        </w:rPr>
        <w:t>أكثر من 80</w:t>
      </w:r>
      <w:r w:rsidR="00C75C0D">
        <w:rPr>
          <w:rFonts w:hint="cs"/>
          <w:sz w:val="22"/>
          <w:rtl/>
          <w:lang w:val="en-GB" w:bidi="ar-EG"/>
        </w:rPr>
        <w:t xml:space="preserve"> في المائة</w:t>
      </w:r>
      <w:r w:rsidR="005A7221">
        <w:rPr>
          <w:rFonts w:hint="cs"/>
          <w:sz w:val="22"/>
          <w:rtl/>
          <w:lang w:val="en-GB" w:bidi="ar-EG"/>
        </w:rPr>
        <w:t xml:space="preserve"> في</w:t>
      </w:r>
      <w:r w:rsidR="00C75C0D" w:rsidRPr="00C75C0D">
        <w:rPr>
          <w:rFonts w:hint="cs"/>
          <w:sz w:val="22"/>
          <w:rtl/>
          <w:lang w:val="en-GB" w:bidi="ar-EG"/>
        </w:rPr>
        <w:t xml:space="preserve"> </w:t>
      </w:r>
      <w:r w:rsidR="00C75C0D">
        <w:rPr>
          <w:rFonts w:hint="cs"/>
          <w:sz w:val="22"/>
          <w:rtl/>
          <w:lang w:val="en-GB" w:bidi="ar-EG"/>
        </w:rPr>
        <w:t>عام</w:t>
      </w:r>
      <w:r w:rsidR="005A7221">
        <w:rPr>
          <w:rFonts w:hint="cs"/>
          <w:sz w:val="22"/>
          <w:rtl/>
          <w:lang w:val="en-GB" w:bidi="ar-EG"/>
        </w:rPr>
        <w:t xml:space="preserve"> 1990 إلى حوالي 50</w:t>
      </w:r>
      <w:r w:rsidR="00C75C0D">
        <w:rPr>
          <w:rFonts w:hint="cs"/>
          <w:sz w:val="22"/>
          <w:rtl/>
          <w:lang w:val="en-GB" w:bidi="ar-EG"/>
        </w:rPr>
        <w:t xml:space="preserve"> في المائة</w:t>
      </w:r>
      <w:r w:rsidR="005A7221">
        <w:rPr>
          <w:rFonts w:hint="cs"/>
          <w:sz w:val="22"/>
          <w:rtl/>
          <w:lang w:val="en-GB" w:bidi="ar-EG"/>
        </w:rPr>
        <w:t xml:space="preserve"> في</w:t>
      </w:r>
      <w:r w:rsidR="00C75C0D" w:rsidRPr="00C75C0D">
        <w:rPr>
          <w:rFonts w:hint="cs"/>
          <w:sz w:val="22"/>
          <w:rtl/>
          <w:lang w:val="en-GB" w:bidi="ar-EG"/>
        </w:rPr>
        <w:t xml:space="preserve"> </w:t>
      </w:r>
      <w:r w:rsidR="00C75C0D">
        <w:rPr>
          <w:rFonts w:hint="cs"/>
          <w:sz w:val="22"/>
          <w:rtl/>
          <w:lang w:val="en-GB" w:bidi="ar-EG"/>
        </w:rPr>
        <w:t>عام</w:t>
      </w:r>
      <w:r w:rsidR="005A7221">
        <w:rPr>
          <w:rFonts w:hint="cs"/>
          <w:sz w:val="22"/>
          <w:rtl/>
          <w:lang w:val="en-GB" w:bidi="ar-EG"/>
        </w:rPr>
        <w:t xml:space="preserve"> 2015). ويمكن تفسير ذلك على أنه مساهمة كبيرة في تأثير الحوافز المبين أعلاه. </w:t>
      </w:r>
      <w:r w:rsidR="005A7221" w:rsidRPr="00412E47">
        <w:rPr>
          <w:rFonts w:hint="cs"/>
          <w:sz w:val="22"/>
          <w:rtl/>
          <w:lang w:val="en-GB" w:bidi="ar-EG"/>
        </w:rPr>
        <w:t>وزادت</w:t>
      </w:r>
      <w:r w:rsidR="005A7221">
        <w:rPr>
          <w:rFonts w:hint="cs"/>
          <w:sz w:val="22"/>
          <w:rtl/>
          <w:lang w:val="en-GB" w:bidi="ar-EG"/>
        </w:rPr>
        <w:t xml:space="preserve"> أنواع الدعم الأقل ضررا، مثل ال</w:t>
      </w:r>
      <w:r w:rsidR="008425BB">
        <w:rPr>
          <w:rFonts w:hint="cs"/>
          <w:sz w:val="22"/>
          <w:rtl/>
          <w:lang w:val="en-GB" w:bidi="ar-EG"/>
        </w:rPr>
        <w:t>م</w:t>
      </w:r>
      <w:r w:rsidR="005A7221">
        <w:rPr>
          <w:rFonts w:hint="cs"/>
          <w:sz w:val="22"/>
          <w:rtl/>
          <w:lang w:val="en-GB" w:bidi="ar-EG"/>
        </w:rPr>
        <w:t xml:space="preserve">دفوعات القائمة على معايير غير سلعية، بما في ذلك تقاعد الأراضي والممارسات الأخرى التي تدعم التنوع البيولوجي، زيادة كبيرة منذ </w:t>
      </w:r>
      <w:r w:rsidR="00C75C0D">
        <w:rPr>
          <w:rFonts w:hint="cs"/>
          <w:sz w:val="22"/>
          <w:rtl/>
          <w:lang w:val="en-GB" w:bidi="ar-EG"/>
        </w:rPr>
        <w:t xml:space="preserve">عام </w:t>
      </w:r>
      <w:r w:rsidR="005A7221">
        <w:rPr>
          <w:rFonts w:hint="cs"/>
          <w:sz w:val="22"/>
          <w:rtl/>
          <w:lang w:val="en-GB" w:bidi="ar-EG"/>
        </w:rPr>
        <w:t xml:space="preserve">1990 </w:t>
      </w:r>
      <w:r w:rsidR="008425BB">
        <w:rPr>
          <w:rFonts w:hint="cs"/>
          <w:sz w:val="22"/>
          <w:rtl/>
          <w:lang w:val="en-GB" w:bidi="ar-EG"/>
        </w:rPr>
        <w:t>و</w:t>
      </w:r>
      <w:r w:rsidR="005A7221">
        <w:rPr>
          <w:rFonts w:hint="cs"/>
          <w:sz w:val="22"/>
          <w:rtl/>
          <w:lang w:val="en-GB" w:bidi="ar-EG"/>
        </w:rPr>
        <w:t>زادت من 3 مليارات دولار أمريكي في</w:t>
      </w:r>
      <w:r w:rsidR="00C75C0D" w:rsidRPr="00C75C0D">
        <w:rPr>
          <w:rFonts w:hint="cs"/>
          <w:sz w:val="22"/>
          <w:rtl/>
          <w:lang w:val="en-GB" w:bidi="ar-EG"/>
        </w:rPr>
        <w:t xml:space="preserve"> </w:t>
      </w:r>
      <w:r w:rsidR="00C75C0D">
        <w:rPr>
          <w:rFonts w:hint="cs"/>
          <w:sz w:val="22"/>
          <w:rtl/>
          <w:lang w:val="en-GB" w:bidi="ar-EG"/>
        </w:rPr>
        <w:t>عام</w:t>
      </w:r>
      <w:r w:rsidR="005A7221">
        <w:rPr>
          <w:rFonts w:hint="cs"/>
          <w:sz w:val="22"/>
          <w:rtl/>
          <w:lang w:val="en-GB" w:bidi="ar-EG"/>
        </w:rPr>
        <w:t xml:space="preserve"> 2000 إلى أكثر من 5 مليارات دولار أمريكي في</w:t>
      </w:r>
      <w:r w:rsidR="00C75C0D" w:rsidRPr="00C75C0D">
        <w:rPr>
          <w:rFonts w:hint="cs"/>
          <w:sz w:val="22"/>
          <w:rtl/>
          <w:lang w:val="en-GB" w:bidi="ar-EG"/>
        </w:rPr>
        <w:t xml:space="preserve"> </w:t>
      </w:r>
      <w:r w:rsidR="00C75C0D">
        <w:rPr>
          <w:rFonts w:hint="cs"/>
          <w:sz w:val="22"/>
          <w:rtl/>
          <w:lang w:val="en-GB" w:bidi="ar-EG"/>
        </w:rPr>
        <w:t>عام</w:t>
      </w:r>
      <w:r w:rsidR="005A7221">
        <w:rPr>
          <w:rFonts w:hint="cs"/>
          <w:sz w:val="22"/>
          <w:rtl/>
          <w:lang w:val="en-GB" w:bidi="ar-EG"/>
        </w:rPr>
        <w:t xml:space="preserve"> 2010، ولكنها ظلت</w:t>
      </w:r>
      <w:r w:rsidR="008425BB">
        <w:rPr>
          <w:rFonts w:hint="cs"/>
          <w:sz w:val="22"/>
          <w:rtl/>
          <w:lang w:val="en-GB" w:bidi="ar-EG"/>
        </w:rPr>
        <w:t xml:space="preserve"> بالضرورة</w:t>
      </w:r>
      <w:r w:rsidR="005A7221">
        <w:rPr>
          <w:rFonts w:hint="cs"/>
          <w:sz w:val="22"/>
          <w:rtl/>
          <w:lang w:val="en-GB" w:bidi="ar-EG"/>
        </w:rPr>
        <w:t xml:space="preserve"> ثابتة منذ ذلك الحين، مما يشير إلى تأثير عائدات أكثر محدودية للإصلاحات </w:t>
      </w:r>
      <w:r w:rsidR="00E304DD">
        <w:rPr>
          <w:rFonts w:hint="cs"/>
          <w:sz w:val="22"/>
          <w:rtl/>
          <w:lang w:val="en-GB" w:bidi="ar-EG"/>
        </w:rPr>
        <w:t>الحديثة</w:t>
      </w:r>
      <w:r w:rsidR="005A7221">
        <w:rPr>
          <w:rFonts w:hint="cs"/>
          <w:sz w:val="22"/>
          <w:rtl/>
          <w:lang w:val="en-GB" w:bidi="ar-EG"/>
        </w:rPr>
        <w:t xml:space="preserve"> في السياسة العامة </w:t>
      </w:r>
      <w:r w:rsidR="008425BB">
        <w:rPr>
          <w:rFonts w:hint="cs"/>
          <w:sz w:val="22"/>
          <w:rtl/>
          <w:lang w:val="en-GB" w:bidi="ar-EG"/>
        </w:rPr>
        <w:t>الرامية إلى</w:t>
      </w:r>
      <w:r w:rsidR="005A7221">
        <w:rPr>
          <w:rFonts w:hint="cs"/>
          <w:sz w:val="22"/>
          <w:rtl/>
          <w:lang w:val="en-GB" w:bidi="ar-EG"/>
        </w:rPr>
        <w:t xml:space="preserve"> وضع سياسات </w:t>
      </w:r>
      <w:r w:rsidR="008425BB">
        <w:rPr>
          <w:rFonts w:hint="cs"/>
          <w:sz w:val="22"/>
          <w:rtl/>
          <w:lang w:val="en-GB" w:bidi="ar-EG"/>
        </w:rPr>
        <w:t>تلائم أكثر ا</w:t>
      </w:r>
      <w:r w:rsidR="005A7221">
        <w:rPr>
          <w:rFonts w:hint="cs"/>
          <w:sz w:val="22"/>
          <w:rtl/>
          <w:lang w:val="en-GB" w:bidi="ar-EG"/>
        </w:rPr>
        <w:t>لتنوع البيولوجي.</w:t>
      </w:r>
    </w:p>
    <w:p w:rsidR="00764893" w:rsidRPr="00E304DD" w:rsidRDefault="00764893" w:rsidP="005B738A">
      <w:pPr>
        <w:numPr>
          <w:ilvl w:val="0"/>
          <w:numId w:val="28"/>
        </w:numPr>
        <w:spacing w:after="120"/>
        <w:ind w:left="0" w:firstLine="0"/>
        <w:jc w:val="both"/>
        <w:rPr>
          <w:i/>
          <w:iCs/>
          <w:sz w:val="22"/>
          <w:lang w:val="en-GB" w:bidi="ar-EG"/>
        </w:rPr>
      </w:pPr>
      <w:r>
        <w:rPr>
          <w:rFonts w:hint="cs"/>
          <w:sz w:val="22"/>
          <w:rtl/>
          <w:lang w:val="en-GB" w:bidi="ar-EG"/>
        </w:rPr>
        <w:lastRenderedPageBreak/>
        <w:t>ويبقى الدعم الزراعي المصنف على أنه من المحتمل أن يكون أكثر</w:t>
      </w:r>
      <w:r w:rsidR="00412E47">
        <w:rPr>
          <w:rFonts w:hint="cs"/>
          <w:sz w:val="22"/>
          <w:rtl/>
          <w:lang w:val="en-GB" w:bidi="ar-EG"/>
        </w:rPr>
        <w:t xml:space="preserve"> أو الأكثر ضررا على البيئة عند 100 مليار دولار أمريكي تقريبا في بلدان منظمة التعاون والتنمية في الميدان الاقتصادي. ويشير ذلك إلى أنه على الرغم من التقدم المحرز بالفعل، كما هو موضح أعلاه، هناك فرص كبيرة لاتخاذ مزيد من الإجراءات السياساتية بشأن الهدف 3 من أهداف أيشي للتنوع البيولوجي في هذا القطاع في بلدان منظمة التعاون والتنمية في الميدان الاقتصادي. وتوجد أيضا فرص لاتخاذ</w:t>
      </w:r>
      <w:r w:rsidR="00C75C0D">
        <w:rPr>
          <w:rFonts w:hint="cs"/>
          <w:sz w:val="22"/>
          <w:rtl/>
          <w:lang w:val="en-GB" w:bidi="ar-EG"/>
        </w:rPr>
        <w:t xml:space="preserve"> مزيد من</w:t>
      </w:r>
      <w:r w:rsidR="00412E47">
        <w:rPr>
          <w:rFonts w:hint="cs"/>
          <w:sz w:val="22"/>
          <w:rtl/>
          <w:lang w:val="en-GB" w:bidi="ar-EG"/>
        </w:rPr>
        <w:t xml:space="preserve"> </w:t>
      </w:r>
      <w:r w:rsidR="00C75C0D">
        <w:rPr>
          <w:rFonts w:hint="cs"/>
          <w:sz w:val="22"/>
          <w:rtl/>
          <w:lang w:val="en-GB" w:bidi="ar-EG"/>
        </w:rPr>
        <w:t>ال</w:t>
      </w:r>
      <w:r w:rsidR="00412E47">
        <w:rPr>
          <w:rFonts w:hint="cs"/>
          <w:sz w:val="22"/>
          <w:rtl/>
          <w:lang w:val="en-GB" w:bidi="ar-EG"/>
        </w:rPr>
        <w:t>إجراءات على الصعيد العالمي في قطاعات أخرى مثل الطاقة (260 مليار دولار أمريكي من إعانات الاستهلاك</w:t>
      </w:r>
      <w:r w:rsidR="005B738A">
        <w:rPr>
          <w:rFonts w:hint="cs"/>
          <w:sz w:val="22"/>
          <w:rtl/>
          <w:lang w:val="en-GB" w:bidi="ar-EG"/>
        </w:rPr>
        <w:t xml:space="preserve"> السنوية</w:t>
      </w:r>
      <w:r w:rsidR="00412E47">
        <w:rPr>
          <w:rFonts w:hint="cs"/>
          <w:sz w:val="22"/>
          <w:rtl/>
          <w:lang w:val="en-GB" w:bidi="ar-EG"/>
        </w:rPr>
        <w:t xml:space="preserve"> وفقا للوكالة الدولية للطاقة) ومصايد الأسماك (35 مليار دولار أمريكي سنويا، منها 20 مليار دولار أمريكي ضارة وفقا لتقديرات حديثة). وتوجد فرص، ربما في سياق الإصلاحات المالية البيئية، في البلدان النامية في قطاعي الطاقة والمياه، كما أبرزت دراسات حديثة يدعمها برنامج الأمم المتحدة للبيئة وكذلك في إطار مبادرة تمويل التنوع البيولوجي.</w:t>
      </w:r>
    </w:p>
    <w:p w:rsidR="00E304DD" w:rsidRPr="00E304DD" w:rsidRDefault="00E304DD" w:rsidP="005B738A">
      <w:pPr>
        <w:numPr>
          <w:ilvl w:val="0"/>
          <w:numId w:val="28"/>
        </w:numPr>
        <w:spacing w:after="120"/>
        <w:ind w:left="0" w:firstLine="0"/>
        <w:jc w:val="both"/>
        <w:rPr>
          <w:i/>
          <w:iCs/>
          <w:sz w:val="22"/>
          <w:lang w:val="en-GB" w:bidi="ar-EG"/>
        </w:rPr>
      </w:pPr>
      <w:r>
        <w:rPr>
          <w:rFonts w:hint="cs"/>
          <w:sz w:val="22"/>
          <w:rtl/>
          <w:lang w:val="en-GB" w:bidi="ar-EG"/>
        </w:rPr>
        <w:t xml:space="preserve">وفيما يتعلق بالتدابير الحافزة الإيجابية، فإن تأثير عائدها المباشر أكثر غموضا منه في حالة الحوافز الضارة. ففي حالة برامج المدفوعات العامة أو الإعفاءات الضريبية التي توفر حوافز </w:t>
      </w:r>
      <w:r w:rsidR="00C75C0D">
        <w:rPr>
          <w:rFonts w:hint="cs"/>
          <w:sz w:val="22"/>
          <w:rtl/>
          <w:lang w:val="en-GB" w:bidi="ar-EG"/>
        </w:rPr>
        <w:t>نقدية</w:t>
      </w:r>
      <w:r>
        <w:rPr>
          <w:rFonts w:hint="cs"/>
          <w:sz w:val="22"/>
          <w:rtl/>
          <w:lang w:val="en-GB" w:bidi="ar-EG"/>
        </w:rPr>
        <w:t xml:space="preserve"> مباشرة للمنتجين أو المستهلكين، فإن تأثير العائد يكون في الواقع سلبيا: سيتطلب إنشاء هذه البرامج موارد مالية، من خلال مخصصات الميزانية التقليدية أو عن طريق أدوات أكثر ابتكارية. ومع ذلك، سينتج تأثير إيجابي للعائد عندما </w:t>
      </w:r>
      <w:r w:rsidR="00C75C0D">
        <w:rPr>
          <w:rFonts w:hint="cs"/>
          <w:sz w:val="22"/>
          <w:rtl/>
          <w:lang w:val="en-GB" w:bidi="ar-EG"/>
        </w:rPr>
        <w:t>يُمول</w:t>
      </w:r>
      <w:r>
        <w:rPr>
          <w:rFonts w:hint="cs"/>
          <w:sz w:val="22"/>
          <w:rtl/>
          <w:lang w:val="en-GB" w:bidi="ar-EG"/>
        </w:rPr>
        <w:t xml:space="preserve"> التدبير نفسه من كيانات من القطاع الخاص، على سبيل المثال لأنها ترغب في </w:t>
      </w:r>
      <w:r w:rsidR="005B738A">
        <w:rPr>
          <w:rFonts w:hint="cs"/>
          <w:sz w:val="22"/>
          <w:rtl/>
          <w:lang w:val="en-GB" w:bidi="ar-EG"/>
        </w:rPr>
        <w:t>تشجيع المستفيدين على ا</w:t>
      </w:r>
      <w:r>
        <w:rPr>
          <w:rFonts w:hint="cs"/>
          <w:sz w:val="22"/>
          <w:rtl/>
          <w:lang w:val="en-GB" w:bidi="ar-EG"/>
        </w:rPr>
        <w:t>لانتقال إلى "ما وراء الامتثال للوائح".</w:t>
      </w:r>
    </w:p>
    <w:p w:rsidR="00E304DD" w:rsidRPr="00C87924" w:rsidRDefault="00E304DD" w:rsidP="004A1B9D">
      <w:pPr>
        <w:numPr>
          <w:ilvl w:val="0"/>
          <w:numId w:val="28"/>
        </w:numPr>
        <w:spacing w:after="120"/>
        <w:ind w:left="0" w:firstLine="0"/>
        <w:jc w:val="both"/>
        <w:rPr>
          <w:i/>
          <w:iCs/>
          <w:sz w:val="22"/>
          <w:lang w:val="en-GB" w:bidi="ar-EG"/>
        </w:rPr>
      </w:pPr>
      <w:r>
        <w:rPr>
          <w:rFonts w:hint="cs"/>
          <w:sz w:val="22"/>
          <w:rtl/>
          <w:lang w:val="en-GB" w:bidi="ar-EG"/>
        </w:rPr>
        <w:t xml:space="preserve">وفي هذا السياق، حللت دراسة حديثة أجراها </w:t>
      </w:r>
      <w:r w:rsidRPr="001C4E19">
        <w:rPr>
          <w:rFonts w:hint="cs"/>
          <w:sz w:val="22"/>
          <w:rtl/>
          <w:lang w:val="en-GB" w:bidi="ar-EG"/>
        </w:rPr>
        <w:t>المعهد ا</w:t>
      </w:r>
      <w:bookmarkStart w:id="0" w:name="_GoBack"/>
      <w:bookmarkEnd w:id="0"/>
      <w:r w:rsidRPr="001C4E19">
        <w:rPr>
          <w:rFonts w:hint="cs"/>
          <w:sz w:val="22"/>
          <w:rtl/>
          <w:lang w:val="en-GB" w:bidi="ar-EG"/>
        </w:rPr>
        <w:t>لدولي للتنمي</w:t>
      </w:r>
      <w:r w:rsidRPr="001C4E19">
        <w:rPr>
          <w:rFonts w:hint="cs"/>
          <w:sz w:val="22"/>
          <w:rtl/>
          <w:lang w:val="en-GB" w:bidi="ar-EG"/>
        </w:rPr>
        <w:t>ة</w:t>
      </w:r>
      <w:r w:rsidRPr="001C4E19">
        <w:rPr>
          <w:rFonts w:hint="cs"/>
          <w:sz w:val="22"/>
          <w:rtl/>
          <w:lang w:val="en-GB" w:bidi="ar-EG"/>
        </w:rPr>
        <w:t xml:space="preserve"> المستدامة</w:t>
      </w:r>
      <w:r>
        <w:rPr>
          <w:rFonts w:hint="cs"/>
          <w:sz w:val="22"/>
          <w:rtl/>
          <w:lang w:val="en-GB" w:bidi="ar-EG"/>
        </w:rPr>
        <w:t xml:space="preserve"> مجموعة واسعة من معايير</w:t>
      </w:r>
      <w:r w:rsidR="00730170">
        <w:rPr>
          <w:rFonts w:hint="cs"/>
          <w:sz w:val="22"/>
          <w:rtl/>
          <w:lang w:val="en-GB" w:bidi="ar-EG"/>
        </w:rPr>
        <w:t xml:space="preserve"> الاستدامة الطوعية وما يتصل بها من نظم إصدار الشهادات (أو "وضع العلامات الإيكولوجية") لمختلف السلع الأساسية. ويشير التقرير إلى أن أسواق المنتجات المعتمدة قد شهدت نموا سريعا خلال العقد الماضي ولكنها لا تزال لا تشكل سوى جزء ص</w:t>
      </w:r>
      <w:r w:rsidR="004A1B9D">
        <w:rPr>
          <w:rFonts w:hint="cs"/>
          <w:sz w:val="22"/>
          <w:rtl/>
          <w:lang w:val="en-GB" w:bidi="ar-EG"/>
        </w:rPr>
        <w:t>غير من الإنتاج الزراعي الإجمالي؛</w:t>
      </w:r>
      <w:r w:rsidR="00730170">
        <w:rPr>
          <w:rFonts w:hint="cs"/>
          <w:sz w:val="22"/>
          <w:rtl/>
          <w:lang w:val="en-GB" w:bidi="ar-EG"/>
        </w:rPr>
        <w:t xml:space="preserve"> ويحدد عددا من الخيارات الملموسة التي يمكن لواضعي السياسات </w:t>
      </w:r>
      <w:r w:rsidR="007A5795">
        <w:rPr>
          <w:rFonts w:hint="cs"/>
          <w:sz w:val="22"/>
          <w:rtl/>
          <w:lang w:val="en-GB" w:bidi="ar-EG"/>
        </w:rPr>
        <w:t>اتخاذها</w:t>
      </w:r>
      <w:r w:rsidR="00730170">
        <w:rPr>
          <w:rFonts w:hint="cs"/>
          <w:sz w:val="22"/>
          <w:rtl/>
          <w:lang w:val="en-GB" w:bidi="ar-EG"/>
        </w:rPr>
        <w:t xml:space="preserve"> في تعزيز </w:t>
      </w:r>
      <w:r w:rsidR="007A5795">
        <w:rPr>
          <w:rFonts w:hint="cs"/>
          <w:sz w:val="22"/>
          <w:rtl/>
          <w:lang w:val="en-GB" w:bidi="ar-EG"/>
        </w:rPr>
        <w:t>تنفيذ أكثر استراتيجية وفعالية</w:t>
      </w:r>
      <w:r w:rsidR="00730170">
        <w:rPr>
          <w:rFonts w:hint="cs"/>
          <w:sz w:val="22"/>
          <w:rtl/>
          <w:lang w:val="en-GB" w:bidi="ar-EG"/>
        </w:rPr>
        <w:t xml:space="preserve"> للمعايير الطوعية من أجل حفظ التنوع البيولوجي.</w:t>
      </w:r>
    </w:p>
    <w:p w:rsidR="00C87924" w:rsidRPr="004859D7" w:rsidRDefault="00C87924" w:rsidP="007A5795">
      <w:pPr>
        <w:numPr>
          <w:ilvl w:val="0"/>
          <w:numId w:val="28"/>
        </w:numPr>
        <w:spacing w:after="120"/>
        <w:ind w:left="0" w:firstLine="0"/>
        <w:jc w:val="both"/>
        <w:rPr>
          <w:i/>
          <w:iCs/>
          <w:sz w:val="22"/>
          <w:lang w:val="en-GB" w:bidi="ar-EG"/>
        </w:rPr>
      </w:pPr>
      <w:r>
        <w:rPr>
          <w:rFonts w:hint="cs"/>
          <w:sz w:val="22"/>
          <w:rtl/>
          <w:lang w:val="en-GB" w:bidi="ar-EG"/>
        </w:rPr>
        <w:t xml:space="preserve">وفي سياق تمويلي، يمكن لتقديم التمويل العام أن يحد، في إطار ما يسمى بترتيبات التمويل المختلط، من مخاطر التمويل الخاص وبالتالي يؤدي إلى تحفيز تقديم التمويل الخاص أو الاستفادة منه. ويحذر تقرير عام 2018 الصادر عن فرقة العمل المشتركة بين الوكالات </w:t>
      </w:r>
      <w:r w:rsidR="007D6F6E">
        <w:rPr>
          <w:rFonts w:hint="cs"/>
          <w:sz w:val="22"/>
          <w:rtl/>
          <w:lang w:val="en-GB" w:bidi="ar-EG"/>
        </w:rPr>
        <w:t>المعنية ب</w:t>
      </w:r>
      <w:r w:rsidR="00514B97">
        <w:rPr>
          <w:rFonts w:hint="cs"/>
          <w:sz w:val="22"/>
          <w:rtl/>
          <w:lang w:val="en-GB" w:bidi="ar-EG"/>
        </w:rPr>
        <w:t>تمويل التنمية</w:t>
      </w:r>
      <w:r>
        <w:rPr>
          <w:rFonts w:hint="cs"/>
          <w:sz w:val="22"/>
          <w:rtl/>
          <w:lang w:val="en-GB" w:bidi="ar-EG"/>
        </w:rPr>
        <w:t xml:space="preserve"> من أن استخدام التمويل الخاص يعتبر أكثر تحديا في المجالات التي تؤدي فيها اعتبارات العدالة وفجوات التمويل الكبيرة على تقليل آفاق الربح. ويشير التقرير إلى أن الاستثمارات في النظم الإيكولوجية ستُمول بشكل كبير من التمويل العام بسبب </w:t>
      </w:r>
      <w:r w:rsidR="009B73B0">
        <w:rPr>
          <w:rFonts w:hint="cs"/>
          <w:sz w:val="22"/>
          <w:rtl/>
          <w:lang w:val="en-GB" w:bidi="ar-EG"/>
        </w:rPr>
        <w:t xml:space="preserve">طبيعة المنفعة العامة لهذا القطاع. وبالرغم من أن المبادرات الخاصة </w:t>
      </w:r>
      <w:r w:rsidR="007A5795">
        <w:rPr>
          <w:rFonts w:hint="cs"/>
          <w:sz w:val="22"/>
          <w:rtl/>
          <w:lang w:val="en-GB" w:bidi="ar-EG"/>
        </w:rPr>
        <w:t>لها دور</w:t>
      </w:r>
      <w:r w:rsidR="009B73B0">
        <w:rPr>
          <w:rFonts w:hint="cs"/>
          <w:sz w:val="22"/>
          <w:rtl/>
          <w:lang w:val="en-GB" w:bidi="ar-EG"/>
        </w:rPr>
        <w:t xml:space="preserve"> بعض الأحيان</w:t>
      </w:r>
      <w:r w:rsidR="004859D7">
        <w:rPr>
          <w:rStyle w:val="FootnoteReference"/>
          <w:sz w:val="22"/>
          <w:rtl/>
          <w:lang w:val="en-GB"/>
        </w:rPr>
        <w:footnoteReference w:id="25"/>
      </w:r>
      <w:r w:rsidR="009B73B0">
        <w:rPr>
          <w:rFonts w:hint="cs"/>
          <w:sz w:val="22"/>
          <w:rtl/>
          <w:lang w:val="en-GB" w:bidi="ar-EG"/>
        </w:rPr>
        <w:t xml:space="preserve"> وأن الاهتمام بحشد التمويل الخاص يتزايد،</w:t>
      </w:r>
      <w:r w:rsidR="004859D7">
        <w:rPr>
          <w:rStyle w:val="FootnoteReference"/>
          <w:sz w:val="22"/>
          <w:rtl/>
          <w:lang w:val="en-GB"/>
        </w:rPr>
        <w:footnoteReference w:id="26"/>
      </w:r>
      <w:r w:rsidR="009B73B0">
        <w:rPr>
          <w:rFonts w:hint="cs"/>
          <w:sz w:val="22"/>
          <w:rtl/>
          <w:lang w:val="en-GB" w:bidi="ar-EG"/>
        </w:rPr>
        <w:t xml:space="preserve"> يتمثل أحد التحديات في إعداد مقترحات كافية للاستثمار تولد تدفقات نقدية جنبا إلى جنب مع تأثير للحفظ قابل للقياس.</w:t>
      </w:r>
      <w:r w:rsidR="004859D7">
        <w:rPr>
          <w:rStyle w:val="FootnoteReference"/>
          <w:sz w:val="22"/>
          <w:rtl/>
          <w:lang w:val="en-GB"/>
        </w:rPr>
        <w:footnoteReference w:id="27"/>
      </w:r>
    </w:p>
    <w:p w:rsidR="004859D7" w:rsidRPr="00152CA2" w:rsidRDefault="005237F8" w:rsidP="005B738A">
      <w:pPr>
        <w:numPr>
          <w:ilvl w:val="0"/>
          <w:numId w:val="28"/>
        </w:numPr>
        <w:spacing w:after="120"/>
        <w:ind w:left="0" w:firstLine="0"/>
        <w:jc w:val="both"/>
        <w:rPr>
          <w:i/>
          <w:iCs/>
          <w:sz w:val="22"/>
          <w:lang w:val="en-GB" w:bidi="ar-EG"/>
        </w:rPr>
      </w:pPr>
      <w:r>
        <w:rPr>
          <w:rFonts w:hint="cs"/>
          <w:sz w:val="22"/>
          <w:rtl/>
          <w:lang w:val="en-GB" w:bidi="ar-EG"/>
        </w:rPr>
        <w:t xml:space="preserve">وأكدت عدة مساهمات على أن تصميم تدابير إيجابية </w:t>
      </w:r>
      <w:r w:rsidR="00DB60DE">
        <w:rPr>
          <w:rFonts w:hint="cs"/>
          <w:sz w:val="22"/>
          <w:rtl/>
          <w:lang w:val="en-GB" w:bidi="ar-EG"/>
        </w:rPr>
        <w:t>تؤدي بذاتها دورا</w:t>
      </w:r>
      <w:r>
        <w:rPr>
          <w:rFonts w:hint="cs"/>
          <w:sz w:val="22"/>
          <w:rtl/>
          <w:lang w:val="en-GB" w:bidi="ar-EG"/>
        </w:rPr>
        <w:t xml:space="preserve"> هاما </w:t>
      </w:r>
      <w:r w:rsidR="00DB60DE">
        <w:rPr>
          <w:rFonts w:hint="cs"/>
          <w:sz w:val="22"/>
          <w:rtl/>
          <w:lang w:val="en-GB" w:bidi="ar-EG"/>
        </w:rPr>
        <w:t xml:space="preserve">في فعاليتها من حيث التكلفة. ففي برامج الدفع، على سبيل المثال، يمكن أن تؤدي إجراءات الاختيار المتميزة، بالإضافة إلى المدفوعات المتمايزة، إلى </w:t>
      </w:r>
      <w:r w:rsidR="007A5795">
        <w:rPr>
          <w:rFonts w:hint="cs"/>
          <w:sz w:val="22"/>
          <w:rtl/>
          <w:lang w:val="en-GB" w:bidi="ar-EG"/>
        </w:rPr>
        <w:t>تحقيق وفورات كبيرة</w:t>
      </w:r>
      <w:r w:rsidR="00DB60DE">
        <w:rPr>
          <w:rFonts w:hint="cs"/>
          <w:sz w:val="22"/>
          <w:rtl/>
          <w:lang w:val="en-GB" w:bidi="ar-EG"/>
        </w:rPr>
        <w:t xml:space="preserve"> في التكالي</w:t>
      </w:r>
      <w:r w:rsidR="00DB60DE">
        <w:rPr>
          <w:sz w:val="22"/>
          <w:rtl/>
          <w:lang w:val="en-GB" w:bidi="ar-EG"/>
        </w:rPr>
        <w:t>ف</w:t>
      </w:r>
      <w:r w:rsidR="00DB60DE">
        <w:rPr>
          <w:rFonts w:hint="cs"/>
          <w:sz w:val="22"/>
          <w:rtl/>
          <w:lang w:val="en-GB" w:bidi="ar-EG"/>
        </w:rPr>
        <w:t>. ومع ذلك، نظرا لأن هذه النظم تميل إلى أن تكون متطورة، فإنه يتعين مراعاة القيود في</w:t>
      </w:r>
      <w:r w:rsidR="004B40BF">
        <w:rPr>
          <w:rFonts w:hint="cs"/>
          <w:sz w:val="22"/>
          <w:rtl/>
          <w:lang w:val="en-GB" w:bidi="ar-EG"/>
        </w:rPr>
        <w:t xml:space="preserve"> القدرة على</w:t>
      </w:r>
      <w:r w:rsidR="00DB60DE">
        <w:rPr>
          <w:rFonts w:hint="cs"/>
          <w:sz w:val="22"/>
          <w:rtl/>
          <w:lang w:val="en-GB" w:bidi="ar-EG"/>
        </w:rPr>
        <w:t xml:space="preserve"> التصميم </w:t>
      </w:r>
      <w:r w:rsidR="004B40BF">
        <w:rPr>
          <w:rFonts w:hint="cs"/>
          <w:sz w:val="22"/>
          <w:rtl/>
          <w:lang w:val="en-GB" w:bidi="ar-EG"/>
        </w:rPr>
        <w:t>و</w:t>
      </w:r>
      <w:r w:rsidR="00DB60DE">
        <w:rPr>
          <w:rFonts w:hint="cs"/>
          <w:sz w:val="22"/>
          <w:rtl/>
          <w:lang w:val="en-GB" w:bidi="ar-EG"/>
        </w:rPr>
        <w:t xml:space="preserve">الرصد من جانب الجهة المنفذة. وقد ترغب الهيئة الفرعية للتنفيذ في </w:t>
      </w:r>
      <w:r w:rsidR="005B738A">
        <w:rPr>
          <w:rFonts w:hint="cs"/>
          <w:sz w:val="22"/>
          <w:rtl/>
          <w:lang w:val="en-GB" w:bidi="ar-EG"/>
        </w:rPr>
        <w:t xml:space="preserve">أن توصي مؤتمر الأطراف بأن يدعو </w:t>
      </w:r>
      <w:r w:rsidR="00DB60DE">
        <w:rPr>
          <w:rFonts w:hint="cs"/>
          <w:sz w:val="22"/>
          <w:rtl/>
          <w:lang w:val="en-GB" w:bidi="ar-EG"/>
        </w:rPr>
        <w:t xml:space="preserve">الأطراف والمنظمات ذات الصلة القادرة على مساعدة الأطراف من البلدان النامية </w:t>
      </w:r>
      <w:r w:rsidR="004B40BF">
        <w:rPr>
          <w:rFonts w:hint="cs"/>
          <w:sz w:val="22"/>
          <w:rtl/>
          <w:lang w:val="en-GB" w:bidi="ar-EG"/>
        </w:rPr>
        <w:t>والأطراف ذات الاقتصادات على تنمية هذه القدرة إلى القيام بذلك.</w:t>
      </w:r>
    </w:p>
    <w:p w:rsidR="00152CA2" w:rsidRPr="004966A2" w:rsidRDefault="00152CA2" w:rsidP="00152CA2">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sidRPr="006F370F">
        <w:rPr>
          <w:rFonts w:ascii="Simplified Arabic" w:hAnsi="Simplified Arabic" w:cs="Simplified Arabic" w:hint="cs"/>
          <w:b w:val="0"/>
          <w:sz w:val="26"/>
          <w:szCs w:val="26"/>
          <w:rtl/>
          <w:lang w:bidi="ar-EG"/>
        </w:rPr>
        <w:lastRenderedPageBreak/>
        <w:t>ثالثا</w:t>
      </w:r>
      <w:r w:rsidRPr="006F370F">
        <w:rPr>
          <w:rFonts w:ascii="Simplified Arabic" w:hAnsi="Simplified Arabic" w:cs="Simplified Arabic"/>
          <w:b w:val="0"/>
          <w:sz w:val="26"/>
          <w:szCs w:val="26"/>
          <w:rtl/>
          <w:lang w:bidi="ar-EG"/>
        </w:rPr>
        <w:t>-</w:t>
      </w:r>
      <w:r w:rsidRPr="006F370F">
        <w:rPr>
          <w:rFonts w:ascii="Simplified Arabic" w:hAnsi="Simplified Arabic" w:cs="Simplified Arabic"/>
          <w:b w:val="0"/>
          <w:sz w:val="26"/>
          <w:szCs w:val="26"/>
          <w:rtl/>
          <w:lang w:bidi="ar-EG"/>
        </w:rPr>
        <w:tab/>
      </w:r>
      <w:r w:rsidRPr="006F370F">
        <w:rPr>
          <w:rFonts w:ascii="Simplified Arabic" w:hAnsi="Simplified Arabic" w:cs="Simplified Arabic" w:hint="cs"/>
          <w:b w:val="0"/>
          <w:sz w:val="26"/>
          <w:szCs w:val="26"/>
          <w:rtl/>
          <w:lang w:bidi="ar-EG"/>
        </w:rPr>
        <w:t>اعتبارات تتعلق بمكوّن حشد الموارد في إطار التنوع البيولوجي لما بعد عام 2020</w:t>
      </w:r>
    </w:p>
    <w:p w:rsidR="00152CA2" w:rsidRPr="00152CA2" w:rsidRDefault="00152CA2" w:rsidP="006F370F">
      <w:pPr>
        <w:numPr>
          <w:ilvl w:val="0"/>
          <w:numId w:val="28"/>
        </w:numPr>
        <w:spacing w:after="120"/>
        <w:ind w:left="0" w:firstLine="0"/>
        <w:jc w:val="both"/>
        <w:rPr>
          <w:i/>
          <w:iCs/>
          <w:sz w:val="22"/>
          <w:lang w:val="en-GB" w:bidi="ar-EG"/>
        </w:rPr>
      </w:pPr>
      <w:r>
        <w:rPr>
          <w:rFonts w:hint="cs"/>
          <w:sz w:val="22"/>
          <w:rtl/>
          <w:lang w:val="en-GB" w:bidi="ar-EG"/>
        </w:rPr>
        <w:t>ستنتهي الخطة الاستراتيجية للتنوع البيولوجي</w:t>
      </w:r>
      <w:r w:rsidR="006F370F">
        <w:rPr>
          <w:rFonts w:hint="cs"/>
          <w:sz w:val="22"/>
          <w:rtl/>
          <w:lang w:val="en-GB" w:bidi="ar-EG"/>
        </w:rPr>
        <w:t xml:space="preserve"> 2011-2020</w:t>
      </w:r>
      <w:r>
        <w:rPr>
          <w:rFonts w:hint="cs"/>
          <w:sz w:val="22"/>
          <w:rtl/>
          <w:lang w:val="en-GB" w:bidi="ar-EG"/>
        </w:rPr>
        <w:t xml:space="preserve"> الحالية وأهداف أيشي</w:t>
      </w:r>
      <w:r w:rsidR="006F370F">
        <w:rPr>
          <w:rFonts w:hint="cs"/>
          <w:sz w:val="22"/>
          <w:rtl/>
          <w:lang w:val="en-GB" w:bidi="ar-EG"/>
        </w:rPr>
        <w:t xml:space="preserve"> العشرون</w:t>
      </w:r>
      <w:r>
        <w:rPr>
          <w:rFonts w:hint="cs"/>
          <w:sz w:val="22"/>
          <w:rtl/>
          <w:lang w:val="en-GB" w:bidi="ar-EG"/>
        </w:rPr>
        <w:t xml:space="preserve"> الواردة فيها في عام 2020 وقد بدأ العمل صوب وضع </w:t>
      </w:r>
      <w:hyperlink r:id="rId16" w:history="1">
        <w:r w:rsidRPr="00143780">
          <w:rPr>
            <w:rStyle w:val="Hyperlink"/>
            <w:rFonts w:hint="cs"/>
            <w:sz w:val="22"/>
            <w:rtl/>
            <w:lang w:val="en-GB" w:bidi="ar-EG"/>
          </w:rPr>
          <w:t>إطار عالمي للتنوع البيولوجي لما بعد عام 2020</w:t>
        </w:r>
      </w:hyperlink>
      <w:r>
        <w:rPr>
          <w:rFonts w:hint="cs"/>
          <w:sz w:val="22"/>
          <w:rtl/>
          <w:lang w:val="en-GB" w:bidi="ar-EG"/>
        </w:rPr>
        <w:t>. وتقدم</w:t>
      </w:r>
      <w:r w:rsidR="006F370F">
        <w:rPr>
          <w:rFonts w:hint="cs"/>
          <w:sz w:val="22"/>
          <w:rtl/>
          <w:lang w:val="en-GB" w:bidi="ar-EG"/>
        </w:rPr>
        <w:t xml:space="preserve"> المذكرة التي أعدها الأمين التنفيذي بشأن التحضير لمتابعة الخطة الاستراتيجية للتنوع البيولوجي 2011-2020</w:t>
      </w:r>
      <w:r>
        <w:rPr>
          <w:rFonts w:hint="cs"/>
          <w:sz w:val="22"/>
          <w:rtl/>
          <w:lang w:val="en-GB" w:bidi="ar-EG"/>
        </w:rPr>
        <w:t xml:space="preserve"> </w:t>
      </w:r>
      <w:r w:rsidR="006F370F">
        <w:rPr>
          <w:rFonts w:hint="cs"/>
          <w:sz w:val="22"/>
          <w:rtl/>
          <w:lang w:val="en-GB" w:bidi="ar-EG"/>
        </w:rPr>
        <w:t>(</w:t>
      </w:r>
      <w:r w:rsidRPr="00B840DD">
        <w:rPr>
          <w:snapToGrid w:val="0"/>
          <w:kern w:val="22"/>
          <w:szCs w:val="22"/>
        </w:rPr>
        <w:t>CBD/SBI/2/17</w:t>
      </w:r>
      <w:r w:rsidR="006F370F">
        <w:rPr>
          <w:rFonts w:hint="cs"/>
          <w:snapToGrid w:val="0"/>
          <w:kern w:val="22"/>
          <w:szCs w:val="22"/>
          <w:rtl/>
        </w:rPr>
        <w:t>)</w:t>
      </w:r>
      <w:r>
        <w:rPr>
          <w:rFonts w:hint="cs"/>
          <w:sz w:val="22"/>
          <w:rtl/>
          <w:lang w:val="en-GB" w:bidi="ar-EG"/>
        </w:rPr>
        <w:t xml:space="preserve"> طرائق مقترحة لعملية من أجل إعداد الإطار العالمي للتنوع البيولوجي لما بعد عام 2020، لتنظر فيه الهيئة الفرعية </w:t>
      </w:r>
      <w:r w:rsidR="009E2B59">
        <w:rPr>
          <w:rFonts w:hint="cs"/>
          <w:sz w:val="22"/>
          <w:rtl/>
          <w:lang w:val="en-GB" w:bidi="ar-EG"/>
        </w:rPr>
        <w:t>لكي</w:t>
      </w:r>
      <w:r>
        <w:rPr>
          <w:rFonts w:hint="cs"/>
          <w:sz w:val="22"/>
          <w:rtl/>
          <w:lang w:val="en-GB" w:bidi="ar-EG"/>
        </w:rPr>
        <w:t xml:space="preserve"> يعتمده مؤتمر الأطراف في اجتماعه الرابع عشر. وتلخص المناقشة أدناه التطورات ذات الصلة في العمل بشأن حشد الموارد في إطار الخطة الاستراتيجية للتنوع البيولوجي 2011-2020، والاعتبارات الخاصة بإطار التنوع البيولوجي لما بعد عام 2020.</w:t>
      </w:r>
    </w:p>
    <w:p w:rsidR="00152CA2" w:rsidRPr="00152CA2" w:rsidRDefault="000C63F3" w:rsidP="006F370F">
      <w:pPr>
        <w:numPr>
          <w:ilvl w:val="0"/>
          <w:numId w:val="28"/>
        </w:numPr>
        <w:spacing w:after="120"/>
        <w:ind w:left="0" w:firstLine="0"/>
        <w:jc w:val="both"/>
        <w:rPr>
          <w:i/>
          <w:iCs/>
          <w:sz w:val="22"/>
          <w:lang w:val="en-GB" w:bidi="ar-EG"/>
        </w:rPr>
      </w:pPr>
      <w:r>
        <w:rPr>
          <w:rFonts w:hint="cs"/>
          <w:sz w:val="22"/>
          <w:rtl/>
          <w:lang w:val="en-GB" w:bidi="ar-EG"/>
        </w:rPr>
        <w:t>وتتضمن الخطة الاستراتيجية الحالية إطارا لحشد الموار</w:t>
      </w:r>
      <w:r w:rsidR="009E2B59">
        <w:rPr>
          <w:rFonts w:hint="cs"/>
          <w:sz w:val="22"/>
          <w:rtl/>
          <w:lang w:val="en-GB" w:bidi="ar-EG"/>
        </w:rPr>
        <w:t>د المالية من أجل تنفيذها الفعال</w:t>
      </w:r>
      <w:r>
        <w:rPr>
          <w:rFonts w:hint="cs"/>
          <w:sz w:val="22"/>
          <w:rtl/>
          <w:lang w:val="en-GB" w:bidi="ar-EG"/>
        </w:rPr>
        <w:t>. ويتضمن هذا الإطار، الذي تحكمه عموما المادة 20 من الاتفاقية،</w:t>
      </w:r>
      <w:r w:rsidR="00973984">
        <w:rPr>
          <w:rFonts w:hint="cs"/>
          <w:sz w:val="22"/>
          <w:rtl/>
          <w:lang w:val="en-GB" w:bidi="ar-EG"/>
        </w:rPr>
        <w:t xml:space="preserve"> الهدف 20 من أهداف أيشي للتنوع البيولوجي</w:t>
      </w:r>
      <w:r w:rsidR="009E2B59">
        <w:rPr>
          <w:rFonts w:hint="cs"/>
          <w:sz w:val="22"/>
          <w:rtl/>
          <w:lang w:val="en-GB" w:bidi="ar-EG"/>
        </w:rPr>
        <w:t>، والأهداف المتعلقة</w:t>
      </w:r>
      <w:r w:rsidR="00973984">
        <w:rPr>
          <w:rFonts w:hint="cs"/>
          <w:sz w:val="22"/>
          <w:rtl/>
          <w:lang w:val="en-GB" w:bidi="ar-EG"/>
        </w:rPr>
        <w:t xml:space="preserve"> </w:t>
      </w:r>
      <w:r w:rsidR="009E2B59">
        <w:rPr>
          <w:rFonts w:hint="cs"/>
          <w:sz w:val="22"/>
          <w:rtl/>
          <w:lang w:val="en-GB" w:bidi="ar-EG"/>
        </w:rPr>
        <w:t xml:space="preserve">بحشد الموارد </w:t>
      </w:r>
      <w:r w:rsidR="00973984">
        <w:rPr>
          <w:rFonts w:hint="cs"/>
          <w:sz w:val="22"/>
          <w:rtl/>
          <w:lang w:val="en-GB" w:bidi="ar-EG"/>
        </w:rPr>
        <w:t>المعتمد</w:t>
      </w:r>
      <w:r w:rsidR="009E2B59">
        <w:rPr>
          <w:rFonts w:hint="cs"/>
          <w:sz w:val="22"/>
          <w:rtl/>
          <w:lang w:val="en-GB" w:bidi="ar-EG"/>
        </w:rPr>
        <w:t>ة</w:t>
      </w:r>
      <w:r w:rsidR="00973984">
        <w:rPr>
          <w:rFonts w:hint="cs"/>
          <w:sz w:val="22"/>
          <w:rtl/>
          <w:lang w:val="en-GB" w:bidi="ar-EG"/>
        </w:rPr>
        <w:t xml:space="preserve"> في المقرر 12/3، والإبلاغ المالي ذي الصلة، </w:t>
      </w:r>
      <w:r w:rsidR="009E2B59">
        <w:rPr>
          <w:rFonts w:hint="cs"/>
          <w:sz w:val="22"/>
          <w:rtl/>
          <w:lang w:val="en-GB" w:bidi="ar-EG"/>
        </w:rPr>
        <w:t xml:space="preserve">وذلك </w:t>
      </w:r>
      <w:r w:rsidR="00973984">
        <w:rPr>
          <w:rFonts w:hint="cs"/>
          <w:sz w:val="22"/>
          <w:rtl/>
          <w:lang w:val="en-GB" w:bidi="ar-EG"/>
        </w:rPr>
        <w:t xml:space="preserve">على النحو الوارد في القسم </w:t>
      </w:r>
      <w:r w:rsidR="006F370F">
        <w:rPr>
          <w:rFonts w:hint="cs"/>
          <w:sz w:val="22"/>
          <w:rtl/>
          <w:lang w:val="en-GB" w:bidi="ar-EG"/>
        </w:rPr>
        <w:t>أولا أعلاه</w:t>
      </w:r>
      <w:r w:rsidR="00973984">
        <w:rPr>
          <w:rFonts w:hint="cs"/>
          <w:sz w:val="22"/>
          <w:rtl/>
          <w:lang w:val="en-GB" w:bidi="ar-EG"/>
        </w:rPr>
        <w:t>. وبالإضافة إلى ذلك، يشير الهدف 20 من أهداف أيشي للتنوع البيولوجي إلى استراتيجية حشد الموارد، التي اعتمدها مؤتمر الأطراف في اجتماعه التاسع في</w:t>
      </w:r>
      <w:r w:rsidR="009E2B59">
        <w:rPr>
          <w:rFonts w:hint="cs"/>
          <w:sz w:val="22"/>
          <w:rtl/>
          <w:lang w:val="en-GB" w:bidi="ar-EG"/>
        </w:rPr>
        <w:t xml:space="preserve"> عام</w:t>
      </w:r>
      <w:r w:rsidR="00973984">
        <w:rPr>
          <w:rFonts w:hint="cs"/>
          <w:sz w:val="22"/>
          <w:rtl/>
          <w:lang w:val="en-GB" w:bidi="ar-EG"/>
        </w:rPr>
        <w:t xml:space="preserve"> 2008، ومدها مؤتمر الأطراف في اجتماعه الثاني عشر في</w:t>
      </w:r>
      <w:r w:rsidR="009E2B59">
        <w:rPr>
          <w:rFonts w:hint="cs"/>
          <w:sz w:val="22"/>
          <w:rtl/>
          <w:lang w:val="en-GB" w:bidi="ar-EG"/>
        </w:rPr>
        <w:t xml:space="preserve"> عام</w:t>
      </w:r>
      <w:r w:rsidR="00973984">
        <w:rPr>
          <w:rFonts w:hint="cs"/>
          <w:sz w:val="22"/>
          <w:rtl/>
          <w:lang w:val="en-GB" w:bidi="ar-EG"/>
        </w:rPr>
        <w:t xml:space="preserve"> 2014 حتى</w:t>
      </w:r>
      <w:r w:rsidR="009E2B59">
        <w:rPr>
          <w:rFonts w:hint="cs"/>
          <w:sz w:val="22"/>
          <w:rtl/>
          <w:lang w:val="en-GB" w:bidi="ar-EG"/>
        </w:rPr>
        <w:t xml:space="preserve"> عام</w:t>
      </w:r>
      <w:r w:rsidR="00973984">
        <w:rPr>
          <w:rFonts w:hint="cs"/>
          <w:sz w:val="22"/>
          <w:rtl/>
          <w:lang w:val="en-GB" w:bidi="ar-EG"/>
        </w:rPr>
        <w:t xml:space="preserve"> 2020؛</w:t>
      </w:r>
      <w:r w:rsidR="00973984">
        <w:rPr>
          <w:rStyle w:val="FootnoteReference"/>
          <w:sz w:val="22"/>
          <w:rtl/>
          <w:lang w:val="en-GB"/>
        </w:rPr>
        <w:footnoteReference w:id="28"/>
      </w:r>
    </w:p>
    <w:p w:rsidR="00152CA2" w:rsidRPr="00973984" w:rsidRDefault="00973984" w:rsidP="00FA3915">
      <w:pPr>
        <w:numPr>
          <w:ilvl w:val="0"/>
          <w:numId w:val="28"/>
        </w:numPr>
        <w:spacing w:after="120"/>
        <w:ind w:left="0" w:firstLine="0"/>
        <w:jc w:val="both"/>
        <w:rPr>
          <w:i/>
          <w:iCs/>
          <w:sz w:val="22"/>
          <w:lang w:val="en-GB" w:bidi="ar-EG"/>
        </w:rPr>
      </w:pPr>
      <w:r>
        <w:rPr>
          <w:rFonts w:hint="cs"/>
          <w:sz w:val="22"/>
          <w:rtl/>
          <w:lang w:val="en-GB" w:bidi="ar-EG"/>
        </w:rPr>
        <w:t xml:space="preserve">وأعد مؤتمر الأطراف أيضا </w:t>
      </w:r>
      <w:r w:rsidR="00FA3915">
        <w:rPr>
          <w:rFonts w:hint="cs"/>
          <w:sz w:val="22"/>
          <w:rtl/>
          <w:lang w:val="en-GB" w:bidi="ar-EG"/>
        </w:rPr>
        <w:t>قدرا كبيرا</w:t>
      </w:r>
      <w:r>
        <w:rPr>
          <w:rFonts w:hint="cs"/>
          <w:sz w:val="22"/>
          <w:rtl/>
          <w:lang w:val="en-GB" w:bidi="ar-EG"/>
        </w:rPr>
        <w:t xml:space="preserve"> من الإرشادات الإضافية </w:t>
      </w:r>
      <w:r w:rsidR="00FA3915">
        <w:rPr>
          <w:rFonts w:hint="cs"/>
          <w:sz w:val="22"/>
          <w:rtl/>
          <w:lang w:val="en-GB" w:bidi="ar-EG"/>
        </w:rPr>
        <w:t>ل</w:t>
      </w:r>
      <w:r>
        <w:rPr>
          <w:rFonts w:hint="cs"/>
          <w:sz w:val="22"/>
          <w:rtl/>
          <w:lang w:val="en-GB" w:bidi="ar-EG"/>
        </w:rPr>
        <w:t>تنفيذ إطار حشد الموارد المذكور أعلاه، بما في ذلك:</w:t>
      </w:r>
    </w:p>
    <w:p w:rsidR="00973984" w:rsidRDefault="00973984" w:rsidP="009E2B59">
      <w:pPr>
        <w:spacing w:after="120"/>
        <w:ind w:firstLine="720"/>
        <w:jc w:val="both"/>
        <w:rPr>
          <w:sz w:val="22"/>
          <w:rtl/>
          <w:lang w:val="en-GB" w:bidi="ar-EG"/>
        </w:rPr>
      </w:pPr>
      <w:r>
        <w:rPr>
          <w:rFonts w:hint="cs"/>
          <w:sz w:val="22"/>
          <w:rtl/>
          <w:lang w:val="en-GB" w:bidi="ar-EG"/>
        </w:rPr>
        <w:t>(أ)</w:t>
      </w:r>
      <w:r>
        <w:rPr>
          <w:rFonts w:hint="cs"/>
          <w:sz w:val="22"/>
          <w:rtl/>
          <w:lang w:val="en-GB" w:bidi="ar-EG"/>
        </w:rPr>
        <w:tab/>
        <w:t xml:space="preserve">مؤشرات حشد الموارد التي اعتمدها مؤتمر الأطراف في اجتماعه </w:t>
      </w:r>
      <w:r w:rsidR="009E2B59">
        <w:rPr>
          <w:rFonts w:hint="cs"/>
          <w:sz w:val="22"/>
          <w:rtl/>
          <w:lang w:val="en-GB" w:bidi="ar-EG"/>
        </w:rPr>
        <w:t>العاشر</w:t>
      </w:r>
      <w:r>
        <w:rPr>
          <w:rFonts w:hint="cs"/>
          <w:sz w:val="22"/>
          <w:rtl/>
          <w:lang w:val="en-GB" w:bidi="ar-EG"/>
        </w:rPr>
        <w:t>، استنادا إلى استراتيجية حشد الموارد؛</w:t>
      </w:r>
      <w:r>
        <w:rPr>
          <w:rStyle w:val="FootnoteReference"/>
          <w:sz w:val="22"/>
          <w:rtl/>
          <w:lang w:val="en-GB"/>
        </w:rPr>
        <w:footnoteReference w:id="29"/>
      </w:r>
    </w:p>
    <w:p w:rsidR="00FA3915" w:rsidRDefault="00FA3915" w:rsidP="009E2B59">
      <w:pPr>
        <w:spacing w:after="120"/>
        <w:ind w:firstLine="720"/>
        <w:jc w:val="both"/>
        <w:rPr>
          <w:sz w:val="22"/>
          <w:rtl/>
          <w:lang w:val="en-GB" w:bidi="ar-EG"/>
        </w:rPr>
      </w:pPr>
      <w:r>
        <w:rPr>
          <w:rFonts w:hint="cs"/>
          <w:sz w:val="22"/>
          <w:rtl/>
          <w:lang w:val="en-GB" w:bidi="ar-EG"/>
        </w:rPr>
        <w:t>(ب)</w:t>
      </w:r>
      <w:r>
        <w:rPr>
          <w:rFonts w:hint="cs"/>
          <w:sz w:val="22"/>
          <w:rtl/>
          <w:lang w:val="en-GB" w:bidi="ar-EG"/>
        </w:rPr>
        <w:tab/>
        <w:t xml:space="preserve">مقترحات لإجراءات ملموسة وفعالة لتنفيذ الأهداف ذات الصلة بحشد الموارد، </w:t>
      </w:r>
      <w:r w:rsidR="009E2B59">
        <w:rPr>
          <w:rFonts w:hint="cs"/>
          <w:sz w:val="22"/>
          <w:rtl/>
          <w:lang w:val="en-GB" w:bidi="ar-EG"/>
        </w:rPr>
        <w:t>ال</w:t>
      </w:r>
      <w:r>
        <w:rPr>
          <w:rFonts w:hint="cs"/>
          <w:sz w:val="22"/>
          <w:rtl/>
          <w:lang w:val="en-GB" w:bidi="ar-EG"/>
        </w:rPr>
        <w:t xml:space="preserve">مرفقة بالمقرر 12/3، تقدم </w:t>
      </w:r>
      <w:r w:rsidR="002725F6">
        <w:rPr>
          <w:rFonts w:hint="cs"/>
          <w:sz w:val="22"/>
          <w:rtl/>
          <w:lang w:val="en-GB" w:bidi="ar-EG"/>
        </w:rPr>
        <w:t xml:space="preserve">تخطيطا للعناصر </w:t>
      </w:r>
      <w:r>
        <w:rPr>
          <w:rFonts w:hint="cs"/>
          <w:sz w:val="22"/>
          <w:rtl/>
          <w:lang w:val="en-GB" w:bidi="ar-EG"/>
        </w:rPr>
        <w:t>الفردية لاستراتيجية حشد الموارد</w:t>
      </w:r>
      <w:r w:rsidR="002725F6">
        <w:rPr>
          <w:rFonts w:hint="cs"/>
          <w:sz w:val="22"/>
          <w:rtl/>
          <w:lang w:val="en-GB" w:bidi="ar-EG"/>
        </w:rPr>
        <w:t xml:space="preserve"> </w:t>
      </w:r>
      <w:r w:rsidR="009E2B59">
        <w:rPr>
          <w:rFonts w:hint="cs"/>
          <w:sz w:val="22"/>
          <w:rtl/>
          <w:lang w:val="en-GB" w:bidi="ar-EG"/>
        </w:rPr>
        <w:t>وتصنيفها إلى</w:t>
      </w:r>
      <w:r w:rsidR="002725F6">
        <w:rPr>
          <w:rFonts w:hint="cs"/>
          <w:sz w:val="22"/>
          <w:rtl/>
          <w:lang w:val="en-GB" w:bidi="ar-EG"/>
        </w:rPr>
        <w:t xml:space="preserve"> أهداف فردية لحشد الموارد وتكمل </w:t>
      </w:r>
      <w:r w:rsidR="009E2B59">
        <w:rPr>
          <w:rFonts w:hint="cs"/>
          <w:sz w:val="22"/>
          <w:rtl/>
          <w:lang w:val="en-GB" w:bidi="ar-EG"/>
        </w:rPr>
        <w:t>الأهداف</w:t>
      </w:r>
      <w:r w:rsidR="002725F6">
        <w:rPr>
          <w:rFonts w:hint="cs"/>
          <w:sz w:val="22"/>
          <w:rtl/>
          <w:lang w:val="en-GB" w:bidi="ar-EG"/>
        </w:rPr>
        <w:t xml:space="preserve"> الواردة في الإجراءات الملموسة والفعالة المقترحة؛</w:t>
      </w:r>
      <w:r w:rsidR="002725F6">
        <w:rPr>
          <w:rStyle w:val="FootnoteReference"/>
          <w:sz w:val="22"/>
          <w:rtl/>
          <w:lang w:val="en-GB"/>
        </w:rPr>
        <w:footnoteReference w:id="30"/>
      </w:r>
      <w:r>
        <w:rPr>
          <w:rFonts w:hint="cs"/>
          <w:sz w:val="22"/>
          <w:rtl/>
          <w:lang w:val="en-GB" w:bidi="ar-EG"/>
        </w:rPr>
        <w:t xml:space="preserve"> </w:t>
      </w:r>
    </w:p>
    <w:p w:rsidR="002725F6" w:rsidRDefault="002725F6" w:rsidP="006F370F">
      <w:pPr>
        <w:spacing w:after="120"/>
        <w:ind w:firstLine="720"/>
        <w:jc w:val="both"/>
        <w:rPr>
          <w:sz w:val="22"/>
          <w:rtl/>
          <w:lang w:val="en-GB" w:bidi="ar-EG"/>
        </w:rPr>
      </w:pPr>
      <w:r>
        <w:rPr>
          <w:rFonts w:hint="cs"/>
          <w:sz w:val="22"/>
          <w:rtl/>
          <w:lang w:val="en-GB" w:bidi="ar-EG"/>
        </w:rPr>
        <w:t>(ج)</w:t>
      </w:r>
      <w:r>
        <w:rPr>
          <w:rFonts w:hint="cs"/>
          <w:sz w:val="22"/>
          <w:rtl/>
          <w:lang w:val="en-GB" w:bidi="ar-EG"/>
        </w:rPr>
        <w:tab/>
      </w:r>
      <w:r w:rsidR="006F370F">
        <w:rPr>
          <w:rFonts w:hint="cs"/>
          <w:sz w:val="22"/>
          <w:rtl/>
          <w:lang w:val="en-GB" w:bidi="ar-EG"/>
        </w:rPr>
        <w:t>وعلى النحو المشار إليه</w:t>
      </w:r>
      <w:r>
        <w:rPr>
          <w:rFonts w:hint="cs"/>
          <w:sz w:val="22"/>
          <w:rtl/>
          <w:lang w:val="en-GB" w:bidi="ar-EG"/>
        </w:rPr>
        <w:t xml:space="preserve"> أعلاه، المعالم الرئيسية للهدف 3 من أهداف أيشي للتنوع البيولوجي؛</w:t>
      </w:r>
      <w:r>
        <w:rPr>
          <w:rStyle w:val="FootnoteReference"/>
          <w:sz w:val="22"/>
          <w:rtl/>
          <w:lang w:val="en-GB"/>
        </w:rPr>
        <w:footnoteReference w:id="31"/>
      </w:r>
    </w:p>
    <w:p w:rsidR="002725F6" w:rsidRDefault="002725F6" w:rsidP="002725F6">
      <w:pPr>
        <w:spacing w:after="120"/>
        <w:ind w:firstLine="720"/>
        <w:jc w:val="both"/>
        <w:rPr>
          <w:sz w:val="22"/>
          <w:rtl/>
          <w:lang w:val="en-GB" w:bidi="ar-EG"/>
        </w:rPr>
      </w:pPr>
      <w:r>
        <w:rPr>
          <w:rFonts w:hint="cs"/>
          <w:sz w:val="22"/>
          <w:rtl/>
          <w:lang w:val="en-GB" w:bidi="ar-EG"/>
        </w:rPr>
        <w:t>(د)</w:t>
      </w:r>
      <w:r>
        <w:rPr>
          <w:rFonts w:hint="cs"/>
          <w:sz w:val="22"/>
          <w:rtl/>
          <w:lang w:val="en-GB" w:bidi="ar-EG"/>
        </w:rPr>
        <w:tab/>
        <w:t>المبادئ التوجيهية الطوعية بشأن الضمانات في آليات تمويل التنوع البيولوجي؛</w:t>
      </w:r>
      <w:r>
        <w:rPr>
          <w:rStyle w:val="FootnoteReference"/>
          <w:sz w:val="22"/>
          <w:rtl/>
          <w:lang w:val="en-GB"/>
        </w:rPr>
        <w:footnoteReference w:id="32"/>
      </w:r>
    </w:p>
    <w:p w:rsidR="002725F6" w:rsidRPr="00973984" w:rsidRDefault="002725F6" w:rsidP="002725F6">
      <w:pPr>
        <w:spacing w:after="120"/>
        <w:ind w:firstLine="720"/>
        <w:jc w:val="both"/>
        <w:rPr>
          <w:i/>
          <w:iCs/>
          <w:sz w:val="22"/>
          <w:lang w:val="en-GB" w:bidi="ar-EG"/>
        </w:rPr>
      </w:pPr>
      <w:r>
        <w:rPr>
          <w:rFonts w:hint="cs"/>
          <w:sz w:val="22"/>
          <w:rtl/>
          <w:lang w:val="en-GB" w:bidi="ar-EG"/>
        </w:rPr>
        <w:t>(ه)</w:t>
      </w:r>
      <w:r>
        <w:rPr>
          <w:rFonts w:hint="cs"/>
          <w:sz w:val="22"/>
          <w:rtl/>
          <w:lang w:val="en-GB" w:bidi="ar-EG"/>
        </w:rPr>
        <w:tab/>
        <w:t>المبادئ التوجيهية بشأن تقييم مساهمة العمل الجماعي للشعوب الأصلية والمجتمعات المحلية.</w:t>
      </w:r>
      <w:r>
        <w:rPr>
          <w:rStyle w:val="FootnoteReference"/>
          <w:sz w:val="22"/>
          <w:rtl/>
          <w:lang w:val="en-GB"/>
        </w:rPr>
        <w:footnoteReference w:id="33"/>
      </w:r>
    </w:p>
    <w:p w:rsidR="00973984" w:rsidRPr="00873158" w:rsidRDefault="001B781E" w:rsidP="009E2B59">
      <w:pPr>
        <w:numPr>
          <w:ilvl w:val="0"/>
          <w:numId w:val="28"/>
        </w:numPr>
        <w:spacing w:after="120"/>
        <w:ind w:left="0" w:firstLine="0"/>
        <w:jc w:val="both"/>
        <w:rPr>
          <w:i/>
          <w:iCs/>
          <w:sz w:val="22"/>
          <w:lang w:val="en-GB" w:bidi="ar-EG"/>
        </w:rPr>
      </w:pPr>
      <w:r>
        <w:rPr>
          <w:rFonts w:hint="cs"/>
          <w:sz w:val="22"/>
          <w:rtl/>
          <w:lang w:val="en-GB" w:bidi="ar-EG"/>
        </w:rPr>
        <w:t>وعلاوة على ذلك، قدم تقريران للفريق رفيع المستوى المعني بحشد الموارد</w:t>
      </w:r>
      <w:r>
        <w:rPr>
          <w:rStyle w:val="FootnoteReference"/>
          <w:sz w:val="22"/>
          <w:rtl/>
          <w:lang w:val="en-GB"/>
        </w:rPr>
        <w:footnoteReference w:id="34"/>
      </w:r>
      <w:r w:rsidR="007E4448">
        <w:rPr>
          <w:rFonts w:hint="cs"/>
          <w:sz w:val="22"/>
          <w:rtl/>
          <w:lang w:val="en-GB" w:bidi="ar-EG"/>
        </w:rPr>
        <w:t xml:space="preserve"> تقييمات </w:t>
      </w:r>
      <w:r>
        <w:rPr>
          <w:rFonts w:hint="cs"/>
          <w:sz w:val="22"/>
          <w:rtl/>
          <w:lang w:val="en-GB" w:bidi="ar-EG"/>
        </w:rPr>
        <w:t xml:space="preserve">لاحتياجات التمويل من أجل تنفيذ الخطة الاستراتيجية للتنوع البيولوجي، تم إعدادهما عملا </w:t>
      </w:r>
      <w:r w:rsidR="009E2B59">
        <w:rPr>
          <w:rFonts w:hint="cs"/>
          <w:sz w:val="22"/>
          <w:rtl/>
          <w:lang w:val="en-GB" w:bidi="ar-EG"/>
        </w:rPr>
        <w:t>بالنص ذي الصلة</w:t>
      </w:r>
      <w:r>
        <w:rPr>
          <w:rFonts w:hint="cs"/>
          <w:sz w:val="22"/>
          <w:rtl/>
          <w:lang w:val="en-GB" w:bidi="ar-EG"/>
        </w:rPr>
        <w:t xml:space="preserve"> </w:t>
      </w:r>
      <w:r w:rsidR="009E2B59">
        <w:rPr>
          <w:rFonts w:hint="cs"/>
          <w:sz w:val="22"/>
          <w:rtl/>
          <w:lang w:val="en-GB" w:bidi="ar-EG"/>
        </w:rPr>
        <w:t>ل</w:t>
      </w:r>
      <w:r>
        <w:rPr>
          <w:rFonts w:hint="cs"/>
          <w:sz w:val="22"/>
          <w:rtl/>
          <w:lang w:val="en-GB" w:bidi="ar-EG"/>
        </w:rPr>
        <w:t>لهدف 20 من أهداف أيشي، لكي ينظر فيهما مؤتمر الأطراف في اجتماعه الثاني عشر والثالث عشر.</w:t>
      </w:r>
      <w:r>
        <w:rPr>
          <w:rStyle w:val="FootnoteReference"/>
          <w:sz w:val="22"/>
          <w:rtl/>
          <w:lang w:val="en-GB"/>
        </w:rPr>
        <w:footnoteReference w:id="35"/>
      </w:r>
      <w:r w:rsidR="00873158">
        <w:rPr>
          <w:rFonts w:hint="cs"/>
          <w:sz w:val="22"/>
          <w:rtl/>
          <w:lang w:val="en-GB" w:bidi="ar-EG"/>
        </w:rPr>
        <w:t xml:space="preserve"> وعُقدت حلقات عمل عديدة للحوار بشأن </w:t>
      </w:r>
      <w:r w:rsidR="009E2B59">
        <w:rPr>
          <w:rFonts w:hint="cs"/>
          <w:sz w:val="22"/>
          <w:rtl/>
          <w:lang w:val="en-GB" w:bidi="ar-EG"/>
        </w:rPr>
        <w:t>توسيع نطاق</w:t>
      </w:r>
      <w:r w:rsidR="00873158">
        <w:rPr>
          <w:rFonts w:hint="cs"/>
          <w:sz w:val="22"/>
          <w:rtl/>
          <w:lang w:val="en-GB" w:bidi="ar-EG"/>
        </w:rPr>
        <w:t xml:space="preserve"> تمويل التنوع البيولوجي (في عامي 2012 و2014)، وبشأن العمل الجماعي (في</w:t>
      </w:r>
      <w:r w:rsidR="009E2B59">
        <w:rPr>
          <w:rFonts w:hint="cs"/>
          <w:sz w:val="22"/>
          <w:rtl/>
          <w:lang w:val="en-GB" w:bidi="ar-EG"/>
        </w:rPr>
        <w:t xml:space="preserve"> عام</w:t>
      </w:r>
      <w:r w:rsidR="00873158">
        <w:rPr>
          <w:rFonts w:hint="cs"/>
          <w:sz w:val="22"/>
          <w:rtl/>
          <w:lang w:val="en-GB" w:bidi="ar-EG"/>
        </w:rPr>
        <w:t xml:space="preserve"> 2015).</w:t>
      </w:r>
      <w:r w:rsidR="00873158">
        <w:rPr>
          <w:rStyle w:val="FootnoteReference"/>
          <w:sz w:val="22"/>
          <w:rtl/>
          <w:lang w:val="en-GB"/>
        </w:rPr>
        <w:footnoteReference w:id="36"/>
      </w:r>
    </w:p>
    <w:p w:rsidR="00873158" w:rsidRPr="001C2272" w:rsidRDefault="00873158" w:rsidP="006F370F">
      <w:pPr>
        <w:numPr>
          <w:ilvl w:val="0"/>
          <w:numId w:val="28"/>
        </w:numPr>
        <w:spacing w:after="120"/>
        <w:ind w:left="0" w:firstLine="0"/>
        <w:jc w:val="both"/>
        <w:rPr>
          <w:i/>
          <w:iCs/>
          <w:sz w:val="22"/>
          <w:lang w:val="en-GB" w:bidi="ar-EG"/>
        </w:rPr>
      </w:pPr>
      <w:r w:rsidRPr="007C590A">
        <w:rPr>
          <w:rFonts w:hint="cs"/>
          <w:sz w:val="22"/>
          <w:rtl/>
          <w:lang w:val="en-GB" w:bidi="ar-EG"/>
        </w:rPr>
        <w:lastRenderedPageBreak/>
        <w:t>ومنهجية</w:t>
      </w:r>
      <w:r w:rsidR="006F370F">
        <w:rPr>
          <w:rFonts w:hint="cs"/>
          <w:sz w:val="22"/>
          <w:rtl/>
          <w:lang w:val="en-GB" w:bidi="ar-EG"/>
        </w:rPr>
        <w:t xml:space="preserve"> مبادرة تمويل التنوع البيولوجي</w:t>
      </w:r>
      <w:r>
        <w:rPr>
          <w:rFonts w:hint="cs"/>
          <w:sz w:val="22"/>
          <w:rtl/>
          <w:lang w:val="en-GB" w:bidi="ar-EG"/>
        </w:rPr>
        <w:t xml:space="preserve">، التي وُضعت على عدة جولات منذ عام 2010، تعكس </w:t>
      </w:r>
      <w:r w:rsidR="001C2272">
        <w:rPr>
          <w:rFonts w:hint="cs"/>
          <w:sz w:val="22"/>
          <w:rtl/>
          <w:lang w:val="en-GB" w:bidi="ar-EG"/>
        </w:rPr>
        <w:t>بدقة</w:t>
      </w:r>
      <w:r>
        <w:rPr>
          <w:rFonts w:hint="cs"/>
          <w:sz w:val="22"/>
          <w:rtl/>
          <w:lang w:val="en-GB" w:bidi="ar-EG"/>
        </w:rPr>
        <w:t>، من خلال خطواتها الفردية، عناصر الأهداف الخاصة بحشد الموارد، وتقدم إرشادات لتنفيذها على الصعيد الوطني.</w:t>
      </w:r>
      <w:r>
        <w:rPr>
          <w:rStyle w:val="FootnoteReference"/>
          <w:sz w:val="22"/>
          <w:rtl/>
          <w:lang w:val="en-GB"/>
        </w:rPr>
        <w:footnoteReference w:id="37"/>
      </w:r>
    </w:p>
    <w:p w:rsidR="001C2272" w:rsidRPr="00D5586A" w:rsidRDefault="001C2272" w:rsidP="006F370F">
      <w:pPr>
        <w:numPr>
          <w:ilvl w:val="0"/>
          <w:numId w:val="28"/>
        </w:numPr>
        <w:spacing w:after="120"/>
        <w:ind w:left="0" w:firstLine="0"/>
        <w:jc w:val="both"/>
        <w:rPr>
          <w:i/>
          <w:iCs/>
          <w:sz w:val="22"/>
          <w:lang w:val="en-GB" w:bidi="ar-EG"/>
        </w:rPr>
      </w:pPr>
      <w:r>
        <w:rPr>
          <w:rFonts w:hint="cs"/>
          <w:sz w:val="22"/>
          <w:rtl/>
          <w:lang w:val="en-GB" w:bidi="ar-EG"/>
        </w:rPr>
        <w:t>وقد بدأ العمل على الأهداف بشأن حشد الموارد، كعنصر هام في إطار حشد الموارد المذكور أعلاه، بعد اعتماد الخطة الاستراتيجية للتنوع البيولوجي 2011-2020 في</w:t>
      </w:r>
      <w:r w:rsidR="006F370F">
        <w:rPr>
          <w:rFonts w:hint="cs"/>
          <w:sz w:val="22"/>
          <w:rtl/>
          <w:lang w:val="en-GB" w:bidi="ar-EG"/>
        </w:rPr>
        <w:t xml:space="preserve"> الاجتماع العاشر لمؤتمر الأطراف</w:t>
      </w:r>
      <w:r>
        <w:rPr>
          <w:rFonts w:hint="cs"/>
          <w:sz w:val="22"/>
          <w:rtl/>
          <w:lang w:val="en-GB" w:bidi="ar-EG"/>
        </w:rPr>
        <w:t xml:space="preserve"> في</w:t>
      </w:r>
      <w:r w:rsidR="007C590A">
        <w:rPr>
          <w:rFonts w:hint="cs"/>
          <w:sz w:val="22"/>
          <w:rtl/>
          <w:lang w:val="en-GB" w:bidi="ar-EG"/>
        </w:rPr>
        <w:t xml:space="preserve"> عام</w:t>
      </w:r>
      <w:r>
        <w:rPr>
          <w:rFonts w:hint="cs"/>
          <w:sz w:val="22"/>
          <w:rtl/>
          <w:lang w:val="en-GB" w:bidi="ar-EG"/>
        </w:rPr>
        <w:t xml:space="preserve"> 2010. وتم الاتفاق على أهداف أولية في الاجتماع </w:t>
      </w:r>
      <w:r w:rsidR="007C590A">
        <w:rPr>
          <w:rFonts w:hint="cs"/>
          <w:sz w:val="22"/>
          <w:rtl/>
          <w:lang w:val="en-GB" w:bidi="ar-EG"/>
        </w:rPr>
        <w:t>الحادي عشر</w:t>
      </w:r>
      <w:r>
        <w:rPr>
          <w:rFonts w:hint="cs"/>
          <w:sz w:val="22"/>
          <w:rtl/>
          <w:lang w:val="en-GB" w:bidi="ar-EG"/>
        </w:rPr>
        <w:t xml:space="preserve"> لمؤتمر الأطراف في</w:t>
      </w:r>
      <w:r w:rsidR="007C590A">
        <w:rPr>
          <w:rFonts w:hint="cs"/>
          <w:sz w:val="22"/>
          <w:rtl/>
          <w:lang w:val="en-GB" w:bidi="ar-EG"/>
        </w:rPr>
        <w:t xml:space="preserve"> عام</w:t>
      </w:r>
      <w:r>
        <w:rPr>
          <w:rFonts w:hint="cs"/>
          <w:sz w:val="22"/>
          <w:rtl/>
          <w:lang w:val="en-GB" w:bidi="ar-EG"/>
        </w:rPr>
        <w:t xml:space="preserve"> 2012، وكما ذُكر أعلاه، </w:t>
      </w:r>
      <w:r w:rsidR="006F370F">
        <w:rPr>
          <w:rFonts w:hint="cs"/>
          <w:sz w:val="22"/>
          <w:rtl/>
          <w:lang w:val="en-GB" w:bidi="ar-EG"/>
        </w:rPr>
        <w:t>جرى</w:t>
      </w:r>
      <w:r>
        <w:rPr>
          <w:rFonts w:hint="cs"/>
          <w:sz w:val="22"/>
          <w:rtl/>
          <w:lang w:val="en-GB" w:bidi="ar-EG"/>
        </w:rPr>
        <w:t xml:space="preserve"> اعتماد مجموعة الأهداف في الاجتماع الثاني عشر في</w:t>
      </w:r>
      <w:r w:rsidR="007C590A">
        <w:rPr>
          <w:rFonts w:hint="cs"/>
          <w:sz w:val="22"/>
          <w:rtl/>
          <w:lang w:val="en-GB" w:bidi="ar-EG"/>
        </w:rPr>
        <w:t xml:space="preserve"> عام</w:t>
      </w:r>
      <w:r>
        <w:rPr>
          <w:rFonts w:hint="cs"/>
          <w:sz w:val="22"/>
          <w:rtl/>
          <w:lang w:val="en-GB" w:bidi="ar-EG"/>
        </w:rPr>
        <w:t xml:space="preserve"> </w:t>
      </w:r>
      <w:r w:rsidR="007C590A">
        <w:rPr>
          <w:rFonts w:hint="cs"/>
          <w:sz w:val="22"/>
          <w:rtl/>
          <w:lang w:val="en-GB" w:bidi="ar-EG"/>
        </w:rPr>
        <w:t>2014. وتتطلب الأهداف جهودا كبيرة</w:t>
      </w:r>
      <w:r>
        <w:rPr>
          <w:rFonts w:hint="cs"/>
          <w:sz w:val="22"/>
          <w:rtl/>
          <w:lang w:val="en-GB" w:bidi="ar-EG"/>
        </w:rPr>
        <w:t xml:space="preserve"> للتنفيذ من جانب الأطراف في إطار زمني قصير للغاية، بالنظر إلى أن معظم الأهداف لها جدول زمني في عام 2015. وفي ضوء التحديات في القدرات المؤسسية والتقنية التي تواجهها الأطراف من البلدان النامية والأطراف التي تمر اقتصاداتها بمرحلة انتقالية، فإن تنفيذ هذه الأهداف يتطلب جهودا كبيرة في بناء القدرات وتقديم الدعم التقني. ويمكن استخلاص عدة استنتاجات.</w:t>
      </w:r>
    </w:p>
    <w:p w:rsidR="00D5586A" w:rsidRPr="00FB0FF7" w:rsidRDefault="00D5586A" w:rsidP="00D5586A">
      <w:pPr>
        <w:numPr>
          <w:ilvl w:val="0"/>
          <w:numId w:val="28"/>
        </w:numPr>
        <w:spacing w:after="120"/>
        <w:ind w:left="0" w:firstLine="0"/>
        <w:jc w:val="both"/>
        <w:rPr>
          <w:i/>
          <w:iCs/>
          <w:sz w:val="22"/>
          <w:lang w:val="en-GB" w:bidi="ar-EG"/>
        </w:rPr>
      </w:pPr>
      <w:r>
        <w:rPr>
          <w:rFonts w:hint="cs"/>
          <w:sz w:val="22"/>
          <w:rtl/>
          <w:lang w:val="en-GB" w:bidi="ar-EG"/>
        </w:rPr>
        <w:t xml:space="preserve">أولا، كان من المحتمل للاتفاق على الأهداف واعتمادها في عامي 2012 و2014، والتأخر المتزامن في تنفيذ التدابير الرامية إلى دعم تنفيذها، أن يقلل فعاليتها في دعم تنفيذ الخطة الاستراتيجية ككل، ولاسيما خلال سنواتها الأولى. ويبدو أن التقدم البطيء للأطراف كما ورد من خلال إطار الإبلاغ المالي أن يعزز هذا الأمر. ولذا، قد يكون من المستصوب الشروع في النظر في </w:t>
      </w:r>
      <w:r w:rsidR="007A5795">
        <w:rPr>
          <w:rFonts w:hint="cs"/>
          <w:sz w:val="22"/>
          <w:rtl/>
          <w:lang w:val="en-GB" w:bidi="ar-EG"/>
        </w:rPr>
        <w:t>مكوّن</w:t>
      </w:r>
      <w:r>
        <w:rPr>
          <w:rFonts w:hint="cs"/>
          <w:sz w:val="22"/>
          <w:rtl/>
          <w:lang w:val="en-GB" w:bidi="ar-EG"/>
        </w:rPr>
        <w:t xml:space="preserve"> لحشد الموارد في إطار التنوع البيولوجي لما بعد عام 2020 في مرحلة مبكرة من العملية.</w:t>
      </w:r>
    </w:p>
    <w:p w:rsidR="00FB0FF7" w:rsidRPr="00FB0FF7" w:rsidRDefault="00FB0FF7" w:rsidP="006F370F">
      <w:pPr>
        <w:numPr>
          <w:ilvl w:val="0"/>
          <w:numId w:val="28"/>
        </w:numPr>
        <w:spacing w:after="120"/>
        <w:ind w:left="0" w:firstLine="0"/>
        <w:jc w:val="both"/>
        <w:rPr>
          <w:i/>
          <w:iCs/>
          <w:sz w:val="22"/>
          <w:lang w:val="en-GB" w:bidi="ar-EG"/>
        </w:rPr>
      </w:pPr>
      <w:r>
        <w:rPr>
          <w:rFonts w:hint="cs"/>
          <w:sz w:val="22"/>
          <w:rtl/>
          <w:lang w:val="en-GB" w:bidi="ar-EG"/>
        </w:rPr>
        <w:t xml:space="preserve">ثانيا، بالرغم من أن التقدم </w:t>
      </w:r>
      <w:r w:rsidR="006F370F">
        <w:rPr>
          <w:rFonts w:hint="cs"/>
          <w:sz w:val="22"/>
          <w:rtl/>
          <w:lang w:val="en-GB" w:bidi="ar-EG"/>
        </w:rPr>
        <w:t xml:space="preserve">بوجه عام </w:t>
      </w:r>
      <w:r>
        <w:rPr>
          <w:rFonts w:hint="cs"/>
          <w:sz w:val="22"/>
          <w:rtl/>
          <w:lang w:val="en-GB" w:bidi="ar-EG"/>
        </w:rPr>
        <w:t xml:space="preserve">كان بطيئا جدا مقارنة بمستوى طموح الأهداف، فقد أُحرز تقدم منذ عام 2010، على سبيل المثال فيما يتعلق بتدفقات التمويل الفعلية، مثل الزيادة المبلغ عنها في التدفقات الدولية ذات الصلة بالتنوع البيولوجي؛ وفيما يتعلق بالتقدم المنهجي، مثل النضج المتزايد لمنهجية تمويل التنوع البيولوجي؛ وفيما يتعلق بالنهوض بتنفيذ هذه الأهداف في البلدان النامية والبلدان التي تمر اقتصاداتها بمرحلة انتقالية. ولذا، قد يكون من المستصوب القيام، عند إعداد </w:t>
      </w:r>
      <w:r w:rsidR="007C590A">
        <w:rPr>
          <w:rFonts w:hint="cs"/>
          <w:sz w:val="22"/>
          <w:rtl/>
          <w:lang w:val="en-GB" w:bidi="ar-EG"/>
        </w:rPr>
        <w:t>مكوّن</w:t>
      </w:r>
      <w:r>
        <w:rPr>
          <w:rFonts w:hint="cs"/>
          <w:sz w:val="22"/>
          <w:rtl/>
          <w:lang w:val="en-GB" w:bidi="ar-EG"/>
        </w:rPr>
        <w:t xml:space="preserve"> حشد الموارد في إطار التنوع البيولوجي لما بعد عام 2020، بالاستفادة من التقدم المحرز بالفعل والاعتماد عليه.</w:t>
      </w:r>
    </w:p>
    <w:p w:rsidR="00FB0FF7" w:rsidRPr="00A71E27" w:rsidRDefault="00FB0FF7" w:rsidP="006F370F">
      <w:pPr>
        <w:numPr>
          <w:ilvl w:val="0"/>
          <w:numId w:val="28"/>
        </w:numPr>
        <w:spacing w:after="120"/>
        <w:ind w:left="0" w:firstLine="0"/>
        <w:jc w:val="both"/>
        <w:rPr>
          <w:i/>
          <w:iCs/>
          <w:sz w:val="22"/>
          <w:lang w:val="en-GB" w:bidi="ar-EG"/>
        </w:rPr>
      </w:pPr>
      <w:r>
        <w:rPr>
          <w:rFonts w:hint="cs"/>
          <w:sz w:val="22"/>
          <w:rtl/>
          <w:lang w:val="en-GB" w:bidi="ar-EG"/>
        </w:rPr>
        <w:t>ثالثا،</w:t>
      </w:r>
      <w:r w:rsidR="00AB291E">
        <w:rPr>
          <w:rFonts w:hint="cs"/>
          <w:sz w:val="22"/>
          <w:rtl/>
          <w:lang w:val="en-GB" w:bidi="ar-EG"/>
        </w:rPr>
        <w:t xml:space="preserve"> من شأن النظر في </w:t>
      </w:r>
      <w:r w:rsidR="007A5795">
        <w:rPr>
          <w:rFonts w:hint="cs"/>
          <w:sz w:val="22"/>
          <w:rtl/>
          <w:lang w:val="en-GB" w:bidi="ar-EG"/>
        </w:rPr>
        <w:t>مكوّن</w:t>
      </w:r>
      <w:r w:rsidR="00AB291E">
        <w:rPr>
          <w:rFonts w:hint="cs"/>
          <w:sz w:val="22"/>
          <w:rtl/>
          <w:lang w:val="en-GB" w:bidi="ar-EG"/>
        </w:rPr>
        <w:t xml:space="preserve"> حشد الموارد بالتزامن الوثيق مع وضع الإطار الشامل لما بعد عام 2020 أن يساهم في ضمان أن يكون الطموح العام ل</w:t>
      </w:r>
      <w:r w:rsidR="007A5795">
        <w:rPr>
          <w:rFonts w:hint="cs"/>
          <w:sz w:val="22"/>
          <w:rtl/>
          <w:lang w:val="en-GB" w:bidi="ar-EG"/>
        </w:rPr>
        <w:t>مكوّن</w:t>
      </w:r>
      <w:r w:rsidR="00AB291E">
        <w:rPr>
          <w:rFonts w:hint="cs"/>
          <w:sz w:val="22"/>
          <w:rtl/>
          <w:lang w:val="en-GB" w:bidi="ar-EG"/>
        </w:rPr>
        <w:t xml:space="preserve"> التمويل متناسبا مع طموح الإطار الشامل للتنوع البيولوجي لما بعد عام 2020، بما في ذلك على وجه الخصوص الطموح من أجل تحقيق خطوات حاسمة في العقد القادم نحو التغير التحويلي لنظام التنوع البيولوجي بحلول عام 2050، على النحو المبين في </w:t>
      </w:r>
      <w:r w:rsidR="006F370F">
        <w:rPr>
          <w:rFonts w:hint="cs"/>
          <w:sz w:val="22"/>
          <w:rtl/>
          <w:lang w:val="en-GB" w:bidi="ar-EG"/>
        </w:rPr>
        <w:t>الإضافة</w:t>
      </w:r>
      <w:r w:rsidR="00AB291E">
        <w:rPr>
          <w:rFonts w:hint="cs"/>
          <w:sz w:val="22"/>
          <w:rtl/>
          <w:lang w:val="en-GB" w:bidi="ar-EG"/>
        </w:rPr>
        <w:t xml:space="preserve"> </w:t>
      </w:r>
      <w:r w:rsidR="006F370F">
        <w:rPr>
          <w:rFonts w:hint="cs"/>
          <w:sz w:val="22"/>
          <w:rtl/>
          <w:lang w:val="en-GB" w:bidi="ar-EG"/>
        </w:rPr>
        <w:t>(</w:t>
      </w:r>
      <w:r w:rsidR="00AB291E" w:rsidRPr="00B840DD">
        <w:rPr>
          <w:snapToGrid w:val="0"/>
          <w:kern w:val="22"/>
          <w:szCs w:val="22"/>
        </w:rPr>
        <w:t>CBD/SBI/2/17/Add.1</w:t>
      </w:r>
      <w:r w:rsidR="006F370F">
        <w:rPr>
          <w:rFonts w:hint="cs"/>
          <w:snapToGrid w:val="0"/>
          <w:kern w:val="22"/>
          <w:szCs w:val="22"/>
          <w:rtl/>
        </w:rPr>
        <w:t>)</w:t>
      </w:r>
      <w:r w:rsidR="00AB291E">
        <w:rPr>
          <w:rFonts w:hint="cs"/>
          <w:sz w:val="22"/>
          <w:rtl/>
          <w:lang w:val="en-GB" w:bidi="ar-EG"/>
        </w:rPr>
        <w:t>. ولذ</w:t>
      </w:r>
      <w:r w:rsidR="00415361">
        <w:rPr>
          <w:rFonts w:hint="cs"/>
          <w:sz w:val="22"/>
          <w:rtl/>
          <w:lang w:val="en-GB" w:bidi="ar-EG"/>
        </w:rPr>
        <w:t>ا</w:t>
      </w:r>
      <w:r w:rsidR="00AB291E">
        <w:rPr>
          <w:rFonts w:hint="cs"/>
          <w:sz w:val="22"/>
          <w:rtl/>
          <w:lang w:val="en-GB" w:bidi="ar-EG"/>
        </w:rPr>
        <w:t xml:space="preserve">، قد يكون من المستصوب إعداد </w:t>
      </w:r>
      <w:r w:rsidR="007A5795">
        <w:rPr>
          <w:rFonts w:hint="cs"/>
          <w:sz w:val="22"/>
          <w:rtl/>
          <w:lang w:val="en-GB" w:bidi="ar-EG"/>
        </w:rPr>
        <w:t>مكوّن</w:t>
      </w:r>
      <w:r w:rsidR="00AB291E">
        <w:rPr>
          <w:rFonts w:hint="cs"/>
          <w:sz w:val="22"/>
          <w:rtl/>
          <w:lang w:val="en-GB" w:bidi="ar-EG"/>
        </w:rPr>
        <w:t xml:space="preserve"> حشد الموارد لإطار التنوع البيولوجي لما بعد عام 2020 بطريقة متكاملة مع العملية التحضيرية الشاملة.</w:t>
      </w:r>
    </w:p>
    <w:p w:rsidR="00A71E27" w:rsidRPr="00514B97" w:rsidRDefault="00A71E27" w:rsidP="004A1B9D">
      <w:pPr>
        <w:numPr>
          <w:ilvl w:val="0"/>
          <w:numId w:val="28"/>
        </w:numPr>
        <w:spacing w:after="120"/>
        <w:ind w:left="0" w:firstLine="0"/>
        <w:jc w:val="both"/>
        <w:rPr>
          <w:i/>
          <w:iCs/>
          <w:sz w:val="22"/>
          <w:lang w:val="en-GB" w:bidi="ar-EG"/>
        </w:rPr>
      </w:pPr>
      <w:r>
        <w:rPr>
          <w:rFonts w:hint="cs"/>
          <w:sz w:val="22"/>
          <w:rtl/>
          <w:lang w:val="en-GB" w:bidi="ar-EG"/>
        </w:rPr>
        <w:t xml:space="preserve">رابعا، شهد التفكير المفاهيمي العالمي بشأن </w:t>
      </w:r>
      <w:r w:rsidR="00514B97">
        <w:rPr>
          <w:rFonts w:hint="cs"/>
          <w:sz w:val="22"/>
          <w:rtl/>
          <w:lang w:val="en-GB" w:bidi="ar-EG"/>
        </w:rPr>
        <w:t>تمويل التنمية</w:t>
      </w:r>
      <w:r>
        <w:rPr>
          <w:rFonts w:hint="cs"/>
          <w:sz w:val="22"/>
          <w:rtl/>
          <w:lang w:val="en-GB" w:bidi="ar-EG"/>
        </w:rPr>
        <w:t xml:space="preserve"> تطورا منذ </w:t>
      </w:r>
      <w:r w:rsidR="00A570BC">
        <w:rPr>
          <w:rFonts w:hint="cs"/>
          <w:sz w:val="22"/>
          <w:rtl/>
          <w:lang w:val="en-GB" w:bidi="ar-EG"/>
        </w:rPr>
        <w:t>اعتماد</w:t>
      </w:r>
      <w:r>
        <w:rPr>
          <w:rFonts w:hint="cs"/>
          <w:sz w:val="22"/>
          <w:rtl/>
          <w:lang w:val="en-GB" w:bidi="ar-EG"/>
        </w:rPr>
        <w:t xml:space="preserve"> استراتيجية حشد الموارد في عام 2009. وفي السياق العام لخطة التنمية المستدامة لعام 2030،</w:t>
      </w:r>
      <w:r w:rsidR="00A570BC">
        <w:rPr>
          <w:rStyle w:val="FootnoteReference"/>
          <w:sz w:val="22"/>
          <w:rtl/>
          <w:lang w:val="en-GB"/>
        </w:rPr>
        <w:footnoteReference w:id="38"/>
      </w:r>
      <w:r>
        <w:rPr>
          <w:rFonts w:hint="cs"/>
          <w:sz w:val="22"/>
          <w:rtl/>
          <w:lang w:val="en-GB" w:bidi="ar-EG"/>
        </w:rPr>
        <w:t xml:space="preserve"> ينعكس </w:t>
      </w:r>
      <w:r w:rsidR="004A1B9D">
        <w:rPr>
          <w:rFonts w:hint="cs"/>
          <w:sz w:val="22"/>
          <w:rtl/>
          <w:lang w:val="en-GB" w:bidi="ar-EG"/>
        </w:rPr>
        <w:t>هذا الأمر</w:t>
      </w:r>
      <w:r>
        <w:rPr>
          <w:rFonts w:hint="cs"/>
          <w:sz w:val="22"/>
          <w:rtl/>
          <w:lang w:val="en-GB" w:bidi="ar-EG"/>
        </w:rPr>
        <w:t xml:space="preserve"> بشكل خاص في خطة عمل أديس أبابا</w:t>
      </w:r>
      <w:r w:rsidR="00A570BC">
        <w:rPr>
          <w:rFonts w:hint="cs"/>
          <w:sz w:val="22"/>
          <w:rtl/>
          <w:lang w:val="en-GB" w:bidi="ar-EG"/>
        </w:rPr>
        <w:t>.</w:t>
      </w:r>
      <w:r w:rsidR="00514B97" w:rsidRPr="00514B97">
        <w:rPr>
          <w:rFonts w:hint="cs"/>
          <w:sz w:val="22"/>
          <w:rtl/>
          <w:lang w:val="en-GB" w:bidi="ar-EG"/>
        </w:rPr>
        <w:t xml:space="preserve"> </w:t>
      </w:r>
      <w:r w:rsidR="00514B97">
        <w:rPr>
          <w:rFonts w:hint="cs"/>
          <w:sz w:val="22"/>
          <w:rtl/>
          <w:lang w:val="en-GB" w:bidi="ar-EG"/>
        </w:rPr>
        <w:t>ولذ</w:t>
      </w:r>
      <w:r w:rsidR="00415361">
        <w:rPr>
          <w:rFonts w:hint="cs"/>
          <w:sz w:val="22"/>
          <w:rtl/>
          <w:lang w:val="en-GB" w:bidi="ar-EG"/>
        </w:rPr>
        <w:t>ا</w:t>
      </w:r>
      <w:r w:rsidR="00514B97">
        <w:rPr>
          <w:rFonts w:hint="cs"/>
          <w:sz w:val="22"/>
          <w:rtl/>
          <w:lang w:val="en-GB" w:bidi="ar-EG"/>
        </w:rPr>
        <w:t xml:space="preserve">، قد يكون من المستصوب القيام، عند إعداد </w:t>
      </w:r>
      <w:r w:rsidR="001A26CB">
        <w:rPr>
          <w:rFonts w:hint="cs"/>
          <w:sz w:val="22"/>
          <w:rtl/>
          <w:lang w:val="en-GB" w:bidi="ar-EG"/>
        </w:rPr>
        <w:t>مكوّن</w:t>
      </w:r>
      <w:r w:rsidR="00514B97">
        <w:rPr>
          <w:rFonts w:hint="cs"/>
          <w:sz w:val="22"/>
          <w:rtl/>
          <w:lang w:val="en-GB" w:bidi="ar-EG"/>
        </w:rPr>
        <w:t xml:space="preserve"> حشد الموارد في إطار التنوع البيولوجي لما بعد عام 2020، بمراعاة إطار التمويل العالمي هذا، وكذلك التطورات الدولية الأخرى ذات الصلة.</w:t>
      </w:r>
    </w:p>
    <w:p w:rsidR="00514B97" w:rsidRPr="0008214A" w:rsidRDefault="00514B97" w:rsidP="00514B97">
      <w:pPr>
        <w:numPr>
          <w:ilvl w:val="0"/>
          <w:numId w:val="28"/>
        </w:numPr>
        <w:spacing w:after="120"/>
        <w:ind w:left="0" w:firstLine="0"/>
        <w:jc w:val="both"/>
        <w:rPr>
          <w:i/>
          <w:iCs/>
          <w:sz w:val="22"/>
          <w:lang w:val="en-GB" w:bidi="ar-EG"/>
        </w:rPr>
      </w:pPr>
      <w:r>
        <w:rPr>
          <w:rFonts w:hint="cs"/>
          <w:sz w:val="22"/>
          <w:rtl/>
          <w:lang w:val="en-GB" w:bidi="ar-EG"/>
        </w:rPr>
        <w:t xml:space="preserve">وفيما يتعلق بالعملية التحضيرية، يقدم المرفق بالوثيقة </w:t>
      </w:r>
      <w:r w:rsidRPr="00B840DD">
        <w:rPr>
          <w:snapToGrid w:val="0"/>
          <w:kern w:val="22"/>
          <w:szCs w:val="22"/>
        </w:rPr>
        <w:t>CBD/SBI/2/17</w:t>
      </w:r>
      <w:r>
        <w:rPr>
          <w:rFonts w:hint="cs"/>
          <w:sz w:val="22"/>
          <w:rtl/>
          <w:lang w:val="en-GB" w:bidi="ar-EG"/>
        </w:rPr>
        <w:t xml:space="preserve"> تسلسلا زمنيا إرشاديا للأنشطة الرئيسية المقرر الاضطلاع بها. وفي ضوء الأهمية المستمرة لخطة حشد الموارد، بالإضافة إلى الخبرة المحددة اللازمة، </w:t>
      </w:r>
      <w:r w:rsidR="00361EAC">
        <w:rPr>
          <w:rFonts w:hint="cs"/>
          <w:sz w:val="22"/>
          <w:rtl/>
          <w:lang w:val="en-GB" w:bidi="ar-EG"/>
        </w:rPr>
        <w:t>يبدو أنه من الجدير النظر في إنشاء مسار عمل مخصص في إطار العملية التحضيرية الشاملة، ونشاط ذي صلة، أو أنشطة ذات صلة، تتعلق بحشد الموارد، مع الأخذ في الاعتبار قضايا التكلفة والتنسيق مع العملية الشاملة.</w:t>
      </w:r>
    </w:p>
    <w:p w:rsidR="0008214A" w:rsidRDefault="0008214A" w:rsidP="0008214A">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b w:val="0"/>
          <w:sz w:val="26"/>
          <w:szCs w:val="26"/>
          <w:rtl/>
          <w:lang w:bidi="ar-EG"/>
        </w:rPr>
      </w:pPr>
      <w:r>
        <w:rPr>
          <w:rFonts w:ascii="Simplified Arabic" w:hAnsi="Simplified Arabic" w:cs="Simplified Arabic" w:hint="cs"/>
          <w:b w:val="0"/>
          <w:sz w:val="26"/>
          <w:szCs w:val="26"/>
          <w:rtl/>
          <w:lang w:bidi="ar-EG"/>
        </w:rPr>
        <w:lastRenderedPageBreak/>
        <w:t>رابعا</w:t>
      </w:r>
      <w:r w:rsidRPr="004966A2">
        <w:rPr>
          <w:rFonts w:ascii="Simplified Arabic" w:hAnsi="Simplified Arabic" w:cs="Simplified Arabic"/>
          <w:b w:val="0"/>
          <w:sz w:val="26"/>
          <w:szCs w:val="26"/>
          <w:rtl/>
          <w:lang w:bidi="ar-EG"/>
        </w:rPr>
        <w:t>-</w:t>
      </w:r>
      <w:r w:rsidRPr="004966A2">
        <w:rPr>
          <w:rFonts w:ascii="Simplified Arabic" w:hAnsi="Simplified Arabic" w:cs="Simplified Arabic"/>
          <w:b w:val="0"/>
          <w:sz w:val="26"/>
          <w:szCs w:val="26"/>
          <w:rtl/>
          <w:lang w:bidi="ar-EG"/>
        </w:rPr>
        <w:tab/>
      </w:r>
      <w:r>
        <w:rPr>
          <w:rFonts w:ascii="Simplified Arabic" w:hAnsi="Simplified Arabic" w:cs="Simplified Arabic" w:hint="cs"/>
          <w:b w:val="0"/>
          <w:sz w:val="26"/>
          <w:szCs w:val="26"/>
          <w:rtl/>
          <w:lang w:bidi="ar-EG"/>
        </w:rPr>
        <w:t>استنتاجات وعناصر لمشروع توصية</w:t>
      </w:r>
    </w:p>
    <w:p w:rsidR="0008214A" w:rsidRPr="00202478" w:rsidRDefault="00F77E9E" w:rsidP="0008214A">
      <w:pPr>
        <w:keepNext/>
        <w:jc w:val="center"/>
        <w:rPr>
          <w:b/>
          <w:bCs/>
          <w:lang w:bidi="ar-EG"/>
        </w:rPr>
      </w:pPr>
      <w:r>
        <w:rPr>
          <w:rFonts w:hint="cs"/>
          <w:b/>
          <w:bCs/>
          <w:rtl/>
          <w:lang w:bidi="ar-EG"/>
        </w:rPr>
        <w:t>ألف-</w:t>
      </w:r>
      <w:r>
        <w:rPr>
          <w:rFonts w:hint="cs"/>
          <w:b/>
          <w:bCs/>
          <w:rtl/>
          <w:lang w:bidi="ar-EG"/>
        </w:rPr>
        <w:tab/>
      </w:r>
      <w:r w:rsidR="0008214A">
        <w:rPr>
          <w:rFonts w:hint="cs"/>
          <w:b/>
          <w:bCs/>
          <w:rtl/>
          <w:lang w:bidi="ar-EG"/>
        </w:rPr>
        <w:t>الإبلاغ المالي</w:t>
      </w:r>
    </w:p>
    <w:p w:rsidR="0008214A" w:rsidRPr="0008214A" w:rsidRDefault="004C29B1" w:rsidP="001A26CB">
      <w:pPr>
        <w:numPr>
          <w:ilvl w:val="0"/>
          <w:numId w:val="28"/>
        </w:numPr>
        <w:spacing w:after="120"/>
        <w:ind w:left="0" w:firstLine="0"/>
        <w:jc w:val="both"/>
        <w:rPr>
          <w:i/>
          <w:iCs/>
          <w:sz w:val="22"/>
          <w:lang w:val="en-GB" w:bidi="ar-EG"/>
        </w:rPr>
      </w:pPr>
      <w:r>
        <w:rPr>
          <w:rFonts w:hint="cs"/>
          <w:sz w:val="22"/>
          <w:rtl/>
          <w:lang w:bidi="ar-EG"/>
        </w:rPr>
        <w:t>في ضوء التقدم البطيء الإجمالي في الإبلاغ المالي، قد ترغب الهيئة الفرعية في أن توصي مؤتمر الأطراف بأن يعتمد مقررا يكرر</w:t>
      </w:r>
      <w:r w:rsidR="001A26CB">
        <w:rPr>
          <w:rFonts w:hint="cs"/>
          <w:sz w:val="22"/>
          <w:rtl/>
          <w:lang w:bidi="ar-EG"/>
        </w:rPr>
        <w:t xml:space="preserve"> فيه</w:t>
      </w:r>
      <w:r>
        <w:rPr>
          <w:rFonts w:hint="cs"/>
          <w:sz w:val="22"/>
          <w:rtl/>
          <w:lang w:bidi="ar-EG"/>
        </w:rPr>
        <w:t xml:space="preserve"> دعوته للأطراف </w:t>
      </w:r>
      <w:r w:rsidR="001A26CB">
        <w:rPr>
          <w:rFonts w:hint="cs"/>
          <w:sz w:val="22"/>
          <w:rtl/>
          <w:lang w:bidi="ar-EG"/>
        </w:rPr>
        <w:t>إلى</w:t>
      </w:r>
      <w:r>
        <w:rPr>
          <w:rFonts w:hint="cs"/>
          <w:sz w:val="22"/>
          <w:rtl/>
          <w:lang w:bidi="ar-EG"/>
        </w:rPr>
        <w:t xml:space="preserve"> تحقيق أهداف حشد الموارد والإبلاغ عنها على وجه السرعة. وبالنظر إلى التحديات المستمرة بشأن القدرات في البلدان النامية، قد ترغب الهيئة الفرعية في </w:t>
      </w:r>
      <w:r w:rsidR="00AE15C6">
        <w:rPr>
          <w:rFonts w:hint="cs"/>
          <w:sz w:val="22"/>
          <w:rtl/>
          <w:lang w:bidi="ar-EG"/>
        </w:rPr>
        <w:t>إعداد توصية إذ ترحب</w:t>
      </w:r>
      <w:r>
        <w:rPr>
          <w:rFonts w:hint="cs"/>
          <w:sz w:val="22"/>
          <w:rtl/>
          <w:lang w:bidi="ar-EG"/>
        </w:rPr>
        <w:t xml:space="preserve"> بعمل مبادرة تمويل التنوع البيولوجي والمنظمات والمبادرات الأخرى ذات الصلة</w:t>
      </w:r>
      <w:r w:rsidR="001A26CB">
        <w:rPr>
          <w:rFonts w:hint="cs"/>
          <w:sz w:val="22"/>
          <w:rtl/>
          <w:lang w:bidi="ar-EG"/>
        </w:rPr>
        <w:t>،</w:t>
      </w:r>
      <w:r>
        <w:rPr>
          <w:rFonts w:hint="cs"/>
          <w:sz w:val="22"/>
          <w:rtl/>
          <w:lang w:bidi="ar-EG"/>
        </w:rPr>
        <w:t xml:space="preserve"> </w:t>
      </w:r>
      <w:r w:rsidR="00AE15C6">
        <w:rPr>
          <w:rFonts w:hint="cs"/>
          <w:sz w:val="22"/>
          <w:rtl/>
          <w:lang w:bidi="ar-EG"/>
        </w:rPr>
        <w:t>وإذ تجدد</w:t>
      </w:r>
      <w:r>
        <w:rPr>
          <w:rFonts w:hint="cs"/>
          <w:sz w:val="22"/>
          <w:rtl/>
          <w:lang w:bidi="ar-EG"/>
        </w:rPr>
        <w:t xml:space="preserve"> الدعوة إلى مواصلة هذا العمل وزيادة تكثيفه. وقد ترغب الهيئة الفرعية أيضا في </w:t>
      </w:r>
      <w:r w:rsidR="001A26CB">
        <w:rPr>
          <w:rFonts w:hint="cs"/>
          <w:sz w:val="22"/>
          <w:rtl/>
          <w:lang w:bidi="ar-EG"/>
        </w:rPr>
        <w:t xml:space="preserve">الإشراف على </w:t>
      </w:r>
      <w:r>
        <w:rPr>
          <w:rFonts w:hint="cs"/>
          <w:sz w:val="22"/>
          <w:rtl/>
          <w:lang w:bidi="ar-EG"/>
        </w:rPr>
        <w:t>العمل بين الدورات، الوارد بمزيد من التف</w:t>
      </w:r>
      <w:r w:rsidR="001A26CB">
        <w:rPr>
          <w:rFonts w:hint="cs"/>
          <w:sz w:val="22"/>
          <w:rtl/>
          <w:lang w:bidi="ar-EG"/>
        </w:rPr>
        <w:t>ا</w:t>
      </w:r>
      <w:r>
        <w:rPr>
          <w:rFonts w:hint="cs"/>
          <w:sz w:val="22"/>
          <w:rtl/>
          <w:lang w:bidi="ar-EG"/>
        </w:rPr>
        <w:t>صيل في مشروع التوصية أدناه، بغية تقديم معلومات أكثر تحديثا بشأن الإبلاغ المالي إلى مؤتمر الأطراف، لكي ينظر فيه في اجتماعه الرابع عشر.</w:t>
      </w:r>
    </w:p>
    <w:p w:rsidR="0008214A" w:rsidRPr="0008214A" w:rsidRDefault="0008214A" w:rsidP="0008214A">
      <w:pPr>
        <w:keepNext/>
        <w:jc w:val="center"/>
        <w:rPr>
          <w:b/>
          <w:bCs/>
          <w:lang w:bidi="ar-EG"/>
        </w:rPr>
      </w:pPr>
      <w:r>
        <w:rPr>
          <w:rFonts w:hint="cs"/>
          <w:b/>
          <w:bCs/>
          <w:rtl/>
          <w:lang w:bidi="ar-EG"/>
        </w:rPr>
        <w:t>باء</w:t>
      </w:r>
      <w:r w:rsidR="00F77E9E">
        <w:rPr>
          <w:rFonts w:hint="cs"/>
          <w:b/>
          <w:bCs/>
          <w:rtl/>
          <w:lang w:bidi="ar-EG"/>
        </w:rPr>
        <w:t>-</w:t>
      </w:r>
      <w:r w:rsidR="00F77E9E">
        <w:rPr>
          <w:rFonts w:hint="cs"/>
          <w:b/>
          <w:bCs/>
          <w:rtl/>
          <w:lang w:bidi="ar-EG"/>
        </w:rPr>
        <w:tab/>
      </w:r>
      <w:r>
        <w:rPr>
          <w:rFonts w:hint="cs"/>
          <w:b/>
          <w:bCs/>
          <w:rtl/>
          <w:lang w:bidi="ar-EG"/>
        </w:rPr>
        <w:t>طرائق للتنفيذ الكامل للهدف 3 من أهداف أيشي للتنوع البيولوجي</w:t>
      </w:r>
    </w:p>
    <w:p w:rsidR="0008214A" w:rsidRPr="0008214A" w:rsidRDefault="00AE15C6" w:rsidP="00A570BC">
      <w:pPr>
        <w:numPr>
          <w:ilvl w:val="0"/>
          <w:numId w:val="28"/>
        </w:numPr>
        <w:spacing w:after="120"/>
        <w:ind w:left="0" w:firstLine="0"/>
        <w:jc w:val="both"/>
        <w:rPr>
          <w:i/>
          <w:iCs/>
          <w:sz w:val="22"/>
          <w:lang w:val="en-GB" w:bidi="ar-EG"/>
        </w:rPr>
      </w:pPr>
      <w:r>
        <w:rPr>
          <w:rFonts w:hint="cs"/>
          <w:sz w:val="22"/>
          <w:rtl/>
          <w:lang w:bidi="ar-EG"/>
        </w:rPr>
        <w:t>بالرغم من أنه يجري إحراز بعض التقدم صوب تنفيذ الهدف 3 من أهداف أيشي وتطبيق المعالم الرئيسية المرتبطة به التي اعتمدها مؤتمر الأطراف في اجتماعه الثاني عشر، يشير التحليل إلى أن التقدم</w:t>
      </w:r>
      <w:r w:rsidR="001A26CB">
        <w:rPr>
          <w:rFonts w:hint="cs"/>
          <w:sz w:val="22"/>
          <w:rtl/>
          <w:lang w:bidi="ar-EG"/>
        </w:rPr>
        <w:t xml:space="preserve"> المحرز</w:t>
      </w:r>
      <w:r>
        <w:rPr>
          <w:rFonts w:hint="cs"/>
          <w:sz w:val="22"/>
          <w:rtl/>
          <w:lang w:bidi="ar-EG"/>
        </w:rPr>
        <w:t xml:space="preserve"> غير كاف بوجه عام وأنه يمكن للأطراف والحكومات الأخرى أن تضطلع بإجراءات أكثر بكثير، بدعم من المنظمات والمبادرات الدولية. وفي ضوء الآثار</w:t>
      </w:r>
      <w:r w:rsidR="00A570BC">
        <w:rPr>
          <w:rFonts w:hint="cs"/>
          <w:sz w:val="22"/>
          <w:rtl/>
          <w:lang w:bidi="ar-EG"/>
        </w:rPr>
        <w:t xml:space="preserve"> العامة</w:t>
      </w:r>
      <w:r>
        <w:rPr>
          <w:rFonts w:hint="cs"/>
          <w:sz w:val="22"/>
          <w:rtl/>
          <w:lang w:bidi="ar-EG"/>
        </w:rPr>
        <w:t xml:space="preserve"> الإيجابية </w:t>
      </w:r>
      <w:r w:rsidR="00A570BC">
        <w:rPr>
          <w:rFonts w:hint="cs"/>
          <w:sz w:val="22"/>
          <w:rtl/>
          <w:lang w:bidi="ar-EG"/>
        </w:rPr>
        <w:t>بشكل كبير</w:t>
      </w:r>
      <w:r>
        <w:rPr>
          <w:rFonts w:hint="cs"/>
          <w:sz w:val="22"/>
          <w:rtl/>
          <w:lang w:bidi="ar-EG"/>
        </w:rPr>
        <w:t xml:space="preserve"> لحشد الموارد للتنوع البيولوجي، هناك حاجة ماسة بوجه خاص إلى هذا الإجراء في شكل </w:t>
      </w:r>
      <w:r w:rsidR="001A26CB">
        <w:rPr>
          <w:rFonts w:hint="cs"/>
          <w:sz w:val="22"/>
          <w:rtl/>
          <w:lang w:val="en-GB" w:bidi="ar-EG"/>
        </w:rPr>
        <w:t>إلغاء</w:t>
      </w:r>
      <w:r>
        <w:rPr>
          <w:rFonts w:hint="cs"/>
          <w:sz w:val="22"/>
          <w:rtl/>
          <w:lang w:val="en-GB" w:bidi="ar-EG"/>
        </w:rPr>
        <w:t xml:space="preserve"> الحوافز الضارة بالتنوع البيولوجي، ولاسيما الإعانات، أو إزالتها تدريجيا أو إصلاحها. وبناء على ذلك، قد ترغب الهيئة الفرعية في إعداد توصية إذ تعرب عن قلقها إزاء التنفيذ غير الكافي للهدف 3 من أهداف أيشي للتنوع البيولوجي </w:t>
      </w:r>
      <w:r w:rsidR="001A26CB">
        <w:rPr>
          <w:rFonts w:hint="cs"/>
          <w:sz w:val="22"/>
          <w:rtl/>
          <w:lang w:val="en-GB" w:bidi="ar-EG"/>
        </w:rPr>
        <w:t>والمعالم</w:t>
      </w:r>
      <w:r>
        <w:rPr>
          <w:rFonts w:hint="cs"/>
          <w:sz w:val="22"/>
          <w:rtl/>
          <w:lang w:val="en-GB" w:bidi="ar-EG"/>
        </w:rPr>
        <w:t xml:space="preserve"> الرئيسية، وإذ تشير إلى المعالم الرئيسية </w:t>
      </w:r>
      <w:r w:rsidR="002274E0">
        <w:rPr>
          <w:rFonts w:hint="cs"/>
          <w:sz w:val="22"/>
          <w:rtl/>
          <w:lang w:val="en-GB" w:bidi="ar-EG"/>
        </w:rPr>
        <w:t>و</w:t>
      </w:r>
      <w:r>
        <w:rPr>
          <w:rFonts w:hint="cs"/>
          <w:sz w:val="22"/>
          <w:rtl/>
          <w:lang w:val="en-GB" w:bidi="ar-EG"/>
        </w:rPr>
        <w:t>أهمية تطبيقها، وإذ تحث الأطراف والحكومات الأخرى على اتخاذ مزيد من الإجراءات. وقد ترغب الهيئة الفرعية أيضا في إعداد توصية إذ تدرك العمل الداعم المستمر للمنظمات والمبادرات الدولية ذات الصلة، وإذ تدعوها إلى مواصلة هذا العمل وزيادة تكثيفه، وإذ تطلب من الأمين التنفيذي أن يدعم وييسر هذا العمل.</w:t>
      </w:r>
    </w:p>
    <w:p w:rsidR="005712FC" w:rsidRPr="005712FC" w:rsidRDefault="002274E0" w:rsidP="002274E0">
      <w:pPr>
        <w:numPr>
          <w:ilvl w:val="0"/>
          <w:numId w:val="28"/>
        </w:numPr>
        <w:spacing w:after="120"/>
        <w:ind w:left="0" w:firstLine="0"/>
        <w:jc w:val="both"/>
        <w:rPr>
          <w:i/>
          <w:iCs/>
          <w:sz w:val="22"/>
          <w:lang w:val="en-GB" w:bidi="ar-EG"/>
        </w:rPr>
      </w:pPr>
      <w:r>
        <w:rPr>
          <w:rFonts w:hint="cs"/>
          <w:sz w:val="22"/>
          <w:rtl/>
          <w:lang w:val="en-GB" w:bidi="ar-EG"/>
        </w:rPr>
        <w:t>وي</w:t>
      </w:r>
      <w:r w:rsidR="005712FC">
        <w:rPr>
          <w:rFonts w:hint="cs"/>
          <w:sz w:val="22"/>
          <w:rtl/>
          <w:lang w:val="en-GB" w:bidi="ar-EG"/>
        </w:rPr>
        <w:t xml:space="preserve">عتبر تحضير الدراسات التحليلية الوطنية بشأن الحوافز </w:t>
      </w:r>
      <w:r>
        <w:rPr>
          <w:rFonts w:hint="cs"/>
          <w:sz w:val="22"/>
          <w:rtl/>
          <w:lang w:val="en-GB" w:bidi="ar-EG"/>
        </w:rPr>
        <w:t>أحد المعالم الرئيسية</w:t>
      </w:r>
      <w:r w:rsidR="005712FC">
        <w:rPr>
          <w:rFonts w:hint="cs"/>
          <w:sz w:val="22"/>
          <w:rtl/>
          <w:lang w:val="en-GB" w:bidi="ar-EG"/>
        </w:rPr>
        <w:t xml:space="preserve"> لأن تقييما مثل هذا غالبا ما يكون خطوة حاسمة في تحديد الحوافز المرشحة للإلغاء، الأول الإزالة التدريجية، أو الإصلاح، وفي بناء الفهم الضروري والدعم السياسي. ومع ذلك، لم يقم سوى عدد قليل من البلدان بإجراء هذه التقييمات أو الدراسات على الصعيد الوطني لتحديد الحوافز الضارة والفرص المتاحة لاتخاذ إجراء سياساتي، وتختلف الدراسات القائمة القليلة في النطاق والنُهج المتبعة لتحديد الدعم الضار بيئيا. وقد يكون من المفيد دعوة المنظمات المهتمة، من قبيل منظمة التعاون والتنمية في الميدان الاقتصادي، إلى النظر في (أ) إجراء تجميع تنظيمي؛ (ب) وتحليل الدراسات القائمة بمزيد من التفاصيل؛ (ج) وتحديد وسائل الممارسات الجيدة من أجل تحديد الحوافز الضارة وإعداد استجابات ملائمة بشأن السياسة العامة، فيما يتعلق بالإلغاء أو الإزالة التدريجية أو الإصلاح؛ (د) ووضع معيار أو نموذج كإرشادات طوعية عن </w:t>
      </w:r>
      <w:r>
        <w:rPr>
          <w:rFonts w:hint="cs"/>
          <w:sz w:val="22"/>
          <w:rtl/>
          <w:lang w:val="en-GB" w:bidi="ar-EG"/>
        </w:rPr>
        <w:t>الشكل الذي تبدو عليه</w:t>
      </w:r>
      <w:r w:rsidR="005712FC">
        <w:rPr>
          <w:rFonts w:hint="cs"/>
          <w:sz w:val="22"/>
          <w:rtl/>
          <w:lang w:val="en-GB" w:bidi="ar-EG"/>
        </w:rPr>
        <w:t xml:space="preserve"> دراسة تحليلية مثل هذه وكيفية إجراء التقييمات.</w:t>
      </w:r>
    </w:p>
    <w:p w:rsidR="0008214A" w:rsidRPr="0008214A" w:rsidRDefault="0008214A" w:rsidP="0008214A">
      <w:pPr>
        <w:keepNext/>
        <w:jc w:val="center"/>
        <w:rPr>
          <w:b/>
          <w:bCs/>
          <w:lang w:bidi="ar-EG"/>
        </w:rPr>
      </w:pPr>
      <w:r>
        <w:rPr>
          <w:rFonts w:hint="cs"/>
          <w:b/>
          <w:bCs/>
          <w:rtl/>
          <w:lang w:bidi="ar-EG"/>
        </w:rPr>
        <w:t>جيم</w:t>
      </w:r>
      <w:r w:rsidR="00F77E9E">
        <w:rPr>
          <w:rFonts w:hint="cs"/>
          <w:b/>
          <w:bCs/>
          <w:rtl/>
          <w:lang w:bidi="ar-EG"/>
        </w:rPr>
        <w:t>-</w:t>
      </w:r>
      <w:r w:rsidR="00F77E9E">
        <w:rPr>
          <w:rFonts w:hint="cs"/>
          <w:b/>
          <w:bCs/>
          <w:rtl/>
          <w:lang w:bidi="ar-EG"/>
        </w:rPr>
        <w:tab/>
      </w:r>
      <w:r w:rsidR="007A5795">
        <w:rPr>
          <w:rFonts w:hint="cs"/>
          <w:b/>
          <w:bCs/>
          <w:rtl/>
          <w:lang w:bidi="ar-EG"/>
        </w:rPr>
        <w:t>مكوّن</w:t>
      </w:r>
      <w:r>
        <w:rPr>
          <w:rFonts w:hint="cs"/>
          <w:b/>
          <w:bCs/>
          <w:rtl/>
          <w:lang w:bidi="ar-EG"/>
        </w:rPr>
        <w:t xml:space="preserve"> حشد الموارد أو التمويل في إطار التنوع البيولوجي لما بعد عام 2020</w:t>
      </w:r>
    </w:p>
    <w:p w:rsidR="0008214A" w:rsidRPr="0008214A" w:rsidRDefault="001A7DA3" w:rsidP="00A570BC">
      <w:pPr>
        <w:numPr>
          <w:ilvl w:val="0"/>
          <w:numId w:val="28"/>
        </w:numPr>
        <w:spacing w:after="120"/>
        <w:ind w:left="0" w:firstLine="0"/>
        <w:jc w:val="both"/>
        <w:rPr>
          <w:i/>
          <w:iCs/>
          <w:sz w:val="22"/>
          <w:lang w:val="en-GB" w:bidi="ar-EG"/>
        </w:rPr>
      </w:pPr>
      <w:r>
        <w:rPr>
          <w:rFonts w:hint="cs"/>
          <w:sz w:val="22"/>
          <w:rtl/>
          <w:lang w:bidi="ar-EG"/>
        </w:rPr>
        <w:t xml:space="preserve">أشار التحليل الوارد أعلاه إلى مزايا الشروع في النظر في </w:t>
      </w:r>
      <w:r w:rsidR="001A26CB">
        <w:rPr>
          <w:rFonts w:hint="cs"/>
          <w:sz w:val="22"/>
          <w:rtl/>
          <w:lang w:bidi="ar-EG"/>
        </w:rPr>
        <w:t>المكوّن</w:t>
      </w:r>
      <w:r>
        <w:rPr>
          <w:rFonts w:hint="cs"/>
          <w:sz w:val="22"/>
          <w:rtl/>
          <w:lang w:bidi="ar-EG"/>
        </w:rPr>
        <w:t xml:space="preserve"> المحتمل لحشد الموارد في إطار التنوع البيولوجي لما بعد عام 2020 (أ) في وقت مبكر؛ (ب) وبطريقة تسخّر التقدم المحرز بالفعل وتستند إليه؛ (ج) وبطريقة متكاملة مع إعداد الإطار الشامل لما بعد عام 2020. ولذا، قد ترغب الهيئة الفرعية في النظر في أن توصي بتأسيس تيار عمل مخصص لحشد الموارد في إطار العملية التحضيرية الشاملة، على النحو المقترح في</w:t>
      </w:r>
      <w:r w:rsidR="00A570BC">
        <w:rPr>
          <w:rFonts w:hint="cs"/>
          <w:sz w:val="22"/>
          <w:rtl/>
          <w:lang w:bidi="ar-EG"/>
        </w:rPr>
        <w:t xml:space="preserve"> المذكرة التي أعدها الأمين التنفيذي بشأن التحضير لمتابعة الخطة الاستراتيجية للتنوع البيولوجي 2011-2020</w:t>
      </w:r>
      <w:r>
        <w:rPr>
          <w:rFonts w:hint="cs"/>
          <w:sz w:val="22"/>
          <w:rtl/>
          <w:lang w:bidi="ar-EG"/>
        </w:rPr>
        <w:t xml:space="preserve"> </w:t>
      </w:r>
      <w:r w:rsidR="00A570BC">
        <w:rPr>
          <w:rFonts w:hint="cs"/>
          <w:sz w:val="22"/>
          <w:rtl/>
          <w:lang w:bidi="ar-EG"/>
        </w:rPr>
        <w:t>(</w:t>
      </w:r>
      <w:r>
        <w:rPr>
          <w:snapToGrid w:val="0"/>
          <w:kern w:val="22"/>
          <w:szCs w:val="22"/>
        </w:rPr>
        <w:t>CBD/SBI/2/17</w:t>
      </w:r>
      <w:r w:rsidR="00A570BC">
        <w:rPr>
          <w:rFonts w:hint="cs"/>
          <w:snapToGrid w:val="0"/>
          <w:kern w:val="22"/>
          <w:szCs w:val="22"/>
          <w:rtl/>
        </w:rPr>
        <w:t>)</w:t>
      </w:r>
      <w:r>
        <w:rPr>
          <w:rFonts w:hint="cs"/>
          <w:sz w:val="22"/>
          <w:rtl/>
          <w:lang w:bidi="ar-EG"/>
        </w:rPr>
        <w:t>.</w:t>
      </w:r>
    </w:p>
    <w:p w:rsidR="0008214A" w:rsidRPr="0008214A" w:rsidRDefault="001A7DA3" w:rsidP="00030954">
      <w:pPr>
        <w:numPr>
          <w:ilvl w:val="0"/>
          <w:numId w:val="28"/>
        </w:numPr>
        <w:spacing w:after="120"/>
        <w:ind w:left="0" w:firstLine="0"/>
        <w:jc w:val="both"/>
        <w:rPr>
          <w:i/>
          <w:iCs/>
          <w:sz w:val="22"/>
          <w:lang w:val="en-GB" w:bidi="ar-EG"/>
        </w:rPr>
      </w:pPr>
      <w:r>
        <w:rPr>
          <w:rFonts w:hint="cs"/>
          <w:sz w:val="22"/>
          <w:rtl/>
          <w:lang w:bidi="ar-EG"/>
        </w:rPr>
        <w:t xml:space="preserve">وكخطوة أولى نحو النظر في </w:t>
      </w:r>
      <w:r w:rsidR="007A5795">
        <w:rPr>
          <w:rFonts w:hint="cs"/>
          <w:sz w:val="22"/>
          <w:rtl/>
          <w:lang w:bidi="ar-EG"/>
        </w:rPr>
        <w:t>مكوّن</w:t>
      </w:r>
      <w:r>
        <w:rPr>
          <w:rFonts w:hint="cs"/>
          <w:sz w:val="22"/>
          <w:rtl/>
          <w:lang w:bidi="ar-EG"/>
        </w:rPr>
        <w:t xml:space="preserve"> حشد الموارد، يمكن للهيئة الفرعية أن تنظر في الاستعانة بالعمل فيما بين الدورات، قبل الاجتماع الرابع عشر لمؤتمر الأطراف، والمقترح في</w:t>
      </w:r>
      <w:r w:rsidR="00030954">
        <w:rPr>
          <w:rFonts w:hint="cs"/>
          <w:sz w:val="22"/>
          <w:rtl/>
          <w:lang w:bidi="ar-EG"/>
        </w:rPr>
        <w:t xml:space="preserve"> الوثيقة </w:t>
      </w:r>
      <w:r w:rsidR="00030954">
        <w:rPr>
          <w:snapToGrid w:val="0"/>
          <w:kern w:val="22"/>
          <w:szCs w:val="22"/>
        </w:rPr>
        <w:t>CBD/SBI/2/17</w:t>
      </w:r>
      <w:r w:rsidR="00030954">
        <w:rPr>
          <w:rFonts w:hint="cs"/>
          <w:sz w:val="22"/>
          <w:rtl/>
          <w:lang w:bidi="ar-EG"/>
        </w:rPr>
        <w:t>،</w:t>
      </w:r>
      <w:r>
        <w:rPr>
          <w:rFonts w:hint="cs"/>
          <w:sz w:val="22"/>
          <w:rtl/>
          <w:lang w:bidi="ar-EG"/>
        </w:rPr>
        <w:t xml:space="preserve"> القسم سادسا</w:t>
      </w:r>
      <w:r w:rsidR="00030954">
        <w:rPr>
          <w:rFonts w:hint="cs"/>
          <w:sz w:val="22"/>
          <w:rtl/>
          <w:lang w:bidi="ar-EG"/>
        </w:rPr>
        <w:t>،</w:t>
      </w:r>
      <w:r>
        <w:rPr>
          <w:rFonts w:hint="cs"/>
          <w:sz w:val="22"/>
          <w:rtl/>
          <w:lang w:bidi="ar-EG"/>
        </w:rPr>
        <w:t xml:space="preserve"> وكذلك في الفقرة 3 من مشروع التوصية الوارد في </w:t>
      </w:r>
      <w:r w:rsidR="00030954">
        <w:rPr>
          <w:rFonts w:hint="cs"/>
          <w:sz w:val="22"/>
          <w:rtl/>
          <w:lang w:bidi="ar-EG"/>
        </w:rPr>
        <w:t>القسم دال أدناه</w:t>
      </w:r>
      <w:r>
        <w:rPr>
          <w:rFonts w:hint="cs"/>
          <w:sz w:val="22"/>
          <w:rtl/>
          <w:lang w:bidi="ar-EG"/>
        </w:rPr>
        <w:t>. وعلى وجه التحديد، قد ترغب الهيئة الفرعية في أن تطلب إلى الأطراف وأن تدعو الحكومات الأخرى</w:t>
      </w:r>
      <w:r w:rsidR="002274E0">
        <w:rPr>
          <w:rFonts w:hint="cs"/>
          <w:sz w:val="22"/>
          <w:rtl/>
          <w:lang w:bidi="ar-EG"/>
        </w:rPr>
        <w:t>،</w:t>
      </w:r>
      <w:r>
        <w:rPr>
          <w:rFonts w:hint="cs"/>
          <w:sz w:val="22"/>
          <w:rtl/>
          <w:lang w:bidi="ar-EG"/>
        </w:rPr>
        <w:t xml:space="preserve"> وكذلك المنظمات والمبادرات الدولية ذات الصلة</w:t>
      </w:r>
      <w:r w:rsidR="002274E0">
        <w:rPr>
          <w:rFonts w:hint="cs"/>
          <w:sz w:val="22"/>
          <w:rtl/>
          <w:lang w:bidi="ar-EG"/>
        </w:rPr>
        <w:t>،</w:t>
      </w:r>
      <w:r>
        <w:rPr>
          <w:rFonts w:hint="cs"/>
          <w:sz w:val="22"/>
          <w:rtl/>
          <w:lang w:bidi="ar-EG"/>
        </w:rPr>
        <w:t xml:space="preserve"> </w:t>
      </w:r>
      <w:r w:rsidR="00130843">
        <w:rPr>
          <w:rFonts w:hint="cs"/>
          <w:sz w:val="22"/>
          <w:rtl/>
          <w:lang w:bidi="ar-EG"/>
        </w:rPr>
        <w:t xml:space="preserve">إلى أن تستعرض خبراتها في تنفيذ عناصر إطار حشد الموارد وفي </w:t>
      </w:r>
      <w:r w:rsidR="00D90DF7">
        <w:rPr>
          <w:rFonts w:hint="cs"/>
          <w:sz w:val="22"/>
          <w:rtl/>
          <w:lang w:bidi="ar-EG"/>
        </w:rPr>
        <w:lastRenderedPageBreak/>
        <w:t xml:space="preserve">استخدام </w:t>
      </w:r>
      <w:r w:rsidR="00130843">
        <w:rPr>
          <w:rFonts w:hint="cs"/>
          <w:sz w:val="22"/>
          <w:rtl/>
          <w:lang w:bidi="ar-EG"/>
        </w:rPr>
        <w:t>إرشادات إضافية، وأن تقدم إلى الأمين التنفيذي، استنادا إلى هذا الاستعراض، آراء بشأن النطاق والمحتوى المحتملين ل</w:t>
      </w:r>
      <w:r w:rsidR="007A5795">
        <w:rPr>
          <w:rFonts w:hint="cs"/>
          <w:sz w:val="22"/>
          <w:rtl/>
          <w:lang w:bidi="ar-EG"/>
        </w:rPr>
        <w:t>مكوّن</w:t>
      </w:r>
      <w:r w:rsidR="00130843">
        <w:rPr>
          <w:rFonts w:hint="cs"/>
          <w:sz w:val="22"/>
          <w:rtl/>
          <w:lang w:bidi="ar-EG"/>
        </w:rPr>
        <w:t xml:space="preserve"> حشد الموارد لإطار التنوع البيولوجي لما بعد عام 2020.</w:t>
      </w:r>
      <w:r w:rsidR="00D90DF7">
        <w:rPr>
          <w:rFonts w:hint="cs"/>
          <w:sz w:val="22"/>
          <w:rtl/>
          <w:lang w:bidi="ar-EG"/>
        </w:rPr>
        <w:t xml:space="preserve"> وستكون الآراء المقدمة جزءا من المجموعة والتوليف غير الإلزاميين، </w:t>
      </w:r>
      <w:r w:rsidR="002274E0">
        <w:rPr>
          <w:rFonts w:hint="cs"/>
          <w:sz w:val="22"/>
          <w:rtl/>
          <w:lang w:bidi="ar-EG"/>
        </w:rPr>
        <w:t>المقرر أن</w:t>
      </w:r>
      <w:r w:rsidR="00D90DF7">
        <w:rPr>
          <w:rFonts w:hint="cs"/>
          <w:sz w:val="22"/>
          <w:rtl/>
          <w:lang w:bidi="ar-EG"/>
        </w:rPr>
        <w:t xml:space="preserve"> يعدهما الأمين التنفيذي، ومن المتوقع أن يرد ذكرهما في الفقرة 3 من مشروع التوصية الوارد في الوثيقة </w:t>
      </w:r>
      <w:r w:rsidR="00D90DF7">
        <w:rPr>
          <w:snapToGrid w:val="0"/>
          <w:kern w:val="22"/>
          <w:szCs w:val="22"/>
        </w:rPr>
        <w:t>CBD/SBI/2/17</w:t>
      </w:r>
      <w:r w:rsidR="00D90DF7">
        <w:rPr>
          <w:rFonts w:hint="cs"/>
          <w:sz w:val="22"/>
          <w:rtl/>
          <w:lang w:bidi="ar-EG"/>
        </w:rPr>
        <w:t>.</w:t>
      </w:r>
    </w:p>
    <w:p w:rsidR="0008214A" w:rsidRPr="0008214A" w:rsidRDefault="0008214A" w:rsidP="0008214A">
      <w:pPr>
        <w:keepNext/>
        <w:jc w:val="center"/>
        <w:rPr>
          <w:b/>
          <w:bCs/>
          <w:lang w:bidi="ar-EG"/>
        </w:rPr>
      </w:pPr>
      <w:r>
        <w:rPr>
          <w:rFonts w:hint="cs"/>
          <w:b/>
          <w:bCs/>
          <w:rtl/>
          <w:lang w:bidi="ar-EG"/>
        </w:rPr>
        <w:t>دال</w:t>
      </w:r>
      <w:r w:rsidR="00F77E9E">
        <w:rPr>
          <w:rFonts w:hint="cs"/>
          <w:b/>
          <w:bCs/>
          <w:rtl/>
          <w:lang w:bidi="ar-EG"/>
        </w:rPr>
        <w:t>-</w:t>
      </w:r>
      <w:r w:rsidR="00F77E9E">
        <w:rPr>
          <w:rFonts w:hint="cs"/>
          <w:b/>
          <w:bCs/>
          <w:rtl/>
          <w:lang w:bidi="ar-EG"/>
        </w:rPr>
        <w:tab/>
      </w:r>
      <w:r>
        <w:rPr>
          <w:rFonts w:hint="cs"/>
          <w:b/>
          <w:bCs/>
          <w:rtl/>
          <w:lang w:bidi="ar-EG"/>
        </w:rPr>
        <w:t>عناصر مشروع توصية</w:t>
      </w:r>
    </w:p>
    <w:p w:rsidR="0008214A" w:rsidRPr="00D90DF7" w:rsidRDefault="00D90DF7" w:rsidP="00514B97">
      <w:pPr>
        <w:numPr>
          <w:ilvl w:val="0"/>
          <w:numId w:val="28"/>
        </w:numPr>
        <w:spacing w:after="120"/>
        <w:ind w:left="0" w:firstLine="0"/>
        <w:jc w:val="both"/>
        <w:rPr>
          <w:i/>
          <w:iCs/>
          <w:sz w:val="22"/>
          <w:lang w:val="en-GB" w:bidi="ar-EG"/>
        </w:rPr>
      </w:pPr>
      <w:r>
        <w:rPr>
          <w:rFonts w:hint="cs"/>
          <w:sz w:val="22"/>
          <w:rtl/>
          <w:lang w:val="en-GB" w:bidi="ar-EG"/>
        </w:rPr>
        <w:t>في ضوء الاعتبارات الواردة أعلاه، قد ترغب الهيئة الفرعية للتنفيذ</w:t>
      </w:r>
      <w:r w:rsidR="002274E0">
        <w:rPr>
          <w:rFonts w:hint="cs"/>
          <w:sz w:val="22"/>
          <w:rtl/>
          <w:lang w:val="en-GB" w:bidi="ar-EG"/>
        </w:rPr>
        <w:t xml:space="preserve"> في</w:t>
      </w:r>
      <w:r>
        <w:rPr>
          <w:rFonts w:hint="cs"/>
          <w:sz w:val="22"/>
          <w:rtl/>
          <w:lang w:val="en-GB" w:bidi="ar-EG"/>
        </w:rPr>
        <w:t xml:space="preserve"> أن تنظر في اجتماعها الثاني في إعداد توصية على غرار ما يلي:</w:t>
      </w:r>
    </w:p>
    <w:p w:rsidR="00D90DF7" w:rsidRDefault="00030954" w:rsidP="00030954">
      <w:pPr>
        <w:spacing w:after="120"/>
        <w:ind w:firstLine="720"/>
        <w:jc w:val="both"/>
        <w:rPr>
          <w:i/>
          <w:iCs/>
          <w:sz w:val="22"/>
          <w:rtl/>
          <w:lang w:val="en-GB" w:bidi="ar-EG"/>
        </w:rPr>
      </w:pPr>
      <w:r>
        <w:rPr>
          <w:rFonts w:hint="cs"/>
          <w:i/>
          <w:iCs/>
          <w:sz w:val="22"/>
          <w:rtl/>
          <w:lang w:val="en-GB" w:bidi="ar-EG"/>
        </w:rPr>
        <w:t>إن الهيئة الفرعية للتنفيذ</w:t>
      </w:r>
      <w:r w:rsidR="00D90DF7" w:rsidRPr="00D90DF7">
        <w:rPr>
          <w:rFonts w:hint="cs"/>
          <w:i/>
          <w:iCs/>
          <w:sz w:val="22"/>
          <w:rtl/>
          <w:lang w:val="en-GB" w:bidi="ar-EG"/>
        </w:rPr>
        <w:t>،</w:t>
      </w:r>
    </w:p>
    <w:p w:rsidR="00D90DF7" w:rsidRDefault="00D90DF7" w:rsidP="00D90DF7">
      <w:pPr>
        <w:spacing w:after="120"/>
        <w:ind w:firstLine="720"/>
        <w:jc w:val="both"/>
        <w:rPr>
          <w:sz w:val="22"/>
          <w:rtl/>
          <w:lang w:val="en-GB" w:bidi="ar-EG"/>
        </w:rPr>
      </w:pPr>
      <w:r>
        <w:rPr>
          <w:rFonts w:hint="cs"/>
          <w:i/>
          <w:iCs/>
          <w:sz w:val="22"/>
          <w:rtl/>
          <w:lang w:val="en-GB" w:bidi="ar-EG"/>
        </w:rPr>
        <w:t xml:space="preserve">إذ تشير إلى </w:t>
      </w:r>
      <w:r>
        <w:rPr>
          <w:rFonts w:hint="cs"/>
          <w:sz w:val="22"/>
          <w:rtl/>
          <w:lang w:val="en-GB" w:bidi="ar-EG"/>
        </w:rPr>
        <w:t xml:space="preserve">المقرر </w:t>
      </w:r>
      <w:hyperlink r:id="rId17" w:history="1">
        <w:r w:rsidRPr="00D90DF7">
          <w:rPr>
            <w:rStyle w:val="Hyperlink"/>
            <w:rFonts w:hint="cs"/>
            <w:sz w:val="22"/>
            <w:rtl/>
            <w:lang w:val="en-GB" w:bidi="ar-EG"/>
          </w:rPr>
          <w:t>12/3</w:t>
        </w:r>
      </w:hyperlink>
      <w:r>
        <w:rPr>
          <w:rFonts w:hint="cs"/>
          <w:sz w:val="22"/>
          <w:rtl/>
          <w:lang w:val="en-GB" w:bidi="ar-EG"/>
        </w:rPr>
        <w:t>، وخاصة الأهداف المشار إليها في الفقرات من 1(أ) إلى (ه) و2</w:t>
      </w:r>
      <w:r w:rsidR="00030954">
        <w:rPr>
          <w:rFonts w:hint="cs"/>
          <w:sz w:val="22"/>
          <w:rtl/>
          <w:lang w:val="en-GB" w:bidi="ar-EG"/>
        </w:rPr>
        <w:t xml:space="preserve"> من هذا المقرر</w:t>
      </w:r>
      <w:r>
        <w:rPr>
          <w:rFonts w:hint="cs"/>
          <w:sz w:val="22"/>
          <w:rtl/>
          <w:lang w:val="en-GB" w:bidi="ar-EG"/>
        </w:rPr>
        <w:t>،</w:t>
      </w:r>
    </w:p>
    <w:p w:rsidR="00C51ABE" w:rsidRDefault="00ED5F3E" w:rsidP="00ED5F3E">
      <w:pPr>
        <w:spacing w:after="120"/>
        <w:ind w:firstLine="720"/>
        <w:jc w:val="both"/>
        <w:rPr>
          <w:sz w:val="22"/>
          <w:rtl/>
          <w:lang w:val="en-GB" w:bidi="ar-EG"/>
        </w:rPr>
      </w:pPr>
      <w:r>
        <w:rPr>
          <w:rFonts w:hint="cs"/>
          <w:i/>
          <w:iCs/>
          <w:sz w:val="22"/>
          <w:rtl/>
          <w:lang w:val="en-GB" w:bidi="ar-EG"/>
        </w:rPr>
        <w:t xml:space="preserve">وإذ تشدد على </w:t>
      </w:r>
      <w:r>
        <w:rPr>
          <w:rFonts w:hint="cs"/>
          <w:sz w:val="22"/>
          <w:rtl/>
          <w:lang w:val="en-GB" w:bidi="ar-EG"/>
        </w:rPr>
        <w:t>ضرورة مواصلة بذل الجهود من أجل حشد الموارد واستخدامها لصالح التنوع البيولوجي بطريقة فعالة من جميع المصادر،</w:t>
      </w:r>
    </w:p>
    <w:p w:rsidR="00ED5F3E" w:rsidRDefault="00ED5F3E" w:rsidP="00ED5F3E">
      <w:pPr>
        <w:spacing w:after="120"/>
        <w:ind w:firstLine="720"/>
        <w:jc w:val="both"/>
        <w:rPr>
          <w:sz w:val="22"/>
          <w:rtl/>
          <w:lang w:val="en-GB" w:bidi="ar-EG"/>
        </w:rPr>
      </w:pPr>
      <w:r>
        <w:rPr>
          <w:rFonts w:hint="cs"/>
          <w:i/>
          <w:iCs/>
          <w:sz w:val="22"/>
          <w:rtl/>
          <w:lang w:val="en-GB" w:bidi="ar-EG"/>
        </w:rPr>
        <w:t xml:space="preserve">وإذ تلاحظ </w:t>
      </w:r>
      <w:r>
        <w:rPr>
          <w:rFonts w:hint="cs"/>
          <w:sz w:val="22"/>
          <w:rtl/>
          <w:lang w:val="en-GB" w:bidi="ar-EG"/>
        </w:rPr>
        <w:t>العدد المحدود للأطر المالية الجديدة أو المحدثة المستلمة حتى الآن لكي تنظر فيها الهيئة الفرعية في اجتماعها الثاني،</w:t>
      </w:r>
    </w:p>
    <w:p w:rsidR="00ED5F3E" w:rsidRDefault="00ED5F3E" w:rsidP="00ED5F3E">
      <w:pPr>
        <w:spacing w:after="120"/>
        <w:ind w:firstLine="720"/>
        <w:jc w:val="both"/>
        <w:rPr>
          <w:sz w:val="22"/>
          <w:rtl/>
          <w:lang w:val="en-GB" w:bidi="ar-EG"/>
        </w:rPr>
      </w:pPr>
      <w:r>
        <w:rPr>
          <w:rFonts w:hint="cs"/>
          <w:i/>
          <w:iCs/>
          <w:sz w:val="22"/>
          <w:rtl/>
          <w:lang w:val="en-GB" w:bidi="ar-EG"/>
        </w:rPr>
        <w:t xml:space="preserve">وإذ تدرك </w:t>
      </w:r>
      <w:r>
        <w:rPr>
          <w:rFonts w:hint="cs"/>
          <w:sz w:val="22"/>
          <w:rtl/>
          <w:lang w:val="en-GB" w:bidi="ar-EG"/>
        </w:rPr>
        <w:t>مختلف التحديات الجارية التي تو</w:t>
      </w:r>
      <w:r w:rsidR="002274E0">
        <w:rPr>
          <w:rFonts w:hint="cs"/>
          <w:sz w:val="22"/>
          <w:rtl/>
          <w:lang w:val="en-GB" w:bidi="ar-EG"/>
        </w:rPr>
        <w:t>ا</w:t>
      </w:r>
      <w:r>
        <w:rPr>
          <w:rFonts w:hint="cs"/>
          <w:sz w:val="22"/>
          <w:rtl/>
          <w:lang w:val="en-GB" w:bidi="ar-EG"/>
        </w:rPr>
        <w:t>جهها العديد من الأطراف في عملياتها للإبلاغ المالي، ولاسيما في تحديد احتياجاتها من التمويل، والفجوات والأولويات، وعند إعداد خططها المالية الوطنية والإبلاغ عنها،</w:t>
      </w:r>
    </w:p>
    <w:p w:rsidR="00ED5F3E" w:rsidRDefault="00ED5F3E" w:rsidP="00ED5F3E">
      <w:pPr>
        <w:spacing w:after="120"/>
        <w:ind w:firstLine="720"/>
        <w:jc w:val="both"/>
        <w:rPr>
          <w:sz w:val="22"/>
          <w:rtl/>
          <w:lang w:val="en-GB" w:bidi="ar-EG"/>
        </w:rPr>
      </w:pPr>
      <w:r>
        <w:rPr>
          <w:rFonts w:hint="cs"/>
          <w:i/>
          <w:iCs/>
          <w:sz w:val="22"/>
          <w:rtl/>
          <w:lang w:val="en-GB" w:bidi="ar-EG"/>
        </w:rPr>
        <w:t>وإذ تشير إلى</w:t>
      </w:r>
      <w:r>
        <w:rPr>
          <w:rFonts w:hint="cs"/>
          <w:sz w:val="22"/>
          <w:rtl/>
          <w:lang w:val="en-GB" w:bidi="ar-EG"/>
        </w:rPr>
        <w:t xml:space="preserve"> المادة 20 من الاتفاقية،</w:t>
      </w:r>
    </w:p>
    <w:p w:rsidR="00ED5F3E" w:rsidRDefault="00ED5F3E" w:rsidP="00030954">
      <w:pPr>
        <w:spacing w:after="120"/>
        <w:ind w:firstLine="720"/>
        <w:jc w:val="both"/>
        <w:rPr>
          <w:sz w:val="22"/>
          <w:rtl/>
          <w:lang w:val="en-GB" w:bidi="ar-EG"/>
        </w:rPr>
      </w:pPr>
      <w:r>
        <w:rPr>
          <w:rFonts w:hint="cs"/>
          <w:i/>
          <w:iCs/>
          <w:sz w:val="22"/>
          <w:rtl/>
          <w:lang w:val="en-GB" w:bidi="ar-EG"/>
        </w:rPr>
        <w:t xml:space="preserve">وإذ </w:t>
      </w:r>
      <w:r w:rsidR="00862E44">
        <w:rPr>
          <w:rFonts w:hint="cs"/>
          <w:i/>
          <w:iCs/>
          <w:sz w:val="22"/>
          <w:rtl/>
          <w:lang w:val="en-GB" w:bidi="ar-EG"/>
        </w:rPr>
        <w:t>تشدد</w:t>
      </w:r>
      <w:r>
        <w:rPr>
          <w:rFonts w:hint="cs"/>
          <w:i/>
          <w:iCs/>
          <w:sz w:val="22"/>
          <w:rtl/>
          <w:lang w:val="en-GB" w:bidi="ar-EG"/>
        </w:rPr>
        <w:t xml:space="preserve"> على </w:t>
      </w:r>
      <w:r w:rsidR="006D2492">
        <w:rPr>
          <w:rFonts w:hint="cs"/>
          <w:sz w:val="22"/>
          <w:rtl/>
          <w:lang w:val="en-GB" w:bidi="ar-EG"/>
        </w:rPr>
        <w:t>الأهمية المستمرة</w:t>
      </w:r>
      <w:r>
        <w:rPr>
          <w:rFonts w:hint="cs"/>
          <w:sz w:val="22"/>
          <w:rtl/>
          <w:lang w:val="en-GB" w:bidi="ar-EG"/>
        </w:rPr>
        <w:t xml:space="preserve"> </w:t>
      </w:r>
      <w:r w:rsidR="006D2492">
        <w:rPr>
          <w:rFonts w:hint="cs"/>
          <w:sz w:val="22"/>
          <w:rtl/>
          <w:lang w:val="en-GB" w:bidi="ar-EG"/>
        </w:rPr>
        <w:t>ل</w:t>
      </w:r>
      <w:r>
        <w:rPr>
          <w:rFonts w:hint="cs"/>
          <w:sz w:val="22"/>
          <w:rtl/>
          <w:lang w:val="en-GB" w:bidi="ar-EG"/>
        </w:rPr>
        <w:t xml:space="preserve">زيادة حشد الموارد المالية من أجل التنفيذ الفعال، في الأعوام المتبقية، للخطة الاستراتيجية للتنوع البيولوجي 2011-2020، والإطار العالمي للتنوع البيولوجي لما بعد عام 2020، </w:t>
      </w:r>
    </w:p>
    <w:p w:rsidR="00F77E9E" w:rsidRPr="0008214A" w:rsidRDefault="00030954" w:rsidP="00F77E9E">
      <w:pPr>
        <w:keepNext/>
        <w:jc w:val="center"/>
        <w:rPr>
          <w:b/>
          <w:bCs/>
          <w:lang w:bidi="ar-EG"/>
        </w:rPr>
      </w:pPr>
      <w:r>
        <w:rPr>
          <w:rFonts w:hint="cs"/>
          <w:b/>
          <w:bCs/>
          <w:rtl/>
          <w:lang w:bidi="ar-EG"/>
        </w:rPr>
        <w:t>ألف-</w:t>
      </w:r>
      <w:r>
        <w:rPr>
          <w:rFonts w:hint="cs"/>
          <w:b/>
          <w:bCs/>
          <w:rtl/>
          <w:lang w:bidi="ar-EG"/>
        </w:rPr>
        <w:tab/>
      </w:r>
      <w:r w:rsidR="00F77E9E">
        <w:rPr>
          <w:rFonts w:hint="cs"/>
          <w:b/>
          <w:bCs/>
          <w:rtl/>
          <w:lang w:bidi="ar-EG"/>
        </w:rPr>
        <w:t>الإبلاغ المالي</w:t>
      </w:r>
    </w:p>
    <w:p w:rsidR="00F77E9E" w:rsidRDefault="00715488" w:rsidP="00ED5F3E">
      <w:pPr>
        <w:spacing w:after="120"/>
        <w:ind w:firstLine="720"/>
        <w:jc w:val="both"/>
        <w:rPr>
          <w:sz w:val="22"/>
          <w:rtl/>
          <w:lang w:val="en-GB" w:bidi="ar-EG"/>
        </w:rPr>
      </w:pPr>
      <w:r>
        <w:rPr>
          <w:rFonts w:hint="cs"/>
          <w:sz w:val="22"/>
          <w:rtl/>
          <w:lang w:val="en-GB" w:bidi="ar-EG"/>
        </w:rPr>
        <w:t>1-</w:t>
      </w:r>
      <w:r>
        <w:rPr>
          <w:rFonts w:hint="cs"/>
          <w:sz w:val="22"/>
          <w:rtl/>
          <w:lang w:val="en-GB" w:bidi="ar-EG"/>
        </w:rPr>
        <w:tab/>
      </w:r>
      <w:r>
        <w:rPr>
          <w:rFonts w:hint="cs"/>
          <w:i/>
          <w:iCs/>
          <w:sz w:val="22"/>
          <w:rtl/>
          <w:lang w:val="en-GB" w:bidi="ar-EG"/>
        </w:rPr>
        <w:t xml:space="preserve">تحيط علما مع التقدير </w:t>
      </w:r>
      <w:r>
        <w:rPr>
          <w:rFonts w:hint="cs"/>
          <w:sz w:val="22"/>
          <w:rtl/>
          <w:lang w:val="en-GB" w:bidi="ar-EG"/>
        </w:rPr>
        <w:t>بالمعلومات المقدمة من الأطراف من خلال إطار الإبلاغ المالي؛</w:t>
      </w:r>
    </w:p>
    <w:p w:rsidR="00715488" w:rsidRDefault="00715488" w:rsidP="00ED5F3E">
      <w:pPr>
        <w:spacing w:after="120"/>
        <w:ind w:firstLine="720"/>
        <w:jc w:val="both"/>
        <w:rPr>
          <w:sz w:val="22"/>
          <w:rtl/>
          <w:lang w:val="en-GB" w:bidi="ar-EG"/>
        </w:rPr>
      </w:pPr>
      <w:r>
        <w:rPr>
          <w:rFonts w:hint="cs"/>
          <w:sz w:val="22"/>
          <w:rtl/>
          <w:lang w:val="en-GB" w:bidi="ar-EG"/>
        </w:rPr>
        <w:t>2-</w:t>
      </w:r>
      <w:r>
        <w:rPr>
          <w:rFonts w:hint="cs"/>
          <w:sz w:val="22"/>
          <w:rtl/>
          <w:lang w:val="en-GB" w:bidi="ar-EG"/>
        </w:rPr>
        <w:tab/>
      </w:r>
      <w:r>
        <w:rPr>
          <w:rFonts w:hint="cs"/>
          <w:i/>
          <w:iCs/>
          <w:sz w:val="22"/>
          <w:rtl/>
          <w:lang w:val="en-GB" w:bidi="ar-EG"/>
        </w:rPr>
        <w:t xml:space="preserve">تحيط علما </w:t>
      </w:r>
      <w:r>
        <w:rPr>
          <w:rFonts w:hint="cs"/>
          <w:sz w:val="22"/>
          <w:rtl/>
          <w:lang w:val="en-GB" w:bidi="ar-EG"/>
        </w:rPr>
        <w:t>بالتقييم والتحليل المحدث للمعلومات المقدمة من الأطراف من خلال إطار الإبلاغ المالي، ولاسيما التقدم المحرز نحو تحقيق الأهداف المعتمدة في المقرر 12/3،</w:t>
      </w:r>
    </w:p>
    <w:p w:rsidR="00715488" w:rsidRDefault="00715488" w:rsidP="006D2492">
      <w:pPr>
        <w:spacing w:after="120"/>
        <w:ind w:firstLine="720"/>
        <w:jc w:val="both"/>
        <w:rPr>
          <w:sz w:val="22"/>
          <w:rtl/>
          <w:lang w:val="en-GB" w:bidi="ar-EG"/>
        </w:rPr>
      </w:pPr>
      <w:r>
        <w:rPr>
          <w:rFonts w:hint="cs"/>
          <w:sz w:val="22"/>
          <w:rtl/>
          <w:lang w:val="en-GB" w:bidi="ar-EG"/>
        </w:rPr>
        <w:t>3-</w:t>
      </w:r>
      <w:r>
        <w:rPr>
          <w:rFonts w:hint="cs"/>
          <w:sz w:val="22"/>
          <w:rtl/>
          <w:lang w:val="en-GB" w:bidi="ar-EG"/>
        </w:rPr>
        <w:tab/>
      </w:r>
      <w:r>
        <w:rPr>
          <w:rFonts w:hint="cs"/>
          <w:i/>
          <w:iCs/>
          <w:sz w:val="22"/>
          <w:rtl/>
          <w:lang w:val="en-GB" w:bidi="ar-EG"/>
        </w:rPr>
        <w:t xml:space="preserve">تحث </w:t>
      </w:r>
      <w:r>
        <w:rPr>
          <w:rFonts w:hint="cs"/>
          <w:sz w:val="22"/>
          <w:rtl/>
          <w:lang w:val="en-GB" w:bidi="ar-EG"/>
        </w:rPr>
        <w:t xml:space="preserve">الأطراف على زيادة جهودها الرامية إلى تحقيق الأهداف، بما في ذلك مضاعفة إجمالي تدفقات الموارد المالية الدولية ذات الصلة بالتنوع البيولوجي إلى البلدان النامية، ولاسيما أقل البلدان نموا </w:t>
      </w:r>
      <w:r w:rsidR="006D2492">
        <w:rPr>
          <w:rFonts w:hint="cs"/>
          <w:sz w:val="22"/>
          <w:rtl/>
          <w:lang w:val="en-GB" w:bidi="ar-EG"/>
        </w:rPr>
        <w:t>والدول</w:t>
      </w:r>
      <w:r>
        <w:rPr>
          <w:rFonts w:hint="cs"/>
          <w:sz w:val="22"/>
          <w:rtl/>
          <w:lang w:val="en-GB" w:bidi="ar-EG"/>
        </w:rPr>
        <w:t xml:space="preserve"> الجزرية الصغيرة النامية فضلا عن البلدان التي تمر اقتصاداتها </w:t>
      </w:r>
      <w:r w:rsidR="006D2492">
        <w:rPr>
          <w:rFonts w:hint="cs"/>
          <w:sz w:val="22"/>
          <w:rtl/>
          <w:lang w:val="en-GB" w:bidi="ar-EG"/>
        </w:rPr>
        <w:t>بمرحلة انتقالية، والحفاظ على هذا</w:t>
      </w:r>
      <w:r>
        <w:rPr>
          <w:rFonts w:hint="cs"/>
          <w:sz w:val="22"/>
          <w:rtl/>
          <w:lang w:val="en-GB" w:bidi="ar-EG"/>
        </w:rPr>
        <w:t xml:space="preserve"> المستوى حتى عام 2020، على النحو المنصوص عليه في الهدف </w:t>
      </w:r>
      <w:r w:rsidR="00E411CE">
        <w:rPr>
          <w:rFonts w:hint="cs"/>
          <w:sz w:val="22"/>
          <w:rtl/>
          <w:lang w:val="en-GB" w:bidi="ar-EG"/>
        </w:rPr>
        <w:t>1(</w:t>
      </w:r>
      <w:r>
        <w:rPr>
          <w:rFonts w:hint="cs"/>
          <w:sz w:val="22"/>
          <w:rtl/>
          <w:lang w:val="en-GB" w:bidi="ar-EG"/>
        </w:rPr>
        <w:t>أ)، مع الأخذ في الاعتبار أن هذه الأهداف تدعم بعضها البعض؛</w:t>
      </w:r>
    </w:p>
    <w:p w:rsidR="00715488" w:rsidRDefault="00715488" w:rsidP="00030954">
      <w:pPr>
        <w:spacing w:after="120"/>
        <w:ind w:firstLine="720"/>
        <w:jc w:val="both"/>
        <w:rPr>
          <w:sz w:val="22"/>
          <w:rtl/>
          <w:lang w:val="en-GB" w:bidi="ar-EG"/>
        </w:rPr>
      </w:pPr>
      <w:r>
        <w:rPr>
          <w:rFonts w:hint="cs"/>
          <w:sz w:val="22"/>
          <w:rtl/>
          <w:lang w:val="en-GB" w:bidi="ar-EG"/>
        </w:rPr>
        <w:t>4-</w:t>
      </w:r>
      <w:r>
        <w:rPr>
          <w:rFonts w:hint="cs"/>
          <w:sz w:val="22"/>
          <w:rtl/>
          <w:lang w:val="en-GB" w:bidi="ar-EG"/>
        </w:rPr>
        <w:tab/>
      </w:r>
      <w:r>
        <w:rPr>
          <w:rFonts w:hint="cs"/>
          <w:i/>
          <w:iCs/>
          <w:sz w:val="22"/>
          <w:rtl/>
          <w:lang w:val="en-GB" w:bidi="ar-EG"/>
        </w:rPr>
        <w:t xml:space="preserve">تحث </w:t>
      </w:r>
      <w:r>
        <w:rPr>
          <w:rFonts w:hint="cs"/>
          <w:sz w:val="22"/>
          <w:rtl/>
          <w:lang w:val="en-GB" w:bidi="ar-EG"/>
        </w:rPr>
        <w:t xml:space="preserve">الأطراف التي لم تقدم معلومات خط الأساس الضرورية ولم تبلغ عن التقدم الأولي في الأهداف المتعلقة بحشد الموارد حتى عام 2015 أن تقوم بذلك بحلول 1 سبتمبر/أيلول 2018، باستخدام إطار الإبلاغ المالي، وتدعو الأطراف إلى </w:t>
      </w:r>
      <w:r w:rsidR="00E0013F">
        <w:rPr>
          <w:rFonts w:hint="cs"/>
          <w:sz w:val="22"/>
          <w:rtl/>
          <w:lang w:val="en-GB" w:bidi="ar-EG"/>
        </w:rPr>
        <w:t>أن تقوم</w:t>
      </w:r>
      <w:r>
        <w:rPr>
          <w:rFonts w:hint="cs"/>
          <w:sz w:val="22"/>
          <w:rtl/>
          <w:lang w:val="en-GB" w:bidi="ar-EG"/>
        </w:rPr>
        <w:t>، حسب الاقتضاء،</w:t>
      </w:r>
      <w:r w:rsidR="00E0013F">
        <w:rPr>
          <w:rFonts w:hint="cs"/>
          <w:sz w:val="22"/>
          <w:rtl/>
          <w:lang w:val="en-GB" w:bidi="ar-EG"/>
        </w:rPr>
        <w:t xml:space="preserve"> بتحديث</w:t>
      </w:r>
      <w:r>
        <w:rPr>
          <w:rFonts w:hint="cs"/>
          <w:sz w:val="22"/>
          <w:rtl/>
          <w:lang w:val="en-GB" w:bidi="ar-EG"/>
        </w:rPr>
        <w:t xml:space="preserve"> أطرها للإبلاغ المالي ببيانات مؤكدة/نهائية لعام 2015، بغية تحسين </w:t>
      </w:r>
      <w:r w:rsidR="00E0013F">
        <w:rPr>
          <w:rFonts w:hint="cs"/>
          <w:sz w:val="22"/>
          <w:rtl/>
          <w:lang w:val="en-GB" w:bidi="ar-EG"/>
        </w:rPr>
        <w:t>متانة</w:t>
      </w:r>
      <w:r>
        <w:rPr>
          <w:rFonts w:hint="cs"/>
          <w:sz w:val="22"/>
          <w:rtl/>
          <w:lang w:val="en-GB" w:bidi="ar-EG"/>
        </w:rPr>
        <w:t xml:space="preserve"> البيانات و</w:t>
      </w:r>
      <w:r w:rsidR="00030954">
        <w:rPr>
          <w:rFonts w:hint="cs"/>
          <w:sz w:val="22"/>
          <w:rtl/>
          <w:lang w:val="en-GB" w:bidi="ar-EG"/>
        </w:rPr>
        <w:t>ال</w:t>
      </w:r>
      <w:r>
        <w:rPr>
          <w:rFonts w:hint="cs"/>
          <w:sz w:val="22"/>
          <w:rtl/>
          <w:lang w:val="en-GB" w:bidi="ar-EG"/>
        </w:rPr>
        <w:t>تمكين من إجراء تقييم شامل للتقدم المحرز نحو تحقيق الأهداف</w:t>
      </w:r>
      <w:r w:rsidR="00030954">
        <w:rPr>
          <w:rFonts w:hint="cs"/>
          <w:sz w:val="22"/>
          <w:rtl/>
          <w:lang w:val="en-GB" w:bidi="ar-EG"/>
        </w:rPr>
        <w:t xml:space="preserve"> التي وضعها مؤتمر الأطراف</w:t>
      </w:r>
      <w:r>
        <w:rPr>
          <w:rFonts w:hint="cs"/>
          <w:sz w:val="22"/>
          <w:rtl/>
          <w:lang w:val="en-GB" w:bidi="ar-EG"/>
        </w:rPr>
        <w:t xml:space="preserve"> في اجتماعه الرابع عشر؛</w:t>
      </w:r>
    </w:p>
    <w:p w:rsidR="00715488" w:rsidRDefault="00715488" w:rsidP="00030954">
      <w:pPr>
        <w:spacing w:after="120"/>
        <w:ind w:firstLine="720"/>
        <w:jc w:val="both"/>
        <w:rPr>
          <w:sz w:val="22"/>
          <w:rtl/>
          <w:lang w:val="en-GB" w:bidi="ar-EG"/>
        </w:rPr>
      </w:pPr>
      <w:r>
        <w:rPr>
          <w:rFonts w:hint="cs"/>
          <w:sz w:val="22"/>
          <w:rtl/>
          <w:lang w:val="en-GB" w:bidi="ar-EG"/>
        </w:rPr>
        <w:t>5-</w:t>
      </w:r>
      <w:r>
        <w:rPr>
          <w:rFonts w:hint="cs"/>
          <w:sz w:val="22"/>
          <w:rtl/>
          <w:lang w:val="en-GB" w:bidi="ar-EG"/>
        </w:rPr>
        <w:tab/>
      </w:r>
      <w:r w:rsidR="00B04698">
        <w:rPr>
          <w:rFonts w:hint="cs"/>
          <w:i/>
          <w:iCs/>
          <w:sz w:val="22"/>
          <w:rtl/>
          <w:lang w:val="en-GB" w:bidi="ar-EG"/>
        </w:rPr>
        <w:t xml:space="preserve">تشجع </w:t>
      </w:r>
      <w:r w:rsidR="00B04698">
        <w:rPr>
          <w:rFonts w:hint="cs"/>
          <w:sz w:val="22"/>
          <w:rtl/>
          <w:lang w:val="en-GB" w:bidi="ar-EG"/>
        </w:rPr>
        <w:t>الأطراف القادرة على تقديم البيانات المتاحة لعامي 2016 و2017 في الجولة الثانية للإبلاغ على أن تقوم بذلك بالفعل</w:t>
      </w:r>
      <w:r w:rsidR="00030954">
        <w:rPr>
          <w:rFonts w:hint="cs"/>
          <w:sz w:val="22"/>
          <w:rtl/>
          <w:lang w:val="en-GB" w:bidi="ar-EG"/>
        </w:rPr>
        <w:t>، عملا بالفقرة 8 من المقرر 13/20</w:t>
      </w:r>
      <w:r w:rsidR="00B04698">
        <w:rPr>
          <w:rFonts w:hint="cs"/>
          <w:sz w:val="22"/>
          <w:rtl/>
          <w:lang w:val="en-GB" w:bidi="ar-EG"/>
        </w:rPr>
        <w:t>؛</w:t>
      </w:r>
    </w:p>
    <w:p w:rsidR="00B04698" w:rsidRDefault="00B04698" w:rsidP="00B04698">
      <w:pPr>
        <w:spacing w:after="120"/>
        <w:ind w:firstLine="720"/>
        <w:jc w:val="both"/>
        <w:rPr>
          <w:sz w:val="22"/>
          <w:rtl/>
          <w:lang w:val="en-GB" w:bidi="ar-EG"/>
        </w:rPr>
      </w:pPr>
      <w:r>
        <w:rPr>
          <w:rFonts w:hint="cs"/>
          <w:sz w:val="22"/>
          <w:rtl/>
          <w:lang w:val="en-GB" w:bidi="ar-EG"/>
        </w:rPr>
        <w:lastRenderedPageBreak/>
        <w:t>6-</w:t>
      </w:r>
      <w:r>
        <w:rPr>
          <w:rFonts w:hint="cs"/>
          <w:sz w:val="22"/>
          <w:rtl/>
          <w:lang w:val="en-GB" w:bidi="ar-EG"/>
        </w:rPr>
        <w:tab/>
      </w:r>
      <w:r>
        <w:rPr>
          <w:rFonts w:hint="cs"/>
          <w:i/>
          <w:iCs/>
          <w:sz w:val="22"/>
          <w:rtl/>
          <w:lang w:val="en-GB" w:bidi="ar-EG"/>
        </w:rPr>
        <w:t xml:space="preserve">تحث </w:t>
      </w:r>
      <w:r>
        <w:rPr>
          <w:rFonts w:hint="cs"/>
          <w:sz w:val="22"/>
          <w:rtl/>
          <w:lang w:val="en-GB" w:bidi="ar-EG"/>
        </w:rPr>
        <w:t>الأطراف التي استكملت مراجعة وتحديث استراتيجياتها وخطط عملها الوطنية للتنوع البيولوجي على تحديد احتياجاتها من التمويل، والفجوات والأولويات، استناد إلى، حسب الاقتضاء، الاستراتيجيات وخطط العمل الوطنية المنقحة للتنوع البيولوجي</w:t>
      </w:r>
      <w:r w:rsidR="000825D7">
        <w:rPr>
          <w:rFonts w:hint="cs"/>
          <w:sz w:val="22"/>
          <w:rtl/>
          <w:lang w:val="en-GB" w:bidi="ar-EG"/>
        </w:rPr>
        <w:t xml:space="preserve"> والمعلومات التكميلية الأخرى، وعلى إعداد وتنفيذ خططها الوطنية للتمويل من أجل التنفيذ الفعال للاستراتيجيات وخطط العمل الوطنية المنقحة للتنوع البيولوجي، باعتبارها مسألة ذات أولوية؛</w:t>
      </w:r>
    </w:p>
    <w:p w:rsidR="000825D7" w:rsidRDefault="000825D7" w:rsidP="00B04698">
      <w:pPr>
        <w:spacing w:after="120"/>
        <w:ind w:firstLine="720"/>
        <w:jc w:val="both"/>
        <w:rPr>
          <w:sz w:val="22"/>
          <w:rtl/>
          <w:lang w:val="en-GB" w:bidi="ar-EG"/>
        </w:rPr>
      </w:pPr>
      <w:r>
        <w:rPr>
          <w:rFonts w:hint="cs"/>
          <w:sz w:val="22"/>
          <w:rtl/>
          <w:lang w:val="en-GB" w:bidi="ar-EG"/>
        </w:rPr>
        <w:t>7-</w:t>
      </w:r>
      <w:r>
        <w:rPr>
          <w:rFonts w:hint="cs"/>
          <w:sz w:val="22"/>
          <w:rtl/>
          <w:lang w:val="en-GB" w:bidi="ar-EG"/>
        </w:rPr>
        <w:tab/>
      </w:r>
      <w:r>
        <w:rPr>
          <w:rFonts w:hint="cs"/>
          <w:i/>
          <w:iCs/>
          <w:sz w:val="22"/>
          <w:rtl/>
          <w:lang w:val="en-GB" w:bidi="ar-EG"/>
        </w:rPr>
        <w:t xml:space="preserve">تطلب إلى </w:t>
      </w:r>
      <w:r>
        <w:rPr>
          <w:rFonts w:hint="cs"/>
          <w:sz w:val="22"/>
          <w:rtl/>
          <w:lang w:val="en-GB" w:bidi="ar-EG"/>
        </w:rPr>
        <w:t>الأمين التنفيذ</w:t>
      </w:r>
      <w:r w:rsidR="006D2492">
        <w:rPr>
          <w:rFonts w:hint="cs"/>
          <w:sz w:val="22"/>
          <w:rtl/>
          <w:lang w:val="en-GB" w:bidi="ar-EG"/>
        </w:rPr>
        <w:t>ي</w:t>
      </w:r>
      <w:r>
        <w:rPr>
          <w:rFonts w:hint="cs"/>
          <w:sz w:val="22"/>
          <w:rtl/>
          <w:lang w:val="en-GB" w:bidi="ar-EG"/>
        </w:rPr>
        <w:t xml:space="preserve"> أن يعد تحليلا محدثا للتقارير المالية المستلمة، بما في ذلك عناصر لاستكمال مشروع المقرر </w:t>
      </w:r>
      <w:r w:rsidR="009564BF">
        <w:rPr>
          <w:rFonts w:hint="cs"/>
          <w:sz w:val="22"/>
          <w:rtl/>
          <w:lang w:val="en-GB" w:bidi="ar-EG"/>
        </w:rPr>
        <w:t xml:space="preserve">الوارد في الفقرة 9 </w:t>
      </w:r>
      <w:r>
        <w:rPr>
          <w:rFonts w:hint="cs"/>
          <w:sz w:val="22"/>
          <w:rtl/>
          <w:lang w:val="en-GB" w:bidi="ar-EG"/>
        </w:rPr>
        <w:t>أدناه، لكي ينظر فيه مؤتمر الأطراف في اجتماعه الرابع عشر؛</w:t>
      </w:r>
    </w:p>
    <w:p w:rsidR="00B86EAE" w:rsidRPr="0008214A" w:rsidRDefault="009564BF" w:rsidP="00B86EAE">
      <w:pPr>
        <w:keepNext/>
        <w:jc w:val="center"/>
        <w:rPr>
          <w:b/>
          <w:bCs/>
          <w:lang w:bidi="ar-EG"/>
        </w:rPr>
      </w:pPr>
      <w:r>
        <w:rPr>
          <w:rFonts w:hint="cs"/>
          <w:b/>
          <w:bCs/>
          <w:rtl/>
          <w:lang w:bidi="ar-EG"/>
        </w:rPr>
        <w:t>باء-</w:t>
      </w:r>
      <w:r>
        <w:rPr>
          <w:rFonts w:hint="cs"/>
          <w:b/>
          <w:bCs/>
          <w:rtl/>
          <w:lang w:bidi="ar-EG"/>
        </w:rPr>
        <w:tab/>
      </w:r>
      <w:r w:rsidR="007A5795" w:rsidRPr="0073331D">
        <w:rPr>
          <w:rFonts w:hint="cs"/>
          <w:b/>
          <w:bCs/>
          <w:rtl/>
          <w:lang w:bidi="ar-EG"/>
        </w:rPr>
        <w:t>مكوّن</w:t>
      </w:r>
      <w:r w:rsidR="00B86EAE" w:rsidRPr="0073331D">
        <w:rPr>
          <w:rFonts w:hint="cs"/>
          <w:b/>
          <w:bCs/>
          <w:rtl/>
          <w:lang w:bidi="ar-EG"/>
        </w:rPr>
        <w:t xml:space="preserve"> حشد الموارد لإطار التنوع البيولوجي لما بعد عام 2020</w:t>
      </w:r>
    </w:p>
    <w:p w:rsidR="00B86EAE" w:rsidRDefault="00B86EAE" w:rsidP="0073331D">
      <w:pPr>
        <w:spacing w:after="120"/>
        <w:ind w:firstLine="720"/>
        <w:jc w:val="both"/>
        <w:rPr>
          <w:sz w:val="22"/>
          <w:rtl/>
          <w:lang w:val="en-GB" w:bidi="ar-EG"/>
        </w:rPr>
      </w:pPr>
      <w:r>
        <w:rPr>
          <w:rFonts w:hint="cs"/>
          <w:sz w:val="22"/>
          <w:rtl/>
          <w:lang w:val="en-GB" w:bidi="ar-EG"/>
        </w:rPr>
        <w:t>8-</w:t>
      </w:r>
      <w:r>
        <w:rPr>
          <w:rFonts w:hint="cs"/>
          <w:sz w:val="22"/>
          <w:rtl/>
          <w:lang w:val="en-GB" w:bidi="ar-EG"/>
        </w:rPr>
        <w:tab/>
      </w:r>
      <w:r>
        <w:rPr>
          <w:rFonts w:hint="cs"/>
          <w:i/>
          <w:iCs/>
          <w:sz w:val="22"/>
          <w:rtl/>
          <w:lang w:val="en-GB" w:bidi="ar-EG"/>
        </w:rPr>
        <w:t xml:space="preserve">تدعو </w:t>
      </w:r>
      <w:r w:rsidR="00A31DDB">
        <w:rPr>
          <w:rFonts w:hint="cs"/>
          <w:sz w:val="22"/>
          <w:rtl/>
          <w:lang w:val="en-GB" w:bidi="ar-EG"/>
        </w:rPr>
        <w:t xml:space="preserve">الأطراف، وغيرها من الحكومات، وأصحاب المصلحة، والمنظمات والمبادرات الدولية ذات الصلة، إلى استعراض خبراتها في تنفيذ الهدف 20 من أهداف أيشي للتنوع البيولوجي وكذلك الاستراتيجية </w:t>
      </w:r>
      <w:r w:rsidR="0073331D">
        <w:rPr>
          <w:rFonts w:hint="cs"/>
          <w:sz w:val="22"/>
          <w:rtl/>
          <w:lang w:val="en-GB" w:bidi="ar-EG"/>
        </w:rPr>
        <w:t>وأهداف</w:t>
      </w:r>
      <w:r w:rsidR="00A31DDB">
        <w:rPr>
          <w:rFonts w:hint="cs"/>
          <w:sz w:val="22"/>
          <w:rtl/>
          <w:lang w:val="en-GB" w:bidi="ar-EG"/>
        </w:rPr>
        <w:t xml:space="preserve"> حشد الموارد، وفي استخدام الإرشادات ذات الصلة؛ </w:t>
      </w:r>
      <w:r w:rsidR="0073331D">
        <w:rPr>
          <w:rFonts w:hint="cs"/>
          <w:sz w:val="22"/>
          <w:rtl/>
          <w:lang w:val="en-GB" w:bidi="ar-EG"/>
        </w:rPr>
        <w:t>و</w:t>
      </w:r>
      <w:r w:rsidR="00A31DDB">
        <w:rPr>
          <w:rFonts w:hint="cs"/>
          <w:sz w:val="22"/>
          <w:rtl/>
          <w:lang w:val="en-GB" w:bidi="ar-EG"/>
        </w:rPr>
        <w:t xml:space="preserve">إلى القيام، استنادا إلى هذا الاستعراض، بتقديم آرائها بشأن نطاق ومحتوى </w:t>
      </w:r>
      <w:r w:rsidR="007A5795">
        <w:rPr>
          <w:rFonts w:hint="cs"/>
          <w:sz w:val="22"/>
          <w:rtl/>
          <w:lang w:val="en-GB" w:bidi="ar-EG"/>
        </w:rPr>
        <w:t>مكوّن</w:t>
      </w:r>
      <w:r w:rsidR="00A31DDB">
        <w:rPr>
          <w:rFonts w:hint="cs"/>
          <w:sz w:val="22"/>
          <w:rtl/>
          <w:lang w:val="en-GB" w:bidi="ar-EG"/>
        </w:rPr>
        <w:t xml:space="preserve"> حشد الموارد في إطار التنوع البيولوجي لما بعد عام 2020، في إطار العمل فيما بين الدورات المتوقع أن يرد ذكرهما في مشروع المقرر في إطار البند 16 من جدول الأعمال؛</w:t>
      </w:r>
    </w:p>
    <w:p w:rsidR="00A31DDB" w:rsidRDefault="00A31DDB" w:rsidP="00B04698">
      <w:pPr>
        <w:spacing w:after="120"/>
        <w:ind w:firstLine="720"/>
        <w:jc w:val="both"/>
        <w:rPr>
          <w:sz w:val="22"/>
          <w:rtl/>
          <w:lang w:val="en-GB" w:bidi="ar-EG"/>
        </w:rPr>
      </w:pPr>
      <w:r>
        <w:rPr>
          <w:rFonts w:hint="cs"/>
          <w:sz w:val="22"/>
          <w:rtl/>
          <w:lang w:val="en-GB" w:bidi="ar-EG"/>
        </w:rPr>
        <w:t>9-</w:t>
      </w:r>
      <w:r>
        <w:rPr>
          <w:rFonts w:hint="cs"/>
          <w:sz w:val="22"/>
          <w:rtl/>
          <w:lang w:val="en-GB" w:bidi="ar-EG"/>
        </w:rPr>
        <w:tab/>
      </w:r>
      <w:r>
        <w:rPr>
          <w:rFonts w:hint="cs"/>
          <w:i/>
          <w:iCs/>
          <w:sz w:val="22"/>
          <w:rtl/>
          <w:lang w:val="en-GB" w:bidi="ar-EG"/>
        </w:rPr>
        <w:t xml:space="preserve">توصي </w:t>
      </w:r>
      <w:r>
        <w:rPr>
          <w:rFonts w:hint="cs"/>
          <w:sz w:val="22"/>
          <w:rtl/>
          <w:lang w:val="en-GB" w:bidi="ar-EG"/>
        </w:rPr>
        <w:t>بأن يعتمد مؤتمر الأطراف في اجتماعه الرابع عشر مقررا على غرار ما يلي:</w:t>
      </w:r>
    </w:p>
    <w:p w:rsidR="00A31DDB" w:rsidRDefault="00A31DDB" w:rsidP="00B04698">
      <w:pPr>
        <w:spacing w:after="120"/>
        <w:ind w:firstLine="720"/>
        <w:jc w:val="both"/>
        <w:rPr>
          <w:i/>
          <w:iCs/>
          <w:sz w:val="22"/>
          <w:rtl/>
          <w:lang w:val="en-GB" w:bidi="ar-EG"/>
        </w:rPr>
      </w:pPr>
      <w:r>
        <w:rPr>
          <w:rFonts w:hint="cs"/>
          <w:i/>
          <w:iCs/>
          <w:sz w:val="22"/>
          <w:rtl/>
          <w:lang w:val="en-GB" w:bidi="ar-EG"/>
        </w:rPr>
        <w:t>إن مؤتمر الأطراف،</w:t>
      </w:r>
    </w:p>
    <w:p w:rsidR="00A31DDB" w:rsidRPr="0008214A" w:rsidRDefault="00D36616" w:rsidP="00A31DDB">
      <w:pPr>
        <w:keepNext/>
        <w:jc w:val="center"/>
        <w:rPr>
          <w:b/>
          <w:bCs/>
          <w:lang w:bidi="ar-EG"/>
        </w:rPr>
      </w:pPr>
      <w:r>
        <w:rPr>
          <w:rFonts w:hint="cs"/>
          <w:b/>
          <w:bCs/>
          <w:rtl/>
          <w:lang w:bidi="ar-EG"/>
        </w:rPr>
        <w:t>ألف-</w:t>
      </w:r>
      <w:r>
        <w:rPr>
          <w:rFonts w:hint="cs"/>
          <w:b/>
          <w:bCs/>
          <w:rtl/>
          <w:lang w:bidi="ar-EG"/>
        </w:rPr>
        <w:tab/>
      </w:r>
      <w:r w:rsidR="00A31DDB">
        <w:rPr>
          <w:rFonts w:hint="cs"/>
          <w:b/>
          <w:bCs/>
          <w:rtl/>
          <w:lang w:bidi="ar-EG"/>
        </w:rPr>
        <w:t>الإبلاغ المالي</w:t>
      </w:r>
    </w:p>
    <w:p w:rsidR="00A31DDB" w:rsidRDefault="00A31DDB" w:rsidP="00B04698">
      <w:pPr>
        <w:spacing w:after="120"/>
        <w:ind w:firstLine="720"/>
        <w:jc w:val="both"/>
        <w:rPr>
          <w:sz w:val="22"/>
          <w:rtl/>
          <w:lang w:bidi="ar-EG"/>
        </w:rPr>
      </w:pPr>
      <w:r>
        <w:rPr>
          <w:rFonts w:hint="cs"/>
          <w:sz w:val="22"/>
          <w:rtl/>
          <w:lang w:bidi="ar-EG"/>
        </w:rPr>
        <w:t>1-</w:t>
      </w:r>
      <w:r>
        <w:rPr>
          <w:rFonts w:hint="cs"/>
          <w:sz w:val="22"/>
          <w:rtl/>
          <w:lang w:bidi="ar-EG"/>
        </w:rPr>
        <w:tab/>
      </w:r>
      <w:r>
        <w:rPr>
          <w:rFonts w:hint="cs"/>
          <w:i/>
          <w:iCs/>
          <w:sz w:val="22"/>
          <w:rtl/>
          <w:lang w:bidi="ar-EG"/>
        </w:rPr>
        <w:t xml:space="preserve">يحيط علما مع التقدير </w:t>
      </w:r>
      <w:r>
        <w:rPr>
          <w:rFonts w:hint="cs"/>
          <w:sz w:val="22"/>
          <w:rtl/>
          <w:lang w:bidi="ar-EG"/>
        </w:rPr>
        <w:t>بالمعلومات المقدمة من الأطراف من خلال إطار الإبلاغ المالي؛</w:t>
      </w:r>
    </w:p>
    <w:p w:rsidR="00A31DDB" w:rsidRDefault="00A31DDB" w:rsidP="00D36616">
      <w:pPr>
        <w:spacing w:after="120"/>
        <w:ind w:firstLine="720"/>
        <w:jc w:val="both"/>
        <w:rPr>
          <w:sz w:val="22"/>
          <w:rtl/>
          <w:lang w:bidi="ar-EG"/>
        </w:rPr>
      </w:pPr>
      <w:r>
        <w:rPr>
          <w:rFonts w:hint="cs"/>
          <w:sz w:val="22"/>
          <w:rtl/>
          <w:lang w:bidi="ar-EG"/>
        </w:rPr>
        <w:t>2-</w:t>
      </w:r>
      <w:r>
        <w:rPr>
          <w:rFonts w:hint="cs"/>
          <w:sz w:val="22"/>
          <w:rtl/>
          <w:lang w:bidi="ar-EG"/>
        </w:rPr>
        <w:tab/>
      </w:r>
      <w:r>
        <w:rPr>
          <w:rFonts w:hint="cs"/>
          <w:i/>
          <w:iCs/>
          <w:sz w:val="22"/>
          <w:rtl/>
          <w:lang w:bidi="ar-EG"/>
        </w:rPr>
        <w:t xml:space="preserve">يحيط علما </w:t>
      </w:r>
      <w:r>
        <w:rPr>
          <w:rFonts w:hint="cs"/>
          <w:sz w:val="22"/>
          <w:rtl/>
          <w:lang w:bidi="ar-EG"/>
        </w:rPr>
        <w:t xml:space="preserve">بتحليل المعلومات المقدمة من الأطراف من خلال إطار الإبلاغ المالي، ولاسيما التقدم المحرز نحو تحقيق الأهداف المعتمدة في المقرر 12/3 على النحو الوارد في </w:t>
      </w:r>
      <w:r w:rsidR="00D36616">
        <w:rPr>
          <w:rFonts w:hint="cs"/>
          <w:sz w:val="22"/>
          <w:rtl/>
          <w:lang w:bidi="ar-EG"/>
        </w:rPr>
        <w:t>المذكرة التي أعدها الأمين التنفيذي بشأن حشد الموارد: التقييم والتحليل المحدث للمعلومات المقدمة من خلال إطار الإبلاغ المالي</w:t>
      </w:r>
      <w:r>
        <w:rPr>
          <w:rFonts w:hint="cs"/>
          <w:sz w:val="22"/>
          <w:rtl/>
          <w:lang w:bidi="ar-EG"/>
        </w:rPr>
        <w:t>.</w:t>
      </w:r>
      <w:r w:rsidR="005F5479">
        <w:rPr>
          <w:rStyle w:val="FootnoteReference"/>
          <w:sz w:val="22"/>
          <w:rtl/>
        </w:rPr>
        <w:footnoteReference w:id="39"/>
      </w:r>
    </w:p>
    <w:p w:rsidR="005F5479" w:rsidRDefault="005F5479" w:rsidP="0073331D">
      <w:pPr>
        <w:spacing w:after="120"/>
        <w:ind w:firstLine="720"/>
        <w:jc w:val="both"/>
        <w:rPr>
          <w:rFonts w:ascii="Simplified Arabic" w:hAnsi="Simplified Arabic"/>
          <w:snapToGrid w:val="0"/>
          <w:kern w:val="22"/>
          <w:sz w:val="24"/>
          <w:rtl/>
        </w:rPr>
      </w:pPr>
      <w:r>
        <w:rPr>
          <w:rFonts w:hint="cs"/>
          <w:sz w:val="22"/>
          <w:rtl/>
          <w:lang w:bidi="ar-EG"/>
        </w:rPr>
        <w:t>3-</w:t>
      </w:r>
      <w:r>
        <w:rPr>
          <w:rFonts w:hint="cs"/>
          <w:sz w:val="22"/>
          <w:rtl/>
          <w:lang w:bidi="ar-EG"/>
        </w:rPr>
        <w:tab/>
      </w:r>
      <w:r>
        <w:rPr>
          <w:rFonts w:hint="cs"/>
          <w:i/>
          <w:iCs/>
          <w:sz w:val="22"/>
          <w:rtl/>
          <w:lang w:bidi="ar-EG"/>
        </w:rPr>
        <w:t xml:space="preserve">يجدد </w:t>
      </w:r>
      <w:r>
        <w:rPr>
          <w:rFonts w:hint="cs"/>
          <w:sz w:val="22"/>
          <w:rtl/>
          <w:lang w:bidi="ar-EG"/>
        </w:rPr>
        <w:t xml:space="preserve">دعوته </w:t>
      </w:r>
      <w:r w:rsidR="0073331D">
        <w:rPr>
          <w:rFonts w:hint="cs"/>
          <w:sz w:val="22"/>
          <w:rtl/>
          <w:lang w:bidi="ar-EG"/>
        </w:rPr>
        <w:t>ل</w:t>
      </w:r>
      <w:r>
        <w:rPr>
          <w:rFonts w:hint="cs"/>
          <w:sz w:val="22"/>
          <w:rtl/>
          <w:lang w:bidi="ar-EG"/>
        </w:rPr>
        <w:t>لأطراف إلى الإبلاغ، باستخدام إطار الإبلاغ المالي على الإنترنت، عن مساهماتها الإضافية في الجهود الجماعية الرامية إلى بلوغ الأهداف العالمية بشأن حشد الموارد،</w:t>
      </w:r>
      <w:r w:rsidRPr="005F5479">
        <w:rPr>
          <w:rFonts w:ascii="Simplified Arabic" w:hAnsi="Simplified Arabic" w:hint="cs"/>
          <w:snapToGrid w:val="0"/>
          <w:kern w:val="22"/>
          <w:sz w:val="24"/>
          <w:rtl/>
        </w:rPr>
        <w:t xml:space="preserve"> </w:t>
      </w:r>
      <w:r>
        <w:rPr>
          <w:rFonts w:ascii="Simplified Arabic" w:hAnsi="Simplified Arabic" w:hint="cs"/>
          <w:snapToGrid w:val="0"/>
          <w:kern w:val="22"/>
          <w:sz w:val="24"/>
          <w:rtl/>
        </w:rPr>
        <w:t>مقابل خط الأساس المحدد، بالاقتران مع تقاريرها الوطنية السادسة، بحلول 31 ديسمبر/كانون الأول 2018؛</w:t>
      </w:r>
    </w:p>
    <w:p w:rsidR="005F5479" w:rsidRPr="0008214A" w:rsidRDefault="007937E6" w:rsidP="005F5479">
      <w:pPr>
        <w:keepNext/>
        <w:jc w:val="center"/>
        <w:rPr>
          <w:b/>
          <w:bCs/>
          <w:lang w:bidi="ar-EG"/>
        </w:rPr>
      </w:pPr>
      <w:r>
        <w:rPr>
          <w:rFonts w:hint="cs"/>
          <w:b/>
          <w:bCs/>
          <w:rtl/>
          <w:lang w:bidi="ar-EG"/>
        </w:rPr>
        <w:t>باء-</w:t>
      </w:r>
      <w:r>
        <w:rPr>
          <w:rFonts w:hint="cs"/>
          <w:b/>
          <w:bCs/>
          <w:rtl/>
          <w:lang w:bidi="ar-EG"/>
        </w:rPr>
        <w:tab/>
      </w:r>
      <w:r w:rsidR="005F5479">
        <w:rPr>
          <w:rFonts w:hint="cs"/>
          <w:b/>
          <w:bCs/>
          <w:rtl/>
          <w:lang w:bidi="ar-EG"/>
        </w:rPr>
        <w:t>بناء القدرات والدعم التقني</w:t>
      </w:r>
    </w:p>
    <w:p w:rsidR="005F5479" w:rsidRDefault="007937E6" w:rsidP="0073331D">
      <w:pPr>
        <w:spacing w:after="120"/>
        <w:ind w:firstLine="720"/>
        <w:jc w:val="both"/>
        <w:rPr>
          <w:sz w:val="22"/>
          <w:rtl/>
          <w:lang w:bidi="ar-EG"/>
        </w:rPr>
      </w:pPr>
      <w:r>
        <w:rPr>
          <w:rFonts w:hint="cs"/>
          <w:sz w:val="22"/>
          <w:rtl/>
          <w:lang w:bidi="ar-EG"/>
        </w:rPr>
        <w:t>4</w:t>
      </w:r>
      <w:r w:rsidR="005F5479">
        <w:rPr>
          <w:rFonts w:hint="cs"/>
          <w:sz w:val="22"/>
          <w:rtl/>
          <w:lang w:bidi="ar-EG"/>
        </w:rPr>
        <w:t>-</w:t>
      </w:r>
      <w:r w:rsidR="005F5479">
        <w:rPr>
          <w:rFonts w:hint="cs"/>
          <w:sz w:val="22"/>
          <w:rtl/>
          <w:lang w:bidi="ar-EG"/>
        </w:rPr>
        <w:tab/>
      </w:r>
      <w:r w:rsidR="005F5479">
        <w:rPr>
          <w:rFonts w:hint="cs"/>
          <w:i/>
          <w:iCs/>
          <w:sz w:val="22"/>
          <w:rtl/>
          <w:lang w:bidi="ar-EG"/>
        </w:rPr>
        <w:t xml:space="preserve">يرحب </w:t>
      </w:r>
      <w:r w:rsidR="005F5479">
        <w:rPr>
          <w:rFonts w:hint="cs"/>
          <w:sz w:val="22"/>
          <w:rtl/>
          <w:lang w:bidi="ar-EG"/>
        </w:rPr>
        <w:t xml:space="preserve">بعمل المنظمات والمبادرات ذات الصلة، بما في ذلك مبادرة تمويل التنوع البيولوجي لبرنامج الأمم المتحدة الإنمائي، </w:t>
      </w:r>
      <w:r w:rsidR="0073331D">
        <w:rPr>
          <w:rFonts w:hint="cs"/>
          <w:sz w:val="22"/>
          <w:rtl/>
          <w:lang w:bidi="ar-EG"/>
        </w:rPr>
        <w:t>بشأن</w:t>
      </w:r>
      <w:r w:rsidR="005F5479">
        <w:rPr>
          <w:rFonts w:hint="cs"/>
          <w:sz w:val="22"/>
          <w:rtl/>
          <w:lang w:bidi="ar-EG"/>
        </w:rPr>
        <w:t xml:space="preserve"> تقديم الدعم التقني وبناء القدرات للأطراف المهتمة من البلدان النامية، ولاسيما أقل البلدان نموا والدول الجزرية الصغيرة النامية، فضلا عن البلدان التي تمر اقتصاداته</w:t>
      </w:r>
      <w:r w:rsidR="007E4448">
        <w:rPr>
          <w:rFonts w:hint="cs"/>
          <w:sz w:val="22"/>
          <w:rtl/>
          <w:lang w:bidi="ar-EG"/>
        </w:rPr>
        <w:t xml:space="preserve">ا بمرحلة انتقالية، بشأن تحديد </w:t>
      </w:r>
      <w:r w:rsidR="005F5479">
        <w:rPr>
          <w:rFonts w:hint="cs"/>
          <w:sz w:val="22"/>
          <w:rtl/>
          <w:lang w:bidi="ar-EG"/>
        </w:rPr>
        <w:t xml:space="preserve">احتياجات التمويل، والفجوات والأولويات، وإعداد وتنفيذ الاستراتيجيات الوطنية لحشد الموارد، وبشأن الإبلاغ المالي، </w:t>
      </w:r>
      <w:r w:rsidR="005F5479">
        <w:rPr>
          <w:rFonts w:hint="cs"/>
          <w:i/>
          <w:iCs/>
          <w:sz w:val="22"/>
          <w:rtl/>
          <w:lang w:bidi="ar-EG"/>
        </w:rPr>
        <w:t>ويدعو</w:t>
      </w:r>
      <w:r w:rsidR="005F5479">
        <w:rPr>
          <w:rFonts w:hint="cs"/>
          <w:sz w:val="22"/>
          <w:rtl/>
          <w:lang w:bidi="ar-EG"/>
        </w:rPr>
        <w:t xml:space="preserve"> هذه المنظمات والمبادرات إلى مواصلة هذا العمل وزيادة تكثيفه؛</w:t>
      </w:r>
    </w:p>
    <w:p w:rsidR="005F5479" w:rsidRDefault="007937E6" w:rsidP="00B04698">
      <w:pPr>
        <w:spacing w:after="120"/>
        <w:ind w:firstLine="720"/>
        <w:jc w:val="both"/>
        <w:rPr>
          <w:sz w:val="22"/>
          <w:rtl/>
          <w:lang w:bidi="ar-EG"/>
        </w:rPr>
      </w:pPr>
      <w:r>
        <w:rPr>
          <w:rFonts w:hint="cs"/>
          <w:sz w:val="22"/>
          <w:rtl/>
          <w:lang w:bidi="ar-EG"/>
        </w:rPr>
        <w:t>5</w:t>
      </w:r>
      <w:r w:rsidR="005F5479">
        <w:rPr>
          <w:rFonts w:hint="cs"/>
          <w:sz w:val="22"/>
          <w:rtl/>
          <w:lang w:bidi="ar-EG"/>
        </w:rPr>
        <w:t>-</w:t>
      </w:r>
      <w:r w:rsidR="005F5479">
        <w:rPr>
          <w:rFonts w:hint="cs"/>
          <w:sz w:val="22"/>
          <w:rtl/>
          <w:lang w:bidi="ar-EG"/>
        </w:rPr>
        <w:tab/>
      </w:r>
      <w:r w:rsidR="005F5479">
        <w:rPr>
          <w:rFonts w:hint="cs"/>
          <w:i/>
          <w:iCs/>
          <w:sz w:val="22"/>
          <w:rtl/>
          <w:lang w:bidi="ar-EG"/>
        </w:rPr>
        <w:t xml:space="preserve">يدعو </w:t>
      </w:r>
      <w:r w:rsidR="005F5479">
        <w:rPr>
          <w:rFonts w:hint="cs"/>
          <w:sz w:val="22"/>
          <w:rtl/>
          <w:lang w:bidi="ar-EG"/>
        </w:rPr>
        <w:t>الأطراف، والحكومات الأخرى والجهات المانحة القادرة على تقديم الدعم المالي إلى هذه الأنشطة المتعلقة ببناء القدرات والدعم التقني إلى القيام بذلك؛</w:t>
      </w:r>
    </w:p>
    <w:p w:rsidR="005F5479" w:rsidRPr="005F5479" w:rsidRDefault="007937E6" w:rsidP="0005279A">
      <w:pPr>
        <w:spacing w:after="120"/>
        <w:ind w:firstLine="720"/>
        <w:jc w:val="both"/>
        <w:rPr>
          <w:sz w:val="22"/>
          <w:rtl/>
          <w:lang w:bidi="ar-EG"/>
        </w:rPr>
      </w:pPr>
      <w:r>
        <w:rPr>
          <w:rFonts w:hint="cs"/>
          <w:sz w:val="22"/>
          <w:rtl/>
          <w:lang w:bidi="ar-EG"/>
        </w:rPr>
        <w:t>6</w:t>
      </w:r>
      <w:r w:rsidR="005F5479">
        <w:rPr>
          <w:rFonts w:hint="cs"/>
          <w:sz w:val="22"/>
          <w:rtl/>
          <w:lang w:bidi="ar-EG"/>
        </w:rPr>
        <w:t>-</w:t>
      </w:r>
      <w:r w:rsidR="005F5479">
        <w:rPr>
          <w:rFonts w:hint="cs"/>
          <w:sz w:val="22"/>
          <w:rtl/>
          <w:lang w:bidi="ar-EG"/>
        </w:rPr>
        <w:tab/>
      </w:r>
      <w:r w:rsidR="005F5479">
        <w:rPr>
          <w:rFonts w:hint="cs"/>
          <w:i/>
          <w:iCs/>
          <w:sz w:val="22"/>
          <w:rtl/>
          <w:lang w:bidi="ar-EG"/>
        </w:rPr>
        <w:t xml:space="preserve">يحيط علما </w:t>
      </w:r>
      <w:r w:rsidR="005F5479">
        <w:rPr>
          <w:rFonts w:hint="cs"/>
          <w:sz w:val="22"/>
          <w:rtl/>
          <w:lang w:bidi="ar-EG"/>
        </w:rPr>
        <w:t xml:space="preserve">بالعمل الذي تضطلع به لجنة المساعدة الإنمائية لمنظمة التعاون والتنمية في الميدان الاقتصادي </w:t>
      </w:r>
      <w:r w:rsidR="0005279A">
        <w:rPr>
          <w:rFonts w:hint="cs"/>
          <w:sz w:val="22"/>
          <w:rtl/>
          <w:lang w:val="en-GB" w:bidi="ar-EG"/>
        </w:rPr>
        <w:t>من أجل تحسين منهجية علامات ريو،</w:t>
      </w:r>
    </w:p>
    <w:p w:rsidR="0005279A" w:rsidRPr="0008214A" w:rsidRDefault="007937E6" w:rsidP="0005279A">
      <w:pPr>
        <w:keepNext/>
        <w:jc w:val="center"/>
        <w:rPr>
          <w:b/>
          <w:bCs/>
          <w:lang w:bidi="ar-EG"/>
        </w:rPr>
      </w:pPr>
      <w:r>
        <w:rPr>
          <w:rFonts w:hint="cs"/>
          <w:b/>
          <w:bCs/>
          <w:rtl/>
          <w:lang w:bidi="ar-EG"/>
        </w:rPr>
        <w:lastRenderedPageBreak/>
        <w:t>جيم-</w:t>
      </w:r>
      <w:r>
        <w:rPr>
          <w:rFonts w:hint="cs"/>
          <w:b/>
          <w:bCs/>
          <w:rtl/>
          <w:lang w:bidi="ar-EG"/>
        </w:rPr>
        <w:tab/>
      </w:r>
      <w:r w:rsidR="0005279A">
        <w:rPr>
          <w:rFonts w:hint="cs"/>
          <w:b/>
          <w:bCs/>
          <w:rtl/>
          <w:lang w:bidi="ar-EG"/>
        </w:rPr>
        <w:t>المعالم الرئيسية من أجل التنفيذ الكامل للهدف 3 من أهداف أيشي للتنوع البيولوجي</w:t>
      </w:r>
    </w:p>
    <w:p w:rsidR="00A31DDB" w:rsidRDefault="007937E6" w:rsidP="0073331D">
      <w:pPr>
        <w:spacing w:after="120"/>
        <w:ind w:firstLine="720"/>
        <w:jc w:val="both"/>
        <w:rPr>
          <w:sz w:val="22"/>
          <w:rtl/>
          <w:lang w:bidi="ar-EG"/>
        </w:rPr>
      </w:pPr>
      <w:r>
        <w:rPr>
          <w:rFonts w:hint="cs"/>
          <w:sz w:val="22"/>
          <w:rtl/>
          <w:lang w:bidi="ar-EG"/>
        </w:rPr>
        <w:t>7</w:t>
      </w:r>
      <w:r w:rsidR="0005279A">
        <w:rPr>
          <w:rFonts w:hint="cs"/>
          <w:sz w:val="22"/>
          <w:rtl/>
          <w:lang w:bidi="ar-EG"/>
        </w:rPr>
        <w:t>-</w:t>
      </w:r>
      <w:r w:rsidR="0005279A">
        <w:rPr>
          <w:rFonts w:hint="cs"/>
          <w:sz w:val="22"/>
          <w:rtl/>
          <w:lang w:bidi="ar-EG"/>
        </w:rPr>
        <w:tab/>
      </w:r>
      <w:r w:rsidR="0005279A">
        <w:rPr>
          <w:rFonts w:hint="cs"/>
          <w:i/>
          <w:iCs/>
          <w:sz w:val="22"/>
          <w:rtl/>
          <w:lang w:bidi="ar-EG"/>
        </w:rPr>
        <w:t xml:space="preserve">يقر </w:t>
      </w:r>
      <w:r w:rsidR="0005279A">
        <w:rPr>
          <w:rFonts w:hint="cs"/>
          <w:sz w:val="22"/>
          <w:rtl/>
          <w:lang w:bidi="ar-EG"/>
        </w:rPr>
        <w:t xml:space="preserve">بالمساهمة الممكنة لتنفيذ الهدف 3 من أهداف أيشي للتنوع البيولوجي </w:t>
      </w:r>
      <w:r w:rsidR="0073331D">
        <w:rPr>
          <w:rFonts w:hint="cs"/>
          <w:sz w:val="22"/>
          <w:rtl/>
          <w:lang w:bidi="ar-EG"/>
        </w:rPr>
        <w:t>بشأن</w:t>
      </w:r>
      <w:r w:rsidR="0005279A">
        <w:rPr>
          <w:rFonts w:hint="cs"/>
          <w:sz w:val="22"/>
          <w:rtl/>
          <w:lang w:bidi="ar-EG"/>
        </w:rPr>
        <w:t xml:space="preserve"> حشد الموارد المالية؛</w:t>
      </w:r>
    </w:p>
    <w:p w:rsidR="0005279A" w:rsidRDefault="007937E6" w:rsidP="0073331D">
      <w:pPr>
        <w:spacing w:after="120"/>
        <w:ind w:firstLine="720"/>
        <w:jc w:val="both"/>
        <w:rPr>
          <w:sz w:val="22"/>
          <w:rtl/>
          <w:lang w:bidi="ar-EG"/>
        </w:rPr>
      </w:pPr>
      <w:r>
        <w:rPr>
          <w:rFonts w:hint="cs"/>
          <w:sz w:val="22"/>
          <w:rtl/>
          <w:lang w:bidi="ar-EG"/>
        </w:rPr>
        <w:t>8</w:t>
      </w:r>
      <w:r w:rsidR="0005279A">
        <w:rPr>
          <w:rFonts w:hint="cs"/>
          <w:sz w:val="22"/>
          <w:rtl/>
          <w:lang w:bidi="ar-EG"/>
        </w:rPr>
        <w:t>-</w:t>
      </w:r>
      <w:r w:rsidR="0005279A">
        <w:rPr>
          <w:rFonts w:hint="cs"/>
          <w:sz w:val="22"/>
          <w:rtl/>
          <w:lang w:bidi="ar-EG"/>
        </w:rPr>
        <w:tab/>
      </w:r>
      <w:r w:rsidR="0073331D">
        <w:rPr>
          <w:rFonts w:hint="cs"/>
          <w:i/>
          <w:iCs/>
          <w:sz w:val="22"/>
          <w:rtl/>
          <w:lang w:bidi="ar-EG"/>
        </w:rPr>
        <w:t>يلاحظ</w:t>
      </w:r>
      <w:r w:rsidR="0005279A">
        <w:rPr>
          <w:rFonts w:hint="cs"/>
          <w:i/>
          <w:iCs/>
          <w:sz w:val="22"/>
          <w:rtl/>
          <w:lang w:bidi="ar-EG"/>
        </w:rPr>
        <w:t xml:space="preserve"> مع القلق</w:t>
      </w:r>
      <w:r w:rsidR="0073331D">
        <w:rPr>
          <w:rFonts w:hint="cs"/>
          <w:sz w:val="22"/>
          <w:rtl/>
          <w:lang w:bidi="ar-EG"/>
        </w:rPr>
        <w:t xml:space="preserve"> </w:t>
      </w:r>
      <w:r w:rsidR="0005279A">
        <w:rPr>
          <w:rFonts w:hint="cs"/>
          <w:sz w:val="22"/>
          <w:rtl/>
          <w:lang w:bidi="ar-EG"/>
        </w:rPr>
        <w:t xml:space="preserve">التقدم المحدود المحرز في تنفيذ الهدف 3 من أهداف أيشي للتنوع البيولوجي والمعالم الرئيسية لتنفيذه، ولاسيما بشأن إزالة </w:t>
      </w:r>
      <w:r w:rsidR="0073331D">
        <w:rPr>
          <w:rFonts w:hint="cs"/>
          <w:sz w:val="22"/>
          <w:rtl/>
          <w:lang w:bidi="ar-EG"/>
        </w:rPr>
        <w:t>الحوافز</w:t>
      </w:r>
      <w:r w:rsidR="007D33A7">
        <w:rPr>
          <w:rFonts w:hint="cs"/>
          <w:sz w:val="22"/>
          <w:rtl/>
          <w:lang w:bidi="ar-EG"/>
        </w:rPr>
        <w:t xml:space="preserve"> الضارة بالتنوع البيولوجي</w:t>
      </w:r>
      <w:r w:rsidR="0073331D">
        <w:rPr>
          <w:rFonts w:hint="cs"/>
          <w:sz w:val="22"/>
          <w:rtl/>
          <w:lang w:bidi="ar-EG"/>
        </w:rPr>
        <w:t>،</w:t>
      </w:r>
      <w:r w:rsidR="0073331D" w:rsidRPr="0073331D">
        <w:rPr>
          <w:rFonts w:hint="cs"/>
          <w:sz w:val="22"/>
          <w:rtl/>
          <w:lang w:bidi="ar-EG"/>
        </w:rPr>
        <w:t xml:space="preserve"> </w:t>
      </w:r>
      <w:r w:rsidR="0073331D">
        <w:rPr>
          <w:rFonts w:hint="cs"/>
          <w:sz w:val="22"/>
          <w:rtl/>
          <w:lang w:bidi="ar-EG"/>
        </w:rPr>
        <w:t>بما في ذلك الإعانات</w:t>
      </w:r>
      <w:r w:rsidR="0005279A">
        <w:rPr>
          <w:rFonts w:hint="cs"/>
          <w:sz w:val="22"/>
          <w:rtl/>
          <w:lang w:bidi="ar-EG"/>
        </w:rPr>
        <w:t>، أو إزالتها تدريجيا أو إصلاحها،</w:t>
      </w:r>
      <w:r w:rsidR="007D33A7">
        <w:rPr>
          <w:rFonts w:hint="cs"/>
          <w:sz w:val="22"/>
          <w:rtl/>
          <w:lang w:bidi="ar-EG"/>
        </w:rPr>
        <w:t xml:space="preserve"> </w:t>
      </w:r>
      <w:r w:rsidR="0005279A">
        <w:rPr>
          <w:rFonts w:hint="cs"/>
          <w:sz w:val="22"/>
          <w:rtl/>
          <w:lang w:bidi="ar-EG"/>
        </w:rPr>
        <w:t>بالاتساق والتجانس مع الاتفاقية والالتزامات الدولية الأخرى ذات الصلة، مع مراعاة الظروف الاجتماعية الاقتصادية الوطنية؛</w:t>
      </w:r>
    </w:p>
    <w:p w:rsidR="00DF28FB" w:rsidRDefault="007937E6" w:rsidP="007F5922">
      <w:pPr>
        <w:spacing w:after="120"/>
        <w:ind w:firstLine="720"/>
        <w:jc w:val="both"/>
        <w:rPr>
          <w:sz w:val="22"/>
          <w:rtl/>
          <w:lang w:bidi="ar-EG"/>
        </w:rPr>
      </w:pPr>
      <w:r>
        <w:rPr>
          <w:rFonts w:hint="cs"/>
          <w:sz w:val="22"/>
          <w:rtl/>
          <w:lang w:bidi="ar-EG"/>
        </w:rPr>
        <w:t>9</w:t>
      </w:r>
      <w:r w:rsidR="0005279A">
        <w:rPr>
          <w:rFonts w:hint="cs"/>
          <w:sz w:val="22"/>
          <w:rtl/>
          <w:lang w:bidi="ar-EG"/>
        </w:rPr>
        <w:t>-</w:t>
      </w:r>
      <w:r w:rsidR="0005279A">
        <w:rPr>
          <w:rFonts w:hint="cs"/>
          <w:sz w:val="22"/>
          <w:rtl/>
          <w:lang w:bidi="ar-EG"/>
        </w:rPr>
        <w:tab/>
      </w:r>
      <w:r w:rsidR="0005279A">
        <w:rPr>
          <w:rFonts w:hint="cs"/>
          <w:i/>
          <w:iCs/>
          <w:sz w:val="22"/>
          <w:rtl/>
          <w:lang w:bidi="ar-EG"/>
        </w:rPr>
        <w:t xml:space="preserve">يحث </w:t>
      </w:r>
      <w:r w:rsidR="0005279A">
        <w:rPr>
          <w:rFonts w:hint="cs"/>
          <w:sz w:val="22"/>
          <w:rtl/>
          <w:lang w:bidi="ar-EG"/>
        </w:rPr>
        <w:t>الأطراف والحكومات الأخرى على تكثيف جهودها الرامية إلى تنفيذ تدابير من أجل التنفيذ الكامل للهدف 3 من أهداف أيشي للتنوع البيولوجي، مع مراعاة المعالم الرئيسية التي اعتمدها مؤتمر الأطراف في اجتماعه الثاني عشر،</w:t>
      </w:r>
      <w:r>
        <w:rPr>
          <w:rStyle w:val="FootnoteReference"/>
          <w:sz w:val="22"/>
          <w:rtl/>
        </w:rPr>
        <w:footnoteReference w:id="40"/>
      </w:r>
      <w:r w:rsidR="0005279A">
        <w:rPr>
          <w:rFonts w:hint="cs"/>
          <w:sz w:val="22"/>
          <w:rtl/>
          <w:lang w:bidi="ar-EG"/>
        </w:rPr>
        <w:t xml:space="preserve"> كإطار مرن، بالاتساق والتجانس مع الاتفاقية والالتزامات الدولية الأخرى ذات الصلة، مع مراعاة الظروف الاجتماعية الاقتصادية الوطنية؛</w:t>
      </w:r>
    </w:p>
    <w:p w:rsidR="007F5922" w:rsidRDefault="007937E6" w:rsidP="0073331D">
      <w:pPr>
        <w:spacing w:after="120"/>
        <w:ind w:firstLine="720"/>
        <w:jc w:val="both"/>
        <w:rPr>
          <w:sz w:val="22"/>
          <w:rtl/>
          <w:lang w:bidi="ar-EG"/>
        </w:rPr>
      </w:pPr>
      <w:r>
        <w:rPr>
          <w:rFonts w:hint="cs"/>
          <w:sz w:val="22"/>
          <w:rtl/>
          <w:lang w:bidi="ar-EG"/>
        </w:rPr>
        <w:t>10</w:t>
      </w:r>
      <w:r w:rsidR="007F5922">
        <w:rPr>
          <w:rFonts w:hint="cs"/>
          <w:sz w:val="22"/>
          <w:rtl/>
          <w:lang w:bidi="ar-EG"/>
        </w:rPr>
        <w:t>-</w:t>
      </w:r>
      <w:r w:rsidR="007F5922">
        <w:rPr>
          <w:rFonts w:hint="cs"/>
          <w:sz w:val="22"/>
          <w:rtl/>
          <w:lang w:bidi="ar-EG"/>
        </w:rPr>
        <w:tab/>
      </w:r>
      <w:r w:rsidR="00060303">
        <w:rPr>
          <w:rFonts w:hint="cs"/>
          <w:i/>
          <w:iCs/>
          <w:sz w:val="22"/>
          <w:rtl/>
          <w:lang w:bidi="ar-EG"/>
        </w:rPr>
        <w:t xml:space="preserve">يرحب </w:t>
      </w:r>
      <w:r w:rsidR="00060303">
        <w:rPr>
          <w:rFonts w:hint="cs"/>
          <w:sz w:val="22"/>
          <w:rtl/>
          <w:lang w:bidi="ar-EG"/>
        </w:rPr>
        <w:t xml:space="preserve">بعمل المنظمات والمبادرات ذات الصلة، بما في ذلك مبادرة تمويل التنوع البيولوجي لبرنامج الأمم المتحدة الإنمائي، وبرنامج الأمم المتحدة للبيئة، ومنظمة التعاون والتنمية في الميدان الاقتصادي، والمعهد الدولي للتنمية المستدامة، وشركاء آخرين، </w:t>
      </w:r>
      <w:r w:rsidR="0073331D">
        <w:rPr>
          <w:rFonts w:hint="cs"/>
          <w:sz w:val="22"/>
          <w:rtl/>
          <w:lang w:bidi="ar-EG"/>
        </w:rPr>
        <w:t>بشأن</w:t>
      </w:r>
      <w:r w:rsidR="00060303">
        <w:rPr>
          <w:rFonts w:hint="cs"/>
          <w:sz w:val="22"/>
          <w:rtl/>
          <w:lang w:bidi="ar-EG"/>
        </w:rPr>
        <w:t xml:space="preserve"> تقديم دعم تحليلي وتقني وبناء القدرات لتنفيذ الهدف 3 من أهداف أيشي للتنوع البيولوجي، ويدعو هذه المنظمات والمبادرات إلى مواصلة هذا العمل وزيادة تكثيفه؛</w:t>
      </w:r>
    </w:p>
    <w:p w:rsidR="00060303" w:rsidRDefault="007937E6" w:rsidP="007D33A7">
      <w:pPr>
        <w:spacing w:after="120"/>
        <w:ind w:firstLine="720"/>
        <w:jc w:val="both"/>
        <w:rPr>
          <w:sz w:val="22"/>
          <w:rtl/>
          <w:lang w:bidi="ar-EG"/>
        </w:rPr>
      </w:pPr>
      <w:r>
        <w:rPr>
          <w:rFonts w:hint="cs"/>
          <w:sz w:val="22"/>
          <w:rtl/>
          <w:lang w:bidi="ar-EG"/>
        </w:rPr>
        <w:t>11</w:t>
      </w:r>
      <w:r w:rsidR="00060303">
        <w:rPr>
          <w:rFonts w:hint="cs"/>
          <w:sz w:val="22"/>
          <w:rtl/>
          <w:lang w:bidi="ar-EG"/>
        </w:rPr>
        <w:t>-</w:t>
      </w:r>
      <w:r w:rsidR="006D2492">
        <w:rPr>
          <w:rFonts w:hint="cs"/>
          <w:i/>
          <w:iCs/>
          <w:sz w:val="22"/>
          <w:rtl/>
          <w:lang w:bidi="ar-EG"/>
        </w:rPr>
        <w:tab/>
      </w:r>
      <w:r w:rsidR="00060303">
        <w:rPr>
          <w:rFonts w:hint="cs"/>
          <w:i/>
          <w:iCs/>
          <w:sz w:val="22"/>
          <w:rtl/>
          <w:lang w:bidi="ar-EG"/>
        </w:rPr>
        <w:t xml:space="preserve">يلاحظ </w:t>
      </w:r>
      <w:r w:rsidR="00060303">
        <w:rPr>
          <w:rFonts w:hint="cs"/>
          <w:sz w:val="22"/>
          <w:rtl/>
          <w:lang w:bidi="ar-EG"/>
        </w:rPr>
        <w:t xml:space="preserve">الدور المفيد للدراسات الوطنية لتحديد الحوافز الضارة والفرص المتاحة </w:t>
      </w:r>
      <w:r w:rsidR="007D33A7">
        <w:rPr>
          <w:rFonts w:hint="cs"/>
          <w:sz w:val="22"/>
          <w:rtl/>
          <w:lang w:bidi="ar-EG"/>
        </w:rPr>
        <w:t>لإلغاء</w:t>
      </w:r>
      <w:r w:rsidR="00060303">
        <w:rPr>
          <w:rFonts w:hint="cs"/>
          <w:sz w:val="22"/>
          <w:rtl/>
          <w:lang w:bidi="ar-EG"/>
        </w:rPr>
        <w:t xml:space="preserve"> أو إصلاح الحوافز الضارة، بما في ذلك الإعانات، وفي استكشاف وتحديد الإجراءات السياساتية الأكثر فعالية، </w:t>
      </w:r>
      <w:r w:rsidR="00060303">
        <w:rPr>
          <w:rFonts w:hint="cs"/>
          <w:i/>
          <w:iCs/>
          <w:sz w:val="22"/>
          <w:rtl/>
          <w:lang w:bidi="ar-EG"/>
        </w:rPr>
        <w:t xml:space="preserve">ويدعو </w:t>
      </w:r>
      <w:r w:rsidR="00060303">
        <w:rPr>
          <w:rFonts w:hint="cs"/>
          <w:sz w:val="22"/>
          <w:rtl/>
          <w:lang w:bidi="ar-EG"/>
        </w:rPr>
        <w:t>المنظمات المهتمة، مثل المنظمات والمبادرات المذكورة في الفقرة السابقة، إلى النظر في الاضطلاع بتجميع تنظيمي وتحليل للدراسات الحالية بغية تحديد أساليب الممارسات الجيدة من أجل تحديد الحوافز الضارة وإعداد استجابات ملائمة تتعلق بالسياسة العامة، وإعداد معيار أو نموذج لهذه المعايير كإرشادات طوعية؛</w:t>
      </w:r>
    </w:p>
    <w:p w:rsidR="00060303" w:rsidRPr="00060303" w:rsidRDefault="007937E6" w:rsidP="007937E6">
      <w:pPr>
        <w:spacing w:after="120"/>
        <w:ind w:firstLine="720"/>
        <w:jc w:val="both"/>
        <w:rPr>
          <w:sz w:val="22"/>
          <w:rtl/>
          <w:lang w:bidi="ar-EG"/>
        </w:rPr>
      </w:pPr>
      <w:r>
        <w:rPr>
          <w:rFonts w:hint="cs"/>
          <w:sz w:val="22"/>
          <w:rtl/>
          <w:lang w:bidi="ar-EG"/>
        </w:rPr>
        <w:t>12</w:t>
      </w:r>
      <w:r w:rsidR="00060303">
        <w:rPr>
          <w:rFonts w:hint="cs"/>
          <w:sz w:val="22"/>
          <w:rtl/>
          <w:lang w:bidi="ar-EG"/>
        </w:rPr>
        <w:t>-</w:t>
      </w:r>
      <w:r w:rsidR="00060303">
        <w:rPr>
          <w:rFonts w:hint="cs"/>
          <w:sz w:val="22"/>
          <w:rtl/>
          <w:lang w:bidi="ar-EG"/>
        </w:rPr>
        <w:tab/>
      </w:r>
      <w:r w:rsidR="00060303">
        <w:rPr>
          <w:rFonts w:hint="cs"/>
          <w:i/>
          <w:iCs/>
          <w:sz w:val="22"/>
          <w:rtl/>
          <w:lang w:bidi="ar-EG"/>
        </w:rPr>
        <w:t xml:space="preserve">يطلب </w:t>
      </w:r>
      <w:r w:rsidR="00060303">
        <w:rPr>
          <w:rFonts w:hint="cs"/>
          <w:sz w:val="22"/>
          <w:rtl/>
          <w:lang w:bidi="ar-EG"/>
        </w:rPr>
        <w:t xml:space="preserve">إلى الأمين التنفيذي، رهنا بتوافر الموارد، أن يدعم وييسر العمل </w:t>
      </w:r>
      <w:r>
        <w:rPr>
          <w:rFonts w:hint="cs"/>
          <w:sz w:val="22"/>
          <w:rtl/>
          <w:lang w:bidi="ar-EG"/>
        </w:rPr>
        <w:t>المشار إليه</w:t>
      </w:r>
      <w:r w:rsidR="00060303">
        <w:rPr>
          <w:rFonts w:hint="cs"/>
          <w:sz w:val="22"/>
          <w:rtl/>
          <w:lang w:bidi="ar-EG"/>
        </w:rPr>
        <w:t xml:space="preserve"> في الفقرات </w:t>
      </w:r>
      <w:r>
        <w:rPr>
          <w:rFonts w:hint="cs"/>
          <w:sz w:val="22"/>
          <w:rtl/>
          <w:lang w:bidi="ar-EG"/>
        </w:rPr>
        <w:t>4</w:t>
      </w:r>
      <w:r w:rsidR="00060303">
        <w:rPr>
          <w:rFonts w:hint="cs"/>
          <w:sz w:val="22"/>
          <w:rtl/>
          <w:lang w:bidi="ar-EG"/>
        </w:rPr>
        <w:t xml:space="preserve"> و</w:t>
      </w:r>
      <w:r>
        <w:rPr>
          <w:rFonts w:hint="cs"/>
          <w:sz w:val="22"/>
          <w:rtl/>
          <w:lang w:bidi="ar-EG"/>
        </w:rPr>
        <w:t>10</w:t>
      </w:r>
      <w:r w:rsidR="00060303">
        <w:rPr>
          <w:rFonts w:hint="cs"/>
          <w:sz w:val="22"/>
          <w:rtl/>
          <w:lang w:bidi="ar-EG"/>
        </w:rPr>
        <w:t xml:space="preserve"> و1</w:t>
      </w:r>
      <w:r>
        <w:rPr>
          <w:rFonts w:hint="cs"/>
          <w:sz w:val="22"/>
          <w:rtl/>
          <w:lang w:bidi="ar-EG"/>
        </w:rPr>
        <w:t>1</w:t>
      </w:r>
      <w:r w:rsidR="00060303">
        <w:rPr>
          <w:rFonts w:hint="cs"/>
          <w:sz w:val="22"/>
          <w:rtl/>
          <w:lang w:bidi="ar-EG"/>
        </w:rPr>
        <w:t xml:space="preserve"> أعلاه.</w:t>
      </w:r>
      <w:r w:rsidR="004A73A5">
        <w:rPr>
          <w:rFonts w:hint="cs"/>
          <w:sz w:val="22"/>
          <w:rtl/>
          <w:lang w:bidi="ar-EG"/>
        </w:rPr>
        <w:t xml:space="preserve"> </w:t>
      </w:r>
    </w:p>
    <w:p w:rsidR="00EA2A7D" w:rsidRPr="00DF28FB" w:rsidRDefault="00EA2A7D" w:rsidP="00EA2A7D">
      <w:pPr>
        <w:spacing w:after="120"/>
        <w:ind w:left="6"/>
        <w:jc w:val="center"/>
        <w:rPr>
          <w:sz w:val="24"/>
          <w:rtl/>
          <w:lang w:bidi="ar-EG"/>
        </w:rPr>
      </w:pPr>
      <w:r w:rsidRPr="006F4060">
        <w:rPr>
          <w:rFonts w:cs="Times New Roman"/>
          <w:kern w:val="22"/>
          <w:szCs w:val="22"/>
        </w:rPr>
        <w:t>__________</w:t>
      </w:r>
    </w:p>
    <w:sectPr w:rsidR="00EA2A7D" w:rsidRPr="00DF28FB" w:rsidSect="009A6C4E">
      <w:headerReference w:type="even" r:id="rId18"/>
      <w:headerReference w:type="default" r:id="rId19"/>
      <w:footerReference w:type="first" r:id="rId20"/>
      <w:pgSz w:w="12240" w:h="15840" w:code="1"/>
      <w:pgMar w:top="1009" w:right="1440" w:bottom="1151"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A7" w:rsidRDefault="001564A7">
      <w:r>
        <w:separator/>
      </w:r>
    </w:p>
  </w:endnote>
  <w:endnote w:type="continuationSeparator" w:id="0">
    <w:p w:rsidR="001564A7" w:rsidRDefault="0015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BE" w:rsidRPr="006448C4" w:rsidRDefault="00C51ABE" w:rsidP="00134922">
    <w:pPr>
      <w:pStyle w:val="Footer"/>
      <w:jc w:val="center"/>
      <w:rPr>
        <w:vertAlign w:val="superscript"/>
        <w:rtl/>
        <w:lang w:bidi="ar-EG"/>
      </w:rPr>
    </w:pPr>
  </w:p>
  <w:p w:rsidR="00C51ABE" w:rsidRDefault="00C5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A7" w:rsidRDefault="001564A7">
      <w:r>
        <w:separator/>
      </w:r>
    </w:p>
  </w:footnote>
  <w:footnote w:type="continuationSeparator" w:id="0">
    <w:p w:rsidR="001564A7" w:rsidRDefault="001564A7">
      <w:r>
        <w:continuationSeparator/>
      </w:r>
    </w:p>
  </w:footnote>
  <w:footnote w:id="1">
    <w:p w:rsidR="00C51ABE" w:rsidRDefault="00C51ABE">
      <w:pPr>
        <w:pStyle w:val="FootnoteText"/>
      </w:pPr>
      <w:r>
        <w:rPr>
          <w:rStyle w:val="FootnoteReference"/>
          <w:rtl/>
        </w:rPr>
        <w:t>*</w:t>
      </w:r>
      <w:r>
        <w:rPr>
          <w:rtl/>
        </w:rPr>
        <w:t xml:space="preserve"> </w:t>
      </w:r>
      <w:r w:rsidRPr="00EF53A2">
        <w:rPr>
          <w:snapToGrid w:val="0"/>
          <w:kern w:val="18"/>
        </w:rPr>
        <w:t>CBD/SBI/</w:t>
      </w:r>
      <w:r>
        <w:rPr>
          <w:snapToGrid w:val="0"/>
          <w:kern w:val="18"/>
        </w:rPr>
        <w:t>2</w:t>
      </w:r>
      <w:r w:rsidRPr="00EF53A2">
        <w:rPr>
          <w:snapToGrid w:val="0"/>
          <w:kern w:val="18"/>
        </w:rPr>
        <w:t>/1</w:t>
      </w:r>
      <w:r>
        <w:rPr>
          <w:rFonts w:hint="cs"/>
          <w:rtl/>
        </w:rPr>
        <w:t>.</w:t>
      </w:r>
    </w:p>
  </w:footnote>
  <w:footnote w:id="2">
    <w:p w:rsidR="00C51ABE" w:rsidRDefault="00C51ABE">
      <w:pPr>
        <w:pStyle w:val="FootnoteText"/>
      </w:pPr>
      <w:r>
        <w:rPr>
          <w:rStyle w:val="FootnoteReference"/>
        </w:rPr>
        <w:footnoteRef/>
      </w:r>
      <w:r>
        <w:rPr>
          <w:rtl/>
        </w:rPr>
        <w:t xml:space="preserve"> </w:t>
      </w:r>
      <w:r w:rsidR="00C7642D">
        <w:rPr>
          <w:rFonts w:hint="cs"/>
          <w:rtl/>
        </w:rPr>
        <w:t xml:space="preserve">انظر </w:t>
      </w:r>
      <w:r>
        <w:rPr>
          <w:rFonts w:hint="cs"/>
          <w:rtl/>
        </w:rPr>
        <w:t xml:space="preserve">المقرر </w:t>
      </w:r>
      <w:hyperlink r:id="rId1" w:history="1">
        <w:r w:rsidRPr="00000C9D">
          <w:rPr>
            <w:rStyle w:val="Hyperlink"/>
            <w:rFonts w:hint="cs"/>
            <w:rtl/>
          </w:rPr>
          <w:t>11/4</w:t>
        </w:r>
      </w:hyperlink>
      <w:r>
        <w:rPr>
          <w:rFonts w:hint="cs"/>
          <w:rtl/>
        </w:rPr>
        <w:t>، الفقرة 7.</w:t>
      </w:r>
    </w:p>
  </w:footnote>
  <w:footnote w:id="3">
    <w:p w:rsidR="00C7642D" w:rsidRDefault="00C7642D">
      <w:pPr>
        <w:pStyle w:val="FootnoteText"/>
        <w:rPr>
          <w:lang w:bidi="ar-EG"/>
        </w:rPr>
      </w:pPr>
      <w:r>
        <w:rPr>
          <w:rStyle w:val="FootnoteReference"/>
        </w:rPr>
        <w:footnoteRef/>
      </w:r>
      <w:r>
        <w:rPr>
          <w:rtl/>
        </w:rPr>
        <w:t xml:space="preserve"> </w:t>
      </w:r>
      <w:r>
        <w:rPr>
          <w:rFonts w:hint="cs"/>
          <w:rtl/>
        </w:rPr>
        <w:t xml:space="preserve">انظر المقرر </w:t>
      </w:r>
      <w:hyperlink r:id="rId2" w:history="1">
        <w:r w:rsidRPr="00000C9D">
          <w:rPr>
            <w:rStyle w:val="Hyperlink"/>
            <w:rFonts w:hint="cs"/>
            <w:rtl/>
          </w:rPr>
          <w:t>12/3</w:t>
        </w:r>
      </w:hyperlink>
      <w:r>
        <w:rPr>
          <w:rFonts w:hint="cs"/>
          <w:rtl/>
        </w:rPr>
        <w:t>، الفقرتان 1 و24، والمرفق الثاني.</w:t>
      </w:r>
    </w:p>
  </w:footnote>
  <w:footnote w:id="4">
    <w:p w:rsidR="00C51ABE" w:rsidRDefault="00C51ABE">
      <w:pPr>
        <w:pStyle w:val="FootnoteText"/>
      </w:pPr>
      <w:r>
        <w:rPr>
          <w:rStyle w:val="FootnoteReference"/>
        </w:rPr>
        <w:footnoteRef/>
      </w:r>
      <w:r>
        <w:rPr>
          <w:rtl/>
        </w:rPr>
        <w:t xml:space="preserve"> </w:t>
      </w:r>
      <w:hyperlink r:id="rId3" w:history="1">
        <w:r w:rsidRPr="005C71C1">
          <w:rPr>
            <w:rStyle w:val="Hyperlink"/>
            <w:szCs w:val="20"/>
          </w:rPr>
          <w:t>UNEP/CBD/SBI/1/7/Add.1</w:t>
        </w:r>
      </w:hyperlink>
      <w:r>
        <w:rPr>
          <w:rFonts w:hint="cs"/>
          <w:rtl/>
        </w:rPr>
        <w:t>.</w:t>
      </w:r>
    </w:p>
  </w:footnote>
  <w:footnote w:id="5">
    <w:p w:rsidR="00C51ABE" w:rsidRDefault="00C51ABE">
      <w:pPr>
        <w:pStyle w:val="FootnoteText"/>
      </w:pPr>
      <w:r>
        <w:rPr>
          <w:rStyle w:val="FootnoteReference"/>
        </w:rPr>
        <w:footnoteRef/>
      </w:r>
      <w:r>
        <w:rPr>
          <w:rtl/>
        </w:rPr>
        <w:t xml:space="preserve"> </w:t>
      </w:r>
      <w:hyperlink r:id="rId4" w:history="1">
        <w:r w:rsidRPr="005C71C1">
          <w:rPr>
            <w:rStyle w:val="Hyperlink"/>
            <w:szCs w:val="20"/>
          </w:rPr>
          <w:t>UNEP/CBD/COP/13/11/Rev.1</w:t>
        </w:r>
      </w:hyperlink>
      <w:r>
        <w:rPr>
          <w:rFonts w:hint="cs"/>
          <w:rtl/>
        </w:rPr>
        <w:t>.</w:t>
      </w:r>
    </w:p>
  </w:footnote>
  <w:footnote w:id="6">
    <w:p w:rsidR="00D92C5F" w:rsidRDefault="00D92C5F">
      <w:pPr>
        <w:pStyle w:val="FootnoteText"/>
      </w:pPr>
      <w:r>
        <w:rPr>
          <w:rStyle w:val="FootnoteReference"/>
        </w:rPr>
        <w:footnoteRef/>
      </w:r>
      <w:r>
        <w:rPr>
          <w:rtl/>
        </w:rPr>
        <w:t xml:space="preserve"> </w:t>
      </w:r>
      <w:r>
        <w:rPr>
          <w:rFonts w:hint="cs"/>
          <w:rtl/>
        </w:rPr>
        <w:t xml:space="preserve">انظر المقرر </w:t>
      </w:r>
      <w:hyperlink r:id="rId5" w:history="1">
        <w:r w:rsidRPr="00000C9D">
          <w:rPr>
            <w:rStyle w:val="Hyperlink"/>
            <w:rFonts w:hint="cs"/>
            <w:rtl/>
          </w:rPr>
          <w:t>13/20</w:t>
        </w:r>
      </w:hyperlink>
      <w:r>
        <w:rPr>
          <w:rFonts w:hint="cs"/>
          <w:rtl/>
        </w:rPr>
        <w:t>، الفقرتان 6 و8.</w:t>
      </w:r>
    </w:p>
  </w:footnote>
  <w:footnote w:id="7">
    <w:p w:rsidR="005C3546" w:rsidRDefault="005C3546" w:rsidP="00000C9D">
      <w:pPr>
        <w:pStyle w:val="FootnoteText"/>
      </w:pPr>
      <w:r>
        <w:rPr>
          <w:rStyle w:val="FootnoteReference"/>
        </w:rPr>
        <w:footnoteRef/>
      </w:r>
      <w:r>
        <w:rPr>
          <w:rtl/>
        </w:rPr>
        <w:t xml:space="preserve"> </w:t>
      </w:r>
      <w:hyperlink r:id="rId6" w:history="1">
        <w:r w:rsidR="00000C9D" w:rsidRPr="001C6487">
          <w:rPr>
            <w:rStyle w:val="Hyperlink"/>
            <w:noProof/>
            <w:snapToGrid w:val="0"/>
            <w:kern w:val="18"/>
            <w:szCs w:val="18"/>
          </w:rPr>
          <w:t>2017-009</w:t>
        </w:r>
      </w:hyperlink>
      <w:r>
        <w:rPr>
          <w:rFonts w:hint="cs"/>
          <w:rtl/>
        </w:rPr>
        <w:t>.</w:t>
      </w:r>
    </w:p>
  </w:footnote>
  <w:footnote w:id="8">
    <w:p w:rsidR="005C3546" w:rsidRPr="005C3546" w:rsidRDefault="005C3546" w:rsidP="00000C9D">
      <w:pPr>
        <w:pStyle w:val="FootnoteText"/>
        <w:rPr>
          <w:lang w:val="en-GB"/>
        </w:rPr>
      </w:pPr>
      <w:r>
        <w:rPr>
          <w:rStyle w:val="FootnoteReference"/>
        </w:rPr>
        <w:footnoteRef/>
      </w:r>
      <w:r>
        <w:rPr>
          <w:rtl/>
        </w:rPr>
        <w:t xml:space="preserve"> </w:t>
      </w:r>
      <w:hyperlink r:id="rId7" w:history="1">
        <w:r w:rsidR="00000C9D" w:rsidRPr="001C6487">
          <w:rPr>
            <w:rStyle w:val="Hyperlink"/>
            <w:noProof/>
            <w:snapToGrid w:val="0"/>
            <w:kern w:val="18"/>
            <w:szCs w:val="18"/>
          </w:rPr>
          <w:t>2017-061</w:t>
        </w:r>
      </w:hyperlink>
      <w:r>
        <w:rPr>
          <w:rFonts w:hint="cs"/>
          <w:rtl/>
        </w:rPr>
        <w:t>.</w:t>
      </w:r>
    </w:p>
  </w:footnote>
  <w:footnote w:id="9">
    <w:p w:rsidR="005C3546" w:rsidRDefault="005C3546" w:rsidP="00000C9D">
      <w:pPr>
        <w:pStyle w:val="FootnoteText"/>
      </w:pPr>
      <w:r>
        <w:rPr>
          <w:rStyle w:val="FootnoteReference"/>
        </w:rPr>
        <w:footnoteRef/>
      </w:r>
      <w:r>
        <w:rPr>
          <w:rtl/>
        </w:rPr>
        <w:t xml:space="preserve"> </w:t>
      </w:r>
      <w:hyperlink r:id="rId8" w:history="1">
        <w:r w:rsidR="00000C9D" w:rsidRPr="001C6487">
          <w:rPr>
            <w:rStyle w:val="Hyperlink"/>
            <w:noProof/>
            <w:snapToGrid w:val="0"/>
            <w:kern w:val="18"/>
            <w:szCs w:val="18"/>
          </w:rPr>
          <w:t>2018-024</w:t>
        </w:r>
      </w:hyperlink>
      <w:r>
        <w:rPr>
          <w:rFonts w:hint="cs"/>
          <w:rtl/>
        </w:rPr>
        <w:t>.</w:t>
      </w:r>
    </w:p>
  </w:footnote>
  <w:footnote w:id="10">
    <w:p w:rsidR="00C51ABE" w:rsidRDefault="00C51ABE" w:rsidP="005C3546">
      <w:pPr>
        <w:pStyle w:val="FootnoteText"/>
      </w:pPr>
      <w:r>
        <w:rPr>
          <w:rStyle w:val="FootnoteReference"/>
        </w:rPr>
        <w:footnoteRef/>
      </w:r>
      <w:r>
        <w:rPr>
          <w:rtl/>
        </w:rPr>
        <w:t xml:space="preserve"> </w:t>
      </w:r>
      <w:r>
        <w:rPr>
          <w:rFonts w:hint="cs"/>
          <w:rtl/>
        </w:rPr>
        <w:t xml:space="preserve">بالإضافة إلى ذلك، أبلغت النمسا والسويد بالفعل عن </w:t>
      </w:r>
      <w:r w:rsidR="00000C9D">
        <w:rPr>
          <w:rFonts w:hint="cs"/>
          <w:rtl/>
        </w:rPr>
        <w:t xml:space="preserve">إحراز </w:t>
      </w:r>
      <w:r>
        <w:rPr>
          <w:rFonts w:hint="cs"/>
          <w:rtl/>
        </w:rPr>
        <w:t xml:space="preserve">مزيد من التقدم المحرز حتى عام 2020، في الجولة الثانية للإبلاغ التي بدأت </w:t>
      </w:r>
      <w:r w:rsidR="005C3546">
        <w:rPr>
          <w:rFonts w:hint="cs"/>
          <w:rtl/>
        </w:rPr>
        <w:t>عملا با</w:t>
      </w:r>
      <w:r>
        <w:rPr>
          <w:rFonts w:hint="cs"/>
          <w:rtl/>
        </w:rPr>
        <w:t>لفقرة 8 من المقرر 13/20.</w:t>
      </w:r>
    </w:p>
  </w:footnote>
  <w:footnote w:id="11">
    <w:p w:rsidR="00C51ABE" w:rsidRDefault="00C51ABE">
      <w:pPr>
        <w:pStyle w:val="FootnoteText"/>
      </w:pPr>
      <w:r>
        <w:rPr>
          <w:rStyle w:val="FootnoteReference"/>
        </w:rPr>
        <w:footnoteRef/>
      </w:r>
      <w:r>
        <w:rPr>
          <w:rtl/>
        </w:rPr>
        <w:t xml:space="preserve"> </w:t>
      </w:r>
      <w:hyperlink r:id="rId9" w:history="1">
        <w:r w:rsidRPr="00E23D8D">
          <w:rPr>
            <w:rStyle w:val="Hyperlink"/>
          </w:rPr>
          <w:t>http://www.biodiversityfinance.net/</w:t>
        </w:r>
      </w:hyperlink>
      <w:r>
        <w:rPr>
          <w:rFonts w:hint="cs"/>
          <w:rtl/>
        </w:rPr>
        <w:t>.</w:t>
      </w:r>
    </w:p>
  </w:footnote>
  <w:footnote w:id="12">
    <w:p w:rsidR="00C51ABE" w:rsidRDefault="00C51ABE">
      <w:pPr>
        <w:pStyle w:val="FootnoteText"/>
        <w:rPr>
          <w:lang w:bidi="ar-EG"/>
        </w:rPr>
      </w:pPr>
      <w:r>
        <w:rPr>
          <w:rStyle w:val="FootnoteReference"/>
        </w:rPr>
        <w:footnoteRef/>
      </w:r>
      <w:r>
        <w:rPr>
          <w:rtl/>
        </w:rPr>
        <w:t xml:space="preserve"> </w:t>
      </w:r>
      <w:r>
        <w:rPr>
          <w:rFonts w:hint="cs"/>
          <w:rtl/>
        </w:rPr>
        <w:t xml:space="preserve">بليز، والبرازيل، وبوتان، وكوبا، وجورجيا، وقيرغيزستان، ومنغوليا، </w:t>
      </w:r>
      <w:r>
        <w:rPr>
          <w:rFonts w:hint="cs"/>
          <w:rtl/>
        </w:rPr>
        <w:t>وموزمبيق، ورواندا، وسري لانكا، وفييت نام.</w:t>
      </w:r>
    </w:p>
  </w:footnote>
  <w:footnote w:id="13">
    <w:p w:rsidR="00C51ABE" w:rsidRDefault="00C51ABE" w:rsidP="00000C9D">
      <w:pPr>
        <w:pStyle w:val="FootnoteText"/>
      </w:pPr>
      <w:r>
        <w:rPr>
          <w:rStyle w:val="FootnoteReference"/>
        </w:rPr>
        <w:footnoteRef/>
      </w:r>
      <w:r>
        <w:rPr>
          <w:rtl/>
        </w:rPr>
        <w:t xml:space="preserve"> </w:t>
      </w:r>
      <w:hyperlink r:id="rId10" w:history="1">
        <w:r w:rsidR="00000C9D" w:rsidRPr="001C6487">
          <w:rPr>
            <w:rStyle w:val="Hyperlink"/>
            <w:noProof/>
            <w:snapToGrid w:val="0"/>
            <w:kern w:val="18"/>
            <w:szCs w:val="18"/>
          </w:rPr>
          <w:t>http://www.biodiversityfinance.net/regional-nodes</w:t>
        </w:r>
      </w:hyperlink>
    </w:p>
  </w:footnote>
  <w:footnote w:id="14">
    <w:p w:rsidR="00C51ABE" w:rsidRDefault="00C51ABE">
      <w:pPr>
        <w:pStyle w:val="FootnoteText"/>
      </w:pPr>
      <w:r>
        <w:rPr>
          <w:rStyle w:val="FootnoteReference"/>
        </w:rPr>
        <w:footnoteRef/>
      </w:r>
      <w:r>
        <w:rPr>
          <w:rtl/>
        </w:rPr>
        <w:t xml:space="preserve"> </w:t>
      </w:r>
      <w:r>
        <w:rPr>
          <w:rFonts w:hint="cs"/>
          <w:rtl/>
        </w:rPr>
        <w:t xml:space="preserve">واصل الأمين التنفيذي المساهمة في تقديم هذه الخدمات بشأن بناء القدرات. انظر أيضا الوثيقة </w:t>
      </w:r>
      <w:r w:rsidRPr="007007D0">
        <w:t>CBD/SBI/2/INF/6</w:t>
      </w:r>
      <w:r>
        <w:rPr>
          <w:rFonts w:hint="cs"/>
          <w:rtl/>
        </w:rPr>
        <w:t>، الفقرة 36.</w:t>
      </w:r>
    </w:p>
  </w:footnote>
  <w:footnote w:id="15">
    <w:p w:rsidR="00C51ABE" w:rsidRDefault="00C51ABE">
      <w:pPr>
        <w:pStyle w:val="FootnoteText"/>
      </w:pPr>
      <w:r>
        <w:rPr>
          <w:rStyle w:val="FootnoteReference"/>
        </w:rPr>
        <w:footnoteRef/>
      </w:r>
      <w:r>
        <w:rPr>
          <w:rtl/>
        </w:rPr>
        <w:t xml:space="preserve"> </w:t>
      </w:r>
      <w:r>
        <w:rPr>
          <w:rFonts w:hint="cs"/>
          <w:rtl/>
        </w:rPr>
        <w:t>الإخطاران 2016/143 الصادر في 23 نوفمبر/تشرين الثاني 2016 و2017/009 الصادر في 8 فبراير/شباط 2017.</w:t>
      </w:r>
    </w:p>
  </w:footnote>
  <w:footnote w:id="16">
    <w:p w:rsidR="00C51ABE" w:rsidRDefault="00C51ABE">
      <w:pPr>
        <w:pStyle w:val="FootnoteText"/>
      </w:pPr>
      <w:r>
        <w:rPr>
          <w:rStyle w:val="FootnoteReference"/>
        </w:rPr>
        <w:footnoteRef/>
      </w:r>
      <w:r>
        <w:rPr>
          <w:rtl/>
        </w:rPr>
        <w:t xml:space="preserve"> </w:t>
      </w:r>
      <w:hyperlink r:id="rId11" w:history="1">
        <w:r w:rsidRPr="00A02065">
          <w:rPr>
            <w:rStyle w:val="Hyperlink"/>
          </w:rPr>
          <w:t>https://www.ipbes.net/conceptual-framework</w:t>
        </w:r>
      </w:hyperlink>
      <w:r>
        <w:rPr>
          <w:rFonts w:hint="cs"/>
          <w:rtl/>
        </w:rPr>
        <w:t>.</w:t>
      </w:r>
    </w:p>
  </w:footnote>
  <w:footnote w:id="17">
    <w:p w:rsidR="00C51ABE" w:rsidRDefault="00C51ABE">
      <w:pPr>
        <w:pStyle w:val="FootnoteText"/>
      </w:pPr>
      <w:r>
        <w:rPr>
          <w:rStyle w:val="FootnoteReference"/>
        </w:rPr>
        <w:footnoteRef/>
      </w:r>
      <w:r>
        <w:rPr>
          <w:rtl/>
        </w:rPr>
        <w:t xml:space="preserve"> </w:t>
      </w:r>
      <w:hyperlink r:id="rId12" w:history="1">
        <w:r w:rsidRPr="00CE7D82">
          <w:rPr>
            <w:rStyle w:val="Hyperlink"/>
          </w:rPr>
          <w:t>www.biodiversityfinance.net/finance-solutions</w:t>
        </w:r>
      </w:hyperlink>
      <w:r>
        <w:rPr>
          <w:rFonts w:hint="cs"/>
          <w:rtl/>
        </w:rPr>
        <w:t>.</w:t>
      </w:r>
    </w:p>
  </w:footnote>
  <w:footnote w:id="18">
    <w:p w:rsidR="00C51ABE" w:rsidRDefault="00C51ABE">
      <w:pPr>
        <w:pStyle w:val="FootnoteText"/>
      </w:pPr>
      <w:r>
        <w:rPr>
          <w:rStyle w:val="FootnoteReference"/>
        </w:rPr>
        <w:footnoteRef/>
      </w:r>
      <w:r>
        <w:rPr>
          <w:rtl/>
        </w:rPr>
        <w:t xml:space="preserve"> </w:t>
      </w:r>
      <w:r>
        <w:rPr>
          <w:rFonts w:hint="cs"/>
          <w:rtl/>
        </w:rPr>
        <w:t>في إطار منهجية علامات ريو، تقوم لجنة المساعدة الإنمائية التابعة لمنظمة التعاون والتنمية في الميدان الاقتصادي برصد مساهمة تمويل التنمية ثنائي الأطراف لأغراض بيئية، بما في ذلك للتنوع البيولوجي. وهناك ثلاث قيم (أو درجات) محتملة لعلامات ريو، تحدد ما إذا كانت مواضيع اتفاقية ريو (0) غير مستهدفة، أو (1) هدفا هاما أو (2) هدفا أساسيا للعمل.</w:t>
      </w:r>
    </w:p>
  </w:footnote>
  <w:footnote w:id="19">
    <w:p w:rsidR="00C51ABE" w:rsidRDefault="00C51ABE" w:rsidP="00F3601A">
      <w:pPr>
        <w:pStyle w:val="FootnoteText"/>
        <w:rPr>
          <w:lang w:bidi="ar-EG"/>
        </w:rPr>
      </w:pPr>
      <w:r>
        <w:rPr>
          <w:rStyle w:val="FootnoteReference"/>
        </w:rPr>
        <w:footnoteRef/>
      </w:r>
      <w:r>
        <w:rPr>
          <w:rtl/>
        </w:rPr>
        <w:t xml:space="preserve"> </w:t>
      </w:r>
      <w:r>
        <w:rPr>
          <w:rFonts w:hint="cs"/>
          <w:rtl/>
        </w:rPr>
        <w:t>يتمثل الغرض من فرقة العمل المشتركة بين الوكالات في (</w:t>
      </w:r>
      <w:r w:rsidR="00F3601A">
        <w:rPr>
          <w:rFonts w:hint="cs"/>
          <w:rtl/>
        </w:rPr>
        <w:t>أ</w:t>
      </w:r>
      <w:r>
        <w:rPr>
          <w:rFonts w:hint="cs"/>
          <w:rtl/>
        </w:rPr>
        <w:t xml:space="preserve">) الإبلاغ سنويا عن التقدم المحرز في تنفيذ </w:t>
      </w:r>
      <w:r w:rsidR="005307B3">
        <w:rPr>
          <w:rFonts w:hint="cs"/>
          <w:rtl/>
        </w:rPr>
        <w:t>نتائج</w:t>
      </w:r>
      <w:r>
        <w:rPr>
          <w:rFonts w:hint="cs"/>
          <w:rtl/>
        </w:rPr>
        <w:t xml:space="preserve"> خطة عمل أديس أبابا بشأن تمويل التنمية ووسائل تنفيذ خطة التنمية المستدامة لعام 2030، و(</w:t>
      </w:r>
      <w:r w:rsidR="00F3601A">
        <w:rPr>
          <w:rFonts w:hint="cs"/>
          <w:rtl/>
        </w:rPr>
        <w:t>ب</w:t>
      </w:r>
      <w:r>
        <w:rPr>
          <w:rFonts w:hint="cs"/>
          <w:rtl/>
        </w:rPr>
        <w:t>) إسداء المشورة إلى عمليات المتابعة الحكومية الدولية بشأن فجوات التنفيذ وتقديم توصيات باتخاذ إجراءات تصحيحية، مع مراعاة الأبعاد الوطنية والإقليمية.</w:t>
      </w:r>
    </w:p>
  </w:footnote>
  <w:footnote w:id="20">
    <w:p w:rsidR="00C51ABE" w:rsidRDefault="00C51ABE" w:rsidP="00143780">
      <w:pPr>
        <w:pStyle w:val="FootnoteText"/>
        <w:rPr>
          <w:lang w:bidi="ar-EG"/>
        </w:rPr>
      </w:pPr>
      <w:r>
        <w:rPr>
          <w:rStyle w:val="FootnoteReference"/>
        </w:rPr>
        <w:footnoteRef/>
      </w:r>
      <w:r>
        <w:rPr>
          <w:rtl/>
        </w:rPr>
        <w:t xml:space="preserve"> </w:t>
      </w:r>
      <w:r w:rsidR="00143780">
        <w:rPr>
          <w:rFonts w:hint="cs"/>
          <w:rtl/>
        </w:rPr>
        <w:t xml:space="preserve">للاطلاع على وثائق الاجتماع، انظر الرابط </w:t>
      </w:r>
      <w:hyperlink r:id="rId13" w:history="1">
        <w:r w:rsidRPr="00E23D8D">
          <w:rPr>
            <w:rStyle w:val="Hyperlink"/>
          </w:rPr>
          <w:t>https://www.cbd.int/meetings/RMEM-2015-01</w:t>
        </w:r>
      </w:hyperlink>
      <w:r>
        <w:rPr>
          <w:rFonts w:hint="cs"/>
          <w:rtl/>
        </w:rPr>
        <w:t>.</w:t>
      </w:r>
    </w:p>
  </w:footnote>
  <w:footnote w:id="21">
    <w:p w:rsidR="00941FF5" w:rsidRPr="00D11AEA" w:rsidRDefault="00941FF5">
      <w:pPr>
        <w:pStyle w:val="FootnoteText"/>
        <w:rPr>
          <w:rtl/>
          <w:lang w:val="en-GB" w:bidi="ar-EG"/>
        </w:rPr>
      </w:pPr>
      <w:r>
        <w:rPr>
          <w:rStyle w:val="FootnoteReference"/>
        </w:rPr>
        <w:footnoteRef/>
      </w:r>
      <w:r>
        <w:rPr>
          <w:rtl/>
        </w:rPr>
        <w:t xml:space="preserve"> </w:t>
      </w:r>
      <w:r w:rsidR="00D11AEA">
        <w:rPr>
          <w:rFonts w:hint="cs"/>
          <w:rtl/>
        </w:rPr>
        <w:t xml:space="preserve">فرقة العمل المشتركة بين الوكالات المعنية بتمويل التنمية، </w:t>
      </w:r>
      <w:hyperlink r:id="rId14" w:history="1">
        <w:r w:rsidR="00D11AEA" w:rsidRPr="00143780">
          <w:rPr>
            <w:rStyle w:val="Hyperlink"/>
            <w:rFonts w:hint="cs"/>
            <w:i/>
            <w:iCs/>
            <w:rtl/>
          </w:rPr>
          <w:t>تمويل التنمية: التقدم و</w:t>
        </w:r>
        <w:r w:rsidR="00A3372D" w:rsidRPr="00143780">
          <w:rPr>
            <w:rStyle w:val="Hyperlink"/>
            <w:rFonts w:hint="cs"/>
            <w:i/>
            <w:iCs/>
            <w:rtl/>
          </w:rPr>
          <w:t>ال</w:t>
        </w:r>
        <w:r w:rsidR="00D11AEA" w:rsidRPr="00143780">
          <w:rPr>
            <w:rStyle w:val="Hyperlink"/>
            <w:rFonts w:hint="cs"/>
            <w:i/>
            <w:iCs/>
            <w:rtl/>
          </w:rPr>
          <w:t xml:space="preserve">آفاق </w:t>
        </w:r>
        <w:r w:rsidR="00A3372D" w:rsidRPr="00143780">
          <w:rPr>
            <w:rStyle w:val="Hyperlink"/>
            <w:rFonts w:hint="cs"/>
            <w:i/>
            <w:iCs/>
            <w:rtl/>
          </w:rPr>
          <w:t xml:space="preserve">في </w:t>
        </w:r>
        <w:r w:rsidR="00D11AEA" w:rsidRPr="00143780">
          <w:rPr>
            <w:rStyle w:val="Hyperlink"/>
            <w:rFonts w:hint="cs"/>
            <w:i/>
            <w:iCs/>
            <w:rtl/>
          </w:rPr>
          <w:t>عام 2018</w:t>
        </w:r>
      </w:hyperlink>
      <w:r w:rsidR="00D11AEA">
        <w:rPr>
          <w:rFonts w:hint="cs"/>
          <w:rtl/>
        </w:rPr>
        <w:t xml:space="preserve"> (مطبوع الأمم المتحدة</w:t>
      </w:r>
      <w:r w:rsidR="00D11AEA">
        <w:rPr>
          <w:rFonts w:hint="cs"/>
          <w:rtl/>
          <w:lang w:val="en-GB" w:bidi="ar-EG"/>
        </w:rPr>
        <w:t xml:space="preserve">، رقم المبيع </w:t>
      </w:r>
      <w:r w:rsidR="00D11AEA">
        <w:rPr>
          <w:lang w:val="en-GB" w:bidi="ar-EG"/>
        </w:rPr>
        <w:t>E.18.I.5</w:t>
      </w:r>
      <w:r w:rsidR="00D11AEA">
        <w:rPr>
          <w:rFonts w:hint="cs"/>
          <w:rtl/>
          <w:lang w:val="en-GB" w:bidi="ar-EG"/>
        </w:rPr>
        <w:t>).</w:t>
      </w:r>
    </w:p>
  </w:footnote>
  <w:footnote w:id="22">
    <w:p w:rsidR="00C51ABE" w:rsidRDefault="00C51ABE">
      <w:pPr>
        <w:pStyle w:val="FootnoteText"/>
        <w:rPr>
          <w:lang w:bidi="ar-EG"/>
        </w:rPr>
      </w:pPr>
      <w:r>
        <w:rPr>
          <w:rStyle w:val="FootnoteReference"/>
        </w:rPr>
        <w:footnoteRef/>
      </w:r>
      <w:r>
        <w:rPr>
          <w:rtl/>
        </w:rPr>
        <w:t xml:space="preserve"> </w:t>
      </w:r>
      <w:hyperlink r:id="rId15" w:history="1">
        <w:r w:rsidRPr="00CE7D82">
          <w:rPr>
            <w:rStyle w:val="Hyperlink"/>
          </w:rPr>
          <w:t>https://developmentfinance.un.org/protecting-ecosystems</w:t>
        </w:r>
      </w:hyperlink>
    </w:p>
  </w:footnote>
  <w:footnote w:id="23">
    <w:p w:rsidR="00C51ABE" w:rsidRDefault="00C51ABE">
      <w:pPr>
        <w:pStyle w:val="FootnoteText"/>
        <w:rPr>
          <w:lang w:bidi="ar-EG"/>
        </w:rPr>
      </w:pPr>
      <w:r>
        <w:rPr>
          <w:rStyle w:val="FootnoteReference"/>
        </w:rPr>
        <w:footnoteRef/>
      </w:r>
      <w:r>
        <w:rPr>
          <w:rtl/>
        </w:rPr>
        <w:t xml:space="preserve"> </w:t>
      </w:r>
      <w:r w:rsidR="00143780">
        <w:rPr>
          <w:rFonts w:hint="cs"/>
          <w:rtl/>
        </w:rPr>
        <w:t xml:space="preserve">انظر </w:t>
      </w:r>
      <w:r>
        <w:rPr>
          <w:rFonts w:hint="cs"/>
          <w:rtl/>
        </w:rPr>
        <w:t>الفقرات من 18 إلى 21 وكذلك من 26 إلى 28.</w:t>
      </w:r>
    </w:p>
  </w:footnote>
  <w:footnote w:id="24">
    <w:p w:rsidR="00C51ABE" w:rsidRDefault="00C51ABE">
      <w:pPr>
        <w:pStyle w:val="FootnoteText"/>
        <w:rPr>
          <w:lang w:bidi="ar-EG"/>
        </w:rPr>
      </w:pPr>
      <w:r>
        <w:rPr>
          <w:rStyle w:val="FootnoteReference"/>
        </w:rPr>
        <w:footnoteRef/>
      </w:r>
      <w:r>
        <w:rPr>
          <w:rtl/>
        </w:rPr>
        <w:t xml:space="preserve"> </w:t>
      </w:r>
      <w:r>
        <w:rPr>
          <w:rFonts w:hint="cs"/>
          <w:rtl/>
          <w:lang w:bidi="ar-EG"/>
        </w:rPr>
        <w:t xml:space="preserve">المقرر </w:t>
      </w:r>
      <w:hyperlink r:id="rId16" w:history="1">
        <w:r w:rsidRPr="005B738A">
          <w:rPr>
            <w:rStyle w:val="Hyperlink"/>
            <w:rFonts w:hint="cs"/>
            <w:rtl/>
            <w:lang w:bidi="ar-EG"/>
          </w:rPr>
          <w:t>10/44</w:t>
        </w:r>
      </w:hyperlink>
      <w:r>
        <w:rPr>
          <w:rFonts w:hint="cs"/>
          <w:rtl/>
          <w:lang w:bidi="ar-EG"/>
        </w:rPr>
        <w:t xml:space="preserve"> بشأن التدابير الحافزة، الفقرة 9.</w:t>
      </w:r>
    </w:p>
  </w:footnote>
  <w:footnote w:id="25">
    <w:p w:rsidR="00C51ABE" w:rsidRDefault="00C51ABE" w:rsidP="007D6F6E">
      <w:pPr>
        <w:pStyle w:val="FootnoteText"/>
        <w:rPr>
          <w:lang w:bidi="ar-EG"/>
        </w:rPr>
      </w:pPr>
      <w:r>
        <w:rPr>
          <w:rStyle w:val="FootnoteReference"/>
        </w:rPr>
        <w:footnoteRef/>
      </w:r>
      <w:r>
        <w:rPr>
          <w:rtl/>
        </w:rPr>
        <w:t xml:space="preserve"> </w:t>
      </w:r>
      <w:r>
        <w:rPr>
          <w:rFonts w:hint="cs"/>
          <w:rtl/>
        </w:rPr>
        <w:t>من خلال العمل الخيري أو الاستثمار المؤثر (مستثمرون من القطاع الخاص يسعون إلى إحداث تأثير اجتماعي أو بيئي إيجابي جنبا إلى جنب مع أرباحهم)</w:t>
      </w:r>
      <w:r w:rsidR="007A5795">
        <w:rPr>
          <w:rFonts w:hint="cs"/>
          <w:rtl/>
        </w:rPr>
        <w:t>.</w:t>
      </w:r>
    </w:p>
  </w:footnote>
  <w:footnote w:id="26">
    <w:p w:rsidR="00C51ABE" w:rsidRPr="007D6F6E" w:rsidRDefault="00C51ABE" w:rsidP="005B738A">
      <w:pPr>
        <w:pStyle w:val="FootnoteText"/>
        <w:rPr>
          <w:lang w:val="en-GB" w:bidi="ar-EG"/>
        </w:rPr>
      </w:pPr>
      <w:r>
        <w:rPr>
          <w:rStyle w:val="FootnoteReference"/>
        </w:rPr>
        <w:footnoteRef/>
      </w:r>
      <w:r>
        <w:rPr>
          <w:rtl/>
        </w:rPr>
        <w:t xml:space="preserve"> </w:t>
      </w:r>
      <w:r w:rsidR="005B738A">
        <w:rPr>
          <w:rFonts w:hint="cs"/>
          <w:rtl/>
        </w:rPr>
        <w:t xml:space="preserve">فرقة العمل المشتركة بين الوكالات المعنية بتمويل التنمية، </w:t>
      </w:r>
      <w:hyperlink r:id="rId17" w:history="1">
        <w:r w:rsidR="005B738A" w:rsidRPr="00143780">
          <w:rPr>
            <w:rStyle w:val="Hyperlink"/>
            <w:rFonts w:hint="cs"/>
            <w:i/>
            <w:iCs/>
            <w:rtl/>
          </w:rPr>
          <w:t>تمويل التنمية: التقدم والآفاق في عام 2018</w:t>
        </w:r>
      </w:hyperlink>
      <w:r w:rsidR="005B738A">
        <w:rPr>
          <w:rFonts w:hint="cs"/>
          <w:rtl/>
        </w:rPr>
        <w:t xml:space="preserve"> (مطبوع الأمم المتحدة</w:t>
      </w:r>
      <w:r w:rsidR="005B738A">
        <w:rPr>
          <w:rFonts w:hint="cs"/>
          <w:rtl/>
          <w:lang w:val="en-GB" w:bidi="ar-EG"/>
        </w:rPr>
        <w:t xml:space="preserve">، رقم المبيع </w:t>
      </w:r>
      <w:r w:rsidR="005B738A">
        <w:rPr>
          <w:lang w:val="en-GB" w:bidi="ar-EG"/>
        </w:rPr>
        <w:t>E.18.I.5</w:t>
      </w:r>
      <w:r w:rsidR="005B738A">
        <w:rPr>
          <w:rFonts w:hint="cs"/>
          <w:rtl/>
          <w:lang w:val="en-GB" w:bidi="ar-EG"/>
        </w:rPr>
        <w:t>)</w:t>
      </w:r>
      <w:r w:rsidR="005B738A">
        <w:rPr>
          <w:rFonts w:hint="cs"/>
          <w:rtl/>
        </w:rPr>
        <w:t>. صفحة 16.</w:t>
      </w:r>
    </w:p>
  </w:footnote>
  <w:footnote w:id="27">
    <w:p w:rsidR="00C51ABE" w:rsidRDefault="00C51ABE">
      <w:pPr>
        <w:pStyle w:val="FootnoteText"/>
        <w:rPr>
          <w:lang w:bidi="ar-EG"/>
        </w:rPr>
      </w:pPr>
      <w:r>
        <w:rPr>
          <w:rStyle w:val="FootnoteReference"/>
        </w:rPr>
        <w:footnoteRef/>
      </w:r>
      <w:r>
        <w:rPr>
          <w:rtl/>
        </w:rPr>
        <w:t xml:space="preserve"> </w:t>
      </w:r>
      <w:r>
        <w:rPr>
          <w:rFonts w:hint="cs"/>
          <w:rtl/>
        </w:rPr>
        <w:t>المرجع نفسه، صفحة 37.</w:t>
      </w:r>
    </w:p>
  </w:footnote>
  <w:footnote w:id="28">
    <w:p w:rsidR="00C51ABE" w:rsidRDefault="00C51ABE">
      <w:pPr>
        <w:pStyle w:val="FootnoteText"/>
        <w:rPr>
          <w:lang w:bidi="ar-EG"/>
        </w:rPr>
      </w:pPr>
      <w:r>
        <w:rPr>
          <w:rStyle w:val="FootnoteReference"/>
        </w:rPr>
        <w:footnoteRef/>
      </w:r>
      <w:r>
        <w:rPr>
          <w:rtl/>
        </w:rPr>
        <w:t xml:space="preserve"> </w:t>
      </w:r>
      <w:r>
        <w:rPr>
          <w:rFonts w:hint="cs"/>
          <w:rtl/>
        </w:rPr>
        <w:t xml:space="preserve">المقرر 9/11، </w:t>
      </w:r>
      <w:hyperlink r:id="rId18" w:history="1">
        <w:r w:rsidRPr="00CE7D82">
          <w:rPr>
            <w:rStyle w:val="Hyperlink"/>
          </w:rPr>
          <w:t>https://www.cbd.int/decision/cop/default.shtml?id=11654</w:t>
        </w:r>
      </w:hyperlink>
      <w:r>
        <w:rPr>
          <w:rFonts w:hint="cs"/>
          <w:rtl/>
        </w:rPr>
        <w:t>.</w:t>
      </w:r>
    </w:p>
  </w:footnote>
  <w:footnote w:id="29">
    <w:p w:rsidR="00C51ABE" w:rsidRDefault="00C51ABE">
      <w:pPr>
        <w:pStyle w:val="FootnoteText"/>
        <w:rPr>
          <w:lang w:bidi="ar-EG"/>
        </w:rPr>
      </w:pPr>
      <w:r>
        <w:rPr>
          <w:rStyle w:val="FootnoteReference"/>
        </w:rPr>
        <w:footnoteRef/>
      </w:r>
      <w:r>
        <w:rPr>
          <w:rtl/>
        </w:rPr>
        <w:t xml:space="preserve"> </w:t>
      </w:r>
      <w:r>
        <w:rPr>
          <w:rFonts w:hint="cs"/>
          <w:rtl/>
          <w:lang w:bidi="ar-EG"/>
        </w:rPr>
        <w:t xml:space="preserve">المقرر 10/3، الفقرة 7؛ </w:t>
      </w:r>
      <w:hyperlink r:id="rId19" w:history="1">
        <w:r w:rsidRPr="00CE7D82">
          <w:rPr>
            <w:rStyle w:val="Hyperlink"/>
          </w:rPr>
          <w:t>https://www.cbd.int/decision/cop/default.shtml?id=12269</w:t>
        </w:r>
      </w:hyperlink>
      <w:r>
        <w:rPr>
          <w:rFonts w:hint="cs"/>
          <w:rtl/>
          <w:lang w:bidi="ar-EG"/>
        </w:rPr>
        <w:t>.</w:t>
      </w:r>
    </w:p>
  </w:footnote>
  <w:footnote w:id="30">
    <w:p w:rsidR="00C51ABE" w:rsidRDefault="00C51ABE">
      <w:pPr>
        <w:pStyle w:val="FootnoteText"/>
        <w:rPr>
          <w:lang w:bidi="ar-EG"/>
        </w:rPr>
      </w:pPr>
      <w:r>
        <w:rPr>
          <w:rStyle w:val="FootnoteReference"/>
        </w:rPr>
        <w:footnoteRef/>
      </w:r>
      <w:r>
        <w:rPr>
          <w:rtl/>
        </w:rPr>
        <w:t xml:space="preserve"> </w:t>
      </w:r>
      <w:r>
        <w:rPr>
          <w:rFonts w:hint="cs"/>
          <w:rtl/>
        </w:rPr>
        <w:t xml:space="preserve">المقرر 12/3، المرفق الرابع؛ </w:t>
      </w:r>
      <w:hyperlink r:id="rId20" w:history="1">
        <w:r w:rsidRPr="00CE7D82">
          <w:rPr>
            <w:rStyle w:val="Hyperlink"/>
          </w:rPr>
          <w:t>https://www.cbd.int/decision/cop/default.shtml?id=13366</w:t>
        </w:r>
      </w:hyperlink>
      <w:r>
        <w:rPr>
          <w:rFonts w:hint="cs"/>
          <w:rtl/>
        </w:rPr>
        <w:t>.</w:t>
      </w:r>
    </w:p>
  </w:footnote>
  <w:footnote w:id="31">
    <w:p w:rsidR="00C51ABE" w:rsidRDefault="00C51ABE">
      <w:pPr>
        <w:pStyle w:val="FootnoteText"/>
        <w:rPr>
          <w:lang w:bidi="ar-EG"/>
        </w:rPr>
      </w:pPr>
      <w:r>
        <w:rPr>
          <w:rStyle w:val="FootnoteReference"/>
        </w:rPr>
        <w:footnoteRef/>
      </w:r>
      <w:r>
        <w:rPr>
          <w:rtl/>
        </w:rPr>
        <w:t xml:space="preserve"> </w:t>
      </w:r>
      <w:r>
        <w:rPr>
          <w:rFonts w:hint="cs"/>
          <w:rtl/>
        </w:rPr>
        <w:t>المقرر 12/3، الفقرة 21 والمرفق الأول.</w:t>
      </w:r>
    </w:p>
  </w:footnote>
  <w:footnote w:id="32">
    <w:p w:rsidR="00C51ABE" w:rsidRDefault="00C51ABE">
      <w:pPr>
        <w:pStyle w:val="FootnoteText"/>
        <w:rPr>
          <w:lang w:bidi="ar-EG"/>
        </w:rPr>
      </w:pPr>
      <w:r>
        <w:rPr>
          <w:rStyle w:val="FootnoteReference"/>
        </w:rPr>
        <w:footnoteRef/>
      </w:r>
      <w:r>
        <w:rPr>
          <w:rtl/>
        </w:rPr>
        <w:t xml:space="preserve"> </w:t>
      </w:r>
      <w:r>
        <w:rPr>
          <w:rFonts w:hint="cs"/>
          <w:rtl/>
        </w:rPr>
        <w:t>المقرر 12/3، الفقرة 15 والمرفق الثالث.</w:t>
      </w:r>
    </w:p>
  </w:footnote>
  <w:footnote w:id="33">
    <w:p w:rsidR="00C51ABE" w:rsidRDefault="00C51ABE">
      <w:pPr>
        <w:pStyle w:val="FootnoteText"/>
        <w:rPr>
          <w:lang w:bidi="ar-EG"/>
        </w:rPr>
      </w:pPr>
      <w:r>
        <w:rPr>
          <w:rStyle w:val="FootnoteReference"/>
        </w:rPr>
        <w:footnoteRef/>
      </w:r>
      <w:r>
        <w:rPr>
          <w:rtl/>
        </w:rPr>
        <w:t xml:space="preserve"> </w:t>
      </w:r>
      <w:r>
        <w:rPr>
          <w:rFonts w:hint="cs"/>
          <w:rtl/>
        </w:rPr>
        <w:t>المقرر 13/20، الفقرة 18 والمرفق.</w:t>
      </w:r>
    </w:p>
  </w:footnote>
  <w:footnote w:id="34">
    <w:p w:rsidR="00C51ABE" w:rsidRDefault="00C51ABE" w:rsidP="003C21DC">
      <w:pPr>
        <w:pStyle w:val="FootnoteText"/>
        <w:jc w:val="left"/>
        <w:rPr>
          <w:lang w:bidi="ar-EG"/>
        </w:rPr>
      </w:pPr>
      <w:r>
        <w:rPr>
          <w:rStyle w:val="FootnoteReference"/>
        </w:rPr>
        <w:footnoteRef/>
      </w:r>
      <w:r>
        <w:rPr>
          <w:rtl/>
        </w:rPr>
        <w:t xml:space="preserve"> </w:t>
      </w:r>
      <w:hyperlink r:id="rId21" w:history="1">
        <w:r w:rsidR="003C21DC" w:rsidRPr="001C6487">
          <w:rPr>
            <w:rStyle w:val="Hyperlink"/>
            <w:noProof/>
            <w:snapToGrid w:val="0"/>
            <w:kern w:val="18"/>
            <w:szCs w:val="18"/>
          </w:rPr>
          <w:t>https://www.cbd.int/financial/hlp/doc/CBD-HLP-FullReport-EN.pdf</w:t>
        </w:r>
      </w:hyperlink>
    </w:p>
  </w:footnote>
  <w:footnote w:id="35">
    <w:p w:rsidR="00C51ABE" w:rsidRDefault="00C51ABE" w:rsidP="00873158">
      <w:pPr>
        <w:pStyle w:val="FootnoteText"/>
        <w:jc w:val="left"/>
        <w:rPr>
          <w:lang w:bidi="ar-EG"/>
        </w:rPr>
      </w:pPr>
      <w:r>
        <w:rPr>
          <w:rStyle w:val="FootnoteReference"/>
        </w:rPr>
        <w:footnoteRef/>
      </w:r>
      <w:r>
        <w:rPr>
          <w:rtl/>
        </w:rPr>
        <w:t xml:space="preserve"> </w:t>
      </w:r>
      <w:hyperlink r:id="rId22" w:history="1">
        <w:r w:rsidRPr="002164F1">
          <w:rPr>
            <w:rStyle w:val="Hyperlink"/>
          </w:rPr>
          <w:t>https://www.cbd.int/doc/meetings/fin/hlpgar-sp-01/official/hlpgar-sp-01-01-report-en.pdf</w:t>
        </w:r>
      </w:hyperlink>
      <w:r>
        <w:rPr>
          <w:rFonts w:hint="cs"/>
          <w:rtl/>
        </w:rPr>
        <w:t xml:space="preserve"> و</w:t>
      </w:r>
      <w:hyperlink r:id="rId23" w:history="1">
        <w:r w:rsidRPr="00CE7D82">
          <w:rPr>
            <w:rStyle w:val="Hyperlink"/>
          </w:rPr>
          <w:t>https://www.cbd.int/financial/hlp/doc/hlp-02-report-en.pdf</w:t>
        </w:r>
      </w:hyperlink>
      <w:r>
        <w:rPr>
          <w:rFonts w:hint="cs"/>
          <w:rtl/>
        </w:rPr>
        <w:t>.</w:t>
      </w:r>
    </w:p>
  </w:footnote>
  <w:footnote w:id="36">
    <w:p w:rsidR="00C51ABE" w:rsidRDefault="00C51ABE" w:rsidP="00873158">
      <w:pPr>
        <w:pStyle w:val="FootnoteText"/>
        <w:jc w:val="left"/>
        <w:rPr>
          <w:lang w:bidi="ar-EG"/>
        </w:rPr>
      </w:pPr>
      <w:r>
        <w:rPr>
          <w:rStyle w:val="FootnoteReference"/>
        </w:rPr>
        <w:footnoteRef/>
      </w:r>
      <w:r>
        <w:rPr>
          <w:rtl/>
        </w:rPr>
        <w:t xml:space="preserve"> </w:t>
      </w:r>
      <w:hyperlink r:id="rId24" w:history="1">
        <w:r w:rsidRPr="00E23D8D">
          <w:rPr>
            <w:rStyle w:val="Hyperlink"/>
          </w:rPr>
          <w:t>https://www.cbd.int/meetings/DS-FB-01</w:t>
        </w:r>
      </w:hyperlink>
      <w:r>
        <w:t xml:space="preserve"> ; </w:t>
      </w:r>
      <w:hyperlink r:id="rId25" w:history="1">
        <w:r w:rsidRPr="00E23D8D">
          <w:rPr>
            <w:rStyle w:val="Hyperlink"/>
          </w:rPr>
          <w:t>https://www.cbd.int/meetings/DS-FB-02</w:t>
        </w:r>
      </w:hyperlink>
      <w:r>
        <w:t xml:space="preserve"> ; </w:t>
      </w:r>
      <w:hyperlink r:id="rId26" w:history="1">
        <w:r w:rsidRPr="00E23D8D">
          <w:rPr>
            <w:rStyle w:val="Hyperlink"/>
          </w:rPr>
          <w:t>https://www.cbd.int/meetings/RMWS-2015-02</w:t>
        </w:r>
      </w:hyperlink>
    </w:p>
  </w:footnote>
  <w:footnote w:id="37">
    <w:p w:rsidR="00C51ABE" w:rsidRDefault="00C51ABE" w:rsidP="006F370F">
      <w:pPr>
        <w:pStyle w:val="FootnoteText"/>
        <w:rPr>
          <w:lang w:bidi="ar-EG"/>
        </w:rPr>
      </w:pPr>
      <w:r>
        <w:rPr>
          <w:rStyle w:val="FootnoteReference"/>
        </w:rPr>
        <w:footnoteRef/>
      </w:r>
      <w:r>
        <w:rPr>
          <w:rtl/>
        </w:rPr>
        <w:t xml:space="preserve"> </w:t>
      </w:r>
      <w:r>
        <w:rPr>
          <w:rFonts w:hint="cs"/>
          <w:rtl/>
        </w:rPr>
        <w:t xml:space="preserve">وهي: </w:t>
      </w:r>
      <w:r>
        <w:rPr>
          <w:rFonts w:hint="cs"/>
          <w:rtl/>
        </w:rPr>
        <w:t>(</w:t>
      </w:r>
      <w:r w:rsidR="006F370F">
        <w:rPr>
          <w:rFonts w:hint="cs"/>
          <w:rtl/>
        </w:rPr>
        <w:t>أ</w:t>
      </w:r>
      <w:r>
        <w:rPr>
          <w:rFonts w:hint="cs"/>
          <w:rtl/>
        </w:rPr>
        <w:t xml:space="preserve">) </w:t>
      </w:r>
      <w:r w:rsidR="001A26CB">
        <w:rPr>
          <w:rFonts w:hint="cs"/>
          <w:rtl/>
        </w:rPr>
        <w:t>ال</w:t>
      </w:r>
      <w:r>
        <w:rPr>
          <w:rFonts w:hint="cs"/>
          <w:rtl/>
        </w:rPr>
        <w:t>استعراض المؤسسي والسياساتي؛ (</w:t>
      </w:r>
      <w:r w:rsidR="006F370F">
        <w:rPr>
          <w:rFonts w:hint="cs"/>
          <w:rtl/>
        </w:rPr>
        <w:t>ب</w:t>
      </w:r>
      <w:r>
        <w:rPr>
          <w:rFonts w:hint="cs"/>
          <w:rtl/>
        </w:rPr>
        <w:t>) واستعراض نفقات</w:t>
      </w:r>
      <w:r w:rsidR="007E4448">
        <w:rPr>
          <w:rFonts w:hint="cs"/>
          <w:rtl/>
        </w:rPr>
        <w:t xml:space="preserve"> التنوع البيولوجي؛ (</w:t>
      </w:r>
      <w:r w:rsidR="006F370F">
        <w:rPr>
          <w:rFonts w:hint="cs"/>
          <w:rtl/>
        </w:rPr>
        <w:t>ج</w:t>
      </w:r>
      <w:r w:rsidR="007E4448">
        <w:rPr>
          <w:rFonts w:hint="cs"/>
          <w:rtl/>
        </w:rPr>
        <w:t xml:space="preserve">) وتقييم </w:t>
      </w:r>
      <w:r>
        <w:rPr>
          <w:rFonts w:hint="cs"/>
          <w:rtl/>
        </w:rPr>
        <w:t>احتياجات التمويل والفجوات؛ (</w:t>
      </w:r>
      <w:r w:rsidR="006F370F">
        <w:rPr>
          <w:rFonts w:hint="cs"/>
          <w:rtl/>
        </w:rPr>
        <w:t>د</w:t>
      </w:r>
      <w:r>
        <w:rPr>
          <w:rFonts w:hint="cs"/>
          <w:rtl/>
        </w:rPr>
        <w:t>) وإعداد خطة تمويل وطنية، استنادا إلى مجموعة واسعة من الحلول المحددة بشأن تمويل التنوع البيولوجي؛ ولذا فهي تعكس عناصر الأهداف من</w:t>
      </w:r>
      <w:r w:rsidR="006F370F">
        <w:rPr>
          <w:rFonts w:hint="cs"/>
          <w:rtl/>
        </w:rPr>
        <w:t xml:space="preserve"> الهدف</w:t>
      </w:r>
      <w:r>
        <w:rPr>
          <w:rFonts w:hint="cs"/>
          <w:rtl/>
        </w:rPr>
        <w:t xml:space="preserve"> 1(ب) إلى</w:t>
      </w:r>
      <w:r w:rsidR="006F370F">
        <w:rPr>
          <w:rFonts w:hint="cs"/>
          <w:rtl/>
        </w:rPr>
        <w:t xml:space="preserve"> الهدف</w:t>
      </w:r>
      <w:r>
        <w:rPr>
          <w:rFonts w:hint="cs"/>
          <w:rtl/>
        </w:rPr>
        <w:t xml:space="preserve"> 1(د).</w:t>
      </w:r>
    </w:p>
  </w:footnote>
  <w:footnote w:id="38">
    <w:p w:rsidR="00A570BC" w:rsidRDefault="00A570BC">
      <w:pPr>
        <w:pStyle w:val="FootnoteText"/>
      </w:pPr>
      <w:r>
        <w:rPr>
          <w:rStyle w:val="FootnoteReference"/>
        </w:rPr>
        <w:footnoteRef/>
      </w:r>
      <w:r>
        <w:rPr>
          <w:rtl/>
        </w:rPr>
        <w:t xml:space="preserve"> </w:t>
      </w:r>
      <w:r>
        <w:rPr>
          <w:rFonts w:hint="cs"/>
          <w:rtl/>
        </w:rPr>
        <w:t xml:space="preserve">انظر قرار الجمعية العامة </w:t>
      </w:r>
      <w:hyperlink r:id="rId27" w:history="1">
        <w:r w:rsidRPr="003C21DC">
          <w:rPr>
            <w:rStyle w:val="Hyperlink"/>
            <w:rFonts w:hint="cs"/>
            <w:rtl/>
          </w:rPr>
          <w:t>70/1</w:t>
        </w:r>
      </w:hyperlink>
      <w:r>
        <w:rPr>
          <w:rFonts w:hint="cs"/>
          <w:rtl/>
        </w:rPr>
        <w:t>، المعنون "تحويل عالمنا: خطة التنمية المستدامة لعام 2030".</w:t>
      </w:r>
    </w:p>
  </w:footnote>
  <w:footnote w:id="39">
    <w:p w:rsidR="005F5479" w:rsidRDefault="005F5479" w:rsidP="00D36616">
      <w:pPr>
        <w:pStyle w:val="FootnoteText"/>
        <w:rPr>
          <w:lang w:bidi="ar-EG"/>
        </w:rPr>
      </w:pPr>
      <w:r>
        <w:rPr>
          <w:rStyle w:val="FootnoteReference"/>
        </w:rPr>
        <w:footnoteRef/>
      </w:r>
      <w:r>
        <w:rPr>
          <w:rtl/>
        </w:rPr>
        <w:t xml:space="preserve"> </w:t>
      </w:r>
      <w:r w:rsidR="00D36616">
        <w:rPr>
          <w:snapToGrid w:val="0"/>
          <w:kern w:val="22"/>
        </w:rPr>
        <w:t>CBD/SBI/2/7/Add.1</w:t>
      </w:r>
      <w:r>
        <w:rPr>
          <w:rFonts w:hint="cs"/>
          <w:rtl/>
          <w:lang w:bidi="ar-EG"/>
        </w:rPr>
        <w:t>.</w:t>
      </w:r>
    </w:p>
  </w:footnote>
  <w:footnote w:id="40">
    <w:p w:rsidR="007937E6" w:rsidRDefault="007937E6">
      <w:pPr>
        <w:pStyle w:val="FootnoteText"/>
        <w:rPr>
          <w:lang w:bidi="ar-EG"/>
        </w:rPr>
      </w:pPr>
      <w:r>
        <w:rPr>
          <w:rStyle w:val="FootnoteReference"/>
        </w:rPr>
        <w:footnoteRef/>
      </w:r>
      <w:r>
        <w:rPr>
          <w:rtl/>
        </w:rPr>
        <w:t xml:space="preserve"> </w:t>
      </w:r>
      <w:r>
        <w:rPr>
          <w:rFonts w:hint="cs"/>
          <w:rtl/>
          <w:lang w:bidi="ar-EG"/>
        </w:rPr>
        <w:t xml:space="preserve">المقرر </w:t>
      </w:r>
      <w:hyperlink r:id="rId28" w:history="1">
        <w:r w:rsidRPr="007937E6">
          <w:rPr>
            <w:rStyle w:val="Hyperlink"/>
            <w:rFonts w:hint="cs"/>
            <w:rtl/>
            <w:lang w:bidi="ar-EG"/>
          </w:rPr>
          <w:t>12/3</w:t>
        </w:r>
      </w:hyperlink>
      <w:r>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BE" w:rsidRPr="00AB2DD6" w:rsidRDefault="00C51ABE" w:rsidP="00924089">
    <w:pPr>
      <w:tabs>
        <w:tab w:val="left" w:pos="6379"/>
      </w:tabs>
      <w:bidi w:val="0"/>
      <w:ind w:left="6804"/>
      <w:jc w:val="right"/>
      <w:rPr>
        <w:sz w:val="22"/>
        <w:szCs w:val="22"/>
      </w:rPr>
    </w:pPr>
    <w:r w:rsidRPr="00AB2DD6">
      <w:rPr>
        <w:noProof/>
        <w:kern w:val="22"/>
        <w:sz w:val="22"/>
        <w:szCs w:val="22"/>
      </w:rPr>
      <w:t>CBD/SBI/2/</w:t>
    </w:r>
    <w:r>
      <w:rPr>
        <w:noProof/>
        <w:kern w:val="22"/>
        <w:sz w:val="22"/>
        <w:szCs w:val="22"/>
      </w:rPr>
      <w:t>7</w:t>
    </w:r>
  </w:p>
  <w:p w:rsidR="00C51ABE" w:rsidRPr="00084BB4" w:rsidRDefault="00C51ABE"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1C4E19">
      <w:rPr>
        <w:noProof/>
        <w:sz w:val="22"/>
        <w:szCs w:val="22"/>
      </w:rPr>
      <w:t>10</w:t>
    </w:r>
    <w:r w:rsidRPr="00BF5722">
      <w:rPr>
        <w:sz w:val="22"/>
        <w:szCs w:val="22"/>
      </w:rPr>
      <w:fldChar w:fldCharType="end"/>
    </w:r>
  </w:p>
  <w:p w:rsidR="00C51ABE" w:rsidRPr="00FF65D5" w:rsidRDefault="00C51ABE" w:rsidP="00E84AFA">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BE" w:rsidRPr="00AB2DD6" w:rsidRDefault="00C51ABE" w:rsidP="00924089">
    <w:pPr>
      <w:tabs>
        <w:tab w:val="left" w:pos="6379"/>
      </w:tabs>
      <w:bidi w:val="0"/>
      <w:jc w:val="left"/>
      <w:rPr>
        <w:sz w:val="22"/>
        <w:szCs w:val="22"/>
      </w:rPr>
    </w:pPr>
    <w:r w:rsidRPr="00AB2DD6">
      <w:rPr>
        <w:noProof/>
        <w:kern w:val="22"/>
        <w:sz w:val="22"/>
        <w:szCs w:val="22"/>
      </w:rPr>
      <w:t>CBD/SBI/2/</w:t>
    </w:r>
    <w:r>
      <w:rPr>
        <w:noProof/>
        <w:kern w:val="22"/>
        <w:sz w:val="22"/>
        <w:szCs w:val="22"/>
      </w:rPr>
      <w:t>7</w:t>
    </w:r>
  </w:p>
  <w:p w:rsidR="00C51ABE" w:rsidRPr="00F83515" w:rsidRDefault="00C51ABE"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1C4E19">
      <w:rPr>
        <w:bCs/>
        <w:noProof/>
        <w:kern w:val="22"/>
        <w:sz w:val="22"/>
        <w:szCs w:val="22"/>
      </w:rPr>
      <w:t>9</w:t>
    </w:r>
    <w:r w:rsidRPr="00F83515">
      <w:rPr>
        <w:bCs/>
        <w:noProof/>
        <w:kern w:val="22"/>
        <w:sz w:val="22"/>
        <w:szCs w:val="22"/>
      </w:rPr>
      <w:fldChar w:fldCharType="end"/>
    </w:r>
  </w:p>
  <w:p w:rsidR="00C51ABE" w:rsidRPr="00FF65D5" w:rsidRDefault="00C51ABE" w:rsidP="009A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DAD"/>
    <w:multiLevelType w:val="hybridMultilevel"/>
    <w:tmpl w:val="8E5CFFB2"/>
    <w:lvl w:ilvl="0" w:tplc="BBC2910A">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07528"/>
    <w:multiLevelType w:val="hybridMultilevel"/>
    <w:tmpl w:val="96F2647E"/>
    <w:lvl w:ilvl="0" w:tplc="0C88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47C26"/>
    <w:multiLevelType w:val="hybridMultilevel"/>
    <w:tmpl w:val="2C506F8E"/>
    <w:lvl w:ilvl="0" w:tplc="22E62942">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1168"/>
    <w:multiLevelType w:val="hybridMultilevel"/>
    <w:tmpl w:val="691AA6E0"/>
    <w:lvl w:ilvl="0" w:tplc="D424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D2C60"/>
    <w:multiLevelType w:val="hybridMultilevel"/>
    <w:tmpl w:val="9C4A6BE6"/>
    <w:lvl w:ilvl="0" w:tplc="E30A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75E"/>
    <w:multiLevelType w:val="hybridMultilevel"/>
    <w:tmpl w:val="CAEA0946"/>
    <w:lvl w:ilvl="0" w:tplc="A52E63F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D7C604F"/>
    <w:multiLevelType w:val="hybridMultilevel"/>
    <w:tmpl w:val="53A0ADC0"/>
    <w:lvl w:ilvl="0" w:tplc="D234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4F4357"/>
    <w:multiLevelType w:val="hybridMultilevel"/>
    <w:tmpl w:val="F1503E6A"/>
    <w:lvl w:ilvl="0" w:tplc="C9987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87A69"/>
    <w:multiLevelType w:val="hybridMultilevel"/>
    <w:tmpl w:val="9008FF5C"/>
    <w:lvl w:ilvl="0" w:tplc="2488F654">
      <w:start w:val="1"/>
      <w:numFmt w:val="decimal"/>
      <w:lvlText w:val="%1-"/>
      <w:lvlJc w:val="left"/>
      <w:pPr>
        <w:ind w:left="720" w:hanging="360"/>
      </w:pPr>
      <w:rPr>
        <w:rFonts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3" w15:restartNumberingAfterBreak="0">
    <w:nsid w:val="38D344DE"/>
    <w:multiLevelType w:val="hybridMultilevel"/>
    <w:tmpl w:val="2466BE8E"/>
    <w:lvl w:ilvl="0" w:tplc="82C086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62D6FC4"/>
    <w:multiLevelType w:val="hybridMultilevel"/>
    <w:tmpl w:val="9D04176A"/>
    <w:lvl w:ilvl="0" w:tplc="94C6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4E0442B4"/>
    <w:multiLevelType w:val="multilevel"/>
    <w:tmpl w:val="44200426"/>
    <w:lvl w:ilvl="0">
      <w:start w:val="1"/>
      <w:numFmt w:val="decimal"/>
      <w:pStyle w:val="Para1"/>
      <w:lvlText w:val="%1."/>
      <w:lvlJc w:val="left"/>
      <w:pPr>
        <w:tabs>
          <w:tab w:val="num" w:pos="360"/>
        </w:tabs>
        <w:ind w:left="0" w:firstLine="0"/>
      </w:pPr>
      <w:rPr>
        <w:rFonts w:ascii="Times New Roman" w:hAnsi="Times New Roman" w:hint="default"/>
        <w:b w:val="0"/>
        <w:i/>
        <w:iCs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EB7155"/>
    <w:multiLevelType w:val="hybridMultilevel"/>
    <w:tmpl w:val="812612C8"/>
    <w:lvl w:ilvl="0" w:tplc="FFE6B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D5BBC"/>
    <w:multiLevelType w:val="hybridMultilevel"/>
    <w:tmpl w:val="CCE89B80"/>
    <w:lvl w:ilvl="0" w:tplc="79A2D5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E3744"/>
    <w:multiLevelType w:val="hybridMultilevel"/>
    <w:tmpl w:val="B7665AAE"/>
    <w:lvl w:ilvl="0" w:tplc="F09641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9849C1"/>
    <w:multiLevelType w:val="hybridMultilevel"/>
    <w:tmpl w:val="5740A58C"/>
    <w:lvl w:ilvl="0" w:tplc="4E1857B0">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DF425B"/>
    <w:multiLevelType w:val="hybridMultilevel"/>
    <w:tmpl w:val="B160261E"/>
    <w:lvl w:ilvl="0" w:tplc="3A8EE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F05E2"/>
    <w:multiLevelType w:val="hybridMultilevel"/>
    <w:tmpl w:val="1FDECE9C"/>
    <w:lvl w:ilvl="0" w:tplc="E5DCA64C">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385C10"/>
    <w:multiLevelType w:val="hybridMultilevel"/>
    <w:tmpl w:val="1DF6BD52"/>
    <w:lvl w:ilvl="0" w:tplc="3B6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26"/>
  </w:num>
  <w:num w:numId="3">
    <w:abstractNumId w:val="16"/>
  </w:num>
  <w:num w:numId="4">
    <w:abstractNumId w:val="14"/>
  </w:num>
  <w:num w:numId="5">
    <w:abstractNumId w:val="1"/>
  </w:num>
  <w:num w:numId="6">
    <w:abstractNumId w:val="9"/>
  </w:num>
  <w:num w:numId="7">
    <w:abstractNumId w:val="18"/>
  </w:num>
  <w:num w:numId="8">
    <w:abstractNumId w:val="28"/>
  </w:num>
  <w:num w:numId="9">
    <w:abstractNumId w:val="12"/>
  </w:num>
  <w:num w:numId="10">
    <w:abstractNumId w:val="10"/>
  </w:num>
  <w:num w:numId="11">
    <w:abstractNumId w:val="23"/>
  </w:num>
  <w:num w:numId="12">
    <w:abstractNumId w:val="24"/>
  </w:num>
  <w:num w:numId="13">
    <w:abstractNumId w:val="5"/>
  </w:num>
  <w:num w:numId="14">
    <w:abstractNumId w:val="15"/>
  </w:num>
  <w:num w:numId="15">
    <w:abstractNumId w:val="21"/>
  </w:num>
  <w:num w:numId="16">
    <w:abstractNumId w:val="3"/>
  </w:num>
  <w:num w:numId="17">
    <w:abstractNumId w:val="4"/>
  </w:num>
  <w:num w:numId="18">
    <w:abstractNumId w:val="13"/>
  </w:num>
  <w:num w:numId="19">
    <w:abstractNumId w:val="25"/>
  </w:num>
  <w:num w:numId="20">
    <w:abstractNumId w:val="20"/>
  </w:num>
  <w:num w:numId="21">
    <w:abstractNumId w:val="0"/>
  </w:num>
  <w:num w:numId="22">
    <w:abstractNumId w:val="6"/>
  </w:num>
  <w:num w:numId="23">
    <w:abstractNumId w:val="8"/>
  </w:num>
  <w:num w:numId="24">
    <w:abstractNumId w:val="19"/>
  </w:num>
  <w:num w:numId="25">
    <w:abstractNumId w:val="7"/>
  </w:num>
  <w:num w:numId="26">
    <w:abstractNumId w:val="2"/>
  </w:num>
  <w:num w:numId="27">
    <w:abstractNumId w:val="22"/>
  </w:num>
  <w:num w:numId="28">
    <w:abstractNumId w:val="11"/>
  </w:num>
  <w:num w:numId="29">
    <w:abstractNumId w:val="18"/>
    <w:lvlOverride w:ilvl="0">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4"/>
    <w:rsid w:val="00000127"/>
    <w:rsid w:val="00000169"/>
    <w:rsid w:val="00000C9D"/>
    <w:rsid w:val="00001033"/>
    <w:rsid w:val="00001335"/>
    <w:rsid w:val="00001FD1"/>
    <w:rsid w:val="000039B6"/>
    <w:rsid w:val="00004CF5"/>
    <w:rsid w:val="00004E02"/>
    <w:rsid w:val="00004F1B"/>
    <w:rsid w:val="000056A7"/>
    <w:rsid w:val="00005C6B"/>
    <w:rsid w:val="00006287"/>
    <w:rsid w:val="0000629F"/>
    <w:rsid w:val="00006442"/>
    <w:rsid w:val="00006B3C"/>
    <w:rsid w:val="00007338"/>
    <w:rsid w:val="0000770F"/>
    <w:rsid w:val="00007E58"/>
    <w:rsid w:val="00010F2A"/>
    <w:rsid w:val="00010F2C"/>
    <w:rsid w:val="00012150"/>
    <w:rsid w:val="000144D3"/>
    <w:rsid w:val="00014C62"/>
    <w:rsid w:val="00014DC6"/>
    <w:rsid w:val="00015D86"/>
    <w:rsid w:val="00015DC4"/>
    <w:rsid w:val="00016B4E"/>
    <w:rsid w:val="0001753C"/>
    <w:rsid w:val="00017621"/>
    <w:rsid w:val="00017D1A"/>
    <w:rsid w:val="000213DE"/>
    <w:rsid w:val="00022D4B"/>
    <w:rsid w:val="00022FBA"/>
    <w:rsid w:val="00023967"/>
    <w:rsid w:val="00024250"/>
    <w:rsid w:val="0002474B"/>
    <w:rsid w:val="0002523A"/>
    <w:rsid w:val="00025E2A"/>
    <w:rsid w:val="00027140"/>
    <w:rsid w:val="000272C6"/>
    <w:rsid w:val="00027F72"/>
    <w:rsid w:val="000300D1"/>
    <w:rsid w:val="00030485"/>
    <w:rsid w:val="00030954"/>
    <w:rsid w:val="00030985"/>
    <w:rsid w:val="00030C8C"/>
    <w:rsid w:val="0003135B"/>
    <w:rsid w:val="00031468"/>
    <w:rsid w:val="00031FBE"/>
    <w:rsid w:val="000326E4"/>
    <w:rsid w:val="00033F9A"/>
    <w:rsid w:val="00034043"/>
    <w:rsid w:val="000358C0"/>
    <w:rsid w:val="00036F64"/>
    <w:rsid w:val="000408ED"/>
    <w:rsid w:val="00040A75"/>
    <w:rsid w:val="00040FA5"/>
    <w:rsid w:val="00041FD9"/>
    <w:rsid w:val="00042FAF"/>
    <w:rsid w:val="000439EA"/>
    <w:rsid w:val="00043D1B"/>
    <w:rsid w:val="00043DB8"/>
    <w:rsid w:val="00044AAF"/>
    <w:rsid w:val="00044EB4"/>
    <w:rsid w:val="0004504F"/>
    <w:rsid w:val="00045E3C"/>
    <w:rsid w:val="00046170"/>
    <w:rsid w:val="00046D40"/>
    <w:rsid w:val="000518A5"/>
    <w:rsid w:val="000518AA"/>
    <w:rsid w:val="00051A6E"/>
    <w:rsid w:val="0005279A"/>
    <w:rsid w:val="00052817"/>
    <w:rsid w:val="00053725"/>
    <w:rsid w:val="0005429D"/>
    <w:rsid w:val="0005468E"/>
    <w:rsid w:val="000555C6"/>
    <w:rsid w:val="00056818"/>
    <w:rsid w:val="000569D7"/>
    <w:rsid w:val="00056B97"/>
    <w:rsid w:val="00057C94"/>
    <w:rsid w:val="00060303"/>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0E37"/>
    <w:rsid w:val="00071AA3"/>
    <w:rsid w:val="00072556"/>
    <w:rsid w:val="000730AE"/>
    <w:rsid w:val="0007477C"/>
    <w:rsid w:val="000748F0"/>
    <w:rsid w:val="00074A52"/>
    <w:rsid w:val="000750CF"/>
    <w:rsid w:val="00075A8A"/>
    <w:rsid w:val="000770F3"/>
    <w:rsid w:val="000777DF"/>
    <w:rsid w:val="00077DAB"/>
    <w:rsid w:val="0008009F"/>
    <w:rsid w:val="00080B30"/>
    <w:rsid w:val="00081999"/>
    <w:rsid w:val="0008214A"/>
    <w:rsid w:val="000825D7"/>
    <w:rsid w:val="000839A2"/>
    <w:rsid w:val="00083B68"/>
    <w:rsid w:val="00084BB4"/>
    <w:rsid w:val="00085341"/>
    <w:rsid w:val="000867EE"/>
    <w:rsid w:val="00086946"/>
    <w:rsid w:val="00086ADE"/>
    <w:rsid w:val="00087182"/>
    <w:rsid w:val="0008758D"/>
    <w:rsid w:val="00087C19"/>
    <w:rsid w:val="000904A8"/>
    <w:rsid w:val="000916BE"/>
    <w:rsid w:val="00091948"/>
    <w:rsid w:val="00092667"/>
    <w:rsid w:val="0009290C"/>
    <w:rsid w:val="00093731"/>
    <w:rsid w:val="00093760"/>
    <w:rsid w:val="00093F2D"/>
    <w:rsid w:val="00094391"/>
    <w:rsid w:val="00094D7F"/>
    <w:rsid w:val="00095854"/>
    <w:rsid w:val="00096E55"/>
    <w:rsid w:val="00096F83"/>
    <w:rsid w:val="00097021"/>
    <w:rsid w:val="000970EF"/>
    <w:rsid w:val="00097777"/>
    <w:rsid w:val="000A043F"/>
    <w:rsid w:val="000A055B"/>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E95"/>
    <w:rsid w:val="000B2606"/>
    <w:rsid w:val="000B2C63"/>
    <w:rsid w:val="000B3249"/>
    <w:rsid w:val="000B3997"/>
    <w:rsid w:val="000B3D0D"/>
    <w:rsid w:val="000B4102"/>
    <w:rsid w:val="000B4309"/>
    <w:rsid w:val="000B4E04"/>
    <w:rsid w:val="000B5A15"/>
    <w:rsid w:val="000B5A66"/>
    <w:rsid w:val="000B5A77"/>
    <w:rsid w:val="000B5AFF"/>
    <w:rsid w:val="000B6FA4"/>
    <w:rsid w:val="000B731D"/>
    <w:rsid w:val="000B737A"/>
    <w:rsid w:val="000B7B9A"/>
    <w:rsid w:val="000B7D90"/>
    <w:rsid w:val="000C1221"/>
    <w:rsid w:val="000C1320"/>
    <w:rsid w:val="000C14D0"/>
    <w:rsid w:val="000C1A6F"/>
    <w:rsid w:val="000C1FF3"/>
    <w:rsid w:val="000C2493"/>
    <w:rsid w:val="000C2704"/>
    <w:rsid w:val="000C2729"/>
    <w:rsid w:val="000C2D35"/>
    <w:rsid w:val="000C2D6E"/>
    <w:rsid w:val="000C2F26"/>
    <w:rsid w:val="000C381A"/>
    <w:rsid w:val="000C3D18"/>
    <w:rsid w:val="000C4896"/>
    <w:rsid w:val="000C48B3"/>
    <w:rsid w:val="000C5662"/>
    <w:rsid w:val="000C63F3"/>
    <w:rsid w:val="000C697A"/>
    <w:rsid w:val="000C6F97"/>
    <w:rsid w:val="000C7427"/>
    <w:rsid w:val="000D09E6"/>
    <w:rsid w:val="000D0AC3"/>
    <w:rsid w:val="000D0E3C"/>
    <w:rsid w:val="000D19AB"/>
    <w:rsid w:val="000D1FD4"/>
    <w:rsid w:val="000D2571"/>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52B"/>
    <w:rsid w:val="000F29B8"/>
    <w:rsid w:val="000F3E31"/>
    <w:rsid w:val="000F4052"/>
    <w:rsid w:val="000F5748"/>
    <w:rsid w:val="000F58C1"/>
    <w:rsid w:val="000F5B3D"/>
    <w:rsid w:val="000F5C6B"/>
    <w:rsid w:val="000F6012"/>
    <w:rsid w:val="000F6A7F"/>
    <w:rsid w:val="000F6BDE"/>
    <w:rsid w:val="000F7C9C"/>
    <w:rsid w:val="001000A9"/>
    <w:rsid w:val="001000B0"/>
    <w:rsid w:val="001003D4"/>
    <w:rsid w:val="00100D01"/>
    <w:rsid w:val="00102599"/>
    <w:rsid w:val="00103222"/>
    <w:rsid w:val="00103AE0"/>
    <w:rsid w:val="00103DA4"/>
    <w:rsid w:val="00104196"/>
    <w:rsid w:val="001061E2"/>
    <w:rsid w:val="00106EDC"/>
    <w:rsid w:val="0010717E"/>
    <w:rsid w:val="0010734B"/>
    <w:rsid w:val="00107AB9"/>
    <w:rsid w:val="00107C58"/>
    <w:rsid w:val="00107E92"/>
    <w:rsid w:val="00110E2E"/>
    <w:rsid w:val="0011130E"/>
    <w:rsid w:val="001113E0"/>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567"/>
    <w:rsid w:val="00122BDE"/>
    <w:rsid w:val="001243B6"/>
    <w:rsid w:val="00126DCB"/>
    <w:rsid w:val="001306C4"/>
    <w:rsid w:val="00130843"/>
    <w:rsid w:val="00130D70"/>
    <w:rsid w:val="00130D85"/>
    <w:rsid w:val="00131C2E"/>
    <w:rsid w:val="00132236"/>
    <w:rsid w:val="001333F6"/>
    <w:rsid w:val="001344FD"/>
    <w:rsid w:val="00134922"/>
    <w:rsid w:val="001359E9"/>
    <w:rsid w:val="00136622"/>
    <w:rsid w:val="00136BDC"/>
    <w:rsid w:val="001376BF"/>
    <w:rsid w:val="0014028D"/>
    <w:rsid w:val="00140964"/>
    <w:rsid w:val="0014107B"/>
    <w:rsid w:val="00141238"/>
    <w:rsid w:val="0014128C"/>
    <w:rsid w:val="00141B5B"/>
    <w:rsid w:val="00141DCF"/>
    <w:rsid w:val="00142099"/>
    <w:rsid w:val="0014267A"/>
    <w:rsid w:val="00142CE1"/>
    <w:rsid w:val="00143020"/>
    <w:rsid w:val="00143185"/>
    <w:rsid w:val="001433E8"/>
    <w:rsid w:val="00143780"/>
    <w:rsid w:val="001438E4"/>
    <w:rsid w:val="00143E61"/>
    <w:rsid w:val="00144281"/>
    <w:rsid w:val="00144511"/>
    <w:rsid w:val="00144673"/>
    <w:rsid w:val="0014606A"/>
    <w:rsid w:val="00146A70"/>
    <w:rsid w:val="00146C0B"/>
    <w:rsid w:val="0014701D"/>
    <w:rsid w:val="00151E83"/>
    <w:rsid w:val="00152CA2"/>
    <w:rsid w:val="00152FDC"/>
    <w:rsid w:val="00153A4B"/>
    <w:rsid w:val="00153D62"/>
    <w:rsid w:val="00153EB0"/>
    <w:rsid w:val="001545AB"/>
    <w:rsid w:val="0015460F"/>
    <w:rsid w:val="00154685"/>
    <w:rsid w:val="00155463"/>
    <w:rsid w:val="001564A7"/>
    <w:rsid w:val="00157889"/>
    <w:rsid w:val="0016100C"/>
    <w:rsid w:val="00161C76"/>
    <w:rsid w:val="00162099"/>
    <w:rsid w:val="001635E6"/>
    <w:rsid w:val="00163E06"/>
    <w:rsid w:val="00163EB7"/>
    <w:rsid w:val="00164A8A"/>
    <w:rsid w:val="0016566C"/>
    <w:rsid w:val="001661DC"/>
    <w:rsid w:val="0016621D"/>
    <w:rsid w:val="001676FE"/>
    <w:rsid w:val="0017009A"/>
    <w:rsid w:val="00171A91"/>
    <w:rsid w:val="001728CF"/>
    <w:rsid w:val="00172EF1"/>
    <w:rsid w:val="00173534"/>
    <w:rsid w:val="00173FC2"/>
    <w:rsid w:val="00174D54"/>
    <w:rsid w:val="0017757C"/>
    <w:rsid w:val="00177826"/>
    <w:rsid w:val="00180ECA"/>
    <w:rsid w:val="00181A29"/>
    <w:rsid w:val="00181C37"/>
    <w:rsid w:val="001820A8"/>
    <w:rsid w:val="00182117"/>
    <w:rsid w:val="0018222A"/>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4E7"/>
    <w:rsid w:val="001A0740"/>
    <w:rsid w:val="001A0BB5"/>
    <w:rsid w:val="001A1396"/>
    <w:rsid w:val="001A2111"/>
    <w:rsid w:val="001A26CB"/>
    <w:rsid w:val="001A3186"/>
    <w:rsid w:val="001A3254"/>
    <w:rsid w:val="001A46DB"/>
    <w:rsid w:val="001A54D5"/>
    <w:rsid w:val="001A5503"/>
    <w:rsid w:val="001A7344"/>
    <w:rsid w:val="001A79A3"/>
    <w:rsid w:val="001A7DA3"/>
    <w:rsid w:val="001B2191"/>
    <w:rsid w:val="001B2595"/>
    <w:rsid w:val="001B3654"/>
    <w:rsid w:val="001B404D"/>
    <w:rsid w:val="001B4262"/>
    <w:rsid w:val="001B4E40"/>
    <w:rsid w:val="001B6250"/>
    <w:rsid w:val="001B6976"/>
    <w:rsid w:val="001B6F23"/>
    <w:rsid w:val="001B781E"/>
    <w:rsid w:val="001B7F92"/>
    <w:rsid w:val="001C0AA6"/>
    <w:rsid w:val="001C141E"/>
    <w:rsid w:val="001C17FA"/>
    <w:rsid w:val="001C200E"/>
    <w:rsid w:val="001C2272"/>
    <w:rsid w:val="001C2717"/>
    <w:rsid w:val="001C3E5F"/>
    <w:rsid w:val="001C44E3"/>
    <w:rsid w:val="001C4672"/>
    <w:rsid w:val="001C4E19"/>
    <w:rsid w:val="001C52BF"/>
    <w:rsid w:val="001C536F"/>
    <w:rsid w:val="001C544F"/>
    <w:rsid w:val="001C5805"/>
    <w:rsid w:val="001C597D"/>
    <w:rsid w:val="001C5AEE"/>
    <w:rsid w:val="001C6CFD"/>
    <w:rsid w:val="001C73DA"/>
    <w:rsid w:val="001C7861"/>
    <w:rsid w:val="001C7F36"/>
    <w:rsid w:val="001D0D0F"/>
    <w:rsid w:val="001D0DF6"/>
    <w:rsid w:val="001D1B8A"/>
    <w:rsid w:val="001D38BC"/>
    <w:rsid w:val="001D3924"/>
    <w:rsid w:val="001D45C6"/>
    <w:rsid w:val="001D6114"/>
    <w:rsid w:val="001D632A"/>
    <w:rsid w:val="001D6EAC"/>
    <w:rsid w:val="001D7ADB"/>
    <w:rsid w:val="001E112F"/>
    <w:rsid w:val="001E12AB"/>
    <w:rsid w:val="001E1B00"/>
    <w:rsid w:val="001E3A23"/>
    <w:rsid w:val="001E3DC9"/>
    <w:rsid w:val="001E6145"/>
    <w:rsid w:val="001E6B1E"/>
    <w:rsid w:val="001E6E2F"/>
    <w:rsid w:val="001E720C"/>
    <w:rsid w:val="001E755B"/>
    <w:rsid w:val="001F05BB"/>
    <w:rsid w:val="001F116D"/>
    <w:rsid w:val="001F1AC7"/>
    <w:rsid w:val="001F3917"/>
    <w:rsid w:val="001F4CA8"/>
    <w:rsid w:val="001F550E"/>
    <w:rsid w:val="001F6492"/>
    <w:rsid w:val="001F655A"/>
    <w:rsid w:val="001F7070"/>
    <w:rsid w:val="001F70BC"/>
    <w:rsid w:val="001F7699"/>
    <w:rsid w:val="001F7E62"/>
    <w:rsid w:val="00200285"/>
    <w:rsid w:val="002008DD"/>
    <w:rsid w:val="00201846"/>
    <w:rsid w:val="002021E7"/>
    <w:rsid w:val="00202230"/>
    <w:rsid w:val="00202478"/>
    <w:rsid w:val="0020291E"/>
    <w:rsid w:val="00202A7D"/>
    <w:rsid w:val="00203042"/>
    <w:rsid w:val="0020597A"/>
    <w:rsid w:val="00205B7B"/>
    <w:rsid w:val="00205FCE"/>
    <w:rsid w:val="0020663F"/>
    <w:rsid w:val="0020679B"/>
    <w:rsid w:val="00206C65"/>
    <w:rsid w:val="0020757C"/>
    <w:rsid w:val="00207B78"/>
    <w:rsid w:val="00211782"/>
    <w:rsid w:val="002121FE"/>
    <w:rsid w:val="00212288"/>
    <w:rsid w:val="00213677"/>
    <w:rsid w:val="00214074"/>
    <w:rsid w:val="002149F2"/>
    <w:rsid w:val="00215698"/>
    <w:rsid w:val="00215B52"/>
    <w:rsid w:val="00215CDC"/>
    <w:rsid w:val="00216892"/>
    <w:rsid w:val="00216CC5"/>
    <w:rsid w:val="00216D4D"/>
    <w:rsid w:val="00217152"/>
    <w:rsid w:val="0021743C"/>
    <w:rsid w:val="00220569"/>
    <w:rsid w:val="0022077F"/>
    <w:rsid w:val="002207FF"/>
    <w:rsid w:val="0022129C"/>
    <w:rsid w:val="002214C4"/>
    <w:rsid w:val="002224DB"/>
    <w:rsid w:val="00222D10"/>
    <w:rsid w:val="002237BC"/>
    <w:rsid w:val="00224D4B"/>
    <w:rsid w:val="00224E4C"/>
    <w:rsid w:val="0022666F"/>
    <w:rsid w:val="002274E0"/>
    <w:rsid w:val="00227E29"/>
    <w:rsid w:val="00230B45"/>
    <w:rsid w:val="00232086"/>
    <w:rsid w:val="002328A5"/>
    <w:rsid w:val="00232DEC"/>
    <w:rsid w:val="00236654"/>
    <w:rsid w:val="002366DF"/>
    <w:rsid w:val="0024021E"/>
    <w:rsid w:val="0024076D"/>
    <w:rsid w:val="00240788"/>
    <w:rsid w:val="00241753"/>
    <w:rsid w:val="00241D35"/>
    <w:rsid w:val="002425E8"/>
    <w:rsid w:val="00244971"/>
    <w:rsid w:val="0024513B"/>
    <w:rsid w:val="002475E9"/>
    <w:rsid w:val="00250021"/>
    <w:rsid w:val="002511E1"/>
    <w:rsid w:val="002512B0"/>
    <w:rsid w:val="0025133F"/>
    <w:rsid w:val="00251EC6"/>
    <w:rsid w:val="00252BBD"/>
    <w:rsid w:val="00252F47"/>
    <w:rsid w:val="0025370D"/>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083"/>
    <w:rsid w:val="002725F6"/>
    <w:rsid w:val="00272866"/>
    <w:rsid w:val="00272959"/>
    <w:rsid w:val="00272DEB"/>
    <w:rsid w:val="0027387D"/>
    <w:rsid w:val="00273A8B"/>
    <w:rsid w:val="00273E98"/>
    <w:rsid w:val="00274D56"/>
    <w:rsid w:val="00275585"/>
    <w:rsid w:val="00275B93"/>
    <w:rsid w:val="00276E61"/>
    <w:rsid w:val="0027728D"/>
    <w:rsid w:val="002805CE"/>
    <w:rsid w:val="002807C8"/>
    <w:rsid w:val="002813E7"/>
    <w:rsid w:val="00281EA9"/>
    <w:rsid w:val="00282461"/>
    <w:rsid w:val="00282D8E"/>
    <w:rsid w:val="00282EC5"/>
    <w:rsid w:val="00283018"/>
    <w:rsid w:val="002835EC"/>
    <w:rsid w:val="00283D43"/>
    <w:rsid w:val="00285E6A"/>
    <w:rsid w:val="00286812"/>
    <w:rsid w:val="00286ED1"/>
    <w:rsid w:val="00287EAE"/>
    <w:rsid w:val="00287F71"/>
    <w:rsid w:val="00290527"/>
    <w:rsid w:val="00290B5C"/>
    <w:rsid w:val="002911A2"/>
    <w:rsid w:val="0029356F"/>
    <w:rsid w:val="00293A63"/>
    <w:rsid w:val="00293AE7"/>
    <w:rsid w:val="00294864"/>
    <w:rsid w:val="00296069"/>
    <w:rsid w:val="002A04CE"/>
    <w:rsid w:val="002A15DE"/>
    <w:rsid w:val="002A202D"/>
    <w:rsid w:val="002A265B"/>
    <w:rsid w:val="002A27D4"/>
    <w:rsid w:val="002A28DA"/>
    <w:rsid w:val="002A2E4B"/>
    <w:rsid w:val="002A397D"/>
    <w:rsid w:val="002A434B"/>
    <w:rsid w:val="002A4553"/>
    <w:rsid w:val="002A4572"/>
    <w:rsid w:val="002A45F5"/>
    <w:rsid w:val="002A4D72"/>
    <w:rsid w:val="002A6240"/>
    <w:rsid w:val="002A646F"/>
    <w:rsid w:val="002A6E58"/>
    <w:rsid w:val="002A7849"/>
    <w:rsid w:val="002A7996"/>
    <w:rsid w:val="002B1D05"/>
    <w:rsid w:val="002B1DAE"/>
    <w:rsid w:val="002B27BE"/>
    <w:rsid w:val="002B2CD5"/>
    <w:rsid w:val="002B2EB6"/>
    <w:rsid w:val="002B31AF"/>
    <w:rsid w:val="002B3414"/>
    <w:rsid w:val="002B415A"/>
    <w:rsid w:val="002B55B8"/>
    <w:rsid w:val="002B6431"/>
    <w:rsid w:val="002B6A2F"/>
    <w:rsid w:val="002B6AE5"/>
    <w:rsid w:val="002C0932"/>
    <w:rsid w:val="002C0EA1"/>
    <w:rsid w:val="002C12CA"/>
    <w:rsid w:val="002C23A8"/>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5DD"/>
    <w:rsid w:val="002F159D"/>
    <w:rsid w:val="002F159E"/>
    <w:rsid w:val="002F1744"/>
    <w:rsid w:val="002F28BF"/>
    <w:rsid w:val="002F2DC1"/>
    <w:rsid w:val="002F2F66"/>
    <w:rsid w:val="002F437F"/>
    <w:rsid w:val="002F4DB8"/>
    <w:rsid w:val="002F51C1"/>
    <w:rsid w:val="002F6084"/>
    <w:rsid w:val="002F7451"/>
    <w:rsid w:val="0030012E"/>
    <w:rsid w:val="00300A5B"/>
    <w:rsid w:val="00300E35"/>
    <w:rsid w:val="003020FD"/>
    <w:rsid w:val="003025BD"/>
    <w:rsid w:val="0030394A"/>
    <w:rsid w:val="003047D0"/>
    <w:rsid w:val="00304D26"/>
    <w:rsid w:val="0030647E"/>
    <w:rsid w:val="00306C34"/>
    <w:rsid w:val="003071F4"/>
    <w:rsid w:val="00310720"/>
    <w:rsid w:val="003111B5"/>
    <w:rsid w:val="0031246C"/>
    <w:rsid w:val="00312FFC"/>
    <w:rsid w:val="00313667"/>
    <w:rsid w:val="00314132"/>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745"/>
    <w:rsid w:val="003248EA"/>
    <w:rsid w:val="003251A2"/>
    <w:rsid w:val="003251E7"/>
    <w:rsid w:val="0032547E"/>
    <w:rsid w:val="00325CF6"/>
    <w:rsid w:val="003275D9"/>
    <w:rsid w:val="00327D06"/>
    <w:rsid w:val="00330071"/>
    <w:rsid w:val="003301CD"/>
    <w:rsid w:val="00330382"/>
    <w:rsid w:val="003303D8"/>
    <w:rsid w:val="00331001"/>
    <w:rsid w:val="00331259"/>
    <w:rsid w:val="00332531"/>
    <w:rsid w:val="00332568"/>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A69"/>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1651"/>
    <w:rsid w:val="00361B24"/>
    <w:rsid w:val="00361CDB"/>
    <w:rsid w:val="00361EAC"/>
    <w:rsid w:val="00361ED7"/>
    <w:rsid w:val="003624B5"/>
    <w:rsid w:val="003640F5"/>
    <w:rsid w:val="0036472E"/>
    <w:rsid w:val="003651A1"/>
    <w:rsid w:val="00365BCC"/>
    <w:rsid w:val="00367700"/>
    <w:rsid w:val="00367DD4"/>
    <w:rsid w:val="00370760"/>
    <w:rsid w:val="00370973"/>
    <w:rsid w:val="0037101B"/>
    <w:rsid w:val="003714DD"/>
    <w:rsid w:val="00371CCD"/>
    <w:rsid w:val="00372ACA"/>
    <w:rsid w:val="00373250"/>
    <w:rsid w:val="0037331F"/>
    <w:rsid w:val="00373912"/>
    <w:rsid w:val="003746B2"/>
    <w:rsid w:val="00374733"/>
    <w:rsid w:val="00375E6A"/>
    <w:rsid w:val="00376D5B"/>
    <w:rsid w:val="003772BD"/>
    <w:rsid w:val="0037789A"/>
    <w:rsid w:val="003801E4"/>
    <w:rsid w:val="003806BF"/>
    <w:rsid w:val="003806D2"/>
    <w:rsid w:val="00380E2B"/>
    <w:rsid w:val="00381C5F"/>
    <w:rsid w:val="0038201D"/>
    <w:rsid w:val="0038206B"/>
    <w:rsid w:val="00382C4D"/>
    <w:rsid w:val="003831FF"/>
    <w:rsid w:val="00383B45"/>
    <w:rsid w:val="0038449B"/>
    <w:rsid w:val="003848BF"/>
    <w:rsid w:val="00384CAD"/>
    <w:rsid w:val="00386220"/>
    <w:rsid w:val="00386A9E"/>
    <w:rsid w:val="00387245"/>
    <w:rsid w:val="003872C8"/>
    <w:rsid w:val="0038760B"/>
    <w:rsid w:val="00387932"/>
    <w:rsid w:val="00387C63"/>
    <w:rsid w:val="00390045"/>
    <w:rsid w:val="00390E97"/>
    <w:rsid w:val="00390F4A"/>
    <w:rsid w:val="003922FA"/>
    <w:rsid w:val="0039297B"/>
    <w:rsid w:val="0039388E"/>
    <w:rsid w:val="00393B97"/>
    <w:rsid w:val="003941C7"/>
    <w:rsid w:val="00394948"/>
    <w:rsid w:val="00394A89"/>
    <w:rsid w:val="00395560"/>
    <w:rsid w:val="00395EE5"/>
    <w:rsid w:val="003964C9"/>
    <w:rsid w:val="00396FD1"/>
    <w:rsid w:val="003971F2"/>
    <w:rsid w:val="0039794F"/>
    <w:rsid w:val="003A0CE0"/>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CC6"/>
    <w:rsid w:val="003B6F3C"/>
    <w:rsid w:val="003B70E0"/>
    <w:rsid w:val="003B720E"/>
    <w:rsid w:val="003B7243"/>
    <w:rsid w:val="003B7B9D"/>
    <w:rsid w:val="003C134B"/>
    <w:rsid w:val="003C13F1"/>
    <w:rsid w:val="003C2036"/>
    <w:rsid w:val="003C21DC"/>
    <w:rsid w:val="003C3739"/>
    <w:rsid w:val="003C3963"/>
    <w:rsid w:val="003C457F"/>
    <w:rsid w:val="003C45A3"/>
    <w:rsid w:val="003C4A7A"/>
    <w:rsid w:val="003C5470"/>
    <w:rsid w:val="003C5894"/>
    <w:rsid w:val="003C6972"/>
    <w:rsid w:val="003C7075"/>
    <w:rsid w:val="003C747D"/>
    <w:rsid w:val="003C7B98"/>
    <w:rsid w:val="003C7BFB"/>
    <w:rsid w:val="003D04D7"/>
    <w:rsid w:val="003D04FD"/>
    <w:rsid w:val="003D2EBE"/>
    <w:rsid w:val="003D3614"/>
    <w:rsid w:val="003D3F82"/>
    <w:rsid w:val="003D441B"/>
    <w:rsid w:val="003D5276"/>
    <w:rsid w:val="003D574D"/>
    <w:rsid w:val="003D5D71"/>
    <w:rsid w:val="003D761D"/>
    <w:rsid w:val="003D7970"/>
    <w:rsid w:val="003E045F"/>
    <w:rsid w:val="003E094E"/>
    <w:rsid w:val="003E0966"/>
    <w:rsid w:val="003E0D3E"/>
    <w:rsid w:val="003E0EE3"/>
    <w:rsid w:val="003E1D48"/>
    <w:rsid w:val="003E34A3"/>
    <w:rsid w:val="003E3FA9"/>
    <w:rsid w:val="003E6B08"/>
    <w:rsid w:val="003F07D6"/>
    <w:rsid w:val="003F2531"/>
    <w:rsid w:val="003F31CF"/>
    <w:rsid w:val="003F3EE1"/>
    <w:rsid w:val="003F4577"/>
    <w:rsid w:val="003F49B2"/>
    <w:rsid w:val="003F50A1"/>
    <w:rsid w:val="003F5384"/>
    <w:rsid w:val="003F7000"/>
    <w:rsid w:val="003F756C"/>
    <w:rsid w:val="00401FD8"/>
    <w:rsid w:val="004020F7"/>
    <w:rsid w:val="004028EE"/>
    <w:rsid w:val="00402C43"/>
    <w:rsid w:val="00402FAA"/>
    <w:rsid w:val="00403853"/>
    <w:rsid w:val="00403B00"/>
    <w:rsid w:val="00404461"/>
    <w:rsid w:val="004045A7"/>
    <w:rsid w:val="00404A17"/>
    <w:rsid w:val="0040656E"/>
    <w:rsid w:val="00406AB0"/>
    <w:rsid w:val="00407375"/>
    <w:rsid w:val="004074F8"/>
    <w:rsid w:val="004077DC"/>
    <w:rsid w:val="00410699"/>
    <w:rsid w:val="004110AD"/>
    <w:rsid w:val="0041136A"/>
    <w:rsid w:val="0041177C"/>
    <w:rsid w:val="004121B1"/>
    <w:rsid w:val="00412E47"/>
    <w:rsid w:val="0041306B"/>
    <w:rsid w:val="004133F6"/>
    <w:rsid w:val="004144A1"/>
    <w:rsid w:val="004145EB"/>
    <w:rsid w:val="00414ADD"/>
    <w:rsid w:val="00415361"/>
    <w:rsid w:val="00415BCE"/>
    <w:rsid w:val="00416071"/>
    <w:rsid w:val="0041654F"/>
    <w:rsid w:val="00416A13"/>
    <w:rsid w:val="00416BB7"/>
    <w:rsid w:val="00417A26"/>
    <w:rsid w:val="00417A9D"/>
    <w:rsid w:val="00417EC1"/>
    <w:rsid w:val="00417ED8"/>
    <w:rsid w:val="00417FA5"/>
    <w:rsid w:val="00420252"/>
    <w:rsid w:val="004204F8"/>
    <w:rsid w:val="00420C8B"/>
    <w:rsid w:val="00421A7D"/>
    <w:rsid w:val="004229C3"/>
    <w:rsid w:val="00422D6F"/>
    <w:rsid w:val="0042356D"/>
    <w:rsid w:val="004245C1"/>
    <w:rsid w:val="00424615"/>
    <w:rsid w:val="004270E9"/>
    <w:rsid w:val="00427BA5"/>
    <w:rsid w:val="00430902"/>
    <w:rsid w:val="00431C8C"/>
    <w:rsid w:val="00432F9B"/>
    <w:rsid w:val="0043311F"/>
    <w:rsid w:val="00433B07"/>
    <w:rsid w:val="00434855"/>
    <w:rsid w:val="00435749"/>
    <w:rsid w:val="00435795"/>
    <w:rsid w:val="00436043"/>
    <w:rsid w:val="0043785F"/>
    <w:rsid w:val="00437B06"/>
    <w:rsid w:val="00437E3E"/>
    <w:rsid w:val="00441DFC"/>
    <w:rsid w:val="00441ECA"/>
    <w:rsid w:val="00442BF4"/>
    <w:rsid w:val="00443524"/>
    <w:rsid w:val="004439CE"/>
    <w:rsid w:val="00444EE2"/>
    <w:rsid w:val="004454DD"/>
    <w:rsid w:val="00447582"/>
    <w:rsid w:val="004478A7"/>
    <w:rsid w:val="00447FF2"/>
    <w:rsid w:val="00450394"/>
    <w:rsid w:val="00450820"/>
    <w:rsid w:val="00450E94"/>
    <w:rsid w:val="00451562"/>
    <w:rsid w:val="00451C96"/>
    <w:rsid w:val="004537EE"/>
    <w:rsid w:val="00453D3B"/>
    <w:rsid w:val="004551A3"/>
    <w:rsid w:val="00455334"/>
    <w:rsid w:val="0045566E"/>
    <w:rsid w:val="004558A4"/>
    <w:rsid w:val="0045611A"/>
    <w:rsid w:val="0045712F"/>
    <w:rsid w:val="004600CC"/>
    <w:rsid w:val="00461F46"/>
    <w:rsid w:val="004628F6"/>
    <w:rsid w:val="00463BD4"/>
    <w:rsid w:val="0046512E"/>
    <w:rsid w:val="00465D31"/>
    <w:rsid w:val="00466704"/>
    <w:rsid w:val="0046688C"/>
    <w:rsid w:val="00467DA2"/>
    <w:rsid w:val="00470406"/>
    <w:rsid w:val="00470FF7"/>
    <w:rsid w:val="00471A29"/>
    <w:rsid w:val="004721F1"/>
    <w:rsid w:val="00473190"/>
    <w:rsid w:val="004735A1"/>
    <w:rsid w:val="0047425F"/>
    <w:rsid w:val="00476054"/>
    <w:rsid w:val="0047672D"/>
    <w:rsid w:val="00476CE3"/>
    <w:rsid w:val="00477286"/>
    <w:rsid w:val="004778A2"/>
    <w:rsid w:val="0048049E"/>
    <w:rsid w:val="00480D07"/>
    <w:rsid w:val="00482299"/>
    <w:rsid w:val="0048277D"/>
    <w:rsid w:val="004827EA"/>
    <w:rsid w:val="004841A0"/>
    <w:rsid w:val="004841BC"/>
    <w:rsid w:val="00484BF4"/>
    <w:rsid w:val="004855E6"/>
    <w:rsid w:val="004859D7"/>
    <w:rsid w:val="00486A22"/>
    <w:rsid w:val="0049054D"/>
    <w:rsid w:val="0049363B"/>
    <w:rsid w:val="00493925"/>
    <w:rsid w:val="00493DE0"/>
    <w:rsid w:val="00494130"/>
    <w:rsid w:val="0049415A"/>
    <w:rsid w:val="004944FB"/>
    <w:rsid w:val="00497003"/>
    <w:rsid w:val="004A1056"/>
    <w:rsid w:val="004A1B9D"/>
    <w:rsid w:val="004A1BB2"/>
    <w:rsid w:val="004A1BBF"/>
    <w:rsid w:val="004A208D"/>
    <w:rsid w:val="004A21DC"/>
    <w:rsid w:val="004A2776"/>
    <w:rsid w:val="004A38B2"/>
    <w:rsid w:val="004A42BB"/>
    <w:rsid w:val="004A5072"/>
    <w:rsid w:val="004A5D09"/>
    <w:rsid w:val="004A6386"/>
    <w:rsid w:val="004A73A5"/>
    <w:rsid w:val="004B03D0"/>
    <w:rsid w:val="004B0ADB"/>
    <w:rsid w:val="004B1245"/>
    <w:rsid w:val="004B12E3"/>
    <w:rsid w:val="004B40BF"/>
    <w:rsid w:val="004B4C87"/>
    <w:rsid w:val="004B5873"/>
    <w:rsid w:val="004B5C58"/>
    <w:rsid w:val="004C0749"/>
    <w:rsid w:val="004C0B19"/>
    <w:rsid w:val="004C0B31"/>
    <w:rsid w:val="004C127E"/>
    <w:rsid w:val="004C1D41"/>
    <w:rsid w:val="004C2198"/>
    <w:rsid w:val="004C22AD"/>
    <w:rsid w:val="004C24EA"/>
    <w:rsid w:val="004C29B1"/>
    <w:rsid w:val="004C2C25"/>
    <w:rsid w:val="004C37AF"/>
    <w:rsid w:val="004C37B4"/>
    <w:rsid w:val="004C3A7B"/>
    <w:rsid w:val="004C3AFD"/>
    <w:rsid w:val="004C40F7"/>
    <w:rsid w:val="004C56FF"/>
    <w:rsid w:val="004C59E0"/>
    <w:rsid w:val="004C6651"/>
    <w:rsid w:val="004C6D68"/>
    <w:rsid w:val="004C71F5"/>
    <w:rsid w:val="004C77CA"/>
    <w:rsid w:val="004D0C18"/>
    <w:rsid w:val="004D1A2D"/>
    <w:rsid w:val="004D1F2D"/>
    <w:rsid w:val="004D277D"/>
    <w:rsid w:val="004D2A41"/>
    <w:rsid w:val="004D3A13"/>
    <w:rsid w:val="004D4737"/>
    <w:rsid w:val="004D56ED"/>
    <w:rsid w:val="004D5802"/>
    <w:rsid w:val="004D6104"/>
    <w:rsid w:val="004D6744"/>
    <w:rsid w:val="004D72C8"/>
    <w:rsid w:val="004D7F08"/>
    <w:rsid w:val="004E0161"/>
    <w:rsid w:val="004E01DB"/>
    <w:rsid w:val="004E04BB"/>
    <w:rsid w:val="004E0EB8"/>
    <w:rsid w:val="004E11A7"/>
    <w:rsid w:val="004E1D73"/>
    <w:rsid w:val="004E20B4"/>
    <w:rsid w:val="004E2929"/>
    <w:rsid w:val="004E348C"/>
    <w:rsid w:val="004E4D36"/>
    <w:rsid w:val="004E5A89"/>
    <w:rsid w:val="004E6BDC"/>
    <w:rsid w:val="004E70BC"/>
    <w:rsid w:val="004E735F"/>
    <w:rsid w:val="004F0DD1"/>
    <w:rsid w:val="004F163F"/>
    <w:rsid w:val="004F1B86"/>
    <w:rsid w:val="004F1F24"/>
    <w:rsid w:val="004F203A"/>
    <w:rsid w:val="004F25C6"/>
    <w:rsid w:val="004F2F7E"/>
    <w:rsid w:val="004F2FDC"/>
    <w:rsid w:val="004F38C4"/>
    <w:rsid w:val="004F3E33"/>
    <w:rsid w:val="004F41DF"/>
    <w:rsid w:val="004F43F5"/>
    <w:rsid w:val="004F5298"/>
    <w:rsid w:val="004F6133"/>
    <w:rsid w:val="004F6CAD"/>
    <w:rsid w:val="004F7065"/>
    <w:rsid w:val="004F7666"/>
    <w:rsid w:val="00500A15"/>
    <w:rsid w:val="00500CDD"/>
    <w:rsid w:val="00500D9D"/>
    <w:rsid w:val="00503554"/>
    <w:rsid w:val="005038A9"/>
    <w:rsid w:val="00503F07"/>
    <w:rsid w:val="00504179"/>
    <w:rsid w:val="00505533"/>
    <w:rsid w:val="00505A4A"/>
    <w:rsid w:val="00506AF8"/>
    <w:rsid w:val="00506CE5"/>
    <w:rsid w:val="00506FFB"/>
    <w:rsid w:val="00511F69"/>
    <w:rsid w:val="00513171"/>
    <w:rsid w:val="00514B67"/>
    <w:rsid w:val="00514B97"/>
    <w:rsid w:val="00514D00"/>
    <w:rsid w:val="00514D49"/>
    <w:rsid w:val="00515742"/>
    <w:rsid w:val="00516315"/>
    <w:rsid w:val="00517422"/>
    <w:rsid w:val="00520153"/>
    <w:rsid w:val="0052075C"/>
    <w:rsid w:val="00520DF4"/>
    <w:rsid w:val="00521EBE"/>
    <w:rsid w:val="00522231"/>
    <w:rsid w:val="005225B9"/>
    <w:rsid w:val="00523006"/>
    <w:rsid w:val="00523170"/>
    <w:rsid w:val="005237F8"/>
    <w:rsid w:val="00524D8A"/>
    <w:rsid w:val="00525218"/>
    <w:rsid w:val="00525C68"/>
    <w:rsid w:val="005261FF"/>
    <w:rsid w:val="00527119"/>
    <w:rsid w:val="005271EA"/>
    <w:rsid w:val="005274FE"/>
    <w:rsid w:val="0052754C"/>
    <w:rsid w:val="00527AB0"/>
    <w:rsid w:val="00527BCB"/>
    <w:rsid w:val="00530275"/>
    <w:rsid w:val="0053036B"/>
    <w:rsid w:val="0053062B"/>
    <w:rsid w:val="005306E4"/>
    <w:rsid w:val="005307B3"/>
    <w:rsid w:val="0053157E"/>
    <w:rsid w:val="00531B33"/>
    <w:rsid w:val="00531E0F"/>
    <w:rsid w:val="005320B7"/>
    <w:rsid w:val="005320DC"/>
    <w:rsid w:val="00532576"/>
    <w:rsid w:val="00532ECD"/>
    <w:rsid w:val="005331D8"/>
    <w:rsid w:val="005332A0"/>
    <w:rsid w:val="005337A9"/>
    <w:rsid w:val="005337BD"/>
    <w:rsid w:val="00534418"/>
    <w:rsid w:val="0053449E"/>
    <w:rsid w:val="00534B16"/>
    <w:rsid w:val="00534D8C"/>
    <w:rsid w:val="005350A9"/>
    <w:rsid w:val="005351D7"/>
    <w:rsid w:val="00535A29"/>
    <w:rsid w:val="00535D28"/>
    <w:rsid w:val="005367FF"/>
    <w:rsid w:val="00537CE6"/>
    <w:rsid w:val="00540A17"/>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D38"/>
    <w:rsid w:val="00547F2E"/>
    <w:rsid w:val="005509F2"/>
    <w:rsid w:val="00551211"/>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E46"/>
    <w:rsid w:val="00570B3F"/>
    <w:rsid w:val="00570FBD"/>
    <w:rsid w:val="005712FC"/>
    <w:rsid w:val="00571734"/>
    <w:rsid w:val="00572023"/>
    <w:rsid w:val="00572E1B"/>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362F"/>
    <w:rsid w:val="0058522E"/>
    <w:rsid w:val="00585F6F"/>
    <w:rsid w:val="005861A7"/>
    <w:rsid w:val="00586FD3"/>
    <w:rsid w:val="005915B8"/>
    <w:rsid w:val="005917A8"/>
    <w:rsid w:val="00591C63"/>
    <w:rsid w:val="00591E00"/>
    <w:rsid w:val="00592408"/>
    <w:rsid w:val="005924C0"/>
    <w:rsid w:val="00594444"/>
    <w:rsid w:val="005954CB"/>
    <w:rsid w:val="00595C2F"/>
    <w:rsid w:val="00596432"/>
    <w:rsid w:val="00597904"/>
    <w:rsid w:val="005A21F7"/>
    <w:rsid w:val="005A2AC9"/>
    <w:rsid w:val="005A2C6A"/>
    <w:rsid w:val="005A55BF"/>
    <w:rsid w:val="005A5EE4"/>
    <w:rsid w:val="005A6062"/>
    <w:rsid w:val="005A7221"/>
    <w:rsid w:val="005B0779"/>
    <w:rsid w:val="005B1249"/>
    <w:rsid w:val="005B1600"/>
    <w:rsid w:val="005B227B"/>
    <w:rsid w:val="005B2354"/>
    <w:rsid w:val="005B3181"/>
    <w:rsid w:val="005B3696"/>
    <w:rsid w:val="005B5E97"/>
    <w:rsid w:val="005B6241"/>
    <w:rsid w:val="005B6918"/>
    <w:rsid w:val="005B6990"/>
    <w:rsid w:val="005B6D78"/>
    <w:rsid w:val="005B738A"/>
    <w:rsid w:val="005B76E4"/>
    <w:rsid w:val="005C02D6"/>
    <w:rsid w:val="005C034F"/>
    <w:rsid w:val="005C0EE0"/>
    <w:rsid w:val="005C16A2"/>
    <w:rsid w:val="005C1EE2"/>
    <w:rsid w:val="005C2E03"/>
    <w:rsid w:val="005C3546"/>
    <w:rsid w:val="005C4E86"/>
    <w:rsid w:val="005C56C9"/>
    <w:rsid w:val="005C5746"/>
    <w:rsid w:val="005C5788"/>
    <w:rsid w:val="005C5820"/>
    <w:rsid w:val="005C7011"/>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2FBF"/>
    <w:rsid w:val="005E3518"/>
    <w:rsid w:val="005E40C4"/>
    <w:rsid w:val="005E425C"/>
    <w:rsid w:val="005E4C7A"/>
    <w:rsid w:val="005E4F2C"/>
    <w:rsid w:val="005E542B"/>
    <w:rsid w:val="005E588B"/>
    <w:rsid w:val="005E6BCA"/>
    <w:rsid w:val="005E6E1D"/>
    <w:rsid w:val="005E71E0"/>
    <w:rsid w:val="005F003B"/>
    <w:rsid w:val="005F055E"/>
    <w:rsid w:val="005F0560"/>
    <w:rsid w:val="005F085F"/>
    <w:rsid w:val="005F0A23"/>
    <w:rsid w:val="005F106F"/>
    <w:rsid w:val="005F16BB"/>
    <w:rsid w:val="005F1FFD"/>
    <w:rsid w:val="005F21DD"/>
    <w:rsid w:val="005F3277"/>
    <w:rsid w:val="005F3620"/>
    <w:rsid w:val="005F398A"/>
    <w:rsid w:val="005F4087"/>
    <w:rsid w:val="005F41B8"/>
    <w:rsid w:val="005F4335"/>
    <w:rsid w:val="005F46F7"/>
    <w:rsid w:val="005F5479"/>
    <w:rsid w:val="005F648D"/>
    <w:rsid w:val="005F6E9F"/>
    <w:rsid w:val="00600A04"/>
    <w:rsid w:val="00600F43"/>
    <w:rsid w:val="00601E8C"/>
    <w:rsid w:val="006023CC"/>
    <w:rsid w:val="006028CF"/>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0E3"/>
    <w:rsid w:val="0061761A"/>
    <w:rsid w:val="00617826"/>
    <w:rsid w:val="00617AD9"/>
    <w:rsid w:val="00617C91"/>
    <w:rsid w:val="00617D2B"/>
    <w:rsid w:val="006202E3"/>
    <w:rsid w:val="0062046E"/>
    <w:rsid w:val="00620BD2"/>
    <w:rsid w:val="00620E8E"/>
    <w:rsid w:val="00621034"/>
    <w:rsid w:val="00621B7E"/>
    <w:rsid w:val="006223E5"/>
    <w:rsid w:val="00622BE7"/>
    <w:rsid w:val="00623452"/>
    <w:rsid w:val="0062345E"/>
    <w:rsid w:val="00623642"/>
    <w:rsid w:val="006239B3"/>
    <w:rsid w:val="006250E3"/>
    <w:rsid w:val="00626010"/>
    <w:rsid w:val="00626A9A"/>
    <w:rsid w:val="00627F09"/>
    <w:rsid w:val="0063116C"/>
    <w:rsid w:val="0063222E"/>
    <w:rsid w:val="00632835"/>
    <w:rsid w:val="00633E08"/>
    <w:rsid w:val="00633F21"/>
    <w:rsid w:val="00634666"/>
    <w:rsid w:val="0063476C"/>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85A"/>
    <w:rsid w:val="00642C40"/>
    <w:rsid w:val="006448C4"/>
    <w:rsid w:val="0064496F"/>
    <w:rsid w:val="006449B4"/>
    <w:rsid w:val="00644D62"/>
    <w:rsid w:val="006454C3"/>
    <w:rsid w:val="00645862"/>
    <w:rsid w:val="00647BF8"/>
    <w:rsid w:val="0065031D"/>
    <w:rsid w:val="00650F1E"/>
    <w:rsid w:val="00651417"/>
    <w:rsid w:val="00651850"/>
    <w:rsid w:val="00651FB5"/>
    <w:rsid w:val="00654CD5"/>
    <w:rsid w:val="00654E4E"/>
    <w:rsid w:val="00655027"/>
    <w:rsid w:val="00655149"/>
    <w:rsid w:val="00655156"/>
    <w:rsid w:val="00655D9A"/>
    <w:rsid w:val="00657838"/>
    <w:rsid w:val="00660C7F"/>
    <w:rsid w:val="00660FF1"/>
    <w:rsid w:val="006617E1"/>
    <w:rsid w:val="0066189D"/>
    <w:rsid w:val="00661C36"/>
    <w:rsid w:val="006623EF"/>
    <w:rsid w:val="00662C90"/>
    <w:rsid w:val="0066409F"/>
    <w:rsid w:val="0066467C"/>
    <w:rsid w:val="00664B08"/>
    <w:rsid w:val="00664E83"/>
    <w:rsid w:val="00664F99"/>
    <w:rsid w:val="0066582C"/>
    <w:rsid w:val="0066584B"/>
    <w:rsid w:val="00666C8B"/>
    <w:rsid w:val="006674E2"/>
    <w:rsid w:val="00670D20"/>
    <w:rsid w:val="006717CD"/>
    <w:rsid w:val="0067257C"/>
    <w:rsid w:val="00674704"/>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86A1B"/>
    <w:rsid w:val="00687CBA"/>
    <w:rsid w:val="00690C32"/>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0D0"/>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5520"/>
    <w:rsid w:val="006A567A"/>
    <w:rsid w:val="006A5804"/>
    <w:rsid w:val="006A6D3B"/>
    <w:rsid w:val="006A7CAB"/>
    <w:rsid w:val="006A7D68"/>
    <w:rsid w:val="006B05F4"/>
    <w:rsid w:val="006B06D2"/>
    <w:rsid w:val="006B0B87"/>
    <w:rsid w:val="006B103D"/>
    <w:rsid w:val="006B15D9"/>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5794"/>
    <w:rsid w:val="006C67D8"/>
    <w:rsid w:val="006C75ED"/>
    <w:rsid w:val="006C7DC4"/>
    <w:rsid w:val="006C7F65"/>
    <w:rsid w:val="006D0340"/>
    <w:rsid w:val="006D04ED"/>
    <w:rsid w:val="006D08CD"/>
    <w:rsid w:val="006D1288"/>
    <w:rsid w:val="006D2492"/>
    <w:rsid w:val="006D29B4"/>
    <w:rsid w:val="006D2EEA"/>
    <w:rsid w:val="006D39AF"/>
    <w:rsid w:val="006D5A94"/>
    <w:rsid w:val="006D769C"/>
    <w:rsid w:val="006D76B6"/>
    <w:rsid w:val="006D788D"/>
    <w:rsid w:val="006D7E45"/>
    <w:rsid w:val="006E046A"/>
    <w:rsid w:val="006E099B"/>
    <w:rsid w:val="006E0DAE"/>
    <w:rsid w:val="006E2B7F"/>
    <w:rsid w:val="006E2D0A"/>
    <w:rsid w:val="006E3861"/>
    <w:rsid w:val="006E3F37"/>
    <w:rsid w:val="006E4105"/>
    <w:rsid w:val="006E594A"/>
    <w:rsid w:val="006E6E41"/>
    <w:rsid w:val="006E724A"/>
    <w:rsid w:val="006F0D58"/>
    <w:rsid w:val="006F15FF"/>
    <w:rsid w:val="006F18B4"/>
    <w:rsid w:val="006F355B"/>
    <w:rsid w:val="006F370F"/>
    <w:rsid w:val="006F3ADE"/>
    <w:rsid w:val="006F3F38"/>
    <w:rsid w:val="006F4E14"/>
    <w:rsid w:val="006F53AD"/>
    <w:rsid w:val="006F581D"/>
    <w:rsid w:val="006F5FCA"/>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68A4"/>
    <w:rsid w:val="00706BB7"/>
    <w:rsid w:val="007075AB"/>
    <w:rsid w:val="00707A3A"/>
    <w:rsid w:val="00710309"/>
    <w:rsid w:val="007104DB"/>
    <w:rsid w:val="007104E5"/>
    <w:rsid w:val="007106BB"/>
    <w:rsid w:val="00710ECE"/>
    <w:rsid w:val="007120D7"/>
    <w:rsid w:val="00712187"/>
    <w:rsid w:val="00713338"/>
    <w:rsid w:val="00713991"/>
    <w:rsid w:val="00713AC6"/>
    <w:rsid w:val="00713C9E"/>
    <w:rsid w:val="00715488"/>
    <w:rsid w:val="00716C5A"/>
    <w:rsid w:val="00716C67"/>
    <w:rsid w:val="00716DD0"/>
    <w:rsid w:val="0071705C"/>
    <w:rsid w:val="00717836"/>
    <w:rsid w:val="0071792F"/>
    <w:rsid w:val="00717A79"/>
    <w:rsid w:val="00720BEC"/>
    <w:rsid w:val="00721C44"/>
    <w:rsid w:val="00721FD9"/>
    <w:rsid w:val="00722755"/>
    <w:rsid w:val="00722815"/>
    <w:rsid w:val="00723282"/>
    <w:rsid w:val="007238CF"/>
    <w:rsid w:val="00725D13"/>
    <w:rsid w:val="00726C25"/>
    <w:rsid w:val="00727B22"/>
    <w:rsid w:val="00727B32"/>
    <w:rsid w:val="00730170"/>
    <w:rsid w:val="0073049F"/>
    <w:rsid w:val="0073052F"/>
    <w:rsid w:val="00731E0E"/>
    <w:rsid w:val="007330F9"/>
    <w:rsid w:val="0073331D"/>
    <w:rsid w:val="0073343B"/>
    <w:rsid w:val="00733EA0"/>
    <w:rsid w:val="00734817"/>
    <w:rsid w:val="00735007"/>
    <w:rsid w:val="007352C1"/>
    <w:rsid w:val="00736D0A"/>
    <w:rsid w:val="007378D5"/>
    <w:rsid w:val="007408CC"/>
    <w:rsid w:val="00740FE2"/>
    <w:rsid w:val="0074129A"/>
    <w:rsid w:val="00741922"/>
    <w:rsid w:val="0074225A"/>
    <w:rsid w:val="00742493"/>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22E"/>
    <w:rsid w:val="00754A65"/>
    <w:rsid w:val="007573CA"/>
    <w:rsid w:val="00757A12"/>
    <w:rsid w:val="00760415"/>
    <w:rsid w:val="0076054F"/>
    <w:rsid w:val="00760BF7"/>
    <w:rsid w:val="00761094"/>
    <w:rsid w:val="007615AC"/>
    <w:rsid w:val="00761D42"/>
    <w:rsid w:val="007625B1"/>
    <w:rsid w:val="007636C1"/>
    <w:rsid w:val="00764624"/>
    <w:rsid w:val="00764893"/>
    <w:rsid w:val="00764E1D"/>
    <w:rsid w:val="00764FA1"/>
    <w:rsid w:val="00765445"/>
    <w:rsid w:val="00765497"/>
    <w:rsid w:val="00765C3B"/>
    <w:rsid w:val="00765DC9"/>
    <w:rsid w:val="00766380"/>
    <w:rsid w:val="00766BBE"/>
    <w:rsid w:val="00766DF8"/>
    <w:rsid w:val="00767306"/>
    <w:rsid w:val="00767945"/>
    <w:rsid w:val="00770D45"/>
    <w:rsid w:val="00770FD7"/>
    <w:rsid w:val="007711AA"/>
    <w:rsid w:val="00772494"/>
    <w:rsid w:val="00772BB2"/>
    <w:rsid w:val="00774798"/>
    <w:rsid w:val="007751F1"/>
    <w:rsid w:val="007766E0"/>
    <w:rsid w:val="00776AA8"/>
    <w:rsid w:val="0078083B"/>
    <w:rsid w:val="00780A12"/>
    <w:rsid w:val="0078175C"/>
    <w:rsid w:val="00781924"/>
    <w:rsid w:val="00781BA5"/>
    <w:rsid w:val="007825AD"/>
    <w:rsid w:val="00782CD8"/>
    <w:rsid w:val="00783446"/>
    <w:rsid w:val="007838AE"/>
    <w:rsid w:val="007839AA"/>
    <w:rsid w:val="00784B60"/>
    <w:rsid w:val="007856D8"/>
    <w:rsid w:val="007868C9"/>
    <w:rsid w:val="0078747F"/>
    <w:rsid w:val="00790103"/>
    <w:rsid w:val="00791161"/>
    <w:rsid w:val="0079167A"/>
    <w:rsid w:val="007918DB"/>
    <w:rsid w:val="00791BC9"/>
    <w:rsid w:val="00791C8B"/>
    <w:rsid w:val="007920D4"/>
    <w:rsid w:val="007920F1"/>
    <w:rsid w:val="007923D0"/>
    <w:rsid w:val="007926AD"/>
    <w:rsid w:val="00792FBE"/>
    <w:rsid w:val="00793655"/>
    <w:rsid w:val="007937E6"/>
    <w:rsid w:val="007938C7"/>
    <w:rsid w:val="00793992"/>
    <w:rsid w:val="00793A5D"/>
    <w:rsid w:val="007942BD"/>
    <w:rsid w:val="00794CD2"/>
    <w:rsid w:val="00795A3F"/>
    <w:rsid w:val="0079627E"/>
    <w:rsid w:val="00796466"/>
    <w:rsid w:val="0079691F"/>
    <w:rsid w:val="00797592"/>
    <w:rsid w:val="007A022B"/>
    <w:rsid w:val="007A0E6A"/>
    <w:rsid w:val="007A17A7"/>
    <w:rsid w:val="007A1DB7"/>
    <w:rsid w:val="007A29BC"/>
    <w:rsid w:val="007A309A"/>
    <w:rsid w:val="007A4569"/>
    <w:rsid w:val="007A51D3"/>
    <w:rsid w:val="007A5795"/>
    <w:rsid w:val="007A65A5"/>
    <w:rsid w:val="007A7736"/>
    <w:rsid w:val="007B0324"/>
    <w:rsid w:val="007B1468"/>
    <w:rsid w:val="007B1B01"/>
    <w:rsid w:val="007B1C85"/>
    <w:rsid w:val="007B28E1"/>
    <w:rsid w:val="007B328F"/>
    <w:rsid w:val="007B459A"/>
    <w:rsid w:val="007B5BDD"/>
    <w:rsid w:val="007B5FB0"/>
    <w:rsid w:val="007B626B"/>
    <w:rsid w:val="007B636E"/>
    <w:rsid w:val="007B6F0C"/>
    <w:rsid w:val="007C0025"/>
    <w:rsid w:val="007C0774"/>
    <w:rsid w:val="007C118D"/>
    <w:rsid w:val="007C1448"/>
    <w:rsid w:val="007C146E"/>
    <w:rsid w:val="007C1A3B"/>
    <w:rsid w:val="007C1E2F"/>
    <w:rsid w:val="007C235C"/>
    <w:rsid w:val="007C2F1F"/>
    <w:rsid w:val="007C2F5B"/>
    <w:rsid w:val="007C379B"/>
    <w:rsid w:val="007C4936"/>
    <w:rsid w:val="007C5506"/>
    <w:rsid w:val="007C590A"/>
    <w:rsid w:val="007C5DC9"/>
    <w:rsid w:val="007C606C"/>
    <w:rsid w:val="007C6226"/>
    <w:rsid w:val="007C6A48"/>
    <w:rsid w:val="007C6F88"/>
    <w:rsid w:val="007C709C"/>
    <w:rsid w:val="007D0DC2"/>
    <w:rsid w:val="007D11B4"/>
    <w:rsid w:val="007D1727"/>
    <w:rsid w:val="007D1A23"/>
    <w:rsid w:val="007D216E"/>
    <w:rsid w:val="007D286D"/>
    <w:rsid w:val="007D2F4F"/>
    <w:rsid w:val="007D33A7"/>
    <w:rsid w:val="007D34AF"/>
    <w:rsid w:val="007D34DE"/>
    <w:rsid w:val="007D3882"/>
    <w:rsid w:val="007D431E"/>
    <w:rsid w:val="007D557B"/>
    <w:rsid w:val="007D68CD"/>
    <w:rsid w:val="007D6F6E"/>
    <w:rsid w:val="007D7394"/>
    <w:rsid w:val="007D7559"/>
    <w:rsid w:val="007D7670"/>
    <w:rsid w:val="007E05D3"/>
    <w:rsid w:val="007E144C"/>
    <w:rsid w:val="007E1E1E"/>
    <w:rsid w:val="007E2CDD"/>
    <w:rsid w:val="007E2F69"/>
    <w:rsid w:val="007E343D"/>
    <w:rsid w:val="007E38BF"/>
    <w:rsid w:val="007E3EA3"/>
    <w:rsid w:val="007E4448"/>
    <w:rsid w:val="007E4AF6"/>
    <w:rsid w:val="007E5B09"/>
    <w:rsid w:val="007E6D33"/>
    <w:rsid w:val="007E6E77"/>
    <w:rsid w:val="007E6FF5"/>
    <w:rsid w:val="007E79E2"/>
    <w:rsid w:val="007E7C24"/>
    <w:rsid w:val="007F0C58"/>
    <w:rsid w:val="007F16FC"/>
    <w:rsid w:val="007F33E9"/>
    <w:rsid w:val="007F3DC0"/>
    <w:rsid w:val="007F41DC"/>
    <w:rsid w:val="007F45A1"/>
    <w:rsid w:val="007F463E"/>
    <w:rsid w:val="007F5922"/>
    <w:rsid w:val="007F6AD1"/>
    <w:rsid w:val="007F6CB8"/>
    <w:rsid w:val="00800631"/>
    <w:rsid w:val="00800855"/>
    <w:rsid w:val="00801EA4"/>
    <w:rsid w:val="008022A3"/>
    <w:rsid w:val="008029B7"/>
    <w:rsid w:val="008029CF"/>
    <w:rsid w:val="0080326E"/>
    <w:rsid w:val="00803A5C"/>
    <w:rsid w:val="00803C3F"/>
    <w:rsid w:val="00804099"/>
    <w:rsid w:val="008049E8"/>
    <w:rsid w:val="0080705F"/>
    <w:rsid w:val="008072BB"/>
    <w:rsid w:val="00807316"/>
    <w:rsid w:val="0080756F"/>
    <w:rsid w:val="00807E98"/>
    <w:rsid w:val="0081046F"/>
    <w:rsid w:val="00810796"/>
    <w:rsid w:val="00810D20"/>
    <w:rsid w:val="00812A12"/>
    <w:rsid w:val="00813F7D"/>
    <w:rsid w:val="00815B06"/>
    <w:rsid w:val="00816915"/>
    <w:rsid w:val="00821023"/>
    <w:rsid w:val="00821416"/>
    <w:rsid w:val="008235E6"/>
    <w:rsid w:val="00823726"/>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496D"/>
    <w:rsid w:val="0083520B"/>
    <w:rsid w:val="00835689"/>
    <w:rsid w:val="008357D3"/>
    <w:rsid w:val="00836253"/>
    <w:rsid w:val="0083630F"/>
    <w:rsid w:val="00836E03"/>
    <w:rsid w:val="00836E11"/>
    <w:rsid w:val="008374D3"/>
    <w:rsid w:val="0084008D"/>
    <w:rsid w:val="008413D2"/>
    <w:rsid w:val="008422D6"/>
    <w:rsid w:val="008425BB"/>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E85"/>
    <w:rsid w:val="008553E8"/>
    <w:rsid w:val="008562CB"/>
    <w:rsid w:val="008565ED"/>
    <w:rsid w:val="00856699"/>
    <w:rsid w:val="00857785"/>
    <w:rsid w:val="00857B39"/>
    <w:rsid w:val="00857CA5"/>
    <w:rsid w:val="00857CEF"/>
    <w:rsid w:val="008607E2"/>
    <w:rsid w:val="00860B13"/>
    <w:rsid w:val="0086158A"/>
    <w:rsid w:val="00862E44"/>
    <w:rsid w:val="008632EF"/>
    <w:rsid w:val="00863DCB"/>
    <w:rsid w:val="00864A73"/>
    <w:rsid w:val="00865A3E"/>
    <w:rsid w:val="00865CF9"/>
    <w:rsid w:val="0086622F"/>
    <w:rsid w:val="0086689A"/>
    <w:rsid w:val="00867103"/>
    <w:rsid w:val="008715BA"/>
    <w:rsid w:val="008716AE"/>
    <w:rsid w:val="0087196F"/>
    <w:rsid w:val="00872311"/>
    <w:rsid w:val="0087255E"/>
    <w:rsid w:val="008727C1"/>
    <w:rsid w:val="008729ED"/>
    <w:rsid w:val="00872B30"/>
    <w:rsid w:val="00873158"/>
    <w:rsid w:val="00874C2D"/>
    <w:rsid w:val="0087548B"/>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62E2"/>
    <w:rsid w:val="008877D4"/>
    <w:rsid w:val="00887A7A"/>
    <w:rsid w:val="00887CE0"/>
    <w:rsid w:val="00887F66"/>
    <w:rsid w:val="00890358"/>
    <w:rsid w:val="008908BA"/>
    <w:rsid w:val="00890D58"/>
    <w:rsid w:val="008915FB"/>
    <w:rsid w:val="00892319"/>
    <w:rsid w:val="00892A49"/>
    <w:rsid w:val="00893570"/>
    <w:rsid w:val="008957C5"/>
    <w:rsid w:val="0089619F"/>
    <w:rsid w:val="00896904"/>
    <w:rsid w:val="008969B5"/>
    <w:rsid w:val="00896FF3"/>
    <w:rsid w:val="0089745F"/>
    <w:rsid w:val="00897C87"/>
    <w:rsid w:val="008A059A"/>
    <w:rsid w:val="008A2282"/>
    <w:rsid w:val="008A2844"/>
    <w:rsid w:val="008A43A4"/>
    <w:rsid w:val="008A5089"/>
    <w:rsid w:val="008A5BB6"/>
    <w:rsid w:val="008A60E0"/>
    <w:rsid w:val="008A6268"/>
    <w:rsid w:val="008A6384"/>
    <w:rsid w:val="008A69DD"/>
    <w:rsid w:val="008A6B5A"/>
    <w:rsid w:val="008A7FBF"/>
    <w:rsid w:val="008B0309"/>
    <w:rsid w:val="008B12F7"/>
    <w:rsid w:val="008B1D90"/>
    <w:rsid w:val="008B1E37"/>
    <w:rsid w:val="008B2182"/>
    <w:rsid w:val="008B2437"/>
    <w:rsid w:val="008B2B0B"/>
    <w:rsid w:val="008B32BC"/>
    <w:rsid w:val="008B4849"/>
    <w:rsid w:val="008B4DFA"/>
    <w:rsid w:val="008B7452"/>
    <w:rsid w:val="008B797F"/>
    <w:rsid w:val="008C091C"/>
    <w:rsid w:val="008C0B3B"/>
    <w:rsid w:val="008C0C2A"/>
    <w:rsid w:val="008C0DAB"/>
    <w:rsid w:val="008C27D2"/>
    <w:rsid w:val="008C30B7"/>
    <w:rsid w:val="008C3C74"/>
    <w:rsid w:val="008C4651"/>
    <w:rsid w:val="008C4E37"/>
    <w:rsid w:val="008C556F"/>
    <w:rsid w:val="008C5901"/>
    <w:rsid w:val="008C5DF1"/>
    <w:rsid w:val="008C60BF"/>
    <w:rsid w:val="008C6BD6"/>
    <w:rsid w:val="008C6E84"/>
    <w:rsid w:val="008C6EFC"/>
    <w:rsid w:val="008C70C3"/>
    <w:rsid w:val="008D20D2"/>
    <w:rsid w:val="008D2129"/>
    <w:rsid w:val="008D24E1"/>
    <w:rsid w:val="008D2728"/>
    <w:rsid w:val="008D2C1A"/>
    <w:rsid w:val="008D2C65"/>
    <w:rsid w:val="008D358C"/>
    <w:rsid w:val="008D3677"/>
    <w:rsid w:val="008D47CA"/>
    <w:rsid w:val="008D4A15"/>
    <w:rsid w:val="008D4EFD"/>
    <w:rsid w:val="008D586D"/>
    <w:rsid w:val="008D6135"/>
    <w:rsid w:val="008D65A3"/>
    <w:rsid w:val="008D6ABB"/>
    <w:rsid w:val="008D7C15"/>
    <w:rsid w:val="008E0168"/>
    <w:rsid w:val="008E0654"/>
    <w:rsid w:val="008E124F"/>
    <w:rsid w:val="008E1845"/>
    <w:rsid w:val="008E1877"/>
    <w:rsid w:val="008E2ABE"/>
    <w:rsid w:val="008E2BC9"/>
    <w:rsid w:val="008E4BC9"/>
    <w:rsid w:val="008E5A97"/>
    <w:rsid w:val="008E62BE"/>
    <w:rsid w:val="008E68C0"/>
    <w:rsid w:val="008E7181"/>
    <w:rsid w:val="008F19C9"/>
    <w:rsid w:val="008F1AA3"/>
    <w:rsid w:val="008F1D4D"/>
    <w:rsid w:val="008F2729"/>
    <w:rsid w:val="008F2893"/>
    <w:rsid w:val="008F3083"/>
    <w:rsid w:val="008F356C"/>
    <w:rsid w:val="008F4111"/>
    <w:rsid w:val="008F4879"/>
    <w:rsid w:val="008F4BE5"/>
    <w:rsid w:val="008F50CA"/>
    <w:rsid w:val="008F62DC"/>
    <w:rsid w:val="008F655C"/>
    <w:rsid w:val="008F70E3"/>
    <w:rsid w:val="008F772C"/>
    <w:rsid w:val="008F77CB"/>
    <w:rsid w:val="009002CD"/>
    <w:rsid w:val="00900BC3"/>
    <w:rsid w:val="00901150"/>
    <w:rsid w:val="009015E3"/>
    <w:rsid w:val="00901684"/>
    <w:rsid w:val="00901B99"/>
    <w:rsid w:val="00902036"/>
    <w:rsid w:val="0090330C"/>
    <w:rsid w:val="00903D27"/>
    <w:rsid w:val="00905EC8"/>
    <w:rsid w:val="0090638B"/>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6035"/>
    <w:rsid w:val="009168A7"/>
    <w:rsid w:val="00917792"/>
    <w:rsid w:val="0092009D"/>
    <w:rsid w:val="009200C4"/>
    <w:rsid w:val="00920EBB"/>
    <w:rsid w:val="00921B02"/>
    <w:rsid w:val="00922486"/>
    <w:rsid w:val="009226FE"/>
    <w:rsid w:val="009227DF"/>
    <w:rsid w:val="009228EE"/>
    <w:rsid w:val="0092291B"/>
    <w:rsid w:val="00923A23"/>
    <w:rsid w:val="00924089"/>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1FF5"/>
    <w:rsid w:val="00942D4B"/>
    <w:rsid w:val="00943872"/>
    <w:rsid w:val="009438A6"/>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64BF"/>
    <w:rsid w:val="0095798B"/>
    <w:rsid w:val="009604FC"/>
    <w:rsid w:val="009612EA"/>
    <w:rsid w:val="009616DC"/>
    <w:rsid w:val="0096205E"/>
    <w:rsid w:val="009626A7"/>
    <w:rsid w:val="009628B7"/>
    <w:rsid w:val="009634D7"/>
    <w:rsid w:val="0096393E"/>
    <w:rsid w:val="00964CEF"/>
    <w:rsid w:val="00964DA0"/>
    <w:rsid w:val="00964F77"/>
    <w:rsid w:val="009655F8"/>
    <w:rsid w:val="00967804"/>
    <w:rsid w:val="00967F7F"/>
    <w:rsid w:val="00971F53"/>
    <w:rsid w:val="00972256"/>
    <w:rsid w:val="009726D4"/>
    <w:rsid w:val="009726D7"/>
    <w:rsid w:val="00972869"/>
    <w:rsid w:val="0097291C"/>
    <w:rsid w:val="00973984"/>
    <w:rsid w:val="00973C36"/>
    <w:rsid w:val="0097453F"/>
    <w:rsid w:val="00974E56"/>
    <w:rsid w:val="00975064"/>
    <w:rsid w:val="009752C7"/>
    <w:rsid w:val="0097564A"/>
    <w:rsid w:val="0097577F"/>
    <w:rsid w:val="00976098"/>
    <w:rsid w:val="009773A6"/>
    <w:rsid w:val="009774F7"/>
    <w:rsid w:val="0097779F"/>
    <w:rsid w:val="009812D6"/>
    <w:rsid w:val="00982E4B"/>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01B"/>
    <w:rsid w:val="009A2A7E"/>
    <w:rsid w:val="009A341F"/>
    <w:rsid w:val="009A4925"/>
    <w:rsid w:val="009A54AE"/>
    <w:rsid w:val="009A5830"/>
    <w:rsid w:val="009A5ED6"/>
    <w:rsid w:val="009A6315"/>
    <w:rsid w:val="009A6C4E"/>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3B0"/>
    <w:rsid w:val="009B7897"/>
    <w:rsid w:val="009C0272"/>
    <w:rsid w:val="009C136A"/>
    <w:rsid w:val="009C1741"/>
    <w:rsid w:val="009C35A4"/>
    <w:rsid w:val="009C4E65"/>
    <w:rsid w:val="009C5DE4"/>
    <w:rsid w:val="009C64B5"/>
    <w:rsid w:val="009C68CD"/>
    <w:rsid w:val="009C696D"/>
    <w:rsid w:val="009C6CEB"/>
    <w:rsid w:val="009D0094"/>
    <w:rsid w:val="009D0FF6"/>
    <w:rsid w:val="009D160B"/>
    <w:rsid w:val="009D1CC4"/>
    <w:rsid w:val="009D23B4"/>
    <w:rsid w:val="009D2410"/>
    <w:rsid w:val="009D388A"/>
    <w:rsid w:val="009D3AE4"/>
    <w:rsid w:val="009D47F8"/>
    <w:rsid w:val="009D493B"/>
    <w:rsid w:val="009D5BF2"/>
    <w:rsid w:val="009D760C"/>
    <w:rsid w:val="009D7ECD"/>
    <w:rsid w:val="009E142E"/>
    <w:rsid w:val="009E1B43"/>
    <w:rsid w:val="009E2ACA"/>
    <w:rsid w:val="009E2B59"/>
    <w:rsid w:val="009E597C"/>
    <w:rsid w:val="009E6426"/>
    <w:rsid w:val="009E653E"/>
    <w:rsid w:val="009E6849"/>
    <w:rsid w:val="009E72DF"/>
    <w:rsid w:val="009E79C0"/>
    <w:rsid w:val="009F0CC4"/>
    <w:rsid w:val="009F0D64"/>
    <w:rsid w:val="009F1C99"/>
    <w:rsid w:val="009F25A5"/>
    <w:rsid w:val="009F2807"/>
    <w:rsid w:val="009F3836"/>
    <w:rsid w:val="009F3A0F"/>
    <w:rsid w:val="009F431A"/>
    <w:rsid w:val="009F4373"/>
    <w:rsid w:val="009F46B0"/>
    <w:rsid w:val="009F5034"/>
    <w:rsid w:val="009F6C51"/>
    <w:rsid w:val="009F7128"/>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02A"/>
    <w:rsid w:val="00A06111"/>
    <w:rsid w:val="00A064E4"/>
    <w:rsid w:val="00A0662B"/>
    <w:rsid w:val="00A068BF"/>
    <w:rsid w:val="00A06E86"/>
    <w:rsid w:val="00A07A38"/>
    <w:rsid w:val="00A10222"/>
    <w:rsid w:val="00A10639"/>
    <w:rsid w:val="00A1071F"/>
    <w:rsid w:val="00A10C68"/>
    <w:rsid w:val="00A11D6C"/>
    <w:rsid w:val="00A12E0A"/>
    <w:rsid w:val="00A139E1"/>
    <w:rsid w:val="00A14390"/>
    <w:rsid w:val="00A144BB"/>
    <w:rsid w:val="00A1474B"/>
    <w:rsid w:val="00A14B6E"/>
    <w:rsid w:val="00A15FCB"/>
    <w:rsid w:val="00A16901"/>
    <w:rsid w:val="00A17A06"/>
    <w:rsid w:val="00A17D2C"/>
    <w:rsid w:val="00A22B04"/>
    <w:rsid w:val="00A23828"/>
    <w:rsid w:val="00A23ADB"/>
    <w:rsid w:val="00A23DA3"/>
    <w:rsid w:val="00A242C1"/>
    <w:rsid w:val="00A2497A"/>
    <w:rsid w:val="00A24C1A"/>
    <w:rsid w:val="00A24C37"/>
    <w:rsid w:val="00A25ED4"/>
    <w:rsid w:val="00A2778B"/>
    <w:rsid w:val="00A3088A"/>
    <w:rsid w:val="00A31DDB"/>
    <w:rsid w:val="00A31F81"/>
    <w:rsid w:val="00A3372D"/>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39A6"/>
    <w:rsid w:val="00A550AF"/>
    <w:rsid w:val="00A5548B"/>
    <w:rsid w:val="00A560C7"/>
    <w:rsid w:val="00A570BC"/>
    <w:rsid w:val="00A57A44"/>
    <w:rsid w:val="00A60154"/>
    <w:rsid w:val="00A6049D"/>
    <w:rsid w:val="00A6088C"/>
    <w:rsid w:val="00A61349"/>
    <w:rsid w:val="00A616C8"/>
    <w:rsid w:val="00A61759"/>
    <w:rsid w:val="00A61C8B"/>
    <w:rsid w:val="00A62240"/>
    <w:rsid w:val="00A62321"/>
    <w:rsid w:val="00A62402"/>
    <w:rsid w:val="00A633F1"/>
    <w:rsid w:val="00A635FE"/>
    <w:rsid w:val="00A64C77"/>
    <w:rsid w:val="00A65085"/>
    <w:rsid w:val="00A65A02"/>
    <w:rsid w:val="00A65A44"/>
    <w:rsid w:val="00A66367"/>
    <w:rsid w:val="00A668C5"/>
    <w:rsid w:val="00A668DA"/>
    <w:rsid w:val="00A6690D"/>
    <w:rsid w:val="00A66C37"/>
    <w:rsid w:val="00A66FCE"/>
    <w:rsid w:val="00A67F5F"/>
    <w:rsid w:val="00A71E27"/>
    <w:rsid w:val="00A73073"/>
    <w:rsid w:val="00A73B61"/>
    <w:rsid w:val="00A7425A"/>
    <w:rsid w:val="00A74D8D"/>
    <w:rsid w:val="00A74E79"/>
    <w:rsid w:val="00A74FF9"/>
    <w:rsid w:val="00A76AAE"/>
    <w:rsid w:val="00A76C7F"/>
    <w:rsid w:val="00A77B69"/>
    <w:rsid w:val="00A80AF4"/>
    <w:rsid w:val="00A820B4"/>
    <w:rsid w:val="00A821A0"/>
    <w:rsid w:val="00A835C5"/>
    <w:rsid w:val="00A83A71"/>
    <w:rsid w:val="00A83DEC"/>
    <w:rsid w:val="00A848D6"/>
    <w:rsid w:val="00A84A4D"/>
    <w:rsid w:val="00A852C6"/>
    <w:rsid w:val="00A85E84"/>
    <w:rsid w:val="00A861B7"/>
    <w:rsid w:val="00A86A2D"/>
    <w:rsid w:val="00A876D5"/>
    <w:rsid w:val="00A87A7E"/>
    <w:rsid w:val="00A87D35"/>
    <w:rsid w:val="00A87E6D"/>
    <w:rsid w:val="00A908CB"/>
    <w:rsid w:val="00A9271E"/>
    <w:rsid w:val="00A92843"/>
    <w:rsid w:val="00A95F9C"/>
    <w:rsid w:val="00A9673A"/>
    <w:rsid w:val="00A96BFE"/>
    <w:rsid w:val="00A96F8D"/>
    <w:rsid w:val="00A97AC6"/>
    <w:rsid w:val="00AA0030"/>
    <w:rsid w:val="00AA084E"/>
    <w:rsid w:val="00AA1252"/>
    <w:rsid w:val="00AA2DDC"/>
    <w:rsid w:val="00AA34FC"/>
    <w:rsid w:val="00AA3CD6"/>
    <w:rsid w:val="00AA3CF9"/>
    <w:rsid w:val="00AA3F45"/>
    <w:rsid w:val="00AA42EA"/>
    <w:rsid w:val="00AA6AE4"/>
    <w:rsid w:val="00AA6BCD"/>
    <w:rsid w:val="00AA7AE3"/>
    <w:rsid w:val="00AB0556"/>
    <w:rsid w:val="00AB0C15"/>
    <w:rsid w:val="00AB1088"/>
    <w:rsid w:val="00AB291E"/>
    <w:rsid w:val="00AB2D57"/>
    <w:rsid w:val="00AB2DD6"/>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F5A"/>
    <w:rsid w:val="00AC146B"/>
    <w:rsid w:val="00AC24B8"/>
    <w:rsid w:val="00AC2C4D"/>
    <w:rsid w:val="00AC3058"/>
    <w:rsid w:val="00AC32BE"/>
    <w:rsid w:val="00AC3C6E"/>
    <w:rsid w:val="00AC4A28"/>
    <w:rsid w:val="00AC4F17"/>
    <w:rsid w:val="00AC4F67"/>
    <w:rsid w:val="00AC6046"/>
    <w:rsid w:val="00AC6E2F"/>
    <w:rsid w:val="00AC6E71"/>
    <w:rsid w:val="00AC6F91"/>
    <w:rsid w:val="00AC788F"/>
    <w:rsid w:val="00AC7E94"/>
    <w:rsid w:val="00AD07B4"/>
    <w:rsid w:val="00AD08A7"/>
    <w:rsid w:val="00AD0B82"/>
    <w:rsid w:val="00AD0F0F"/>
    <w:rsid w:val="00AD1C61"/>
    <w:rsid w:val="00AD2937"/>
    <w:rsid w:val="00AD3523"/>
    <w:rsid w:val="00AD387D"/>
    <w:rsid w:val="00AD4CA8"/>
    <w:rsid w:val="00AD5181"/>
    <w:rsid w:val="00AD575E"/>
    <w:rsid w:val="00AD6038"/>
    <w:rsid w:val="00AD6BFB"/>
    <w:rsid w:val="00AD6E92"/>
    <w:rsid w:val="00AD79D2"/>
    <w:rsid w:val="00AE0763"/>
    <w:rsid w:val="00AE0F43"/>
    <w:rsid w:val="00AE15C6"/>
    <w:rsid w:val="00AE19CA"/>
    <w:rsid w:val="00AE22E7"/>
    <w:rsid w:val="00AE2B65"/>
    <w:rsid w:val="00AE3024"/>
    <w:rsid w:val="00AE358E"/>
    <w:rsid w:val="00AE3668"/>
    <w:rsid w:val="00AE3BFC"/>
    <w:rsid w:val="00AE4283"/>
    <w:rsid w:val="00AE46E6"/>
    <w:rsid w:val="00AE4A63"/>
    <w:rsid w:val="00AE6A20"/>
    <w:rsid w:val="00AF2703"/>
    <w:rsid w:val="00AF3A47"/>
    <w:rsid w:val="00AF418B"/>
    <w:rsid w:val="00AF4A9C"/>
    <w:rsid w:val="00AF561A"/>
    <w:rsid w:val="00AF5A6F"/>
    <w:rsid w:val="00AF5F36"/>
    <w:rsid w:val="00AF63B0"/>
    <w:rsid w:val="00AF64C7"/>
    <w:rsid w:val="00AF6774"/>
    <w:rsid w:val="00AF6FDC"/>
    <w:rsid w:val="00AF7172"/>
    <w:rsid w:val="00AF7B86"/>
    <w:rsid w:val="00AF7BE3"/>
    <w:rsid w:val="00B011D9"/>
    <w:rsid w:val="00B01A2F"/>
    <w:rsid w:val="00B01CC0"/>
    <w:rsid w:val="00B023B6"/>
    <w:rsid w:val="00B027A0"/>
    <w:rsid w:val="00B02F5D"/>
    <w:rsid w:val="00B04698"/>
    <w:rsid w:val="00B04A9B"/>
    <w:rsid w:val="00B04DB2"/>
    <w:rsid w:val="00B0541C"/>
    <w:rsid w:val="00B06CC1"/>
    <w:rsid w:val="00B10C28"/>
    <w:rsid w:val="00B11996"/>
    <w:rsid w:val="00B11F37"/>
    <w:rsid w:val="00B1227E"/>
    <w:rsid w:val="00B122E6"/>
    <w:rsid w:val="00B12475"/>
    <w:rsid w:val="00B147C1"/>
    <w:rsid w:val="00B148D3"/>
    <w:rsid w:val="00B14CC6"/>
    <w:rsid w:val="00B15012"/>
    <w:rsid w:val="00B150E8"/>
    <w:rsid w:val="00B15240"/>
    <w:rsid w:val="00B16BDB"/>
    <w:rsid w:val="00B17855"/>
    <w:rsid w:val="00B17CD4"/>
    <w:rsid w:val="00B20FF1"/>
    <w:rsid w:val="00B2119D"/>
    <w:rsid w:val="00B2138F"/>
    <w:rsid w:val="00B22459"/>
    <w:rsid w:val="00B2249A"/>
    <w:rsid w:val="00B228A8"/>
    <w:rsid w:val="00B239FA"/>
    <w:rsid w:val="00B23AA0"/>
    <w:rsid w:val="00B23E0B"/>
    <w:rsid w:val="00B242B9"/>
    <w:rsid w:val="00B245FB"/>
    <w:rsid w:val="00B25D06"/>
    <w:rsid w:val="00B260DA"/>
    <w:rsid w:val="00B2684A"/>
    <w:rsid w:val="00B272A6"/>
    <w:rsid w:val="00B30A63"/>
    <w:rsid w:val="00B31ED0"/>
    <w:rsid w:val="00B32453"/>
    <w:rsid w:val="00B32D36"/>
    <w:rsid w:val="00B337E0"/>
    <w:rsid w:val="00B344FC"/>
    <w:rsid w:val="00B3462B"/>
    <w:rsid w:val="00B36CE3"/>
    <w:rsid w:val="00B37E0D"/>
    <w:rsid w:val="00B4062C"/>
    <w:rsid w:val="00B40845"/>
    <w:rsid w:val="00B40928"/>
    <w:rsid w:val="00B40EDC"/>
    <w:rsid w:val="00B4136A"/>
    <w:rsid w:val="00B413C8"/>
    <w:rsid w:val="00B4416B"/>
    <w:rsid w:val="00B467EE"/>
    <w:rsid w:val="00B4752D"/>
    <w:rsid w:val="00B50667"/>
    <w:rsid w:val="00B508BF"/>
    <w:rsid w:val="00B51252"/>
    <w:rsid w:val="00B51ACF"/>
    <w:rsid w:val="00B539AB"/>
    <w:rsid w:val="00B547C7"/>
    <w:rsid w:val="00B54DE2"/>
    <w:rsid w:val="00B54F25"/>
    <w:rsid w:val="00B55BBE"/>
    <w:rsid w:val="00B55DB0"/>
    <w:rsid w:val="00B603E8"/>
    <w:rsid w:val="00B6070D"/>
    <w:rsid w:val="00B60D9D"/>
    <w:rsid w:val="00B616BB"/>
    <w:rsid w:val="00B627AB"/>
    <w:rsid w:val="00B62DE3"/>
    <w:rsid w:val="00B636D9"/>
    <w:rsid w:val="00B63C39"/>
    <w:rsid w:val="00B641F7"/>
    <w:rsid w:val="00B66615"/>
    <w:rsid w:val="00B6662C"/>
    <w:rsid w:val="00B66AC7"/>
    <w:rsid w:val="00B674F4"/>
    <w:rsid w:val="00B67707"/>
    <w:rsid w:val="00B706E4"/>
    <w:rsid w:val="00B709E7"/>
    <w:rsid w:val="00B70C21"/>
    <w:rsid w:val="00B71B4A"/>
    <w:rsid w:val="00B71CD3"/>
    <w:rsid w:val="00B72259"/>
    <w:rsid w:val="00B752A4"/>
    <w:rsid w:val="00B76090"/>
    <w:rsid w:val="00B76685"/>
    <w:rsid w:val="00B76F01"/>
    <w:rsid w:val="00B80183"/>
    <w:rsid w:val="00B804C3"/>
    <w:rsid w:val="00B80784"/>
    <w:rsid w:val="00B80FDC"/>
    <w:rsid w:val="00B8105C"/>
    <w:rsid w:val="00B816F0"/>
    <w:rsid w:val="00B8392C"/>
    <w:rsid w:val="00B83BE8"/>
    <w:rsid w:val="00B83D5E"/>
    <w:rsid w:val="00B83F3D"/>
    <w:rsid w:val="00B844E5"/>
    <w:rsid w:val="00B84776"/>
    <w:rsid w:val="00B84CAC"/>
    <w:rsid w:val="00B85B87"/>
    <w:rsid w:val="00B86EAE"/>
    <w:rsid w:val="00B9127F"/>
    <w:rsid w:val="00B913FD"/>
    <w:rsid w:val="00B924E9"/>
    <w:rsid w:val="00B9459B"/>
    <w:rsid w:val="00B949EA"/>
    <w:rsid w:val="00B94D04"/>
    <w:rsid w:val="00B95563"/>
    <w:rsid w:val="00B9587A"/>
    <w:rsid w:val="00B95A93"/>
    <w:rsid w:val="00B95B54"/>
    <w:rsid w:val="00B9625E"/>
    <w:rsid w:val="00B962F7"/>
    <w:rsid w:val="00B96A95"/>
    <w:rsid w:val="00B96F81"/>
    <w:rsid w:val="00B9751B"/>
    <w:rsid w:val="00BA07F2"/>
    <w:rsid w:val="00BA1CF3"/>
    <w:rsid w:val="00BA223C"/>
    <w:rsid w:val="00BA2582"/>
    <w:rsid w:val="00BA3B9F"/>
    <w:rsid w:val="00BA4843"/>
    <w:rsid w:val="00BA4D13"/>
    <w:rsid w:val="00BA5CC7"/>
    <w:rsid w:val="00BA6768"/>
    <w:rsid w:val="00BA677B"/>
    <w:rsid w:val="00BA6B9E"/>
    <w:rsid w:val="00BA789C"/>
    <w:rsid w:val="00BA7A0D"/>
    <w:rsid w:val="00BB007B"/>
    <w:rsid w:val="00BB0D19"/>
    <w:rsid w:val="00BB2488"/>
    <w:rsid w:val="00BB27DD"/>
    <w:rsid w:val="00BB2A84"/>
    <w:rsid w:val="00BB2BF2"/>
    <w:rsid w:val="00BB2CD2"/>
    <w:rsid w:val="00BB39B4"/>
    <w:rsid w:val="00BB6738"/>
    <w:rsid w:val="00BB74DA"/>
    <w:rsid w:val="00BB7581"/>
    <w:rsid w:val="00BB78BD"/>
    <w:rsid w:val="00BB7974"/>
    <w:rsid w:val="00BC0948"/>
    <w:rsid w:val="00BC184F"/>
    <w:rsid w:val="00BC1AAA"/>
    <w:rsid w:val="00BC1FA2"/>
    <w:rsid w:val="00BC29AD"/>
    <w:rsid w:val="00BC3ABB"/>
    <w:rsid w:val="00BC41E9"/>
    <w:rsid w:val="00BC43F3"/>
    <w:rsid w:val="00BC48B3"/>
    <w:rsid w:val="00BC5D3A"/>
    <w:rsid w:val="00BC6927"/>
    <w:rsid w:val="00BD08FF"/>
    <w:rsid w:val="00BD090C"/>
    <w:rsid w:val="00BD0DAD"/>
    <w:rsid w:val="00BD22D1"/>
    <w:rsid w:val="00BD237A"/>
    <w:rsid w:val="00BD24EF"/>
    <w:rsid w:val="00BD281F"/>
    <w:rsid w:val="00BD28FB"/>
    <w:rsid w:val="00BD3320"/>
    <w:rsid w:val="00BD37D1"/>
    <w:rsid w:val="00BD4A43"/>
    <w:rsid w:val="00BD4F73"/>
    <w:rsid w:val="00BD4F7F"/>
    <w:rsid w:val="00BD51A8"/>
    <w:rsid w:val="00BD52F2"/>
    <w:rsid w:val="00BD57E9"/>
    <w:rsid w:val="00BD5A54"/>
    <w:rsid w:val="00BD5B57"/>
    <w:rsid w:val="00BD5D75"/>
    <w:rsid w:val="00BD631D"/>
    <w:rsid w:val="00BD70AC"/>
    <w:rsid w:val="00BD7138"/>
    <w:rsid w:val="00BE07A4"/>
    <w:rsid w:val="00BE2759"/>
    <w:rsid w:val="00BE2F1E"/>
    <w:rsid w:val="00BE345F"/>
    <w:rsid w:val="00BE422C"/>
    <w:rsid w:val="00BE5947"/>
    <w:rsid w:val="00BE5A9E"/>
    <w:rsid w:val="00BE6640"/>
    <w:rsid w:val="00BE708E"/>
    <w:rsid w:val="00BE7A3E"/>
    <w:rsid w:val="00BE7BA7"/>
    <w:rsid w:val="00BF0580"/>
    <w:rsid w:val="00BF20B6"/>
    <w:rsid w:val="00BF343A"/>
    <w:rsid w:val="00BF4255"/>
    <w:rsid w:val="00BF7661"/>
    <w:rsid w:val="00C0001D"/>
    <w:rsid w:val="00C004CE"/>
    <w:rsid w:val="00C0081D"/>
    <w:rsid w:val="00C00FB8"/>
    <w:rsid w:val="00C0141B"/>
    <w:rsid w:val="00C01CDB"/>
    <w:rsid w:val="00C0338B"/>
    <w:rsid w:val="00C0349F"/>
    <w:rsid w:val="00C040C7"/>
    <w:rsid w:val="00C042CD"/>
    <w:rsid w:val="00C06970"/>
    <w:rsid w:val="00C06A4F"/>
    <w:rsid w:val="00C10131"/>
    <w:rsid w:val="00C11A05"/>
    <w:rsid w:val="00C11F46"/>
    <w:rsid w:val="00C1301E"/>
    <w:rsid w:val="00C14A71"/>
    <w:rsid w:val="00C14A84"/>
    <w:rsid w:val="00C152E3"/>
    <w:rsid w:val="00C15F5D"/>
    <w:rsid w:val="00C16B90"/>
    <w:rsid w:val="00C1709A"/>
    <w:rsid w:val="00C20312"/>
    <w:rsid w:val="00C211ED"/>
    <w:rsid w:val="00C218CA"/>
    <w:rsid w:val="00C21BCA"/>
    <w:rsid w:val="00C2223C"/>
    <w:rsid w:val="00C222A6"/>
    <w:rsid w:val="00C229B5"/>
    <w:rsid w:val="00C235C4"/>
    <w:rsid w:val="00C23884"/>
    <w:rsid w:val="00C24AE8"/>
    <w:rsid w:val="00C258EB"/>
    <w:rsid w:val="00C2658C"/>
    <w:rsid w:val="00C2751D"/>
    <w:rsid w:val="00C30037"/>
    <w:rsid w:val="00C300BE"/>
    <w:rsid w:val="00C307F3"/>
    <w:rsid w:val="00C30E74"/>
    <w:rsid w:val="00C31A19"/>
    <w:rsid w:val="00C31D4A"/>
    <w:rsid w:val="00C32D20"/>
    <w:rsid w:val="00C338A3"/>
    <w:rsid w:val="00C3402E"/>
    <w:rsid w:val="00C35535"/>
    <w:rsid w:val="00C36EDE"/>
    <w:rsid w:val="00C3748C"/>
    <w:rsid w:val="00C37E32"/>
    <w:rsid w:val="00C400AF"/>
    <w:rsid w:val="00C4011A"/>
    <w:rsid w:val="00C403B6"/>
    <w:rsid w:val="00C41A74"/>
    <w:rsid w:val="00C42173"/>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ABE"/>
    <w:rsid w:val="00C53D94"/>
    <w:rsid w:val="00C6075D"/>
    <w:rsid w:val="00C61A32"/>
    <w:rsid w:val="00C61A4C"/>
    <w:rsid w:val="00C632C5"/>
    <w:rsid w:val="00C63508"/>
    <w:rsid w:val="00C63CB1"/>
    <w:rsid w:val="00C6434C"/>
    <w:rsid w:val="00C64ACB"/>
    <w:rsid w:val="00C64CC5"/>
    <w:rsid w:val="00C6599E"/>
    <w:rsid w:val="00C663C3"/>
    <w:rsid w:val="00C66406"/>
    <w:rsid w:val="00C67655"/>
    <w:rsid w:val="00C72236"/>
    <w:rsid w:val="00C72A0C"/>
    <w:rsid w:val="00C736C4"/>
    <w:rsid w:val="00C74CC2"/>
    <w:rsid w:val="00C752F8"/>
    <w:rsid w:val="00C75C0D"/>
    <w:rsid w:val="00C7642D"/>
    <w:rsid w:val="00C76AA4"/>
    <w:rsid w:val="00C76E3C"/>
    <w:rsid w:val="00C777B5"/>
    <w:rsid w:val="00C77F35"/>
    <w:rsid w:val="00C8006D"/>
    <w:rsid w:val="00C80204"/>
    <w:rsid w:val="00C80331"/>
    <w:rsid w:val="00C80418"/>
    <w:rsid w:val="00C81541"/>
    <w:rsid w:val="00C83309"/>
    <w:rsid w:val="00C83AC9"/>
    <w:rsid w:val="00C85144"/>
    <w:rsid w:val="00C8657B"/>
    <w:rsid w:val="00C870BA"/>
    <w:rsid w:val="00C87459"/>
    <w:rsid w:val="00C8758A"/>
    <w:rsid w:val="00C8772F"/>
    <w:rsid w:val="00C87924"/>
    <w:rsid w:val="00C90B5F"/>
    <w:rsid w:val="00C910A9"/>
    <w:rsid w:val="00C92693"/>
    <w:rsid w:val="00C92705"/>
    <w:rsid w:val="00C944C5"/>
    <w:rsid w:val="00C9485C"/>
    <w:rsid w:val="00C9493E"/>
    <w:rsid w:val="00C949A3"/>
    <w:rsid w:val="00C94D87"/>
    <w:rsid w:val="00C95AEC"/>
    <w:rsid w:val="00C95BAC"/>
    <w:rsid w:val="00C95EAD"/>
    <w:rsid w:val="00C978B3"/>
    <w:rsid w:val="00CA01BA"/>
    <w:rsid w:val="00CA07AC"/>
    <w:rsid w:val="00CA1233"/>
    <w:rsid w:val="00CA1381"/>
    <w:rsid w:val="00CA138E"/>
    <w:rsid w:val="00CA1D6F"/>
    <w:rsid w:val="00CA2B94"/>
    <w:rsid w:val="00CA31F3"/>
    <w:rsid w:val="00CA3458"/>
    <w:rsid w:val="00CA4B8A"/>
    <w:rsid w:val="00CA4EA0"/>
    <w:rsid w:val="00CA53E4"/>
    <w:rsid w:val="00CA5424"/>
    <w:rsid w:val="00CA589B"/>
    <w:rsid w:val="00CA5A16"/>
    <w:rsid w:val="00CA6283"/>
    <w:rsid w:val="00CA6686"/>
    <w:rsid w:val="00CA7160"/>
    <w:rsid w:val="00CB0ADE"/>
    <w:rsid w:val="00CB0EC4"/>
    <w:rsid w:val="00CB23B5"/>
    <w:rsid w:val="00CB2BB2"/>
    <w:rsid w:val="00CB2D77"/>
    <w:rsid w:val="00CB46D9"/>
    <w:rsid w:val="00CB4B32"/>
    <w:rsid w:val="00CB799F"/>
    <w:rsid w:val="00CC0F76"/>
    <w:rsid w:val="00CC2F0C"/>
    <w:rsid w:val="00CC30DA"/>
    <w:rsid w:val="00CC3748"/>
    <w:rsid w:val="00CC3987"/>
    <w:rsid w:val="00CC4C1A"/>
    <w:rsid w:val="00CC60B5"/>
    <w:rsid w:val="00CC6656"/>
    <w:rsid w:val="00CC7356"/>
    <w:rsid w:val="00CC7630"/>
    <w:rsid w:val="00CD000A"/>
    <w:rsid w:val="00CD0506"/>
    <w:rsid w:val="00CD087F"/>
    <w:rsid w:val="00CD0FAA"/>
    <w:rsid w:val="00CD1250"/>
    <w:rsid w:val="00CD158C"/>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381F"/>
    <w:rsid w:val="00CE4BF1"/>
    <w:rsid w:val="00CE4DB9"/>
    <w:rsid w:val="00CE516A"/>
    <w:rsid w:val="00CE5AAD"/>
    <w:rsid w:val="00CE6104"/>
    <w:rsid w:val="00CE7E55"/>
    <w:rsid w:val="00CF0019"/>
    <w:rsid w:val="00CF005D"/>
    <w:rsid w:val="00CF14D1"/>
    <w:rsid w:val="00CF16EA"/>
    <w:rsid w:val="00CF1AF0"/>
    <w:rsid w:val="00CF4024"/>
    <w:rsid w:val="00CF42FF"/>
    <w:rsid w:val="00CF4414"/>
    <w:rsid w:val="00CF7A59"/>
    <w:rsid w:val="00CF7B99"/>
    <w:rsid w:val="00D00E19"/>
    <w:rsid w:val="00D01327"/>
    <w:rsid w:val="00D03B79"/>
    <w:rsid w:val="00D048E3"/>
    <w:rsid w:val="00D058D9"/>
    <w:rsid w:val="00D068FF"/>
    <w:rsid w:val="00D06C96"/>
    <w:rsid w:val="00D07A2D"/>
    <w:rsid w:val="00D07E10"/>
    <w:rsid w:val="00D07EF3"/>
    <w:rsid w:val="00D10114"/>
    <w:rsid w:val="00D11AEA"/>
    <w:rsid w:val="00D11B6D"/>
    <w:rsid w:val="00D12EB0"/>
    <w:rsid w:val="00D13665"/>
    <w:rsid w:val="00D1385F"/>
    <w:rsid w:val="00D13C3A"/>
    <w:rsid w:val="00D14742"/>
    <w:rsid w:val="00D14EEF"/>
    <w:rsid w:val="00D15490"/>
    <w:rsid w:val="00D1737F"/>
    <w:rsid w:val="00D20D6F"/>
    <w:rsid w:val="00D2118D"/>
    <w:rsid w:val="00D2132A"/>
    <w:rsid w:val="00D21BE9"/>
    <w:rsid w:val="00D23763"/>
    <w:rsid w:val="00D250BB"/>
    <w:rsid w:val="00D261DF"/>
    <w:rsid w:val="00D26A29"/>
    <w:rsid w:val="00D26A76"/>
    <w:rsid w:val="00D27330"/>
    <w:rsid w:val="00D277D6"/>
    <w:rsid w:val="00D277E6"/>
    <w:rsid w:val="00D309CB"/>
    <w:rsid w:val="00D32117"/>
    <w:rsid w:val="00D32AB4"/>
    <w:rsid w:val="00D33167"/>
    <w:rsid w:val="00D331A7"/>
    <w:rsid w:val="00D33899"/>
    <w:rsid w:val="00D33C32"/>
    <w:rsid w:val="00D35CB3"/>
    <w:rsid w:val="00D36616"/>
    <w:rsid w:val="00D36BB0"/>
    <w:rsid w:val="00D36F40"/>
    <w:rsid w:val="00D3703D"/>
    <w:rsid w:val="00D37816"/>
    <w:rsid w:val="00D37D64"/>
    <w:rsid w:val="00D40476"/>
    <w:rsid w:val="00D41350"/>
    <w:rsid w:val="00D41CD4"/>
    <w:rsid w:val="00D42512"/>
    <w:rsid w:val="00D428A8"/>
    <w:rsid w:val="00D430D9"/>
    <w:rsid w:val="00D43268"/>
    <w:rsid w:val="00D43569"/>
    <w:rsid w:val="00D4415E"/>
    <w:rsid w:val="00D4450E"/>
    <w:rsid w:val="00D450DE"/>
    <w:rsid w:val="00D452C9"/>
    <w:rsid w:val="00D458F7"/>
    <w:rsid w:val="00D45B34"/>
    <w:rsid w:val="00D45E68"/>
    <w:rsid w:val="00D45EB9"/>
    <w:rsid w:val="00D46046"/>
    <w:rsid w:val="00D46880"/>
    <w:rsid w:val="00D46988"/>
    <w:rsid w:val="00D4712F"/>
    <w:rsid w:val="00D473B6"/>
    <w:rsid w:val="00D479F2"/>
    <w:rsid w:val="00D47B07"/>
    <w:rsid w:val="00D50A9A"/>
    <w:rsid w:val="00D51E3C"/>
    <w:rsid w:val="00D51E9A"/>
    <w:rsid w:val="00D521AE"/>
    <w:rsid w:val="00D5262F"/>
    <w:rsid w:val="00D5391C"/>
    <w:rsid w:val="00D5586A"/>
    <w:rsid w:val="00D56DC0"/>
    <w:rsid w:val="00D571AA"/>
    <w:rsid w:val="00D57723"/>
    <w:rsid w:val="00D57D25"/>
    <w:rsid w:val="00D60BC7"/>
    <w:rsid w:val="00D60C27"/>
    <w:rsid w:val="00D6165D"/>
    <w:rsid w:val="00D61A30"/>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80BBA"/>
    <w:rsid w:val="00D80C0C"/>
    <w:rsid w:val="00D80C53"/>
    <w:rsid w:val="00D81094"/>
    <w:rsid w:val="00D81E1B"/>
    <w:rsid w:val="00D82F1A"/>
    <w:rsid w:val="00D83203"/>
    <w:rsid w:val="00D836CA"/>
    <w:rsid w:val="00D84449"/>
    <w:rsid w:val="00D8474F"/>
    <w:rsid w:val="00D84CEB"/>
    <w:rsid w:val="00D8558E"/>
    <w:rsid w:val="00D86230"/>
    <w:rsid w:val="00D862C6"/>
    <w:rsid w:val="00D8723F"/>
    <w:rsid w:val="00D8775D"/>
    <w:rsid w:val="00D9034F"/>
    <w:rsid w:val="00D90703"/>
    <w:rsid w:val="00D90DF7"/>
    <w:rsid w:val="00D912A8"/>
    <w:rsid w:val="00D91F2B"/>
    <w:rsid w:val="00D925AF"/>
    <w:rsid w:val="00D929DD"/>
    <w:rsid w:val="00D92C5F"/>
    <w:rsid w:val="00D93C78"/>
    <w:rsid w:val="00D947D5"/>
    <w:rsid w:val="00D94842"/>
    <w:rsid w:val="00D9541C"/>
    <w:rsid w:val="00D95605"/>
    <w:rsid w:val="00D9578F"/>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2980"/>
    <w:rsid w:val="00DB2EB8"/>
    <w:rsid w:val="00DB4CA1"/>
    <w:rsid w:val="00DB5003"/>
    <w:rsid w:val="00DB60DE"/>
    <w:rsid w:val="00DB64C6"/>
    <w:rsid w:val="00DC09C1"/>
    <w:rsid w:val="00DC2200"/>
    <w:rsid w:val="00DC2864"/>
    <w:rsid w:val="00DC2C97"/>
    <w:rsid w:val="00DC3292"/>
    <w:rsid w:val="00DC45F1"/>
    <w:rsid w:val="00DC4F36"/>
    <w:rsid w:val="00DC5194"/>
    <w:rsid w:val="00DD0DCD"/>
    <w:rsid w:val="00DD0F7D"/>
    <w:rsid w:val="00DD1061"/>
    <w:rsid w:val="00DD1751"/>
    <w:rsid w:val="00DD1E41"/>
    <w:rsid w:val="00DD22A8"/>
    <w:rsid w:val="00DD23FD"/>
    <w:rsid w:val="00DD2D3D"/>
    <w:rsid w:val="00DD2E07"/>
    <w:rsid w:val="00DD5487"/>
    <w:rsid w:val="00DD5AF0"/>
    <w:rsid w:val="00DD5E9D"/>
    <w:rsid w:val="00DD6E2A"/>
    <w:rsid w:val="00DD7BEF"/>
    <w:rsid w:val="00DE041D"/>
    <w:rsid w:val="00DE0712"/>
    <w:rsid w:val="00DE0DEF"/>
    <w:rsid w:val="00DE18D1"/>
    <w:rsid w:val="00DE21CA"/>
    <w:rsid w:val="00DE3C86"/>
    <w:rsid w:val="00DE501C"/>
    <w:rsid w:val="00DE6907"/>
    <w:rsid w:val="00DE6B42"/>
    <w:rsid w:val="00DE70CB"/>
    <w:rsid w:val="00DE7E6C"/>
    <w:rsid w:val="00DF1D98"/>
    <w:rsid w:val="00DF28E6"/>
    <w:rsid w:val="00DF28FB"/>
    <w:rsid w:val="00DF29E7"/>
    <w:rsid w:val="00DF36E6"/>
    <w:rsid w:val="00DF4FEC"/>
    <w:rsid w:val="00DF6625"/>
    <w:rsid w:val="00DF7A16"/>
    <w:rsid w:val="00DF7F9B"/>
    <w:rsid w:val="00E0013F"/>
    <w:rsid w:val="00E00A4F"/>
    <w:rsid w:val="00E00EB1"/>
    <w:rsid w:val="00E0129C"/>
    <w:rsid w:val="00E0173F"/>
    <w:rsid w:val="00E03226"/>
    <w:rsid w:val="00E0375D"/>
    <w:rsid w:val="00E03D56"/>
    <w:rsid w:val="00E04315"/>
    <w:rsid w:val="00E04D09"/>
    <w:rsid w:val="00E052C5"/>
    <w:rsid w:val="00E0539D"/>
    <w:rsid w:val="00E061D4"/>
    <w:rsid w:val="00E06C04"/>
    <w:rsid w:val="00E071EE"/>
    <w:rsid w:val="00E07474"/>
    <w:rsid w:val="00E07D8F"/>
    <w:rsid w:val="00E10982"/>
    <w:rsid w:val="00E111F4"/>
    <w:rsid w:val="00E120D6"/>
    <w:rsid w:val="00E12AC1"/>
    <w:rsid w:val="00E1317F"/>
    <w:rsid w:val="00E13A01"/>
    <w:rsid w:val="00E15079"/>
    <w:rsid w:val="00E1562C"/>
    <w:rsid w:val="00E15AD0"/>
    <w:rsid w:val="00E15F71"/>
    <w:rsid w:val="00E161BA"/>
    <w:rsid w:val="00E179D9"/>
    <w:rsid w:val="00E17F3B"/>
    <w:rsid w:val="00E20A33"/>
    <w:rsid w:val="00E20A83"/>
    <w:rsid w:val="00E20C1B"/>
    <w:rsid w:val="00E21B0E"/>
    <w:rsid w:val="00E21E2F"/>
    <w:rsid w:val="00E222A9"/>
    <w:rsid w:val="00E22AA7"/>
    <w:rsid w:val="00E22B81"/>
    <w:rsid w:val="00E2379A"/>
    <w:rsid w:val="00E23967"/>
    <w:rsid w:val="00E23B6B"/>
    <w:rsid w:val="00E23DF7"/>
    <w:rsid w:val="00E23F29"/>
    <w:rsid w:val="00E2446F"/>
    <w:rsid w:val="00E24BBB"/>
    <w:rsid w:val="00E25FCC"/>
    <w:rsid w:val="00E26530"/>
    <w:rsid w:val="00E266E3"/>
    <w:rsid w:val="00E26789"/>
    <w:rsid w:val="00E276AD"/>
    <w:rsid w:val="00E304DD"/>
    <w:rsid w:val="00E305DA"/>
    <w:rsid w:val="00E3074C"/>
    <w:rsid w:val="00E34C11"/>
    <w:rsid w:val="00E34FF5"/>
    <w:rsid w:val="00E3646F"/>
    <w:rsid w:val="00E364F6"/>
    <w:rsid w:val="00E36AC1"/>
    <w:rsid w:val="00E37BCF"/>
    <w:rsid w:val="00E407F6"/>
    <w:rsid w:val="00E40B02"/>
    <w:rsid w:val="00E41135"/>
    <w:rsid w:val="00E411CE"/>
    <w:rsid w:val="00E41374"/>
    <w:rsid w:val="00E4210F"/>
    <w:rsid w:val="00E42847"/>
    <w:rsid w:val="00E43556"/>
    <w:rsid w:val="00E43580"/>
    <w:rsid w:val="00E435BC"/>
    <w:rsid w:val="00E440E5"/>
    <w:rsid w:val="00E4439E"/>
    <w:rsid w:val="00E447C0"/>
    <w:rsid w:val="00E449DC"/>
    <w:rsid w:val="00E45BC4"/>
    <w:rsid w:val="00E4668C"/>
    <w:rsid w:val="00E46709"/>
    <w:rsid w:val="00E47487"/>
    <w:rsid w:val="00E47953"/>
    <w:rsid w:val="00E47CD4"/>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21F0"/>
    <w:rsid w:val="00E74513"/>
    <w:rsid w:val="00E7549A"/>
    <w:rsid w:val="00E75D14"/>
    <w:rsid w:val="00E75FF8"/>
    <w:rsid w:val="00E760C0"/>
    <w:rsid w:val="00E76A20"/>
    <w:rsid w:val="00E77F64"/>
    <w:rsid w:val="00E807D2"/>
    <w:rsid w:val="00E80B06"/>
    <w:rsid w:val="00E81434"/>
    <w:rsid w:val="00E81473"/>
    <w:rsid w:val="00E8165B"/>
    <w:rsid w:val="00E81F5F"/>
    <w:rsid w:val="00E82200"/>
    <w:rsid w:val="00E838CA"/>
    <w:rsid w:val="00E83B8F"/>
    <w:rsid w:val="00E84AFA"/>
    <w:rsid w:val="00E84D8E"/>
    <w:rsid w:val="00E85644"/>
    <w:rsid w:val="00E85AAA"/>
    <w:rsid w:val="00E86489"/>
    <w:rsid w:val="00E86576"/>
    <w:rsid w:val="00E87524"/>
    <w:rsid w:val="00E87560"/>
    <w:rsid w:val="00E901AC"/>
    <w:rsid w:val="00E925E5"/>
    <w:rsid w:val="00E9274E"/>
    <w:rsid w:val="00E94DC1"/>
    <w:rsid w:val="00E9563B"/>
    <w:rsid w:val="00E9569F"/>
    <w:rsid w:val="00E97362"/>
    <w:rsid w:val="00E97C80"/>
    <w:rsid w:val="00E97CA0"/>
    <w:rsid w:val="00EA0348"/>
    <w:rsid w:val="00EA0CDC"/>
    <w:rsid w:val="00EA15A2"/>
    <w:rsid w:val="00EA1813"/>
    <w:rsid w:val="00EA19B2"/>
    <w:rsid w:val="00EA1ACE"/>
    <w:rsid w:val="00EA2A7D"/>
    <w:rsid w:val="00EA2B2A"/>
    <w:rsid w:val="00EA3062"/>
    <w:rsid w:val="00EA3BFC"/>
    <w:rsid w:val="00EA3E64"/>
    <w:rsid w:val="00EA4537"/>
    <w:rsid w:val="00EA51CE"/>
    <w:rsid w:val="00EA546E"/>
    <w:rsid w:val="00EA5BA9"/>
    <w:rsid w:val="00EA60A0"/>
    <w:rsid w:val="00EA64B0"/>
    <w:rsid w:val="00EA64BD"/>
    <w:rsid w:val="00EA6D45"/>
    <w:rsid w:val="00EB0639"/>
    <w:rsid w:val="00EB06EA"/>
    <w:rsid w:val="00EB0B22"/>
    <w:rsid w:val="00EB202A"/>
    <w:rsid w:val="00EB207E"/>
    <w:rsid w:val="00EB2256"/>
    <w:rsid w:val="00EB57A1"/>
    <w:rsid w:val="00EB5B50"/>
    <w:rsid w:val="00EB5FB2"/>
    <w:rsid w:val="00EB7F58"/>
    <w:rsid w:val="00EC05F1"/>
    <w:rsid w:val="00EC0B61"/>
    <w:rsid w:val="00EC118F"/>
    <w:rsid w:val="00EC1D18"/>
    <w:rsid w:val="00EC1FC4"/>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5F3E"/>
    <w:rsid w:val="00ED64A4"/>
    <w:rsid w:val="00ED7E6E"/>
    <w:rsid w:val="00EE04CC"/>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85B"/>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0C05"/>
    <w:rsid w:val="00F32102"/>
    <w:rsid w:val="00F32130"/>
    <w:rsid w:val="00F3298B"/>
    <w:rsid w:val="00F32AEB"/>
    <w:rsid w:val="00F33D91"/>
    <w:rsid w:val="00F34131"/>
    <w:rsid w:val="00F3428D"/>
    <w:rsid w:val="00F34628"/>
    <w:rsid w:val="00F34ED7"/>
    <w:rsid w:val="00F3601A"/>
    <w:rsid w:val="00F3601B"/>
    <w:rsid w:val="00F36DF1"/>
    <w:rsid w:val="00F37A3D"/>
    <w:rsid w:val="00F4130E"/>
    <w:rsid w:val="00F42B03"/>
    <w:rsid w:val="00F43D6E"/>
    <w:rsid w:val="00F4501D"/>
    <w:rsid w:val="00F45087"/>
    <w:rsid w:val="00F459CC"/>
    <w:rsid w:val="00F47F88"/>
    <w:rsid w:val="00F50783"/>
    <w:rsid w:val="00F50978"/>
    <w:rsid w:val="00F509C3"/>
    <w:rsid w:val="00F52307"/>
    <w:rsid w:val="00F53CBD"/>
    <w:rsid w:val="00F5696B"/>
    <w:rsid w:val="00F56A94"/>
    <w:rsid w:val="00F602DA"/>
    <w:rsid w:val="00F61BCC"/>
    <w:rsid w:val="00F61CE3"/>
    <w:rsid w:val="00F6227C"/>
    <w:rsid w:val="00F62E8A"/>
    <w:rsid w:val="00F63906"/>
    <w:rsid w:val="00F64F97"/>
    <w:rsid w:val="00F65B19"/>
    <w:rsid w:val="00F661CD"/>
    <w:rsid w:val="00F6636A"/>
    <w:rsid w:val="00F67501"/>
    <w:rsid w:val="00F67A34"/>
    <w:rsid w:val="00F707A5"/>
    <w:rsid w:val="00F70916"/>
    <w:rsid w:val="00F70A87"/>
    <w:rsid w:val="00F71A16"/>
    <w:rsid w:val="00F71DF2"/>
    <w:rsid w:val="00F725CA"/>
    <w:rsid w:val="00F73788"/>
    <w:rsid w:val="00F74D3B"/>
    <w:rsid w:val="00F74DB7"/>
    <w:rsid w:val="00F755EA"/>
    <w:rsid w:val="00F7561F"/>
    <w:rsid w:val="00F75E50"/>
    <w:rsid w:val="00F764BE"/>
    <w:rsid w:val="00F76878"/>
    <w:rsid w:val="00F76E7C"/>
    <w:rsid w:val="00F77231"/>
    <w:rsid w:val="00F776C0"/>
    <w:rsid w:val="00F77E9E"/>
    <w:rsid w:val="00F81530"/>
    <w:rsid w:val="00F81D6B"/>
    <w:rsid w:val="00F82018"/>
    <w:rsid w:val="00F8288C"/>
    <w:rsid w:val="00F82B31"/>
    <w:rsid w:val="00F82C78"/>
    <w:rsid w:val="00F82FEF"/>
    <w:rsid w:val="00F83515"/>
    <w:rsid w:val="00F84313"/>
    <w:rsid w:val="00F8561D"/>
    <w:rsid w:val="00F86D94"/>
    <w:rsid w:val="00F903A2"/>
    <w:rsid w:val="00F904EB"/>
    <w:rsid w:val="00F90BB7"/>
    <w:rsid w:val="00F934CC"/>
    <w:rsid w:val="00F937BC"/>
    <w:rsid w:val="00F944ED"/>
    <w:rsid w:val="00F946A2"/>
    <w:rsid w:val="00F94812"/>
    <w:rsid w:val="00F95620"/>
    <w:rsid w:val="00F95A94"/>
    <w:rsid w:val="00F95B41"/>
    <w:rsid w:val="00F96117"/>
    <w:rsid w:val="00F97AE6"/>
    <w:rsid w:val="00F97E0B"/>
    <w:rsid w:val="00F97FB4"/>
    <w:rsid w:val="00FA1761"/>
    <w:rsid w:val="00FA2247"/>
    <w:rsid w:val="00FA315A"/>
    <w:rsid w:val="00FA3915"/>
    <w:rsid w:val="00FA3F63"/>
    <w:rsid w:val="00FA4709"/>
    <w:rsid w:val="00FA4BC0"/>
    <w:rsid w:val="00FA7A59"/>
    <w:rsid w:val="00FA7EC9"/>
    <w:rsid w:val="00FB01FA"/>
    <w:rsid w:val="00FB028F"/>
    <w:rsid w:val="00FB0A30"/>
    <w:rsid w:val="00FB0FF7"/>
    <w:rsid w:val="00FB1939"/>
    <w:rsid w:val="00FB26EF"/>
    <w:rsid w:val="00FB2FD0"/>
    <w:rsid w:val="00FB49D1"/>
    <w:rsid w:val="00FB53DA"/>
    <w:rsid w:val="00FB5FFC"/>
    <w:rsid w:val="00FB685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784A"/>
    <w:rsid w:val="00FD008D"/>
    <w:rsid w:val="00FD04D0"/>
    <w:rsid w:val="00FD151B"/>
    <w:rsid w:val="00FD1FCA"/>
    <w:rsid w:val="00FD2BD3"/>
    <w:rsid w:val="00FD2D54"/>
    <w:rsid w:val="00FD32C5"/>
    <w:rsid w:val="00FD5A62"/>
    <w:rsid w:val="00FD5FE1"/>
    <w:rsid w:val="00FD6627"/>
    <w:rsid w:val="00FE12B5"/>
    <w:rsid w:val="00FE1753"/>
    <w:rsid w:val="00FE17D2"/>
    <w:rsid w:val="00FE1F1A"/>
    <w:rsid w:val="00FE2D8D"/>
    <w:rsid w:val="00FE2E99"/>
    <w:rsid w:val="00FE2F1F"/>
    <w:rsid w:val="00FE43E8"/>
    <w:rsid w:val="00FE5279"/>
    <w:rsid w:val="00FE5788"/>
    <w:rsid w:val="00FE6C2B"/>
    <w:rsid w:val="00FE737A"/>
    <w:rsid w:val="00FE7A3D"/>
    <w:rsid w:val="00FF1911"/>
    <w:rsid w:val="00FF1D5F"/>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FF15C69-2E5F-462C-B28E-E71EE4A5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basedOn w:val="Normal"/>
    <w:semiHidden/>
    <w:rsid w:val="0008758D"/>
    <w:pPr>
      <w:jc w:val="both"/>
    </w:pPr>
    <w:rPr>
      <w:rFonts w:eastAsia="PMingLiU"/>
      <w:kern w:val="0"/>
      <w:szCs w:val="22"/>
      <w:lang w:eastAsia="ar-SA"/>
    </w:rPr>
  </w:style>
  <w:style w:type="character" w:styleId="FootnoteReference">
    <w:name w:val="footnote reference"/>
    <w:semiHidden/>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hps">
    <w:name w:val="hps"/>
    <w:rsid w:val="009F7128"/>
  </w:style>
  <w:style w:type="character" w:styleId="FollowedHyperlink">
    <w:name w:val="FollowedHyperlink"/>
    <w:basedOn w:val="DefaultParagraphFont"/>
    <w:rsid w:val="004A1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ga/search/view_doc.asp?symbol=A/RES/69/313&amp;Lang=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3/cop-13-dec-20-ar.pdf" TargetMode="External"/><Relationship Id="rId17" Type="http://schemas.openxmlformats.org/officeDocument/2006/relationships/hyperlink" Target="https://www.cbd.int/doc/decisions/cop-12/cop-12-dec-03-ar.pdf" TargetMode="External"/><Relationship Id="rId2" Type="http://schemas.openxmlformats.org/officeDocument/2006/relationships/numbering" Target="numbering.xml"/><Relationship Id="rId16" Type="http://schemas.openxmlformats.org/officeDocument/2006/relationships/hyperlink" Target="https://www.cbd.int/post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ar.pdf" TargetMode="External"/><Relationship Id="rId5" Type="http://schemas.openxmlformats.org/officeDocument/2006/relationships/webSettings" Target="webSettings.xml"/><Relationship Id="rId15" Type="http://schemas.openxmlformats.org/officeDocument/2006/relationships/hyperlink" Target="https://www.cbd.int/doc/c/6c1d/5cef/7d9fc04ff7ea9ac943ea605c/sbi-02-20-ar.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fc68/8d3d/bb2f4d41a569afbf379dc4dc/sbi-02-19-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8/ntf-2018-024-rm-en.pdf" TargetMode="External"/><Relationship Id="rId13" Type="http://schemas.openxmlformats.org/officeDocument/2006/relationships/hyperlink" Target="https://www.cbd.int/meetings/RMEM-2015-01" TargetMode="External"/><Relationship Id="rId18" Type="http://schemas.openxmlformats.org/officeDocument/2006/relationships/hyperlink" Target="https://www.cbd.int/decision/cop/default.shtml?id=11654" TargetMode="External"/><Relationship Id="rId26" Type="http://schemas.openxmlformats.org/officeDocument/2006/relationships/hyperlink" Target="https://www.cbd.int/meetings/RMWS-2015-02" TargetMode="External"/><Relationship Id="rId3" Type="http://schemas.openxmlformats.org/officeDocument/2006/relationships/hyperlink" Target="http://www.cbd.int/doc/meetings/sbi/sbi-01/official/sbi-01-07-add1-ar.doc" TargetMode="External"/><Relationship Id="rId21" Type="http://schemas.openxmlformats.org/officeDocument/2006/relationships/hyperlink" Target="https://www.cbd.int/financial/hlp/doc/CBD-HLP-FullReport-EN.pdf" TargetMode="External"/><Relationship Id="rId7" Type="http://schemas.openxmlformats.org/officeDocument/2006/relationships/hyperlink" Target="https://www.cbd.int/doc/notifications/2017/ntf-2017-061-rm-en.pdf" TargetMode="External"/><Relationship Id="rId12" Type="http://schemas.openxmlformats.org/officeDocument/2006/relationships/hyperlink" Target="http://www.biodiversityfinance.net/finance-solutions" TargetMode="External"/><Relationship Id="rId17" Type="http://schemas.openxmlformats.org/officeDocument/2006/relationships/hyperlink" Target="https://developmentfinance.un.org/iatf2018" TargetMode="External"/><Relationship Id="rId25" Type="http://schemas.openxmlformats.org/officeDocument/2006/relationships/hyperlink" Target="https://www.cbd.int/meetings/DS-FB-02" TargetMode="External"/><Relationship Id="rId2" Type="http://schemas.openxmlformats.org/officeDocument/2006/relationships/hyperlink" Target="https://www.cbd.int/doc/decisions/cop-12/cop-12-dec-03-ar.pdf" TargetMode="External"/><Relationship Id="rId16" Type="http://schemas.openxmlformats.org/officeDocument/2006/relationships/hyperlink" Target="https://www.cbd.int/doc/decisions/cop-10/cop-10-dec-44-ar.pdf" TargetMode="External"/><Relationship Id="rId20" Type="http://schemas.openxmlformats.org/officeDocument/2006/relationships/hyperlink" Target="https://www.cbd.int/decision/cop/default.shtml?id=13366" TargetMode="External"/><Relationship Id="rId1" Type="http://schemas.openxmlformats.org/officeDocument/2006/relationships/hyperlink" Target="https://www.cbd.int/doc/decisions/cop-11/cop-11-dec-04-ar.pdf" TargetMode="External"/><Relationship Id="rId6" Type="http://schemas.openxmlformats.org/officeDocument/2006/relationships/hyperlink" Target="https://www.cbd.int/doc/notifications/2017/ntf-2017-009-financial-en.pdf" TargetMode="External"/><Relationship Id="rId11" Type="http://schemas.openxmlformats.org/officeDocument/2006/relationships/hyperlink" Target="https://www.ipbes.net/conceptual-framework" TargetMode="External"/><Relationship Id="rId24" Type="http://schemas.openxmlformats.org/officeDocument/2006/relationships/hyperlink" Target="https://www.cbd.int/meetings/DS-FB-01" TargetMode="External"/><Relationship Id="rId5" Type="http://schemas.openxmlformats.org/officeDocument/2006/relationships/hyperlink" Target="https://www.cbd.int/doc/decisions/cop-13/cop-13-dec-20-ar.pdf" TargetMode="External"/><Relationship Id="rId15" Type="http://schemas.openxmlformats.org/officeDocument/2006/relationships/hyperlink" Target="https://developmentfinance.un.org/protecting-ecosystems" TargetMode="External"/><Relationship Id="rId23" Type="http://schemas.openxmlformats.org/officeDocument/2006/relationships/hyperlink" Target="https://www.cbd.int/financial/hlp/doc/hlp-02-report-en.pdf" TargetMode="External"/><Relationship Id="rId28" Type="http://schemas.openxmlformats.org/officeDocument/2006/relationships/hyperlink" Target="https://www.cbd.int/doc/decisions/cop-12/cop-12-dec-03-ar.pdf" TargetMode="External"/><Relationship Id="rId10" Type="http://schemas.openxmlformats.org/officeDocument/2006/relationships/hyperlink" Target="http://www.biodiversityfinance.net/regional-nodes" TargetMode="External"/><Relationship Id="rId19" Type="http://schemas.openxmlformats.org/officeDocument/2006/relationships/hyperlink" Target="https://www.cbd.int/decision/cop/default.shtml?id=12269" TargetMode="External"/><Relationship Id="rId4" Type="http://schemas.openxmlformats.org/officeDocument/2006/relationships/hyperlink" Target="http://www.cbd.int/doc/meetings/cop/cop-13/official/cop-13-11-rev1-ar.doc" TargetMode="External"/><Relationship Id="rId9" Type="http://schemas.openxmlformats.org/officeDocument/2006/relationships/hyperlink" Target="http://www.biodiversityfinance.net/" TargetMode="External"/><Relationship Id="rId14" Type="http://schemas.openxmlformats.org/officeDocument/2006/relationships/hyperlink" Target="https://developmentfinance.un.org/iatf2018" TargetMode="External"/><Relationship Id="rId22" Type="http://schemas.openxmlformats.org/officeDocument/2006/relationships/hyperlink" Target="https://www.cbd.int/doc/meetings/fin/hlpgar-sp-01/official/hlpgar-sp-01-01-report-en.pdf" TargetMode="External"/><Relationship Id="rId27" Type="http://schemas.openxmlformats.org/officeDocument/2006/relationships/hyperlink" Target="http://www.un.org/ga/search/view_doc.asp?symbol=A/RES/70/1&amp;referer=/english/&amp;L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D128-CC44-479C-9474-15784D07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15</Pages>
  <Words>7010</Words>
  <Characters>36842</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43765</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subject/>
  <dc:creator>SCBD</dc:creator>
  <cp:keywords/>
  <cp:lastModifiedBy>Teresa Mazza</cp:lastModifiedBy>
  <cp:revision>81</cp:revision>
  <cp:lastPrinted>2017-07-25T22:00:00Z</cp:lastPrinted>
  <dcterms:created xsi:type="dcterms:W3CDTF">2018-05-19T12:37:00Z</dcterms:created>
  <dcterms:modified xsi:type="dcterms:W3CDTF">2018-05-29T19:56:00Z</dcterms:modified>
</cp:coreProperties>
</file>