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4A1442" w14:paraId="07F6750D" w14:textId="77777777" w:rsidTr="009C2DE6">
        <w:trPr>
          <w:trHeight w:val="851"/>
        </w:trPr>
        <w:tc>
          <w:tcPr>
            <w:tcW w:w="976" w:type="dxa"/>
            <w:tcBorders>
              <w:bottom w:val="single" w:sz="12" w:space="0" w:color="auto"/>
            </w:tcBorders>
          </w:tcPr>
          <w:p w14:paraId="1DEFF495" w14:textId="77777777" w:rsidR="00C9161D" w:rsidRPr="004A1442" w:rsidRDefault="00C9161D" w:rsidP="00B00053">
            <w:pPr>
              <w:suppressLineNumbers/>
              <w:suppressAutoHyphens/>
              <w:kinsoku w:val="0"/>
              <w:overflowPunct w:val="0"/>
              <w:autoSpaceDE w:val="0"/>
              <w:autoSpaceDN w:val="0"/>
              <w:adjustRightInd w:val="0"/>
              <w:snapToGrid w:val="0"/>
              <w:rPr>
                <w:snapToGrid w:val="0"/>
                <w:kern w:val="22"/>
              </w:rPr>
            </w:pPr>
            <w:r w:rsidRPr="004A1442">
              <w:rPr>
                <w:noProof/>
                <w:snapToGrid w:val="0"/>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36D115AF" w:rsidR="00FA663B" w:rsidRPr="004A1442" w:rsidRDefault="00B41B5F" w:rsidP="00B00053">
            <w:pPr>
              <w:suppressLineNumbers/>
              <w:suppressAutoHyphens/>
              <w:kinsoku w:val="0"/>
              <w:overflowPunct w:val="0"/>
              <w:autoSpaceDE w:val="0"/>
              <w:autoSpaceDN w:val="0"/>
              <w:adjustRightInd w:val="0"/>
              <w:snapToGrid w:val="0"/>
              <w:rPr>
                <w:snapToGrid w:val="0"/>
                <w:kern w:val="22"/>
              </w:rPr>
            </w:pPr>
            <w:r w:rsidRPr="004A1442">
              <w:rPr>
                <w:noProof/>
              </w:rPr>
              <w:drawing>
                <wp:anchor distT="0" distB="0" distL="114300" distR="114300" simplePos="0" relativeHeight="251658240" behindDoc="0" locked="0" layoutInCell="1" allowOverlap="1" wp14:anchorId="2B45E0C4" wp14:editId="4B7A3E57">
                  <wp:simplePos x="0" y="0"/>
                  <wp:positionH relativeFrom="column">
                    <wp:posOffset>-635</wp:posOffset>
                  </wp:positionH>
                  <wp:positionV relativeFrom="paragraph">
                    <wp:posOffset>37783</wp:posOffset>
                  </wp:positionV>
                  <wp:extent cx="612648" cy="3474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648" cy="347472"/>
                          </a:xfrm>
                          <a:prstGeom prst="rect">
                            <a:avLst/>
                          </a:prstGeom>
                          <a:noFill/>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00A589D" w14:textId="6824960D" w:rsidR="00247810" w:rsidRPr="004A1442" w:rsidRDefault="00C9161D" w:rsidP="00302CD2">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4A1442">
              <w:rPr>
                <w:rFonts w:ascii="Arial" w:hAnsi="Arial"/>
                <w:b/>
                <w:snapToGrid w:val="0"/>
                <w:sz w:val="32"/>
                <w:szCs w:val="32"/>
              </w:rPr>
              <w:t>CBD</w:t>
            </w:r>
          </w:p>
        </w:tc>
      </w:tr>
      <w:tr w:rsidR="00C9161D" w:rsidRPr="004A1442" w14:paraId="6F751905" w14:textId="77777777" w:rsidTr="00CF1848">
        <w:tc>
          <w:tcPr>
            <w:tcW w:w="6117" w:type="dxa"/>
            <w:gridSpan w:val="2"/>
            <w:tcBorders>
              <w:top w:val="single" w:sz="12" w:space="0" w:color="auto"/>
              <w:bottom w:val="single" w:sz="36" w:space="0" w:color="auto"/>
            </w:tcBorders>
            <w:vAlign w:val="center"/>
          </w:tcPr>
          <w:p w14:paraId="14F52A6C" w14:textId="66CFAA6C" w:rsidR="00C9161D" w:rsidRPr="004A1442" w:rsidRDefault="00B41B5F" w:rsidP="00B00053">
            <w:pPr>
              <w:suppressLineNumbers/>
              <w:suppressAutoHyphens/>
              <w:kinsoku w:val="0"/>
              <w:overflowPunct w:val="0"/>
              <w:autoSpaceDE w:val="0"/>
              <w:autoSpaceDN w:val="0"/>
              <w:adjustRightInd w:val="0"/>
              <w:snapToGrid w:val="0"/>
              <w:rPr>
                <w:snapToGrid w:val="0"/>
                <w:kern w:val="22"/>
              </w:rPr>
            </w:pPr>
            <w:r w:rsidRPr="004A1442">
              <w:rPr>
                <w:noProof/>
                <w:kern w:val="22"/>
              </w:rPr>
              <w:drawing>
                <wp:inline distT="0" distB="0" distL="0" distR="0" wp14:anchorId="47C9D5B7" wp14:editId="25189736">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C2262E" w:rsidRDefault="00C9161D" w:rsidP="00B00053">
            <w:pPr>
              <w:suppressLineNumbers/>
              <w:suppressAutoHyphens/>
              <w:kinsoku w:val="0"/>
              <w:overflowPunct w:val="0"/>
              <w:autoSpaceDE w:val="0"/>
              <w:autoSpaceDN w:val="0"/>
              <w:adjustRightInd w:val="0"/>
              <w:snapToGrid w:val="0"/>
              <w:ind w:left="1215"/>
              <w:rPr>
                <w:snapToGrid w:val="0"/>
                <w:kern w:val="22"/>
                <w:szCs w:val="22"/>
                <w:lang w:val="en-US"/>
              </w:rPr>
            </w:pPr>
            <w:r w:rsidRPr="00C2262E">
              <w:rPr>
                <w:snapToGrid w:val="0"/>
                <w:szCs w:val="22"/>
                <w:lang w:val="en-US"/>
              </w:rPr>
              <w:t>Distr.</w:t>
            </w:r>
          </w:p>
          <w:p w14:paraId="0C21C438" w14:textId="54985652" w:rsidR="00C9161D" w:rsidRPr="00C2262E" w:rsidRDefault="00733FC4" w:rsidP="00B00053">
            <w:pPr>
              <w:suppressLineNumbers/>
              <w:suppressAutoHyphens/>
              <w:kinsoku w:val="0"/>
              <w:overflowPunct w:val="0"/>
              <w:autoSpaceDE w:val="0"/>
              <w:autoSpaceDN w:val="0"/>
              <w:adjustRightInd w:val="0"/>
              <w:snapToGrid w:val="0"/>
              <w:ind w:left="1215"/>
              <w:rPr>
                <w:snapToGrid w:val="0"/>
                <w:kern w:val="22"/>
                <w:szCs w:val="22"/>
                <w:lang w:val="en-US"/>
              </w:rPr>
            </w:pPr>
            <w:r w:rsidRPr="00C2262E">
              <w:rPr>
                <w:caps/>
                <w:snapToGrid w:val="0"/>
                <w:szCs w:val="22"/>
                <w:lang w:val="en-US"/>
              </w:rPr>
              <w:t>GENERAL</w:t>
            </w:r>
          </w:p>
          <w:p w14:paraId="06715052" w14:textId="77777777" w:rsidR="00C9161D" w:rsidRPr="00C2262E" w:rsidRDefault="00C9161D" w:rsidP="00B00053">
            <w:pPr>
              <w:suppressLineNumbers/>
              <w:suppressAutoHyphens/>
              <w:kinsoku w:val="0"/>
              <w:overflowPunct w:val="0"/>
              <w:autoSpaceDE w:val="0"/>
              <w:autoSpaceDN w:val="0"/>
              <w:adjustRightInd w:val="0"/>
              <w:snapToGrid w:val="0"/>
              <w:ind w:left="1215"/>
              <w:rPr>
                <w:snapToGrid w:val="0"/>
                <w:kern w:val="22"/>
                <w:szCs w:val="22"/>
                <w:lang w:val="en-US"/>
              </w:rPr>
            </w:pPr>
          </w:p>
          <w:p w14:paraId="44230134" w14:textId="194A7E62" w:rsidR="00C9161D" w:rsidRPr="00C2262E" w:rsidRDefault="000F0C8D" w:rsidP="00B00053">
            <w:pPr>
              <w:suppressLineNumbers/>
              <w:suppressAutoHyphens/>
              <w:kinsoku w:val="0"/>
              <w:overflowPunct w:val="0"/>
              <w:autoSpaceDE w:val="0"/>
              <w:autoSpaceDN w:val="0"/>
              <w:adjustRightInd w:val="0"/>
              <w:snapToGrid w:val="0"/>
              <w:ind w:left="1215"/>
              <w:rPr>
                <w:snapToGrid w:val="0"/>
                <w:kern w:val="22"/>
                <w:szCs w:val="22"/>
                <w:lang w:val="en-US"/>
              </w:rPr>
            </w:pPr>
            <w:r w:rsidRPr="00C2262E">
              <w:rPr>
                <w:snapToGrid w:val="0"/>
                <w:lang w:val="en-US"/>
              </w:rPr>
              <w:t>CBD/COP/15/1/Add.5</w:t>
            </w:r>
          </w:p>
          <w:p w14:paraId="0DF1F033" w14:textId="700BEFAF" w:rsidR="00C9161D" w:rsidRPr="004A1442" w:rsidRDefault="003F411A" w:rsidP="00B00053">
            <w:pPr>
              <w:suppressLineNumbers/>
              <w:suppressAutoHyphens/>
              <w:kinsoku w:val="0"/>
              <w:overflowPunct w:val="0"/>
              <w:autoSpaceDE w:val="0"/>
              <w:autoSpaceDN w:val="0"/>
              <w:adjustRightInd w:val="0"/>
              <w:snapToGrid w:val="0"/>
              <w:ind w:left="1215"/>
              <w:rPr>
                <w:snapToGrid w:val="0"/>
                <w:kern w:val="22"/>
                <w:szCs w:val="22"/>
              </w:rPr>
            </w:pPr>
            <w:r w:rsidRPr="004A1442">
              <w:rPr>
                <w:snapToGrid w:val="0"/>
                <w:szCs w:val="22"/>
              </w:rPr>
              <w:t>6 de septiembre de 2023</w:t>
            </w:r>
          </w:p>
          <w:p w14:paraId="159892DF" w14:textId="77777777" w:rsidR="00C9161D" w:rsidRPr="004A1442" w:rsidRDefault="00C9161D" w:rsidP="00B00053">
            <w:pPr>
              <w:suppressLineNumbers/>
              <w:suppressAutoHyphens/>
              <w:kinsoku w:val="0"/>
              <w:overflowPunct w:val="0"/>
              <w:autoSpaceDE w:val="0"/>
              <w:autoSpaceDN w:val="0"/>
              <w:adjustRightInd w:val="0"/>
              <w:snapToGrid w:val="0"/>
              <w:ind w:left="1215"/>
              <w:rPr>
                <w:snapToGrid w:val="0"/>
                <w:kern w:val="22"/>
                <w:szCs w:val="22"/>
              </w:rPr>
            </w:pPr>
          </w:p>
          <w:p w14:paraId="19472D49" w14:textId="77777777" w:rsidR="00C9161D" w:rsidRPr="004A1442" w:rsidRDefault="006B2290" w:rsidP="00B00053">
            <w:pPr>
              <w:suppressLineNumbers/>
              <w:suppressAutoHyphens/>
              <w:kinsoku w:val="0"/>
              <w:overflowPunct w:val="0"/>
              <w:autoSpaceDE w:val="0"/>
              <w:autoSpaceDN w:val="0"/>
              <w:adjustRightInd w:val="0"/>
              <w:snapToGrid w:val="0"/>
              <w:ind w:left="1215"/>
              <w:rPr>
                <w:snapToGrid w:val="0"/>
                <w:kern w:val="22"/>
                <w:szCs w:val="22"/>
              </w:rPr>
            </w:pPr>
            <w:r w:rsidRPr="004A1442">
              <w:rPr>
                <w:snapToGrid w:val="0"/>
                <w:szCs w:val="22"/>
              </w:rPr>
              <w:t>ESPAÑOL</w:t>
            </w:r>
            <w:r w:rsidRPr="004A1442">
              <w:rPr>
                <w:snapToGrid w:val="0"/>
                <w:szCs w:val="22"/>
              </w:rPr>
              <w:br/>
              <w:t>ORIGINAL: INGLÉS</w:t>
            </w:r>
          </w:p>
          <w:p w14:paraId="5AA10CCE" w14:textId="77777777" w:rsidR="00C9161D" w:rsidRPr="004A1442" w:rsidRDefault="00C9161D" w:rsidP="00B00053">
            <w:pPr>
              <w:suppressLineNumbers/>
              <w:suppressAutoHyphens/>
              <w:kinsoku w:val="0"/>
              <w:overflowPunct w:val="0"/>
              <w:autoSpaceDE w:val="0"/>
              <w:autoSpaceDN w:val="0"/>
              <w:adjustRightInd w:val="0"/>
              <w:snapToGrid w:val="0"/>
              <w:rPr>
                <w:snapToGrid w:val="0"/>
                <w:kern w:val="22"/>
              </w:rPr>
            </w:pPr>
          </w:p>
        </w:tc>
      </w:tr>
    </w:tbl>
    <w:p w14:paraId="16E481B9" w14:textId="77777777" w:rsidR="003B44F9" w:rsidRPr="004A1442" w:rsidRDefault="003B44F9" w:rsidP="00B00053">
      <w:pPr>
        <w:pStyle w:val="Cornernotation"/>
        <w:suppressLineNumbers/>
        <w:suppressAutoHyphens/>
        <w:kinsoku w:val="0"/>
        <w:overflowPunct w:val="0"/>
        <w:autoSpaceDE w:val="0"/>
        <w:autoSpaceDN w:val="0"/>
        <w:adjustRightInd w:val="0"/>
        <w:snapToGrid w:val="0"/>
        <w:spacing w:before="60"/>
        <w:ind w:left="180" w:right="4642" w:hanging="180"/>
        <w:rPr>
          <w:snapToGrid w:val="0"/>
          <w:kern w:val="22"/>
        </w:rPr>
      </w:pPr>
      <w:r w:rsidRPr="004A1442">
        <w:rPr>
          <w:snapToGrid w:val="0"/>
        </w:rPr>
        <w:t>CONFERENCIA DE LAS PARTES EN EL CONVENIO SOBRE LA DIVERSIDAD BIOLÓGICA</w:t>
      </w:r>
    </w:p>
    <w:p w14:paraId="57515406" w14:textId="31DA39A7" w:rsidR="003B44F9" w:rsidRPr="004A1442" w:rsidRDefault="002D3FE6" w:rsidP="00B00053">
      <w:pPr>
        <w:pStyle w:val="Cornernotation"/>
        <w:suppressLineNumbers/>
        <w:suppressAutoHyphens/>
        <w:kinsoku w:val="0"/>
        <w:overflowPunct w:val="0"/>
        <w:autoSpaceDE w:val="0"/>
        <w:autoSpaceDN w:val="0"/>
        <w:adjustRightInd w:val="0"/>
        <w:snapToGrid w:val="0"/>
        <w:rPr>
          <w:snapToGrid w:val="0"/>
          <w:kern w:val="22"/>
        </w:rPr>
      </w:pPr>
      <w:r w:rsidRPr="004A1442">
        <w:rPr>
          <w:snapToGrid w:val="0"/>
        </w:rPr>
        <w:t>Decimoquinta</w:t>
      </w:r>
      <w:r w:rsidR="003B44F9" w:rsidRPr="004A1442">
        <w:rPr>
          <w:snapToGrid w:val="0"/>
        </w:rPr>
        <w:t xml:space="preserve"> reunión, continuación de la parte II</w:t>
      </w:r>
    </w:p>
    <w:p w14:paraId="66113E66" w14:textId="2A99D9C9" w:rsidR="003B44F9" w:rsidRPr="004A1442" w:rsidRDefault="009B373B" w:rsidP="00056FA9">
      <w:pPr>
        <w:pStyle w:val="Cornernotation"/>
        <w:suppressLineNumbers/>
        <w:suppressAutoHyphens/>
        <w:kinsoku w:val="0"/>
        <w:overflowPunct w:val="0"/>
        <w:autoSpaceDE w:val="0"/>
        <w:autoSpaceDN w:val="0"/>
        <w:adjustRightInd w:val="0"/>
        <w:snapToGrid w:val="0"/>
        <w:ind w:right="4116"/>
        <w:rPr>
          <w:snapToGrid w:val="0"/>
          <w:kern w:val="22"/>
        </w:rPr>
      </w:pPr>
      <w:bookmarkStart w:id="0" w:name="OLE_LINK1"/>
      <w:bookmarkStart w:id="1" w:name="OLE_LINK2"/>
      <w:r w:rsidRPr="004A1442">
        <w:rPr>
          <w:snapToGrid w:val="0"/>
        </w:rPr>
        <w:t xml:space="preserve">Nairobi, </w:t>
      </w:r>
      <w:bookmarkEnd w:id="0"/>
      <w:bookmarkEnd w:id="1"/>
      <w:r w:rsidRPr="004A1442">
        <w:rPr>
          <w:snapToGrid w:val="0"/>
        </w:rPr>
        <w:t xml:space="preserve">19 y 20 de octubre de 2023 </w:t>
      </w:r>
    </w:p>
    <w:p w14:paraId="5ECF7635" w14:textId="188F1A78" w:rsidR="00C9161D" w:rsidRPr="004A1442" w:rsidRDefault="007C4DFD" w:rsidP="00B00053">
      <w:pPr>
        <w:suppressLineNumbers/>
        <w:suppressAutoHyphens/>
        <w:kinsoku w:val="0"/>
        <w:overflowPunct w:val="0"/>
        <w:autoSpaceDE w:val="0"/>
        <w:autoSpaceDN w:val="0"/>
        <w:adjustRightInd w:val="0"/>
        <w:snapToGrid w:val="0"/>
        <w:rPr>
          <w:snapToGrid w:val="0"/>
          <w:kern w:val="22"/>
        </w:rPr>
      </w:pPr>
      <w:r w:rsidRPr="004A1442">
        <w:rPr>
          <w:snapToGrid w:val="0"/>
          <w:szCs w:val="22"/>
        </w:rPr>
        <w:t xml:space="preserve">Tema 2 del programa </w:t>
      </w:r>
    </w:p>
    <w:p w14:paraId="57F6B7A1" w14:textId="5388E5CF" w:rsidR="00C9161D" w:rsidRPr="004A1442" w:rsidRDefault="00B95630" w:rsidP="00B00053">
      <w:pPr>
        <w:suppressLineNumbers/>
        <w:suppressAutoHyphens/>
        <w:kinsoku w:val="0"/>
        <w:overflowPunct w:val="0"/>
        <w:autoSpaceDE w:val="0"/>
        <w:autoSpaceDN w:val="0"/>
        <w:adjustRightInd w:val="0"/>
        <w:snapToGrid w:val="0"/>
        <w:spacing w:before="240" w:after="120"/>
        <w:jc w:val="center"/>
        <w:rPr>
          <w:rFonts w:cs="Times New Roman Bold"/>
          <w:b/>
          <w:caps/>
          <w:snapToGrid w:val="0"/>
          <w:kern w:val="22"/>
        </w:rPr>
      </w:pPr>
      <w:r w:rsidRPr="004A1442">
        <w:rPr>
          <w:rFonts w:ascii="Times New Roman Bold" w:hAnsi="Times New Roman Bold"/>
          <w:b/>
          <w:bCs/>
          <w:caps/>
          <w:snapToGrid w:val="0"/>
        </w:rPr>
        <w:t>Anotaciones al programa</w:t>
      </w:r>
    </w:p>
    <w:p w14:paraId="1A9BE3D9" w14:textId="69493CD8" w:rsidR="00D77560" w:rsidRPr="004A1442" w:rsidRDefault="00C75939" w:rsidP="00942CC3">
      <w:pPr>
        <w:keepNext/>
        <w:suppressLineNumbers/>
        <w:suppressAutoHyphens/>
        <w:kinsoku w:val="0"/>
        <w:overflowPunct w:val="0"/>
        <w:autoSpaceDE w:val="0"/>
        <w:autoSpaceDN w:val="0"/>
        <w:adjustRightInd w:val="0"/>
        <w:snapToGrid w:val="0"/>
        <w:spacing w:before="240" w:after="120"/>
        <w:jc w:val="center"/>
        <w:outlineLvl w:val="0"/>
        <w:rPr>
          <w:rFonts w:ascii="Times New Roman Bold" w:hAnsi="Times New Roman Bold" w:cs="Times New Roman Bold"/>
          <w:b/>
          <w:snapToGrid w:val="0"/>
          <w:kern w:val="22"/>
          <w:szCs w:val="22"/>
        </w:rPr>
      </w:pPr>
      <w:r w:rsidRPr="004A1442">
        <w:rPr>
          <w:rFonts w:ascii="Times New Roman Bold" w:hAnsi="Times New Roman Bold"/>
          <w:b/>
          <w:snapToGrid w:val="0"/>
          <w:szCs w:val="22"/>
        </w:rPr>
        <w:t>Introducción</w:t>
      </w:r>
    </w:p>
    <w:p w14:paraId="6980C410" w14:textId="4CCAEBF6" w:rsidR="00D77560" w:rsidRPr="004A1442" w:rsidRDefault="00D77560"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snapToGrid w:val="0"/>
          <w:szCs w:val="22"/>
        </w:rPr>
        <w:t xml:space="preserve">Por invitación del Gobierno de China, y en consonancia con la </w:t>
      </w:r>
      <w:hyperlink r:id="rId15" w:history="1">
        <w:r w:rsidRPr="004A1442">
          <w:rPr>
            <w:snapToGrid w:val="0"/>
            <w:szCs w:val="22"/>
          </w:rPr>
          <w:t xml:space="preserve">decisión </w:t>
        </w:r>
        <w:r w:rsidRPr="004A1442">
          <w:rPr>
            <w:snapToGrid w:val="0"/>
            <w:color w:val="0000FF"/>
            <w:szCs w:val="22"/>
            <w:u w:val="single"/>
          </w:rPr>
          <w:t>XIII/33</w:t>
        </w:r>
      </w:hyperlink>
      <w:r w:rsidRPr="004A1442">
        <w:rPr>
          <w:snapToGrid w:val="0"/>
          <w:szCs w:val="22"/>
        </w:rPr>
        <w:t xml:space="preserve"> de la Conferencia de las Partes en el Convenio, la 15ª reunión de la Conferencia de las Partes estaba prevista para celebrarse en Kunming (China) en octubre de 2020. La décima reunión de la Conferencia de las Partes que actúa como reunión de las Partes en el Protocolo de Cartagena sobre Seguridad de la Biotecnología y la cuarta reunión de la Conferencia de las Partes que actúa como reunión de las Partes en el Protocolo de Nagoya sobre Acceso a los Recursos Genéticos y Participación Justa y Equitativa en los Beneficios que se Deriven de su Utilización se celebrarían en forma concurrente con la 15ª reunión de la Conferencia de las Partes. Sin embargo, debido a la pandemia de enfermedad por coronavirus (COVID-19), las reuniones debieron posponerse. </w:t>
      </w:r>
    </w:p>
    <w:p w14:paraId="7D3808A1" w14:textId="7F473FE5" w:rsidR="009B2B67" w:rsidRPr="004A1442" w:rsidRDefault="00B52173"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snapToGrid w:val="0"/>
          <w:szCs w:val="22"/>
        </w:rPr>
        <w:t xml:space="preserve">Tras el acuerdo de celebrar las reuniones en dos partes, y teniendo en cuenta el imperativo de celebrar la 15ª reunión de la Conferencia de las Partes antes de finales de 2022, la primera parte de las tres reuniones se celebró en un formato híbrido, tanto en línea como en persona, en Kunming, del 11 al 15 de octubre de 2021. La segunda parte se celebró en persona en Montreal (Canadá), del 7 al 19 de diciembre de 2022; sin embargo, debido a </w:t>
      </w:r>
      <w:r w:rsidR="00F02C1D" w:rsidRPr="004A1442">
        <w:rPr>
          <w:snapToGrid w:val="0"/>
          <w:szCs w:val="22"/>
        </w:rPr>
        <w:t>dificultades</w:t>
      </w:r>
      <w:r w:rsidRPr="004A1442">
        <w:rPr>
          <w:snapToGrid w:val="0"/>
          <w:szCs w:val="22"/>
        </w:rPr>
        <w:t xml:space="preserve"> </w:t>
      </w:r>
      <w:r w:rsidR="00F02C1D" w:rsidRPr="004A1442">
        <w:rPr>
          <w:snapToGrid w:val="0"/>
          <w:szCs w:val="22"/>
        </w:rPr>
        <w:t>relativas a los</w:t>
      </w:r>
      <w:r w:rsidRPr="004A1442">
        <w:rPr>
          <w:snapToGrid w:val="0"/>
          <w:szCs w:val="22"/>
        </w:rPr>
        <w:t xml:space="preserve"> procedimiento</w:t>
      </w:r>
      <w:r w:rsidR="00F02C1D" w:rsidRPr="004A1442">
        <w:rPr>
          <w:snapToGrid w:val="0"/>
          <w:szCs w:val="22"/>
        </w:rPr>
        <w:t>s</w:t>
      </w:r>
      <w:r w:rsidRPr="004A1442">
        <w:rPr>
          <w:snapToGrid w:val="0"/>
          <w:szCs w:val="22"/>
        </w:rPr>
        <w:t xml:space="preserve">, la segunda parte se suspendió antes de que pudiera completarse el examen de algunos temas del programa. </w:t>
      </w:r>
    </w:p>
    <w:p w14:paraId="0BEE778D" w14:textId="4D1020F3" w:rsidR="00D77560" w:rsidRPr="004A1442" w:rsidRDefault="00555C32"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snapToGrid w:val="0"/>
          <w:szCs w:val="22"/>
        </w:rPr>
        <w:t xml:space="preserve">Con arreglo a la decisión </w:t>
      </w:r>
      <w:r w:rsidR="00B93D7A" w:rsidRPr="004A1442">
        <w:rPr>
          <w:snapToGrid w:val="0"/>
          <w:szCs w:val="22"/>
        </w:rPr>
        <w:t>aprobada</w:t>
      </w:r>
      <w:r w:rsidRPr="004A1442">
        <w:rPr>
          <w:snapToGrid w:val="0"/>
          <w:szCs w:val="22"/>
        </w:rPr>
        <w:t xml:space="preserve"> por la Mesa de la Conferencia de las Partes en su reunión celebrada el 31 de julio de 2023, la continuación de la segunda parte de la 15ª reunión de la Conferencia de las Partes tendrá lugar los días 19 y 20 de octubre de 2023, en Nairobi, en forma consecutiva a la 25ª reunión del Órgano Subsidiario de Asesoramiento Científico, Técnico y Tecnológico.</w:t>
      </w:r>
    </w:p>
    <w:p w14:paraId="566D189D" w14:textId="1F057289" w:rsidR="00D77560" w:rsidRPr="004A1442" w:rsidRDefault="00D77560"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snapToGrid w:val="0"/>
          <w:szCs w:val="22"/>
        </w:rPr>
        <w:t>El programa de la 15ª reunión de la Conferencia de las Partes</w:t>
      </w:r>
      <w:r w:rsidR="003B5339" w:rsidRPr="004A1442">
        <w:rPr>
          <w:rStyle w:val="FootnoteReference"/>
          <w:snapToGrid w:val="0"/>
          <w:kern w:val="22"/>
          <w:szCs w:val="22"/>
        </w:rPr>
        <w:footnoteReference w:id="2"/>
      </w:r>
      <w:r w:rsidRPr="004A1442">
        <w:rPr>
          <w:snapToGrid w:val="0"/>
          <w:szCs w:val="22"/>
        </w:rPr>
        <w:t xml:space="preserve"> fue </w:t>
      </w:r>
      <w:r w:rsidR="00653360" w:rsidRPr="004A1442">
        <w:rPr>
          <w:snapToGrid w:val="0"/>
          <w:szCs w:val="22"/>
        </w:rPr>
        <w:t>aprobado</w:t>
      </w:r>
      <w:r w:rsidRPr="004A1442">
        <w:rPr>
          <w:snapToGrid w:val="0"/>
          <w:szCs w:val="22"/>
        </w:rPr>
        <w:t xml:space="preserve"> durante la primera parte de la reunión. El presente documento contiene anotaciones a los temas del programa que se tratarán en la continuación de la segunda parte, es decir, aquellos que no se examinaron o completaron en la primera o segunda parte. </w:t>
      </w:r>
    </w:p>
    <w:p w14:paraId="018415F1" w14:textId="77777777" w:rsidR="00D77560" w:rsidRPr="004A1442" w:rsidRDefault="00D77560" w:rsidP="00942CC3">
      <w:pPr>
        <w:keepNext/>
        <w:suppressLineNumbers/>
        <w:suppressAutoHyphens/>
        <w:kinsoku w:val="0"/>
        <w:overflowPunct w:val="0"/>
        <w:autoSpaceDE w:val="0"/>
        <w:autoSpaceDN w:val="0"/>
        <w:adjustRightInd w:val="0"/>
        <w:snapToGrid w:val="0"/>
        <w:spacing w:before="240" w:after="120"/>
        <w:jc w:val="center"/>
        <w:outlineLvl w:val="0"/>
        <w:rPr>
          <w:b/>
          <w:bCs/>
          <w:snapToGrid w:val="0"/>
          <w:kern w:val="22"/>
          <w:szCs w:val="22"/>
        </w:rPr>
      </w:pPr>
      <w:r w:rsidRPr="004A1442">
        <w:rPr>
          <w:b/>
          <w:bCs/>
          <w:snapToGrid w:val="0"/>
          <w:szCs w:val="22"/>
        </w:rPr>
        <w:lastRenderedPageBreak/>
        <w:t>I.</w:t>
      </w:r>
      <w:r w:rsidRPr="004A1442">
        <w:rPr>
          <w:b/>
          <w:bCs/>
          <w:snapToGrid w:val="0"/>
          <w:szCs w:val="22"/>
        </w:rPr>
        <w:tab/>
        <w:t>CUESTIONES DE ORGANIZACIÓN</w:t>
      </w:r>
    </w:p>
    <w:p w14:paraId="434A7DF1" w14:textId="2EA1F970" w:rsidR="00D77560" w:rsidRPr="004A1442" w:rsidRDefault="00D77560" w:rsidP="00942CC3">
      <w:pPr>
        <w:keepNext/>
        <w:suppressLineNumbers/>
        <w:tabs>
          <w:tab w:val="left" w:pos="810"/>
        </w:tabs>
        <w:suppressAutoHyphens/>
        <w:kinsoku w:val="0"/>
        <w:overflowPunct w:val="0"/>
        <w:autoSpaceDE w:val="0"/>
        <w:autoSpaceDN w:val="0"/>
        <w:adjustRightInd w:val="0"/>
        <w:snapToGrid w:val="0"/>
        <w:spacing w:before="240" w:after="120"/>
        <w:jc w:val="center"/>
        <w:outlineLvl w:val="1"/>
        <w:rPr>
          <w:b/>
          <w:bCs/>
          <w:iCs/>
          <w:snapToGrid w:val="0"/>
          <w:kern w:val="22"/>
          <w:szCs w:val="22"/>
        </w:rPr>
      </w:pPr>
      <w:bookmarkStart w:id="2" w:name="Item01"/>
      <w:r w:rsidRPr="004A1442">
        <w:rPr>
          <w:b/>
          <w:bCs/>
          <w:iCs/>
          <w:snapToGrid w:val="0"/>
          <w:szCs w:val="22"/>
        </w:rPr>
        <w:t>Tema 1.</w:t>
      </w:r>
      <w:r w:rsidRPr="004A1442">
        <w:rPr>
          <w:bCs/>
          <w:iCs/>
          <w:snapToGrid w:val="0"/>
          <w:szCs w:val="22"/>
        </w:rPr>
        <w:tab/>
      </w:r>
      <w:r w:rsidRPr="004A1442">
        <w:rPr>
          <w:b/>
          <w:bCs/>
          <w:iCs/>
          <w:snapToGrid w:val="0"/>
          <w:szCs w:val="22"/>
        </w:rPr>
        <w:t>Apertura de la reunión</w:t>
      </w:r>
      <w:bookmarkEnd w:id="2"/>
    </w:p>
    <w:p w14:paraId="1BCE53A8" w14:textId="7D1307C8" w:rsidR="00D77560" w:rsidRPr="004A1442" w:rsidRDefault="00D77560"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snapToGrid w:val="0"/>
          <w:szCs w:val="22"/>
        </w:rPr>
        <w:t xml:space="preserve">La continuación de la segunda parte de la reunión comenzará a las 15.00 horas del 19 de octubre de 2023. </w:t>
      </w:r>
    </w:p>
    <w:p w14:paraId="556C0F73" w14:textId="5E1E8116" w:rsidR="00D77560" w:rsidRPr="004A1442" w:rsidRDefault="003B7A2C"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snapToGrid w:val="0"/>
          <w:szCs w:val="22"/>
        </w:rPr>
        <w:t xml:space="preserve">El Presidente de la 15ª reunión de la Conferencia de las Partes, o su representante, inaugurará la reunión. </w:t>
      </w:r>
    </w:p>
    <w:p w14:paraId="2D998A31" w14:textId="64CE9749" w:rsidR="00D77560" w:rsidRPr="004A1442" w:rsidRDefault="00D77560"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snapToGrid w:val="0"/>
          <w:szCs w:val="22"/>
        </w:rPr>
        <w:t xml:space="preserve">El Secretario Ejecutivo </w:t>
      </w:r>
      <w:r w:rsidR="002334EA" w:rsidRPr="004A1442">
        <w:rPr>
          <w:snapToGrid w:val="0"/>
          <w:szCs w:val="22"/>
        </w:rPr>
        <w:t>I</w:t>
      </w:r>
      <w:r w:rsidRPr="004A1442">
        <w:rPr>
          <w:snapToGrid w:val="0"/>
          <w:szCs w:val="22"/>
        </w:rPr>
        <w:t>nterino se dirigirá a los participantes y describirá el objetivo de la reunión.</w:t>
      </w:r>
    </w:p>
    <w:p w14:paraId="0CE626A3" w14:textId="7A73A942" w:rsidR="00D77560" w:rsidRPr="004A1442" w:rsidRDefault="00D77560"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snapToGrid w:val="0"/>
          <w:szCs w:val="22"/>
        </w:rPr>
        <w:t>La apertura de la continuación de la segunda parte de la décima reunión de la Conferencia de las Partes que actúa como reunión de las Partes en el Protocolo de Cartagena y la continuación de la segunda parte de la cuarta reunión de la Conferencia de las Partes que actúa como reunión de las Partes en el Protocolo de Nagoya se celebrarán conjuntamente con la apertura de la continuación de la segunda parte de la 15ª reunión de la Conferencia de las Partes.</w:t>
      </w:r>
    </w:p>
    <w:p w14:paraId="7464EB17" w14:textId="77777777" w:rsidR="00D77560" w:rsidRPr="004A1442" w:rsidRDefault="00D77560" w:rsidP="00942CC3">
      <w:pPr>
        <w:keepNext/>
        <w:suppressLineNumbers/>
        <w:tabs>
          <w:tab w:val="left" w:pos="810"/>
        </w:tabs>
        <w:suppressAutoHyphens/>
        <w:kinsoku w:val="0"/>
        <w:overflowPunct w:val="0"/>
        <w:autoSpaceDE w:val="0"/>
        <w:autoSpaceDN w:val="0"/>
        <w:adjustRightInd w:val="0"/>
        <w:snapToGrid w:val="0"/>
        <w:spacing w:before="240" w:after="120"/>
        <w:jc w:val="center"/>
        <w:outlineLvl w:val="1"/>
        <w:rPr>
          <w:b/>
          <w:bCs/>
          <w:snapToGrid w:val="0"/>
          <w:kern w:val="22"/>
          <w:szCs w:val="22"/>
        </w:rPr>
      </w:pPr>
      <w:r w:rsidRPr="004A1442">
        <w:rPr>
          <w:b/>
          <w:bCs/>
          <w:snapToGrid w:val="0"/>
          <w:szCs w:val="22"/>
        </w:rPr>
        <w:t>Tema 2.</w:t>
      </w:r>
      <w:r w:rsidRPr="004A1442">
        <w:rPr>
          <w:b/>
          <w:bCs/>
          <w:snapToGrid w:val="0"/>
          <w:szCs w:val="22"/>
        </w:rPr>
        <w:tab/>
        <w:t>Cuestiones de organización</w:t>
      </w:r>
    </w:p>
    <w:p w14:paraId="725B0652" w14:textId="784736A3" w:rsidR="0088174B" w:rsidRPr="004A1442" w:rsidRDefault="003744D1" w:rsidP="00B00053">
      <w:pPr>
        <w:keepNext/>
        <w:suppressLineNumbers/>
        <w:tabs>
          <w:tab w:val="left" w:pos="567"/>
        </w:tabs>
        <w:suppressAutoHyphens/>
        <w:kinsoku w:val="0"/>
        <w:overflowPunct w:val="0"/>
        <w:autoSpaceDE w:val="0"/>
        <w:autoSpaceDN w:val="0"/>
        <w:adjustRightInd w:val="0"/>
        <w:snapToGrid w:val="0"/>
        <w:spacing w:before="120" w:after="120"/>
        <w:outlineLvl w:val="2"/>
        <w:rPr>
          <w:i/>
          <w:iCs/>
          <w:snapToGrid w:val="0"/>
          <w:kern w:val="22"/>
          <w:szCs w:val="22"/>
        </w:rPr>
      </w:pPr>
      <w:r w:rsidRPr="004A1442">
        <w:rPr>
          <w:i/>
          <w:iCs/>
          <w:snapToGrid w:val="0"/>
          <w:szCs w:val="22"/>
        </w:rPr>
        <w:t xml:space="preserve">Mesa </w:t>
      </w:r>
    </w:p>
    <w:p w14:paraId="27C8D646" w14:textId="077C532F" w:rsidR="00D77560" w:rsidRPr="004A1442" w:rsidRDefault="003744D1" w:rsidP="00584A6C">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t xml:space="preserve">El Presidente de la 15ª reunión de la Conferencia de las Partes, Ministro de Ecología y Medio Ambiente de China, Runqiu Huang, seguirá desempeñando sus funciones durante la continuación de la segunda parte y hasta que se elija un nuevo presidente en la apertura de la 16ª reunión. De conformidad con el artículo 21 de su reglamento, la Conferencia de las Partes, en su 14ª reunión, eligió a 10 vicepresidentes de entre los representantes de las Partes presentes en la reunión con un mandato que comenzaría tras el cierre de la 14ª reunión y finalizaría al cierre de la 15ª reunión. Tres integrantes de la Mesa fueron sustituidos posteriormente, mientras que un puesto está vacante a la espera de que se nombre un sustituto. </w:t>
      </w:r>
      <w:r w:rsidRPr="004A1442">
        <w:rPr>
          <w:rFonts w:asciiTheme="majorBidi" w:hAnsiTheme="majorBidi"/>
          <w:snapToGrid w:val="0"/>
          <w:szCs w:val="18"/>
        </w:rPr>
        <w:t>Por consiguiente, la Mesa está compuesta por los siguientes miembros, además de su Presidente:</w:t>
      </w:r>
    </w:p>
    <w:p w14:paraId="3983E4D7" w14:textId="456EB193" w:rsidR="00421997" w:rsidRPr="00C2262E" w:rsidRDefault="008C7F8A" w:rsidP="00421997">
      <w:pPr>
        <w:suppressLineNumbers/>
        <w:tabs>
          <w:tab w:val="left" w:pos="360"/>
          <w:tab w:val="left" w:pos="720"/>
        </w:tabs>
        <w:suppressAutoHyphens/>
        <w:kinsoku w:val="0"/>
        <w:overflowPunct w:val="0"/>
        <w:autoSpaceDE w:val="0"/>
        <w:autoSpaceDN w:val="0"/>
        <w:adjustRightInd w:val="0"/>
        <w:snapToGrid w:val="0"/>
        <w:spacing w:before="120" w:after="120"/>
        <w:rPr>
          <w:snapToGrid w:val="0"/>
          <w:kern w:val="22"/>
          <w:szCs w:val="22"/>
          <w:lang w:val="en-US"/>
        </w:rPr>
      </w:pPr>
      <w:r w:rsidRPr="00C2262E">
        <w:rPr>
          <w:snapToGrid w:val="0"/>
          <w:szCs w:val="22"/>
          <w:lang w:val="en-US"/>
        </w:rPr>
        <w:t>–</w:t>
      </w:r>
      <w:r w:rsidRPr="00C2262E">
        <w:rPr>
          <w:snapToGrid w:val="0"/>
          <w:szCs w:val="22"/>
          <w:lang w:val="en-US"/>
        </w:rPr>
        <w:tab/>
        <w:t>Eric Okoree (Ghana)</w:t>
      </w:r>
    </w:p>
    <w:p w14:paraId="64AE3278" w14:textId="66589D4F" w:rsidR="008C7F8A" w:rsidRPr="00C2262E" w:rsidRDefault="008C7F8A" w:rsidP="00421997">
      <w:pPr>
        <w:suppressLineNumbers/>
        <w:tabs>
          <w:tab w:val="left" w:pos="360"/>
          <w:tab w:val="left" w:pos="720"/>
        </w:tabs>
        <w:suppressAutoHyphens/>
        <w:kinsoku w:val="0"/>
        <w:overflowPunct w:val="0"/>
        <w:autoSpaceDE w:val="0"/>
        <w:autoSpaceDN w:val="0"/>
        <w:adjustRightInd w:val="0"/>
        <w:snapToGrid w:val="0"/>
        <w:spacing w:before="120" w:after="120"/>
        <w:rPr>
          <w:snapToGrid w:val="0"/>
          <w:kern w:val="22"/>
          <w:szCs w:val="22"/>
          <w:lang w:val="en-US"/>
        </w:rPr>
      </w:pPr>
      <w:r w:rsidRPr="00C2262E">
        <w:rPr>
          <w:snapToGrid w:val="0"/>
          <w:szCs w:val="22"/>
          <w:lang w:val="en-US"/>
        </w:rPr>
        <w:t>–</w:t>
      </w:r>
      <w:r w:rsidRPr="00C2262E">
        <w:rPr>
          <w:snapToGrid w:val="0"/>
          <w:szCs w:val="22"/>
          <w:lang w:val="en-US"/>
        </w:rPr>
        <w:tab/>
        <w:t>Melesse Maryo (Etiopía)</w:t>
      </w:r>
    </w:p>
    <w:p w14:paraId="33BE8178" w14:textId="2B26D9A0" w:rsidR="008C7F8A" w:rsidRPr="004A1442" w:rsidRDefault="008C7F8A" w:rsidP="00421997">
      <w:pPr>
        <w:suppressLineNumbers/>
        <w:tabs>
          <w:tab w:val="left" w:pos="360"/>
          <w:tab w:val="left" w:pos="720"/>
        </w:tabs>
        <w:suppressAutoHyphens/>
        <w:kinsoku w:val="0"/>
        <w:overflowPunct w:val="0"/>
        <w:autoSpaceDE w:val="0"/>
        <w:autoSpaceDN w:val="0"/>
        <w:adjustRightInd w:val="0"/>
        <w:snapToGrid w:val="0"/>
        <w:spacing w:before="120" w:after="120"/>
        <w:rPr>
          <w:rFonts w:asciiTheme="majorBidi" w:hAnsiTheme="majorBidi" w:cstheme="majorBidi"/>
          <w:szCs w:val="22"/>
        </w:rPr>
      </w:pPr>
      <w:r w:rsidRPr="004A1442">
        <w:rPr>
          <w:snapToGrid w:val="0"/>
          <w:szCs w:val="22"/>
        </w:rPr>
        <w:t>–</w:t>
      </w:r>
      <w:r w:rsidRPr="004A1442">
        <w:rPr>
          <w:snapToGrid w:val="0"/>
          <w:szCs w:val="22"/>
        </w:rPr>
        <w:tab/>
      </w:r>
      <w:r w:rsidRPr="004A1442">
        <w:rPr>
          <w:rStyle w:val="ui-provider"/>
        </w:rPr>
        <w:t>Raghu Kumar Kodali</w:t>
      </w:r>
      <w:r w:rsidRPr="004A1442">
        <w:rPr>
          <w:rFonts w:asciiTheme="majorBidi" w:hAnsiTheme="majorBidi"/>
          <w:szCs w:val="22"/>
        </w:rPr>
        <w:t xml:space="preserve"> (India)</w:t>
      </w:r>
      <w:r w:rsidRPr="004A1442">
        <w:rPr>
          <w:rStyle w:val="FootnoteReference"/>
          <w:rFonts w:asciiTheme="majorBidi" w:hAnsiTheme="majorBidi" w:cstheme="majorBidi"/>
          <w:szCs w:val="22"/>
        </w:rPr>
        <w:footnoteReference w:id="3"/>
      </w:r>
    </w:p>
    <w:p w14:paraId="42EA80E5" w14:textId="52FF7165" w:rsidR="008C7F8A" w:rsidRPr="004A1442" w:rsidRDefault="008C7F8A" w:rsidP="00421997">
      <w:pPr>
        <w:suppressLineNumbers/>
        <w:tabs>
          <w:tab w:val="left"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snapToGrid w:val="0"/>
          <w:szCs w:val="22"/>
        </w:rPr>
        <w:t>–</w:t>
      </w:r>
      <w:r w:rsidRPr="004A1442">
        <w:rPr>
          <w:snapToGrid w:val="0"/>
          <w:szCs w:val="22"/>
        </w:rPr>
        <w:tab/>
        <w:t>Leina El-Awadhi (Kuwait)</w:t>
      </w:r>
    </w:p>
    <w:p w14:paraId="496DE894" w14:textId="63E5BDAF" w:rsidR="008C7F8A" w:rsidRPr="004A1442" w:rsidRDefault="008C7F8A" w:rsidP="00421997">
      <w:pPr>
        <w:suppressLineNumbers/>
        <w:tabs>
          <w:tab w:val="left"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snapToGrid w:val="0"/>
          <w:szCs w:val="22"/>
        </w:rPr>
        <w:t>–</w:t>
      </w:r>
      <w:r w:rsidRPr="004A1442">
        <w:rPr>
          <w:snapToGrid w:val="0"/>
          <w:szCs w:val="22"/>
        </w:rPr>
        <w:tab/>
        <w:t>Teona Karchava (Georgia)</w:t>
      </w:r>
    </w:p>
    <w:p w14:paraId="72F3ED22" w14:textId="342B8841" w:rsidR="008C7F8A" w:rsidRPr="004A1442" w:rsidRDefault="008C7F8A" w:rsidP="00421997">
      <w:pPr>
        <w:suppressLineNumbers/>
        <w:tabs>
          <w:tab w:val="left"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snapToGrid w:val="0"/>
          <w:szCs w:val="22"/>
        </w:rPr>
        <w:t>–</w:t>
      </w:r>
      <w:r w:rsidRPr="004A1442">
        <w:rPr>
          <w:snapToGrid w:val="0"/>
          <w:szCs w:val="22"/>
        </w:rPr>
        <w:tab/>
        <w:t>Klodiana Marika (Albania)</w:t>
      </w:r>
      <w:r w:rsidRPr="004A1442">
        <w:rPr>
          <w:rStyle w:val="FootnoteReference"/>
          <w:snapToGrid w:val="0"/>
          <w:kern w:val="22"/>
          <w:szCs w:val="22"/>
        </w:rPr>
        <w:footnoteReference w:id="4"/>
      </w:r>
    </w:p>
    <w:p w14:paraId="7C70823E" w14:textId="2A9BC533" w:rsidR="008C7F8A" w:rsidRPr="004A1442" w:rsidRDefault="008C7F8A" w:rsidP="00421997">
      <w:pPr>
        <w:suppressLineNumbers/>
        <w:tabs>
          <w:tab w:val="left" w:pos="360"/>
          <w:tab w:val="left" w:pos="720"/>
        </w:tabs>
        <w:suppressAutoHyphens/>
        <w:kinsoku w:val="0"/>
        <w:overflowPunct w:val="0"/>
        <w:autoSpaceDE w:val="0"/>
        <w:autoSpaceDN w:val="0"/>
        <w:adjustRightInd w:val="0"/>
        <w:snapToGrid w:val="0"/>
        <w:spacing w:before="120" w:after="120"/>
        <w:rPr>
          <w:rFonts w:asciiTheme="majorBidi" w:hAnsiTheme="majorBidi" w:cstheme="majorBidi"/>
          <w:szCs w:val="22"/>
        </w:rPr>
      </w:pPr>
      <w:r w:rsidRPr="004A1442">
        <w:rPr>
          <w:snapToGrid w:val="0"/>
          <w:szCs w:val="22"/>
        </w:rPr>
        <w:t>–</w:t>
      </w:r>
      <w:r w:rsidRPr="004A1442">
        <w:rPr>
          <w:snapToGrid w:val="0"/>
          <w:szCs w:val="22"/>
        </w:rPr>
        <w:tab/>
      </w:r>
      <w:r w:rsidRPr="004A1442">
        <w:rPr>
          <w:rFonts w:asciiTheme="majorBidi" w:hAnsiTheme="majorBidi"/>
          <w:szCs w:val="22"/>
        </w:rPr>
        <w:t>Eugenia Arguedas Montezuma (Costa Rica)</w:t>
      </w:r>
      <w:r w:rsidRPr="004A1442">
        <w:rPr>
          <w:rStyle w:val="FootnoteReference"/>
          <w:rFonts w:asciiTheme="majorBidi" w:hAnsiTheme="majorBidi" w:cstheme="majorBidi"/>
          <w:szCs w:val="22"/>
        </w:rPr>
        <w:footnoteReference w:id="5"/>
      </w:r>
    </w:p>
    <w:p w14:paraId="640585DE" w14:textId="18EFB3E6" w:rsidR="008C7F8A" w:rsidRPr="004A1442" w:rsidRDefault="008C7F8A" w:rsidP="00421997">
      <w:pPr>
        <w:suppressLineNumbers/>
        <w:tabs>
          <w:tab w:val="left"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snapToGrid w:val="0"/>
          <w:szCs w:val="22"/>
        </w:rPr>
        <w:t>–</w:t>
      </w:r>
      <w:r w:rsidRPr="004A1442">
        <w:rPr>
          <w:snapToGrid w:val="0"/>
          <w:szCs w:val="22"/>
        </w:rPr>
        <w:tab/>
        <w:t>Helena Jeffery Brown (Antigua y Barbuda)</w:t>
      </w:r>
    </w:p>
    <w:p w14:paraId="00BBE9E6" w14:textId="4E424AAD" w:rsidR="008C7F8A" w:rsidRPr="004A1442" w:rsidRDefault="008C7F8A" w:rsidP="00421997">
      <w:pPr>
        <w:suppressLineNumbers/>
        <w:tabs>
          <w:tab w:val="left"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snapToGrid w:val="0"/>
          <w:szCs w:val="22"/>
        </w:rPr>
        <w:t>–</w:t>
      </w:r>
      <w:r w:rsidRPr="004A1442">
        <w:rPr>
          <w:snapToGrid w:val="0"/>
          <w:szCs w:val="22"/>
        </w:rPr>
        <w:tab/>
        <w:t>Gabriele Obermayr (Austria)</w:t>
      </w:r>
    </w:p>
    <w:p w14:paraId="640D9117" w14:textId="7474DA44" w:rsidR="008C7F8A" w:rsidRPr="004A1442" w:rsidRDefault="008C7F8A" w:rsidP="00311C9B">
      <w:pPr>
        <w:suppressLineNumbers/>
        <w:tabs>
          <w:tab w:val="left"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snapToGrid w:val="0"/>
          <w:szCs w:val="22"/>
        </w:rPr>
        <w:t>–</w:t>
      </w:r>
      <w:r w:rsidRPr="004A1442">
        <w:rPr>
          <w:snapToGrid w:val="0"/>
          <w:szCs w:val="22"/>
        </w:rPr>
        <w:tab/>
        <w:t>Nueva Zelanda (vacante)</w:t>
      </w:r>
      <w:r w:rsidRPr="004A1442">
        <w:rPr>
          <w:rStyle w:val="FootnoteReference"/>
          <w:snapToGrid w:val="0"/>
          <w:kern w:val="22"/>
          <w:szCs w:val="22"/>
        </w:rPr>
        <w:footnoteReference w:id="6"/>
      </w:r>
    </w:p>
    <w:p w14:paraId="4EBC2D0A" w14:textId="7DD6E52A" w:rsidR="00D77560" w:rsidRPr="004A1442" w:rsidRDefault="00761E13" w:rsidP="00B00053">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bookmarkStart w:id="3" w:name="Item03"/>
      <w:r w:rsidRPr="004A1442">
        <w:rPr>
          <w:i/>
          <w:iCs/>
          <w:snapToGrid w:val="0"/>
          <w:szCs w:val="22"/>
        </w:rPr>
        <w:lastRenderedPageBreak/>
        <w:t>Programa</w:t>
      </w:r>
      <w:bookmarkEnd w:id="3"/>
    </w:p>
    <w:p w14:paraId="7E16BB39" w14:textId="38F28556" w:rsidR="0088174B" w:rsidRPr="004A1442" w:rsidRDefault="008C723A" w:rsidP="00FC595B">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snapToGrid w:val="0"/>
          <w:szCs w:val="22"/>
        </w:rPr>
        <w:t xml:space="preserve">Como se indica en el párrafo 4, el programa provisional se aprobó en la primera parte de la 15ª reunión. </w:t>
      </w:r>
      <w:bookmarkStart w:id="4" w:name="TEN"/>
      <w:bookmarkEnd w:id="4"/>
      <w:r w:rsidRPr="004A1442">
        <w:rPr>
          <w:snapToGrid w:val="0"/>
          <w:szCs w:val="22"/>
        </w:rPr>
        <w:t>La Conferencia de las Partes concluyó el examen de los temas 4 y 6 a 27 del programa en las partes primera y segunda de su 15ª reunión, pero no concluyó el examen del tema 2 del programa relativo a la elección de la Mesa. Como consecuencia de la continuación de la reunión, los temas 1 y 3 del programa siguen siendo pertinentes. Además, tras la renuncia del país anfitrión designado anteriormente para la 16ª reunión de la Conferencia de las Partes, es necesario definir un nuevo país anfitrión. Por último, los temas 28 a 30 del programa no han sido examinados por la Conferencia de las Partes. Por consiguiente, los temas 1 a 3, 5 y 28 a 30 deberán examinarse en la presente reunión.</w:t>
      </w:r>
    </w:p>
    <w:p w14:paraId="798D3E27" w14:textId="77777777" w:rsidR="00D77560" w:rsidRPr="004A1442" w:rsidRDefault="00D77560" w:rsidP="00B00053">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bookmarkStart w:id="5" w:name="Item04"/>
      <w:r w:rsidRPr="004A1442">
        <w:rPr>
          <w:i/>
          <w:iCs/>
          <w:snapToGrid w:val="0"/>
          <w:szCs w:val="22"/>
        </w:rPr>
        <w:t>Organización de los trabajos</w:t>
      </w:r>
      <w:bookmarkEnd w:id="5"/>
    </w:p>
    <w:p w14:paraId="3A9648F1" w14:textId="2D92D999" w:rsidR="00D77560" w:rsidRPr="004A1442" w:rsidRDefault="009C56F5" w:rsidP="000654A2">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rFonts w:asciiTheme="majorBidi" w:hAnsiTheme="majorBidi"/>
        </w:rPr>
        <w:t xml:space="preserve">Se invitará a la Conferencia de las Partes a que considere y apruebe la organización de los trabajos propuesta en el anexo II. </w:t>
      </w:r>
      <w:r w:rsidRPr="004A1442">
        <w:t>Dado el escaso número y el carácter procedimental de los temas a tratar, se propone que todos los trabajos se desarrollen en sesión plenaria.</w:t>
      </w:r>
    </w:p>
    <w:p w14:paraId="6ACA5B9A" w14:textId="3D7EB982" w:rsidR="00D77560" w:rsidRPr="004A1442" w:rsidRDefault="004E4620"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snapToGrid w:val="0"/>
          <w:szCs w:val="22"/>
        </w:rPr>
        <w:t>Se dispondrá de servicios de interpretación para las sesiones plenarias.</w:t>
      </w:r>
    </w:p>
    <w:p w14:paraId="3E0675DB" w14:textId="6F97B443" w:rsidR="00006E4F" w:rsidRPr="004A1442" w:rsidRDefault="00006E4F" w:rsidP="00942CC3">
      <w:pPr>
        <w:suppressLineNumbers/>
        <w:tabs>
          <w:tab w:val="left" w:pos="360"/>
          <w:tab w:val="left" w:pos="720"/>
        </w:tabs>
        <w:suppressAutoHyphens/>
        <w:kinsoku w:val="0"/>
        <w:overflowPunct w:val="0"/>
        <w:autoSpaceDE w:val="0"/>
        <w:autoSpaceDN w:val="0"/>
        <w:adjustRightInd w:val="0"/>
        <w:snapToGrid w:val="0"/>
        <w:spacing w:before="120" w:after="120"/>
        <w:rPr>
          <w:i/>
          <w:iCs/>
          <w:snapToGrid w:val="0"/>
          <w:kern w:val="22"/>
          <w:szCs w:val="22"/>
        </w:rPr>
      </w:pPr>
      <w:r w:rsidRPr="004A1442">
        <w:rPr>
          <w:i/>
          <w:iCs/>
          <w:snapToGrid w:val="0"/>
          <w:szCs w:val="22"/>
        </w:rPr>
        <w:t>Relator</w:t>
      </w:r>
    </w:p>
    <w:p w14:paraId="1BC63FCD" w14:textId="2821A573" w:rsidR="00006E4F" w:rsidRPr="004A1442" w:rsidRDefault="00006E4F"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snapToGrid w:val="0"/>
          <w:szCs w:val="22"/>
        </w:rPr>
        <w:t>En la sesión plenaria de apertura de la primera parte de la reunión, celebrada el 11 de octubre de 2021, la Conferencia de las Partes acordó elegir a Elvana Ramaj (Albania) como Relatora de la reunión. Tras la posterior renuncia de la Sra. Ramaj, la Mesa propondrá un nuevo relator para que sea elegido por la Conferencia de las Partes.</w:t>
      </w:r>
    </w:p>
    <w:p w14:paraId="32482FEE" w14:textId="00E8FD60" w:rsidR="006D590C" w:rsidRPr="004A1442" w:rsidRDefault="006D590C" w:rsidP="00311C9B">
      <w:pPr>
        <w:keepNext/>
        <w:suppressLineNumbers/>
        <w:tabs>
          <w:tab w:val="left" w:pos="360"/>
          <w:tab w:val="left" w:pos="720"/>
        </w:tabs>
        <w:suppressAutoHyphens/>
        <w:kinsoku w:val="0"/>
        <w:overflowPunct w:val="0"/>
        <w:autoSpaceDE w:val="0"/>
        <w:autoSpaceDN w:val="0"/>
        <w:adjustRightInd w:val="0"/>
        <w:snapToGrid w:val="0"/>
        <w:spacing w:before="120" w:after="120"/>
        <w:rPr>
          <w:i/>
          <w:iCs/>
          <w:snapToGrid w:val="0"/>
          <w:kern w:val="22"/>
          <w:szCs w:val="22"/>
        </w:rPr>
      </w:pPr>
      <w:r w:rsidRPr="004A1442">
        <w:rPr>
          <w:i/>
          <w:iCs/>
          <w:snapToGrid w:val="0"/>
          <w:szCs w:val="22"/>
        </w:rPr>
        <w:t>Elecciones</w:t>
      </w:r>
    </w:p>
    <w:p w14:paraId="481A2805" w14:textId="12428AD9" w:rsidR="004A12EB" w:rsidRPr="004A1442" w:rsidRDefault="003B4504" w:rsidP="00304F22">
      <w:pPr>
        <w:keepNext/>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outlineLvl w:val="2"/>
        <w:rPr>
          <w:i/>
          <w:iCs/>
          <w:snapToGrid w:val="0"/>
          <w:kern w:val="22"/>
          <w:szCs w:val="22"/>
        </w:rPr>
      </w:pPr>
      <w:r w:rsidRPr="004A1442">
        <w:t>En la continuación de la segunda parte de su 15ª reunión, la Conferencia de las Partes elegirá nuevos vicepresidentes para la Mesa.</w:t>
      </w:r>
      <w:r w:rsidRPr="004A1442">
        <w:rPr>
          <w:snapToGrid w:val="0"/>
          <w:szCs w:val="22"/>
        </w:rPr>
        <w:t xml:space="preserve"> </w:t>
      </w:r>
      <w:r w:rsidRPr="004A1442">
        <w:t>Sus mandatos comenzarán tras el cierre de la 15ª reunión de la Conferencia de las Partes y terminarán al cierre de su 16ª reunión, de conformidad con el artículo 21 del reglamento.</w:t>
      </w:r>
      <w:r w:rsidRPr="004A1442">
        <w:rPr>
          <w:snapToGrid w:val="0"/>
          <w:szCs w:val="22"/>
        </w:rPr>
        <w:t xml:space="preserve"> </w:t>
      </w:r>
    </w:p>
    <w:p w14:paraId="69E8991A" w14:textId="33CC94DB" w:rsidR="00A710E9" w:rsidRPr="004A1442" w:rsidRDefault="004A12EB" w:rsidP="007A00EF">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snapToGrid w:val="0"/>
          <w:szCs w:val="22"/>
        </w:rPr>
        <w:t xml:space="preserve">El artículo 26 del reglamento establece que la presidencia de cualquier órgano subsidiario será elegida por la Conferencia de las Partes. Por consiguiente, la Conferencia de las Partes deberá elegir la Presidencia del Órgano Subsidiario de Asesoramiento Científico, Técnico y Tecnológico y la Presidencia del Órgano Subsidiario sobre la Aplicación para presidir los respectivos órganos por un mandato que comenzará tras el cierre de la 15ª reunión y terminará al cierre de la 16ª reunión de la Conferencia de las Partes. </w:t>
      </w:r>
    </w:p>
    <w:p w14:paraId="04412E60" w14:textId="49196B91" w:rsidR="004A12EB" w:rsidRPr="004A1442" w:rsidRDefault="004A12EB" w:rsidP="008F16FF">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snapToGrid w:val="0"/>
          <w:szCs w:val="22"/>
        </w:rPr>
        <w:t>De acuerdo con la rotación regional establecida, se prevé que la Presidencia del Órgano Subsidiario de Asesoramiento Científico, Técnico y Tecnológico se elegirá entre los Estados de Europa Oriental y que la Presidencia del Órgano Subsidiario sobre la Aplicación se elegirá entre los Estados de Asia y el Pacífico.</w:t>
      </w:r>
    </w:p>
    <w:p w14:paraId="31B47522" w14:textId="35094E80" w:rsidR="004A12EB" w:rsidRPr="004A1442" w:rsidRDefault="00085FB4" w:rsidP="004A12EB">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snapToGrid w:val="0"/>
          <w:szCs w:val="22"/>
        </w:rPr>
        <w:t>En el documento informativo CBD/COP/15/INF/28 se proporcionará más información sobre los procedimientos para la elección de los integrantes de la Mesa, y la Secretaría ofrecerá una sesión informativa sobre el proceso de elección antes de la fecha de la misma.</w:t>
      </w:r>
    </w:p>
    <w:p w14:paraId="740B4800" w14:textId="32640169" w:rsidR="00D77560" w:rsidRPr="004A1442" w:rsidRDefault="00D77560" w:rsidP="00942CC3">
      <w:pPr>
        <w:keepNext/>
        <w:suppressLineNumbers/>
        <w:tabs>
          <w:tab w:val="left" w:pos="810"/>
        </w:tabs>
        <w:suppressAutoHyphens/>
        <w:kinsoku w:val="0"/>
        <w:overflowPunct w:val="0"/>
        <w:autoSpaceDE w:val="0"/>
        <w:autoSpaceDN w:val="0"/>
        <w:adjustRightInd w:val="0"/>
        <w:snapToGrid w:val="0"/>
        <w:spacing w:before="240" w:after="120"/>
        <w:ind w:left="1560" w:hanging="1134"/>
        <w:jc w:val="left"/>
        <w:outlineLvl w:val="1"/>
        <w:rPr>
          <w:b/>
          <w:bCs/>
          <w:snapToGrid w:val="0"/>
          <w:kern w:val="22"/>
          <w:szCs w:val="22"/>
        </w:rPr>
      </w:pPr>
      <w:r w:rsidRPr="004A1442">
        <w:rPr>
          <w:b/>
          <w:bCs/>
          <w:snapToGrid w:val="0"/>
          <w:szCs w:val="22"/>
        </w:rPr>
        <w:t>Tema 3.</w:t>
      </w:r>
      <w:r w:rsidRPr="004A1442">
        <w:rPr>
          <w:b/>
          <w:bCs/>
          <w:snapToGrid w:val="0"/>
          <w:szCs w:val="22"/>
        </w:rPr>
        <w:tab/>
        <w:t>Informe sobre las credenciales de los representantes que participan en la 15ª reunión de la Conferencia de las Partes</w:t>
      </w:r>
    </w:p>
    <w:p w14:paraId="6FD60F06" w14:textId="525FB3FC" w:rsidR="00D77560" w:rsidRPr="004A1442" w:rsidRDefault="00D77560"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snapToGrid w:val="0"/>
          <w:szCs w:val="22"/>
        </w:rPr>
        <w:t>El artículo 18 del reglamento indica que:</w:t>
      </w:r>
    </w:p>
    <w:p w14:paraId="020B5018" w14:textId="557CD3E2" w:rsidR="00D77560" w:rsidRPr="004A1442" w:rsidRDefault="00D77560" w:rsidP="00311C9B">
      <w:pPr>
        <w:suppressLineNumbers/>
        <w:suppressAutoHyphens/>
        <w:kinsoku w:val="0"/>
        <w:overflowPunct w:val="0"/>
        <w:autoSpaceDE w:val="0"/>
        <w:autoSpaceDN w:val="0"/>
        <w:adjustRightInd w:val="0"/>
        <w:snapToGrid w:val="0"/>
        <w:spacing w:before="120" w:after="120"/>
        <w:ind w:left="1440" w:right="-36"/>
        <w:rPr>
          <w:snapToGrid w:val="0"/>
          <w:kern w:val="22"/>
          <w:szCs w:val="22"/>
        </w:rPr>
      </w:pPr>
      <w:r w:rsidRPr="004A1442">
        <w:rPr>
          <w:snapToGrid w:val="0"/>
          <w:szCs w:val="22"/>
        </w:rPr>
        <w:t xml:space="preserve">Las credenciales de los representantes y los nombres de los suplentes y de los consejeros deberán presentarse al Secretario Ejecutivo de la Conferencia de las Partes o al representante del Secretario Ejecutivo, de ser posible, dentro de las 24 horas siguientes a la apertura de la reunión. Se comunicará también al Secretario Ejecutivo o al representante del Secretario Ejecutivo cualquier cambio ulterior en la composición de las delegaciones. Las credenciales deberán ser expedidas por el Jefe de Estado o de Gobierno o por el </w:t>
      </w:r>
      <w:r w:rsidRPr="004A1442">
        <w:rPr>
          <w:snapToGrid w:val="0"/>
          <w:szCs w:val="22"/>
        </w:rPr>
        <w:lastRenderedPageBreak/>
        <w:t>Ministerio de Relaciones Exteriores o, en el caso de una organización de integración económica regional, por la autoridad competente de dicha organización.</w:t>
      </w:r>
    </w:p>
    <w:p w14:paraId="070C6663" w14:textId="70E0E1FC" w:rsidR="00D77560" w:rsidRPr="004A1442" w:rsidRDefault="00D77560"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snapToGrid w:val="0"/>
          <w:szCs w:val="22"/>
        </w:rPr>
        <w:t>En el artículo 19 también se establece que “la Mesa de la reunión examinará las credenciales y presentará a la Conferencia de las Partes un informe para que ésta adopte una decisión al respecto”.</w:t>
      </w:r>
    </w:p>
    <w:p w14:paraId="50D302A5" w14:textId="130E8D0F" w:rsidR="00C57C86" w:rsidRPr="004A1442" w:rsidRDefault="00D77560"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snapToGrid w:val="0"/>
          <w:szCs w:val="22"/>
        </w:rPr>
        <w:t xml:space="preserve">Para asistir a las Partes en el cumplimiento de </w:t>
      </w:r>
      <w:r w:rsidR="007B07A7" w:rsidRPr="004A1442">
        <w:rPr>
          <w:snapToGrid w:val="0"/>
          <w:szCs w:val="22"/>
        </w:rPr>
        <w:t xml:space="preserve">lo dispuesto en </w:t>
      </w:r>
      <w:r w:rsidRPr="004A1442">
        <w:rPr>
          <w:snapToGrid w:val="0"/>
          <w:szCs w:val="22"/>
        </w:rPr>
        <w:t xml:space="preserve">el artículo 18, el Secretario Ejecutivo emitió la notificación </w:t>
      </w:r>
      <w:r w:rsidR="006E29A3">
        <w:rPr>
          <w:rStyle w:val="Hyperlink"/>
          <w:snapToGrid w:val="0"/>
          <w:sz w:val="22"/>
          <w:szCs w:val="22"/>
        </w:rPr>
        <w:t>núm</w:t>
      </w:r>
      <w:r w:rsidRPr="004A1442">
        <w:rPr>
          <w:rStyle w:val="Hyperlink"/>
          <w:snapToGrid w:val="0"/>
          <w:sz w:val="22"/>
          <w:szCs w:val="22"/>
        </w:rPr>
        <w:t xml:space="preserve">. </w:t>
      </w:r>
      <w:hyperlink r:id="rId16" w:history="1">
        <w:r w:rsidRPr="00A13F47">
          <w:rPr>
            <w:rStyle w:val="Hyperlink"/>
            <w:snapToGrid w:val="0"/>
            <w:sz w:val="22"/>
            <w:szCs w:val="22"/>
          </w:rPr>
          <w:t>2023</w:t>
        </w:r>
      </w:hyperlink>
      <w:r w:rsidRPr="004A1442">
        <w:rPr>
          <w:rStyle w:val="Hyperlink"/>
          <w:snapToGrid w:val="0"/>
          <w:sz w:val="22"/>
          <w:szCs w:val="22"/>
        </w:rPr>
        <w:t>-081</w:t>
      </w:r>
      <w:r w:rsidRPr="004A1442">
        <w:rPr>
          <w:snapToGrid w:val="0"/>
          <w:szCs w:val="22"/>
        </w:rPr>
        <w:t xml:space="preserve"> y publicó formatos de ejemplo de credenciales apropiadas</w:t>
      </w:r>
      <w:r w:rsidR="005B5728" w:rsidRPr="004A1442">
        <w:rPr>
          <w:rStyle w:val="FootnoteReference"/>
          <w:snapToGrid w:val="0"/>
          <w:kern w:val="22"/>
          <w:szCs w:val="22"/>
        </w:rPr>
        <w:footnoteReference w:id="7"/>
      </w:r>
      <w:r w:rsidRPr="004A1442">
        <w:rPr>
          <w:snapToGrid w:val="0"/>
          <w:szCs w:val="22"/>
        </w:rPr>
        <w:t xml:space="preserve">. </w:t>
      </w:r>
      <w:r w:rsidRPr="004A1442">
        <w:t>Como se indica en la notificación, las Partes que ya hubieran presentado credenciales válidas de sus representantes para participar en la segunda parte de la 15ª reunión de la Conferencia de las Partes en diciembre de 2022 podrán confirmar, mediante una nota verbal, que las credenciales siguen siendo válidas a efectos de la presente reunión.</w:t>
      </w:r>
      <w:r w:rsidRPr="004A1442">
        <w:rPr>
          <w:snapToGrid w:val="0"/>
          <w:szCs w:val="22"/>
        </w:rPr>
        <w:t xml:space="preserve"> Como también se explica en la notificación, dicha nota verbal deberá ser emitida por un alto funcionario del Ministerio de Relaciones Exteriores de la Parte en cuestión y deberá hacer referencia específica a las credenciales presentadas para la reunión celebrada en diciembre de 2022. </w:t>
      </w:r>
    </w:p>
    <w:p w14:paraId="0EEB1362" w14:textId="7463312F" w:rsidR="00EA453A" w:rsidRPr="004A1442" w:rsidRDefault="00D72317"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t>Las Partes que no hayan presentado credenciales válidas para la reunión celebrada en diciembre de 2022 deberán presentarlas para poder participar en la toma de decisiones durante la presente reunión. Las Partes que enviarán nuevos representantes a la presente reunión deberán presentar las credenciales correspondientes.</w:t>
      </w:r>
    </w:p>
    <w:p w14:paraId="01C0AA41" w14:textId="6C61D14C" w:rsidR="00D77560" w:rsidRPr="004A1442" w:rsidRDefault="001C45D3"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snapToGrid w:val="0"/>
          <w:szCs w:val="22"/>
        </w:rPr>
        <w:t>Las credenciales originales o la nota verbal, según proceda, deberán presentarse a la Secretaría lo antes posible, preferiblemente antes del 6 de octubre y a más tardar el 15 de octubre de 2023.</w:t>
      </w:r>
    </w:p>
    <w:p w14:paraId="57503241" w14:textId="4E4AE2DA" w:rsidR="00D77560" w:rsidRPr="004A1442" w:rsidRDefault="00D77560"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snapToGrid w:val="0"/>
          <w:szCs w:val="22"/>
        </w:rPr>
        <w:t>Se invitará a la Conferencia de las Partes a examinar y aprobar el informe sobre las credenciales que le presente la Mesa.</w:t>
      </w:r>
    </w:p>
    <w:p w14:paraId="29EDB118" w14:textId="70288C11" w:rsidR="00006E4F" w:rsidRPr="004A1442" w:rsidRDefault="00006E4F"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snapToGrid w:val="0"/>
          <w:szCs w:val="22"/>
        </w:rPr>
        <w:t>En la sesión plenaria de apertura de la primera parte de la reunión, Eric Okoree (Ghana) fue elegido representante de la Mesa para el examen de las credenciales.</w:t>
      </w:r>
    </w:p>
    <w:p w14:paraId="1B6C2B5D" w14:textId="35CCA067" w:rsidR="00F30A1E" w:rsidRPr="004A1442" w:rsidRDefault="00F30A1E" w:rsidP="00942CC3">
      <w:pPr>
        <w:keepNext/>
        <w:suppressLineNumbers/>
        <w:tabs>
          <w:tab w:val="left" w:pos="810"/>
        </w:tabs>
        <w:suppressAutoHyphens/>
        <w:kinsoku w:val="0"/>
        <w:overflowPunct w:val="0"/>
        <w:autoSpaceDE w:val="0"/>
        <w:autoSpaceDN w:val="0"/>
        <w:adjustRightInd w:val="0"/>
        <w:snapToGrid w:val="0"/>
        <w:spacing w:before="240" w:after="120"/>
        <w:jc w:val="center"/>
        <w:outlineLvl w:val="1"/>
        <w:rPr>
          <w:b/>
          <w:bCs/>
        </w:rPr>
      </w:pPr>
      <w:r w:rsidRPr="004A1442">
        <w:rPr>
          <w:b/>
          <w:bCs/>
        </w:rPr>
        <w:t>Tema 5.</w:t>
      </w:r>
      <w:r w:rsidRPr="004A1442">
        <w:rPr>
          <w:b/>
          <w:bCs/>
        </w:rPr>
        <w:tab/>
        <w:t>Fecha y lugar de celebración de las reuniones futuras de la Conferencia de las Partes</w:t>
      </w:r>
    </w:p>
    <w:p w14:paraId="06971D0E" w14:textId="2CA82728" w:rsidR="00D3437E" w:rsidRPr="004A1442" w:rsidRDefault="00F30A1E">
      <w:pPr>
        <w:pStyle w:val="Para1"/>
        <w:numPr>
          <w:ilvl w:val="0"/>
          <w:numId w:val="21"/>
        </w:numPr>
        <w:tabs>
          <w:tab w:val="clear" w:pos="360"/>
          <w:tab w:val="left" w:pos="720"/>
        </w:tabs>
        <w:kinsoku w:val="0"/>
        <w:overflowPunct w:val="0"/>
        <w:autoSpaceDE w:val="0"/>
        <w:autoSpaceDN w:val="0"/>
        <w:snapToGrid w:val="0"/>
        <w:rPr>
          <w:kern w:val="22"/>
          <w:szCs w:val="22"/>
        </w:rPr>
      </w:pPr>
      <w:r w:rsidRPr="004A1442">
        <w:t xml:space="preserve">De conformidad con el párrafo 2 del artículo 4 de su reglamento, la Conferencia de las Partes decide en cada reunión ordinaria la fecha y duración de su siguiente reunión ordinaria. También de conformidad con el artículo 4, las reuniones ordinarias se celebrarán cada dos años. En su </w:t>
      </w:r>
      <w:hyperlink r:id="rId17" w:history="1">
        <w:r w:rsidRPr="004A1442">
          <w:rPr>
            <w:rStyle w:val="Hyperlink"/>
            <w:color w:val="auto"/>
            <w:sz w:val="22"/>
            <w:szCs w:val="22"/>
            <w:u w:val="none"/>
          </w:rPr>
          <w:t xml:space="preserve">decisión </w:t>
        </w:r>
        <w:r w:rsidRPr="004A1442">
          <w:rPr>
            <w:rStyle w:val="Hyperlink"/>
            <w:sz w:val="22"/>
            <w:szCs w:val="22"/>
          </w:rPr>
          <w:t>XIII/33</w:t>
        </w:r>
      </w:hyperlink>
      <w:r w:rsidRPr="004A1442">
        <w:t>, la Conferencia de las Partes decidió que su 16ª reunión (junto con la 11ª reunión de la Conferencia de las Partes que actúa como reunión de las Partes en el Protocolo de Cartagena y la quinta reunión de la Conferencia de las Partes que actúa como reunión de las Partes en el Protocolo de Nagoya) se celebraría en Türkiye. Sin embargo, el 25 de julio de 2023, Türkiye informó a la Secretaría su decisión de renunciar a ser el país anfitrión y presidir la 16ª reunión de la Conferencia de las Partes debido a una situación de fuerza mayor causada por los terremotos ocurridos en febrero de 2023. Esta información se comunicó a las Partes mediante la notificación núm. 2023-82 del 31 de julio de 2023.</w:t>
      </w:r>
    </w:p>
    <w:p w14:paraId="6D811B0E" w14:textId="0734AEF6" w:rsidR="00FD70AE" w:rsidRPr="004A1442" w:rsidRDefault="00D54820" w:rsidP="001244FA">
      <w:pPr>
        <w:pStyle w:val="Para1"/>
        <w:numPr>
          <w:ilvl w:val="0"/>
          <w:numId w:val="21"/>
        </w:numPr>
        <w:tabs>
          <w:tab w:val="clear" w:pos="360"/>
          <w:tab w:val="left" w:pos="720"/>
        </w:tabs>
        <w:kinsoku w:val="0"/>
        <w:overflowPunct w:val="0"/>
        <w:autoSpaceDE w:val="0"/>
        <w:autoSpaceDN w:val="0"/>
        <w:snapToGrid w:val="0"/>
        <w:rPr>
          <w:kern w:val="22"/>
          <w:szCs w:val="22"/>
        </w:rPr>
      </w:pPr>
      <w:r w:rsidRPr="004A1442">
        <w:t>Se proporcionará información actualizada sobre este asunto a la Conferencia de las Partes en la presente reunión.</w:t>
      </w:r>
    </w:p>
    <w:p w14:paraId="3E562EF9" w14:textId="0CC73DC9" w:rsidR="00D77560" w:rsidRPr="004A1442" w:rsidRDefault="00D77560" w:rsidP="00B00053">
      <w:pPr>
        <w:keepNext/>
        <w:suppressLineNumbers/>
        <w:tabs>
          <w:tab w:val="left" w:pos="540"/>
        </w:tabs>
        <w:suppressAutoHyphens/>
        <w:kinsoku w:val="0"/>
        <w:overflowPunct w:val="0"/>
        <w:autoSpaceDE w:val="0"/>
        <w:autoSpaceDN w:val="0"/>
        <w:adjustRightInd w:val="0"/>
        <w:snapToGrid w:val="0"/>
        <w:spacing w:before="120" w:after="120"/>
        <w:jc w:val="center"/>
        <w:outlineLvl w:val="0"/>
        <w:rPr>
          <w:b/>
          <w:bCs/>
          <w:snapToGrid w:val="0"/>
          <w:kern w:val="22"/>
          <w:szCs w:val="22"/>
        </w:rPr>
      </w:pPr>
      <w:r w:rsidRPr="004A1442">
        <w:rPr>
          <w:b/>
          <w:bCs/>
          <w:snapToGrid w:val="0"/>
          <w:szCs w:val="22"/>
        </w:rPr>
        <w:t>VII.</w:t>
      </w:r>
      <w:r w:rsidRPr="004A1442">
        <w:rPr>
          <w:b/>
          <w:bCs/>
          <w:snapToGrid w:val="0"/>
          <w:szCs w:val="22"/>
        </w:rPr>
        <w:tab/>
        <w:t>ASUNTOS FINALES</w:t>
      </w:r>
    </w:p>
    <w:p w14:paraId="0B54CEFE" w14:textId="77777777" w:rsidR="00D77560" w:rsidRPr="004A1442" w:rsidRDefault="00D77560" w:rsidP="00942CC3">
      <w:pPr>
        <w:keepNext/>
        <w:suppressLineNumbers/>
        <w:tabs>
          <w:tab w:val="left" w:pos="900"/>
        </w:tabs>
        <w:suppressAutoHyphens/>
        <w:kinsoku w:val="0"/>
        <w:overflowPunct w:val="0"/>
        <w:autoSpaceDE w:val="0"/>
        <w:autoSpaceDN w:val="0"/>
        <w:adjustRightInd w:val="0"/>
        <w:snapToGrid w:val="0"/>
        <w:spacing w:before="240" w:after="120"/>
        <w:jc w:val="center"/>
        <w:outlineLvl w:val="1"/>
        <w:rPr>
          <w:b/>
          <w:bCs/>
          <w:snapToGrid w:val="0"/>
          <w:kern w:val="22"/>
          <w:szCs w:val="22"/>
        </w:rPr>
      </w:pPr>
      <w:bookmarkStart w:id="6" w:name="_heading=h.30j0zll"/>
      <w:bookmarkStart w:id="7" w:name="_heading=h.3znysh7"/>
      <w:bookmarkStart w:id="8" w:name="_heading=h.nkgw0ii72cmr"/>
      <w:bookmarkStart w:id="9" w:name="_heading=h.gjdgxs"/>
      <w:bookmarkStart w:id="10" w:name="_heading=h.xuy1qui6wltd"/>
      <w:bookmarkEnd w:id="6"/>
      <w:bookmarkEnd w:id="7"/>
      <w:bookmarkEnd w:id="8"/>
      <w:bookmarkEnd w:id="9"/>
      <w:bookmarkEnd w:id="10"/>
      <w:r w:rsidRPr="004A1442">
        <w:rPr>
          <w:b/>
          <w:bCs/>
          <w:snapToGrid w:val="0"/>
          <w:szCs w:val="22"/>
        </w:rPr>
        <w:t>Tema 28.</w:t>
      </w:r>
      <w:r w:rsidRPr="004A1442">
        <w:rPr>
          <w:b/>
          <w:bCs/>
          <w:snapToGrid w:val="0"/>
          <w:szCs w:val="22"/>
        </w:rPr>
        <w:tab/>
        <w:t>Otros asuntos</w:t>
      </w:r>
    </w:p>
    <w:p w14:paraId="4F959328" w14:textId="5691E792" w:rsidR="00D77560" w:rsidRPr="004A1442" w:rsidRDefault="00D77560" w:rsidP="00311C9B">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t xml:space="preserve">La Conferencia de las Partes tal vez desee examinar otros asuntos que se planteen y se acepten para </w:t>
      </w:r>
      <w:r w:rsidR="004A0A29" w:rsidRPr="004A1442">
        <w:t>el debate</w:t>
      </w:r>
      <w:r w:rsidRPr="004A1442">
        <w:t xml:space="preserve"> de acuerdo con el artículo 12 de su reglamento y el párrafo 7 de la decisión </w:t>
      </w:r>
      <w:hyperlink r:id="rId18" w:history="1">
        <w:r w:rsidRPr="004A1442">
          <w:rPr>
            <w:snapToGrid w:val="0"/>
            <w:color w:val="0000FF"/>
            <w:szCs w:val="22"/>
            <w:u w:val="single"/>
          </w:rPr>
          <w:t>IV/</w:t>
        </w:r>
        <w:r w:rsidRPr="004A1442">
          <w:rPr>
            <w:snapToGrid w:val="0"/>
            <w:color w:val="0000FF"/>
            <w:szCs w:val="22"/>
            <w:u w:val="single"/>
          </w:rPr>
          <w:t>16</w:t>
        </w:r>
      </w:hyperlink>
      <w:r w:rsidRPr="004A1442">
        <w:t>.</w:t>
      </w:r>
    </w:p>
    <w:p w14:paraId="52D89E3F" w14:textId="1CD3B8E8" w:rsidR="00D77560" w:rsidRPr="004A1442" w:rsidRDefault="00D77560" w:rsidP="00942CC3">
      <w:pPr>
        <w:keepNext/>
        <w:suppressLineNumbers/>
        <w:tabs>
          <w:tab w:val="left" w:pos="990"/>
        </w:tabs>
        <w:suppressAutoHyphens/>
        <w:kinsoku w:val="0"/>
        <w:overflowPunct w:val="0"/>
        <w:autoSpaceDE w:val="0"/>
        <w:autoSpaceDN w:val="0"/>
        <w:adjustRightInd w:val="0"/>
        <w:snapToGrid w:val="0"/>
        <w:spacing w:before="240" w:after="120"/>
        <w:jc w:val="center"/>
        <w:outlineLvl w:val="1"/>
        <w:rPr>
          <w:b/>
          <w:bCs/>
          <w:snapToGrid w:val="0"/>
          <w:kern w:val="22"/>
          <w:szCs w:val="22"/>
        </w:rPr>
      </w:pPr>
      <w:r w:rsidRPr="004A1442">
        <w:rPr>
          <w:b/>
          <w:bCs/>
          <w:snapToGrid w:val="0"/>
          <w:szCs w:val="22"/>
        </w:rPr>
        <w:t>Tema 29.</w:t>
      </w:r>
      <w:r w:rsidRPr="004A1442">
        <w:rPr>
          <w:b/>
          <w:bCs/>
          <w:snapToGrid w:val="0"/>
          <w:szCs w:val="22"/>
        </w:rPr>
        <w:tab/>
        <w:t>Adopción del informe</w:t>
      </w:r>
    </w:p>
    <w:p w14:paraId="5B3BAA81" w14:textId="1CFB3D33" w:rsidR="00D77560" w:rsidRPr="004A1442" w:rsidRDefault="00D77560" w:rsidP="00311C9B">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t xml:space="preserve">Se invitará a la Conferencia de las Partes a examinar y aprobar el proyecto de informe de la segunda parte de su 15ª reunión, que será </w:t>
      </w:r>
      <w:r w:rsidR="00FD1F2A" w:rsidRPr="004A1442">
        <w:t>elaborado</w:t>
      </w:r>
      <w:r w:rsidRPr="004A1442">
        <w:t xml:space="preserve"> por el Relator </w:t>
      </w:r>
      <w:r w:rsidR="00B96B4E" w:rsidRPr="004A1442">
        <w:t xml:space="preserve">basándose en </w:t>
      </w:r>
      <w:r w:rsidRPr="004A1442">
        <w:t>el documento CBD/COP/15/Part-</w:t>
      </w:r>
      <w:r w:rsidRPr="004A1442">
        <w:lastRenderedPageBreak/>
        <w:t>II/L.1/Rev.1, completado para tener en cuenta las deliberaciones de la continuación de la segunda parte de su 15ª reunión.</w:t>
      </w:r>
    </w:p>
    <w:p w14:paraId="1B090BFB" w14:textId="09A6798A" w:rsidR="00D77560" w:rsidRPr="004A1442" w:rsidRDefault="009129F0" w:rsidP="00311C9B">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snapToGrid w:val="0"/>
          <w:szCs w:val="22"/>
        </w:rPr>
        <w:t>En conjunto</w:t>
      </w:r>
      <w:r w:rsidR="00871654" w:rsidRPr="004A1442">
        <w:rPr>
          <w:snapToGrid w:val="0"/>
          <w:szCs w:val="22"/>
        </w:rPr>
        <w:t>, los informes de la primera parte</w:t>
      </w:r>
      <w:r w:rsidR="00E52D07" w:rsidRPr="004A1442">
        <w:rPr>
          <w:rStyle w:val="FootnoteReference"/>
          <w:snapToGrid w:val="0"/>
          <w:kern w:val="22"/>
          <w:szCs w:val="22"/>
        </w:rPr>
        <w:footnoteReference w:id="8"/>
      </w:r>
      <w:r w:rsidR="00871654" w:rsidRPr="004A1442">
        <w:rPr>
          <w:snapToGrid w:val="0"/>
          <w:szCs w:val="22"/>
        </w:rPr>
        <w:t xml:space="preserve"> y de la segunda parte de la reunión constituirán las actas de la 15ª reunión de la Conferencia de las Partes.</w:t>
      </w:r>
    </w:p>
    <w:p w14:paraId="451D4BFD" w14:textId="5EAA34DC" w:rsidR="00D77560" w:rsidRPr="004A1442" w:rsidRDefault="00D77560" w:rsidP="00311C9B">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snapToGrid w:val="0"/>
          <w:szCs w:val="22"/>
        </w:rPr>
        <w:t>Asimismo, la Conferencia de las Partes tal vez desee adjuntar a sus actas los resultados de la serie de sesiones de alto nivel de su reunión y de otras actividades organizadas conjuntamente con su 15ª reunión. De conformidad con la práctica establecida, tal vez desee autorizar al Relator a completar el informe final después de la reunión, con la orientación del Presidente y la asistencia de la Secretaría.</w:t>
      </w:r>
    </w:p>
    <w:p w14:paraId="0FF8FE68" w14:textId="7148D59C" w:rsidR="00D77560" w:rsidRPr="004A1442" w:rsidRDefault="00D77560" w:rsidP="00942CC3">
      <w:pPr>
        <w:keepNext/>
        <w:suppressLineNumbers/>
        <w:tabs>
          <w:tab w:val="left" w:pos="990"/>
        </w:tabs>
        <w:suppressAutoHyphens/>
        <w:kinsoku w:val="0"/>
        <w:overflowPunct w:val="0"/>
        <w:autoSpaceDE w:val="0"/>
        <w:autoSpaceDN w:val="0"/>
        <w:adjustRightInd w:val="0"/>
        <w:snapToGrid w:val="0"/>
        <w:spacing w:before="240" w:after="120"/>
        <w:jc w:val="center"/>
        <w:outlineLvl w:val="1"/>
        <w:rPr>
          <w:b/>
          <w:bCs/>
          <w:snapToGrid w:val="0"/>
          <w:kern w:val="22"/>
          <w:szCs w:val="22"/>
        </w:rPr>
      </w:pPr>
      <w:r w:rsidRPr="004A1442">
        <w:rPr>
          <w:b/>
          <w:bCs/>
          <w:snapToGrid w:val="0"/>
          <w:szCs w:val="22"/>
        </w:rPr>
        <w:t>Tema 30.</w:t>
      </w:r>
      <w:r w:rsidRPr="004A1442">
        <w:rPr>
          <w:b/>
          <w:bCs/>
          <w:snapToGrid w:val="0"/>
          <w:szCs w:val="22"/>
        </w:rPr>
        <w:tab/>
        <w:t>Clausura de la reunión</w:t>
      </w:r>
    </w:p>
    <w:p w14:paraId="5E4498EC" w14:textId="569021B2" w:rsidR="00D77560" w:rsidRPr="004A1442" w:rsidRDefault="00D77560" w:rsidP="00311C9B">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snapToGrid w:val="0"/>
          <w:szCs w:val="22"/>
        </w:rPr>
        <w:t xml:space="preserve">Se prevé que la continuación de la segunda parte de la 15ª reunión de la Conferencia de las Partes se clausurará a las 13.00 horas del 20 de octubre de 2023. </w:t>
      </w:r>
    </w:p>
    <w:p w14:paraId="16700D38" w14:textId="6BD0A951" w:rsidR="003C08EE" w:rsidRPr="004A1442" w:rsidRDefault="003C08EE">
      <w:pPr>
        <w:jc w:val="left"/>
        <w:rPr>
          <w:snapToGrid w:val="0"/>
          <w:kern w:val="22"/>
          <w:szCs w:val="22"/>
        </w:rPr>
      </w:pPr>
      <w:r w:rsidRPr="004A1442">
        <w:br w:type="page"/>
      </w:r>
    </w:p>
    <w:p w14:paraId="73FB6DC1" w14:textId="42BACE90" w:rsidR="001A77EF" w:rsidRPr="004A1442" w:rsidRDefault="001A77EF" w:rsidP="001A77EF">
      <w:pPr>
        <w:pStyle w:val="Heading3"/>
        <w:suppressLineNumbers/>
        <w:suppressAutoHyphens/>
        <w:kinsoku w:val="0"/>
        <w:overflowPunct w:val="0"/>
        <w:autoSpaceDE w:val="0"/>
        <w:autoSpaceDN w:val="0"/>
        <w:spacing w:before="0"/>
        <w:rPr>
          <w:snapToGrid w:val="0"/>
          <w:kern w:val="22"/>
          <w:szCs w:val="22"/>
        </w:rPr>
      </w:pPr>
      <w:r w:rsidRPr="004A1442">
        <w:rPr>
          <w:snapToGrid w:val="0"/>
          <w:szCs w:val="22"/>
        </w:rPr>
        <w:lastRenderedPageBreak/>
        <w:t>Anexo I</w:t>
      </w:r>
    </w:p>
    <w:p w14:paraId="32D0621C" w14:textId="77777777" w:rsidR="001A77EF" w:rsidRPr="004A1442" w:rsidRDefault="001A77EF" w:rsidP="00942CC3">
      <w:pPr>
        <w:pStyle w:val="Heading-plainbold"/>
        <w:keepNext/>
        <w:numPr>
          <w:ilvl w:val="2"/>
          <w:numId w:val="38"/>
        </w:numPr>
        <w:suppressLineNumbers/>
        <w:suppressAutoHyphens/>
        <w:kinsoku w:val="0"/>
        <w:overflowPunct w:val="0"/>
        <w:autoSpaceDE w:val="0"/>
        <w:autoSpaceDN w:val="0"/>
        <w:ind w:left="0" w:firstLine="0"/>
        <w:rPr>
          <w:i w:val="0"/>
          <w:iCs/>
          <w:snapToGrid w:val="0"/>
          <w:kern w:val="22"/>
          <w:szCs w:val="22"/>
        </w:rPr>
      </w:pPr>
      <w:r w:rsidRPr="004A1442">
        <w:rPr>
          <w:i w:val="0"/>
          <w:iCs/>
          <w:snapToGrid w:val="0"/>
          <w:szCs w:val="22"/>
        </w:rPr>
        <w:t xml:space="preserve">Documentos de trabajo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5524"/>
        <w:gridCol w:w="710"/>
      </w:tblGrid>
      <w:tr w:rsidR="002E2D1B" w:rsidRPr="004A1442" w14:paraId="43B35310" w14:textId="77777777" w:rsidTr="00311C9B">
        <w:tc>
          <w:tcPr>
            <w:tcW w:w="3116" w:type="dxa"/>
          </w:tcPr>
          <w:p w14:paraId="74A53674" w14:textId="0204836B" w:rsidR="002E2D1B" w:rsidRPr="004A1442" w:rsidRDefault="002E2D1B" w:rsidP="00C45095">
            <w:pPr>
              <w:spacing w:before="120" w:after="120"/>
              <w:jc w:val="left"/>
              <w:rPr>
                <w:i/>
                <w:iCs/>
                <w:snapToGrid w:val="0"/>
                <w:kern w:val="22"/>
                <w:szCs w:val="22"/>
              </w:rPr>
            </w:pPr>
            <w:r w:rsidRPr="004A1442">
              <w:rPr>
                <w:i/>
                <w:iCs/>
                <w:snapToGrid w:val="0"/>
                <w:szCs w:val="22"/>
              </w:rPr>
              <w:t>S</w:t>
            </w:r>
            <w:r w:rsidR="00C45095" w:rsidRPr="004A1442">
              <w:rPr>
                <w:i/>
                <w:iCs/>
                <w:snapToGrid w:val="0"/>
                <w:szCs w:val="22"/>
              </w:rPr>
              <w:t>ignatura</w:t>
            </w:r>
          </w:p>
        </w:tc>
        <w:tc>
          <w:tcPr>
            <w:tcW w:w="5524" w:type="dxa"/>
          </w:tcPr>
          <w:p w14:paraId="0126F316" w14:textId="0FDFC4C8" w:rsidR="002E2D1B" w:rsidRPr="004A1442" w:rsidRDefault="002E2D1B" w:rsidP="002E2D1B">
            <w:pPr>
              <w:spacing w:before="120" w:after="120"/>
              <w:jc w:val="left"/>
              <w:rPr>
                <w:i/>
                <w:iCs/>
                <w:snapToGrid w:val="0"/>
                <w:kern w:val="22"/>
                <w:szCs w:val="22"/>
              </w:rPr>
            </w:pPr>
            <w:r w:rsidRPr="004A1442">
              <w:rPr>
                <w:i/>
                <w:iCs/>
                <w:snapToGrid w:val="0"/>
                <w:szCs w:val="22"/>
              </w:rPr>
              <w:t>Título</w:t>
            </w:r>
          </w:p>
        </w:tc>
        <w:tc>
          <w:tcPr>
            <w:tcW w:w="710" w:type="dxa"/>
          </w:tcPr>
          <w:p w14:paraId="4E4838AE" w14:textId="6031DDE4" w:rsidR="002E2D1B" w:rsidRPr="004A1442" w:rsidRDefault="00D930F7" w:rsidP="00D930F7">
            <w:pPr>
              <w:spacing w:before="120" w:after="120"/>
              <w:jc w:val="right"/>
              <w:rPr>
                <w:i/>
                <w:iCs/>
                <w:snapToGrid w:val="0"/>
                <w:kern w:val="22"/>
                <w:szCs w:val="22"/>
              </w:rPr>
            </w:pPr>
            <w:r w:rsidRPr="004A1442">
              <w:rPr>
                <w:i/>
                <w:iCs/>
                <w:snapToGrid w:val="0"/>
                <w:szCs w:val="22"/>
              </w:rPr>
              <w:t>Tema</w:t>
            </w:r>
          </w:p>
        </w:tc>
      </w:tr>
      <w:tr w:rsidR="002E2D1B" w:rsidRPr="004A1442" w14:paraId="36B12A56" w14:textId="77777777" w:rsidTr="00311C9B">
        <w:tc>
          <w:tcPr>
            <w:tcW w:w="3116" w:type="dxa"/>
          </w:tcPr>
          <w:p w14:paraId="518668AD" w14:textId="3695B3D5" w:rsidR="002E2D1B" w:rsidRPr="004A1442" w:rsidRDefault="002E2D1B" w:rsidP="002E2D1B">
            <w:pPr>
              <w:spacing w:before="120" w:after="120"/>
              <w:jc w:val="left"/>
              <w:rPr>
                <w:i/>
                <w:iCs/>
                <w:snapToGrid w:val="0"/>
                <w:kern w:val="22"/>
                <w:szCs w:val="22"/>
              </w:rPr>
            </w:pPr>
            <w:r w:rsidRPr="004A1442">
              <w:rPr>
                <w:snapToGrid w:val="0"/>
                <w:szCs w:val="22"/>
              </w:rPr>
              <w:t>CBD/COP/15/1/Rev.1</w:t>
            </w:r>
          </w:p>
        </w:tc>
        <w:tc>
          <w:tcPr>
            <w:tcW w:w="5524" w:type="dxa"/>
          </w:tcPr>
          <w:p w14:paraId="2C6A82D9" w14:textId="3D194C4B" w:rsidR="002E2D1B" w:rsidRPr="004A1442" w:rsidRDefault="002E2D1B" w:rsidP="002E2D1B">
            <w:pPr>
              <w:spacing w:before="120" w:after="120"/>
              <w:jc w:val="left"/>
              <w:rPr>
                <w:i/>
                <w:iCs/>
                <w:snapToGrid w:val="0"/>
                <w:kern w:val="22"/>
                <w:szCs w:val="22"/>
              </w:rPr>
            </w:pPr>
            <w:r w:rsidRPr="004A1442">
              <w:rPr>
                <w:snapToGrid w:val="0"/>
                <w:szCs w:val="22"/>
              </w:rPr>
              <w:t>Programa provisional</w:t>
            </w:r>
          </w:p>
        </w:tc>
        <w:tc>
          <w:tcPr>
            <w:tcW w:w="710" w:type="dxa"/>
          </w:tcPr>
          <w:p w14:paraId="0D2A9C0C" w14:textId="708644B8" w:rsidR="002E2D1B" w:rsidRPr="004A1442" w:rsidRDefault="002C5784" w:rsidP="00365A57">
            <w:pPr>
              <w:spacing w:before="120" w:after="120"/>
              <w:jc w:val="right"/>
              <w:rPr>
                <w:snapToGrid w:val="0"/>
                <w:kern w:val="22"/>
                <w:szCs w:val="22"/>
              </w:rPr>
            </w:pPr>
            <w:r w:rsidRPr="004A1442">
              <w:rPr>
                <w:snapToGrid w:val="0"/>
                <w:szCs w:val="22"/>
              </w:rPr>
              <w:t>2</w:t>
            </w:r>
          </w:p>
        </w:tc>
      </w:tr>
      <w:tr w:rsidR="002E2D1B" w:rsidRPr="004A1442" w14:paraId="00CB5F08" w14:textId="77777777" w:rsidTr="00311C9B">
        <w:tc>
          <w:tcPr>
            <w:tcW w:w="3116" w:type="dxa"/>
          </w:tcPr>
          <w:p w14:paraId="45B20500" w14:textId="57F0BFB8" w:rsidR="002E2D1B" w:rsidRPr="004A1442" w:rsidRDefault="002E2D1B" w:rsidP="002E2D1B">
            <w:pPr>
              <w:spacing w:before="120" w:after="120"/>
              <w:jc w:val="left"/>
              <w:rPr>
                <w:i/>
                <w:iCs/>
                <w:snapToGrid w:val="0"/>
                <w:kern w:val="22"/>
                <w:szCs w:val="22"/>
              </w:rPr>
            </w:pPr>
            <w:r w:rsidRPr="004A1442">
              <w:rPr>
                <w:snapToGrid w:val="0"/>
                <w:szCs w:val="22"/>
              </w:rPr>
              <w:t>CBD/COP/15/1/Add.5</w:t>
            </w:r>
          </w:p>
        </w:tc>
        <w:tc>
          <w:tcPr>
            <w:tcW w:w="5524" w:type="dxa"/>
          </w:tcPr>
          <w:p w14:paraId="5976B015" w14:textId="1B1CD8F4" w:rsidR="002E2D1B" w:rsidRPr="004A1442" w:rsidRDefault="002E2D1B" w:rsidP="002E2D1B">
            <w:pPr>
              <w:spacing w:before="120" w:after="120"/>
              <w:jc w:val="left"/>
              <w:rPr>
                <w:i/>
                <w:iCs/>
                <w:snapToGrid w:val="0"/>
                <w:kern w:val="22"/>
                <w:szCs w:val="22"/>
              </w:rPr>
            </w:pPr>
            <w:r w:rsidRPr="004A1442">
              <w:rPr>
                <w:snapToGrid w:val="0"/>
                <w:szCs w:val="22"/>
              </w:rPr>
              <w:t>Anotaciones al programa</w:t>
            </w:r>
          </w:p>
        </w:tc>
        <w:tc>
          <w:tcPr>
            <w:tcW w:w="710" w:type="dxa"/>
          </w:tcPr>
          <w:p w14:paraId="394E02BA" w14:textId="46C22D38" w:rsidR="002E2D1B" w:rsidRPr="004A1442" w:rsidRDefault="002C5784" w:rsidP="00365A57">
            <w:pPr>
              <w:spacing w:before="120" w:after="120"/>
              <w:jc w:val="right"/>
              <w:rPr>
                <w:snapToGrid w:val="0"/>
                <w:kern w:val="22"/>
                <w:szCs w:val="22"/>
              </w:rPr>
            </w:pPr>
            <w:r w:rsidRPr="004A1442">
              <w:rPr>
                <w:snapToGrid w:val="0"/>
                <w:szCs w:val="22"/>
              </w:rPr>
              <w:t>2</w:t>
            </w:r>
          </w:p>
        </w:tc>
      </w:tr>
      <w:tr w:rsidR="002E2D1B" w:rsidRPr="004A1442" w14:paraId="12512E35" w14:textId="77777777" w:rsidTr="00311C9B">
        <w:tc>
          <w:tcPr>
            <w:tcW w:w="3116" w:type="dxa"/>
          </w:tcPr>
          <w:p w14:paraId="150977FF" w14:textId="18D5BA7C" w:rsidR="002E2D1B" w:rsidRPr="004A1442" w:rsidRDefault="002E2D1B" w:rsidP="002E2D1B">
            <w:pPr>
              <w:spacing w:before="120" w:after="120"/>
              <w:jc w:val="left"/>
              <w:rPr>
                <w:i/>
                <w:iCs/>
                <w:snapToGrid w:val="0"/>
                <w:kern w:val="22"/>
                <w:szCs w:val="22"/>
              </w:rPr>
            </w:pPr>
            <w:r w:rsidRPr="004A1442">
              <w:rPr>
                <w:snapToGrid w:val="0"/>
                <w:szCs w:val="22"/>
              </w:rPr>
              <w:t>CBD/COP/15/4</w:t>
            </w:r>
          </w:p>
        </w:tc>
        <w:tc>
          <w:tcPr>
            <w:tcW w:w="5524" w:type="dxa"/>
          </w:tcPr>
          <w:p w14:paraId="274D2D0F" w14:textId="3CBBBB25" w:rsidR="002E2D1B" w:rsidRPr="004A1442" w:rsidRDefault="002E2D1B" w:rsidP="002E2D1B">
            <w:pPr>
              <w:spacing w:before="120" w:after="120"/>
              <w:jc w:val="left"/>
              <w:rPr>
                <w:i/>
                <w:iCs/>
                <w:snapToGrid w:val="0"/>
                <w:kern w:val="22"/>
                <w:szCs w:val="22"/>
              </w:rPr>
            </w:pPr>
            <w:r w:rsidRPr="004A1442">
              <w:rPr>
                <w:snapToGrid w:val="0"/>
                <w:szCs w:val="22"/>
              </w:rPr>
              <w:t>Informe de la Conferencia de las Partes en el Convenio sobre la Diversidad Biológica sobre su 15ª reunión (parte I)</w:t>
            </w:r>
          </w:p>
        </w:tc>
        <w:tc>
          <w:tcPr>
            <w:tcW w:w="710" w:type="dxa"/>
          </w:tcPr>
          <w:p w14:paraId="56C65900" w14:textId="1F4BE756" w:rsidR="002E2D1B" w:rsidRPr="004A1442" w:rsidRDefault="008F7614" w:rsidP="00365A57">
            <w:pPr>
              <w:spacing w:before="120" w:after="120"/>
              <w:jc w:val="right"/>
              <w:rPr>
                <w:snapToGrid w:val="0"/>
                <w:kern w:val="22"/>
                <w:szCs w:val="22"/>
              </w:rPr>
            </w:pPr>
            <w:r w:rsidRPr="004A1442">
              <w:rPr>
                <w:snapToGrid w:val="0"/>
                <w:szCs w:val="22"/>
              </w:rPr>
              <w:t>29</w:t>
            </w:r>
          </w:p>
        </w:tc>
      </w:tr>
      <w:tr w:rsidR="002E2D1B" w:rsidRPr="004A1442" w14:paraId="36230EB1" w14:textId="77777777" w:rsidTr="00311C9B">
        <w:tc>
          <w:tcPr>
            <w:tcW w:w="3116" w:type="dxa"/>
          </w:tcPr>
          <w:p w14:paraId="4F6650EA" w14:textId="7192B64D" w:rsidR="002E2D1B" w:rsidRPr="00C2262E" w:rsidRDefault="002E2D1B" w:rsidP="002E2D1B">
            <w:pPr>
              <w:spacing w:before="120" w:after="120"/>
              <w:jc w:val="left"/>
              <w:rPr>
                <w:i/>
                <w:iCs/>
                <w:snapToGrid w:val="0"/>
                <w:kern w:val="22"/>
                <w:szCs w:val="22"/>
                <w:lang w:val="en-US"/>
              </w:rPr>
            </w:pPr>
            <w:r w:rsidRPr="00C2262E">
              <w:rPr>
                <w:snapToGrid w:val="0"/>
                <w:szCs w:val="22"/>
                <w:lang w:val="en-US"/>
              </w:rPr>
              <w:t>CBD/COP/15/Part-II/L.1/Rev.1</w:t>
            </w:r>
          </w:p>
        </w:tc>
        <w:tc>
          <w:tcPr>
            <w:tcW w:w="5524" w:type="dxa"/>
          </w:tcPr>
          <w:p w14:paraId="233AFA8D" w14:textId="4024A00B" w:rsidR="002E2D1B" w:rsidRPr="004A1442" w:rsidRDefault="002E2D1B" w:rsidP="002E2D1B">
            <w:pPr>
              <w:spacing w:before="120" w:after="120"/>
              <w:jc w:val="left"/>
              <w:rPr>
                <w:i/>
                <w:iCs/>
                <w:snapToGrid w:val="0"/>
                <w:kern w:val="22"/>
                <w:szCs w:val="22"/>
              </w:rPr>
            </w:pPr>
            <w:r w:rsidRPr="004A1442">
              <w:rPr>
                <w:snapToGrid w:val="0"/>
                <w:szCs w:val="22"/>
              </w:rPr>
              <w:t>Proyecto de informe de la reunión</w:t>
            </w:r>
          </w:p>
        </w:tc>
        <w:tc>
          <w:tcPr>
            <w:tcW w:w="710" w:type="dxa"/>
          </w:tcPr>
          <w:p w14:paraId="28AAA906" w14:textId="3407058D" w:rsidR="002E2D1B" w:rsidRPr="004A1442" w:rsidRDefault="008F7614" w:rsidP="00311C9B">
            <w:pPr>
              <w:spacing w:before="120" w:after="120"/>
              <w:jc w:val="right"/>
              <w:rPr>
                <w:snapToGrid w:val="0"/>
                <w:kern w:val="22"/>
                <w:szCs w:val="22"/>
              </w:rPr>
            </w:pPr>
            <w:r w:rsidRPr="004A1442">
              <w:rPr>
                <w:snapToGrid w:val="0"/>
                <w:szCs w:val="22"/>
              </w:rPr>
              <w:t>29</w:t>
            </w:r>
          </w:p>
        </w:tc>
      </w:tr>
    </w:tbl>
    <w:p w14:paraId="13205A26" w14:textId="50277C8B" w:rsidR="00205D80" w:rsidRPr="004A1442" w:rsidRDefault="004572BA" w:rsidP="00205D80">
      <w:pPr>
        <w:pStyle w:val="Heading-plainbold"/>
        <w:keepNext/>
        <w:numPr>
          <w:ilvl w:val="2"/>
          <w:numId w:val="38"/>
        </w:numPr>
        <w:suppressLineNumbers/>
        <w:suppressAutoHyphens/>
        <w:kinsoku w:val="0"/>
        <w:overflowPunct w:val="0"/>
        <w:autoSpaceDE w:val="0"/>
        <w:autoSpaceDN w:val="0"/>
        <w:ind w:left="0" w:firstLine="0"/>
        <w:rPr>
          <w:i w:val="0"/>
          <w:iCs/>
          <w:snapToGrid w:val="0"/>
          <w:kern w:val="22"/>
          <w:szCs w:val="22"/>
        </w:rPr>
      </w:pPr>
      <w:r w:rsidRPr="004A1442">
        <w:rPr>
          <w:i w:val="0"/>
          <w:iCs/>
          <w:snapToGrid w:val="0"/>
          <w:szCs w:val="22"/>
        </w:rPr>
        <w:t xml:space="preserve">Documentos de información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5490"/>
        <w:gridCol w:w="720"/>
      </w:tblGrid>
      <w:tr w:rsidR="00082F78" w:rsidRPr="004A1442" w14:paraId="76A796D7" w14:textId="77777777" w:rsidTr="00311C9B">
        <w:tc>
          <w:tcPr>
            <w:tcW w:w="3150" w:type="dxa"/>
          </w:tcPr>
          <w:p w14:paraId="1B62CFCC" w14:textId="6D05ADA7" w:rsidR="00082F78" w:rsidRPr="004A1442" w:rsidRDefault="00082F78" w:rsidP="000C52FD">
            <w:pPr>
              <w:spacing w:before="120" w:after="120"/>
              <w:rPr>
                <w:szCs w:val="22"/>
              </w:rPr>
            </w:pPr>
            <w:r w:rsidRPr="004A1442">
              <w:rPr>
                <w:i/>
                <w:iCs/>
                <w:snapToGrid w:val="0"/>
                <w:szCs w:val="22"/>
              </w:rPr>
              <w:t>S</w:t>
            </w:r>
            <w:r w:rsidR="000C52FD" w:rsidRPr="004A1442">
              <w:rPr>
                <w:i/>
                <w:iCs/>
                <w:snapToGrid w:val="0"/>
                <w:szCs w:val="22"/>
              </w:rPr>
              <w:t>ignatura</w:t>
            </w:r>
          </w:p>
        </w:tc>
        <w:tc>
          <w:tcPr>
            <w:tcW w:w="5490" w:type="dxa"/>
          </w:tcPr>
          <w:p w14:paraId="38CA8A45" w14:textId="7EF97E82" w:rsidR="00082F78" w:rsidRPr="004A1442" w:rsidRDefault="00082F78">
            <w:pPr>
              <w:suppressLineNumbers/>
              <w:tabs>
                <w:tab w:val="left" w:pos="360"/>
                <w:tab w:val="left" w:pos="720"/>
              </w:tabs>
              <w:suppressAutoHyphens/>
              <w:kinsoku w:val="0"/>
              <w:overflowPunct w:val="0"/>
              <w:autoSpaceDE w:val="0"/>
              <w:autoSpaceDN w:val="0"/>
              <w:adjustRightInd w:val="0"/>
              <w:snapToGrid w:val="0"/>
              <w:spacing w:before="120" w:after="120"/>
              <w:jc w:val="left"/>
              <w:rPr>
                <w:snapToGrid w:val="0"/>
                <w:kern w:val="22"/>
                <w:szCs w:val="22"/>
              </w:rPr>
            </w:pPr>
            <w:r w:rsidRPr="004A1442">
              <w:rPr>
                <w:i/>
                <w:iCs/>
                <w:snapToGrid w:val="0"/>
                <w:szCs w:val="22"/>
              </w:rPr>
              <w:t>Título</w:t>
            </w:r>
          </w:p>
        </w:tc>
        <w:tc>
          <w:tcPr>
            <w:tcW w:w="720" w:type="dxa"/>
          </w:tcPr>
          <w:p w14:paraId="4D2745A5" w14:textId="1A1B1D30" w:rsidR="00082F78" w:rsidRPr="004A1442" w:rsidRDefault="00082F78" w:rsidP="00A27548">
            <w:pPr>
              <w:suppressLineNumbers/>
              <w:tabs>
                <w:tab w:val="left" w:pos="360"/>
                <w:tab w:val="left" w:pos="720"/>
              </w:tabs>
              <w:suppressAutoHyphens/>
              <w:kinsoku w:val="0"/>
              <w:overflowPunct w:val="0"/>
              <w:autoSpaceDE w:val="0"/>
              <w:autoSpaceDN w:val="0"/>
              <w:adjustRightInd w:val="0"/>
              <w:snapToGrid w:val="0"/>
              <w:spacing w:before="120" w:after="120"/>
              <w:jc w:val="right"/>
              <w:rPr>
                <w:snapToGrid w:val="0"/>
                <w:kern w:val="22"/>
                <w:szCs w:val="22"/>
              </w:rPr>
            </w:pPr>
            <w:r w:rsidRPr="004A1442">
              <w:rPr>
                <w:i/>
                <w:iCs/>
                <w:snapToGrid w:val="0"/>
                <w:szCs w:val="22"/>
              </w:rPr>
              <w:t>Tema</w:t>
            </w:r>
          </w:p>
        </w:tc>
      </w:tr>
      <w:tr w:rsidR="00300F4B" w:rsidRPr="004A1442" w14:paraId="62D0394E" w14:textId="77777777" w:rsidTr="00311C9B">
        <w:tc>
          <w:tcPr>
            <w:tcW w:w="3150" w:type="dxa"/>
          </w:tcPr>
          <w:p w14:paraId="48A01E80" w14:textId="07C2E69E" w:rsidR="00257770" w:rsidRPr="004A1442" w:rsidRDefault="00257770" w:rsidP="00D930F7">
            <w:pPr>
              <w:spacing w:before="120" w:after="120"/>
              <w:rPr>
                <w:szCs w:val="22"/>
              </w:rPr>
            </w:pPr>
            <w:r w:rsidRPr="004A1442">
              <w:t>CBD/COP/15/INF/27</w:t>
            </w:r>
          </w:p>
        </w:tc>
        <w:tc>
          <w:tcPr>
            <w:tcW w:w="5490" w:type="dxa"/>
          </w:tcPr>
          <w:p w14:paraId="41BEEEF0" w14:textId="74D24EED" w:rsidR="00300F4B" w:rsidRPr="004A1442" w:rsidRDefault="00462F28" w:rsidP="00311C9B">
            <w:pPr>
              <w:suppressLineNumbers/>
              <w:tabs>
                <w:tab w:val="left" w:pos="360"/>
                <w:tab w:val="left" w:pos="720"/>
              </w:tabs>
              <w:suppressAutoHyphens/>
              <w:kinsoku w:val="0"/>
              <w:overflowPunct w:val="0"/>
              <w:autoSpaceDE w:val="0"/>
              <w:autoSpaceDN w:val="0"/>
              <w:adjustRightInd w:val="0"/>
              <w:snapToGrid w:val="0"/>
              <w:spacing w:before="120" w:after="120"/>
              <w:jc w:val="left"/>
              <w:rPr>
                <w:snapToGrid w:val="0"/>
                <w:kern w:val="22"/>
                <w:szCs w:val="22"/>
              </w:rPr>
            </w:pPr>
            <w:r w:rsidRPr="004A1442">
              <w:rPr>
                <w:snapToGrid w:val="0"/>
                <w:szCs w:val="22"/>
              </w:rPr>
              <w:t xml:space="preserve">Admisión de órganos y organismos competentes en la continuación de la segunda parte de la 15ª reunión de la Conferencia de las Partes y en las reuniones concurrentes de la Conferencia de las Partes que actúan como reuniones de las Partes en los Protocolos </w:t>
            </w:r>
          </w:p>
        </w:tc>
        <w:tc>
          <w:tcPr>
            <w:tcW w:w="720" w:type="dxa"/>
          </w:tcPr>
          <w:p w14:paraId="54E1503E" w14:textId="14A27D26" w:rsidR="00300F4B" w:rsidRPr="004A1442" w:rsidRDefault="00BE2363" w:rsidP="00311C9B">
            <w:pPr>
              <w:suppressLineNumbers/>
              <w:tabs>
                <w:tab w:val="left" w:pos="360"/>
                <w:tab w:val="left" w:pos="720"/>
              </w:tabs>
              <w:suppressAutoHyphens/>
              <w:kinsoku w:val="0"/>
              <w:overflowPunct w:val="0"/>
              <w:autoSpaceDE w:val="0"/>
              <w:autoSpaceDN w:val="0"/>
              <w:adjustRightInd w:val="0"/>
              <w:snapToGrid w:val="0"/>
              <w:spacing w:before="120" w:after="120"/>
              <w:jc w:val="right"/>
              <w:rPr>
                <w:snapToGrid w:val="0"/>
                <w:kern w:val="22"/>
                <w:szCs w:val="22"/>
              </w:rPr>
            </w:pPr>
            <w:r w:rsidRPr="004A1442">
              <w:rPr>
                <w:snapToGrid w:val="0"/>
                <w:szCs w:val="22"/>
              </w:rPr>
              <w:t>3</w:t>
            </w:r>
          </w:p>
        </w:tc>
      </w:tr>
      <w:tr w:rsidR="0000126C" w:rsidRPr="004A1442" w14:paraId="077CE38F" w14:textId="77777777" w:rsidTr="00311C9B">
        <w:tc>
          <w:tcPr>
            <w:tcW w:w="3150" w:type="dxa"/>
          </w:tcPr>
          <w:p w14:paraId="1D33F3A6" w14:textId="445DD643" w:rsidR="0000126C" w:rsidRPr="004A1442" w:rsidRDefault="0000126C" w:rsidP="00D930F7">
            <w:pPr>
              <w:spacing w:before="120" w:after="120"/>
              <w:rPr>
                <w:snapToGrid w:val="0"/>
                <w:kern w:val="22"/>
                <w:szCs w:val="22"/>
              </w:rPr>
            </w:pPr>
            <w:r w:rsidRPr="004A1442">
              <w:rPr>
                <w:snapToGrid w:val="0"/>
                <w:szCs w:val="22"/>
              </w:rPr>
              <w:t>CBD/COP/15/INF/28</w:t>
            </w:r>
          </w:p>
        </w:tc>
        <w:tc>
          <w:tcPr>
            <w:tcW w:w="5490" w:type="dxa"/>
          </w:tcPr>
          <w:p w14:paraId="6D16D6F5" w14:textId="13ECCDFF" w:rsidR="0000126C" w:rsidRPr="004A1442" w:rsidRDefault="0000126C" w:rsidP="00311C9B">
            <w:pPr>
              <w:suppressLineNumbers/>
              <w:tabs>
                <w:tab w:val="left" w:pos="360"/>
                <w:tab w:val="left" w:pos="720"/>
              </w:tabs>
              <w:suppressAutoHyphens/>
              <w:kinsoku w:val="0"/>
              <w:overflowPunct w:val="0"/>
              <w:autoSpaceDE w:val="0"/>
              <w:autoSpaceDN w:val="0"/>
              <w:adjustRightInd w:val="0"/>
              <w:snapToGrid w:val="0"/>
              <w:spacing w:before="120" w:after="120"/>
              <w:jc w:val="left"/>
              <w:rPr>
                <w:snapToGrid w:val="0"/>
                <w:kern w:val="22"/>
                <w:szCs w:val="22"/>
              </w:rPr>
            </w:pPr>
            <w:r w:rsidRPr="004A1442">
              <w:rPr>
                <w:snapToGrid w:val="0"/>
                <w:szCs w:val="22"/>
              </w:rPr>
              <w:t>Procedimientos para las elecciones destinadas a cubrir los puestos de Vicepresidentes de la Mesa de la Conferencia de las Partes en el Convenio, Presidente del Órgano Subsidiario de Asesoramiento Científico, Técnico y Tecnológico y Presidente del Órgano Subsidiario sobre la Aplicación</w:t>
            </w:r>
          </w:p>
        </w:tc>
        <w:tc>
          <w:tcPr>
            <w:tcW w:w="720" w:type="dxa"/>
          </w:tcPr>
          <w:p w14:paraId="204162ED" w14:textId="33E2317B" w:rsidR="0000126C" w:rsidRPr="004A1442" w:rsidRDefault="00A27548" w:rsidP="00311C9B">
            <w:pPr>
              <w:suppressLineNumbers/>
              <w:tabs>
                <w:tab w:val="left" w:pos="360"/>
                <w:tab w:val="left" w:pos="720"/>
              </w:tabs>
              <w:suppressAutoHyphens/>
              <w:kinsoku w:val="0"/>
              <w:overflowPunct w:val="0"/>
              <w:autoSpaceDE w:val="0"/>
              <w:autoSpaceDN w:val="0"/>
              <w:adjustRightInd w:val="0"/>
              <w:snapToGrid w:val="0"/>
              <w:spacing w:before="120" w:after="120"/>
              <w:jc w:val="right"/>
              <w:rPr>
                <w:snapToGrid w:val="0"/>
                <w:kern w:val="22"/>
                <w:szCs w:val="22"/>
              </w:rPr>
            </w:pPr>
            <w:r w:rsidRPr="004A1442">
              <w:rPr>
                <w:snapToGrid w:val="0"/>
                <w:szCs w:val="22"/>
              </w:rPr>
              <w:t>2</w:t>
            </w:r>
          </w:p>
        </w:tc>
      </w:tr>
    </w:tbl>
    <w:p w14:paraId="21CD4B16" w14:textId="77777777" w:rsidR="00300F4B" w:rsidRPr="004A1442" w:rsidRDefault="00300F4B" w:rsidP="00942CC3">
      <w:pPr>
        <w:suppressLineNumbers/>
        <w:tabs>
          <w:tab w:val="left" w:pos="360"/>
          <w:tab w:val="left" w:pos="720"/>
        </w:tabs>
        <w:suppressAutoHyphens/>
        <w:kinsoku w:val="0"/>
        <w:overflowPunct w:val="0"/>
        <w:autoSpaceDE w:val="0"/>
        <w:autoSpaceDN w:val="0"/>
        <w:adjustRightInd w:val="0"/>
        <w:snapToGrid w:val="0"/>
        <w:spacing w:before="120" w:after="120"/>
        <w:rPr>
          <w:snapToGrid w:val="0"/>
          <w:kern w:val="22"/>
          <w:szCs w:val="22"/>
        </w:rPr>
      </w:pPr>
    </w:p>
    <w:p w14:paraId="6AF0032E" w14:textId="77777777" w:rsidR="00462F28" w:rsidRPr="004A1442" w:rsidRDefault="00462F28" w:rsidP="00311C9B">
      <w:pPr>
        <w:suppressLineNumbers/>
        <w:tabs>
          <w:tab w:val="left" w:pos="360"/>
        </w:tabs>
        <w:suppressAutoHyphens/>
        <w:kinsoku w:val="0"/>
        <w:overflowPunct w:val="0"/>
        <w:autoSpaceDE w:val="0"/>
        <w:autoSpaceDN w:val="0"/>
        <w:adjustRightInd w:val="0"/>
        <w:snapToGrid w:val="0"/>
        <w:spacing w:before="120"/>
        <w:ind w:left="2880" w:hanging="2880"/>
        <w:rPr>
          <w:snapToGrid w:val="0"/>
          <w:kern w:val="22"/>
          <w:szCs w:val="22"/>
        </w:rPr>
      </w:pPr>
    </w:p>
    <w:p w14:paraId="708B6317" w14:textId="77777777" w:rsidR="002D096C" w:rsidRPr="004A1442" w:rsidRDefault="002D096C">
      <w:pPr>
        <w:jc w:val="left"/>
        <w:rPr>
          <w:i/>
          <w:iCs/>
          <w:snapToGrid w:val="0"/>
          <w:kern w:val="22"/>
          <w:szCs w:val="22"/>
        </w:rPr>
      </w:pPr>
      <w:r w:rsidRPr="004A1442">
        <w:br w:type="page"/>
      </w:r>
    </w:p>
    <w:p w14:paraId="3DCAB00C" w14:textId="0A516B3B" w:rsidR="00462F28" w:rsidRPr="004A1442" w:rsidRDefault="00257770" w:rsidP="00257770">
      <w:pPr>
        <w:suppressLineNumbers/>
        <w:tabs>
          <w:tab w:val="left" w:pos="360"/>
          <w:tab w:val="left" w:pos="720"/>
        </w:tabs>
        <w:suppressAutoHyphens/>
        <w:kinsoku w:val="0"/>
        <w:overflowPunct w:val="0"/>
        <w:autoSpaceDE w:val="0"/>
        <w:autoSpaceDN w:val="0"/>
        <w:adjustRightInd w:val="0"/>
        <w:snapToGrid w:val="0"/>
        <w:spacing w:before="120" w:after="120"/>
        <w:jc w:val="center"/>
        <w:rPr>
          <w:i/>
          <w:iCs/>
          <w:snapToGrid w:val="0"/>
          <w:kern w:val="22"/>
          <w:szCs w:val="22"/>
        </w:rPr>
      </w:pPr>
      <w:r w:rsidRPr="004A1442">
        <w:rPr>
          <w:i/>
          <w:iCs/>
          <w:snapToGrid w:val="0"/>
          <w:szCs w:val="22"/>
        </w:rPr>
        <w:lastRenderedPageBreak/>
        <w:t>Anexo II</w:t>
      </w:r>
    </w:p>
    <w:p w14:paraId="3E432476" w14:textId="379C9AF8" w:rsidR="001867BB" w:rsidRPr="004A1442" w:rsidRDefault="001867BB" w:rsidP="00E16199">
      <w:pPr>
        <w:suppressLineNumbers/>
        <w:tabs>
          <w:tab w:val="left" w:pos="360"/>
          <w:tab w:val="left" w:pos="720"/>
        </w:tabs>
        <w:suppressAutoHyphens/>
        <w:kinsoku w:val="0"/>
        <w:overflowPunct w:val="0"/>
        <w:autoSpaceDE w:val="0"/>
        <w:autoSpaceDN w:val="0"/>
        <w:adjustRightInd w:val="0"/>
        <w:snapToGrid w:val="0"/>
        <w:spacing w:before="120" w:after="120"/>
        <w:jc w:val="center"/>
        <w:rPr>
          <w:b/>
          <w:snapToGrid w:val="0"/>
          <w:kern w:val="22"/>
          <w:szCs w:val="22"/>
        </w:rPr>
      </w:pPr>
      <w:r w:rsidRPr="004A1442">
        <w:rPr>
          <w:b/>
          <w:snapToGrid w:val="0"/>
          <w:szCs w:val="22"/>
        </w:rPr>
        <w:t>ORGANIZACIÓN DE LOS TRABAJOS PROPUESTA PARA LA CONTINUACIÓN DE LA SEGUNDA PARTE DE LA 15ª REUNIÓN DE LA CONFERENCIA DE LAS PARTES EN EL CONVENIO SOBRE LA DIVERSIDAD BIOLÓGICA</w:t>
      </w:r>
    </w:p>
    <w:p w14:paraId="6B558F14" w14:textId="6B8AF908" w:rsidR="00257770" w:rsidRPr="004A1442" w:rsidRDefault="00257770" w:rsidP="00304F22">
      <w:pPr>
        <w:suppressLineNumbers/>
        <w:tabs>
          <w:tab w:val="left" w:pos="360"/>
          <w:tab w:val="left" w:pos="720"/>
        </w:tabs>
        <w:suppressAutoHyphens/>
        <w:kinsoku w:val="0"/>
        <w:overflowPunct w:val="0"/>
        <w:autoSpaceDE w:val="0"/>
        <w:autoSpaceDN w:val="0"/>
        <w:adjustRightInd w:val="0"/>
        <w:snapToGrid w:val="0"/>
        <w:spacing w:before="120" w:after="120"/>
        <w:jc w:val="left"/>
        <w:rPr>
          <w:bCs/>
          <w:i/>
          <w:iCs/>
          <w:snapToGrid w:val="0"/>
          <w:kern w:val="22"/>
          <w:szCs w:val="22"/>
        </w:rPr>
      </w:pPr>
    </w:p>
    <w:tbl>
      <w:tblPr>
        <w:tblStyle w:val="TableGrid"/>
        <w:tblW w:w="10070" w:type="dxa"/>
        <w:tblLook w:val="04A0" w:firstRow="1" w:lastRow="0" w:firstColumn="1" w:lastColumn="0" w:noHBand="0" w:noVBand="1"/>
      </w:tblPr>
      <w:tblGrid>
        <w:gridCol w:w="1669"/>
        <w:gridCol w:w="742"/>
        <w:gridCol w:w="742"/>
        <w:gridCol w:w="742"/>
        <w:gridCol w:w="6175"/>
      </w:tblGrid>
      <w:tr w:rsidR="00E022E0" w:rsidRPr="004A1442" w14:paraId="3900A47D" w14:textId="77777777" w:rsidTr="00311C9B">
        <w:tc>
          <w:tcPr>
            <w:tcW w:w="1706" w:type="dxa"/>
            <w:tcBorders>
              <w:left w:val="nil"/>
              <w:bottom w:val="double" w:sz="4" w:space="0" w:color="000000"/>
              <w:right w:val="dotted" w:sz="4" w:space="0" w:color="000000"/>
            </w:tcBorders>
          </w:tcPr>
          <w:p w14:paraId="461BFFAE" w14:textId="77777777" w:rsidR="00E022E0" w:rsidRPr="004A1442" w:rsidRDefault="00E022E0" w:rsidP="00DC748A">
            <w:pPr>
              <w:snapToGrid w:val="0"/>
              <w:spacing w:before="40" w:after="40"/>
              <w:rPr>
                <w:rFonts w:cs="Calibri"/>
                <w:i/>
                <w:iCs/>
                <w:kern w:val="22"/>
                <w:szCs w:val="22"/>
              </w:rPr>
            </w:pPr>
            <w:r w:rsidRPr="004A1442">
              <w:rPr>
                <w:i/>
                <w:iCs/>
                <w:szCs w:val="22"/>
              </w:rPr>
              <w:t>Fecha</w:t>
            </w:r>
          </w:p>
        </w:tc>
        <w:tc>
          <w:tcPr>
            <w:tcW w:w="8364" w:type="dxa"/>
            <w:gridSpan w:val="4"/>
            <w:tcBorders>
              <w:left w:val="dotted" w:sz="4" w:space="0" w:color="000000"/>
              <w:bottom w:val="single" w:sz="4" w:space="0" w:color="auto"/>
              <w:right w:val="nil"/>
            </w:tcBorders>
          </w:tcPr>
          <w:p w14:paraId="3B2C9944" w14:textId="57BEB9F5" w:rsidR="00E022E0" w:rsidRPr="004A1442" w:rsidRDefault="00E022E0" w:rsidP="00311C9B">
            <w:pPr>
              <w:snapToGrid w:val="0"/>
              <w:spacing w:before="40" w:after="40"/>
              <w:jc w:val="center"/>
              <w:rPr>
                <w:rFonts w:cs="Calibri"/>
                <w:b/>
                <w:bCs/>
                <w:i/>
                <w:iCs/>
                <w:kern w:val="22"/>
                <w:szCs w:val="22"/>
              </w:rPr>
            </w:pPr>
            <w:r w:rsidRPr="004A1442">
              <w:rPr>
                <w:i/>
                <w:iCs/>
                <w:szCs w:val="22"/>
              </w:rPr>
              <w:t>Temas del programa</w:t>
            </w:r>
          </w:p>
        </w:tc>
      </w:tr>
      <w:tr w:rsidR="00E022E0" w:rsidRPr="004A1442" w14:paraId="6255815E" w14:textId="77777777" w:rsidTr="00311C9B">
        <w:tc>
          <w:tcPr>
            <w:tcW w:w="1706" w:type="dxa"/>
            <w:vMerge w:val="restart"/>
            <w:tcBorders>
              <w:top w:val="double" w:sz="4" w:space="0" w:color="000000"/>
              <w:bottom w:val="double" w:sz="4" w:space="0" w:color="000000"/>
              <w:right w:val="single" w:sz="4" w:space="0" w:color="auto"/>
            </w:tcBorders>
          </w:tcPr>
          <w:p w14:paraId="68B320A1" w14:textId="4AF0D5A7" w:rsidR="00E022E0" w:rsidRPr="004A1442" w:rsidRDefault="00E022E0" w:rsidP="00DC748A">
            <w:pPr>
              <w:snapToGrid w:val="0"/>
              <w:spacing w:before="40" w:after="40"/>
              <w:jc w:val="left"/>
              <w:rPr>
                <w:rFonts w:cs="Calibri"/>
                <w:kern w:val="22"/>
                <w:szCs w:val="22"/>
              </w:rPr>
            </w:pPr>
            <w:r w:rsidRPr="004A1442">
              <w:t>Jueves 19 de octubre</w:t>
            </w:r>
          </w:p>
          <w:p w14:paraId="4D129EB2" w14:textId="0C113EE7" w:rsidR="00E022E0" w:rsidRPr="004A1442" w:rsidRDefault="00E022E0" w:rsidP="00DC748A">
            <w:pPr>
              <w:snapToGrid w:val="0"/>
              <w:spacing w:before="40" w:after="40"/>
              <w:jc w:val="left"/>
              <w:rPr>
                <w:rFonts w:cs="Calibri"/>
                <w:kern w:val="22"/>
                <w:szCs w:val="22"/>
              </w:rPr>
            </w:pPr>
            <w:r w:rsidRPr="004A1442">
              <w:t>(15.00 – 18.00 horas)</w:t>
            </w:r>
          </w:p>
        </w:tc>
        <w:tc>
          <w:tcPr>
            <w:tcW w:w="669" w:type="dxa"/>
            <w:tcBorders>
              <w:top w:val="double" w:sz="4" w:space="0" w:color="000000"/>
              <w:left w:val="single" w:sz="4" w:space="0" w:color="auto"/>
              <w:bottom w:val="dotted" w:sz="4" w:space="0" w:color="000000"/>
              <w:right w:val="dotted" w:sz="4" w:space="0" w:color="000000"/>
            </w:tcBorders>
          </w:tcPr>
          <w:p w14:paraId="5E5F0288" w14:textId="77777777" w:rsidR="00E022E0" w:rsidRPr="004A1442" w:rsidRDefault="00E022E0" w:rsidP="00DC748A">
            <w:pPr>
              <w:shd w:val="clear" w:color="auto" w:fill="92D050"/>
              <w:snapToGrid w:val="0"/>
              <w:spacing w:before="40" w:after="40"/>
              <w:rPr>
                <w:rFonts w:cs="Calibri"/>
                <w:kern w:val="22"/>
                <w:szCs w:val="22"/>
              </w:rPr>
            </w:pPr>
            <w:r w:rsidRPr="004A1442">
              <w:t>CDB</w:t>
            </w:r>
          </w:p>
        </w:tc>
        <w:tc>
          <w:tcPr>
            <w:tcW w:w="626" w:type="dxa"/>
            <w:tcBorders>
              <w:top w:val="double" w:sz="4" w:space="0" w:color="000000"/>
              <w:left w:val="dotted" w:sz="4" w:space="0" w:color="000000"/>
              <w:bottom w:val="dotted" w:sz="4" w:space="0" w:color="000000"/>
              <w:right w:val="dotted" w:sz="4" w:space="0" w:color="000000"/>
            </w:tcBorders>
          </w:tcPr>
          <w:p w14:paraId="7DF0FC83" w14:textId="77777777" w:rsidR="00E022E0" w:rsidRPr="004A1442" w:rsidRDefault="00E022E0" w:rsidP="00DC748A">
            <w:pPr>
              <w:shd w:val="clear" w:color="auto" w:fill="FFC000"/>
              <w:tabs>
                <w:tab w:val="left" w:pos="154"/>
                <w:tab w:val="left" w:pos="208"/>
              </w:tabs>
              <w:snapToGrid w:val="0"/>
              <w:spacing w:before="40" w:after="40"/>
              <w:ind w:right="-612"/>
              <w:rPr>
                <w:rFonts w:cs="Calibri"/>
                <w:kern w:val="22"/>
                <w:szCs w:val="22"/>
              </w:rPr>
            </w:pPr>
            <w:r w:rsidRPr="004A1442">
              <w:t>PC</w:t>
            </w:r>
          </w:p>
        </w:tc>
        <w:tc>
          <w:tcPr>
            <w:tcW w:w="666" w:type="dxa"/>
            <w:tcBorders>
              <w:top w:val="double" w:sz="4" w:space="0" w:color="000000"/>
              <w:left w:val="dotted" w:sz="4" w:space="0" w:color="000000"/>
              <w:bottom w:val="dotted" w:sz="4" w:space="0" w:color="000000"/>
              <w:right w:val="dotted" w:sz="4" w:space="0" w:color="000000"/>
            </w:tcBorders>
          </w:tcPr>
          <w:p w14:paraId="21141704" w14:textId="77777777" w:rsidR="00E022E0" w:rsidRPr="004A1442" w:rsidRDefault="00E022E0" w:rsidP="00DC748A">
            <w:pPr>
              <w:shd w:val="clear" w:color="auto" w:fill="00B0F0"/>
              <w:snapToGrid w:val="0"/>
              <w:spacing w:before="40" w:after="40"/>
              <w:rPr>
                <w:rFonts w:cs="Calibri"/>
                <w:kern w:val="22"/>
                <w:szCs w:val="22"/>
              </w:rPr>
            </w:pPr>
            <w:r w:rsidRPr="004A1442">
              <w:t>PN</w:t>
            </w:r>
          </w:p>
        </w:tc>
        <w:tc>
          <w:tcPr>
            <w:tcW w:w="6403" w:type="dxa"/>
            <w:tcBorders>
              <w:top w:val="double" w:sz="4" w:space="0" w:color="000000"/>
              <w:left w:val="dotted" w:sz="4" w:space="0" w:color="000000"/>
              <w:bottom w:val="dotted" w:sz="4" w:space="0" w:color="000000"/>
            </w:tcBorders>
          </w:tcPr>
          <w:p w14:paraId="1AC3BDCF" w14:textId="77777777" w:rsidR="00E022E0" w:rsidRPr="004A1442" w:rsidRDefault="00E022E0" w:rsidP="00DC748A">
            <w:pPr>
              <w:snapToGrid w:val="0"/>
              <w:spacing w:before="40" w:after="40"/>
              <w:rPr>
                <w:rFonts w:cs="Calibri"/>
                <w:kern w:val="22"/>
                <w:szCs w:val="22"/>
              </w:rPr>
            </w:pPr>
          </w:p>
        </w:tc>
      </w:tr>
      <w:tr w:rsidR="00E022E0" w:rsidRPr="004A1442" w14:paraId="1FB0A38D" w14:textId="77777777" w:rsidTr="00311C9B">
        <w:tc>
          <w:tcPr>
            <w:tcW w:w="1706" w:type="dxa"/>
            <w:vMerge/>
            <w:tcBorders>
              <w:bottom w:val="double" w:sz="4" w:space="0" w:color="000000"/>
              <w:right w:val="single" w:sz="4" w:space="0" w:color="auto"/>
            </w:tcBorders>
          </w:tcPr>
          <w:p w14:paraId="0550E4D2" w14:textId="77777777" w:rsidR="00E022E0" w:rsidRPr="004A1442" w:rsidRDefault="00E022E0" w:rsidP="00DC748A">
            <w:pPr>
              <w:snapToGrid w:val="0"/>
              <w:spacing w:before="40" w:after="40"/>
              <w:jc w:val="left"/>
              <w:rPr>
                <w:rFonts w:cs="Calibri"/>
                <w:kern w:val="22"/>
                <w:szCs w:val="22"/>
              </w:rPr>
            </w:pPr>
          </w:p>
        </w:tc>
        <w:tc>
          <w:tcPr>
            <w:tcW w:w="669" w:type="dxa"/>
            <w:tcBorders>
              <w:top w:val="dotted" w:sz="4" w:space="0" w:color="000000"/>
              <w:left w:val="single" w:sz="4" w:space="0" w:color="auto"/>
              <w:bottom w:val="dotted" w:sz="4" w:space="0" w:color="000000"/>
              <w:right w:val="dotted" w:sz="4" w:space="0" w:color="000000"/>
            </w:tcBorders>
          </w:tcPr>
          <w:p w14:paraId="0B66EE76" w14:textId="77777777" w:rsidR="00E022E0" w:rsidRPr="004A1442" w:rsidRDefault="00E022E0" w:rsidP="00DC748A">
            <w:pPr>
              <w:shd w:val="clear" w:color="auto" w:fill="92D050"/>
              <w:snapToGrid w:val="0"/>
              <w:spacing w:before="40" w:after="40"/>
              <w:rPr>
                <w:rFonts w:cs="Calibri"/>
                <w:kern w:val="22"/>
                <w:szCs w:val="22"/>
              </w:rPr>
            </w:pPr>
            <w:r w:rsidRPr="004A1442">
              <w:t>1</w:t>
            </w:r>
          </w:p>
        </w:tc>
        <w:tc>
          <w:tcPr>
            <w:tcW w:w="626" w:type="dxa"/>
            <w:tcBorders>
              <w:top w:val="dotted" w:sz="4" w:space="0" w:color="000000"/>
              <w:left w:val="dotted" w:sz="4" w:space="0" w:color="000000"/>
              <w:bottom w:val="dotted" w:sz="4" w:space="0" w:color="000000"/>
              <w:right w:val="dotted" w:sz="4" w:space="0" w:color="000000"/>
            </w:tcBorders>
          </w:tcPr>
          <w:p w14:paraId="06D6D1C1" w14:textId="77777777" w:rsidR="00E022E0" w:rsidRPr="004A1442" w:rsidRDefault="00E022E0" w:rsidP="00DC748A">
            <w:pPr>
              <w:shd w:val="clear" w:color="auto" w:fill="FFC000"/>
              <w:tabs>
                <w:tab w:val="left" w:pos="154"/>
                <w:tab w:val="left" w:pos="208"/>
              </w:tabs>
              <w:snapToGrid w:val="0"/>
              <w:spacing w:before="40" w:after="40"/>
              <w:ind w:right="-612"/>
              <w:rPr>
                <w:rFonts w:cs="Calibri"/>
                <w:kern w:val="22"/>
                <w:szCs w:val="22"/>
              </w:rPr>
            </w:pPr>
            <w:r w:rsidRPr="004A1442">
              <w:t>1</w:t>
            </w:r>
          </w:p>
        </w:tc>
        <w:tc>
          <w:tcPr>
            <w:tcW w:w="666" w:type="dxa"/>
            <w:tcBorders>
              <w:top w:val="dotted" w:sz="4" w:space="0" w:color="000000"/>
              <w:left w:val="dotted" w:sz="4" w:space="0" w:color="000000"/>
              <w:bottom w:val="dotted" w:sz="4" w:space="0" w:color="000000"/>
              <w:right w:val="dotted" w:sz="4" w:space="0" w:color="000000"/>
            </w:tcBorders>
          </w:tcPr>
          <w:p w14:paraId="7A398505" w14:textId="77777777" w:rsidR="00E022E0" w:rsidRPr="004A1442" w:rsidRDefault="00E022E0" w:rsidP="00DC748A">
            <w:pPr>
              <w:shd w:val="clear" w:color="auto" w:fill="00B0F0"/>
              <w:snapToGrid w:val="0"/>
              <w:spacing w:before="40" w:after="40"/>
              <w:rPr>
                <w:rFonts w:cs="Calibri"/>
                <w:kern w:val="22"/>
                <w:szCs w:val="22"/>
              </w:rPr>
            </w:pPr>
            <w:r w:rsidRPr="004A1442">
              <w:t>1</w:t>
            </w:r>
          </w:p>
        </w:tc>
        <w:tc>
          <w:tcPr>
            <w:tcW w:w="6403" w:type="dxa"/>
            <w:tcBorders>
              <w:top w:val="dotted" w:sz="4" w:space="0" w:color="000000"/>
              <w:left w:val="dotted" w:sz="4" w:space="0" w:color="000000"/>
              <w:bottom w:val="dotted" w:sz="4" w:space="0" w:color="000000"/>
            </w:tcBorders>
          </w:tcPr>
          <w:p w14:paraId="0BB0FB98" w14:textId="77777777" w:rsidR="00E022E0" w:rsidRPr="004A1442" w:rsidRDefault="00E022E0" w:rsidP="00DC748A">
            <w:pPr>
              <w:snapToGrid w:val="0"/>
              <w:spacing w:before="40" w:after="40"/>
              <w:rPr>
                <w:rFonts w:cs="Calibri"/>
                <w:kern w:val="22"/>
                <w:szCs w:val="22"/>
              </w:rPr>
            </w:pPr>
            <w:r w:rsidRPr="004A1442">
              <w:t>Apertura de la reunión</w:t>
            </w:r>
          </w:p>
        </w:tc>
      </w:tr>
      <w:tr w:rsidR="00E022E0" w:rsidRPr="004A1442" w14:paraId="62C8ADF6" w14:textId="77777777" w:rsidTr="00311C9B">
        <w:tc>
          <w:tcPr>
            <w:tcW w:w="1706" w:type="dxa"/>
            <w:vMerge/>
            <w:tcBorders>
              <w:bottom w:val="double" w:sz="4" w:space="0" w:color="000000"/>
              <w:right w:val="single" w:sz="4" w:space="0" w:color="auto"/>
            </w:tcBorders>
          </w:tcPr>
          <w:p w14:paraId="567F2DF1" w14:textId="77777777" w:rsidR="00E022E0" w:rsidRPr="004A1442" w:rsidRDefault="00E022E0" w:rsidP="00DC748A">
            <w:pPr>
              <w:snapToGrid w:val="0"/>
              <w:spacing w:before="40" w:after="40"/>
              <w:jc w:val="left"/>
              <w:rPr>
                <w:rFonts w:cs="Calibri"/>
                <w:kern w:val="22"/>
                <w:szCs w:val="22"/>
              </w:rPr>
            </w:pPr>
          </w:p>
        </w:tc>
        <w:tc>
          <w:tcPr>
            <w:tcW w:w="669" w:type="dxa"/>
            <w:tcBorders>
              <w:top w:val="dotted" w:sz="4" w:space="0" w:color="000000"/>
              <w:left w:val="single" w:sz="4" w:space="0" w:color="auto"/>
              <w:bottom w:val="dotted" w:sz="4" w:space="0" w:color="000000"/>
              <w:right w:val="dotted" w:sz="4" w:space="0" w:color="000000"/>
            </w:tcBorders>
          </w:tcPr>
          <w:p w14:paraId="68124898" w14:textId="77777777" w:rsidR="00E022E0" w:rsidRPr="004A1442" w:rsidRDefault="00E022E0" w:rsidP="00DC748A">
            <w:pPr>
              <w:shd w:val="clear" w:color="auto" w:fill="92D050"/>
              <w:snapToGrid w:val="0"/>
              <w:spacing w:before="40" w:after="40"/>
              <w:rPr>
                <w:rFonts w:cs="Calibri"/>
                <w:kern w:val="22"/>
                <w:szCs w:val="22"/>
              </w:rPr>
            </w:pPr>
            <w:r w:rsidRPr="004A1442">
              <w:t>2</w:t>
            </w:r>
          </w:p>
        </w:tc>
        <w:tc>
          <w:tcPr>
            <w:tcW w:w="626" w:type="dxa"/>
            <w:tcBorders>
              <w:top w:val="dotted" w:sz="4" w:space="0" w:color="000000"/>
              <w:left w:val="dotted" w:sz="4" w:space="0" w:color="000000"/>
              <w:bottom w:val="dotted" w:sz="4" w:space="0" w:color="000000"/>
              <w:right w:val="dotted" w:sz="4" w:space="0" w:color="000000"/>
            </w:tcBorders>
          </w:tcPr>
          <w:p w14:paraId="2077EB74" w14:textId="77777777" w:rsidR="00E022E0" w:rsidRPr="004A1442" w:rsidRDefault="00E022E0" w:rsidP="00DC748A">
            <w:pPr>
              <w:shd w:val="clear" w:color="auto" w:fill="FFC000"/>
              <w:tabs>
                <w:tab w:val="left" w:pos="154"/>
                <w:tab w:val="left" w:pos="208"/>
              </w:tabs>
              <w:snapToGrid w:val="0"/>
              <w:spacing w:before="40" w:after="40"/>
              <w:ind w:right="-612"/>
              <w:rPr>
                <w:rFonts w:cs="Calibri"/>
                <w:kern w:val="22"/>
                <w:szCs w:val="22"/>
              </w:rPr>
            </w:pPr>
            <w:r w:rsidRPr="004A1442">
              <w:t>2</w:t>
            </w:r>
          </w:p>
        </w:tc>
        <w:tc>
          <w:tcPr>
            <w:tcW w:w="666" w:type="dxa"/>
            <w:tcBorders>
              <w:top w:val="dotted" w:sz="4" w:space="0" w:color="000000"/>
              <w:left w:val="dotted" w:sz="4" w:space="0" w:color="000000"/>
              <w:bottom w:val="dotted" w:sz="4" w:space="0" w:color="000000"/>
              <w:right w:val="dotted" w:sz="4" w:space="0" w:color="000000"/>
            </w:tcBorders>
          </w:tcPr>
          <w:p w14:paraId="33907AC3" w14:textId="77777777" w:rsidR="00E022E0" w:rsidRPr="004A1442" w:rsidRDefault="00E022E0" w:rsidP="00DC748A">
            <w:pPr>
              <w:shd w:val="clear" w:color="auto" w:fill="00B0F0"/>
              <w:snapToGrid w:val="0"/>
              <w:spacing w:before="40" w:after="40"/>
              <w:rPr>
                <w:rFonts w:cs="Calibri"/>
                <w:kern w:val="22"/>
                <w:szCs w:val="22"/>
              </w:rPr>
            </w:pPr>
            <w:r w:rsidRPr="004A1442">
              <w:t>2</w:t>
            </w:r>
          </w:p>
        </w:tc>
        <w:tc>
          <w:tcPr>
            <w:tcW w:w="6403" w:type="dxa"/>
            <w:tcBorders>
              <w:top w:val="dotted" w:sz="4" w:space="0" w:color="000000"/>
              <w:left w:val="dotted" w:sz="4" w:space="0" w:color="000000"/>
              <w:bottom w:val="dotted" w:sz="4" w:space="0" w:color="000000"/>
            </w:tcBorders>
          </w:tcPr>
          <w:p w14:paraId="48C25877" w14:textId="67D5A6F2" w:rsidR="00E022E0" w:rsidRPr="004A1442" w:rsidRDefault="00E022E0" w:rsidP="00DC748A">
            <w:pPr>
              <w:snapToGrid w:val="0"/>
              <w:spacing w:before="40" w:after="40"/>
              <w:rPr>
                <w:rFonts w:cs="Calibri"/>
                <w:kern w:val="22"/>
                <w:szCs w:val="22"/>
              </w:rPr>
            </w:pPr>
            <w:r w:rsidRPr="004A1442">
              <w:t>Cuestiones de organización (organización de los trabajos)</w:t>
            </w:r>
          </w:p>
        </w:tc>
      </w:tr>
      <w:tr w:rsidR="00E022E0" w:rsidRPr="004A1442" w14:paraId="38F9075D" w14:textId="77777777" w:rsidTr="00311C9B">
        <w:tc>
          <w:tcPr>
            <w:tcW w:w="1706" w:type="dxa"/>
            <w:vMerge/>
            <w:tcBorders>
              <w:bottom w:val="double" w:sz="4" w:space="0" w:color="000000"/>
              <w:right w:val="single" w:sz="4" w:space="0" w:color="auto"/>
            </w:tcBorders>
          </w:tcPr>
          <w:p w14:paraId="47C6A350" w14:textId="77777777" w:rsidR="00E022E0" w:rsidRPr="004A1442" w:rsidRDefault="00E022E0" w:rsidP="00DC748A">
            <w:pPr>
              <w:snapToGrid w:val="0"/>
              <w:spacing w:before="40" w:after="40"/>
              <w:jc w:val="left"/>
              <w:rPr>
                <w:rFonts w:cs="Calibri"/>
                <w:kern w:val="22"/>
                <w:szCs w:val="22"/>
              </w:rPr>
            </w:pPr>
          </w:p>
        </w:tc>
        <w:tc>
          <w:tcPr>
            <w:tcW w:w="669" w:type="dxa"/>
            <w:tcBorders>
              <w:top w:val="dotted" w:sz="4" w:space="0" w:color="000000"/>
              <w:left w:val="single" w:sz="4" w:space="0" w:color="auto"/>
              <w:bottom w:val="dotted" w:sz="4" w:space="0" w:color="000000"/>
              <w:right w:val="dotted" w:sz="4" w:space="0" w:color="000000"/>
            </w:tcBorders>
          </w:tcPr>
          <w:p w14:paraId="2A7411F3" w14:textId="77777777" w:rsidR="00E022E0" w:rsidRPr="004A1442" w:rsidRDefault="00E022E0" w:rsidP="00DC748A">
            <w:pPr>
              <w:shd w:val="clear" w:color="auto" w:fill="92D050"/>
              <w:snapToGrid w:val="0"/>
              <w:spacing w:before="40" w:after="40"/>
              <w:rPr>
                <w:rFonts w:cs="Calibri"/>
                <w:kern w:val="22"/>
                <w:szCs w:val="22"/>
              </w:rPr>
            </w:pPr>
            <w:r w:rsidRPr="004A1442">
              <w:t>3</w:t>
            </w:r>
          </w:p>
        </w:tc>
        <w:tc>
          <w:tcPr>
            <w:tcW w:w="626" w:type="dxa"/>
            <w:tcBorders>
              <w:top w:val="dotted" w:sz="4" w:space="0" w:color="000000"/>
              <w:left w:val="dotted" w:sz="4" w:space="0" w:color="000000"/>
              <w:bottom w:val="dotted" w:sz="4" w:space="0" w:color="000000"/>
              <w:right w:val="dotted" w:sz="4" w:space="0" w:color="000000"/>
            </w:tcBorders>
          </w:tcPr>
          <w:p w14:paraId="41E1619B" w14:textId="77777777" w:rsidR="00E022E0" w:rsidRPr="004A1442" w:rsidRDefault="00E022E0" w:rsidP="00DC748A">
            <w:pPr>
              <w:shd w:val="clear" w:color="auto" w:fill="FFC000"/>
              <w:tabs>
                <w:tab w:val="left" w:pos="154"/>
                <w:tab w:val="left" w:pos="208"/>
              </w:tabs>
              <w:snapToGrid w:val="0"/>
              <w:spacing w:before="40" w:after="40"/>
              <w:ind w:right="-612"/>
              <w:rPr>
                <w:rFonts w:cs="Calibri"/>
                <w:kern w:val="22"/>
                <w:szCs w:val="22"/>
              </w:rPr>
            </w:pPr>
            <w:r w:rsidRPr="004A1442">
              <w:t>3</w:t>
            </w:r>
          </w:p>
        </w:tc>
        <w:tc>
          <w:tcPr>
            <w:tcW w:w="666" w:type="dxa"/>
            <w:tcBorders>
              <w:top w:val="dotted" w:sz="4" w:space="0" w:color="000000"/>
              <w:left w:val="dotted" w:sz="4" w:space="0" w:color="000000"/>
              <w:bottom w:val="dotted" w:sz="4" w:space="0" w:color="000000"/>
              <w:right w:val="dotted" w:sz="4" w:space="0" w:color="000000"/>
            </w:tcBorders>
          </w:tcPr>
          <w:p w14:paraId="7E6A5856" w14:textId="77777777" w:rsidR="00E022E0" w:rsidRPr="004A1442" w:rsidRDefault="00E022E0" w:rsidP="00DC748A">
            <w:pPr>
              <w:shd w:val="clear" w:color="auto" w:fill="00B0F0"/>
              <w:snapToGrid w:val="0"/>
              <w:spacing w:before="40" w:after="40"/>
              <w:rPr>
                <w:rFonts w:cs="Calibri"/>
                <w:kern w:val="22"/>
                <w:szCs w:val="22"/>
              </w:rPr>
            </w:pPr>
            <w:r w:rsidRPr="004A1442">
              <w:t>3</w:t>
            </w:r>
          </w:p>
        </w:tc>
        <w:tc>
          <w:tcPr>
            <w:tcW w:w="6403" w:type="dxa"/>
            <w:tcBorders>
              <w:top w:val="dotted" w:sz="4" w:space="0" w:color="000000"/>
              <w:left w:val="dotted" w:sz="4" w:space="0" w:color="000000"/>
              <w:bottom w:val="dotted" w:sz="4" w:space="0" w:color="000000"/>
            </w:tcBorders>
          </w:tcPr>
          <w:p w14:paraId="50CBE410" w14:textId="69DD7325" w:rsidR="00E022E0" w:rsidRPr="004A1442" w:rsidRDefault="00E022E0" w:rsidP="00DC748A">
            <w:pPr>
              <w:snapToGrid w:val="0"/>
              <w:spacing w:before="40" w:after="40"/>
              <w:rPr>
                <w:rFonts w:cs="Calibri"/>
                <w:kern w:val="22"/>
                <w:szCs w:val="22"/>
              </w:rPr>
            </w:pPr>
            <w:r w:rsidRPr="004A1442">
              <w:t>Informe sobre las credenciales de los representantes de las Partes</w:t>
            </w:r>
          </w:p>
        </w:tc>
      </w:tr>
      <w:tr w:rsidR="00E022E0" w:rsidRPr="004A1442" w14:paraId="0C986A19" w14:textId="77777777" w:rsidTr="00311C9B">
        <w:tc>
          <w:tcPr>
            <w:tcW w:w="1706" w:type="dxa"/>
            <w:vMerge/>
            <w:tcBorders>
              <w:bottom w:val="double" w:sz="4" w:space="0" w:color="000000"/>
              <w:right w:val="single" w:sz="4" w:space="0" w:color="auto"/>
            </w:tcBorders>
          </w:tcPr>
          <w:p w14:paraId="449C548D" w14:textId="77777777" w:rsidR="00E022E0" w:rsidRPr="004A1442" w:rsidRDefault="00E022E0" w:rsidP="00DC748A">
            <w:pPr>
              <w:snapToGrid w:val="0"/>
              <w:spacing w:before="40" w:after="40"/>
              <w:jc w:val="left"/>
              <w:rPr>
                <w:rFonts w:cs="Calibri"/>
                <w:kern w:val="22"/>
                <w:szCs w:val="22"/>
              </w:rPr>
            </w:pPr>
            <w:bookmarkStart w:id="11" w:name="_Hlk115959280"/>
          </w:p>
        </w:tc>
        <w:tc>
          <w:tcPr>
            <w:tcW w:w="669" w:type="dxa"/>
            <w:tcBorders>
              <w:top w:val="dotted" w:sz="4" w:space="0" w:color="000000"/>
              <w:left w:val="single" w:sz="4" w:space="0" w:color="auto"/>
              <w:bottom w:val="dotted" w:sz="4" w:space="0" w:color="000000"/>
              <w:right w:val="dotted" w:sz="4" w:space="0" w:color="000000"/>
            </w:tcBorders>
          </w:tcPr>
          <w:p w14:paraId="3C646FED" w14:textId="77777777" w:rsidR="00E022E0" w:rsidRPr="004A1442" w:rsidRDefault="00E022E0" w:rsidP="00DC748A">
            <w:pPr>
              <w:shd w:val="clear" w:color="auto" w:fill="92D050"/>
              <w:snapToGrid w:val="0"/>
              <w:spacing w:before="40" w:after="40"/>
              <w:rPr>
                <w:rFonts w:cs="Calibri"/>
                <w:kern w:val="22"/>
                <w:szCs w:val="22"/>
              </w:rPr>
            </w:pPr>
            <w:r w:rsidRPr="004A1442">
              <w:t>5</w:t>
            </w:r>
          </w:p>
        </w:tc>
        <w:tc>
          <w:tcPr>
            <w:tcW w:w="626" w:type="dxa"/>
            <w:tcBorders>
              <w:top w:val="dotted" w:sz="4" w:space="0" w:color="000000"/>
              <w:left w:val="dotted" w:sz="4" w:space="0" w:color="000000"/>
              <w:bottom w:val="dotted" w:sz="4" w:space="0" w:color="000000"/>
              <w:right w:val="dotted" w:sz="4" w:space="0" w:color="000000"/>
            </w:tcBorders>
          </w:tcPr>
          <w:p w14:paraId="7426B49B" w14:textId="6241A83C" w:rsidR="00E022E0" w:rsidRPr="004A1442" w:rsidRDefault="00685C13" w:rsidP="00DA4746">
            <w:pPr>
              <w:snapToGrid w:val="0"/>
              <w:spacing w:before="40" w:after="40"/>
              <w:rPr>
                <w:rFonts w:cs="Calibri"/>
                <w:kern w:val="22"/>
                <w:szCs w:val="22"/>
              </w:rPr>
            </w:pPr>
            <w:r w:rsidRPr="004A1442">
              <w:t xml:space="preserve">no </w:t>
            </w:r>
            <w:r w:rsidR="00DA4746" w:rsidRPr="004A1442">
              <w:t>se</w:t>
            </w:r>
            <w:r w:rsidRPr="004A1442">
              <w:t xml:space="preserve"> aplica</w:t>
            </w:r>
          </w:p>
        </w:tc>
        <w:tc>
          <w:tcPr>
            <w:tcW w:w="666" w:type="dxa"/>
            <w:tcBorders>
              <w:top w:val="dotted" w:sz="4" w:space="0" w:color="000000"/>
              <w:left w:val="dotted" w:sz="4" w:space="0" w:color="000000"/>
              <w:bottom w:val="dotted" w:sz="4" w:space="0" w:color="000000"/>
              <w:right w:val="dotted" w:sz="4" w:space="0" w:color="000000"/>
            </w:tcBorders>
          </w:tcPr>
          <w:p w14:paraId="0BEB9287" w14:textId="60377E95" w:rsidR="00E022E0" w:rsidRPr="004A1442" w:rsidRDefault="00685C13" w:rsidP="00DA4746">
            <w:pPr>
              <w:snapToGrid w:val="0"/>
              <w:spacing w:before="40" w:after="40"/>
              <w:rPr>
                <w:rFonts w:cs="Calibri"/>
                <w:kern w:val="22"/>
                <w:szCs w:val="22"/>
              </w:rPr>
            </w:pPr>
            <w:r w:rsidRPr="004A1442">
              <w:t xml:space="preserve">no </w:t>
            </w:r>
            <w:r w:rsidR="00DA4746" w:rsidRPr="004A1442">
              <w:t>se</w:t>
            </w:r>
            <w:r w:rsidRPr="004A1442">
              <w:t xml:space="preserve"> aplica</w:t>
            </w:r>
          </w:p>
        </w:tc>
        <w:tc>
          <w:tcPr>
            <w:tcW w:w="6403" w:type="dxa"/>
            <w:tcBorders>
              <w:top w:val="dotted" w:sz="4" w:space="0" w:color="000000"/>
              <w:left w:val="dotted" w:sz="4" w:space="0" w:color="000000"/>
              <w:bottom w:val="dotted" w:sz="4" w:space="0" w:color="000000"/>
            </w:tcBorders>
          </w:tcPr>
          <w:p w14:paraId="6760EE07" w14:textId="77777777" w:rsidR="00E022E0" w:rsidRPr="004A1442" w:rsidRDefault="00E022E0" w:rsidP="00DC748A">
            <w:pPr>
              <w:snapToGrid w:val="0"/>
              <w:spacing w:before="40" w:after="40"/>
              <w:rPr>
                <w:rFonts w:cs="Calibri"/>
                <w:kern w:val="22"/>
                <w:szCs w:val="22"/>
              </w:rPr>
            </w:pPr>
            <w:r w:rsidRPr="004A1442">
              <w:t>Fecha y lugar de celebración de las reuniones futuras de la Conferencia de las Partes</w:t>
            </w:r>
          </w:p>
        </w:tc>
      </w:tr>
      <w:bookmarkEnd w:id="11"/>
      <w:tr w:rsidR="00E022E0" w:rsidRPr="004A1442" w14:paraId="44830A15" w14:textId="77777777" w:rsidTr="00311C9B">
        <w:tc>
          <w:tcPr>
            <w:tcW w:w="1706" w:type="dxa"/>
            <w:vMerge/>
            <w:tcBorders>
              <w:bottom w:val="double" w:sz="4" w:space="0" w:color="000000"/>
              <w:right w:val="single" w:sz="4" w:space="0" w:color="auto"/>
            </w:tcBorders>
          </w:tcPr>
          <w:p w14:paraId="4E2AF59B" w14:textId="77777777" w:rsidR="00E022E0" w:rsidRPr="004A1442" w:rsidRDefault="00E022E0" w:rsidP="00DC748A">
            <w:pPr>
              <w:snapToGrid w:val="0"/>
              <w:spacing w:before="40" w:after="40"/>
              <w:jc w:val="left"/>
              <w:rPr>
                <w:rFonts w:cs="Calibri"/>
                <w:kern w:val="22"/>
                <w:szCs w:val="22"/>
              </w:rPr>
            </w:pPr>
          </w:p>
        </w:tc>
        <w:tc>
          <w:tcPr>
            <w:tcW w:w="669" w:type="dxa"/>
            <w:tcBorders>
              <w:top w:val="dotted" w:sz="4" w:space="0" w:color="000000"/>
              <w:left w:val="single" w:sz="4" w:space="0" w:color="auto"/>
              <w:bottom w:val="dotted" w:sz="4" w:space="0" w:color="000000"/>
              <w:right w:val="dotted" w:sz="4" w:space="0" w:color="000000"/>
            </w:tcBorders>
          </w:tcPr>
          <w:p w14:paraId="611D21CF" w14:textId="17970872" w:rsidR="00E022E0" w:rsidRPr="004A1442" w:rsidRDefault="0065034B" w:rsidP="00DA4746">
            <w:pPr>
              <w:snapToGrid w:val="0"/>
              <w:spacing w:before="40" w:after="40"/>
              <w:rPr>
                <w:rFonts w:cs="Calibri"/>
                <w:kern w:val="22"/>
                <w:szCs w:val="22"/>
              </w:rPr>
            </w:pPr>
            <w:r w:rsidRPr="004A1442">
              <w:t xml:space="preserve">no </w:t>
            </w:r>
            <w:r w:rsidR="00DA4746" w:rsidRPr="004A1442">
              <w:t>se</w:t>
            </w:r>
            <w:r w:rsidRPr="004A1442">
              <w:t xml:space="preserve"> aplica</w:t>
            </w:r>
          </w:p>
        </w:tc>
        <w:tc>
          <w:tcPr>
            <w:tcW w:w="626" w:type="dxa"/>
            <w:tcBorders>
              <w:top w:val="dotted" w:sz="4" w:space="0" w:color="000000"/>
              <w:left w:val="dotted" w:sz="4" w:space="0" w:color="000000"/>
              <w:bottom w:val="dotted" w:sz="4" w:space="0" w:color="000000"/>
              <w:right w:val="dotted" w:sz="4" w:space="0" w:color="000000"/>
            </w:tcBorders>
          </w:tcPr>
          <w:p w14:paraId="35A6EE9F" w14:textId="77777777" w:rsidR="00E022E0" w:rsidRPr="004A1442" w:rsidRDefault="00E022E0" w:rsidP="00DC748A">
            <w:pPr>
              <w:shd w:val="clear" w:color="auto" w:fill="FFC000"/>
              <w:tabs>
                <w:tab w:val="left" w:pos="154"/>
                <w:tab w:val="left" w:pos="208"/>
              </w:tabs>
              <w:snapToGrid w:val="0"/>
              <w:spacing w:before="40" w:after="40"/>
              <w:ind w:right="-612"/>
              <w:rPr>
                <w:rFonts w:cs="Calibri"/>
                <w:kern w:val="22"/>
                <w:szCs w:val="22"/>
              </w:rPr>
            </w:pPr>
            <w:r w:rsidRPr="004A1442">
              <w:t>5</w:t>
            </w:r>
          </w:p>
        </w:tc>
        <w:tc>
          <w:tcPr>
            <w:tcW w:w="666" w:type="dxa"/>
            <w:tcBorders>
              <w:top w:val="dotted" w:sz="4" w:space="0" w:color="000000"/>
              <w:left w:val="dotted" w:sz="4" w:space="0" w:color="000000"/>
              <w:bottom w:val="dotted" w:sz="4" w:space="0" w:color="000000"/>
              <w:right w:val="dotted" w:sz="4" w:space="0" w:color="000000"/>
            </w:tcBorders>
          </w:tcPr>
          <w:p w14:paraId="601D1D3B" w14:textId="77777777" w:rsidR="00E022E0" w:rsidRPr="004A1442" w:rsidRDefault="00E022E0" w:rsidP="00DC748A">
            <w:pPr>
              <w:shd w:val="clear" w:color="auto" w:fill="00B0F0"/>
              <w:snapToGrid w:val="0"/>
              <w:spacing w:before="40" w:after="40"/>
              <w:rPr>
                <w:rFonts w:cs="Calibri"/>
                <w:kern w:val="22"/>
                <w:szCs w:val="22"/>
              </w:rPr>
            </w:pPr>
            <w:r w:rsidRPr="004A1442">
              <w:t>5</w:t>
            </w:r>
          </w:p>
        </w:tc>
        <w:tc>
          <w:tcPr>
            <w:tcW w:w="6403" w:type="dxa"/>
            <w:tcBorders>
              <w:top w:val="dotted" w:sz="4" w:space="0" w:color="000000"/>
              <w:left w:val="dotted" w:sz="4" w:space="0" w:color="000000"/>
              <w:bottom w:val="dotted" w:sz="4" w:space="0" w:color="000000"/>
            </w:tcBorders>
          </w:tcPr>
          <w:p w14:paraId="57F7479C" w14:textId="77777777" w:rsidR="00E022E0" w:rsidRPr="004A1442" w:rsidRDefault="00E022E0" w:rsidP="00DC748A">
            <w:pPr>
              <w:snapToGrid w:val="0"/>
              <w:spacing w:before="40" w:after="40"/>
              <w:rPr>
                <w:rFonts w:cs="Calibri"/>
                <w:kern w:val="22"/>
                <w:szCs w:val="22"/>
              </w:rPr>
            </w:pPr>
            <w:r w:rsidRPr="004A1442">
              <w:t>Informe del Comité de Cumplimiento</w:t>
            </w:r>
          </w:p>
        </w:tc>
      </w:tr>
      <w:tr w:rsidR="00E022E0" w:rsidRPr="004A1442" w14:paraId="6CB2775D" w14:textId="77777777" w:rsidTr="00311C9B">
        <w:tc>
          <w:tcPr>
            <w:tcW w:w="1706" w:type="dxa"/>
            <w:vMerge/>
            <w:tcBorders>
              <w:bottom w:val="double" w:sz="4" w:space="0" w:color="000000"/>
              <w:right w:val="single" w:sz="4" w:space="0" w:color="auto"/>
            </w:tcBorders>
          </w:tcPr>
          <w:p w14:paraId="72269C5F" w14:textId="77777777" w:rsidR="00E022E0" w:rsidRPr="004A1442" w:rsidRDefault="00E022E0" w:rsidP="00DC748A">
            <w:pPr>
              <w:snapToGrid w:val="0"/>
              <w:spacing w:before="40" w:after="40"/>
              <w:jc w:val="left"/>
              <w:rPr>
                <w:rFonts w:cs="Calibri"/>
                <w:kern w:val="22"/>
                <w:szCs w:val="22"/>
              </w:rPr>
            </w:pPr>
          </w:p>
        </w:tc>
        <w:tc>
          <w:tcPr>
            <w:tcW w:w="669" w:type="dxa"/>
            <w:tcBorders>
              <w:top w:val="dotted" w:sz="4" w:space="0" w:color="000000"/>
              <w:left w:val="single" w:sz="4" w:space="0" w:color="auto"/>
              <w:bottom w:val="double" w:sz="4" w:space="0" w:color="000000"/>
              <w:right w:val="dotted" w:sz="4" w:space="0" w:color="000000"/>
            </w:tcBorders>
          </w:tcPr>
          <w:p w14:paraId="4E49D30F" w14:textId="77777777" w:rsidR="00E022E0" w:rsidRPr="004A1442" w:rsidRDefault="00E022E0" w:rsidP="00DC748A">
            <w:pPr>
              <w:shd w:val="clear" w:color="auto" w:fill="92D050"/>
              <w:snapToGrid w:val="0"/>
              <w:spacing w:before="40" w:after="40"/>
              <w:rPr>
                <w:rFonts w:cs="Calibri"/>
                <w:kern w:val="22"/>
                <w:szCs w:val="22"/>
              </w:rPr>
            </w:pPr>
            <w:r w:rsidRPr="004A1442">
              <w:t>2</w:t>
            </w:r>
          </w:p>
        </w:tc>
        <w:tc>
          <w:tcPr>
            <w:tcW w:w="626" w:type="dxa"/>
            <w:tcBorders>
              <w:top w:val="dotted" w:sz="4" w:space="0" w:color="000000"/>
              <w:left w:val="dotted" w:sz="4" w:space="0" w:color="000000"/>
              <w:bottom w:val="double" w:sz="4" w:space="0" w:color="000000"/>
              <w:right w:val="dotted" w:sz="4" w:space="0" w:color="000000"/>
            </w:tcBorders>
          </w:tcPr>
          <w:p w14:paraId="0132CBAE" w14:textId="77777777" w:rsidR="00E022E0" w:rsidRPr="004A1442" w:rsidRDefault="00E022E0" w:rsidP="00DC748A">
            <w:pPr>
              <w:shd w:val="clear" w:color="auto" w:fill="FFC000"/>
              <w:tabs>
                <w:tab w:val="left" w:pos="154"/>
                <w:tab w:val="left" w:pos="208"/>
              </w:tabs>
              <w:snapToGrid w:val="0"/>
              <w:spacing w:before="40" w:after="40"/>
              <w:ind w:right="-612"/>
              <w:rPr>
                <w:rFonts w:cs="Calibri"/>
                <w:kern w:val="22"/>
                <w:szCs w:val="22"/>
              </w:rPr>
            </w:pPr>
            <w:r w:rsidRPr="004A1442">
              <w:t>2</w:t>
            </w:r>
          </w:p>
        </w:tc>
        <w:tc>
          <w:tcPr>
            <w:tcW w:w="666" w:type="dxa"/>
            <w:tcBorders>
              <w:top w:val="dotted" w:sz="4" w:space="0" w:color="000000"/>
              <w:left w:val="dotted" w:sz="4" w:space="0" w:color="000000"/>
              <w:bottom w:val="double" w:sz="4" w:space="0" w:color="000000"/>
              <w:right w:val="dotted" w:sz="4" w:space="0" w:color="000000"/>
            </w:tcBorders>
          </w:tcPr>
          <w:p w14:paraId="14BC94E6" w14:textId="77777777" w:rsidR="00E022E0" w:rsidRPr="004A1442" w:rsidRDefault="00E022E0" w:rsidP="00DC748A">
            <w:pPr>
              <w:shd w:val="clear" w:color="auto" w:fill="00B0F0"/>
              <w:snapToGrid w:val="0"/>
              <w:spacing w:before="40" w:after="40"/>
              <w:rPr>
                <w:rFonts w:cs="Calibri"/>
                <w:kern w:val="22"/>
                <w:szCs w:val="22"/>
              </w:rPr>
            </w:pPr>
            <w:r w:rsidRPr="004A1442">
              <w:t>2</w:t>
            </w:r>
          </w:p>
        </w:tc>
        <w:tc>
          <w:tcPr>
            <w:tcW w:w="6403" w:type="dxa"/>
            <w:tcBorders>
              <w:top w:val="dotted" w:sz="4" w:space="0" w:color="000000"/>
              <w:left w:val="dotted" w:sz="4" w:space="0" w:color="000000"/>
              <w:bottom w:val="double" w:sz="4" w:space="0" w:color="000000"/>
            </w:tcBorders>
          </w:tcPr>
          <w:p w14:paraId="21A9085C" w14:textId="77777777" w:rsidR="00E022E0" w:rsidRPr="004A1442" w:rsidRDefault="00E022E0" w:rsidP="00DC748A">
            <w:pPr>
              <w:snapToGrid w:val="0"/>
              <w:spacing w:before="40" w:after="40"/>
              <w:rPr>
                <w:rFonts w:cs="Calibri"/>
                <w:kern w:val="22"/>
                <w:szCs w:val="22"/>
              </w:rPr>
            </w:pPr>
            <w:r w:rsidRPr="004A1442">
              <w:t>Cuestiones de organización (elección de la Mesa)</w:t>
            </w:r>
          </w:p>
        </w:tc>
      </w:tr>
      <w:tr w:rsidR="00E022E0" w:rsidRPr="004A1442" w14:paraId="4B9A37C4" w14:textId="77777777" w:rsidTr="00311C9B">
        <w:tc>
          <w:tcPr>
            <w:tcW w:w="1706" w:type="dxa"/>
            <w:tcBorders>
              <w:top w:val="double" w:sz="4" w:space="0" w:color="000000"/>
              <w:left w:val="nil"/>
              <w:bottom w:val="nil"/>
              <w:right w:val="nil"/>
            </w:tcBorders>
            <w:shd w:val="clear" w:color="auto" w:fill="FFFFFF"/>
          </w:tcPr>
          <w:p w14:paraId="159A2D5A" w14:textId="77777777" w:rsidR="00E022E0" w:rsidRPr="004A1442" w:rsidRDefault="00E022E0" w:rsidP="00DC748A">
            <w:pPr>
              <w:snapToGrid w:val="0"/>
              <w:spacing w:before="40" w:after="40"/>
              <w:jc w:val="left"/>
              <w:rPr>
                <w:rFonts w:cs="Calibri"/>
                <w:b/>
                <w:bCs/>
                <w:kern w:val="22"/>
                <w:szCs w:val="22"/>
              </w:rPr>
            </w:pPr>
          </w:p>
        </w:tc>
        <w:tc>
          <w:tcPr>
            <w:tcW w:w="1961" w:type="dxa"/>
            <w:gridSpan w:val="3"/>
            <w:tcBorders>
              <w:top w:val="double" w:sz="4" w:space="0" w:color="000000"/>
              <w:left w:val="nil"/>
              <w:bottom w:val="nil"/>
              <w:right w:val="nil"/>
            </w:tcBorders>
            <w:shd w:val="clear" w:color="auto" w:fill="FFFFFF"/>
          </w:tcPr>
          <w:p w14:paraId="56CA899F" w14:textId="77777777" w:rsidR="00E022E0" w:rsidRPr="004A1442" w:rsidRDefault="00E022E0" w:rsidP="00DC748A">
            <w:pPr>
              <w:snapToGrid w:val="0"/>
              <w:spacing w:before="40" w:after="40"/>
              <w:jc w:val="left"/>
              <w:rPr>
                <w:rFonts w:cs="Calibri"/>
                <w:kern w:val="22"/>
                <w:szCs w:val="22"/>
              </w:rPr>
            </w:pPr>
          </w:p>
        </w:tc>
        <w:tc>
          <w:tcPr>
            <w:tcW w:w="6403" w:type="dxa"/>
            <w:tcBorders>
              <w:top w:val="double" w:sz="4" w:space="0" w:color="000000"/>
              <w:left w:val="nil"/>
              <w:bottom w:val="nil"/>
              <w:right w:val="nil"/>
            </w:tcBorders>
            <w:shd w:val="clear" w:color="auto" w:fill="FFFFFF"/>
          </w:tcPr>
          <w:p w14:paraId="330E6DE2" w14:textId="77777777" w:rsidR="00E022E0" w:rsidRPr="004A1442" w:rsidRDefault="00E022E0" w:rsidP="00DC748A">
            <w:pPr>
              <w:snapToGrid w:val="0"/>
              <w:spacing w:before="40" w:after="40"/>
              <w:jc w:val="left"/>
              <w:rPr>
                <w:rFonts w:cs="Calibri"/>
                <w:kern w:val="22"/>
                <w:szCs w:val="22"/>
              </w:rPr>
            </w:pPr>
          </w:p>
        </w:tc>
      </w:tr>
      <w:tr w:rsidR="00E022E0" w:rsidRPr="004A1442" w14:paraId="56458258" w14:textId="77777777" w:rsidTr="00311C9B">
        <w:tc>
          <w:tcPr>
            <w:tcW w:w="1706" w:type="dxa"/>
            <w:vMerge w:val="restart"/>
            <w:tcBorders>
              <w:top w:val="double" w:sz="4" w:space="0" w:color="000000"/>
              <w:bottom w:val="double" w:sz="4" w:space="0" w:color="000000"/>
              <w:right w:val="single" w:sz="4" w:space="0" w:color="auto"/>
            </w:tcBorders>
          </w:tcPr>
          <w:p w14:paraId="765A2AAC" w14:textId="0CA6E33C" w:rsidR="00E022E0" w:rsidRPr="004A1442" w:rsidRDefault="00E022E0" w:rsidP="00DC748A">
            <w:pPr>
              <w:snapToGrid w:val="0"/>
              <w:spacing w:before="40" w:after="40"/>
              <w:jc w:val="left"/>
              <w:rPr>
                <w:rFonts w:cs="Calibri"/>
                <w:kern w:val="22"/>
                <w:szCs w:val="22"/>
              </w:rPr>
            </w:pPr>
            <w:r w:rsidRPr="004A1442">
              <w:t>Viernes 20 de octubre</w:t>
            </w:r>
          </w:p>
          <w:p w14:paraId="0DE6D442" w14:textId="43093E9E" w:rsidR="00E022E0" w:rsidRPr="004A1442" w:rsidRDefault="00E022E0" w:rsidP="00DC748A">
            <w:pPr>
              <w:snapToGrid w:val="0"/>
              <w:spacing w:before="40" w:after="40"/>
              <w:jc w:val="left"/>
              <w:rPr>
                <w:rFonts w:cs="Calibri"/>
                <w:kern w:val="22"/>
                <w:szCs w:val="22"/>
              </w:rPr>
            </w:pPr>
            <w:r w:rsidRPr="004A1442">
              <w:t>(10.00 – 13.00 horas)</w:t>
            </w:r>
          </w:p>
        </w:tc>
        <w:tc>
          <w:tcPr>
            <w:tcW w:w="669" w:type="dxa"/>
            <w:tcBorders>
              <w:top w:val="double" w:sz="4" w:space="0" w:color="000000"/>
              <w:left w:val="single" w:sz="4" w:space="0" w:color="auto"/>
              <w:bottom w:val="dotted" w:sz="4" w:space="0" w:color="000000"/>
              <w:right w:val="dotted" w:sz="4" w:space="0" w:color="000000"/>
            </w:tcBorders>
          </w:tcPr>
          <w:p w14:paraId="6B698E6A" w14:textId="77777777" w:rsidR="00E022E0" w:rsidRPr="004A1442" w:rsidRDefault="00E022E0" w:rsidP="00DC748A">
            <w:pPr>
              <w:shd w:val="clear" w:color="auto" w:fill="92D050"/>
              <w:snapToGrid w:val="0"/>
              <w:spacing w:before="40" w:after="40"/>
              <w:rPr>
                <w:rFonts w:cs="Calibri"/>
                <w:kern w:val="22"/>
                <w:szCs w:val="22"/>
              </w:rPr>
            </w:pPr>
            <w:r w:rsidRPr="004A1442">
              <w:t>CDB</w:t>
            </w:r>
          </w:p>
        </w:tc>
        <w:tc>
          <w:tcPr>
            <w:tcW w:w="626" w:type="dxa"/>
            <w:tcBorders>
              <w:top w:val="double" w:sz="4" w:space="0" w:color="000000"/>
              <w:left w:val="dotted" w:sz="4" w:space="0" w:color="000000"/>
              <w:bottom w:val="dotted" w:sz="4" w:space="0" w:color="000000"/>
              <w:right w:val="dotted" w:sz="4" w:space="0" w:color="000000"/>
            </w:tcBorders>
          </w:tcPr>
          <w:p w14:paraId="4B895951" w14:textId="77777777" w:rsidR="00E022E0" w:rsidRPr="004A1442" w:rsidRDefault="00E022E0" w:rsidP="00DC748A">
            <w:pPr>
              <w:shd w:val="clear" w:color="auto" w:fill="FFC000"/>
              <w:tabs>
                <w:tab w:val="left" w:pos="154"/>
                <w:tab w:val="left" w:pos="208"/>
              </w:tabs>
              <w:snapToGrid w:val="0"/>
              <w:spacing w:before="40" w:after="40"/>
              <w:ind w:right="-612"/>
              <w:rPr>
                <w:rFonts w:cs="Calibri"/>
                <w:kern w:val="22"/>
                <w:szCs w:val="22"/>
              </w:rPr>
            </w:pPr>
            <w:r w:rsidRPr="004A1442">
              <w:t>PC</w:t>
            </w:r>
          </w:p>
        </w:tc>
        <w:tc>
          <w:tcPr>
            <w:tcW w:w="666" w:type="dxa"/>
            <w:tcBorders>
              <w:top w:val="double" w:sz="4" w:space="0" w:color="000000"/>
              <w:left w:val="dotted" w:sz="4" w:space="0" w:color="000000"/>
              <w:bottom w:val="dotted" w:sz="4" w:space="0" w:color="000000"/>
              <w:right w:val="dotted" w:sz="4" w:space="0" w:color="000000"/>
            </w:tcBorders>
          </w:tcPr>
          <w:p w14:paraId="6F3445F9" w14:textId="77777777" w:rsidR="00E022E0" w:rsidRPr="004A1442" w:rsidRDefault="00E022E0" w:rsidP="00DC748A">
            <w:pPr>
              <w:shd w:val="clear" w:color="auto" w:fill="00B0F0"/>
              <w:snapToGrid w:val="0"/>
              <w:spacing w:before="40" w:after="40"/>
              <w:rPr>
                <w:rFonts w:cs="Calibri"/>
                <w:kern w:val="22"/>
                <w:szCs w:val="22"/>
              </w:rPr>
            </w:pPr>
            <w:r w:rsidRPr="004A1442">
              <w:t>PN</w:t>
            </w:r>
          </w:p>
        </w:tc>
        <w:tc>
          <w:tcPr>
            <w:tcW w:w="6403" w:type="dxa"/>
            <w:tcBorders>
              <w:top w:val="double" w:sz="4" w:space="0" w:color="000000"/>
              <w:left w:val="dotted" w:sz="4" w:space="0" w:color="000000"/>
              <w:bottom w:val="dotted" w:sz="4" w:space="0" w:color="000000"/>
            </w:tcBorders>
          </w:tcPr>
          <w:p w14:paraId="436D6196" w14:textId="77777777" w:rsidR="00E022E0" w:rsidRPr="004A1442" w:rsidRDefault="00E022E0" w:rsidP="00DC748A">
            <w:pPr>
              <w:snapToGrid w:val="0"/>
              <w:spacing w:before="40" w:after="40"/>
              <w:rPr>
                <w:rFonts w:cs="Calibri"/>
                <w:kern w:val="22"/>
                <w:szCs w:val="22"/>
              </w:rPr>
            </w:pPr>
          </w:p>
        </w:tc>
      </w:tr>
      <w:tr w:rsidR="00E022E0" w:rsidRPr="004A1442" w14:paraId="33A62AA8" w14:textId="77777777" w:rsidTr="00311C9B">
        <w:tc>
          <w:tcPr>
            <w:tcW w:w="1706" w:type="dxa"/>
            <w:vMerge/>
            <w:tcBorders>
              <w:bottom w:val="double" w:sz="4" w:space="0" w:color="000000"/>
              <w:right w:val="single" w:sz="4" w:space="0" w:color="auto"/>
            </w:tcBorders>
          </w:tcPr>
          <w:p w14:paraId="43A6556B" w14:textId="77777777" w:rsidR="00E022E0" w:rsidRPr="004A1442" w:rsidRDefault="00E022E0" w:rsidP="00DC748A">
            <w:pPr>
              <w:snapToGrid w:val="0"/>
              <w:spacing w:before="40" w:after="40"/>
              <w:rPr>
                <w:rFonts w:cs="Calibri"/>
                <w:kern w:val="22"/>
                <w:szCs w:val="22"/>
              </w:rPr>
            </w:pPr>
          </w:p>
        </w:tc>
        <w:tc>
          <w:tcPr>
            <w:tcW w:w="669" w:type="dxa"/>
            <w:tcBorders>
              <w:top w:val="dotted" w:sz="4" w:space="0" w:color="000000"/>
              <w:left w:val="single" w:sz="4" w:space="0" w:color="auto"/>
              <w:bottom w:val="dotted" w:sz="4" w:space="0" w:color="000000"/>
              <w:right w:val="dotted" w:sz="4" w:space="0" w:color="000000"/>
            </w:tcBorders>
          </w:tcPr>
          <w:p w14:paraId="5F27AF7A" w14:textId="77777777" w:rsidR="00E022E0" w:rsidRPr="004A1442" w:rsidRDefault="00E022E0" w:rsidP="00DC748A">
            <w:pPr>
              <w:shd w:val="clear" w:color="auto" w:fill="92D050"/>
              <w:snapToGrid w:val="0"/>
              <w:spacing w:before="40" w:after="40"/>
              <w:rPr>
                <w:rFonts w:cs="Calibri"/>
                <w:kern w:val="22"/>
                <w:szCs w:val="22"/>
              </w:rPr>
            </w:pPr>
            <w:r w:rsidRPr="004A1442">
              <w:t>28</w:t>
            </w:r>
          </w:p>
        </w:tc>
        <w:tc>
          <w:tcPr>
            <w:tcW w:w="626" w:type="dxa"/>
            <w:tcBorders>
              <w:top w:val="dotted" w:sz="4" w:space="0" w:color="000000"/>
              <w:left w:val="dotted" w:sz="4" w:space="0" w:color="000000"/>
              <w:bottom w:val="dotted" w:sz="4" w:space="0" w:color="000000"/>
              <w:right w:val="dotted" w:sz="4" w:space="0" w:color="000000"/>
            </w:tcBorders>
          </w:tcPr>
          <w:p w14:paraId="1083D1B6" w14:textId="77777777" w:rsidR="00E022E0" w:rsidRPr="004A1442" w:rsidRDefault="00E022E0" w:rsidP="00DC748A">
            <w:pPr>
              <w:shd w:val="clear" w:color="auto" w:fill="FFC000"/>
              <w:tabs>
                <w:tab w:val="left" w:pos="154"/>
                <w:tab w:val="left" w:pos="208"/>
              </w:tabs>
              <w:snapToGrid w:val="0"/>
              <w:spacing w:before="40" w:after="40"/>
              <w:ind w:right="-612"/>
              <w:rPr>
                <w:rFonts w:cs="Calibri"/>
                <w:kern w:val="22"/>
                <w:szCs w:val="22"/>
              </w:rPr>
            </w:pPr>
            <w:r w:rsidRPr="004A1442">
              <w:t>18</w:t>
            </w:r>
          </w:p>
        </w:tc>
        <w:tc>
          <w:tcPr>
            <w:tcW w:w="666" w:type="dxa"/>
            <w:tcBorders>
              <w:top w:val="dotted" w:sz="4" w:space="0" w:color="000000"/>
              <w:left w:val="dotted" w:sz="4" w:space="0" w:color="000000"/>
              <w:bottom w:val="dotted" w:sz="4" w:space="0" w:color="000000"/>
              <w:right w:val="dotted" w:sz="4" w:space="0" w:color="000000"/>
            </w:tcBorders>
          </w:tcPr>
          <w:p w14:paraId="2C10E64B" w14:textId="77777777" w:rsidR="00E022E0" w:rsidRPr="004A1442" w:rsidRDefault="00E022E0" w:rsidP="00DC748A">
            <w:pPr>
              <w:shd w:val="clear" w:color="auto" w:fill="00B0F0"/>
              <w:snapToGrid w:val="0"/>
              <w:spacing w:before="40" w:after="40"/>
              <w:rPr>
                <w:rFonts w:cs="Calibri"/>
                <w:kern w:val="22"/>
                <w:szCs w:val="22"/>
              </w:rPr>
            </w:pPr>
            <w:r w:rsidRPr="004A1442">
              <w:t>17</w:t>
            </w:r>
          </w:p>
        </w:tc>
        <w:tc>
          <w:tcPr>
            <w:tcW w:w="6403" w:type="dxa"/>
            <w:tcBorders>
              <w:top w:val="dotted" w:sz="4" w:space="0" w:color="000000"/>
              <w:left w:val="dotted" w:sz="4" w:space="0" w:color="000000"/>
              <w:bottom w:val="dotted" w:sz="4" w:space="0" w:color="000000"/>
            </w:tcBorders>
          </w:tcPr>
          <w:p w14:paraId="1F5FA769" w14:textId="77777777" w:rsidR="00E022E0" w:rsidRPr="004A1442" w:rsidRDefault="00E022E0" w:rsidP="00DC748A">
            <w:pPr>
              <w:snapToGrid w:val="0"/>
              <w:spacing w:before="40" w:after="40"/>
              <w:rPr>
                <w:rFonts w:cs="Calibri"/>
                <w:kern w:val="22"/>
                <w:szCs w:val="22"/>
              </w:rPr>
            </w:pPr>
            <w:r w:rsidRPr="004A1442">
              <w:t>Otros asuntos</w:t>
            </w:r>
          </w:p>
        </w:tc>
      </w:tr>
      <w:tr w:rsidR="00E022E0" w:rsidRPr="004A1442" w14:paraId="18A072D4" w14:textId="77777777" w:rsidTr="00311C9B">
        <w:tc>
          <w:tcPr>
            <w:tcW w:w="1706" w:type="dxa"/>
            <w:vMerge/>
            <w:tcBorders>
              <w:bottom w:val="double" w:sz="4" w:space="0" w:color="000000"/>
              <w:right w:val="single" w:sz="4" w:space="0" w:color="auto"/>
            </w:tcBorders>
          </w:tcPr>
          <w:p w14:paraId="08BF3BC3" w14:textId="77777777" w:rsidR="00E022E0" w:rsidRPr="004A1442" w:rsidRDefault="00E022E0" w:rsidP="00DC748A">
            <w:pPr>
              <w:snapToGrid w:val="0"/>
              <w:spacing w:before="40" w:after="40"/>
              <w:rPr>
                <w:rFonts w:cs="Calibri"/>
                <w:kern w:val="22"/>
                <w:szCs w:val="22"/>
              </w:rPr>
            </w:pPr>
          </w:p>
        </w:tc>
        <w:tc>
          <w:tcPr>
            <w:tcW w:w="669" w:type="dxa"/>
            <w:tcBorders>
              <w:top w:val="dotted" w:sz="4" w:space="0" w:color="000000"/>
              <w:left w:val="single" w:sz="4" w:space="0" w:color="auto"/>
              <w:bottom w:val="dotted" w:sz="4" w:space="0" w:color="000000"/>
              <w:right w:val="dotted" w:sz="4" w:space="0" w:color="000000"/>
            </w:tcBorders>
          </w:tcPr>
          <w:p w14:paraId="2B645B51" w14:textId="77777777" w:rsidR="00E022E0" w:rsidRPr="004A1442" w:rsidRDefault="00E022E0" w:rsidP="00DC748A">
            <w:pPr>
              <w:shd w:val="clear" w:color="auto" w:fill="92D050"/>
              <w:snapToGrid w:val="0"/>
              <w:spacing w:before="40" w:after="40"/>
              <w:rPr>
                <w:rFonts w:cs="Calibri"/>
                <w:kern w:val="22"/>
                <w:szCs w:val="22"/>
              </w:rPr>
            </w:pPr>
            <w:r w:rsidRPr="004A1442">
              <w:t>29</w:t>
            </w:r>
          </w:p>
        </w:tc>
        <w:tc>
          <w:tcPr>
            <w:tcW w:w="626" w:type="dxa"/>
            <w:tcBorders>
              <w:top w:val="dotted" w:sz="4" w:space="0" w:color="000000"/>
              <w:left w:val="dotted" w:sz="4" w:space="0" w:color="000000"/>
              <w:bottom w:val="dotted" w:sz="4" w:space="0" w:color="000000"/>
              <w:right w:val="dotted" w:sz="4" w:space="0" w:color="000000"/>
            </w:tcBorders>
          </w:tcPr>
          <w:p w14:paraId="44100419" w14:textId="77777777" w:rsidR="00E022E0" w:rsidRPr="004A1442" w:rsidRDefault="00E022E0" w:rsidP="00DC748A">
            <w:pPr>
              <w:shd w:val="clear" w:color="auto" w:fill="FFC000"/>
              <w:tabs>
                <w:tab w:val="left" w:pos="154"/>
                <w:tab w:val="left" w:pos="208"/>
              </w:tabs>
              <w:snapToGrid w:val="0"/>
              <w:spacing w:before="40" w:after="40"/>
              <w:ind w:right="-612"/>
              <w:rPr>
                <w:rFonts w:cs="Calibri"/>
                <w:kern w:val="22"/>
                <w:szCs w:val="22"/>
              </w:rPr>
            </w:pPr>
            <w:r w:rsidRPr="004A1442">
              <w:t>19</w:t>
            </w:r>
          </w:p>
        </w:tc>
        <w:tc>
          <w:tcPr>
            <w:tcW w:w="666" w:type="dxa"/>
            <w:tcBorders>
              <w:top w:val="dotted" w:sz="4" w:space="0" w:color="000000"/>
              <w:left w:val="dotted" w:sz="4" w:space="0" w:color="000000"/>
              <w:bottom w:val="dotted" w:sz="4" w:space="0" w:color="000000"/>
              <w:right w:val="dotted" w:sz="4" w:space="0" w:color="000000"/>
            </w:tcBorders>
          </w:tcPr>
          <w:p w14:paraId="357A0C79" w14:textId="77777777" w:rsidR="00E022E0" w:rsidRPr="004A1442" w:rsidRDefault="00E022E0" w:rsidP="00DC748A">
            <w:pPr>
              <w:shd w:val="clear" w:color="auto" w:fill="00B0F0"/>
              <w:snapToGrid w:val="0"/>
              <w:spacing w:before="40" w:after="40"/>
              <w:rPr>
                <w:rFonts w:cs="Calibri"/>
                <w:kern w:val="22"/>
                <w:szCs w:val="22"/>
              </w:rPr>
            </w:pPr>
            <w:r w:rsidRPr="004A1442">
              <w:t>18</w:t>
            </w:r>
          </w:p>
        </w:tc>
        <w:tc>
          <w:tcPr>
            <w:tcW w:w="6403" w:type="dxa"/>
            <w:tcBorders>
              <w:top w:val="dotted" w:sz="4" w:space="0" w:color="000000"/>
              <w:left w:val="dotted" w:sz="4" w:space="0" w:color="000000"/>
              <w:bottom w:val="dotted" w:sz="4" w:space="0" w:color="000000"/>
            </w:tcBorders>
          </w:tcPr>
          <w:p w14:paraId="263D4C2F" w14:textId="77777777" w:rsidR="00E022E0" w:rsidRPr="004A1442" w:rsidRDefault="00E022E0" w:rsidP="00DC748A">
            <w:pPr>
              <w:snapToGrid w:val="0"/>
              <w:spacing w:before="40" w:after="40"/>
              <w:rPr>
                <w:rFonts w:cs="Calibri"/>
                <w:kern w:val="22"/>
                <w:szCs w:val="22"/>
              </w:rPr>
            </w:pPr>
            <w:r w:rsidRPr="004A1442">
              <w:t>Adopción del informe</w:t>
            </w:r>
          </w:p>
        </w:tc>
      </w:tr>
      <w:tr w:rsidR="00E022E0" w:rsidRPr="004A1442" w14:paraId="0A92B924" w14:textId="77777777" w:rsidTr="00311C9B">
        <w:tc>
          <w:tcPr>
            <w:tcW w:w="1706" w:type="dxa"/>
            <w:vMerge/>
            <w:tcBorders>
              <w:bottom w:val="double" w:sz="4" w:space="0" w:color="000000"/>
              <w:right w:val="single" w:sz="4" w:space="0" w:color="auto"/>
            </w:tcBorders>
          </w:tcPr>
          <w:p w14:paraId="5E61FAFE" w14:textId="77777777" w:rsidR="00E022E0" w:rsidRPr="004A1442" w:rsidRDefault="00E022E0" w:rsidP="00DC748A">
            <w:pPr>
              <w:snapToGrid w:val="0"/>
              <w:spacing w:before="40" w:after="40"/>
              <w:rPr>
                <w:rFonts w:cs="Calibri"/>
                <w:kern w:val="22"/>
                <w:szCs w:val="22"/>
              </w:rPr>
            </w:pPr>
          </w:p>
        </w:tc>
        <w:tc>
          <w:tcPr>
            <w:tcW w:w="669" w:type="dxa"/>
            <w:tcBorders>
              <w:top w:val="dotted" w:sz="4" w:space="0" w:color="000000"/>
              <w:left w:val="single" w:sz="4" w:space="0" w:color="auto"/>
              <w:bottom w:val="dotted" w:sz="4" w:space="0" w:color="000000"/>
              <w:right w:val="dotted" w:sz="4" w:space="0" w:color="000000"/>
            </w:tcBorders>
          </w:tcPr>
          <w:p w14:paraId="6FE6C327" w14:textId="77777777" w:rsidR="00E022E0" w:rsidRPr="004A1442" w:rsidRDefault="00E022E0" w:rsidP="00DC748A">
            <w:pPr>
              <w:shd w:val="clear" w:color="auto" w:fill="92D050"/>
              <w:snapToGrid w:val="0"/>
              <w:spacing w:before="40" w:after="40"/>
              <w:rPr>
                <w:rFonts w:cs="Calibri"/>
                <w:kern w:val="22"/>
                <w:szCs w:val="22"/>
              </w:rPr>
            </w:pPr>
            <w:r w:rsidRPr="004A1442">
              <w:t>30</w:t>
            </w:r>
          </w:p>
        </w:tc>
        <w:tc>
          <w:tcPr>
            <w:tcW w:w="626" w:type="dxa"/>
            <w:tcBorders>
              <w:top w:val="dotted" w:sz="4" w:space="0" w:color="000000"/>
              <w:left w:val="dotted" w:sz="4" w:space="0" w:color="000000"/>
              <w:bottom w:val="dotted" w:sz="4" w:space="0" w:color="000000"/>
              <w:right w:val="dotted" w:sz="4" w:space="0" w:color="000000"/>
            </w:tcBorders>
          </w:tcPr>
          <w:p w14:paraId="02D9AA0E" w14:textId="77777777" w:rsidR="00E022E0" w:rsidRPr="004A1442" w:rsidRDefault="00E022E0" w:rsidP="00DC748A">
            <w:pPr>
              <w:shd w:val="clear" w:color="auto" w:fill="FFC000"/>
              <w:tabs>
                <w:tab w:val="left" w:pos="154"/>
                <w:tab w:val="left" w:pos="208"/>
              </w:tabs>
              <w:snapToGrid w:val="0"/>
              <w:spacing w:before="40" w:after="40"/>
              <w:ind w:right="-612"/>
              <w:rPr>
                <w:rFonts w:cs="Calibri"/>
                <w:kern w:val="22"/>
                <w:szCs w:val="22"/>
              </w:rPr>
            </w:pPr>
            <w:r w:rsidRPr="004A1442">
              <w:t>20</w:t>
            </w:r>
          </w:p>
        </w:tc>
        <w:tc>
          <w:tcPr>
            <w:tcW w:w="666" w:type="dxa"/>
            <w:tcBorders>
              <w:top w:val="dotted" w:sz="4" w:space="0" w:color="000000"/>
              <w:left w:val="dotted" w:sz="4" w:space="0" w:color="000000"/>
              <w:bottom w:val="dotted" w:sz="4" w:space="0" w:color="000000"/>
              <w:right w:val="dotted" w:sz="4" w:space="0" w:color="000000"/>
            </w:tcBorders>
          </w:tcPr>
          <w:p w14:paraId="735D8A5D" w14:textId="77777777" w:rsidR="00E022E0" w:rsidRPr="004A1442" w:rsidRDefault="00E022E0" w:rsidP="00DC748A">
            <w:pPr>
              <w:shd w:val="clear" w:color="auto" w:fill="00B0F0"/>
              <w:snapToGrid w:val="0"/>
              <w:spacing w:before="40" w:after="40"/>
              <w:rPr>
                <w:rFonts w:cs="Calibri"/>
                <w:kern w:val="22"/>
                <w:szCs w:val="22"/>
              </w:rPr>
            </w:pPr>
            <w:r w:rsidRPr="004A1442">
              <w:t>19</w:t>
            </w:r>
          </w:p>
        </w:tc>
        <w:tc>
          <w:tcPr>
            <w:tcW w:w="6403" w:type="dxa"/>
            <w:tcBorders>
              <w:top w:val="dotted" w:sz="4" w:space="0" w:color="000000"/>
              <w:left w:val="dotted" w:sz="4" w:space="0" w:color="000000"/>
              <w:bottom w:val="dotted" w:sz="4" w:space="0" w:color="000000"/>
            </w:tcBorders>
          </w:tcPr>
          <w:p w14:paraId="6692033A" w14:textId="77777777" w:rsidR="00E022E0" w:rsidRPr="004A1442" w:rsidRDefault="00E022E0" w:rsidP="00DC748A">
            <w:pPr>
              <w:snapToGrid w:val="0"/>
              <w:spacing w:before="40" w:after="40"/>
              <w:rPr>
                <w:rFonts w:cs="Calibri"/>
                <w:kern w:val="22"/>
                <w:szCs w:val="22"/>
              </w:rPr>
            </w:pPr>
            <w:r w:rsidRPr="004A1442">
              <w:t>Clausura de la reunión</w:t>
            </w:r>
          </w:p>
        </w:tc>
      </w:tr>
    </w:tbl>
    <w:p w14:paraId="724EF912" w14:textId="5679E110" w:rsidR="00FD536B" w:rsidRPr="004A1442" w:rsidRDefault="00FD536B" w:rsidP="00942CC3">
      <w:pPr>
        <w:suppressLineNumbers/>
        <w:tabs>
          <w:tab w:val="left"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i/>
          <w:iCs/>
          <w:snapToGrid w:val="0"/>
          <w:szCs w:val="22"/>
        </w:rPr>
        <w:t>Abreviaturas</w:t>
      </w:r>
      <w:r w:rsidRPr="004A1442">
        <w:rPr>
          <w:snapToGrid w:val="0"/>
          <w:szCs w:val="22"/>
        </w:rPr>
        <w:t xml:space="preserve">: CDB, Conferencia de las Partes en el Convenio sobre la Diversidad Biológica, </w:t>
      </w:r>
      <w:r w:rsidR="00482843" w:rsidRPr="004A1442">
        <w:rPr>
          <w:snapToGrid w:val="0"/>
          <w:szCs w:val="22"/>
        </w:rPr>
        <w:t>P</w:t>
      </w:r>
      <w:r w:rsidRPr="004A1442">
        <w:rPr>
          <w:snapToGrid w:val="0"/>
          <w:szCs w:val="22"/>
        </w:rPr>
        <w:t>C: Conferencia de las Partes que actúa como reunión de las Partes en el Protocolo de Cartagena sobre Seguridad de la Biotecnología, PN: Conferencia de las Partes que actúa como reunión de las Partes en el Protocolo de Nagoya sobre Acceso a los Recursos Genéticos y Participación Justa y Equitativa en los Beneficios que se Deriven de su Utilización.</w:t>
      </w:r>
    </w:p>
    <w:p w14:paraId="5E80068E" w14:textId="5D91CC8D" w:rsidR="00462F28" w:rsidRPr="004A1442" w:rsidRDefault="00FD536B" w:rsidP="00942CC3">
      <w:pPr>
        <w:suppressLineNumbers/>
        <w:tabs>
          <w:tab w:val="left" w:pos="360"/>
          <w:tab w:val="left" w:pos="720"/>
        </w:tabs>
        <w:suppressAutoHyphens/>
        <w:kinsoku w:val="0"/>
        <w:overflowPunct w:val="0"/>
        <w:autoSpaceDE w:val="0"/>
        <w:autoSpaceDN w:val="0"/>
        <w:adjustRightInd w:val="0"/>
        <w:snapToGrid w:val="0"/>
        <w:spacing w:before="120" w:after="120"/>
        <w:rPr>
          <w:snapToGrid w:val="0"/>
          <w:kern w:val="22"/>
          <w:szCs w:val="22"/>
        </w:rPr>
      </w:pPr>
      <w:r w:rsidRPr="004A1442">
        <w:rPr>
          <w:i/>
          <w:iCs/>
          <w:snapToGrid w:val="0"/>
          <w:szCs w:val="22"/>
        </w:rPr>
        <w:t>Nota</w:t>
      </w:r>
      <w:r w:rsidRPr="004A1442">
        <w:rPr>
          <w:snapToGrid w:val="0"/>
          <w:szCs w:val="22"/>
        </w:rPr>
        <w:t xml:space="preserve">: </w:t>
      </w:r>
      <w:r w:rsidRPr="004A1442">
        <w:rPr>
          <w:bCs/>
          <w:snapToGrid w:val="0"/>
          <w:szCs w:val="22"/>
        </w:rPr>
        <w:t>Las columnas sobre los temas correspondientes a la Conferencia de las Partes que actúa como reuniones de las Partes en los Protocolos se incluyen a título informativo y para facilitar la referencia.</w:t>
      </w:r>
    </w:p>
    <w:p w14:paraId="3093D971" w14:textId="040470AA" w:rsidR="00B3369F" w:rsidRPr="004A1442" w:rsidRDefault="003743D0" w:rsidP="00FF7C98">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sidRPr="004A1442">
        <w:t>__________</w:t>
      </w:r>
    </w:p>
    <w:sectPr w:rsidR="00B3369F" w:rsidRPr="004A1442" w:rsidSect="0090075A">
      <w:headerReference w:type="even" r:id="rId19"/>
      <w:headerReference w:type="default" r:id="rId20"/>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8D0B" w14:textId="77777777" w:rsidR="009F3398" w:rsidRDefault="009F3398" w:rsidP="00CF1848">
      <w:r>
        <w:separator/>
      </w:r>
    </w:p>
  </w:endnote>
  <w:endnote w:type="continuationSeparator" w:id="0">
    <w:p w14:paraId="732E8045" w14:textId="77777777" w:rsidR="009F3398" w:rsidRDefault="009F3398" w:rsidP="00CF1848">
      <w:r>
        <w:continuationSeparator/>
      </w:r>
    </w:p>
  </w:endnote>
  <w:endnote w:type="continuationNotice" w:id="1">
    <w:p w14:paraId="2B36BDFE" w14:textId="77777777" w:rsidR="009F3398" w:rsidRDefault="009F3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9CE17" w14:textId="77777777" w:rsidR="009F3398" w:rsidRDefault="009F3398" w:rsidP="00CF1848">
      <w:r>
        <w:separator/>
      </w:r>
    </w:p>
  </w:footnote>
  <w:footnote w:type="continuationSeparator" w:id="0">
    <w:p w14:paraId="2F6E20FD" w14:textId="77777777" w:rsidR="009F3398" w:rsidRDefault="009F3398" w:rsidP="00CF1848">
      <w:r>
        <w:continuationSeparator/>
      </w:r>
    </w:p>
  </w:footnote>
  <w:footnote w:type="continuationNotice" w:id="1">
    <w:p w14:paraId="6C22E247" w14:textId="77777777" w:rsidR="009F3398" w:rsidRDefault="009F3398"/>
  </w:footnote>
  <w:footnote w:id="2">
    <w:p w14:paraId="30D46DFC" w14:textId="2630CA71" w:rsidR="003B5339" w:rsidRPr="003B5339" w:rsidRDefault="003B5339" w:rsidP="003B5339">
      <w:pPr>
        <w:pStyle w:val="FootnoteText"/>
      </w:pPr>
      <w:r>
        <w:rPr>
          <w:rStyle w:val="FootnoteReference"/>
        </w:rPr>
        <w:footnoteRef/>
      </w:r>
      <w:r>
        <w:t xml:space="preserve"> </w:t>
      </w:r>
      <w:r>
        <w:rPr>
          <w:snapToGrid w:val="0"/>
          <w:szCs w:val="22"/>
        </w:rPr>
        <w:t>CBD/COP/15/1/Rev.1.</w:t>
      </w:r>
    </w:p>
  </w:footnote>
  <w:footnote w:id="3">
    <w:p w14:paraId="54606892" w14:textId="17084E98" w:rsidR="008C7F8A" w:rsidRPr="002D096C" w:rsidRDefault="008C7F8A" w:rsidP="005703A9">
      <w:pPr>
        <w:pStyle w:val="FootnoteText"/>
        <w:spacing w:after="0"/>
      </w:pPr>
      <w:r>
        <w:rPr>
          <w:rStyle w:val="FootnoteReference"/>
        </w:rPr>
        <w:footnoteRef/>
      </w:r>
      <w:r>
        <w:t xml:space="preserve"> Sujata Arora (India) fue elegida en la 14ª reunión de la Conferencia de las Partes y posteriormente sustituida por Vinod Mathur, luego por Naresh Pal Gangwar, y después por </w:t>
      </w:r>
      <w:r>
        <w:rPr>
          <w:rStyle w:val="ui-provider"/>
        </w:rPr>
        <w:t>Raghu Kumar Kodali</w:t>
      </w:r>
      <w:r>
        <w:t>.</w:t>
      </w:r>
    </w:p>
  </w:footnote>
  <w:footnote w:id="4">
    <w:p w14:paraId="4BC408D2" w14:textId="33F86AFA" w:rsidR="008C7F8A" w:rsidRPr="002D096C" w:rsidRDefault="008C7F8A" w:rsidP="005703A9">
      <w:pPr>
        <w:pStyle w:val="FootnoteText"/>
        <w:spacing w:after="0"/>
      </w:pPr>
      <w:r>
        <w:rPr>
          <w:rStyle w:val="FootnoteReference"/>
        </w:rPr>
        <w:footnoteRef/>
      </w:r>
      <w:r>
        <w:t xml:space="preserve"> Elvana Ramaj (Albania) fue elegida en la 14ª reunión y posteriormente sustituida por Klodiana Marika.</w:t>
      </w:r>
    </w:p>
  </w:footnote>
  <w:footnote w:id="5">
    <w:p w14:paraId="788DDC1C" w14:textId="6E633557" w:rsidR="008C7F8A" w:rsidRPr="002D096C" w:rsidRDefault="008C7F8A" w:rsidP="005703A9">
      <w:pPr>
        <w:pStyle w:val="FootnoteText"/>
        <w:spacing w:after="0"/>
      </w:pPr>
      <w:r>
        <w:rPr>
          <w:rStyle w:val="FootnoteReference"/>
        </w:rPr>
        <w:footnoteRef/>
      </w:r>
      <w:r>
        <w:t xml:space="preserve"> Carlos Manuel Rodríguez (Costa Rica) fue elegido en la 14ª reunión y posteriormente sustituido por Andrea Meza Murillo, y luego por Eugenia Argüedas Montezuma.</w:t>
      </w:r>
    </w:p>
  </w:footnote>
  <w:footnote w:id="6">
    <w:p w14:paraId="485E6280" w14:textId="2A85CD49" w:rsidR="008C7F8A" w:rsidRPr="00304F22" w:rsidRDefault="008C7F8A" w:rsidP="005703A9">
      <w:pPr>
        <w:pStyle w:val="FootnoteText"/>
        <w:spacing w:after="0"/>
      </w:pPr>
      <w:r>
        <w:rPr>
          <w:rStyle w:val="FootnoteReference"/>
        </w:rPr>
        <w:footnoteRef/>
      </w:r>
      <w:r>
        <w:t xml:space="preserve"> Tras retirarse del Gobierno de Nueva Zelanda, la Sra. Paterson renunció a su cargo en la Mesa. Mientras tanto, a la espera de que Nueva Zelanda nombre un sustituto (de conformidad con el artículo 24 del reglamento), Marie Haraldstad (Noruega), que integra la Mesa en calidad de suplente por Nueva Zelanda para asuntos relacionados con el Protocolo de Nagoya, ha prestado asistencia en la comunicación de información a la región. </w:t>
      </w:r>
    </w:p>
  </w:footnote>
  <w:footnote w:id="7">
    <w:p w14:paraId="7903C539" w14:textId="17F13FCE" w:rsidR="005B5728" w:rsidRPr="00C2262E" w:rsidRDefault="005B5728" w:rsidP="003B5339">
      <w:pPr>
        <w:pStyle w:val="FootnoteText"/>
        <w:rPr>
          <w:lang w:val="fr-CA"/>
        </w:rPr>
      </w:pPr>
      <w:r>
        <w:rPr>
          <w:rStyle w:val="FootnoteReference"/>
        </w:rPr>
        <w:footnoteRef/>
      </w:r>
      <w:r w:rsidRPr="00C2262E">
        <w:rPr>
          <w:lang w:val="fr-CA"/>
        </w:rPr>
        <w:t xml:space="preserve"> Véase </w:t>
      </w:r>
      <w:hyperlink r:id="rId1" w:history="1">
        <w:r w:rsidRPr="00C2262E">
          <w:rPr>
            <w:rStyle w:val="Hyperlink"/>
            <w:lang w:val="fr-CA"/>
          </w:rPr>
          <w:t>www.cbd.int/doc/meetings/cop/cop-15/cop-credentials-template-en.docx</w:t>
        </w:r>
      </w:hyperlink>
      <w:r w:rsidRPr="00C2262E">
        <w:rPr>
          <w:lang w:val="fr-CA"/>
        </w:rPr>
        <w:t xml:space="preserve">. </w:t>
      </w:r>
    </w:p>
  </w:footnote>
  <w:footnote w:id="8">
    <w:p w14:paraId="25EF1D59" w14:textId="0CAC7415" w:rsidR="00E52D07" w:rsidRPr="00E52D07" w:rsidRDefault="00E52D07">
      <w:pPr>
        <w:pStyle w:val="FootnoteText"/>
      </w:pPr>
      <w:r>
        <w:rPr>
          <w:rStyle w:val="FootnoteReference"/>
        </w:rPr>
        <w:footnoteRef/>
      </w:r>
      <w:r>
        <w:t xml:space="preserve"> </w:t>
      </w:r>
      <w:r>
        <w:rPr>
          <w:snapToGrid w:val="0"/>
          <w:szCs w:val="22"/>
        </w:rPr>
        <w:t>CBD/COP/15/4.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0A3F" w14:textId="7DC9444E" w:rsidR="00534681" w:rsidRPr="00B00053" w:rsidRDefault="005D4C81" w:rsidP="00B00053">
    <w:pPr>
      <w:pStyle w:val="Header"/>
      <w:tabs>
        <w:tab w:val="clear" w:pos="4320"/>
        <w:tab w:val="clear" w:pos="8640"/>
      </w:tabs>
      <w:kinsoku w:val="0"/>
      <w:overflowPunct w:val="0"/>
      <w:autoSpaceDE w:val="0"/>
      <w:autoSpaceDN w:val="0"/>
      <w:jc w:val="left"/>
      <w:rPr>
        <w:noProof/>
      </w:rPr>
    </w:pPr>
    <w:r>
      <w:t>CBD/COP/15/1/Add.5</w:t>
    </w:r>
  </w:p>
  <w:p w14:paraId="1E0FDE0B" w14:textId="64EB972C" w:rsidR="00534681" w:rsidRPr="00B00053" w:rsidRDefault="00534681" w:rsidP="00B00053">
    <w:pPr>
      <w:pStyle w:val="Header"/>
      <w:tabs>
        <w:tab w:val="clear" w:pos="4320"/>
        <w:tab w:val="clear" w:pos="8640"/>
      </w:tabs>
      <w:kinsoku w:val="0"/>
      <w:overflowPunct w:val="0"/>
      <w:autoSpaceDE w:val="0"/>
      <w:autoSpaceDN w:val="0"/>
      <w:jc w:val="left"/>
      <w:rPr>
        <w:noProof/>
      </w:rPr>
    </w:pPr>
    <w:r>
      <w:t xml:space="preserve">Página </w:t>
    </w:r>
    <w:r w:rsidRPr="00B00053">
      <w:fldChar w:fldCharType="begin"/>
    </w:r>
    <w:r w:rsidRPr="00B00053">
      <w:instrText xml:space="preserve"> PAGE   \* MERGEFORMAT </w:instrText>
    </w:r>
    <w:r w:rsidRPr="00B00053">
      <w:fldChar w:fldCharType="separate"/>
    </w:r>
    <w:r w:rsidR="00A13F47">
      <w:rPr>
        <w:noProof/>
      </w:rPr>
      <w:t>6</w:t>
    </w:r>
    <w:r w:rsidRPr="00B00053">
      <w:fldChar w:fldCharType="end"/>
    </w:r>
  </w:p>
  <w:p w14:paraId="61C60697" w14:textId="77777777" w:rsidR="00534681" w:rsidRPr="00B00053" w:rsidRDefault="00534681" w:rsidP="00B00053">
    <w:pPr>
      <w:pStyle w:val="Header"/>
      <w:tabs>
        <w:tab w:val="clear" w:pos="4320"/>
        <w:tab w:val="clear" w:pos="8640"/>
      </w:tabs>
      <w:kinsoku w:val="0"/>
      <w:overflowPunct w:val="0"/>
      <w:autoSpaceDE w:val="0"/>
      <w:autoSpaceDN w:val="0"/>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C37E" w14:textId="236AC3CF" w:rsidR="009505C9" w:rsidRPr="00B00053" w:rsidRDefault="005D4C81" w:rsidP="00B00053">
    <w:pPr>
      <w:pStyle w:val="Header"/>
      <w:tabs>
        <w:tab w:val="clear" w:pos="4320"/>
        <w:tab w:val="clear" w:pos="8640"/>
      </w:tabs>
      <w:kinsoku w:val="0"/>
      <w:overflowPunct w:val="0"/>
      <w:autoSpaceDE w:val="0"/>
      <w:autoSpaceDN w:val="0"/>
      <w:jc w:val="right"/>
      <w:rPr>
        <w:noProof/>
      </w:rPr>
    </w:pPr>
    <w:r>
      <w:t>CBD/COP/15/1/Add.5</w:t>
    </w:r>
  </w:p>
  <w:p w14:paraId="64AE8439" w14:textId="15C77EBF" w:rsidR="009505C9" w:rsidRPr="00B00053" w:rsidRDefault="009505C9" w:rsidP="00B00053">
    <w:pPr>
      <w:pStyle w:val="Header"/>
      <w:tabs>
        <w:tab w:val="clear" w:pos="4320"/>
        <w:tab w:val="clear" w:pos="8640"/>
      </w:tabs>
      <w:kinsoku w:val="0"/>
      <w:overflowPunct w:val="0"/>
      <w:autoSpaceDE w:val="0"/>
      <w:autoSpaceDN w:val="0"/>
      <w:jc w:val="right"/>
      <w:rPr>
        <w:noProof/>
      </w:rPr>
    </w:pPr>
    <w:r>
      <w:t xml:space="preserve">Página </w:t>
    </w:r>
    <w:r w:rsidRPr="00B00053">
      <w:fldChar w:fldCharType="begin"/>
    </w:r>
    <w:r w:rsidRPr="00B00053">
      <w:instrText xml:space="preserve"> PAGE   \* MERGEFORMAT </w:instrText>
    </w:r>
    <w:r w:rsidRPr="00B00053">
      <w:fldChar w:fldCharType="separate"/>
    </w:r>
    <w:r w:rsidR="00A13F47">
      <w:rPr>
        <w:noProof/>
      </w:rPr>
      <w:t>7</w:t>
    </w:r>
    <w:r w:rsidRPr="00B00053">
      <w:fldChar w:fldCharType="end"/>
    </w:r>
  </w:p>
  <w:p w14:paraId="16137B8A" w14:textId="77777777" w:rsidR="009505C9" w:rsidRPr="00B00053" w:rsidRDefault="009505C9" w:rsidP="00B00053">
    <w:pPr>
      <w:pStyle w:val="Header"/>
      <w:tabs>
        <w:tab w:val="clear" w:pos="4320"/>
        <w:tab w:val="clear" w:pos="8640"/>
      </w:tabs>
      <w:kinsoku w:val="0"/>
      <w:overflowPunct w:val="0"/>
      <w:autoSpaceDE w:val="0"/>
      <w:autoSpaceDN w:val="0"/>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9BB"/>
    <w:multiLevelType w:val="hybridMultilevel"/>
    <w:tmpl w:val="53A427DA"/>
    <w:lvl w:ilvl="0" w:tplc="A53C7FB8">
      <w:start w:val="1"/>
      <w:numFmt w:val="decimal"/>
      <w:lvlText w:val="%1."/>
      <w:lvlJc w:val="left"/>
      <w:pPr>
        <w:ind w:left="720" w:hanging="360"/>
      </w:pPr>
      <w:rPr>
        <w:i w:val="0"/>
        <w:iCs w:val="0"/>
      </w:rPr>
    </w:lvl>
    <w:lvl w:ilvl="1" w:tplc="069291EE">
      <w:start w:val="1"/>
      <w:numFmt w:val="lowerLetter"/>
      <w:lvlText w:val="(%2)"/>
      <w:lvlJc w:val="left"/>
      <w:pPr>
        <w:ind w:left="1440" w:hanging="360"/>
      </w:pPr>
      <w:rPr>
        <w:rFonts w:asciiTheme="majorBidi" w:eastAsia="Times New Roman" w:hAnsiTheme="majorBidi" w:cstheme="majorBidi"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7377E6A"/>
    <w:multiLevelType w:val="multilevel"/>
    <w:tmpl w:val="13D4FB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C875DB"/>
    <w:multiLevelType w:val="hybridMultilevel"/>
    <w:tmpl w:val="6ABC0B52"/>
    <w:lvl w:ilvl="0" w:tplc="759A207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E26582"/>
    <w:multiLevelType w:val="hybridMultilevel"/>
    <w:tmpl w:val="BFC8DBAA"/>
    <w:lvl w:ilvl="0" w:tplc="AD9E164A">
      <w:start w:val="1"/>
      <w:numFmt w:val="decimal"/>
      <w:lvlText w:val="%1."/>
      <w:lvlJc w:val="left"/>
      <w:pPr>
        <w:ind w:left="720" w:hanging="360"/>
      </w:pPr>
      <w:rPr>
        <w:rFonts w:asciiTheme="majorBidi" w:hAnsiTheme="majorBidi" w:cstheme="majorBid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6592A"/>
    <w:multiLevelType w:val="multilevel"/>
    <w:tmpl w:val="E08E282C"/>
    <w:lvl w:ilvl="0">
      <w:start w:val="1"/>
      <w:numFmt w:val="decimal"/>
      <w:lvlText w:val="%1"/>
      <w:lvlJc w:val="left"/>
      <w:pPr>
        <w:tabs>
          <w:tab w:val="num" w:pos="540"/>
        </w:tabs>
        <w:ind w:left="540" w:hanging="540"/>
      </w:pPr>
      <w:rPr>
        <w:rFonts w:cs="Times New Roman"/>
      </w:rPr>
    </w:lvl>
    <w:lvl w:ilvl="1">
      <w:start w:val="1"/>
      <w:numFmt w:val="decimal"/>
      <w:lvlText w:val="%2."/>
      <w:lvlJc w:val="left"/>
      <w:pPr>
        <w:tabs>
          <w:tab w:val="num" w:pos="540"/>
        </w:tabs>
        <w:ind w:left="540" w:hanging="540"/>
      </w:pPr>
      <w:rPr>
        <w:rFonts w:ascii="Times New Roman" w:eastAsia="Times New Roman" w:hAnsi="Times New Roman" w:cs="Times New Roman"/>
      </w:rPr>
    </w:lvl>
    <w:lvl w:ilvl="2">
      <w:start w:val="1"/>
      <w:numFmt w:val="decimal"/>
      <w:lvlText w:val="%1.%2.%3"/>
      <w:lvlJc w:val="left"/>
      <w:pPr>
        <w:tabs>
          <w:tab w:val="num" w:pos="540"/>
        </w:tabs>
        <w:ind w:left="540" w:hanging="54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720"/>
        </w:tabs>
        <w:ind w:left="720" w:hanging="72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080"/>
        </w:tabs>
        <w:ind w:left="1080" w:hanging="1080"/>
      </w:pPr>
      <w:rPr>
        <w:rFonts w:cs="Times New Roman"/>
      </w:rPr>
    </w:lvl>
  </w:abstractNum>
  <w:abstractNum w:abstractNumId="7" w15:restartNumberingAfterBreak="0">
    <w:nsid w:val="10A54367"/>
    <w:multiLevelType w:val="hybridMultilevel"/>
    <w:tmpl w:val="EFBCB176"/>
    <w:lvl w:ilvl="0" w:tplc="51F0FC34">
      <w:start w:val="1"/>
      <w:numFmt w:val="upperLetter"/>
      <w:lvlText w:val="%1."/>
      <w:lvlJc w:val="left"/>
      <w:pPr>
        <w:ind w:left="785" w:hanging="360"/>
      </w:pPr>
      <w:rPr>
        <w:rFonts w:hint="default"/>
        <w:i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2501B37"/>
    <w:multiLevelType w:val="hybridMultilevel"/>
    <w:tmpl w:val="E5EE7A56"/>
    <w:lvl w:ilvl="0" w:tplc="2758B3F8">
      <w:start w:val="3"/>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8FD26DF"/>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E2821CF"/>
    <w:multiLevelType w:val="hybridMultilevel"/>
    <w:tmpl w:val="D1BC9C9C"/>
    <w:lvl w:ilvl="0" w:tplc="355C92E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F221F5E"/>
    <w:multiLevelType w:val="hybridMultilevel"/>
    <w:tmpl w:val="0744334C"/>
    <w:lvl w:ilvl="0" w:tplc="A53C7FB8">
      <w:start w:val="1"/>
      <w:numFmt w:val="decimal"/>
      <w:lvlText w:val="%1."/>
      <w:lvlJc w:val="left"/>
      <w:pPr>
        <w:ind w:left="720" w:hanging="360"/>
      </w:pPr>
      <w:rPr>
        <w:i w:val="0"/>
        <w:iCs w:val="0"/>
      </w:rPr>
    </w:lvl>
    <w:lvl w:ilvl="1" w:tplc="069291EE">
      <w:start w:val="1"/>
      <w:numFmt w:val="lowerLetter"/>
      <w:lvlText w:val="(%2)"/>
      <w:lvlJc w:val="left"/>
      <w:pPr>
        <w:ind w:left="1440" w:hanging="360"/>
      </w:pPr>
      <w:rPr>
        <w:rFonts w:asciiTheme="majorBidi" w:eastAsia="Times New Roman" w:hAnsiTheme="majorBidi" w:cstheme="majorBidi"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511026E0"/>
    <w:multiLevelType w:val="hybridMultilevel"/>
    <w:tmpl w:val="126E825C"/>
    <w:lvl w:ilvl="0" w:tplc="A53C7FB8">
      <w:start w:val="1"/>
      <w:numFmt w:val="decimal"/>
      <w:lvlText w:val="%1."/>
      <w:lvlJc w:val="left"/>
      <w:pPr>
        <w:ind w:left="720" w:hanging="360"/>
      </w:pPr>
      <w:rPr>
        <w:i w:val="0"/>
        <w:i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56391F7A"/>
    <w:multiLevelType w:val="hybridMultilevel"/>
    <w:tmpl w:val="028C3604"/>
    <w:lvl w:ilvl="0" w:tplc="46B85A5C">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D3A2B"/>
    <w:multiLevelType w:val="hybridMultilevel"/>
    <w:tmpl w:val="B2B66EEC"/>
    <w:lvl w:ilvl="0" w:tplc="A3488B70">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620D6AEB"/>
    <w:multiLevelType w:val="multilevel"/>
    <w:tmpl w:val="620D6AEB"/>
    <w:lvl w:ilvl="0">
      <w:start w:val="1"/>
      <w:numFmt w:val="decimal"/>
      <w:lvlText w:val="%1."/>
      <w:lvlJc w:val="left"/>
      <w:pPr>
        <w:tabs>
          <w:tab w:val="left"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left" w:pos="1481"/>
        </w:tabs>
        <w:ind w:left="41" w:firstLine="720"/>
      </w:pPr>
      <w:rPr>
        <w:rFonts w:cs="Times New Roman" w:hint="default"/>
        <w:b w:val="0"/>
        <w:i w:val="0"/>
      </w:rPr>
    </w:lvl>
    <w:lvl w:ilvl="2">
      <w:start w:val="1"/>
      <w:numFmt w:val="lowerRoman"/>
      <w:lvlText w:val="(%3)"/>
      <w:lvlJc w:val="right"/>
      <w:pPr>
        <w:tabs>
          <w:tab w:val="left" w:pos="1350"/>
        </w:tabs>
        <w:ind w:left="1350" w:hanging="360"/>
      </w:pPr>
      <w:rPr>
        <w:rFonts w:cs="Times New Roman" w:hint="default"/>
      </w:rPr>
    </w:lvl>
    <w:lvl w:ilvl="3">
      <w:start w:val="1"/>
      <w:numFmt w:val="bullet"/>
      <w:lvlText w:val=""/>
      <w:lvlJc w:val="left"/>
      <w:pPr>
        <w:tabs>
          <w:tab w:val="left" w:pos="2070"/>
        </w:tabs>
        <w:ind w:left="2070" w:hanging="720"/>
      </w:pPr>
      <w:rPr>
        <w:rFonts w:ascii="Symbol" w:hAnsi="Symbol" w:hint="default"/>
        <w:color w:val="auto"/>
        <w:sz w:val="28"/>
      </w:rPr>
    </w:lvl>
    <w:lvl w:ilvl="4">
      <w:start w:val="1"/>
      <w:numFmt w:val="lowerLetter"/>
      <w:lvlText w:val="(%5)"/>
      <w:lvlJc w:val="left"/>
      <w:pPr>
        <w:tabs>
          <w:tab w:val="left" w:pos="1710"/>
        </w:tabs>
        <w:ind w:left="1710" w:hanging="360"/>
      </w:pPr>
      <w:rPr>
        <w:rFonts w:cs="Times New Roman" w:hint="default"/>
      </w:rPr>
    </w:lvl>
    <w:lvl w:ilvl="5">
      <w:start w:val="1"/>
      <w:numFmt w:val="lowerRoman"/>
      <w:lvlText w:val="(%6)"/>
      <w:lvlJc w:val="left"/>
      <w:pPr>
        <w:tabs>
          <w:tab w:val="left" w:pos="2070"/>
        </w:tabs>
        <w:ind w:left="2070" w:hanging="360"/>
      </w:pPr>
      <w:rPr>
        <w:rFonts w:cs="Times New Roman" w:hint="default"/>
      </w:rPr>
    </w:lvl>
    <w:lvl w:ilvl="6">
      <w:start w:val="1"/>
      <w:numFmt w:val="decimal"/>
      <w:lvlText w:val="%7."/>
      <w:lvlJc w:val="left"/>
      <w:pPr>
        <w:tabs>
          <w:tab w:val="left" w:pos="2430"/>
        </w:tabs>
        <w:ind w:left="2430" w:hanging="360"/>
      </w:pPr>
      <w:rPr>
        <w:rFonts w:cs="Times New Roman" w:hint="default"/>
      </w:rPr>
    </w:lvl>
    <w:lvl w:ilvl="7">
      <w:start w:val="1"/>
      <w:numFmt w:val="lowerLetter"/>
      <w:lvlText w:val="%8."/>
      <w:lvlJc w:val="left"/>
      <w:pPr>
        <w:tabs>
          <w:tab w:val="left" w:pos="2790"/>
        </w:tabs>
        <w:ind w:left="2790" w:hanging="360"/>
      </w:pPr>
      <w:rPr>
        <w:rFonts w:cs="Times New Roman" w:hint="default"/>
      </w:rPr>
    </w:lvl>
    <w:lvl w:ilvl="8">
      <w:start w:val="1"/>
      <w:numFmt w:val="lowerRoman"/>
      <w:lvlText w:val="%9."/>
      <w:lvlJc w:val="left"/>
      <w:pPr>
        <w:tabs>
          <w:tab w:val="left" w:pos="3150"/>
        </w:tabs>
        <w:ind w:left="3150" w:hanging="360"/>
      </w:pPr>
      <w:rPr>
        <w:rFonts w:cs="Times New Roman" w:hint="default"/>
      </w:rPr>
    </w:lvl>
  </w:abstractNum>
  <w:abstractNum w:abstractNumId="23" w15:restartNumberingAfterBreak="0">
    <w:nsid w:val="646D7EAF"/>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64EE46A3"/>
    <w:multiLevelType w:val="hybridMultilevel"/>
    <w:tmpl w:val="6DB40FB6"/>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330EFF7E">
      <w:start w:val="1"/>
      <w:numFmt w:val="upperLetter"/>
      <w:lvlText w:val="%3."/>
      <w:lvlJc w:val="left"/>
      <w:pPr>
        <w:ind w:left="2700" w:hanging="720"/>
      </w:pPr>
      <w:rPr>
        <w:rFonts w:hint="default"/>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D7EC2"/>
    <w:multiLevelType w:val="hybridMultilevel"/>
    <w:tmpl w:val="4426B32E"/>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C25FC"/>
    <w:multiLevelType w:val="hybridMultilevel"/>
    <w:tmpl w:val="FEDA9954"/>
    <w:lvl w:ilvl="0" w:tplc="069291EE">
      <w:start w:val="1"/>
      <w:numFmt w:val="lowerLetter"/>
      <w:lvlText w:val="(%1)"/>
      <w:lvlJc w:val="left"/>
      <w:pPr>
        <w:ind w:left="720" w:hanging="360"/>
      </w:pPr>
      <w:rPr>
        <w:rFonts w:asciiTheme="majorBidi" w:eastAsia="Times New Roman" w:hAnsiTheme="majorBidi"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5D5521"/>
    <w:multiLevelType w:val="hybridMultilevel"/>
    <w:tmpl w:val="B2EEFAF2"/>
    <w:lvl w:ilvl="0" w:tplc="E738D59E">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87563506">
    <w:abstractNumId w:val="11"/>
  </w:num>
  <w:num w:numId="2" w16cid:durableId="727536593">
    <w:abstractNumId w:val="14"/>
  </w:num>
  <w:num w:numId="3" w16cid:durableId="1235972284">
    <w:abstractNumId w:val="12"/>
  </w:num>
  <w:num w:numId="4" w16cid:durableId="1030301471">
    <w:abstractNumId w:val="14"/>
  </w:num>
  <w:num w:numId="5" w16cid:durableId="466901120">
    <w:abstractNumId w:val="13"/>
  </w:num>
  <w:num w:numId="6" w16cid:durableId="380058080">
    <w:abstractNumId w:val="4"/>
  </w:num>
  <w:num w:numId="7" w16cid:durableId="821847877">
    <w:abstractNumId w:val="8"/>
  </w:num>
  <w:num w:numId="8" w16cid:durableId="638263161">
    <w:abstractNumId w:val="12"/>
    <w:lvlOverride w:ilvl="0">
      <w:startOverride w:val="1"/>
    </w:lvlOverride>
  </w:num>
  <w:num w:numId="9" w16cid:durableId="304743635">
    <w:abstractNumId w:val="26"/>
  </w:num>
  <w:num w:numId="10" w16cid:durableId="1014917753">
    <w:abstractNumId w:val="12"/>
    <w:lvlOverride w:ilvl="0">
      <w:startOverride w:val="1"/>
    </w:lvlOverride>
  </w:num>
  <w:num w:numId="11" w16cid:durableId="261649340">
    <w:abstractNumId w:val="12"/>
    <w:lvlOverride w:ilvl="0">
      <w:startOverride w:val="1"/>
    </w:lvlOverride>
  </w:num>
  <w:num w:numId="12" w16cid:durableId="1911965705">
    <w:abstractNumId w:val="12"/>
    <w:lvlOverride w:ilvl="0">
      <w:startOverride w:val="1"/>
    </w:lvlOverride>
  </w:num>
  <w:num w:numId="13" w16cid:durableId="1078793931">
    <w:abstractNumId w:val="12"/>
    <w:lvlOverride w:ilvl="0">
      <w:startOverride w:val="1"/>
    </w:lvlOverride>
  </w:num>
  <w:num w:numId="14" w16cid:durableId="262341596">
    <w:abstractNumId w:val="20"/>
  </w:num>
  <w:num w:numId="15" w16cid:durableId="1632975251">
    <w:abstractNumId w:val="19"/>
  </w:num>
  <w:num w:numId="16" w16cid:durableId="819734734">
    <w:abstractNumId w:val="5"/>
  </w:num>
  <w:num w:numId="17" w16cid:durableId="1432774783">
    <w:abstractNumId w:val="27"/>
  </w:num>
  <w:num w:numId="18" w16cid:durableId="1953853891">
    <w:abstractNumId w:val="29"/>
  </w:num>
  <w:num w:numId="19" w16cid:durableId="1267277407">
    <w:abstractNumId w:val="22"/>
    <w:lvlOverride w:ilvl="0">
      <w:startOverride w:val="1"/>
    </w:lvlOverride>
    <w:lvlOverride w:ilvl="1">
      <w:startOverride w:val="1"/>
    </w:lvlOverride>
    <w:lvlOverride w:ilvl="2">
      <w:startOverride w:val="1"/>
    </w:lvlOverride>
  </w:num>
  <w:num w:numId="20" w16cid:durableId="1049383213">
    <w:abstractNumId w:val="22"/>
  </w:num>
  <w:num w:numId="21" w16cid:durableId="1275674725">
    <w:abstractNumId w:val="22"/>
  </w:num>
  <w:num w:numId="22" w16cid:durableId="166300051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1309053">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05361634">
    <w:abstractNumId w:val="23"/>
  </w:num>
  <w:num w:numId="25" w16cid:durableId="11206847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561229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9027553">
    <w:abstractNumId w:val="17"/>
  </w:num>
  <w:num w:numId="28" w16cid:durableId="185060580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025061">
    <w:abstractNumId w:val="1"/>
  </w:num>
  <w:num w:numId="30" w16cid:durableId="1649818361">
    <w:abstractNumId w:val="15"/>
  </w:num>
  <w:num w:numId="31" w16cid:durableId="16815469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84532209">
    <w:abstractNumId w:val="2"/>
  </w:num>
  <w:num w:numId="33" w16cid:durableId="465122821">
    <w:abstractNumId w:val="28"/>
  </w:num>
  <w:num w:numId="34" w16cid:durableId="1143085175">
    <w:abstractNumId w:val="0"/>
  </w:num>
  <w:num w:numId="35" w16cid:durableId="1472214682">
    <w:abstractNumId w:val="16"/>
  </w:num>
  <w:num w:numId="36" w16cid:durableId="735200337">
    <w:abstractNumId w:val="3"/>
  </w:num>
  <w:num w:numId="37" w16cid:durableId="1477648077">
    <w:abstractNumId w:val="7"/>
  </w:num>
  <w:num w:numId="38" w16cid:durableId="1599364183">
    <w:abstractNumId w:val="24"/>
  </w:num>
  <w:num w:numId="39" w16cid:durableId="1506046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6154589">
    <w:abstractNumId w:val="18"/>
  </w:num>
  <w:num w:numId="41" w16cid:durableId="993099029">
    <w:abstractNumId w:val="21"/>
  </w:num>
  <w:num w:numId="42" w16cid:durableId="1577746416">
    <w:abstractNumId w:val="9"/>
  </w:num>
  <w:num w:numId="43" w16cid:durableId="142750635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26C"/>
    <w:rsid w:val="00001305"/>
    <w:rsid w:val="0000296B"/>
    <w:rsid w:val="00002BAD"/>
    <w:rsid w:val="000037C4"/>
    <w:rsid w:val="00004584"/>
    <w:rsid w:val="00006D47"/>
    <w:rsid w:val="00006E4F"/>
    <w:rsid w:val="00010FE8"/>
    <w:rsid w:val="00011BF4"/>
    <w:rsid w:val="000127D7"/>
    <w:rsid w:val="00014B2D"/>
    <w:rsid w:val="00015D93"/>
    <w:rsid w:val="000176FD"/>
    <w:rsid w:val="00017CF9"/>
    <w:rsid w:val="00020B77"/>
    <w:rsid w:val="00020D56"/>
    <w:rsid w:val="00025214"/>
    <w:rsid w:val="00025EE6"/>
    <w:rsid w:val="00026BD0"/>
    <w:rsid w:val="0002734E"/>
    <w:rsid w:val="00030969"/>
    <w:rsid w:val="00031B78"/>
    <w:rsid w:val="00037C10"/>
    <w:rsid w:val="00041CFD"/>
    <w:rsid w:val="0004412C"/>
    <w:rsid w:val="0004487C"/>
    <w:rsid w:val="000455AA"/>
    <w:rsid w:val="00045B23"/>
    <w:rsid w:val="00046CF6"/>
    <w:rsid w:val="00054BA5"/>
    <w:rsid w:val="0005550C"/>
    <w:rsid w:val="00056FA9"/>
    <w:rsid w:val="000654A2"/>
    <w:rsid w:val="00067369"/>
    <w:rsid w:val="0006786C"/>
    <w:rsid w:val="0007171B"/>
    <w:rsid w:val="000735C6"/>
    <w:rsid w:val="00080354"/>
    <w:rsid w:val="00080A7A"/>
    <w:rsid w:val="000814BE"/>
    <w:rsid w:val="00082188"/>
    <w:rsid w:val="00082F78"/>
    <w:rsid w:val="00085FB4"/>
    <w:rsid w:val="000921FE"/>
    <w:rsid w:val="000927CF"/>
    <w:rsid w:val="00092971"/>
    <w:rsid w:val="000935C2"/>
    <w:rsid w:val="000954AB"/>
    <w:rsid w:val="00095E1D"/>
    <w:rsid w:val="00096859"/>
    <w:rsid w:val="00097273"/>
    <w:rsid w:val="0009729E"/>
    <w:rsid w:val="00097C19"/>
    <w:rsid w:val="000A03B9"/>
    <w:rsid w:val="000A06C2"/>
    <w:rsid w:val="000A2175"/>
    <w:rsid w:val="000A2897"/>
    <w:rsid w:val="000A2E96"/>
    <w:rsid w:val="000A6C61"/>
    <w:rsid w:val="000B0805"/>
    <w:rsid w:val="000B1F31"/>
    <w:rsid w:val="000B3BF1"/>
    <w:rsid w:val="000B67A5"/>
    <w:rsid w:val="000B7ABE"/>
    <w:rsid w:val="000C02F7"/>
    <w:rsid w:val="000C0EB7"/>
    <w:rsid w:val="000C0F70"/>
    <w:rsid w:val="000C19B0"/>
    <w:rsid w:val="000C1C09"/>
    <w:rsid w:val="000C3EE9"/>
    <w:rsid w:val="000C52FD"/>
    <w:rsid w:val="000C5796"/>
    <w:rsid w:val="000C7188"/>
    <w:rsid w:val="000D0863"/>
    <w:rsid w:val="000D2441"/>
    <w:rsid w:val="000D3319"/>
    <w:rsid w:val="000D3568"/>
    <w:rsid w:val="000D3660"/>
    <w:rsid w:val="000D53B2"/>
    <w:rsid w:val="000D6A86"/>
    <w:rsid w:val="000D7F8C"/>
    <w:rsid w:val="000E07BF"/>
    <w:rsid w:val="000E4E02"/>
    <w:rsid w:val="000E5900"/>
    <w:rsid w:val="000E5D43"/>
    <w:rsid w:val="000E64F8"/>
    <w:rsid w:val="000E673A"/>
    <w:rsid w:val="000E7DCA"/>
    <w:rsid w:val="000F0C8D"/>
    <w:rsid w:val="000F1571"/>
    <w:rsid w:val="000F46CF"/>
    <w:rsid w:val="000F74F5"/>
    <w:rsid w:val="001014C2"/>
    <w:rsid w:val="00101F0B"/>
    <w:rsid w:val="00102D00"/>
    <w:rsid w:val="00103C86"/>
    <w:rsid w:val="0010438A"/>
    <w:rsid w:val="0010470E"/>
    <w:rsid w:val="00105372"/>
    <w:rsid w:val="0010669D"/>
    <w:rsid w:val="00106D24"/>
    <w:rsid w:val="00107D96"/>
    <w:rsid w:val="00110094"/>
    <w:rsid w:val="00110358"/>
    <w:rsid w:val="001127E8"/>
    <w:rsid w:val="00112F45"/>
    <w:rsid w:val="00113E77"/>
    <w:rsid w:val="00120533"/>
    <w:rsid w:val="00121D74"/>
    <w:rsid w:val="001227F1"/>
    <w:rsid w:val="00122D6F"/>
    <w:rsid w:val="00123765"/>
    <w:rsid w:val="001244FA"/>
    <w:rsid w:val="00127706"/>
    <w:rsid w:val="001312AD"/>
    <w:rsid w:val="001318DD"/>
    <w:rsid w:val="00131E7A"/>
    <w:rsid w:val="0013356A"/>
    <w:rsid w:val="00134846"/>
    <w:rsid w:val="00135C09"/>
    <w:rsid w:val="0014172A"/>
    <w:rsid w:val="00142052"/>
    <w:rsid w:val="00142423"/>
    <w:rsid w:val="001424BF"/>
    <w:rsid w:val="00142DB4"/>
    <w:rsid w:val="00143CB9"/>
    <w:rsid w:val="00143EE5"/>
    <w:rsid w:val="00144E68"/>
    <w:rsid w:val="0014691A"/>
    <w:rsid w:val="0014770D"/>
    <w:rsid w:val="00154839"/>
    <w:rsid w:val="0015612D"/>
    <w:rsid w:val="00156C1C"/>
    <w:rsid w:val="0015739F"/>
    <w:rsid w:val="00157D17"/>
    <w:rsid w:val="001600A2"/>
    <w:rsid w:val="001605BC"/>
    <w:rsid w:val="001605D7"/>
    <w:rsid w:val="00160E08"/>
    <w:rsid w:val="001615C7"/>
    <w:rsid w:val="001617EB"/>
    <w:rsid w:val="00161807"/>
    <w:rsid w:val="001631A9"/>
    <w:rsid w:val="00164F1D"/>
    <w:rsid w:val="00167E9C"/>
    <w:rsid w:val="00172AF6"/>
    <w:rsid w:val="001749B6"/>
    <w:rsid w:val="00175765"/>
    <w:rsid w:val="001761E2"/>
    <w:rsid w:val="00176838"/>
    <w:rsid w:val="00176CEE"/>
    <w:rsid w:val="00177EA9"/>
    <w:rsid w:val="001814D8"/>
    <w:rsid w:val="00181AE9"/>
    <w:rsid w:val="00184442"/>
    <w:rsid w:val="00184DB7"/>
    <w:rsid w:val="001850EC"/>
    <w:rsid w:val="0018555F"/>
    <w:rsid w:val="001867BB"/>
    <w:rsid w:val="00186DD8"/>
    <w:rsid w:val="001870C6"/>
    <w:rsid w:val="00192478"/>
    <w:rsid w:val="00192541"/>
    <w:rsid w:val="001949E9"/>
    <w:rsid w:val="00196232"/>
    <w:rsid w:val="001A0D3F"/>
    <w:rsid w:val="001A14EB"/>
    <w:rsid w:val="001A5E0D"/>
    <w:rsid w:val="001A77EF"/>
    <w:rsid w:val="001B0221"/>
    <w:rsid w:val="001B0F28"/>
    <w:rsid w:val="001B13FE"/>
    <w:rsid w:val="001B2417"/>
    <w:rsid w:val="001B2BA6"/>
    <w:rsid w:val="001B2D36"/>
    <w:rsid w:val="001B36EC"/>
    <w:rsid w:val="001B3ED7"/>
    <w:rsid w:val="001B4EE1"/>
    <w:rsid w:val="001C0C36"/>
    <w:rsid w:val="001C18A6"/>
    <w:rsid w:val="001C27D5"/>
    <w:rsid w:val="001C2B6F"/>
    <w:rsid w:val="001C326A"/>
    <w:rsid w:val="001C32A3"/>
    <w:rsid w:val="001C45D3"/>
    <w:rsid w:val="001C6079"/>
    <w:rsid w:val="001D11B6"/>
    <w:rsid w:val="001D2E2A"/>
    <w:rsid w:val="001D4FE1"/>
    <w:rsid w:val="001D6EAA"/>
    <w:rsid w:val="001D6FBD"/>
    <w:rsid w:val="001D75DC"/>
    <w:rsid w:val="001E01C7"/>
    <w:rsid w:val="001E195A"/>
    <w:rsid w:val="001E1ACD"/>
    <w:rsid w:val="001E3E77"/>
    <w:rsid w:val="001E4B07"/>
    <w:rsid w:val="001E54A6"/>
    <w:rsid w:val="001E7AF2"/>
    <w:rsid w:val="001F0A8A"/>
    <w:rsid w:val="001F12CF"/>
    <w:rsid w:val="001F130C"/>
    <w:rsid w:val="001F1FC0"/>
    <w:rsid w:val="001F2B81"/>
    <w:rsid w:val="001F772B"/>
    <w:rsid w:val="00200E8D"/>
    <w:rsid w:val="00201589"/>
    <w:rsid w:val="00204856"/>
    <w:rsid w:val="00205D80"/>
    <w:rsid w:val="00206A52"/>
    <w:rsid w:val="00211E79"/>
    <w:rsid w:val="00212E25"/>
    <w:rsid w:val="002141DA"/>
    <w:rsid w:val="002142CC"/>
    <w:rsid w:val="00214BF9"/>
    <w:rsid w:val="00220268"/>
    <w:rsid w:val="00221432"/>
    <w:rsid w:val="00226F00"/>
    <w:rsid w:val="00227B39"/>
    <w:rsid w:val="002301DA"/>
    <w:rsid w:val="00231494"/>
    <w:rsid w:val="00231AC0"/>
    <w:rsid w:val="002334EA"/>
    <w:rsid w:val="00233EB0"/>
    <w:rsid w:val="00240AEE"/>
    <w:rsid w:val="00246A53"/>
    <w:rsid w:val="00247810"/>
    <w:rsid w:val="00250071"/>
    <w:rsid w:val="00251296"/>
    <w:rsid w:val="002518B1"/>
    <w:rsid w:val="00251BC8"/>
    <w:rsid w:val="00252935"/>
    <w:rsid w:val="0025441C"/>
    <w:rsid w:val="00254F05"/>
    <w:rsid w:val="0025508D"/>
    <w:rsid w:val="00256649"/>
    <w:rsid w:val="00257770"/>
    <w:rsid w:val="00257D53"/>
    <w:rsid w:val="00261165"/>
    <w:rsid w:val="00264A71"/>
    <w:rsid w:val="00264C3A"/>
    <w:rsid w:val="00265106"/>
    <w:rsid w:val="00265B49"/>
    <w:rsid w:val="00266F04"/>
    <w:rsid w:val="00280564"/>
    <w:rsid w:val="002809EA"/>
    <w:rsid w:val="00281772"/>
    <w:rsid w:val="00282356"/>
    <w:rsid w:val="0028367B"/>
    <w:rsid w:val="002839C9"/>
    <w:rsid w:val="00285CDD"/>
    <w:rsid w:val="002901D8"/>
    <w:rsid w:val="0029069C"/>
    <w:rsid w:val="00292011"/>
    <w:rsid w:val="00294783"/>
    <w:rsid w:val="002949B3"/>
    <w:rsid w:val="00295020"/>
    <w:rsid w:val="00295EAE"/>
    <w:rsid w:val="00295F61"/>
    <w:rsid w:val="00296749"/>
    <w:rsid w:val="002977F7"/>
    <w:rsid w:val="002A06EE"/>
    <w:rsid w:val="002A0823"/>
    <w:rsid w:val="002A17FC"/>
    <w:rsid w:val="002A3F88"/>
    <w:rsid w:val="002A441C"/>
    <w:rsid w:val="002A701D"/>
    <w:rsid w:val="002B0FE0"/>
    <w:rsid w:val="002B16C1"/>
    <w:rsid w:val="002B1E4A"/>
    <w:rsid w:val="002C044A"/>
    <w:rsid w:val="002C303F"/>
    <w:rsid w:val="002C3049"/>
    <w:rsid w:val="002C5784"/>
    <w:rsid w:val="002C6649"/>
    <w:rsid w:val="002C6BBB"/>
    <w:rsid w:val="002C7C3F"/>
    <w:rsid w:val="002D041A"/>
    <w:rsid w:val="002D096C"/>
    <w:rsid w:val="002D28C6"/>
    <w:rsid w:val="002D35B3"/>
    <w:rsid w:val="002D3D84"/>
    <w:rsid w:val="002D3FE6"/>
    <w:rsid w:val="002D433E"/>
    <w:rsid w:val="002D45BF"/>
    <w:rsid w:val="002D5CFF"/>
    <w:rsid w:val="002D643D"/>
    <w:rsid w:val="002E23BF"/>
    <w:rsid w:val="002E2916"/>
    <w:rsid w:val="002E2D1B"/>
    <w:rsid w:val="002E376B"/>
    <w:rsid w:val="002E4E4C"/>
    <w:rsid w:val="002E5B29"/>
    <w:rsid w:val="002F3FD3"/>
    <w:rsid w:val="002F6006"/>
    <w:rsid w:val="002F7C9C"/>
    <w:rsid w:val="00300524"/>
    <w:rsid w:val="00300F4B"/>
    <w:rsid w:val="0030169D"/>
    <w:rsid w:val="003019DC"/>
    <w:rsid w:val="00301CB6"/>
    <w:rsid w:val="00301EF0"/>
    <w:rsid w:val="00302953"/>
    <w:rsid w:val="00302CD2"/>
    <w:rsid w:val="00303E7C"/>
    <w:rsid w:val="00304795"/>
    <w:rsid w:val="00304F22"/>
    <w:rsid w:val="003051B3"/>
    <w:rsid w:val="00305E8D"/>
    <w:rsid w:val="003060EB"/>
    <w:rsid w:val="003065BD"/>
    <w:rsid w:val="00310B05"/>
    <w:rsid w:val="00311741"/>
    <w:rsid w:val="003119EF"/>
    <w:rsid w:val="00311C9B"/>
    <w:rsid w:val="00313996"/>
    <w:rsid w:val="00314AB1"/>
    <w:rsid w:val="003153EB"/>
    <w:rsid w:val="00315A97"/>
    <w:rsid w:val="00316FF4"/>
    <w:rsid w:val="003179A1"/>
    <w:rsid w:val="00317CB8"/>
    <w:rsid w:val="00317D13"/>
    <w:rsid w:val="0032036A"/>
    <w:rsid w:val="00320379"/>
    <w:rsid w:val="00321985"/>
    <w:rsid w:val="00324BC4"/>
    <w:rsid w:val="003259E6"/>
    <w:rsid w:val="003262B9"/>
    <w:rsid w:val="003274C0"/>
    <w:rsid w:val="003318E9"/>
    <w:rsid w:val="00331A61"/>
    <w:rsid w:val="0033387D"/>
    <w:rsid w:val="0033609A"/>
    <w:rsid w:val="003366D2"/>
    <w:rsid w:val="00336DBB"/>
    <w:rsid w:val="0034225F"/>
    <w:rsid w:val="00344327"/>
    <w:rsid w:val="0034780A"/>
    <w:rsid w:val="00350821"/>
    <w:rsid w:val="00351205"/>
    <w:rsid w:val="00351875"/>
    <w:rsid w:val="003541AD"/>
    <w:rsid w:val="00354668"/>
    <w:rsid w:val="00355AED"/>
    <w:rsid w:val="0035699C"/>
    <w:rsid w:val="00357248"/>
    <w:rsid w:val="003607F3"/>
    <w:rsid w:val="00360959"/>
    <w:rsid w:val="00361270"/>
    <w:rsid w:val="003616AD"/>
    <w:rsid w:val="00365A57"/>
    <w:rsid w:val="003660CD"/>
    <w:rsid w:val="003677F9"/>
    <w:rsid w:val="00372846"/>
    <w:rsid w:val="00372F55"/>
    <w:rsid w:val="00372F74"/>
    <w:rsid w:val="00373BA2"/>
    <w:rsid w:val="003743D0"/>
    <w:rsid w:val="003744D1"/>
    <w:rsid w:val="0037732D"/>
    <w:rsid w:val="003806F1"/>
    <w:rsid w:val="00380B8E"/>
    <w:rsid w:val="00381840"/>
    <w:rsid w:val="00382D7C"/>
    <w:rsid w:val="0038313E"/>
    <w:rsid w:val="0038397E"/>
    <w:rsid w:val="00385F13"/>
    <w:rsid w:val="003864F7"/>
    <w:rsid w:val="0038664D"/>
    <w:rsid w:val="00387409"/>
    <w:rsid w:val="00387502"/>
    <w:rsid w:val="00387C7D"/>
    <w:rsid w:val="00390B0A"/>
    <w:rsid w:val="00392534"/>
    <w:rsid w:val="00392CD7"/>
    <w:rsid w:val="00393383"/>
    <w:rsid w:val="00393F0C"/>
    <w:rsid w:val="00396826"/>
    <w:rsid w:val="003A0B6D"/>
    <w:rsid w:val="003A0CC2"/>
    <w:rsid w:val="003A0DE8"/>
    <w:rsid w:val="003A6DCF"/>
    <w:rsid w:val="003A70DE"/>
    <w:rsid w:val="003A7262"/>
    <w:rsid w:val="003B0C2F"/>
    <w:rsid w:val="003B44F9"/>
    <w:rsid w:val="003B4504"/>
    <w:rsid w:val="003B49B7"/>
    <w:rsid w:val="003B5339"/>
    <w:rsid w:val="003B59E7"/>
    <w:rsid w:val="003B7A2C"/>
    <w:rsid w:val="003B7C04"/>
    <w:rsid w:val="003C0645"/>
    <w:rsid w:val="003C08EE"/>
    <w:rsid w:val="003C09FA"/>
    <w:rsid w:val="003C1543"/>
    <w:rsid w:val="003C2B7A"/>
    <w:rsid w:val="003C31B5"/>
    <w:rsid w:val="003D16F4"/>
    <w:rsid w:val="003D1AB7"/>
    <w:rsid w:val="003D3609"/>
    <w:rsid w:val="003D5516"/>
    <w:rsid w:val="003E0282"/>
    <w:rsid w:val="003E04B8"/>
    <w:rsid w:val="003E3AE3"/>
    <w:rsid w:val="003E3D67"/>
    <w:rsid w:val="003E5301"/>
    <w:rsid w:val="003E54D8"/>
    <w:rsid w:val="003E666E"/>
    <w:rsid w:val="003E69D9"/>
    <w:rsid w:val="003E7CE4"/>
    <w:rsid w:val="003E7D82"/>
    <w:rsid w:val="003F264D"/>
    <w:rsid w:val="003F393A"/>
    <w:rsid w:val="003F3D55"/>
    <w:rsid w:val="003F411A"/>
    <w:rsid w:val="003F581B"/>
    <w:rsid w:val="003F612F"/>
    <w:rsid w:val="003F6F74"/>
    <w:rsid w:val="003F7224"/>
    <w:rsid w:val="003F742C"/>
    <w:rsid w:val="003F7ABC"/>
    <w:rsid w:val="004003AE"/>
    <w:rsid w:val="00402565"/>
    <w:rsid w:val="0040290E"/>
    <w:rsid w:val="004044AE"/>
    <w:rsid w:val="00411137"/>
    <w:rsid w:val="00411E55"/>
    <w:rsid w:val="0041329A"/>
    <w:rsid w:val="0041576B"/>
    <w:rsid w:val="00415B28"/>
    <w:rsid w:val="0041623B"/>
    <w:rsid w:val="00417435"/>
    <w:rsid w:val="00420210"/>
    <w:rsid w:val="004211DC"/>
    <w:rsid w:val="00421881"/>
    <w:rsid w:val="00421997"/>
    <w:rsid w:val="004245BB"/>
    <w:rsid w:val="00426D92"/>
    <w:rsid w:val="00427D21"/>
    <w:rsid w:val="00434F5D"/>
    <w:rsid w:val="004366D3"/>
    <w:rsid w:val="0043707D"/>
    <w:rsid w:val="00437EB0"/>
    <w:rsid w:val="004423E1"/>
    <w:rsid w:val="00442714"/>
    <w:rsid w:val="00442C94"/>
    <w:rsid w:val="00442F09"/>
    <w:rsid w:val="004440CB"/>
    <w:rsid w:val="0044436A"/>
    <w:rsid w:val="00447124"/>
    <w:rsid w:val="004471D2"/>
    <w:rsid w:val="00447AE6"/>
    <w:rsid w:val="00450881"/>
    <w:rsid w:val="00451CD4"/>
    <w:rsid w:val="0045358C"/>
    <w:rsid w:val="004559BE"/>
    <w:rsid w:val="00456380"/>
    <w:rsid w:val="004572BA"/>
    <w:rsid w:val="004608CC"/>
    <w:rsid w:val="004608DF"/>
    <w:rsid w:val="0046261F"/>
    <w:rsid w:val="00462F28"/>
    <w:rsid w:val="004644C2"/>
    <w:rsid w:val="004670AA"/>
    <w:rsid w:val="0046760A"/>
    <w:rsid w:val="00467F9C"/>
    <w:rsid w:val="00471C5B"/>
    <w:rsid w:val="00471F26"/>
    <w:rsid w:val="00475718"/>
    <w:rsid w:val="00475A41"/>
    <w:rsid w:val="00477270"/>
    <w:rsid w:val="00477F27"/>
    <w:rsid w:val="0048156B"/>
    <w:rsid w:val="00482843"/>
    <w:rsid w:val="00491C01"/>
    <w:rsid w:val="004928C3"/>
    <w:rsid w:val="004A0A29"/>
    <w:rsid w:val="004A12EB"/>
    <w:rsid w:val="004A1442"/>
    <w:rsid w:val="004A202D"/>
    <w:rsid w:val="004A3D84"/>
    <w:rsid w:val="004A632A"/>
    <w:rsid w:val="004B1BB7"/>
    <w:rsid w:val="004B3A5F"/>
    <w:rsid w:val="004B4CE8"/>
    <w:rsid w:val="004B4D67"/>
    <w:rsid w:val="004B5647"/>
    <w:rsid w:val="004B66D0"/>
    <w:rsid w:val="004C0DAC"/>
    <w:rsid w:val="004C37CE"/>
    <w:rsid w:val="004C478A"/>
    <w:rsid w:val="004C5B17"/>
    <w:rsid w:val="004C6DE0"/>
    <w:rsid w:val="004C7211"/>
    <w:rsid w:val="004C7DC2"/>
    <w:rsid w:val="004D13C9"/>
    <w:rsid w:val="004D1450"/>
    <w:rsid w:val="004D2815"/>
    <w:rsid w:val="004D7231"/>
    <w:rsid w:val="004D73F6"/>
    <w:rsid w:val="004D790E"/>
    <w:rsid w:val="004D7D08"/>
    <w:rsid w:val="004E0233"/>
    <w:rsid w:val="004E0B8D"/>
    <w:rsid w:val="004E3DB0"/>
    <w:rsid w:val="004E4620"/>
    <w:rsid w:val="004E59C0"/>
    <w:rsid w:val="004F129F"/>
    <w:rsid w:val="004F16E7"/>
    <w:rsid w:val="004F3A42"/>
    <w:rsid w:val="004F4B47"/>
    <w:rsid w:val="004F5513"/>
    <w:rsid w:val="004F68DD"/>
    <w:rsid w:val="004F6914"/>
    <w:rsid w:val="004F70A8"/>
    <w:rsid w:val="00501C81"/>
    <w:rsid w:val="00503C9B"/>
    <w:rsid w:val="00507B89"/>
    <w:rsid w:val="00514387"/>
    <w:rsid w:val="00514C15"/>
    <w:rsid w:val="00516F61"/>
    <w:rsid w:val="0052286D"/>
    <w:rsid w:val="0052368A"/>
    <w:rsid w:val="00524C27"/>
    <w:rsid w:val="005264F8"/>
    <w:rsid w:val="00527AC7"/>
    <w:rsid w:val="005301D0"/>
    <w:rsid w:val="00530E1E"/>
    <w:rsid w:val="0053139E"/>
    <w:rsid w:val="00534681"/>
    <w:rsid w:val="00535DFC"/>
    <w:rsid w:val="00535FF5"/>
    <w:rsid w:val="005366CB"/>
    <w:rsid w:val="00537AE3"/>
    <w:rsid w:val="00540496"/>
    <w:rsid w:val="0054114E"/>
    <w:rsid w:val="0054429B"/>
    <w:rsid w:val="00546A5B"/>
    <w:rsid w:val="00546C1D"/>
    <w:rsid w:val="00546CC2"/>
    <w:rsid w:val="00547135"/>
    <w:rsid w:val="00547207"/>
    <w:rsid w:val="0054779C"/>
    <w:rsid w:val="00547BEA"/>
    <w:rsid w:val="005501D6"/>
    <w:rsid w:val="0055227A"/>
    <w:rsid w:val="00552F66"/>
    <w:rsid w:val="00554206"/>
    <w:rsid w:val="00555238"/>
    <w:rsid w:val="005556A5"/>
    <w:rsid w:val="00555C32"/>
    <w:rsid w:val="005600AC"/>
    <w:rsid w:val="005601BE"/>
    <w:rsid w:val="00562B2C"/>
    <w:rsid w:val="0056328A"/>
    <w:rsid w:val="00563442"/>
    <w:rsid w:val="00563672"/>
    <w:rsid w:val="00564FD5"/>
    <w:rsid w:val="00565B42"/>
    <w:rsid w:val="00565FB5"/>
    <w:rsid w:val="00566507"/>
    <w:rsid w:val="005703A9"/>
    <w:rsid w:val="00571244"/>
    <w:rsid w:val="005719F3"/>
    <w:rsid w:val="00571DB7"/>
    <w:rsid w:val="00573D1D"/>
    <w:rsid w:val="00580B6E"/>
    <w:rsid w:val="00584A6C"/>
    <w:rsid w:val="00586637"/>
    <w:rsid w:val="005910FD"/>
    <w:rsid w:val="005940DB"/>
    <w:rsid w:val="00594F0F"/>
    <w:rsid w:val="005957E3"/>
    <w:rsid w:val="005975ED"/>
    <w:rsid w:val="00597E6C"/>
    <w:rsid w:val="005A07CA"/>
    <w:rsid w:val="005A0988"/>
    <w:rsid w:val="005A107A"/>
    <w:rsid w:val="005A177C"/>
    <w:rsid w:val="005A1D2E"/>
    <w:rsid w:val="005A2CA5"/>
    <w:rsid w:val="005A7363"/>
    <w:rsid w:val="005A7C3C"/>
    <w:rsid w:val="005A7C3E"/>
    <w:rsid w:val="005A7E00"/>
    <w:rsid w:val="005A7FC6"/>
    <w:rsid w:val="005B0AF6"/>
    <w:rsid w:val="005B35EB"/>
    <w:rsid w:val="005B4401"/>
    <w:rsid w:val="005B516A"/>
    <w:rsid w:val="005B5728"/>
    <w:rsid w:val="005B7258"/>
    <w:rsid w:val="005C058B"/>
    <w:rsid w:val="005C1FD4"/>
    <w:rsid w:val="005C34B1"/>
    <w:rsid w:val="005C3A5A"/>
    <w:rsid w:val="005C4CE6"/>
    <w:rsid w:val="005C684E"/>
    <w:rsid w:val="005D3014"/>
    <w:rsid w:val="005D45D9"/>
    <w:rsid w:val="005D4BD3"/>
    <w:rsid w:val="005D4C81"/>
    <w:rsid w:val="005D6EB7"/>
    <w:rsid w:val="005E0ED2"/>
    <w:rsid w:val="005E2C07"/>
    <w:rsid w:val="005E30AD"/>
    <w:rsid w:val="005E3D69"/>
    <w:rsid w:val="005E4CFE"/>
    <w:rsid w:val="005F2933"/>
    <w:rsid w:val="005F4FC6"/>
    <w:rsid w:val="005F56AE"/>
    <w:rsid w:val="005F7AF3"/>
    <w:rsid w:val="00602098"/>
    <w:rsid w:val="00602115"/>
    <w:rsid w:val="00602495"/>
    <w:rsid w:val="006039FB"/>
    <w:rsid w:val="00603FF3"/>
    <w:rsid w:val="00604C67"/>
    <w:rsid w:val="006054BB"/>
    <w:rsid w:val="0060697D"/>
    <w:rsid w:val="00607055"/>
    <w:rsid w:val="006122BA"/>
    <w:rsid w:val="0061275F"/>
    <w:rsid w:val="00613496"/>
    <w:rsid w:val="00615288"/>
    <w:rsid w:val="006157F9"/>
    <w:rsid w:val="006179E6"/>
    <w:rsid w:val="00620877"/>
    <w:rsid w:val="00620FDE"/>
    <w:rsid w:val="00621EA1"/>
    <w:rsid w:val="006239F2"/>
    <w:rsid w:val="00627DEB"/>
    <w:rsid w:val="006312EF"/>
    <w:rsid w:val="00632C11"/>
    <w:rsid w:val="00632E72"/>
    <w:rsid w:val="00633828"/>
    <w:rsid w:val="00633BA2"/>
    <w:rsid w:val="00637078"/>
    <w:rsid w:val="00637757"/>
    <w:rsid w:val="00640937"/>
    <w:rsid w:val="006412B3"/>
    <w:rsid w:val="00641CF8"/>
    <w:rsid w:val="00642EA7"/>
    <w:rsid w:val="00646638"/>
    <w:rsid w:val="0065034B"/>
    <w:rsid w:val="00650665"/>
    <w:rsid w:val="00651927"/>
    <w:rsid w:val="00651A27"/>
    <w:rsid w:val="0065263A"/>
    <w:rsid w:val="00653360"/>
    <w:rsid w:val="006578C5"/>
    <w:rsid w:val="00661094"/>
    <w:rsid w:val="00661755"/>
    <w:rsid w:val="006622B4"/>
    <w:rsid w:val="00662AA2"/>
    <w:rsid w:val="00662E9A"/>
    <w:rsid w:val="00663606"/>
    <w:rsid w:val="00664A9F"/>
    <w:rsid w:val="006654C6"/>
    <w:rsid w:val="00666B21"/>
    <w:rsid w:val="00666F2F"/>
    <w:rsid w:val="00667382"/>
    <w:rsid w:val="00667C38"/>
    <w:rsid w:val="00667F41"/>
    <w:rsid w:val="00671160"/>
    <w:rsid w:val="00671C6D"/>
    <w:rsid w:val="006720BF"/>
    <w:rsid w:val="006739D0"/>
    <w:rsid w:val="00676129"/>
    <w:rsid w:val="0068012A"/>
    <w:rsid w:val="00680DFC"/>
    <w:rsid w:val="00682EBC"/>
    <w:rsid w:val="00683C43"/>
    <w:rsid w:val="00684665"/>
    <w:rsid w:val="00685244"/>
    <w:rsid w:val="00685C13"/>
    <w:rsid w:val="00690988"/>
    <w:rsid w:val="00690DBC"/>
    <w:rsid w:val="006930D4"/>
    <w:rsid w:val="006943AE"/>
    <w:rsid w:val="00694DB6"/>
    <w:rsid w:val="0069525C"/>
    <w:rsid w:val="0069571F"/>
    <w:rsid w:val="0069603A"/>
    <w:rsid w:val="0069760B"/>
    <w:rsid w:val="00697C81"/>
    <w:rsid w:val="006A0AF6"/>
    <w:rsid w:val="006A0E5B"/>
    <w:rsid w:val="006A170B"/>
    <w:rsid w:val="006A1943"/>
    <w:rsid w:val="006A393F"/>
    <w:rsid w:val="006A6251"/>
    <w:rsid w:val="006B197C"/>
    <w:rsid w:val="006B1FB4"/>
    <w:rsid w:val="006B21B9"/>
    <w:rsid w:val="006B2290"/>
    <w:rsid w:val="006B3178"/>
    <w:rsid w:val="006B4A0C"/>
    <w:rsid w:val="006B5CAB"/>
    <w:rsid w:val="006B684D"/>
    <w:rsid w:val="006B6A2D"/>
    <w:rsid w:val="006B76A8"/>
    <w:rsid w:val="006B7F14"/>
    <w:rsid w:val="006C01A8"/>
    <w:rsid w:val="006C16C8"/>
    <w:rsid w:val="006C1F1A"/>
    <w:rsid w:val="006C777B"/>
    <w:rsid w:val="006C7F56"/>
    <w:rsid w:val="006D136E"/>
    <w:rsid w:val="006D22E6"/>
    <w:rsid w:val="006D2A57"/>
    <w:rsid w:val="006D2FAF"/>
    <w:rsid w:val="006D34C8"/>
    <w:rsid w:val="006D36EA"/>
    <w:rsid w:val="006D44FF"/>
    <w:rsid w:val="006D590C"/>
    <w:rsid w:val="006D63E5"/>
    <w:rsid w:val="006E18EC"/>
    <w:rsid w:val="006E29A3"/>
    <w:rsid w:val="006E3A75"/>
    <w:rsid w:val="006E3CDD"/>
    <w:rsid w:val="006E5688"/>
    <w:rsid w:val="006E5A71"/>
    <w:rsid w:val="006E6304"/>
    <w:rsid w:val="006E743F"/>
    <w:rsid w:val="006F3B7E"/>
    <w:rsid w:val="006F3F07"/>
    <w:rsid w:val="006F4123"/>
    <w:rsid w:val="006F57D7"/>
    <w:rsid w:val="006F6AF2"/>
    <w:rsid w:val="006F6FA2"/>
    <w:rsid w:val="006F7AA2"/>
    <w:rsid w:val="006F7F5D"/>
    <w:rsid w:val="00700096"/>
    <w:rsid w:val="00700F04"/>
    <w:rsid w:val="00701028"/>
    <w:rsid w:val="00703A10"/>
    <w:rsid w:val="00705AA8"/>
    <w:rsid w:val="00705C3D"/>
    <w:rsid w:val="00706339"/>
    <w:rsid w:val="00707AC2"/>
    <w:rsid w:val="00710269"/>
    <w:rsid w:val="00710A13"/>
    <w:rsid w:val="00711B3E"/>
    <w:rsid w:val="0071202E"/>
    <w:rsid w:val="007130D3"/>
    <w:rsid w:val="007137CD"/>
    <w:rsid w:val="007147E2"/>
    <w:rsid w:val="00717D88"/>
    <w:rsid w:val="00720771"/>
    <w:rsid w:val="00720A28"/>
    <w:rsid w:val="00720E75"/>
    <w:rsid w:val="00722C3B"/>
    <w:rsid w:val="00724DDF"/>
    <w:rsid w:val="00725E29"/>
    <w:rsid w:val="0073048B"/>
    <w:rsid w:val="00732E9E"/>
    <w:rsid w:val="00733FC4"/>
    <w:rsid w:val="00735756"/>
    <w:rsid w:val="00736A73"/>
    <w:rsid w:val="0073799D"/>
    <w:rsid w:val="007400AA"/>
    <w:rsid w:val="00740795"/>
    <w:rsid w:val="0074092C"/>
    <w:rsid w:val="00741B00"/>
    <w:rsid w:val="007429C1"/>
    <w:rsid w:val="00743CD3"/>
    <w:rsid w:val="00745B42"/>
    <w:rsid w:val="00747098"/>
    <w:rsid w:val="00752F13"/>
    <w:rsid w:val="00754202"/>
    <w:rsid w:val="00755215"/>
    <w:rsid w:val="00755DEE"/>
    <w:rsid w:val="007600A1"/>
    <w:rsid w:val="00761E13"/>
    <w:rsid w:val="007629C1"/>
    <w:rsid w:val="00764597"/>
    <w:rsid w:val="00770FA9"/>
    <w:rsid w:val="00772B87"/>
    <w:rsid w:val="0077351F"/>
    <w:rsid w:val="00773F9A"/>
    <w:rsid w:val="00775A1C"/>
    <w:rsid w:val="00781C23"/>
    <w:rsid w:val="00782B96"/>
    <w:rsid w:val="0078442C"/>
    <w:rsid w:val="00785F32"/>
    <w:rsid w:val="00786056"/>
    <w:rsid w:val="00786958"/>
    <w:rsid w:val="0079171C"/>
    <w:rsid w:val="00791BAF"/>
    <w:rsid w:val="0079266A"/>
    <w:rsid w:val="007933A1"/>
    <w:rsid w:val="007942D3"/>
    <w:rsid w:val="00795C00"/>
    <w:rsid w:val="007967EA"/>
    <w:rsid w:val="00797307"/>
    <w:rsid w:val="007A00EF"/>
    <w:rsid w:val="007A01A7"/>
    <w:rsid w:val="007A185D"/>
    <w:rsid w:val="007A21AD"/>
    <w:rsid w:val="007A2BB2"/>
    <w:rsid w:val="007A3FEE"/>
    <w:rsid w:val="007A4ABD"/>
    <w:rsid w:val="007A5297"/>
    <w:rsid w:val="007A69F0"/>
    <w:rsid w:val="007A707F"/>
    <w:rsid w:val="007B00CD"/>
    <w:rsid w:val="007B0623"/>
    <w:rsid w:val="007B07A7"/>
    <w:rsid w:val="007B1ECB"/>
    <w:rsid w:val="007B2099"/>
    <w:rsid w:val="007B2531"/>
    <w:rsid w:val="007B341C"/>
    <w:rsid w:val="007B42F3"/>
    <w:rsid w:val="007B59C2"/>
    <w:rsid w:val="007B5E4C"/>
    <w:rsid w:val="007B62D6"/>
    <w:rsid w:val="007B6C09"/>
    <w:rsid w:val="007B6FCB"/>
    <w:rsid w:val="007B7741"/>
    <w:rsid w:val="007B789B"/>
    <w:rsid w:val="007B7EF2"/>
    <w:rsid w:val="007C1227"/>
    <w:rsid w:val="007C1268"/>
    <w:rsid w:val="007C3261"/>
    <w:rsid w:val="007C3366"/>
    <w:rsid w:val="007C4169"/>
    <w:rsid w:val="007C47FA"/>
    <w:rsid w:val="007C4DFD"/>
    <w:rsid w:val="007C79CF"/>
    <w:rsid w:val="007D00D9"/>
    <w:rsid w:val="007D0676"/>
    <w:rsid w:val="007D250F"/>
    <w:rsid w:val="007D4B87"/>
    <w:rsid w:val="007D5202"/>
    <w:rsid w:val="007D59F3"/>
    <w:rsid w:val="007D5E4F"/>
    <w:rsid w:val="007E09DA"/>
    <w:rsid w:val="007E0DA2"/>
    <w:rsid w:val="007E3150"/>
    <w:rsid w:val="007E3C65"/>
    <w:rsid w:val="007E3E5D"/>
    <w:rsid w:val="007E702F"/>
    <w:rsid w:val="007E7267"/>
    <w:rsid w:val="007F027C"/>
    <w:rsid w:val="007F0A7C"/>
    <w:rsid w:val="007F0CA8"/>
    <w:rsid w:val="007F0CE8"/>
    <w:rsid w:val="007F0D04"/>
    <w:rsid w:val="007F20F0"/>
    <w:rsid w:val="00800DA6"/>
    <w:rsid w:val="0080279B"/>
    <w:rsid w:val="00803E64"/>
    <w:rsid w:val="00803FCA"/>
    <w:rsid w:val="008068EB"/>
    <w:rsid w:val="00806A02"/>
    <w:rsid w:val="00807192"/>
    <w:rsid w:val="0081018E"/>
    <w:rsid w:val="00811965"/>
    <w:rsid w:val="008127F1"/>
    <w:rsid w:val="0081331F"/>
    <w:rsid w:val="008178B6"/>
    <w:rsid w:val="0082010B"/>
    <w:rsid w:val="008213B9"/>
    <w:rsid w:val="00821DE4"/>
    <w:rsid w:val="00822EE0"/>
    <w:rsid w:val="00824D43"/>
    <w:rsid w:val="00827FEE"/>
    <w:rsid w:val="00831B95"/>
    <w:rsid w:val="008331D8"/>
    <w:rsid w:val="00835078"/>
    <w:rsid w:val="00835E06"/>
    <w:rsid w:val="00836CC0"/>
    <w:rsid w:val="00841DFF"/>
    <w:rsid w:val="00844530"/>
    <w:rsid w:val="00846496"/>
    <w:rsid w:val="00846C5C"/>
    <w:rsid w:val="00853231"/>
    <w:rsid w:val="00853271"/>
    <w:rsid w:val="00854EA8"/>
    <w:rsid w:val="00855AFF"/>
    <w:rsid w:val="008561B7"/>
    <w:rsid w:val="00860236"/>
    <w:rsid w:val="00860832"/>
    <w:rsid w:val="008615BB"/>
    <w:rsid w:val="00862947"/>
    <w:rsid w:val="00862C6C"/>
    <w:rsid w:val="00864098"/>
    <w:rsid w:val="00864A31"/>
    <w:rsid w:val="00865729"/>
    <w:rsid w:val="00865B05"/>
    <w:rsid w:val="00865B74"/>
    <w:rsid w:val="008703E8"/>
    <w:rsid w:val="00870557"/>
    <w:rsid w:val="00870B5E"/>
    <w:rsid w:val="00870DA1"/>
    <w:rsid w:val="00870FD9"/>
    <w:rsid w:val="00871654"/>
    <w:rsid w:val="00871FF7"/>
    <w:rsid w:val="0087323D"/>
    <w:rsid w:val="008736E8"/>
    <w:rsid w:val="00873CDB"/>
    <w:rsid w:val="00875D3A"/>
    <w:rsid w:val="00877CD0"/>
    <w:rsid w:val="00877FF2"/>
    <w:rsid w:val="00880BFC"/>
    <w:rsid w:val="0088174B"/>
    <w:rsid w:val="00883074"/>
    <w:rsid w:val="008832EC"/>
    <w:rsid w:val="008844BD"/>
    <w:rsid w:val="00884632"/>
    <w:rsid w:val="00884F6A"/>
    <w:rsid w:val="008870DF"/>
    <w:rsid w:val="008905BE"/>
    <w:rsid w:val="00891D4C"/>
    <w:rsid w:val="0089394D"/>
    <w:rsid w:val="00893BA5"/>
    <w:rsid w:val="00894EAA"/>
    <w:rsid w:val="008974F0"/>
    <w:rsid w:val="008A01F7"/>
    <w:rsid w:val="008A19E5"/>
    <w:rsid w:val="008A3533"/>
    <w:rsid w:val="008A3F64"/>
    <w:rsid w:val="008A6810"/>
    <w:rsid w:val="008A7637"/>
    <w:rsid w:val="008B012A"/>
    <w:rsid w:val="008B2708"/>
    <w:rsid w:val="008B3CFD"/>
    <w:rsid w:val="008B737C"/>
    <w:rsid w:val="008B740B"/>
    <w:rsid w:val="008B78EC"/>
    <w:rsid w:val="008C203D"/>
    <w:rsid w:val="008C25D7"/>
    <w:rsid w:val="008C378F"/>
    <w:rsid w:val="008C723A"/>
    <w:rsid w:val="008C7F8A"/>
    <w:rsid w:val="008D32D8"/>
    <w:rsid w:val="008D4178"/>
    <w:rsid w:val="008D4E5D"/>
    <w:rsid w:val="008D5232"/>
    <w:rsid w:val="008D5532"/>
    <w:rsid w:val="008E0873"/>
    <w:rsid w:val="008E4707"/>
    <w:rsid w:val="008E564B"/>
    <w:rsid w:val="008E6D9C"/>
    <w:rsid w:val="008E789F"/>
    <w:rsid w:val="008F16FF"/>
    <w:rsid w:val="008F5B10"/>
    <w:rsid w:val="008F5BBF"/>
    <w:rsid w:val="008F626F"/>
    <w:rsid w:val="008F7614"/>
    <w:rsid w:val="00900639"/>
    <w:rsid w:val="0090075A"/>
    <w:rsid w:val="009033D3"/>
    <w:rsid w:val="00906AF9"/>
    <w:rsid w:val="00906E17"/>
    <w:rsid w:val="00910AF6"/>
    <w:rsid w:val="009122B6"/>
    <w:rsid w:val="009129F0"/>
    <w:rsid w:val="00913E02"/>
    <w:rsid w:val="00914008"/>
    <w:rsid w:val="00915A52"/>
    <w:rsid w:val="00917564"/>
    <w:rsid w:val="009219D6"/>
    <w:rsid w:val="00923A6F"/>
    <w:rsid w:val="00923CF8"/>
    <w:rsid w:val="009251DA"/>
    <w:rsid w:val="00925F15"/>
    <w:rsid w:val="009261B7"/>
    <w:rsid w:val="00927B64"/>
    <w:rsid w:val="00930BA1"/>
    <w:rsid w:val="0093132A"/>
    <w:rsid w:val="0093157A"/>
    <w:rsid w:val="0093169E"/>
    <w:rsid w:val="009337CF"/>
    <w:rsid w:val="00933E3B"/>
    <w:rsid w:val="00933F2C"/>
    <w:rsid w:val="00934735"/>
    <w:rsid w:val="00934F5C"/>
    <w:rsid w:val="009403BC"/>
    <w:rsid w:val="00942C1C"/>
    <w:rsid w:val="00942CC3"/>
    <w:rsid w:val="0094458E"/>
    <w:rsid w:val="009450C5"/>
    <w:rsid w:val="009505C9"/>
    <w:rsid w:val="00950752"/>
    <w:rsid w:val="00951B1F"/>
    <w:rsid w:val="0095385B"/>
    <w:rsid w:val="009603A8"/>
    <w:rsid w:val="00961CC8"/>
    <w:rsid w:val="00961EDE"/>
    <w:rsid w:val="00965397"/>
    <w:rsid w:val="00966424"/>
    <w:rsid w:val="00967183"/>
    <w:rsid w:val="00970814"/>
    <w:rsid w:val="00971AFF"/>
    <w:rsid w:val="009722A4"/>
    <w:rsid w:val="00972CDC"/>
    <w:rsid w:val="00977913"/>
    <w:rsid w:val="00984CBA"/>
    <w:rsid w:val="009850A8"/>
    <w:rsid w:val="00987896"/>
    <w:rsid w:val="00993CF1"/>
    <w:rsid w:val="00993D71"/>
    <w:rsid w:val="00994069"/>
    <w:rsid w:val="00996828"/>
    <w:rsid w:val="009970CF"/>
    <w:rsid w:val="00997FFD"/>
    <w:rsid w:val="009A0A69"/>
    <w:rsid w:val="009A3D3A"/>
    <w:rsid w:val="009A48E2"/>
    <w:rsid w:val="009A738F"/>
    <w:rsid w:val="009B1493"/>
    <w:rsid w:val="009B1706"/>
    <w:rsid w:val="009B1A75"/>
    <w:rsid w:val="009B2B67"/>
    <w:rsid w:val="009B373B"/>
    <w:rsid w:val="009B5F63"/>
    <w:rsid w:val="009B7C8F"/>
    <w:rsid w:val="009C042B"/>
    <w:rsid w:val="009C2DE6"/>
    <w:rsid w:val="009C3025"/>
    <w:rsid w:val="009C3F87"/>
    <w:rsid w:val="009C487F"/>
    <w:rsid w:val="009C56F5"/>
    <w:rsid w:val="009C5D0F"/>
    <w:rsid w:val="009C71E8"/>
    <w:rsid w:val="009C7D6B"/>
    <w:rsid w:val="009D0451"/>
    <w:rsid w:val="009D1097"/>
    <w:rsid w:val="009D1DC6"/>
    <w:rsid w:val="009D476F"/>
    <w:rsid w:val="009D4FF8"/>
    <w:rsid w:val="009D54E8"/>
    <w:rsid w:val="009D5729"/>
    <w:rsid w:val="009D5E7C"/>
    <w:rsid w:val="009D5FC6"/>
    <w:rsid w:val="009D6B84"/>
    <w:rsid w:val="009E2B55"/>
    <w:rsid w:val="009E3373"/>
    <w:rsid w:val="009E3CF1"/>
    <w:rsid w:val="009E497C"/>
    <w:rsid w:val="009E6273"/>
    <w:rsid w:val="009F0F54"/>
    <w:rsid w:val="009F3398"/>
    <w:rsid w:val="009F501F"/>
    <w:rsid w:val="009F649B"/>
    <w:rsid w:val="00A016CD"/>
    <w:rsid w:val="00A02098"/>
    <w:rsid w:val="00A05D7D"/>
    <w:rsid w:val="00A0691E"/>
    <w:rsid w:val="00A069AB"/>
    <w:rsid w:val="00A077D8"/>
    <w:rsid w:val="00A10442"/>
    <w:rsid w:val="00A12E3E"/>
    <w:rsid w:val="00A12E7B"/>
    <w:rsid w:val="00A135B7"/>
    <w:rsid w:val="00A13F47"/>
    <w:rsid w:val="00A14FBF"/>
    <w:rsid w:val="00A2310E"/>
    <w:rsid w:val="00A247FB"/>
    <w:rsid w:val="00A2484C"/>
    <w:rsid w:val="00A25BF7"/>
    <w:rsid w:val="00A2669D"/>
    <w:rsid w:val="00A27548"/>
    <w:rsid w:val="00A3019A"/>
    <w:rsid w:val="00A301C7"/>
    <w:rsid w:val="00A30A64"/>
    <w:rsid w:val="00A324AA"/>
    <w:rsid w:val="00A3266B"/>
    <w:rsid w:val="00A32B76"/>
    <w:rsid w:val="00A3381A"/>
    <w:rsid w:val="00A33B2A"/>
    <w:rsid w:val="00A34181"/>
    <w:rsid w:val="00A34197"/>
    <w:rsid w:val="00A36FC9"/>
    <w:rsid w:val="00A3724C"/>
    <w:rsid w:val="00A40223"/>
    <w:rsid w:val="00A41501"/>
    <w:rsid w:val="00A439DF"/>
    <w:rsid w:val="00A43F25"/>
    <w:rsid w:val="00A4665C"/>
    <w:rsid w:val="00A46A4B"/>
    <w:rsid w:val="00A50395"/>
    <w:rsid w:val="00A57577"/>
    <w:rsid w:val="00A5774A"/>
    <w:rsid w:val="00A6132C"/>
    <w:rsid w:val="00A65286"/>
    <w:rsid w:val="00A668A6"/>
    <w:rsid w:val="00A66ED3"/>
    <w:rsid w:val="00A700C4"/>
    <w:rsid w:val="00A710E9"/>
    <w:rsid w:val="00A730BC"/>
    <w:rsid w:val="00A74C55"/>
    <w:rsid w:val="00A75B2C"/>
    <w:rsid w:val="00A76686"/>
    <w:rsid w:val="00A76DC1"/>
    <w:rsid w:val="00A803E6"/>
    <w:rsid w:val="00A81589"/>
    <w:rsid w:val="00A83D3E"/>
    <w:rsid w:val="00A85B00"/>
    <w:rsid w:val="00A86370"/>
    <w:rsid w:val="00A86545"/>
    <w:rsid w:val="00A8716D"/>
    <w:rsid w:val="00A87E81"/>
    <w:rsid w:val="00A93F76"/>
    <w:rsid w:val="00A951E4"/>
    <w:rsid w:val="00A95887"/>
    <w:rsid w:val="00AA107F"/>
    <w:rsid w:val="00AA1264"/>
    <w:rsid w:val="00AA1E98"/>
    <w:rsid w:val="00AA1F6A"/>
    <w:rsid w:val="00AA2126"/>
    <w:rsid w:val="00AA2528"/>
    <w:rsid w:val="00AA4B96"/>
    <w:rsid w:val="00AA4D53"/>
    <w:rsid w:val="00AA588F"/>
    <w:rsid w:val="00AA6F92"/>
    <w:rsid w:val="00AA76BC"/>
    <w:rsid w:val="00AB0D18"/>
    <w:rsid w:val="00AB4416"/>
    <w:rsid w:val="00AB4CF5"/>
    <w:rsid w:val="00AB6934"/>
    <w:rsid w:val="00AB7864"/>
    <w:rsid w:val="00AB7ECF"/>
    <w:rsid w:val="00AC3C36"/>
    <w:rsid w:val="00AC6BD3"/>
    <w:rsid w:val="00AC7699"/>
    <w:rsid w:val="00AD009D"/>
    <w:rsid w:val="00AD3098"/>
    <w:rsid w:val="00AD4CCA"/>
    <w:rsid w:val="00AD6A97"/>
    <w:rsid w:val="00AD6BA0"/>
    <w:rsid w:val="00AE15DE"/>
    <w:rsid w:val="00AE221C"/>
    <w:rsid w:val="00AE555C"/>
    <w:rsid w:val="00AE5F46"/>
    <w:rsid w:val="00AF1AF7"/>
    <w:rsid w:val="00AF3251"/>
    <w:rsid w:val="00AF42DE"/>
    <w:rsid w:val="00AF46F4"/>
    <w:rsid w:val="00AF5D9B"/>
    <w:rsid w:val="00AF6F82"/>
    <w:rsid w:val="00AF77BA"/>
    <w:rsid w:val="00B00053"/>
    <w:rsid w:val="00B013C2"/>
    <w:rsid w:val="00B022A2"/>
    <w:rsid w:val="00B027F7"/>
    <w:rsid w:val="00B039D0"/>
    <w:rsid w:val="00B053AF"/>
    <w:rsid w:val="00B05642"/>
    <w:rsid w:val="00B058CA"/>
    <w:rsid w:val="00B05AA6"/>
    <w:rsid w:val="00B0640B"/>
    <w:rsid w:val="00B06710"/>
    <w:rsid w:val="00B07CE5"/>
    <w:rsid w:val="00B1288E"/>
    <w:rsid w:val="00B14748"/>
    <w:rsid w:val="00B16F09"/>
    <w:rsid w:val="00B20E1C"/>
    <w:rsid w:val="00B210E4"/>
    <w:rsid w:val="00B2648E"/>
    <w:rsid w:val="00B26923"/>
    <w:rsid w:val="00B3369F"/>
    <w:rsid w:val="00B357DF"/>
    <w:rsid w:val="00B41B5F"/>
    <w:rsid w:val="00B46E42"/>
    <w:rsid w:val="00B50E31"/>
    <w:rsid w:val="00B51A15"/>
    <w:rsid w:val="00B52173"/>
    <w:rsid w:val="00B543AA"/>
    <w:rsid w:val="00B545A9"/>
    <w:rsid w:val="00B547C8"/>
    <w:rsid w:val="00B55AEB"/>
    <w:rsid w:val="00B55FBC"/>
    <w:rsid w:val="00B57916"/>
    <w:rsid w:val="00B60D6B"/>
    <w:rsid w:val="00B615CC"/>
    <w:rsid w:val="00B65B86"/>
    <w:rsid w:val="00B666AE"/>
    <w:rsid w:val="00B668F0"/>
    <w:rsid w:val="00B71E32"/>
    <w:rsid w:val="00B73B78"/>
    <w:rsid w:val="00B7524B"/>
    <w:rsid w:val="00B75D01"/>
    <w:rsid w:val="00B768ED"/>
    <w:rsid w:val="00B77B3C"/>
    <w:rsid w:val="00B77EA9"/>
    <w:rsid w:val="00B80FE8"/>
    <w:rsid w:val="00B82E53"/>
    <w:rsid w:val="00B8441C"/>
    <w:rsid w:val="00B84FB2"/>
    <w:rsid w:val="00B86DB8"/>
    <w:rsid w:val="00B87290"/>
    <w:rsid w:val="00B90C26"/>
    <w:rsid w:val="00B91B4D"/>
    <w:rsid w:val="00B92687"/>
    <w:rsid w:val="00B92E83"/>
    <w:rsid w:val="00B93330"/>
    <w:rsid w:val="00B93D7A"/>
    <w:rsid w:val="00B93D9F"/>
    <w:rsid w:val="00B94E6C"/>
    <w:rsid w:val="00B95308"/>
    <w:rsid w:val="00B95630"/>
    <w:rsid w:val="00B9567C"/>
    <w:rsid w:val="00B96B20"/>
    <w:rsid w:val="00B96B4E"/>
    <w:rsid w:val="00B9785B"/>
    <w:rsid w:val="00BA1062"/>
    <w:rsid w:val="00BA3726"/>
    <w:rsid w:val="00BA3B8D"/>
    <w:rsid w:val="00BA3C10"/>
    <w:rsid w:val="00BA4C2E"/>
    <w:rsid w:val="00BA4FB1"/>
    <w:rsid w:val="00BA693E"/>
    <w:rsid w:val="00BA6E9C"/>
    <w:rsid w:val="00BA73FF"/>
    <w:rsid w:val="00BB1679"/>
    <w:rsid w:val="00BB1B67"/>
    <w:rsid w:val="00BB3F08"/>
    <w:rsid w:val="00BB4606"/>
    <w:rsid w:val="00BB533E"/>
    <w:rsid w:val="00BB6B8E"/>
    <w:rsid w:val="00BB6D1F"/>
    <w:rsid w:val="00BC048A"/>
    <w:rsid w:val="00BC11AD"/>
    <w:rsid w:val="00BC3784"/>
    <w:rsid w:val="00BC4984"/>
    <w:rsid w:val="00BD00B3"/>
    <w:rsid w:val="00BD0F35"/>
    <w:rsid w:val="00BD1CE2"/>
    <w:rsid w:val="00BD1E1F"/>
    <w:rsid w:val="00BD37D3"/>
    <w:rsid w:val="00BD4D97"/>
    <w:rsid w:val="00BD5469"/>
    <w:rsid w:val="00BD6000"/>
    <w:rsid w:val="00BE1D1B"/>
    <w:rsid w:val="00BE2363"/>
    <w:rsid w:val="00BE4F38"/>
    <w:rsid w:val="00BE791B"/>
    <w:rsid w:val="00BE7D5E"/>
    <w:rsid w:val="00BF0005"/>
    <w:rsid w:val="00BF0CA5"/>
    <w:rsid w:val="00BF13B2"/>
    <w:rsid w:val="00BF29D2"/>
    <w:rsid w:val="00BF4C5D"/>
    <w:rsid w:val="00BF54C7"/>
    <w:rsid w:val="00BF5A18"/>
    <w:rsid w:val="00C0061D"/>
    <w:rsid w:val="00C00703"/>
    <w:rsid w:val="00C0181E"/>
    <w:rsid w:val="00C041C1"/>
    <w:rsid w:val="00C04AA2"/>
    <w:rsid w:val="00C10CD9"/>
    <w:rsid w:val="00C13493"/>
    <w:rsid w:val="00C15D15"/>
    <w:rsid w:val="00C20D59"/>
    <w:rsid w:val="00C2152D"/>
    <w:rsid w:val="00C218F6"/>
    <w:rsid w:val="00C2262E"/>
    <w:rsid w:val="00C232CE"/>
    <w:rsid w:val="00C23D2F"/>
    <w:rsid w:val="00C24596"/>
    <w:rsid w:val="00C255E4"/>
    <w:rsid w:val="00C2594C"/>
    <w:rsid w:val="00C26924"/>
    <w:rsid w:val="00C27338"/>
    <w:rsid w:val="00C27396"/>
    <w:rsid w:val="00C304E6"/>
    <w:rsid w:val="00C30FEC"/>
    <w:rsid w:val="00C3190F"/>
    <w:rsid w:val="00C31AC6"/>
    <w:rsid w:val="00C3306F"/>
    <w:rsid w:val="00C34B69"/>
    <w:rsid w:val="00C356E0"/>
    <w:rsid w:val="00C415DA"/>
    <w:rsid w:val="00C41A2E"/>
    <w:rsid w:val="00C41B1A"/>
    <w:rsid w:val="00C41C95"/>
    <w:rsid w:val="00C439A2"/>
    <w:rsid w:val="00C4417F"/>
    <w:rsid w:val="00C443BD"/>
    <w:rsid w:val="00C44475"/>
    <w:rsid w:val="00C45095"/>
    <w:rsid w:val="00C451C5"/>
    <w:rsid w:val="00C453AE"/>
    <w:rsid w:val="00C455AE"/>
    <w:rsid w:val="00C45FA1"/>
    <w:rsid w:val="00C47142"/>
    <w:rsid w:val="00C47826"/>
    <w:rsid w:val="00C5073C"/>
    <w:rsid w:val="00C528FD"/>
    <w:rsid w:val="00C53EF7"/>
    <w:rsid w:val="00C5407C"/>
    <w:rsid w:val="00C55B82"/>
    <w:rsid w:val="00C57C86"/>
    <w:rsid w:val="00C611F1"/>
    <w:rsid w:val="00C64049"/>
    <w:rsid w:val="00C651B2"/>
    <w:rsid w:val="00C6623C"/>
    <w:rsid w:val="00C6648D"/>
    <w:rsid w:val="00C6686B"/>
    <w:rsid w:val="00C673C5"/>
    <w:rsid w:val="00C67634"/>
    <w:rsid w:val="00C70CA4"/>
    <w:rsid w:val="00C7145B"/>
    <w:rsid w:val="00C7387B"/>
    <w:rsid w:val="00C75062"/>
    <w:rsid w:val="00C75939"/>
    <w:rsid w:val="00C75974"/>
    <w:rsid w:val="00C76584"/>
    <w:rsid w:val="00C8155C"/>
    <w:rsid w:val="00C831BA"/>
    <w:rsid w:val="00C83DB1"/>
    <w:rsid w:val="00C8446A"/>
    <w:rsid w:val="00C8466B"/>
    <w:rsid w:val="00C85596"/>
    <w:rsid w:val="00C8573F"/>
    <w:rsid w:val="00C85C82"/>
    <w:rsid w:val="00C8784E"/>
    <w:rsid w:val="00C907FD"/>
    <w:rsid w:val="00C90A14"/>
    <w:rsid w:val="00C9161D"/>
    <w:rsid w:val="00C92407"/>
    <w:rsid w:val="00C963EA"/>
    <w:rsid w:val="00C97C56"/>
    <w:rsid w:val="00CA0AB1"/>
    <w:rsid w:val="00CA0C1D"/>
    <w:rsid w:val="00CA312C"/>
    <w:rsid w:val="00CA3DF0"/>
    <w:rsid w:val="00CA56C3"/>
    <w:rsid w:val="00CA5762"/>
    <w:rsid w:val="00CA658B"/>
    <w:rsid w:val="00CA6C38"/>
    <w:rsid w:val="00CA7519"/>
    <w:rsid w:val="00CB1709"/>
    <w:rsid w:val="00CB29E2"/>
    <w:rsid w:val="00CB2EBD"/>
    <w:rsid w:val="00CB5BBD"/>
    <w:rsid w:val="00CB62A9"/>
    <w:rsid w:val="00CB693D"/>
    <w:rsid w:val="00CB7FE9"/>
    <w:rsid w:val="00CC05EE"/>
    <w:rsid w:val="00CC072B"/>
    <w:rsid w:val="00CC5BBA"/>
    <w:rsid w:val="00CD1654"/>
    <w:rsid w:val="00CD1CEF"/>
    <w:rsid w:val="00CD292B"/>
    <w:rsid w:val="00CD29C5"/>
    <w:rsid w:val="00CD2E99"/>
    <w:rsid w:val="00CD5462"/>
    <w:rsid w:val="00CD5A8E"/>
    <w:rsid w:val="00CD6275"/>
    <w:rsid w:val="00CD6390"/>
    <w:rsid w:val="00CD69F3"/>
    <w:rsid w:val="00CD702A"/>
    <w:rsid w:val="00CE02A8"/>
    <w:rsid w:val="00CE07CE"/>
    <w:rsid w:val="00CE2663"/>
    <w:rsid w:val="00CE4D10"/>
    <w:rsid w:val="00CE604B"/>
    <w:rsid w:val="00CE737B"/>
    <w:rsid w:val="00CF08E3"/>
    <w:rsid w:val="00CF1466"/>
    <w:rsid w:val="00CF1848"/>
    <w:rsid w:val="00CF3FEB"/>
    <w:rsid w:val="00CF4DAC"/>
    <w:rsid w:val="00CF60ED"/>
    <w:rsid w:val="00CF6D5A"/>
    <w:rsid w:val="00CF7A56"/>
    <w:rsid w:val="00D0241E"/>
    <w:rsid w:val="00D03019"/>
    <w:rsid w:val="00D0307F"/>
    <w:rsid w:val="00D037DF"/>
    <w:rsid w:val="00D039D9"/>
    <w:rsid w:val="00D06F85"/>
    <w:rsid w:val="00D100F7"/>
    <w:rsid w:val="00D11FE2"/>
    <w:rsid w:val="00D12044"/>
    <w:rsid w:val="00D12EAF"/>
    <w:rsid w:val="00D13149"/>
    <w:rsid w:val="00D14492"/>
    <w:rsid w:val="00D14E16"/>
    <w:rsid w:val="00D1520E"/>
    <w:rsid w:val="00D17E9D"/>
    <w:rsid w:val="00D21850"/>
    <w:rsid w:val="00D22E8F"/>
    <w:rsid w:val="00D2411F"/>
    <w:rsid w:val="00D24F4C"/>
    <w:rsid w:val="00D26D28"/>
    <w:rsid w:val="00D33EFC"/>
    <w:rsid w:val="00D33FB0"/>
    <w:rsid w:val="00D3437E"/>
    <w:rsid w:val="00D34515"/>
    <w:rsid w:val="00D35DAF"/>
    <w:rsid w:val="00D36515"/>
    <w:rsid w:val="00D37C01"/>
    <w:rsid w:val="00D4071D"/>
    <w:rsid w:val="00D40DBC"/>
    <w:rsid w:val="00D41088"/>
    <w:rsid w:val="00D41C08"/>
    <w:rsid w:val="00D43907"/>
    <w:rsid w:val="00D4421E"/>
    <w:rsid w:val="00D443C5"/>
    <w:rsid w:val="00D464B1"/>
    <w:rsid w:val="00D540A5"/>
    <w:rsid w:val="00D5478E"/>
    <w:rsid w:val="00D54820"/>
    <w:rsid w:val="00D55ABE"/>
    <w:rsid w:val="00D56DC3"/>
    <w:rsid w:val="00D57AED"/>
    <w:rsid w:val="00D57B62"/>
    <w:rsid w:val="00D60B00"/>
    <w:rsid w:val="00D6399C"/>
    <w:rsid w:val="00D63B7F"/>
    <w:rsid w:val="00D67730"/>
    <w:rsid w:val="00D72317"/>
    <w:rsid w:val="00D75F7B"/>
    <w:rsid w:val="00D765EE"/>
    <w:rsid w:val="00D76605"/>
    <w:rsid w:val="00D76A18"/>
    <w:rsid w:val="00D77560"/>
    <w:rsid w:val="00D77B46"/>
    <w:rsid w:val="00D8015F"/>
    <w:rsid w:val="00D80849"/>
    <w:rsid w:val="00D82E8F"/>
    <w:rsid w:val="00D8487C"/>
    <w:rsid w:val="00D8607B"/>
    <w:rsid w:val="00D87EA2"/>
    <w:rsid w:val="00D9027C"/>
    <w:rsid w:val="00D910BB"/>
    <w:rsid w:val="00D91513"/>
    <w:rsid w:val="00D92850"/>
    <w:rsid w:val="00D92A35"/>
    <w:rsid w:val="00D92D2F"/>
    <w:rsid w:val="00D930F7"/>
    <w:rsid w:val="00D934B1"/>
    <w:rsid w:val="00D93531"/>
    <w:rsid w:val="00D94633"/>
    <w:rsid w:val="00D952A9"/>
    <w:rsid w:val="00D962BC"/>
    <w:rsid w:val="00D96B72"/>
    <w:rsid w:val="00DA1E51"/>
    <w:rsid w:val="00DA2529"/>
    <w:rsid w:val="00DA2738"/>
    <w:rsid w:val="00DA36D8"/>
    <w:rsid w:val="00DA4458"/>
    <w:rsid w:val="00DA4746"/>
    <w:rsid w:val="00DA5439"/>
    <w:rsid w:val="00DA56DD"/>
    <w:rsid w:val="00DB09DC"/>
    <w:rsid w:val="00DB1208"/>
    <w:rsid w:val="00DB4BFE"/>
    <w:rsid w:val="00DB5BD2"/>
    <w:rsid w:val="00DC073B"/>
    <w:rsid w:val="00DC0B54"/>
    <w:rsid w:val="00DC12D8"/>
    <w:rsid w:val="00DC2CC8"/>
    <w:rsid w:val="00DC36F8"/>
    <w:rsid w:val="00DC54A9"/>
    <w:rsid w:val="00DC748A"/>
    <w:rsid w:val="00DD0AA1"/>
    <w:rsid w:val="00DD118C"/>
    <w:rsid w:val="00DD32AF"/>
    <w:rsid w:val="00DD33CC"/>
    <w:rsid w:val="00DE0123"/>
    <w:rsid w:val="00DE04BF"/>
    <w:rsid w:val="00DE0C35"/>
    <w:rsid w:val="00DE1768"/>
    <w:rsid w:val="00DE1F31"/>
    <w:rsid w:val="00DE49BC"/>
    <w:rsid w:val="00DE4F53"/>
    <w:rsid w:val="00DE55AD"/>
    <w:rsid w:val="00DF0079"/>
    <w:rsid w:val="00DF00DD"/>
    <w:rsid w:val="00DF1073"/>
    <w:rsid w:val="00DF15CB"/>
    <w:rsid w:val="00DF3B80"/>
    <w:rsid w:val="00DF4036"/>
    <w:rsid w:val="00DF4DEF"/>
    <w:rsid w:val="00E022E0"/>
    <w:rsid w:val="00E02789"/>
    <w:rsid w:val="00E053B9"/>
    <w:rsid w:val="00E05B97"/>
    <w:rsid w:val="00E105B6"/>
    <w:rsid w:val="00E11100"/>
    <w:rsid w:val="00E13C78"/>
    <w:rsid w:val="00E155BF"/>
    <w:rsid w:val="00E15CF3"/>
    <w:rsid w:val="00E16199"/>
    <w:rsid w:val="00E17703"/>
    <w:rsid w:val="00E21C50"/>
    <w:rsid w:val="00E2226C"/>
    <w:rsid w:val="00E231FB"/>
    <w:rsid w:val="00E23E91"/>
    <w:rsid w:val="00E24FAC"/>
    <w:rsid w:val="00E253DB"/>
    <w:rsid w:val="00E2626B"/>
    <w:rsid w:val="00E27936"/>
    <w:rsid w:val="00E30CE6"/>
    <w:rsid w:val="00E30F64"/>
    <w:rsid w:val="00E32CE2"/>
    <w:rsid w:val="00E33655"/>
    <w:rsid w:val="00E360C5"/>
    <w:rsid w:val="00E3622B"/>
    <w:rsid w:val="00E367CE"/>
    <w:rsid w:val="00E40222"/>
    <w:rsid w:val="00E41240"/>
    <w:rsid w:val="00E4237E"/>
    <w:rsid w:val="00E42551"/>
    <w:rsid w:val="00E42FCC"/>
    <w:rsid w:val="00E43F0E"/>
    <w:rsid w:val="00E50824"/>
    <w:rsid w:val="00E509BA"/>
    <w:rsid w:val="00E52D07"/>
    <w:rsid w:val="00E53442"/>
    <w:rsid w:val="00E54AD6"/>
    <w:rsid w:val="00E54F19"/>
    <w:rsid w:val="00E55CAD"/>
    <w:rsid w:val="00E56000"/>
    <w:rsid w:val="00E57609"/>
    <w:rsid w:val="00E57DCE"/>
    <w:rsid w:val="00E6159A"/>
    <w:rsid w:val="00E65AC7"/>
    <w:rsid w:val="00E66235"/>
    <w:rsid w:val="00E663FD"/>
    <w:rsid w:val="00E66CB3"/>
    <w:rsid w:val="00E7060A"/>
    <w:rsid w:val="00E71D23"/>
    <w:rsid w:val="00E721B5"/>
    <w:rsid w:val="00E745DD"/>
    <w:rsid w:val="00E74EED"/>
    <w:rsid w:val="00E76FCD"/>
    <w:rsid w:val="00E810AF"/>
    <w:rsid w:val="00E82291"/>
    <w:rsid w:val="00E82989"/>
    <w:rsid w:val="00E830DC"/>
    <w:rsid w:val="00E83C24"/>
    <w:rsid w:val="00E84BA0"/>
    <w:rsid w:val="00E85BFD"/>
    <w:rsid w:val="00E869CB"/>
    <w:rsid w:val="00E86AB4"/>
    <w:rsid w:val="00E86DA3"/>
    <w:rsid w:val="00E90CF9"/>
    <w:rsid w:val="00E90E97"/>
    <w:rsid w:val="00E913E9"/>
    <w:rsid w:val="00E91804"/>
    <w:rsid w:val="00E926F5"/>
    <w:rsid w:val="00E92F23"/>
    <w:rsid w:val="00E9318D"/>
    <w:rsid w:val="00E940E5"/>
    <w:rsid w:val="00E969A8"/>
    <w:rsid w:val="00E97813"/>
    <w:rsid w:val="00EA087D"/>
    <w:rsid w:val="00EA3FC7"/>
    <w:rsid w:val="00EA453A"/>
    <w:rsid w:val="00EA551A"/>
    <w:rsid w:val="00EA7346"/>
    <w:rsid w:val="00EB179D"/>
    <w:rsid w:val="00EB3DC9"/>
    <w:rsid w:val="00EB73CC"/>
    <w:rsid w:val="00EC10FF"/>
    <w:rsid w:val="00EC20FF"/>
    <w:rsid w:val="00EC2369"/>
    <w:rsid w:val="00EC4396"/>
    <w:rsid w:val="00EC4E33"/>
    <w:rsid w:val="00EC6295"/>
    <w:rsid w:val="00ED2FE1"/>
    <w:rsid w:val="00ED372C"/>
    <w:rsid w:val="00ED4F77"/>
    <w:rsid w:val="00EE370F"/>
    <w:rsid w:val="00EE5647"/>
    <w:rsid w:val="00EE5F41"/>
    <w:rsid w:val="00EE67E6"/>
    <w:rsid w:val="00EE7975"/>
    <w:rsid w:val="00EE7F52"/>
    <w:rsid w:val="00EF0482"/>
    <w:rsid w:val="00EF0CB3"/>
    <w:rsid w:val="00EF1DCB"/>
    <w:rsid w:val="00EF3D6D"/>
    <w:rsid w:val="00EF3D85"/>
    <w:rsid w:val="00EF4248"/>
    <w:rsid w:val="00EF6215"/>
    <w:rsid w:val="00EF7577"/>
    <w:rsid w:val="00EF768C"/>
    <w:rsid w:val="00F02C1D"/>
    <w:rsid w:val="00F046D0"/>
    <w:rsid w:val="00F04A06"/>
    <w:rsid w:val="00F04B98"/>
    <w:rsid w:val="00F078CF"/>
    <w:rsid w:val="00F11E5D"/>
    <w:rsid w:val="00F14F8C"/>
    <w:rsid w:val="00F150F0"/>
    <w:rsid w:val="00F15BFC"/>
    <w:rsid w:val="00F2084A"/>
    <w:rsid w:val="00F2503F"/>
    <w:rsid w:val="00F30A1E"/>
    <w:rsid w:val="00F312ED"/>
    <w:rsid w:val="00F33A28"/>
    <w:rsid w:val="00F354D2"/>
    <w:rsid w:val="00F35D1E"/>
    <w:rsid w:val="00F35F3B"/>
    <w:rsid w:val="00F376EF"/>
    <w:rsid w:val="00F402F8"/>
    <w:rsid w:val="00F40369"/>
    <w:rsid w:val="00F40783"/>
    <w:rsid w:val="00F433E3"/>
    <w:rsid w:val="00F45276"/>
    <w:rsid w:val="00F463E3"/>
    <w:rsid w:val="00F468EC"/>
    <w:rsid w:val="00F46F61"/>
    <w:rsid w:val="00F47DB2"/>
    <w:rsid w:val="00F511FE"/>
    <w:rsid w:val="00F53193"/>
    <w:rsid w:val="00F5357E"/>
    <w:rsid w:val="00F601EC"/>
    <w:rsid w:val="00F61343"/>
    <w:rsid w:val="00F62BFC"/>
    <w:rsid w:val="00F64705"/>
    <w:rsid w:val="00F64AFC"/>
    <w:rsid w:val="00F6586C"/>
    <w:rsid w:val="00F663E3"/>
    <w:rsid w:val="00F66C62"/>
    <w:rsid w:val="00F73120"/>
    <w:rsid w:val="00F734CE"/>
    <w:rsid w:val="00F73793"/>
    <w:rsid w:val="00F80396"/>
    <w:rsid w:val="00F827FA"/>
    <w:rsid w:val="00F84FE5"/>
    <w:rsid w:val="00F865A0"/>
    <w:rsid w:val="00F87C3C"/>
    <w:rsid w:val="00F90649"/>
    <w:rsid w:val="00F91028"/>
    <w:rsid w:val="00F93285"/>
    <w:rsid w:val="00F94774"/>
    <w:rsid w:val="00F96B55"/>
    <w:rsid w:val="00F979E6"/>
    <w:rsid w:val="00F97D1F"/>
    <w:rsid w:val="00FA1661"/>
    <w:rsid w:val="00FA3F77"/>
    <w:rsid w:val="00FA4014"/>
    <w:rsid w:val="00FA5708"/>
    <w:rsid w:val="00FA5F4E"/>
    <w:rsid w:val="00FA663B"/>
    <w:rsid w:val="00FB0587"/>
    <w:rsid w:val="00FB120E"/>
    <w:rsid w:val="00FB219B"/>
    <w:rsid w:val="00FB45DB"/>
    <w:rsid w:val="00FB7D33"/>
    <w:rsid w:val="00FC1A4D"/>
    <w:rsid w:val="00FC3E8D"/>
    <w:rsid w:val="00FC4BA7"/>
    <w:rsid w:val="00FC53DB"/>
    <w:rsid w:val="00FC595B"/>
    <w:rsid w:val="00FD1F2A"/>
    <w:rsid w:val="00FD2066"/>
    <w:rsid w:val="00FD278A"/>
    <w:rsid w:val="00FD3B18"/>
    <w:rsid w:val="00FD4A2D"/>
    <w:rsid w:val="00FD4CCD"/>
    <w:rsid w:val="00FD536B"/>
    <w:rsid w:val="00FD6070"/>
    <w:rsid w:val="00FD70AE"/>
    <w:rsid w:val="00FD761E"/>
    <w:rsid w:val="00FE2C47"/>
    <w:rsid w:val="00FE2EAF"/>
    <w:rsid w:val="00FE50A2"/>
    <w:rsid w:val="00FE51DB"/>
    <w:rsid w:val="00FE6571"/>
    <w:rsid w:val="00FE6672"/>
    <w:rsid w:val="00FE79A5"/>
    <w:rsid w:val="00FF0394"/>
    <w:rsid w:val="00FF0FF6"/>
    <w:rsid w:val="00FF2488"/>
    <w:rsid w:val="00FF38DE"/>
    <w:rsid w:val="00FF5977"/>
    <w:rsid w:val="00FF6442"/>
    <w:rsid w:val="00FF79BE"/>
    <w:rsid w:val="00FF7C9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44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UY"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211"/>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UY"/>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UY"/>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UY"/>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UY"/>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UY"/>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UY"/>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UY"/>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UY"/>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s-UY"/>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UY"/>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3B5339"/>
    <w:pPr>
      <w:keepLines/>
      <w:spacing w:after="6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3B5339"/>
    <w:rPr>
      <w:rFonts w:ascii="Times New Roman" w:eastAsia="Times New Roman" w:hAnsi="Times New Roman" w:cs="Times New Roman"/>
      <w:sz w:val="18"/>
      <w:lang w:val="es-UY"/>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UY"/>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UY"/>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UY"/>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UY"/>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UY"/>
    </w:rPr>
  </w:style>
  <w:style w:type="character" w:customStyle="1" w:styleId="Heading7Char">
    <w:name w:val="Heading 7 Char"/>
    <w:basedOn w:val="DefaultParagraphFont"/>
    <w:link w:val="Heading7"/>
    <w:rsid w:val="007E09DA"/>
    <w:rPr>
      <w:rFonts w:ascii="Univers" w:eastAsia="Times New Roman" w:hAnsi="Univers" w:cs="Times New Roman"/>
      <w:b/>
      <w:sz w:val="28"/>
      <w:lang w:val="es-UY"/>
    </w:rPr>
  </w:style>
  <w:style w:type="character" w:customStyle="1" w:styleId="Heading8Char">
    <w:name w:val="Heading 8 Char"/>
    <w:basedOn w:val="DefaultParagraphFont"/>
    <w:link w:val="Heading8"/>
    <w:rsid w:val="007E09DA"/>
    <w:rPr>
      <w:rFonts w:ascii="Univers" w:eastAsia="Times New Roman" w:hAnsi="Univers" w:cs="Times New Roman"/>
      <w:b/>
      <w:sz w:val="32"/>
      <w:lang w:val="es-UY"/>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UY"/>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UY"/>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qFormat/>
    <w:rsid w:val="00D77560"/>
    <w:pPr>
      <w:spacing w:after="160" w:line="240" w:lineRule="exact"/>
    </w:pPr>
    <w:rPr>
      <w:rFonts w:asciiTheme="minorHAnsi" w:eastAsiaTheme="minorEastAsia" w:hAnsiTheme="minorHAnsi" w:cstheme="minorBidi"/>
      <w:vertAlign w:val="superscript"/>
    </w:rPr>
  </w:style>
  <w:style w:type="character" w:customStyle="1" w:styleId="UnresolvedMention1">
    <w:name w:val="Unresolved Mention1"/>
    <w:basedOn w:val="DefaultParagraphFont"/>
    <w:uiPriority w:val="99"/>
    <w:semiHidden/>
    <w:unhideWhenUsed/>
    <w:rsid w:val="00E86DA3"/>
    <w:rPr>
      <w:color w:val="605E5C"/>
      <w:shd w:val="clear" w:color="auto" w:fill="E1DFDD"/>
    </w:rPr>
  </w:style>
  <w:style w:type="character" w:customStyle="1" w:styleId="ng-binding">
    <w:name w:val="ng-binding"/>
    <w:basedOn w:val="DefaultParagraphFont"/>
    <w:rsid w:val="00A3381A"/>
  </w:style>
  <w:style w:type="paragraph" w:styleId="CommentSubject">
    <w:name w:val="annotation subject"/>
    <w:basedOn w:val="CommentText"/>
    <w:next w:val="CommentText"/>
    <w:link w:val="CommentSubjectChar"/>
    <w:uiPriority w:val="99"/>
    <w:semiHidden/>
    <w:unhideWhenUsed/>
    <w:rsid w:val="00113E7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13E77"/>
    <w:rPr>
      <w:rFonts w:ascii="Times New Roman" w:eastAsia="Times New Roman" w:hAnsi="Times New Roman" w:cs="Times New Roman"/>
      <w:b/>
      <w:bCs/>
      <w:sz w:val="20"/>
      <w:szCs w:val="20"/>
      <w:lang w:val="es-UY"/>
    </w:rPr>
  </w:style>
  <w:style w:type="paragraph" w:styleId="Revision">
    <w:name w:val="Revision"/>
    <w:hidden/>
    <w:uiPriority w:val="99"/>
    <w:semiHidden/>
    <w:rsid w:val="005A107A"/>
    <w:rPr>
      <w:rFonts w:ascii="Times New Roman" w:eastAsia="Times New Roman" w:hAnsi="Times New Roman" w:cs="Times New Roman"/>
      <w:sz w:val="22"/>
    </w:rPr>
  </w:style>
  <w:style w:type="paragraph" w:customStyle="1" w:styleId="paragraph">
    <w:name w:val="paragraph"/>
    <w:basedOn w:val="Normal"/>
    <w:rsid w:val="006A0AF6"/>
    <w:pPr>
      <w:spacing w:before="100" w:beforeAutospacing="1" w:after="100" w:afterAutospacing="1"/>
      <w:jc w:val="left"/>
    </w:pPr>
    <w:rPr>
      <w:sz w:val="24"/>
    </w:rPr>
  </w:style>
  <w:style w:type="character" w:customStyle="1" w:styleId="normaltextrun">
    <w:name w:val="normaltextrun"/>
    <w:rsid w:val="006A0AF6"/>
  </w:style>
  <w:style w:type="character" w:customStyle="1" w:styleId="findhit">
    <w:name w:val="findhit"/>
    <w:rsid w:val="006A0AF6"/>
  </w:style>
  <w:style w:type="paragraph" w:customStyle="1" w:styleId="Heading-plainbold">
    <w:name w:val="Heading-plain bold"/>
    <w:basedOn w:val="BodyText"/>
    <w:rsid w:val="001A77EF"/>
    <w:pPr>
      <w:ind w:firstLine="0"/>
      <w:jc w:val="center"/>
    </w:pPr>
    <w:rPr>
      <w:rFonts w:eastAsia="Malgun Gothic"/>
      <w:b/>
      <w:bCs/>
      <w:i/>
      <w:iCs w:val="0"/>
      <w:lang w:eastAsia="x-none"/>
    </w:rPr>
  </w:style>
  <w:style w:type="paragraph" w:styleId="NormalWeb">
    <w:name w:val="Normal (Web)"/>
    <w:basedOn w:val="Normal"/>
    <w:uiPriority w:val="99"/>
    <w:semiHidden/>
    <w:unhideWhenUsed/>
    <w:rsid w:val="006D22E6"/>
    <w:rPr>
      <w:sz w:val="24"/>
    </w:rPr>
  </w:style>
  <w:style w:type="character" w:customStyle="1" w:styleId="ui-provider">
    <w:name w:val="ui-provider"/>
    <w:basedOn w:val="DefaultParagraphFont"/>
    <w:rsid w:val="001C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478">
      <w:bodyDiv w:val="1"/>
      <w:marLeft w:val="0"/>
      <w:marRight w:val="0"/>
      <w:marTop w:val="0"/>
      <w:marBottom w:val="0"/>
      <w:divBdr>
        <w:top w:val="none" w:sz="0" w:space="0" w:color="auto"/>
        <w:left w:val="none" w:sz="0" w:space="0" w:color="auto"/>
        <w:bottom w:val="none" w:sz="0" w:space="0" w:color="auto"/>
        <w:right w:val="none" w:sz="0" w:space="0" w:color="auto"/>
      </w:divBdr>
      <w:divsChild>
        <w:div w:id="132794360">
          <w:marLeft w:val="0"/>
          <w:marRight w:val="0"/>
          <w:marTop w:val="0"/>
          <w:marBottom w:val="0"/>
          <w:divBdr>
            <w:top w:val="none" w:sz="0" w:space="0" w:color="auto"/>
            <w:left w:val="none" w:sz="0" w:space="0" w:color="auto"/>
            <w:bottom w:val="none" w:sz="0" w:space="0" w:color="auto"/>
            <w:right w:val="none" w:sz="0" w:space="0" w:color="auto"/>
          </w:divBdr>
          <w:divsChild>
            <w:div w:id="1313867600">
              <w:marLeft w:val="0"/>
              <w:marRight w:val="0"/>
              <w:marTop w:val="0"/>
              <w:marBottom w:val="0"/>
              <w:divBdr>
                <w:top w:val="none" w:sz="0" w:space="0" w:color="auto"/>
                <w:left w:val="none" w:sz="0" w:space="0" w:color="auto"/>
                <w:bottom w:val="none" w:sz="0" w:space="0" w:color="auto"/>
                <w:right w:val="none" w:sz="0" w:space="0" w:color="auto"/>
              </w:divBdr>
              <w:divsChild>
                <w:div w:id="14032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8503">
      <w:bodyDiv w:val="1"/>
      <w:marLeft w:val="0"/>
      <w:marRight w:val="0"/>
      <w:marTop w:val="0"/>
      <w:marBottom w:val="0"/>
      <w:divBdr>
        <w:top w:val="none" w:sz="0" w:space="0" w:color="auto"/>
        <w:left w:val="none" w:sz="0" w:space="0" w:color="auto"/>
        <w:bottom w:val="none" w:sz="0" w:space="0" w:color="auto"/>
        <w:right w:val="none" w:sz="0" w:space="0" w:color="auto"/>
      </w:divBdr>
    </w:div>
    <w:div w:id="681396443">
      <w:bodyDiv w:val="1"/>
      <w:marLeft w:val="0"/>
      <w:marRight w:val="0"/>
      <w:marTop w:val="0"/>
      <w:marBottom w:val="0"/>
      <w:divBdr>
        <w:top w:val="none" w:sz="0" w:space="0" w:color="auto"/>
        <w:left w:val="none" w:sz="0" w:space="0" w:color="auto"/>
        <w:bottom w:val="none" w:sz="0" w:space="0" w:color="auto"/>
        <w:right w:val="none" w:sz="0" w:space="0" w:color="auto"/>
      </w:divBdr>
    </w:div>
    <w:div w:id="827785706">
      <w:bodyDiv w:val="1"/>
      <w:marLeft w:val="0"/>
      <w:marRight w:val="0"/>
      <w:marTop w:val="0"/>
      <w:marBottom w:val="0"/>
      <w:divBdr>
        <w:top w:val="none" w:sz="0" w:space="0" w:color="auto"/>
        <w:left w:val="none" w:sz="0" w:space="0" w:color="auto"/>
        <w:bottom w:val="none" w:sz="0" w:space="0" w:color="auto"/>
        <w:right w:val="none" w:sz="0" w:space="0" w:color="auto"/>
      </w:divBdr>
    </w:div>
    <w:div w:id="1089886812">
      <w:bodyDiv w:val="1"/>
      <w:marLeft w:val="0"/>
      <w:marRight w:val="0"/>
      <w:marTop w:val="0"/>
      <w:marBottom w:val="0"/>
      <w:divBdr>
        <w:top w:val="none" w:sz="0" w:space="0" w:color="auto"/>
        <w:left w:val="none" w:sz="0" w:space="0" w:color="auto"/>
        <w:bottom w:val="none" w:sz="0" w:space="0" w:color="auto"/>
        <w:right w:val="none" w:sz="0" w:space="0" w:color="auto"/>
      </w:divBdr>
    </w:div>
    <w:div w:id="1112045410">
      <w:bodyDiv w:val="1"/>
      <w:marLeft w:val="0"/>
      <w:marRight w:val="0"/>
      <w:marTop w:val="0"/>
      <w:marBottom w:val="0"/>
      <w:divBdr>
        <w:top w:val="none" w:sz="0" w:space="0" w:color="auto"/>
        <w:left w:val="none" w:sz="0" w:space="0" w:color="auto"/>
        <w:bottom w:val="none" w:sz="0" w:space="0" w:color="auto"/>
        <w:right w:val="none" w:sz="0" w:space="0" w:color="auto"/>
      </w:divBdr>
    </w:div>
    <w:div w:id="1250696603">
      <w:bodyDiv w:val="1"/>
      <w:marLeft w:val="0"/>
      <w:marRight w:val="0"/>
      <w:marTop w:val="0"/>
      <w:marBottom w:val="0"/>
      <w:divBdr>
        <w:top w:val="none" w:sz="0" w:space="0" w:color="auto"/>
        <w:left w:val="none" w:sz="0" w:space="0" w:color="auto"/>
        <w:bottom w:val="none" w:sz="0" w:space="0" w:color="auto"/>
        <w:right w:val="none" w:sz="0" w:space="0" w:color="auto"/>
      </w:divBdr>
    </w:div>
    <w:div w:id="1555048321">
      <w:bodyDiv w:val="1"/>
      <w:marLeft w:val="0"/>
      <w:marRight w:val="0"/>
      <w:marTop w:val="0"/>
      <w:marBottom w:val="0"/>
      <w:divBdr>
        <w:top w:val="none" w:sz="0" w:space="0" w:color="auto"/>
        <w:left w:val="none" w:sz="0" w:space="0" w:color="auto"/>
        <w:bottom w:val="none" w:sz="0" w:space="0" w:color="auto"/>
        <w:right w:val="none" w:sz="0" w:space="0" w:color="auto"/>
      </w:divBdr>
      <w:divsChild>
        <w:div w:id="1762022939">
          <w:marLeft w:val="0"/>
          <w:marRight w:val="0"/>
          <w:marTop w:val="0"/>
          <w:marBottom w:val="0"/>
          <w:divBdr>
            <w:top w:val="none" w:sz="0" w:space="0" w:color="auto"/>
            <w:left w:val="none" w:sz="0" w:space="0" w:color="auto"/>
            <w:bottom w:val="none" w:sz="0" w:space="0" w:color="auto"/>
            <w:right w:val="none" w:sz="0" w:space="0" w:color="auto"/>
          </w:divBdr>
          <w:divsChild>
            <w:div w:id="402266647">
              <w:marLeft w:val="0"/>
              <w:marRight w:val="0"/>
              <w:marTop w:val="0"/>
              <w:marBottom w:val="0"/>
              <w:divBdr>
                <w:top w:val="none" w:sz="0" w:space="0" w:color="auto"/>
                <w:left w:val="none" w:sz="0" w:space="0" w:color="auto"/>
                <w:bottom w:val="none" w:sz="0" w:space="0" w:color="auto"/>
                <w:right w:val="none" w:sz="0" w:space="0" w:color="auto"/>
              </w:divBdr>
              <w:divsChild>
                <w:div w:id="7223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ecisions/cop/?m=cop-0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3/cop-13-dec-33-es.pdf" TargetMode="External"/><Relationship Id="rId2" Type="http://schemas.openxmlformats.org/officeDocument/2006/relationships/customXml" Target="../customXml/item2.xml"/><Relationship Id="rId16" Type="http://schemas.openxmlformats.org/officeDocument/2006/relationships/hyperlink" Target="https://www.cbd.int/doc/notifications/2023/ntf-2023-081-cop15-e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3/cop-13-dec-33-es.pdf"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bd.int/doc/meetings/cop/cop-15/cop-credentials-template-e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67CEB0-0C57-4713-B8D7-6BA558DF6C0B}">
  <ds:schemaRefs>
    <ds:schemaRef ds:uri="http://schemas.openxmlformats.org/officeDocument/2006/bibliography"/>
  </ds:schemaRefs>
</ds:datastoreItem>
</file>

<file path=customXml/itemProps3.xml><?xml version="1.0" encoding="utf-8"?>
<ds:datastoreItem xmlns:ds="http://schemas.openxmlformats.org/officeDocument/2006/customXml" ds:itemID="{C3764D0A-FE1D-440C-8094-625A9A8AAD86}">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52D4ECB1-7010-4E2B-9C4B-E98303302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95DDB4-50C6-4A11-A859-6704D03BFA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2537</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15364</CharactersWithSpaces>
  <SharedDoc>false</SharedDoc>
  <HyperlinkBase/>
  <HLinks>
    <vt:vector size="30" baseType="variant">
      <vt:variant>
        <vt:i4>7274593</vt:i4>
      </vt:variant>
      <vt:variant>
        <vt:i4>12</vt:i4>
      </vt:variant>
      <vt:variant>
        <vt:i4>0</vt:i4>
      </vt:variant>
      <vt:variant>
        <vt:i4>5</vt:i4>
      </vt:variant>
      <vt:variant>
        <vt:lpwstr>https://www.cbd.int/decisions/cop/?m=cop-04</vt:lpwstr>
      </vt:variant>
      <vt:variant>
        <vt:lpwstr/>
      </vt:variant>
      <vt:variant>
        <vt:i4>720974</vt:i4>
      </vt:variant>
      <vt:variant>
        <vt:i4>9</vt:i4>
      </vt:variant>
      <vt:variant>
        <vt:i4>0</vt:i4>
      </vt:variant>
      <vt:variant>
        <vt:i4>5</vt:i4>
      </vt:variant>
      <vt:variant>
        <vt:lpwstr>https://www.cbd.int/doc/decisions/cop-13/cop-13-dec-33-en.pdf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ariant>
        <vt:i4>8060968</vt:i4>
      </vt:variant>
      <vt:variant>
        <vt:i4>0</vt:i4>
      </vt:variant>
      <vt:variant>
        <vt:i4>0</vt:i4>
      </vt:variant>
      <vt:variant>
        <vt:i4>5</vt:i4>
      </vt:variant>
      <vt:variant>
        <vt:lpwstr>http://www.cbd.int/doc/meetings/cop/cop-15/cop-credentials-template-en.docx</vt:lpwstr>
      </vt:variant>
      <vt:variant>
        <vt:lpwstr/>
      </vt:variant>
      <vt:variant>
        <vt:i4>7798819</vt:i4>
      </vt:variant>
      <vt:variant>
        <vt:i4>0</vt:i4>
      </vt:variant>
      <vt:variant>
        <vt:i4>0</vt:i4>
      </vt:variant>
      <vt:variant>
        <vt:i4>5</vt:i4>
      </vt:variant>
      <vt:variant>
        <vt:lpwstr>https://www.un.org/dgacm/en/content/editorial-manual/quotations</vt:lpwstr>
      </vt:variant>
      <vt:variant>
        <vt:lpwstr>Block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2023-09-19T19:10:00Z</dcterms:created>
  <dcterms:modified xsi:type="dcterms:W3CDTF">2023-09-27T14:14:00Z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