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FBF6FBC" w14:textId="77777777" w:rsidTr="008A1499">
        <w:trPr>
          <w:trHeight w:val="850"/>
        </w:trPr>
        <w:tc>
          <w:tcPr>
            <w:tcW w:w="975" w:type="dxa"/>
            <w:vAlign w:val="bottom"/>
          </w:tcPr>
          <w:p w14:paraId="1AC27544"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1196D33" w14:textId="77777777" w:rsidR="008A1499" w:rsidRPr="003F1A75" w:rsidRDefault="008A1499" w:rsidP="008A1499">
            <w:pPr>
              <w:pStyle w:val="AASmallLogo"/>
            </w:pPr>
          </w:p>
        </w:tc>
        <w:tc>
          <w:tcPr>
            <w:tcW w:w="1434" w:type="dxa"/>
            <w:noWrap/>
            <w:vAlign w:val="bottom"/>
          </w:tcPr>
          <w:p w14:paraId="377EF98C" w14:textId="0EE6CC29" w:rsidR="008A1499" w:rsidRPr="003F1A75" w:rsidRDefault="00E3008E" w:rsidP="008A1499">
            <w:pPr>
              <w:pStyle w:val="AASmallLogo"/>
            </w:pPr>
            <w:r w:rsidRPr="003F1A75">
              <w:rPr>
                <w:noProof/>
              </w:rPr>
              <w:drawing>
                <wp:inline distT="0" distB="0" distL="0" distR="0" wp14:anchorId="4732F98A" wp14:editId="099C0944">
                  <wp:extent cx="590550" cy="361950"/>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590550" cy="361950"/>
                          </a:xfrm>
                          <a:prstGeom prst="rect">
                            <a:avLst/>
                          </a:prstGeom>
                        </pic:spPr>
                      </pic:pic>
                    </a:graphicData>
                  </a:graphic>
                </wp:inline>
              </w:drawing>
            </w:r>
            <w:r w:rsidR="008A1499" w:rsidRPr="003F1A75">
              <w:t xml:space="preserve"> </w:t>
            </w:r>
          </w:p>
          <w:p w14:paraId="1D38364B" w14:textId="77777777" w:rsidR="008A1499" w:rsidRPr="003F1A75" w:rsidRDefault="008A1499" w:rsidP="008A1499">
            <w:pPr>
              <w:pStyle w:val="AASmallLogo"/>
            </w:pPr>
          </w:p>
        </w:tc>
        <w:tc>
          <w:tcPr>
            <w:tcW w:w="8073" w:type="dxa"/>
            <w:vAlign w:val="bottom"/>
          </w:tcPr>
          <w:p w14:paraId="1087AB33" w14:textId="7983F3E5" w:rsidR="008A1499" w:rsidRPr="003F1A75" w:rsidRDefault="008A1499" w:rsidP="003F1A75">
            <w:pPr>
              <w:pStyle w:val="ABSymbol"/>
            </w:pPr>
            <w:r w:rsidRPr="003F1A75">
              <w:rPr>
                <w:sz w:val="40"/>
              </w:rPr>
              <w:t>CBD</w:t>
            </w:r>
            <w:r w:rsidRPr="003F1A75">
              <w:t>/</w:t>
            </w:r>
            <w:r w:rsidR="00240EE6">
              <w:t>COP</w:t>
            </w:r>
            <w:r w:rsidRPr="003F1A75">
              <w:t>/</w:t>
            </w:r>
            <w:r w:rsidR="00240EE6">
              <w:t>17/</w:t>
            </w:r>
            <w:r w:rsidR="00E51951">
              <w:t>WG.I/CRP.</w:t>
            </w:r>
            <w:r w:rsidR="003F0D3A">
              <w:t>16</w:t>
            </w:r>
            <w:r w:rsidR="0037325F">
              <w:t>/Rev.1</w:t>
            </w:r>
          </w:p>
        </w:tc>
      </w:tr>
    </w:tbl>
    <w:p w14:paraId="2E2E5F9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50361BD" w14:textId="77777777" w:rsidTr="008A1499">
        <w:trPr>
          <w:trHeight w:val="1814"/>
        </w:trPr>
        <w:tc>
          <w:tcPr>
            <w:tcW w:w="7370" w:type="dxa"/>
          </w:tcPr>
          <w:p w14:paraId="44159A44" w14:textId="34563B43" w:rsidR="008A1499" w:rsidRPr="003F1A75" w:rsidRDefault="00E3008E" w:rsidP="008A1499">
            <w:pPr>
              <w:pStyle w:val="ACLargeLogo"/>
            </w:pPr>
            <w:r w:rsidRPr="003F1A75">
              <w:rPr>
                <w:noProof/>
              </w:rPr>
              <w:drawing>
                <wp:inline distT="0" distB="0" distL="0" distR="0" wp14:anchorId="6B2C3E46" wp14:editId="1B5DE178">
                  <wp:extent cx="2857500" cy="1076325"/>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857500" cy="1076325"/>
                          </a:xfrm>
                          <a:prstGeom prst="rect">
                            <a:avLst/>
                          </a:prstGeom>
                        </pic:spPr>
                      </pic:pic>
                    </a:graphicData>
                  </a:graphic>
                </wp:inline>
              </w:drawing>
            </w:r>
            <w:r w:rsidR="008A1499" w:rsidRPr="003F1A75">
              <w:t xml:space="preserve"> </w:t>
            </w:r>
          </w:p>
          <w:p w14:paraId="0BCBF2F4" w14:textId="77777777" w:rsidR="008A1499" w:rsidRPr="003F1A75" w:rsidRDefault="008A1499" w:rsidP="008A1499">
            <w:pPr>
              <w:pStyle w:val="ACLargeLogo"/>
            </w:pPr>
          </w:p>
        </w:tc>
        <w:tc>
          <w:tcPr>
            <w:tcW w:w="3112" w:type="dxa"/>
          </w:tcPr>
          <w:p w14:paraId="2A3442B9" w14:textId="77777777" w:rsidR="008A1499" w:rsidRPr="003F1A75" w:rsidRDefault="008A1499" w:rsidP="008A1499">
            <w:pPr>
              <w:pStyle w:val="AEDistrNormal"/>
            </w:pPr>
            <w:proofErr w:type="spellStart"/>
            <w:r w:rsidRPr="003F1A75">
              <w:t>Distr</w:t>
            </w:r>
            <w:proofErr w:type="spellEnd"/>
            <w:r w:rsidRPr="003F1A75">
              <w:t>. limitée</w:t>
            </w:r>
          </w:p>
          <w:p w14:paraId="31F08302" w14:textId="7B394B00" w:rsidR="008A1499" w:rsidRPr="003F1A75" w:rsidRDefault="0037325F" w:rsidP="008A1499">
            <w:pPr>
              <w:pStyle w:val="AEDistrNormal"/>
            </w:pPr>
            <w:r>
              <w:t>30</w:t>
            </w:r>
            <w:r w:rsidR="00267261">
              <w:t xml:space="preserve"> octobre 2026</w:t>
            </w:r>
          </w:p>
          <w:p w14:paraId="7C9AF8C2" w14:textId="77777777" w:rsidR="009E4948" w:rsidRDefault="008A1499" w:rsidP="009E4948">
            <w:pPr>
              <w:pStyle w:val="AEDistrNormal"/>
            </w:pPr>
            <w:r w:rsidRPr="003F1A75">
              <w:t>Français</w:t>
            </w:r>
          </w:p>
          <w:p w14:paraId="62EDB9F2" w14:textId="740EF35C" w:rsidR="008A1499" w:rsidRPr="003F1A75" w:rsidRDefault="008A1499" w:rsidP="009E4948">
            <w:pPr>
              <w:pStyle w:val="AEDistrNormal"/>
            </w:pPr>
            <w:r w:rsidRPr="003F1A75">
              <w:t>Original : anglais</w:t>
            </w:r>
          </w:p>
        </w:tc>
      </w:tr>
    </w:tbl>
    <w:p w14:paraId="7DC96DEB"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0B7D427" w14:textId="77777777" w:rsidTr="008A1499">
        <w:trPr>
          <w:trHeight w:val="57"/>
        </w:trPr>
        <w:tc>
          <w:tcPr>
            <w:tcW w:w="6094" w:type="dxa"/>
          </w:tcPr>
          <w:p w14:paraId="6C9649FF" w14:textId="05C5936F" w:rsidR="008A1499" w:rsidRPr="003F1A75" w:rsidRDefault="00240EE6" w:rsidP="009E4948">
            <w:pPr>
              <w:pStyle w:val="AFCorN12Bold"/>
            </w:pPr>
            <w:r>
              <w:t xml:space="preserve">Conférence des Parties à la Convention </w:t>
            </w:r>
            <w:r w:rsidR="00B74450">
              <w:br/>
            </w:r>
            <w:r>
              <w:t>sur la diversité biologique</w:t>
            </w:r>
            <w:r w:rsidR="006E7BE2">
              <w:br/>
            </w:r>
            <w:r>
              <w:t>Dix-septième réunion</w:t>
            </w:r>
          </w:p>
          <w:p w14:paraId="5CA1A6EF" w14:textId="77777777" w:rsidR="008A1499" w:rsidRPr="003F1A75" w:rsidRDefault="00240EE6" w:rsidP="008A1499">
            <w:pPr>
              <w:pStyle w:val="AFCorNNormal"/>
            </w:pPr>
            <w:r>
              <w:t>Erevan, 19–30 octobre 2026</w:t>
            </w:r>
          </w:p>
          <w:p w14:paraId="408DFCDC" w14:textId="77777777" w:rsidR="008A1499" w:rsidRDefault="00137278" w:rsidP="00A44FF6">
            <w:pPr>
              <w:pStyle w:val="AFCorNNormal"/>
            </w:pPr>
            <w:r>
              <w:t>Point 8 a) de l’ordre du jour</w:t>
            </w:r>
          </w:p>
          <w:p w14:paraId="4E1F763A" w14:textId="1C77C95C" w:rsidR="002B2768" w:rsidRPr="004C00C4" w:rsidRDefault="002B2768" w:rsidP="009E4948">
            <w:pPr>
              <w:pStyle w:val="AFCorNNormal"/>
            </w:pPr>
            <w:r w:rsidRPr="004C00C4">
              <w:rPr>
                <w:b/>
                <w:bCs/>
              </w:rPr>
              <w:t>Mobilisation des ressources et mécanisme de financement : mobilisation des ressources</w:t>
            </w:r>
            <w:r w:rsidRPr="004C00C4">
              <w:rPr>
                <w:b/>
                <w:bCs/>
              </w:rPr>
              <w:br/>
            </w:r>
            <w:r w:rsidRPr="004C00C4">
              <w:t>Groupe de travail I</w:t>
            </w:r>
          </w:p>
        </w:tc>
        <w:tc>
          <w:tcPr>
            <w:tcW w:w="4388" w:type="dxa"/>
          </w:tcPr>
          <w:p w14:paraId="28077247" w14:textId="77777777" w:rsidR="008A1499" w:rsidRPr="003F1A75" w:rsidRDefault="008A1499" w:rsidP="008A1499">
            <w:pPr>
              <w:pStyle w:val="CBDNormal"/>
              <w:jc w:val="left"/>
            </w:pPr>
          </w:p>
        </w:tc>
      </w:tr>
    </w:tbl>
    <w:p w14:paraId="6752A525" w14:textId="3972C5D7" w:rsidR="00C9161D" w:rsidRPr="003F1A75" w:rsidRDefault="00D82C17"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196BFC">
            <w:t>Mobilisation des ressources</w:t>
          </w:r>
        </w:sdtContent>
      </w:sdt>
      <w:r w:rsidR="0035287B">
        <w:t xml:space="preserve"> </w:t>
      </w:r>
      <w:r w:rsidR="0035287B">
        <w:rPr>
          <w:rStyle w:val="Appelnotedebasdep"/>
          <w:caps/>
        </w:rPr>
        <w:footnoteReference w:customMarkFollows="1" w:id="1"/>
        <w:t>*</w:t>
      </w:r>
    </w:p>
    <w:p w14:paraId="6896797F" w14:textId="675B5095" w:rsidR="00137278" w:rsidRDefault="00137278" w:rsidP="00E51951">
      <w:pPr>
        <w:pStyle w:val="CBDSubTitle"/>
      </w:pPr>
      <w:r>
        <w:t>Projet de décision soumis par le Président du Groupe de travail I</w:t>
      </w:r>
      <w:r w:rsidR="00932FB3">
        <w:rPr>
          <w:rStyle w:val="Appelnotedebasdep"/>
          <w:caps/>
        </w:rPr>
        <w:footnoteReference w:customMarkFollows="1" w:id="2"/>
        <w:t>*</w:t>
      </w:r>
      <w:r w:rsidR="00932FB3" w:rsidRPr="00444EA1">
        <w:rPr>
          <w:caps/>
          <w:vertAlign w:val="superscript"/>
        </w:rPr>
        <w:t>*</w:t>
      </w:r>
    </w:p>
    <w:p w14:paraId="2E8FDC05" w14:textId="77777777" w:rsidR="008D7A63" w:rsidRPr="00E5169C" w:rsidRDefault="00467CCC" w:rsidP="00C45742">
      <w:pPr>
        <w:pStyle w:val="CBDNormalNumber"/>
        <w:keepNext/>
        <w:numPr>
          <w:ilvl w:val="0"/>
          <w:numId w:val="0"/>
        </w:numPr>
        <w:tabs>
          <w:tab w:val="clear" w:pos="567"/>
          <w:tab w:val="clear" w:pos="1134"/>
        </w:tabs>
        <w:ind w:left="567" w:firstLine="567"/>
        <w:rPr>
          <w:i/>
          <w:iCs/>
          <w:color w:val="000000" w:themeColor="text1"/>
        </w:rPr>
      </w:pPr>
      <w:r w:rsidRPr="00E5169C">
        <w:rPr>
          <w:i/>
          <w:iCs/>
          <w:color w:val="000000" w:themeColor="text1"/>
        </w:rPr>
        <w:t>La Conférence des Parties,</w:t>
      </w:r>
    </w:p>
    <w:p w14:paraId="0A214F98" w14:textId="23C624AE" w:rsidR="00EF5264" w:rsidRPr="00872B80" w:rsidRDefault="00653334" w:rsidP="00E46BAB">
      <w:pPr>
        <w:spacing w:before="120" w:after="120"/>
        <w:ind w:left="567" w:firstLine="567"/>
        <w:rPr>
          <w:rFonts w:eastAsia="Times New Roman"/>
        </w:rPr>
      </w:pPr>
      <w:r>
        <w:rPr>
          <w:rFonts w:eastAsia="Times New Roman"/>
          <w:i/>
          <w:iCs/>
        </w:rPr>
        <w:t xml:space="preserve">(proposition) </w:t>
      </w:r>
      <w:r w:rsidR="00EF5264" w:rsidRPr="00872B80">
        <w:rPr>
          <w:rFonts w:eastAsia="Times New Roman"/>
          <w:i/>
          <w:iCs/>
        </w:rPr>
        <w:t>Rappelant</w:t>
      </w:r>
      <w:r w:rsidR="00EF5264" w:rsidRPr="00872B80">
        <w:rPr>
          <w:rFonts w:eastAsia="Times New Roman"/>
        </w:rPr>
        <w:t xml:space="preserve"> toutes les dispositions de l’article 20 et de l’article 21 de la Convention,</w:t>
      </w:r>
    </w:p>
    <w:p w14:paraId="3AF72AC6" w14:textId="30EE2304" w:rsidR="00EF5264" w:rsidRPr="00872B80" w:rsidRDefault="00A22612" w:rsidP="00E46BAB">
      <w:pPr>
        <w:spacing w:before="120" w:after="120"/>
        <w:ind w:left="567" w:firstLine="567"/>
        <w:rPr>
          <w:rFonts w:eastAsia="Times New Roman"/>
        </w:rPr>
      </w:pPr>
      <w:r>
        <w:rPr>
          <w:rFonts w:eastAsia="Times New Roman"/>
          <w:i/>
          <w:iCs/>
        </w:rPr>
        <w:t xml:space="preserve">(proposition) </w:t>
      </w:r>
      <w:r w:rsidR="00EF5264" w:rsidRPr="00872B80">
        <w:rPr>
          <w:rFonts w:eastAsia="Times New Roman"/>
          <w:i/>
          <w:iCs/>
        </w:rPr>
        <w:t xml:space="preserve">Rappelant également </w:t>
      </w:r>
      <w:r w:rsidR="00EF5264" w:rsidRPr="00872B80">
        <w:rPr>
          <w:rFonts w:eastAsia="Times New Roman"/>
        </w:rPr>
        <w:t xml:space="preserve">la décision 16/34 </w:t>
      </w:r>
      <w:r w:rsidR="00422C6E">
        <w:rPr>
          <w:rFonts w:eastAsia="Times New Roman"/>
        </w:rPr>
        <w:t xml:space="preserve">du 27 février 2025 </w:t>
      </w:r>
      <w:r w:rsidR="00EF5264" w:rsidRPr="00872B80">
        <w:rPr>
          <w:rFonts w:eastAsia="Times New Roman"/>
        </w:rPr>
        <w:t xml:space="preserve">et la </w:t>
      </w:r>
      <w:r w:rsidR="00EF5264">
        <w:rPr>
          <w:rFonts w:eastAsia="Times New Roman"/>
        </w:rPr>
        <w:t>s</w:t>
      </w:r>
      <w:r w:rsidR="00EF5264" w:rsidRPr="00872B80">
        <w:rPr>
          <w:rFonts w:eastAsia="Times New Roman"/>
        </w:rPr>
        <w:t>tratégie de mobilisation des ressources pour la période 2025-2030,</w:t>
      </w:r>
    </w:p>
    <w:p w14:paraId="27C54EA7" w14:textId="7B52793E" w:rsidR="00CD4FD2" w:rsidRPr="00CD4FD2" w:rsidRDefault="00CD4FD2" w:rsidP="00E46BAB">
      <w:pPr>
        <w:spacing w:before="120" w:after="120"/>
        <w:ind w:left="567" w:firstLine="567"/>
        <w:rPr>
          <w:lang w:val="fr-LU"/>
        </w:rPr>
      </w:pPr>
      <w:r w:rsidRPr="00CD4FD2">
        <w:rPr>
          <w:i/>
          <w:iCs/>
          <w:lang w:val="fr-LU"/>
        </w:rPr>
        <w:t xml:space="preserve">Rappelant en outre </w:t>
      </w:r>
      <w:r w:rsidRPr="00CD4FD2">
        <w:rPr>
          <w:lang w:val="fr-LU"/>
        </w:rPr>
        <w:t>le paragraphe</w:t>
      </w:r>
      <w:r>
        <w:rPr>
          <w:lang w:val="fr-LU"/>
        </w:rPr>
        <w:t> </w:t>
      </w:r>
      <w:r w:rsidRPr="00CD4FD2">
        <w:rPr>
          <w:lang w:val="fr-LU"/>
        </w:rPr>
        <w:t>19 de sa décision</w:t>
      </w:r>
      <w:r>
        <w:rPr>
          <w:lang w:val="fr-LU"/>
        </w:rPr>
        <w:t> </w:t>
      </w:r>
      <w:hyperlink r:id="rId15" w:history="1">
        <w:r w:rsidRPr="00CD4FD2">
          <w:rPr>
            <w:rStyle w:val="Lienhypertexte"/>
            <w:lang w:val="fr-LU"/>
          </w:rPr>
          <w:t>16/34</w:t>
        </w:r>
      </w:hyperlink>
      <w:r w:rsidRPr="00CD4FD2">
        <w:rPr>
          <w:lang w:val="fr-LU"/>
        </w:rPr>
        <w:t xml:space="preserve"> du 27</w:t>
      </w:r>
      <w:r w:rsidR="00D04C12">
        <w:rPr>
          <w:lang w:val="fr-LU"/>
        </w:rPr>
        <w:t> </w:t>
      </w:r>
      <w:r w:rsidRPr="00CD4FD2">
        <w:rPr>
          <w:lang w:val="fr-LU"/>
        </w:rPr>
        <w:t>février 2025, dans lequel elle a décidé de mettre en œuvre les articles</w:t>
      </w:r>
      <w:r w:rsidR="00D04C12">
        <w:rPr>
          <w:lang w:val="fr-LU"/>
        </w:rPr>
        <w:t> </w:t>
      </w:r>
      <w:r w:rsidRPr="00CD4FD2">
        <w:rPr>
          <w:lang w:val="fr-LU"/>
        </w:rPr>
        <w:t>21 et</w:t>
      </w:r>
      <w:r w:rsidR="00D04C12">
        <w:rPr>
          <w:lang w:val="fr-LU"/>
        </w:rPr>
        <w:t> </w:t>
      </w:r>
      <w:r w:rsidRPr="00CD4FD2">
        <w:rPr>
          <w:lang w:val="fr-LU"/>
        </w:rPr>
        <w:t xml:space="preserve">39 de la Convention et de combler le déficit mondial de financement de la biodiversité d’ici </w:t>
      </w:r>
      <w:r w:rsidR="00A41E78">
        <w:rPr>
          <w:lang w:val="fr-LU"/>
        </w:rPr>
        <w:t xml:space="preserve">à </w:t>
      </w:r>
      <w:r w:rsidRPr="00CD4FD2">
        <w:rPr>
          <w:lang w:val="fr-LU"/>
        </w:rPr>
        <w:t>2030,</w:t>
      </w:r>
    </w:p>
    <w:p w14:paraId="3730BC61" w14:textId="2A18AF12" w:rsidR="00EF5264" w:rsidRPr="00872B80" w:rsidRDefault="00A41E78" w:rsidP="00E46BAB">
      <w:pPr>
        <w:spacing w:before="120" w:after="120"/>
        <w:ind w:left="567" w:firstLine="567"/>
        <w:rPr>
          <w:bCs/>
        </w:rPr>
      </w:pPr>
      <w:r>
        <w:rPr>
          <w:bCs/>
          <w:i/>
          <w:iCs/>
        </w:rPr>
        <w:t xml:space="preserve">(proposition) </w:t>
      </w:r>
      <w:r w:rsidR="00EF5264" w:rsidRPr="00872B80">
        <w:rPr>
          <w:bCs/>
          <w:i/>
          <w:iCs/>
        </w:rPr>
        <w:t>Considérant</w:t>
      </w:r>
      <w:r w:rsidR="00EF5264" w:rsidRPr="00872B80">
        <w:rPr>
          <w:bCs/>
        </w:rPr>
        <w:t xml:space="preserve"> qu’il est urgent de combler le déficit de financement de la biodiversité, </w:t>
      </w:r>
    </w:p>
    <w:p w14:paraId="63B7B5E5" w14:textId="2E5A50CC" w:rsidR="00EF5264" w:rsidRPr="00872B80" w:rsidRDefault="00AF6DA0" w:rsidP="00E46BAB">
      <w:pPr>
        <w:spacing w:before="120" w:after="120"/>
        <w:ind w:left="567" w:firstLine="567"/>
        <w:rPr>
          <w:rFonts w:eastAsia="Times New Roman"/>
        </w:rPr>
      </w:pPr>
      <w:r>
        <w:rPr>
          <w:rFonts w:eastAsia="Times New Roman"/>
          <w:i/>
          <w:iCs/>
        </w:rPr>
        <w:t xml:space="preserve">(proposition) </w:t>
      </w:r>
      <w:r w:rsidR="00EF5264">
        <w:rPr>
          <w:rFonts w:eastAsia="Times New Roman"/>
          <w:i/>
          <w:iCs/>
        </w:rPr>
        <w:t>Considérant</w:t>
      </w:r>
      <w:r w:rsidR="00EF5264" w:rsidRPr="00872B80">
        <w:rPr>
          <w:rFonts w:eastAsia="Times New Roman"/>
          <w:i/>
          <w:iCs/>
        </w:rPr>
        <w:t xml:space="preserve"> </w:t>
      </w:r>
      <w:r w:rsidR="00EF5264" w:rsidRPr="00533DE5">
        <w:rPr>
          <w:rFonts w:eastAsia="Times New Roman"/>
        </w:rPr>
        <w:t>que</w:t>
      </w:r>
      <w:r w:rsidR="00EF5264">
        <w:rPr>
          <w:rFonts w:eastAsia="Times New Roman"/>
        </w:rPr>
        <w:t xml:space="preserve"> les</w:t>
      </w:r>
      <w:r w:rsidR="00EF5264" w:rsidRPr="00872B80">
        <w:rPr>
          <w:rFonts w:eastAsia="Times New Roman"/>
        </w:rPr>
        <w:t xml:space="preserve"> </w:t>
      </w:r>
      <w:r w:rsidR="00EF5264">
        <w:rPr>
          <w:rFonts w:eastAsia="Times New Roman"/>
        </w:rPr>
        <w:t xml:space="preserve">acteurs </w:t>
      </w:r>
      <w:r w:rsidR="00EF5264" w:rsidRPr="00872B80">
        <w:rPr>
          <w:rFonts w:eastAsia="Times New Roman"/>
        </w:rPr>
        <w:t>public</w:t>
      </w:r>
      <w:r w:rsidR="00EF5264">
        <w:rPr>
          <w:rFonts w:eastAsia="Times New Roman"/>
        </w:rPr>
        <w:t>s</w:t>
      </w:r>
      <w:r w:rsidR="00EF5264" w:rsidRPr="00872B80">
        <w:rPr>
          <w:rFonts w:eastAsia="Times New Roman"/>
        </w:rPr>
        <w:t xml:space="preserve"> </w:t>
      </w:r>
      <w:r w:rsidR="00EF5264">
        <w:rPr>
          <w:rFonts w:eastAsia="Times New Roman"/>
        </w:rPr>
        <w:t>et</w:t>
      </w:r>
      <w:r w:rsidR="00EF5264" w:rsidRPr="00872B80">
        <w:rPr>
          <w:rFonts w:eastAsia="Times New Roman"/>
        </w:rPr>
        <w:t xml:space="preserve"> priv</w:t>
      </w:r>
      <w:r w:rsidR="00EF5264">
        <w:rPr>
          <w:rFonts w:eastAsia="Times New Roman"/>
        </w:rPr>
        <w:t>és</w:t>
      </w:r>
      <w:r w:rsidR="00EF5264" w:rsidRPr="00872B80">
        <w:rPr>
          <w:rFonts w:eastAsia="Times New Roman"/>
        </w:rPr>
        <w:t xml:space="preserve"> </w:t>
      </w:r>
      <w:r w:rsidR="00EF5264">
        <w:rPr>
          <w:rFonts w:eastAsia="Times New Roman"/>
        </w:rPr>
        <w:t>et les</w:t>
      </w:r>
      <w:r w:rsidR="00EF5264" w:rsidRPr="00872B80">
        <w:rPr>
          <w:rFonts w:eastAsia="Times New Roman"/>
        </w:rPr>
        <w:t xml:space="preserve"> sources</w:t>
      </w:r>
      <w:r w:rsidR="00EF5264">
        <w:rPr>
          <w:rFonts w:eastAsia="Times New Roman"/>
        </w:rPr>
        <w:t xml:space="preserve"> qui sont</w:t>
      </w:r>
      <w:r w:rsidR="00EF5264" w:rsidRPr="00872B80">
        <w:rPr>
          <w:rFonts w:eastAsia="Times New Roman"/>
        </w:rPr>
        <w:t xml:space="preserve"> </w:t>
      </w:r>
      <w:r w:rsidR="00EF5264">
        <w:rPr>
          <w:rFonts w:eastAsia="Times New Roman"/>
        </w:rPr>
        <w:t>à même de contribuer au financement de la biodiversité</w:t>
      </w:r>
      <w:r w:rsidR="00EF5264" w:rsidRPr="00872B80">
        <w:rPr>
          <w:rFonts w:eastAsia="Times New Roman"/>
        </w:rPr>
        <w:t xml:space="preserve"> </w:t>
      </w:r>
      <w:r w:rsidR="00EF5264">
        <w:rPr>
          <w:rFonts w:eastAsia="Times New Roman"/>
        </w:rPr>
        <w:t>se sont diversifiés depuis l’</w:t>
      </w:r>
      <w:r w:rsidR="00EF5264" w:rsidRPr="00872B80">
        <w:rPr>
          <w:rFonts w:eastAsia="Times New Roman"/>
        </w:rPr>
        <w:t xml:space="preserve">adoption </w:t>
      </w:r>
      <w:r w:rsidR="00EF5264">
        <w:rPr>
          <w:rFonts w:eastAsia="Times New Roman"/>
        </w:rPr>
        <w:t>de la</w:t>
      </w:r>
      <w:r w:rsidR="00EF5264" w:rsidRPr="00872B80">
        <w:rPr>
          <w:rFonts w:eastAsia="Times New Roman"/>
        </w:rPr>
        <w:t xml:space="preserve"> Convention,</w:t>
      </w:r>
    </w:p>
    <w:p w14:paraId="19C9F82C" w14:textId="3CCE79E8" w:rsidR="00EF5264" w:rsidRPr="00872B80" w:rsidRDefault="00BC188A" w:rsidP="00E46BAB">
      <w:pPr>
        <w:spacing w:before="120" w:after="120"/>
        <w:ind w:left="567" w:firstLine="567"/>
        <w:rPr>
          <w:rFonts w:eastAsia="Times New Roman"/>
          <w:i/>
          <w:iCs/>
        </w:rPr>
      </w:pPr>
      <w:r>
        <w:rPr>
          <w:bCs/>
          <w:i/>
          <w:iCs/>
        </w:rPr>
        <w:t xml:space="preserve">(proposition) </w:t>
      </w:r>
      <w:r w:rsidR="00EF5264" w:rsidRPr="00872B80">
        <w:rPr>
          <w:bCs/>
          <w:i/>
          <w:iCs/>
        </w:rPr>
        <w:t>Considérant</w:t>
      </w:r>
      <w:r w:rsidR="00EF5264" w:rsidRPr="00872B80">
        <w:rPr>
          <w:bCs/>
        </w:rPr>
        <w:t xml:space="preserve"> </w:t>
      </w:r>
      <w:r w:rsidR="005C6A4E" w:rsidRPr="005C6A4E">
        <w:rPr>
          <w:bCs/>
          <w:i/>
          <w:iCs/>
        </w:rPr>
        <w:t>en outre</w:t>
      </w:r>
      <w:r w:rsidR="005C6A4E">
        <w:rPr>
          <w:bCs/>
        </w:rPr>
        <w:t xml:space="preserve"> </w:t>
      </w:r>
      <w:r w:rsidR="00EF5264" w:rsidRPr="00872B80">
        <w:rPr>
          <w:bCs/>
        </w:rPr>
        <w:t>qu</w:t>
      </w:r>
      <w:r w:rsidR="00EF5264">
        <w:rPr>
          <w:bCs/>
        </w:rPr>
        <w:t xml:space="preserve">’un nombre limité de pays et de sources fournissent et mobilisent actuellement des financements publics internationaux en faveur de la biodiversité </w:t>
      </w:r>
      <w:r w:rsidR="00EF5264">
        <w:rPr>
          <w:rFonts w:eastAsia="Times New Roman"/>
        </w:rPr>
        <w:t>et qu’une hausse du nombre de Parties versant des contributions permettrait d’améliorer la</w:t>
      </w:r>
      <w:r w:rsidR="00EF5264" w:rsidRPr="00872B80">
        <w:rPr>
          <w:rFonts w:eastAsia="Times New Roman"/>
        </w:rPr>
        <w:t xml:space="preserve"> mobili</w:t>
      </w:r>
      <w:r w:rsidR="00EF5264">
        <w:rPr>
          <w:rFonts w:eastAsia="Times New Roman"/>
        </w:rPr>
        <w:t>s</w:t>
      </w:r>
      <w:r w:rsidR="00EF5264" w:rsidRPr="00872B80">
        <w:rPr>
          <w:rFonts w:eastAsia="Times New Roman"/>
        </w:rPr>
        <w:t xml:space="preserve">ation </w:t>
      </w:r>
      <w:r w:rsidR="00EF5264">
        <w:rPr>
          <w:rFonts w:eastAsia="Times New Roman"/>
        </w:rPr>
        <w:t>des ressources en faveur de la biodiversité</w:t>
      </w:r>
      <w:r w:rsidR="00EF5264" w:rsidRPr="00872B80">
        <w:rPr>
          <w:rFonts w:eastAsia="Times New Roman"/>
          <w:i/>
          <w:iCs/>
        </w:rPr>
        <w:t>,</w:t>
      </w:r>
    </w:p>
    <w:p w14:paraId="05D342A4" w14:textId="10C1B42A" w:rsidR="00766CF7" w:rsidRDefault="0074097D" w:rsidP="00E46BAB">
      <w:pPr>
        <w:pStyle w:val="CBDNormalNumber"/>
        <w:numPr>
          <w:ilvl w:val="0"/>
          <w:numId w:val="0"/>
        </w:numPr>
        <w:tabs>
          <w:tab w:val="clear" w:pos="567"/>
          <w:tab w:val="clear" w:pos="1134"/>
        </w:tabs>
        <w:ind w:left="567" w:firstLine="567"/>
        <w:rPr>
          <w:color w:val="000000" w:themeColor="text1"/>
        </w:rPr>
      </w:pPr>
      <w:r>
        <w:rPr>
          <w:bCs/>
          <w:i/>
          <w:iCs/>
        </w:rPr>
        <w:t xml:space="preserve">(proposition) </w:t>
      </w:r>
      <w:r w:rsidR="00EF5264" w:rsidRPr="00872B80">
        <w:rPr>
          <w:bCs/>
          <w:i/>
          <w:iCs/>
        </w:rPr>
        <w:t>Considérant</w:t>
      </w:r>
      <w:r w:rsidR="00EF5264" w:rsidRPr="00872B80">
        <w:rPr>
          <w:bCs/>
        </w:rPr>
        <w:t xml:space="preserve"> </w:t>
      </w:r>
      <w:r w:rsidRPr="0074097D">
        <w:rPr>
          <w:bCs/>
          <w:i/>
          <w:iCs/>
        </w:rPr>
        <w:t>par ailleurs</w:t>
      </w:r>
      <w:r>
        <w:rPr>
          <w:bCs/>
        </w:rPr>
        <w:t xml:space="preserve"> </w:t>
      </w:r>
      <w:r w:rsidR="00EF5264" w:rsidRPr="00872B80">
        <w:rPr>
          <w:bCs/>
        </w:rPr>
        <w:t>qu</w:t>
      </w:r>
      <w:r w:rsidR="00EF5264">
        <w:rPr>
          <w:bCs/>
        </w:rPr>
        <w:t>e</w:t>
      </w:r>
      <w:r w:rsidR="00EF5264" w:rsidRPr="00872B80">
        <w:rPr>
          <w:rFonts w:eastAsia="Times New Roman"/>
        </w:rPr>
        <w:t xml:space="preserve"> </w:t>
      </w:r>
      <w:r w:rsidR="00EF5264">
        <w:rPr>
          <w:rFonts w:eastAsia="Times New Roman"/>
        </w:rPr>
        <w:t>la concrétisation des engagements financiers pris par les Parties qui sont des pays développés et le versement de contributions par un nombre accru de Parties</w:t>
      </w:r>
      <w:r w:rsidR="00EF5264" w:rsidRPr="00872B80">
        <w:rPr>
          <w:rFonts w:eastAsia="Times New Roman"/>
        </w:rPr>
        <w:t xml:space="preserve"> </w:t>
      </w:r>
      <w:r w:rsidR="00EF5264">
        <w:rPr>
          <w:rFonts w:eastAsia="Times New Roman"/>
        </w:rPr>
        <w:t>permettraient d’améliorer la</w:t>
      </w:r>
      <w:r w:rsidR="00EF5264" w:rsidRPr="00872B80">
        <w:rPr>
          <w:rFonts w:eastAsia="Times New Roman"/>
        </w:rPr>
        <w:t xml:space="preserve"> mobili</w:t>
      </w:r>
      <w:r w:rsidR="00EF5264">
        <w:rPr>
          <w:rFonts w:eastAsia="Times New Roman"/>
        </w:rPr>
        <w:t>s</w:t>
      </w:r>
      <w:r w:rsidR="00EF5264" w:rsidRPr="00872B80">
        <w:rPr>
          <w:rFonts w:eastAsia="Times New Roman"/>
        </w:rPr>
        <w:t xml:space="preserve">ation </w:t>
      </w:r>
      <w:r w:rsidR="00EF5264">
        <w:rPr>
          <w:rFonts w:eastAsia="Times New Roman"/>
        </w:rPr>
        <w:t>des ressources en faveur de la biodiversité</w:t>
      </w:r>
      <w:r w:rsidR="00EF5264" w:rsidRPr="00872B80">
        <w:rPr>
          <w:rFonts w:eastAsia="Times New Roman"/>
        </w:rPr>
        <w:t>,</w:t>
      </w:r>
    </w:p>
    <w:p w14:paraId="544DCA8A" w14:textId="77777777" w:rsidR="008D7A63" w:rsidRPr="004260DE" w:rsidRDefault="00467CCC" w:rsidP="00D35681">
      <w:pPr>
        <w:pStyle w:val="CBDNormalNumber"/>
        <w:numPr>
          <w:ilvl w:val="0"/>
          <w:numId w:val="0"/>
        </w:numPr>
        <w:tabs>
          <w:tab w:val="clear" w:pos="567"/>
          <w:tab w:val="clear" w:pos="1134"/>
        </w:tabs>
        <w:ind w:left="567" w:firstLine="567"/>
      </w:pPr>
      <w:r w:rsidRPr="004260DE">
        <w:t>1.</w:t>
      </w:r>
      <w:r w:rsidRPr="004260DE">
        <w:tab/>
      </w:r>
      <w:r w:rsidRPr="004260DE">
        <w:rPr>
          <w:i/>
          <w:iCs/>
        </w:rPr>
        <w:t>Prend acte</w:t>
      </w:r>
      <w:r w:rsidRPr="004260DE">
        <w:t xml:space="preserve"> de l</w:t>
      </w:r>
      <w:r>
        <w:t>’</w:t>
      </w:r>
      <w:r w:rsidRPr="004260DE">
        <w:t>organisation de l</w:t>
      </w:r>
      <w:r>
        <w:t>’</w:t>
      </w:r>
      <w:r w:rsidRPr="004260DE">
        <w:t xml:space="preserve">atelier sur la mobilisation des ressources tenu à Rome du 10 au 13 février 2026 et exprime </w:t>
      </w:r>
      <w:r>
        <w:t>ses remerciements</w:t>
      </w:r>
      <w:r w:rsidRPr="004260DE">
        <w:t xml:space="preserve"> aux Gouvernements allemand et belge pour leur soutien financier à cet égard ;</w:t>
      </w:r>
    </w:p>
    <w:p w14:paraId="475FEF97" w14:textId="27A10A71" w:rsidR="008D7A63" w:rsidRDefault="00467CCC" w:rsidP="00D35681">
      <w:pPr>
        <w:pStyle w:val="CBDNormalNumber"/>
        <w:numPr>
          <w:ilvl w:val="0"/>
          <w:numId w:val="0"/>
        </w:numPr>
        <w:tabs>
          <w:tab w:val="clear" w:pos="567"/>
          <w:tab w:val="clear" w:pos="1134"/>
        </w:tabs>
        <w:ind w:left="567" w:firstLine="567"/>
      </w:pPr>
      <w:r>
        <w:rPr>
          <w:color w:val="000000"/>
        </w:rPr>
        <w:lastRenderedPageBreak/>
        <w:t>2</w:t>
      </w:r>
      <w:r w:rsidRPr="002405E9">
        <w:rPr>
          <w:color w:val="000000"/>
        </w:rPr>
        <w:t>.</w:t>
      </w:r>
      <w:r>
        <w:tab/>
      </w:r>
      <w:r w:rsidRPr="002405E9">
        <w:rPr>
          <w:i/>
          <w:iCs/>
          <w:color w:val="000000"/>
        </w:rPr>
        <w:t>Prend note</w:t>
      </w:r>
      <w:r w:rsidRPr="002405E9">
        <w:rPr>
          <w:color w:val="000000"/>
        </w:rPr>
        <w:t xml:space="preserve"> de l’examen de la mise en œuvre de la stratégie de mobilisation des ressources pour la période 2025–2030</w:t>
      </w:r>
      <w:r w:rsidRPr="00F51A14">
        <w:rPr>
          <w:rStyle w:val="Appelnotedebasdep"/>
        </w:rPr>
        <w:footnoteReference w:id="3"/>
      </w:r>
      <w:r w:rsidRPr="002405E9">
        <w:rPr>
          <w:color w:val="000000"/>
        </w:rPr>
        <w:t>, mené dans le cadre de l</w:t>
      </w:r>
      <w:r>
        <w:rPr>
          <w:color w:val="000000"/>
        </w:rPr>
        <w:t>’</w:t>
      </w:r>
      <w:r w:rsidRPr="002405E9">
        <w:rPr>
          <w:color w:val="000000"/>
        </w:rPr>
        <w:t>examen mondial des progrès collectifs accomplis dans la mise en œuvre du Cadre mondial de la biodiversité de Kunming-Montréal ;</w:t>
      </w:r>
      <w:r w:rsidRPr="002405E9">
        <w:rPr>
          <w:rFonts w:ascii="Segoe UI" w:hAnsi="Segoe UI" w:cs="Segoe UI"/>
          <w:color w:val="000000"/>
          <w:sz w:val="20"/>
          <w:szCs w:val="20"/>
        </w:rPr>
        <w:t> </w:t>
      </w:r>
    </w:p>
    <w:p w14:paraId="6C481C2D" w14:textId="5C74574F" w:rsidR="008D7A63" w:rsidRPr="002405E9" w:rsidRDefault="00467CCC" w:rsidP="00D35681">
      <w:pPr>
        <w:pStyle w:val="CBDNormalNumber"/>
        <w:numPr>
          <w:ilvl w:val="0"/>
          <w:numId w:val="0"/>
        </w:numPr>
        <w:tabs>
          <w:tab w:val="clear" w:pos="1134"/>
        </w:tabs>
        <w:ind w:left="567" w:firstLine="567"/>
        <w:rPr>
          <w:rFonts w:ascii="Segoe UI" w:hAnsi="Segoe UI" w:cs="Segoe UI"/>
          <w:color w:val="000000"/>
          <w:sz w:val="20"/>
          <w:szCs w:val="20"/>
        </w:rPr>
      </w:pPr>
      <w:r>
        <w:rPr>
          <w:color w:val="000000"/>
        </w:rPr>
        <w:t>3</w:t>
      </w:r>
      <w:r w:rsidRPr="002405E9">
        <w:rPr>
          <w:color w:val="000000"/>
        </w:rPr>
        <w:t>.</w:t>
      </w:r>
      <w:r>
        <w:tab/>
      </w:r>
      <w:r w:rsidRPr="002405E9">
        <w:rPr>
          <w:i/>
          <w:iCs/>
          <w:color w:val="000000"/>
        </w:rPr>
        <w:t>Note</w:t>
      </w:r>
      <w:r w:rsidRPr="002405E9">
        <w:rPr>
          <w:color w:val="000000"/>
        </w:rPr>
        <w:t xml:space="preserve"> qu’il faut intensifier l’action pour </w:t>
      </w:r>
      <w:r w:rsidR="00BA14B9" w:rsidRPr="00BA14B9">
        <w:rPr>
          <w:color w:val="000000"/>
        </w:rPr>
        <w:t>mobiliser les flux financiers liés à la biodiversité afin d'</w:t>
      </w:r>
      <w:r w:rsidRPr="002405E9">
        <w:rPr>
          <w:color w:val="000000"/>
        </w:rPr>
        <w:t>atteindre la cible 19 du Cadre, en particulier son alinéa a) ;</w:t>
      </w:r>
    </w:p>
    <w:p w14:paraId="256DD4AC" w14:textId="6BD313F1" w:rsidR="008D7A63" w:rsidRPr="00335689" w:rsidRDefault="00467CCC" w:rsidP="00D35681">
      <w:pPr>
        <w:pStyle w:val="CBDNormalNumber"/>
        <w:numPr>
          <w:ilvl w:val="0"/>
          <w:numId w:val="0"/>
        </w:numPr>
        <w:tabs>
          <w:tab w:val="clear" w:pos="1134"/>
        </w:tabs>
        <w:ind w:left="567" w:firstLine="567"/>
        <w:rPr>
          <w:color w:val="000000" w:themeColor="text1"/>
          <w:lang w:val="fr-CA"/>
        </w:rPr>
      </w:pPr>
      <w:r>
        <w:rPr>
          <w:color w:val="000000" w:themeColor="text1"/>
          <w:lang w:val="fr-CA"/>
        </w:rPr>
        <w:t>4</w:t>
      </w:r>
      <w:r w:rsidRPr="00335689">
        <w:rPr>
          <w:color w:val="000000" w:themeColor="text1"/>
          <w:lang w:val="fr-CA"/>
        </w:rPr>
        <w:t>.</w:t>
      </w:r>
      <w:r w:rsidRPr="00335689">
        <w:rPr>
          <w:color w:val="000000" w:themeColor="text1"/>
          <w:lang w:val="fr-CA"/>
        </w:rPr>
        <w:tab/>
      </w:r>
      <w:r w:rsidR="005D0A13">
        <w:rPr>
          <w:color w:val="000000" w:themeColor="text1"/>
          <w:lang w:val="fr-CA"/>
        </w:rPr>
        <w:t xml:space="preserve">(proposition) </w:t>
      </w:r>
      <w:r w:rsidR="00A26D13" w:rsidRPr="00872B80">
        <w:rPr>
          <w:i/>
          <w:iCs/>
          <w:sz w:val="24"/>
          <w:szCs w:val="24"/>
        </w:rPr>
        <w:t>Adopte</w:t>
      </w:r>
      <w:r w:rsidR="00A26D13" w:rsidRPr="00872B80">
        <w:rPr>
          <w:sz w:val="24"/>
          <w:szCs w:val="24"/>
        </w:rPr>
        <w:t xml:space="preserve"> </w:t>
      </w:r>
      <w:r w:rsidR="00A26D13">
        <w:rPr>
          <w:sz w:val="24"/>
          <w:szCs w:val="24"/>
        </w:rPr>
        <w:t>l</w:t>
      </w:r>
      <w:r w:rsidR="00A26D13" w:rsidRPr="00872B80">
        <w:rPr>
          <w:sz w:val="24"/>
          <w:szCs w:val="24"/>
        </w:rPr>
        <w:t>e</w:t>
      </w:r>
      <w:r w:rsidR="00A26D13">
        <w:rPr>
          <w:sz w:val="24"/>
          <w:szCs w:val="24"/>
        </w:rPr>
        <w:t>s</w:t>
      </w:r>
      <w:r w:rsidR="00A26D13" w:rsidRPr="00872B80">
        <w:rPr>
          <w:sz w:val="24"/>
          <w:szCs w:val="24"/>
        </w:rPr>
        <w:t xml:space="preserve"> crit</w:t>
      </w:r>
      <w:r w:rsidR="00A26D13">
        <w:rPr>
          <w:sz w:val="24"/>
          <w:szCs w:val="24"/>
        </w:rPr>
        <w:t>è</w:t>
      </w:r>
      <w:r w:rsidR="00A26D13" w:rsidRPr="00872B80">
        <w:rPr>
          <w:sz w:val="24"/>
          <w:szCs w:val="24"/>
        </w:rPr>
        <w:t>r</w:t>
      </w:r>
      <w:r w:rsidR="00A26D13">
        <w:rPr>
          <w:sz w:val="24"/>
          <w:szCs w:val="24"/>
        </w:rPr>
        <w:t>es relatifs à la structure</w:t>
      </w:r>
      <w:r w:rsidR="00A26D13" w:rsidRPr="00872B80">
        <w:rPr>
          <w:sz w:val="24"/>
          <w:szCs w:val="24"/>
        </w:rPr>
        <w:t xml:space="preserve"> institution</w:t>
      </w:r>
      <w:r w:rsidR="00A26D13">
        <w:rPr>
          <w:sz w:val="24"/>
          <w:szCs w:val="24"/>
        </w:rPr>
        <w:t>ne</w:t>
      </w:r>
      <w:r w:rsidR="00A26D13" w:rsidRPr="00872B80">
        <w:rPr>
          <w:sz w:val="24"/>
          <w:szCs w:val="24"/>
        </w:rPr>
        <w:t>l</w:t>
      </w:r>
      <w:r w:rsidR="00A26D13">
        <w:rPr>
          <w:sz w:val="24"/>
          <w:szCs w:val="24"/>
        </w:rPr>
        <w:t>le</w:t>
      </w:r>
      <w:r w:rsidR="00A26D13" w:rsidRPr="00872B80">
        <w:rPr>
          <w:sz w:val="24"/>
          <w:szCs w:val="24"/>
        </w:rPr>
        <w:t xml:space="preserve"> </w:t>
      </w:r>
      <w:r w:rsidR="00A26D13">
        <w:rPr>
          <w:sz w:val="24"/>
          <w:szCs w:val="24"/>
        </w:rPr>
        <w:t>mettant en œuvre le</w:t>
      </w:r>
      <w:r w:rsidR="00A26D13" w:rsidRPr="00872B80">
        <w:rPr>
          <w:sz w:val="24"/>
          <w:szCs w:val="24"/>
        </w:rPr>
        <w:t xml:space="preserve"> </w:t>
      </w:r>
      <w:r w:rsidR="00A26D13">
        <w:rPr>
          <w:sz w:val="24"/>
          <w:szCs w:val="24"/>
        </w:rPr>
        <w:t xml:space="preserve">mécanisme </w:t>
      </w:r>
      <w:r w:rsidR="000E4CFA">
        <w:rPr>
          <w:sz w:val="24"/>
          <w:szCs w:val="24"/>
        </w:rPr>
        <w:t>de financement</w:t>
      </w:r>
      <w:r w:rsidR="00A26D13" w:rsidRPr="00872B80">
        <w:rPr>
          <w:sz w:val="24"/>
          <w:szCs w:val="24"/>
        </w:rPr>
        <w:t xml:space="preserve"> envisag</w:t>
      </w:r>
      <w:r w:rsidR="00A26D13">
        <w:rPr>
          <w:sz w:val="24"/>
          <w:szCs w:val="24"/>
        </w:rPr>
        <w:t>é</w:t>
      </w:r>
      <w:r w:rsidR="00A26D13" w:rsidRPr="00872B80">
        <w:rPr>
          <w:sz w:val="24"/>
          <w:szCs w:val="24"/>
        </w:rPr>
        <w:t xml:space="preserve"> </w:t>
      </w:r>
      <w:r w:rsidR="00A26D13">
        <w:rPr>
          <w:sz w:val="24"/>
          <w:szCs w:val="24"/>
        </w:rPr>
        <w:t>au titre de l’a</w:t>
      </w:r>
      <w:r w:rsidR="00A26D13" w:rsidRPr="00872B80">
        <w:rPr>
          <w:sz w:val="24"/>
          <w:szCs w:val="24"/>
        </w:rPr>
        <w:t xml:space="preserve">rticle 21 </w:t>
      </w:r>
      <w:r w:rsidR="00A26D13">
        <w:rPr>
          <w:sz w:val="24"/>
          <w:szCs w:val="24"/>
        </w:rPr>
        <w:t>de la</w:t>
      </w:r>
      <w:r w:rsidR="00A26D13" w:rsidRPr="00872B80">
        <w:rPr>
          <w:sz w:val="24"/>
          <w:szCs w:val="24"/>
        </w:rPr>
        <w:t xml:space="preserve"> Convention, </w:t>
      </w:r>
      <w:r w:rsidR="00A26D13">
        <w:rPr>
          <w:sz w:val="24"/>
          <w:szCs w:val="24"/>
        </w:rPr>
        <w:t>qui se composent des critères énoncés</w:t>
      </w:r>
      <w:r w:rsidR="00A26D13" w:rsidRPr="00872B80">
        <w:rPr>
          <w:sz w:val="24"/>
          <w:szCs w:val="24"/>
        </w:rPr>
        <w:t xml:space="preserve"> </w:t>
      </w:r>
      <w:r w:rsidR="00A26D13">
        <w:rPr>
          <w:sz w:val="24"/>
          <w:szCs w:val="24"/>
        </w:rPr>
        <w:t>au</w:t>
      </w:r>
      <w:r w:rsidR="00A26D13" w:rsidRPr="00872B80">
        <w:rPr>
          <w:sz w:val="24"/>
          <w:szCs w:val="24"/>
        </w:rPr>
        <w:t xml:space="preserve"> paragraph</w:t>
      </w:r>
      <w:r w:rsidR="00A26D13">
        <w:rPr>
          <w:sz w:val="24"/>
          <w:szCs w:val="24"/>
        </w:rPr>
        <w:t>e</w:t>
      </w:r>
      <w:r w:rsidR="00A26D13" w:rsidRPr="00872B80">
        <w:rPr>
          <w:sz w:val="24"/>
          <w:szCs w:val="24"/>
        </w:rPr>
        <w:t xml:space="preserve"> 21 </w:t>
      </w:r>
      <w:r w:rsidR="00A26D13">
        <w:rPr>
          <w:sz w:val="24"/>
          <w:szCs w:val="24"/>
        </w:rPr>
        <w:t>de la</w:t>
      </w:r>
      <w:r w:rsidR="00A26D13" w:rsidRPr="00872B80">
        <w:rPr>
          <w:sz w:val="24"/>
          <w:szCs w:val="24"/>
        </w:rPr>
        <w:t xml:space="preserve"> d</w:t>
      </w:r>
      <w:r w:rsidR="00A26D13">
        <w:rPr>
          <w:sz w:val="24"/>
          <w:szCs w:val="24"/>
        </w:rPr>
        <w:t>é</w:t>
      </w:r>
      <w:r w:rsidR="00A26D13" w:rsidRPr="00872B80">
        <w:rPr>
          <w:sz w:val="24"/>
          <w:szCs w:val="24"/>
        </w:rPr>
        <w:t>cision </w:t>
      </w:r>
      <w:hyperlink r:id="rId16" w:history="1">
        <w:r w:rsidR="00A26D13" w:rsidRPr="00872B80">
          <w:rPr>
            <w:rStyle w:val="Lienhypertexte"/>
            <w:sz w:val="24"/>
            <w:szCs w:val="24"/>
          </w:rPr>
          <w:t>16/34</w:t>
        </w:r>
      </w:hyperlink>
      <w:r w:rsidR="00A26D13" w:rsidRPr="00872B80">
        <w:rPr>
          <w:sz w:val="24"/>
          <w:szCs w:val="24"/>
        </w:rPr>
        <w:t xml:space="preserve"> </w:t>
      </w:r>
      <w:r w:rsidR="00A26D13">
        <w:rPr>
          <w:sz w:val="24"/>
          <w:szCs w:val="24"/>
        </w:rPr>
        <w:t>et</w:t>
      </w:r>
      <w:r w:rsidR="00A26D13" w:rsidRPr="00872B80">
        <w:rPr>
          <w:sz w:val="24"/>
          <w:szCs w:val="24"/>
        </w:rPr>
        <w:t xml:space="preserve"> </w:t>
      </w:r>
      <w:r w:rsidR="00A26D13">
        <w:rPr>
          <w:sz w:val="24"/>
          <w:szCs w:val="24"/>
        </w:rPr>
        <w:t>des</w:t>
      </w:r>
      <w:r w:rsidR="00A26D13" w:rsidRPr="00872B80">
        <w:rPr>
          <w:sz w:val="24"/>
          <w:szCs w:val="24"/>
        </w:rPr>
        <w:t xml:space="preserve"> crit</w:t>
      </w:r>
      <w:r w:rsidR="00A26D13">
        <w:rPr>
          <w:sz w:val="24"/>
          <w:szCs w:val="24"/>
        </w:rPr>
        <w:t>ères</w:t>
      </w:r>
      <w:r w:rsidR="00A26D13" w:rsidRPr="00872B80">
        <w:rPr>
          <w:sz w:val="24"/>
          <w:szCs w:val="24"/>
        </w:rPr>
        <w:t xml:space="preserve"> </w:t>
      </w:r>
      <w:r w:rsidR="00A26D13">
        <w:rPr>
          <w:sz w:val="24"/>
          <w:szCs w:val="24"/>
        </w:rPr>
        <w:t xml:space="preserve">élaborés plus avant </w:t>
      </w:r>
      <w:r w:rsidR="00FF07C2">
        <w:rPr>
          <w:sz w:val="24"/>
          <w:szCs w:val="24"/>
        </w:rPr>
        <w:t xml:space="preserve">à la présente réunion </w:t>
      </w:r>
      <w:r w:rsidR="00A26D13">
        <w:rPr>
          <w:sz w:val="24"/>
          <w:szCs w:val="24"/>
        </w:rPr>
        <w:t>conformément au</w:t>
      </w:r>
      <w:r w:rsidR="00A26D13" w:rsidRPr="00872B80">
        <w:rPr>
          <w:sz w:val="24"/>
          <w:szCs w:val="24"/>
        </w:rPr>
        <w:t xml:space="preserve"> paragraph</w:t>
      </w:r>
      <w:r w:rsidR="00A26D13">
        <w:rPr>
          <w:sz w:val="24"/>
          <w:szCs w:val="24"/>
        </w:rPr>
        <w:t>e</w:t>
      </w:r>
      <w:r w:rsidR="00A26D13" w:rsidRPr="00872B80">
        <w:rPr>
          <w:sz w:val="24"/>
          <w:szCs w:val="24"/>
        </w:rPr>
        <w:t xml:space="preserve"> 22</w:t>
      </w:r>
      <w:r w:rsidR="00DD30C4">
        <w:rPr>
          <w:sz w:val="24"/>
          <w:szCs w:val="24"/>
        </w:rPr>
        <w:t> </w:t>
      </w:r>
      <w:r w:rsidR="00A26D13" w:rsidRPr="00872B80">
        <w:rPr>
          <w:sz w:val="24"/>
          <w:szCs w:val="24"/>
        </w:rPr>
        <w:t xml:space="preserve">a) </w:t>
      </w:r>
      <w:r w:rsidR="00A26D13">
        <w:rPr>
          <w:sz w:val="24"/>
          <w:szCs w:val="24"/>
        </w:rPr>
        <w:t>de ladite</w:t>
      </w:r>
      <w:r w:rsidR="00A26D13" w:rsidRPr="00872B80">
        <w:rPr>
          <w:sz w:val="24"/>
          <w:szCs w:val="24"/>
        </w:rPr>
        <w:t xml:space="preserve"> d</w:t>
      </w:r>
      <w:r w:rsidR="00A26D13">
        <w:rPr>
          <w:sz w:val="24"/>
          <w:szCs w:val="24"/>
        </w:rPr>
        <w:t>é</w:t>
      </w:r>
      <w:r w:rsidR="00A26D13" w:rsidRPr="00872B80">
        <w:rPr>
          <w:sz w:val="24"/>
          <w:szCs w:val="24"/>
        </w:rPr>
        <w:t xml:space="preserve">cision, </w:t>
      </w:r>
      <w:r w:rsidR="00A26D13">
        <w:rPr>
          <w:sz w:val="24"/>
          <w:szCs w:val="24"/>
        </w:rPr>
        <w:t>tels qu’ils figurent dans</w:t>
      </w:r>
      <w:r w:rsidR="00A26D13" w:rsidRPr="00872B80">
        <w:rPr>
          <w:sz w:val="24"/>
          <w:szCs w:val="24"/>
        </w:rPr>
        <w:t xml:space="preserve"> </w:t>
      </w:r>
      <w:r w:rsidR="00A26D13">
        <w:rPr>
          <w:sz w:val="24"/>
          <w:szCs w:val="24"/>
        </w:rPr>
        <w:t>l’</w:t>
      </w:r>
      <w:r w:rsidR="00A26D13" w:rsidRPr="00872B80">
        <w:rPr>
          <w:sz w:val="24"/>
          <w:szCs w:val="24"/>
        </w:rPr>
        <w:t>annex</w:t>
      </w:r>
      <w:r w:rsidR="00A26D13">
        <w:rPr>
          <w:sz w:val="24"/>
          <w:szCs w:val="24"/>
        </w:rPr>
        <w:t>e</w:t>
      </w:r>
      <w:r w:rsidR="00A26D13" w:rsidRPr="00872B80">
        <w:rPr>
          <w:sz w:val="24"/>
          <w:szCs w:val="24"/>
        </w:rPr>
        <w:t xml:space="preserve"> </w:t>
      </w:r>
      <w:r w:rsidR="00A26D13">
        <w:rPr>
          <w:sz w:val="24"/>
          <w:szCs w:val="24"/>
        </w:rPr>
        <w:t>de la</w:t>
      </w:r>
      <w:r w:rsidR="00A26D13" w:rsidRPr="00872B80">
        <w:rPr>
          <w:sz w:val="24"/>
          <w:szCs w:val="24"/>
        </w:rPr>
        <w:t xml:space="preserve"> pr</w:t>
      </w:r>
      <w:r w:rsidR="00A26D13">
        <w:rPr>
          <w:sz w:val="24"/>
          <w:szCs w:val="24"/>
        </w:rPr>
        <w:t>é</w:t>
      </w:r>
      <w:r w:rsidR="00A26D13" w:rsidRPr="00872B80">
        <w:rPr>
          <w:sz w:val="24"/>
          <w:szCs w:val="24"/>
        </w:rPr>
        <w:t>sent</w:t>
      </w:r>
      <w:r w:rsidR="00A26D13">
        <w:rPr>
          <w:sz w:val="24"/>
          <w:szCs w:val="24"/>
        </w:rPr>
        <w:t>e</w:t>
      </w:r>
      <w:r w:rsidR="00A26D13" w:rsidRPr="00872B80">
        <w:rPr>
          <w:sz w:val="24"/>
          <w:szCs w:val="24"/>
        </w:rPr>
        <w:t xml:space="preserve"> d</w:t>
      </w:r>
      <w:r w:rsidR="00A26D13">
        <w:rPr>
          <w:sz w:val="24"/>
          <w:szCs w:val="24"/>
        </w:rPr>
        <w:t>é</w:t>
      </w:r>
      <w:r w:rsidR="00A26D13" w:rsidRPr="00872B80">
        <w:rPr>
          <w:sz w:val="24"/>
          <w:szCs w:val="24"/>
        </w:rPr>
        <w:t>cision</w:t>
      </w:r>
      <w:r w:rsidR="00DD30C4">
        <w:rPr>
          <w:sz w:val="24"/>
          <w:szCs w:val="24"/>
        </w:rPr>
        <w:t> </w:t>
      </w:r>
      <w:r w:rsidR="00A26D13" w:rsidRPr="00872B80">
        <w:rPr>
          <w:sz w:val="24"/>
          <w:szCs w:val="24"/>
        </w:rPr>
        <w:t>;</w:t>
      </w:r>
    </w:p>
    <w:p w14:paraId="5730E660" w14:textId="2C7CBCA4" w:rsidR="008D7A63" w:rsidRPr="002405E9" w:rsidRDefault="001044F0" w:rsidP="00D35681">
      <w:pPr>
        <w:pStyle w:val="CBDNormalNumber"/>
        <w:numPr>
          <w:ilvl w:val="0"/>
          <w:numId w:val="0"/>
        </w:numPr>
        <w:tabs>
          <w:tab w:val="clear" w:pos="567"/>
          <w:tab w:val="clear" w:pos="1134"/>
        </w:tabs>
        <w:ind w:left="567" w:firstLine="567"/>
        <w:rPr>
          <w:color w:val="000000" w:themeColor="text1"/>
        </w:rPr>
      </w:pPr>
      <w:r>
        <w:t>5</w:t>
      </w:r>
      <w:r w:rsidR="00467CCC" w:rsidRPr="002405E9">
        <w:t>.</w:t>
      </w:r>
      <w:r w:rsidR="00467CCC" w:rsidRPr="002405E9">
        <w:tab/>
      </w:r>
      <w:r w:rsidR="00467CCC" w:rsidRPr="002405E9">
        <w:rPr>
          <w:i/>
          <w:iCs/>
          <w:color w:val="000000" w:themeColor="text1"/>
        </w:rPr>
        <w:t>Invite</w:t>
      </w:r>
      <w:r w:rsidR="00467CCC" w:rsidRPr="002405E9">
        <w:rPr>
          <w:color w:val="000000" w:themeColor="text1"/>
        </w:rPr>
        <w:t xml:space="preserve"> le Fonds pour l</w:t>
      </w:r>
      <w:r w:rsidR="00467CCC">
        <w:rPr>
          <w:color w:val="000000" w:themeColor="text1"/>
        </w:rPr>
        <w:t>’</w:t>
      </w:r>
      <w:r w:rsidR="00467CCC" w:rsidRPr="002405E9">
        <w:rPr>
          <w:color w:val="000000" w:themeColor="text1"/>
        </w:rPr>
        <w:t>environnement mondial et les autres entités financières existantes compétentes, notamment les institutions financières internationales et les banques multilatérales de développement, à tenir compte de ces critères, selon qu</w:t>
      </w:r>
      <w:r w:rsidR="00467CCC">
        <w:rPr>
          <w:color w:val="000000" w:themeColor="text1"/>
        </w:rPr>
        <w:t>’</w:t>
      </w:r>
      <w:r w:rsidR="00467CCC" w:rsidRPr="002405E9">
        <w:rPr>
          <w:color w:val="000000" w:themeColor="text1"/>
        </w:rPr>
        <w:t xml:space="preserve">il conviendra, dans </w:t>
      </w:r>
      <w:r w:rsidR="00467CCC">
        <w:rPr>
          <w:color w:val="000000" w:themeColor="text1"/>
        </w:rPr>
        <w:t>les efforts qu’ils mènent actuellement pour réformer ou améliorer leurs activités</w:t>
      </w:r>
      <w:r w:rsidR="00467CCC" w:rsidRPr="002405E9">
        <w:rPr>
          <w:color w:val="000000" w:themeColor="text1"/>
        </w:rPr>
        <w:t> ;</w:t>
      </w:r>
    </w:p>
    <w:p w14:paraId="0A02E70B" w14:textId="1E1A09F4" w:rsidR="008D7A63" w:rsidRPr="002405E9" w:rsidRDefault="008777AF" w:rsidP="00D35681">
      <w:pPr>
        <w:pStyle w:val="CBDNormalNumber"/>
        <w:numPr>
          <w:ilvl w:val="0"/>
          <w:numId w:val="0"/>
        </w:numPr>
        <w:tabs>
          <w:tab w:val="clear" w:pos="567"/>
          <w:tab w:val="clear" w:pos="1134"/>
        </w:tabs>
        <w:ind w:left="567" w:firstLine="531"/>
        <w:rPr>
          <w:color w:val="000000" w:themeColor="text1"/>
        </w:rPr>
      </w:pPr>
      <w:r>
        <w:rPr>
          <w:color w:val="000000" w:themeColor="text1"/>
        </w:rPr>
        <w:t>6</w:t>
      </w:r>
      <w:r w:rsidR="00467CCC" w:rsidRPr="002405E9">
        <w:rPr>
          <w:color w:val="000000" w:themeColor="text1"/>
        </w:rPr>
        <w:t>.</w:t>
      </w:r>
      <w:r w:rsidR="00467CCC" w:rsidRPr="002405E9">
        <w:rPr>
          <w:color w:val="000000" w:themeColor="text1"/>
        </w:rPr>
        <w:tab/>
      </w:r>
      <w:r w:rsidR="00467CCC" w:rsidRPr="002405E9">
        <w:rPr>
          <w:i/>
          <w:iCs/>
          <w:color w:val="000000" w:themeColor="text1"/>
        </w:rPr>
        <w:t>Prie</w:t>
      </w:r>
      <w:r w:rsidR="00467CCC" w:rsidRPr="002405E9">
        <w:rPr>
          <w:color w:val="000000" w:themeColor="text1"/>
        </w:rPr>
        <w:t xml:space="preserve"> l</w:t>
      </w:r>
      <w:r w:rsidR="00467CCC">
        <w:rPr>
          <w:color w:val="000000" w:themeColor="text1"/>
        </w:rPr>
        <w:t>’</w:t>
      </w:r>
      <w:r w:rsidR="00467CCC" w:rsidRPr="002405E9">
        <w:rPr>
          <w:color w:val="000000" w:themeColor="text1"/>
        </w:rPr>
        <w:t>Organe subsidiaire chargé de l</w:t>
      </w:r>
      <w:r w:rsidR="00467CCC">
        <w:rPr>
          <w:color w:val="000000" w:themeColor="text1"/>
        </w:rPr>
        <w:t>’</w:t>
      </w:r>
      <w:r w:rsidR="00467CCC" w:rsidRPr="002405E9">
        <w:rPr>
          <w:color w:val="000000" w:themeColor="text1"/>
        </w:rPr>
        <w:t>application, conformément à la feuille de route établie au paragraphe 22 de la décision </w:t>
      </w:r>
      <w:hyperlink r:id="rId17" w:history="1">
        <w:r w:rsidR="008D7A63" w:rsidRPr="009B164E">
          <w:rPr>
            <w:rStyle w:val="Lienhypertexte"/>
          </w:rPr>
          <w:t>16/34</w:t>
        </w:r>
      </w:hyperlink>
      <w:r w:rsidR="00467CCC" w:rsidRPr="002405E9">
        <w:rPr>
          <w:color w:val="000000" w:themeColor="text1"/>
        </w:rPr>
        <w:t xml:space="preserve">, </w:t>
      </w:r>
      <w:r w:rsidR="00467CCC">
        <w:rPr>
          <w:color w:val="000000" w:themeColor="text1"/>
        </w:rPr>
        <w:t>à une réunion devant se tenir</w:t>
      </w:r>
      <w:r w:rsidR="00467CCC" w:rsidRPr="002405E9">
        <w:rPr>
          <w:color w:val="000000" w:themeColor="text1"/>
        </w:rPr>
        <w:t xml:space="preserve"> avant la dix-huitième réunion de la Conférence des Parties :</w:t>
      </w:r>
    </w:p>
    <w:p w14:paraId="2C663ABC"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a)</w:t>
      </w:r>
      <w:r w:rsidRPr="002405E9">
        <w:rPr>
          <w:color w:val="000000" w:themeColor="text1"/>
        </w:rPr>
        <w:tab/>
        <w:t>De mener un examen des progrès accomplis dans la réforme des entités financières existantes compétentes pour répondre aux critères, à la suite du septième examen quadriennal de l</w:t>
      </w:r>
      <w:r>
        <w:rPr>
          <w:color w:val="000000" w:themeColor="text1"/>
        </w:rPr>
        <w:t>’</w:t>
      </w:r>
      <w:r w:rsidRPr="002405E9">
        <w:rPr>
          <w:color w:val="000000" w:themeColor="text1"/>
        </w:rPr>
        <w:t>efficacité du mécanisme de financement visé au paragraphe 40 de la décision </w:t>
      </w:r>
      <w:hyperlink r:id="rId18" w:history="1">
        <w:r w:rsidR="008D7A63" w:rsidRPr="009B164E">
          <w:rPr>
            <w:rStyle w:val="Lienhypertexte"/>
          </w:rPr>
          <w:t>16/33</w:t>
        </w:r>
      </w:hyperlink>
      <w:r w:rsidRPr="002405E9">
        <w:rPr>
          <w:color w:val="000000" w:themeColor="text1"/>
        </w:rPr>
        <w:t xml:space="preserve"> du 27 février 2025, tout en tenant également compte des travaux menés en application du paragraphe 41 de la même décision ;</w:t>
      </w:r>
    </w:p>
    <w:p w14:paraId="68E7F870"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b)</w:t>
      </w:r>
      <w:r w:rsidRPr="002405E9">
        <w:rPr>
          <w:color w:val="000000" w:themeColor="text1"/>
        </w:rPr>
        <w:tab/>
        <w:t>De préparer des éléments d</w:t>
      </w:r>
      <w:r>
        <w:rPr>
          <w:color w:val="000000" w:themeColor="text1"/>
        </w:rPr>
        <w:t>’</w:t>
      </w:r>
      <w:r w:rsidRPr="002405E9">
        <w:rPr>
          <w:color w:val="000000" w:themeColor="text1"/>
        </w:rPr>
        <w:t>un projet de décisio</w:t>
      </w:r>
      <w:r>
        <w:rPr>
          <w:color w:val="000000" w:themeColor="text1"/>
        </w:rPr>
        <w:t>n</w:t>
      </w:r>
      <w:r w:rsidRPr="002405E9">
        <w:rPr>
          <w:color w:val="000000" w:themeColor="text1"/>
        </w:rPr>
        <w:t xml:space="preserve"> pour examen par la Conférence des Parties à sa dix-huitième réunion, soit pour créer une nouvelle entité chargée d’assurer le fonctionnement du mécanisme de financement, seule ou aux côtés d’une ou plusieurs entités existantes, soit pour confirmer une ou plusieurs entités existantes dans ce rôle ;</w:t>
      </w:r>
    </w:p>
    <w:p w14:paraId="2632DF18"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c)</w:t>
      </w:r>
      <w:r w:rsidRPr="002405E9">
        <w:rPr>
          <w:color w:val="000000" w:themeColor="text1"/>
        </w:rPr>
        <w:tab/>
        <w:t>De prévoir dans les éléments d’un projet de décision, s’il y a lieu, la mise en place d’un processus intersessions afin d</w:t>
      </w:r>
      <w:r>
        <w:rPr>
          <w:color w:val="000000" w:themeColor="text1"/>
        </w:rPr>
        <w:t>’</w:t>
      </w:r>
      <w:r w:rsidRPr="002405E9">
        <w:rPr>
          <w:color w:val="000000" w:themeColor="text1"/>
        </w:rPr>
        <w:t>élaborer le mandat et les modalités d</w:t>
      </w:r>
      <w:r>
        <w:rPr>
          <w:color w:val="000000" w:themeColor="text1"/>
        </w:rPr>
        <w:t>’</w:t>
      </w:r>
      <w:r w:rsidRPr="002405E9">
        <w:rPr>
          <w:color w:val="000000" w:themeColor="text1"/>
        </w:rPr>
        <w:t>une nouvelle entité sur la base des critères ;</w:t>
      </w:r>
    </w:p>
    <w:p w14:paraId="08A55F9C"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rFonts w:eastAsia="Times New Roman"/>
          <w:color w:val="000000" w:themeColor="text1"/>
        </w:rPr>
        <w:t>d)</w:t>
      </w:r>
      <w:r w:rsidRPr="002405E9">
        <w:rPr>
          <w:rFonts w:eastAsia="Times New Roman"/>
          <w:color w:val="000000" w:themeColor="text1"/>
        </w:rPr>
        <w:tab/>
      </w:r>
      <w:r w:rsidRPr="002405E9">
        <w:rPr>
          <w:color w:val="000000" w:themeColor="text1"/>
        </w:rPr>
        <w:t>De procéder à un bilan du fonctionnement et des résultats du Fonds</w:t>
      </w:r>
      <w:r>
        <w:rPr>
          <w:color w:val="000000" w:themeColor="text1"/>
        </w:rPr>
        <w:t xml:space="preserve"> du</w:t>
      </w:r>
      <w:r w:rsidRPr="002405E9">
        <w:rPr>
          <w:color w:val="000000" w:themeColor="text1"/>
        </w:rPr>
        <w:t xml:space="preserve"> Cadre mondial de la biodiversité, comme prévu aux paragraphes 39</w:t>
      </w:r>
      <w:r>
        <w:rPr>
          <w:color w:val="000000" w:themeColor="text1"/>
        </w:rPr>
        <w:t xml:space="preserve"> </w:t>
      </w:r>
      <w:r w:rsidRPr="002405E9">
        <w:rPr>
          <w:color w:val="000000" w:themeColor="text1"/>
        </w:rPr>
        <w:t>et 29 des décisions</w:t>
      </w:r>
      <w:r w:rsidRPr="009B164E">
        <w:t> </w:t>
      </w:r>
      <w:hyperlink r:id="rId19" w:history="1">
        <w:r w:rsidR="008D7A63" w:rsidRPr="009B164E">
          <w:rPr>
            <w:rStyle w:val="Lienhypertexte"/>
          </w:rPr>
          <w:t>15/7</w:t>
        </w:r>
      </w:hyperlink>
      <w:r w:rsidRPr="009B164E">
        <w:t xml:space="preserve"> </w:t>
      </w:r>
      <w:hyperlink r:id="rId20" w:history="1">
        <w:r w:rsidR="008D7A63">
          <w:t>et 15</w:t>
        </w:r>
        <w:r w:rsidR="008D7A63" w:rsidRPr="009B164E">
          <w:rPr>
            <w:rStyle w:val="Lienhypertexte"/>
          </w:rPr>
          <w:t>/15</w:t>
        </w:r>
      </w:hyperlink>
      <w:r>
        <w:rPr>
          <w:color w:val="000000" w:themeColor="text1"/>
        </w:rPr>
        <w:t xml:space="preserve"> </w:t>
      </w:r>
      <w:r w:rsidRPr="002405E9">
        <w:rPr>
          <w:color w:val="000000" w:themeColor="text1"/>
        </w:rPr>
        <w:t>du 19 décembre 2022, respectivement, sur la base des rapports visés au paragraphe </w:t>
      </w:r>
      <w:r>
        <w:rPr>
          <w:color w:val="000000" w:themeColor="text1"/>
        </w:rPr>
        <w:t>11</w:t>
      </w:r>
      <w:r w:rsidRPr="002405E9">
        <w:rPr>
          <w:color w:val="000000" w:themeColor="text1"/>
        </w:rPr>
        <w:t xml:space="preserve"> ci-dessous</w:t>
      </w:r>
      <w:r w:rsidRPr="00335689">
        <w:rPr>
          <w:rStyle w:val="Appelnotedebasdep"/>
          <w:color w:val="000000" w:themeColor="text1"/>
          <w:lang w:val="fr-CA"/>
        </w:rPr>
        <w:footnoteReference w:id="4"/>
      </w:r>
      <w:r w:rsidRPr="002405E9">
        <w:rPr>
          <w:color w:val="000000" w:themeColor="text1"/>
        </w:rPr>
        <w:t>, des rapports pertinents du Fonds pour l’environnement mondial</w:t>
      </w:r>
      <w:r>
        <w:rPr>
          <w:color w:val="000000" w:themeColor="text1"/>
        </w:rPr>
        <w:t xml:space="preserve"> </w:t>
      </w:r>
      <w:r w:rsidRPr="002405E9">
        <w:rPr>
          <w:color w:val="000000" w:themeColor="text1"/>
        </w:rPr>
        <w:t>et d</w:t>
      </w:r>
      <w:r>
        <w:rPr>
          <w:color w:val="000000" w:themeColor="text1"/>
        </w:rPr>
        <w:t>’</w:t>
      </w:r>
      <w:r w:rsidRPr="002405E9">
        <w:rPr>
          <w:color w:val="000000" w:themeColor="text1"/>
        </w:rPr>
        <w:t>autres informations pertinentes, selon qu</w:t>
      </w:r>
      <w:r>
        <w:rPr>
          <w:color w:val="000000" w:themeColor="text1"/>
        </w:rPr>
        <w:t>’</w:t>
      </w:r>
      <w:r w:rsidRPr="002405E9">
        <w:rPr>
          <w:color w:val="000000" w:themeColor="text1"/>
        </w:rPr>
        <w:t>il convient ;</w:t>
      </w:r>
    </w:p>
    <w:p w14:paraId="4B518683" w14:textId="57DE380B"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Pr>
          <w:color w:val="000000" w:themeColor="text1"/>
        </w:rPr>
        <w:t>e</w:t>
      </w:r>
      <w:r w:rsidRPr="002405E9">
        <w:rPr>
          <w:color w:val="000000" w:themeColor="text1"/>
        </w:rPr>
        <w:t>)</w:t>
      </w:r>
      <w:r w:rsidRPr="002405E9">
        <w:rPr>
          <w:color w:val="000000" w:themeColor="text1"/>
        </w:rPr>
        <w:tab/>
        <w:t xml:space="preserve">De formuler une recommandation sur la suite à donner </w:t>
      </w:r>
      <w:r w:rsidRPr="00335689">
        <w:rPr>
          <w:color w:val="000000" w:themeColor="text1"/>
        </w:rPr>
        <w:t xml:space="preserve">au bilan </w:t>
      </w:r>
      <w:r w:rsidRPr="002405E9">
        <w:rPr>
          <w:color w:val="000000" w:themeColor="text1"/>
        </w:rPr>
        <w:t xml:space="preserve">du Fonds </w:t>
      </w:r>
      <w:r>
        <w:rPr>
          <w:color w:val="000000" w:themeColor="text1"/>
        </w:rPr>
        <w:t>du Cadre mondial de la biodiversité et de l’intégrer à des éléments</w:t>
      </w:r>
      <w:r w:rsidRPr="002405E9">
        <w:rPr>
          <w:color w:val="000000" w:themeColor="text1"/>
        </w:rPr>
        <w:t xml:space="preserve"> d</w:t>
      </w:r>
      <w:r>
        <w:rPr>
          <w:color w:val="000000" w:themeColor="text1"/>
        </w:rPr>
        <w:t>’</w:t>
      </w:r>
      <w:r w:rsidRPr="002405E9">
        <w:rPr>
          <w:color w:val="000000" w:themeColor="text1"/>
        </w:rPr>
        <w:t>un projet de décision pour examen par la Conférence des Parties à sa dix-huitième réunion ;</w:t>
      </w:r>
    </w:p>
    <w:p w14:paraId="11A23B31" w14:textId="6B7BDA25" w:rsidR="008D7A63" w:rsidRPr="002405E9" w:rsidRDefault="00D71BA9" w:rsidP="00D35681">
      <w:pPr>
        <w:pStyle w:val="CBDNormalNumber"/>
        <w:numPr>
          <w:ilvl w:val="0"/>
          <w:numId w:val="0"/>
        </w:numPr>
        <w:tabs>
          <w:tab w:val="clear" w:pos="567"/>
          <w:tab w:val="clear" w:pos="1134"/>
        </w:tabs>
        <w:ind w:left="567" w:firstLine="567"/>
        <w:rPr>
          <w:color w:val="000000" w:themeColor="text1"/>
        </w:rPr>
      </w:pPr>
      <w:r>
        <w:rPr>
          <w:rFonts w:eastAsia="Times New Roman"/>
          <w:color w:val="000000" w:themeColor="text1"/>
        </w:rPr>
        <w:t>7</w:t>
      </w:r>
      <w:r w:rsidR="00467CCC" w:rsidRPr="002405E9">
        <w:rPr>
          <w:rFonts w:eastAsia="Times New Roman"/>
          <w:color w:val="000000" w:themeColor="text1"/>
        </w:rPr>
        <w:t>.</w:t>
      </w:r>
      <w:r w:rsidR="00467CCC" w:rsidRPr="002405E9">
        <w:rPr>
          <w:rFonts w:eastAsia="Times New Roman"/>
          <w:color w:val="000000" w:themeColor="text1"/>
        </w:rPr>
        <w:tab/>
      </w:r>
      <w:r w:rsidR="00467CCC" w:rsidRPr="002405E9">
        <w:rPr>
          <w:i/>
          <w:iCs/>
          <w:color w:val="000000" w:themeColor="text1"/>
        </w:rPr>
        <w:t>Prend note</w:t>
      </w:r>
      <w:r w:rsidR="00467CCC" w:rsidRPr="002405E9">
        <w:rPr>
          <w:color w:val="000000" w:themeColor="text1"/>
        </w:rPr>
        <w:t xml:space="preserve"> du document </w:t>
      </w:r>
      <w:hyperlink r:id="rId21" w:history="1">
        <w:r w:rsidR="008D7A63" w:rsidRPr="009B164E">
          <w:rPr>
            <w:rStyle w:val="Lienhypertexte"/>
          </w:rPr>
          <w:t>CBD/SBI/7/3/Add.4</w:t>
        </w:r>
      </w:hyperlink>
      <w:r w:rsidR="00467CCC" w:rsidRPr="009B164E">
        <w:t xml:space="preserve"> </w:t>
      </w:r>
      <w:r w:rsidR="00467CCC" w:rsidRPr="002405E9">
        <w:rPr>
          <w:color w:val="000000" w:themeColor="text1"/>
        </w:rPr>
        <w:t>sur les entraves à l</w:t>
      </w:r>
      <w:r w:rsidR="00467CCC">
        <w:rPr>
          <w:color w:val="000000" w:themeColor="text1"/>
        </w:rPr>
        <w:t>’</w:t>
      </w:r>
      <w:r w:rsidR="00467CCC" w:rsidRPr="002405E9">
        <w:rPr>
          <w:color w:val="000000" w:themeColor="text1"/>
        </w:rPr>
        <w:t>efficacité du financement de la biodiversité et les éléments en vue de son renforcement, tout en reconnaissant que la liste des entraves et des éléments qui y figure doit être élaborée davantage ;</w:t>
      </w:r>
    </w:p>
    <w:p w14:paraId="17C573FC" w14:textId="2881108D" w:rsidR="008D7A63" w:rsidRPr="002405E9" w:rsidRDefault="00D71BA9" w:rsidP="00D35681">
      <w:pPr>
        <w:pStyle w:val="CBDNormalNumber"/>
        <w:numPr>
          <w:ilvl w:val="0"/>
          <w:numId w:val="0"/>
        </w:numPr>
        <w:tabs>
          <w:tab w:val="clear" w:pos="567"/>
          <w:tab w:val="clear" w:pos="1134"/>
        </w:tabs>
        <w:ind w:left="567" w:firstLine="567"/>
        <w:rPr>
          <w:color w:val="000000" w:themeColor="text1"/>
        </w:rPr>
      </w:pPr>
      <w:r>
        <w:rPr>
          <w:color w:val="000000" w:themeColor="text1"/>
        </w:rPr>
        <w:t>8</w:t>
      </w:r>
      <w:r w:rsidR="00467CCC" w:rsidRPr="002405E9">
        <w:rPr>
          <w:color w:val="000000" w:themeColor="text1"/>
        </w:rPr>
        <w:t>.</w:t>
      </w:r>
      <w:r w:rsidR="00467CCC" w:rsidRPr="002405E9">
        <w:rPr>
          <w:color w:val="000000" w:themeColor="text1"/>
        </w:rPr>
        <w:tab/>
      </w:r>
      <w:r w:rsidR="00467CCC" w:rsidRPr="002405E9">
        <w:rPr>
          <w:i/>
          <w:iCs/>
          <w:color w:val="000000" w:themeColor="text1"/>
        </w:rPr>
        <w:t>Invite</w:t>
      </w:r>
      <w:r w:rsidR="00467CCC" w:rsidRPr="002405E9">
        <w:rPr>
          <w:color w:val="000000" w:themeColor="text1"/>
        </w:rPr>
        <w:t xml:space="preserve"> les Parties et les autres gouvernements, en fonction de leur situation, de leurs priorités et de leurs capacités nationales, ainsi que les organisations compétentes et les initiatives </w:t>
      </w:r>
      <w:r w:rsidR="00467CCC">
        <w:rPr>
          <w:color w:val="000000" w:themeColor="text1"/>
        </w:rPr>
        <w:lastRenderedPageBreak/>
        <w:t>pertinente</w:t>
      </w:r>
      <w:r w:rsidR="00467CCC" w:rsidRPr="002405E9">
        <w:rPr>
          <w:color w:val="000000" w:themeColor="text1"/>
        </w:rPr>
        <w:t>s, les banques multilatérales de développement, le secteur privé et les autres parties prenantes, à agir immédiatement à titre volontaire, dans la mesure du possible et selon qu</w:t>
      </w:r>
      <w:r w:rsidR="00467CCC">
        <w:rPr>
          <w:color w:val="000000" w:themeColor="text1"/>
        </w:rPr>
        <w:t>’</w:t>
      </w:r>
      <w:r w:rsidR="00467CCC" w:rsidRPr="002405E9">
        <w:rPr>
          <w:color w:val="000000" w:themeColor="text1"/>
        </w:rPr>
        <w:t>il conviendra, afin de surmonter les entraves à l</w:t>
      </w:r>
      <w:r w:rsidR="00467CCC">
        <w:rPr>
          <w:color w:val="000000" w:themeColor="text1"/>
        </w:rPr>
        <w:t>’</w:t>
      </w:r>
      <w:r w:rsidR="00467CCC" w:rsidRPr="002405E9">
        <w:rPr>
          <w:color w:val="000000" w:themeColor="text1"/>
        </w:rPr>
        <w:t>efficacité du financement de la biodiversité ;</w:t>
      </w:r>
    </w:p>
    <w:p w14:paraId="0CFF5255" w14:textId="2BCC7F0C" w:rsidR="008D7A63" w:rsidRPr="009B164E" w:rsidRDefault="00C46AEC" w:rsidP="00D35681">
      <w:pPr>
        <w:pStyle w:val="CBDNormalNumber"/>
        <w:numPr>
          <w:ilvl w:val="0"/>
          <w:numId w:val="0"/>
        </w:numPr>
        <w:tabs>
          <w:tab w:val="clear" w:pos="567"/>
          <w:tab w:val="clear" w:pos="1134"/>
        </w:tabs>
        <w:ind w:left="567" w:firstLine="567"/>
      </w:pPr>
      <w:r>
        <w:rPr>
          <w:color w:val="000000" w:themeColor="text1"/>
        </w:rPr>
        <w:t>9</w:t>
      </w:r>
      <w:r w:rsidR="00467CCC" w:rsidRPr="002405E9">
        <w:rPr>
          <w:color w:val="000000" w:themeColor="text1"/>
        </w:rPr>
        <w:t>.</w:t>
      </w:r>
      <w:r w:rsidR="00467CCC" w:rsidRPr="002405E9">
        <w:rPr>
          <w:color w:val="000000" w:themeColor="text1"/>
        </w:rPr>
        <w:tab/>
      </w:r>
      <w:r w:rsidR="00467CCC" w:rsidRPr="002405E9">
        <w:rPr>
          <w:i/>
          <w:iCs/>
          <w:color w:val="000000" w:themeColor="text1"/>
        </w:rPr>
        <w:t>Prie</w:t>
      </w:r>
      <w:r w:rsidR="00467CCC" w:rsidRPr="002405E9">
        <w:rPr>
          <w:color w:val="000000" w:themeColor="text1"/>
        </w:rPr>
        <w:t xml:space="preserve"> l</w:t>
      </w:r>
      <w:r w:rsidR="00467CCC">
        <w:rPr>
          <w:color w:val="000000" w:themeColor="text1"/>
        </w:rPr>
        <w:t>’</w:t>
      </w:r>
      <w:r w:rsidR="00467CCC" w:rsidRPr="002405E9">
        <w:rPr>
          <w:color w:val="000000" w:themeColor="text1"/>
        </w:rPr>
        <w:t>Organe subsidiaire chargé de l</w:t>
      </w:r>
      <w:r w:rsidR="00467CCC">
        <w:rPr>
          <w:color w:val="000000" w:themeColor="text1"/>
        </w:rPr>
        <w:t>’</w:t>
      </w:r>
      <w:r w:rsidR="00467CCC" w:rsidRPr="002405E9">
        <w:rPr>
          <w:color w:val="000000" w:themeColor="text1"/>
        </w:rPr>
        <w:t xml:space="preserve">application, </w:t>
      </w:r>
      <w:r w:rsidR="00467CCC">
        <w:rPr>
          <w:color w:val="000000" w:themeColor="text1"/>
        </w:rPr>
        <w:t xml:space="preserve">à une réunion devant se tenir </w:t>
      </w:r>
      <w:r w:rsidR="00467CCC" w:rsidRPr="002405E9">
        <w:rPr>
          <w:color w:val="000000" w:themeColor="text1"/>
        </w:rPr>
        <w:t>avant la dix-huitième réunion de la Conférence des Parties et conformément à la feuille de route établie au paragraphe 23 de la décision </w:t>
      </w:r>
      <w:hyperlink r:id="rId22" w:history="1">
        <w:r w:rsidR="008D7A63" w:rsidRPr="009B164E">
          <w:rPr>
            <w:rStyle w:val="Lienhypertexte"/>
          </w:rPr>
          <w:t>16/34</w:t>
        </w:r>
      </w:hyperlink>
      <w:r w:rsidR="00467CCC" w:rsidRPr="009B164E">
        <w:t> :</w:t>
      </w:r>
    </w:p>
    <w:p w14:paraId="3A063ACE"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rFonts w:eastAsia="Times New Roman"/>
          <w:color w:val="000000" w:themeColor="text1"/>
        </w:rPr>
        <w:t>a)</w:t>
      </w:r>
      <w:r w:rsidRPr="002405E9">
        <w:rPr>
          <w:rFonts w:eastAsia="Times New Roman"/>
          <w:color w:val="000000" w:themeColor="text1"/>
        </w:rPr>
        <w:tab/>
      </w:r>
      <w:r w:rsidRPr="002405E9">
        <w:rPr>
          <w:color w:val="000000" w:themeColor="text1"/>
        </w:rPr>
        <w:t>De mettre au point des mesures susceptibles d</w:t>
      </w:r>
      <w:r>
        <w:rPr>
          <w:color w:val="000000" w:themeColor="text1"/>
        </w:rPr>
        <w:t>’</w:t>
      </w:r>
      <w:r w:rsidRPr="002405E9">
        <w:rPr>
          <w:color w:val="000000" w:themeColor="text1"/>
        </w:rPr>
        <w:t xml:space="preserve">être prises pour renforcer le financement mondial de la biodiversité afin de mobiliser des ressources nouvelles et additionnelles [de toutes sources,] sur la base notamment des éléments figurant dans le document </w:t>
      </w:r>
      <w:hyperlink r:id="rId23" w:history="1">
        <w:r w:rsidR="008D7A63" w:rsidRPr="00684508">
          <w:rPr>
            <w:rStyle w:val="Lienhypertexte"/>
          </w:rPr>
          <w:t>CBD/SBI/7/3/Add.4</w:t>
        </w:r>
      </w:hyperlink>
      <w:r w:rsidRPr="002405E9">
        <w:rPr>
          <w:color w:val="000000" w:themeColor="text1"/>
        </w:rPr>
        <w:t>, étant entendu qu</w:t>
      </w:r>
      <w:r>
        <w:rPr>
          <w:color w:val="000000" w:themeColor="text1"/>
        </w:rPr>
        <w:t>’</w:t>
      </w:r>
      <w:r w:rsidRPr="002405E9">
        <w:rPr>
          <w:color w:val="000000" w:themeColor="text1"/>
        </w:rPr>
        <w:t>ils sont facultatifs, et en tenant compte des communications présentées [par les Parties] à la septième réunion de l</w:t>
      </w:r>
      <w:r>
        <w:rPr>
          <w:color w:val="000000" w:themeColor="text1"/>
        </w:rPr>
        <w:t>’</w:t>
      </w:r>
      <w:r w:rsidRPr="002405E9">
        <w:rPr>
          <w:color w:val="000000" w:themeColor="text1"/>
        </w:rPr>
        <w:t>Organe subsidiaire chargé de l</w:t>
      </w:r>
      <w:r>
        <w:rPr>
          <w:color w:val="000000" w:themeColor="text1"/>
        </w:rPr>
        <w:t>’</w:t>
      </w:r>
      <w:r w:rsidRPr="002405E9">
        <w:rPr>
          <w:color w:val="000000" w:themeColor="text1"/>
        </w:rPr>
        <w:t>application ;</w:t>
      </w:r>
    </w:p>
    <w:p w14:paraId="1C0AC5F5"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b)</w:t>
      </w:r>
      <w:r w:rsidRPr="002405E9">
        <w:rPr>
          <w:color w:val="000000" w:themeColor="text1"/>
        </w:rPr>
        <w:tab/>
      </w:r>
      <w:r>
        <w:rPr>
          <w:color w:val="000000" w:themeColor="text1"/>
        </w:rPr>
        <w:t>D’évaluer les résultats des instruments financiers</w:t>
      </w:r>
      <w:r w:rsidRPr="00335689">
        <w:rPr>
          <w:color w:val="000000" w:themeColor="text1"/>
        </w:rPr>
        <w:t xml:space="preserve"> </w:t>
      </w:r>
      <w:r w:rsidRPr="002405E9">
        <w:rPr>
          <w:color w:val="000000" w:themeColor="text1"/>
        </w:rPr>
        <w:t xml:space="preserve">et des </w:t>
      </w:r>
      <w:r>
        <w:rPr>
          <w:color w:val="000000" w:themeColor="text1"/>
        </w:rPr>
        <w:t>entités existants et compétents</w:t>
      </w:r>
      <w:r w:rsidRPr="002405E9">
        <w:rPr>
          <w:color w:val="000000" w:themeColor="text1"/>
        </w:rPr>
        <w:t xml:space="preserve"> pour ce qui est de la mise en œuvre du Cadre, en particulier de sa cible 19 a), en s</w:t>
      </w:r>
      <w:r>
        <w:rPr>
          <w:color w:val="000000" w:themeColor="text1"/>
        </w:rPr>
        <w:t>’</w:t>
      </w:r>
      <w:r w:rsidRPr="002405E9">
        <w:rPr>
          <w:color w:val="000000" w:themeColor="text1"/>
        </w:rPr>
        <w:t>appuyant notamment sur les travaux visés au paragraphe </w:t>
      </w:r>
      <w:r>
        <w:rPr>
          <w:color w:val="000000" w:themeColor="text1"/>
        </w:rPr>
        <w:t>7</w:t>
      </w:r>
      <w:r w:rsidRPr="002405E9">
        <w:rPr>
          <w:color w:val="000000" w:themeColor="text1"/>
        </w:rPr>
        <w:t xml:space="preserve"> ci-dessus ;</w:t>
      </w:r>
    </w:p>
    <w:p w14:paraId="645908AA" w14:textId="73CE60E6" w:rsidR="008D7A63" w:rsidRPr="002405E9" w:rsidRDefault="00E66AE2" w:rsidP="00A95944">
      <w:pPr>
        <w:pStyle w:val="CBDNormalNumber"/>
        <w:numPr>
          <w:ilvl w:val="0"/>
          <w:numId w:val="0"/>
        </w:numPr>
        <w:tabs>
          <w:tab w:val="clear" w:pos="567"/>
          <w:tab w:val="clear" w:pos="1134"/>
        </w:tabs>
        <w:ind w:left="567" w:firstLine="567"/>
        <w:rPr>
          <w:color w:val="000000" w:themeColor="text1"/>
        </w:rPr>
      </w:pPr>
      <w:r>
        <w:rPr>
          <w:color w:val="000000" w:themeColor="text1"/>
        </w:rPr>
        <w:t>10</w:t>
      </w:r>
      <w:r w:rsidR="00467CCC" w:rsidRPr="002405E9">
        <w:rPr>
          <w:color w:val="000000" w:themeColor="text1"/>
        </w:rPr>
        <w:t>.</w:t>
      </w:r>
      <w:r w:rsidR="00467CCC" w:rsidRPr="002405E9">
        <w:rPr>
          <w:color w:val="000000" w:themeColor="text1"/>
        </w:rPr>
        <w:tab/>
      </w:r>
      <w:r w:rsidR="00467CCC" w:rsidRPr="002405E9">
        <w:rPr>
          <w:i/>
          <w:iCs/>
          <w:color w:val="000000" w:themeColor="text1"/>
        </w:rPr>
        <w:t>Prie</w:t>
      </w:r>
      <w:r w:rsidR="00467CCC" w:rsidRPr="002405E9">
        <w:rPr>
          <w:color w:val="000000" w:themeColor="text1"/>
        </w:rPr>
        <w:t xml:space="preserve"> la Secrétaire exécutive, sous réserve de la disponibilité des ressources financières et en collaboration avec les organisations compétentes, d</w:t>
      </w:r>
      <w:r w:rsidR="00467CCC">
        <w:rPr>
          <w:color w:val="000000" w:themeColor="text1"/>
        </w:rPr>
        <w:t>’</w:t>
      </w:r>
      <w:r w:rsidR="00467CCC" w:rsidRPr="002405E9">
        <w:rPr>
          <w:color w:val="000000" w:themeColor="text1"/>
        </w:rPr>
        <w:t xml:space="preserve">appuyer les travaux demandés à l’Organe subsidiaire chargé de l’application avant la dix-huitième réunion de la Conférence des Parties, notamment en établissant des rapports </w:t>
      </w:r>
      <w:r w:rsidR="00F80FE2">
        <w:rPr>
          <w:color w:val="000000" w:themeColor="text1"/>
        </w:rPr>
        <w:t xml:space="preserve">pertinents </w:t>
      </w:r>
      <w:r w:rsidR="00467CCC" w:rsidRPr="002405E9">
        <w:rPr>
          <w:color w:val="000000" w:themeColor="text1"/>
        </w:rPr>
        <w:t>visant à appuyer l</w:t>
      </w:r>
      <w:r w:rsidR="00467CCC">
        <w:rPr>
          <w:color w:val="000000" w:themeColor="text1"/>
        </w:rPr>
        <w:t>’</w:t>
      </w:r>
      <w:r w:rsidR="00467CCC" w:rsidRPr="002405E9">
        <w:rPr>
          <w:color w:val="000000" w:themeColor="text1"/>
        </w:rPr>
        <w:t>examen par l</w:t>
      </w:r>
      <w:r w:rsidR="00467CCC">
        <w:rPr>
          <w:color w:val="000000" w:themeColor="text1"/>
        </w:rPr>
        <w:t>’</w:t>
      </w:r>
      <w:r w:rsidR="00467CCC" w:rsidRPr="002405E9">
        <w:rPr>
          <w:color w:val="000000" w:themeColor="text1"/>
        </w:rPr>
        <w:t xml:space="preserve">Organe subsidiaire des éléments visés aux paragraphes </w:t>
      </w:r>
      <w:r w:rsidR="000367D8">
        <w:rPr>
          <w:color w:val="000000" w:themeColor="text1"/>
        </w:rPr>
        <w:t>6</w:t>
      </w:r>
      <w:r w:rsidR="00467CCC" w:rsidRPr="002405E9">
        <w:rPr>
          <w:color w:val="000000" w:themeColor="text1"/>
        </w:rPr>
        <w:t xml:space="preserve"> et </w:t>
      </w:r>
      <w:r w:rsidR="000367D8">
        <w:rPr>
          <w:color w:val="000000" w:themeColor="text1"/>
        </w:rPr>
        <w:t>9</w:t>
      </w:r>
      <w:r w:rsidR="00467CCC" w:rsidRPr="002405E9">
        <w:rPr>
          <w:color w:val="000000" w:themeColor="text1"/>
        </w:rPr>
        <w:t xml:space="preserve"> ci-dessus ;</w:t>
      </w:r>
    </w:p>
    <w:p w14:paraId="46AE5898" w14:textId="4F4DC437" w:rsidR="008D7A63" w:rsidRDefault="000367D8" w:rsidP="00D35681">
      <w:pPr>
        <w:pStyle w:val="CBDNormalNumber"/>
        <w:keepNext/>
        <w:numPr>
          <w:ilvl w:val="0"/>
          <w:numId w:val="0"/>
        </w:numPr>
        <w:tabs>
          <w:tab w:val="clear" w:pos="567"/>
          <w:tab w:val="clear" w:pos="1134"/>
        </w:tabs>
        <w:ind w:left="567" w:firstLine="567"/>
        <w:rPr>
          <w:color w:val="000000" w:themeColor="text1"/>
        </w:rPr>
      </w:pPr>
      <w:r>
        <w:rPr>
          <w:color w:val="000000" w:themeColor="text1"/>
        </w:rPr>
        <w:t>[</w:t>
      </w:r>
      <w:r w:rsidR="00467CCC" w:rsidRPr="002405E9">
        <w:rPr>
          <w:color w:val="000000" w:themeColor="text1"/>
        </w:rPr>
        <w:t>1</w:t>
      </w:r>
      <w:r>
        <w:rPr>
          <w:color w:val="000000" w:themeColor="text1"/>
        </w:rPr>
        <w:t>1</w:t>
      </w:r>
      <w:r w:rsidR="00467CCC" w:rsidRPr="002405E9">
        <w:rPr>
          <w:color w:val="000000" w:themeColor="text1"/>
        </w:rPr>
        <w:t>.</w:t>
      </w:r>
      <w:r w:rsidR="00467CCC" w:rsidRPr="002405E9">
        <w:rPr>
          <w:color w:val="000000" w:themeColor="text1"/>
        </w:rPr>
        <w:tab/>
      </w:r>
      <w:r w:rsidR="00467CCC" w:rsidRPr="002405E9">
        <w:rPr>
          <w:i/>
          <w:iCs/>
          <w:color w:val="000000" w:themeColor="text1"/>
        </w:rPr>
        <w:t>Prie</w:t>
      </w:r>
      <w:r w:rsidR="00467CCC" w:rsidRPr="002405E9">
        <w:rPr>
          <w:color w:val="000000" w:themeColor="text1"/>
        </w:rPr>
        <w:t xml:space="preserve"> également la Secrétaire exécutive, sous réserve de la disponibilité des ressources financières, d’établir ou de faire réaliser, pour examen par l</w:t>
      </w:r>
      <w:r w:rsidR="00467CCC">
        <w:rPr>
          <w:color w:val="000000" w:themeColor="text1"/>
        </w:rPr>
        <w:t>’</w:t>
      </w:r>
      <w:r w:rsidR="00467CCC" w:rsidRPr="002405E9">
        <w:rPr>
          <w:color w:val="000000" w:themeColor="text1"/>
        </w:rPr>
        <w:t>Organe subsidiaire chargé de l</w:t>
      </w:r>
      <w:r w:rsidR="00467CCC">
        <w:rPr>
          <w:color w:val="000000" w:themeColor="text1"/>
        </w:rPr>
        <w:t>’</w:t>
      </w:r>
      <w:r w:rsidR="00467CCC" w:rsidRPr="002405E9">
        <w:rPr>
          <w:color w:val="000000" w:themeColor="text1"/>
        </w:rPr>
        <w:t xml:space="preserve">application </w:t>
      </w:r>
      <w:r w:rsidR="00467CCC">
        <w:rPr>
          <w:color w:val="000000" w:themeColor="text1"/>
        </w:rPr>
        <w:t xml:space="preserve">à </w:t>
      </w:r>
      <w:r w:rsidR="00467CCC" w:rsidRPr="002405E9">
        <w:rPr>
          <w:color w:val="000000" w:themeColor="text1"/>
        </w:rPr>
        <w:t xml:space="preserve">une </w:t>
      </w:r>
      <w:r w:rsidR="00467CCC">
        <w:rPr>
          <w:color w:val="000000" w:themeColor="text1"/>
        </w:rPr>
        <w:t>réunion devant se tenir</w:t>
      </w:r>
      <w:r w:rsidR="00467CCC" w:rsidRPr="002405E9">
        <w:rPr>
          <w:color w:val="000000" w:themeColor="text1"/>
        </w:rPr>
        <w:t xml:space="preserve"> avant la dix-huitième réunion de la Conférence des Parties</w:t>
      </w:r>
      <w:r w:rsidR="00467CCC">
        <w:rPr>
          <w:color w:val="000000" w:themeColor="text1"/>
        </w:rPr>
        <w:t>,</w:t>
      </w:r>
      <w:r w:rsidR="00467CCC" w:rsidRPr="002405E9">
        <w:rPr>
          <w:color w:val="000000" w:themeColor="text1"/>
        </w:rPr>
        <w:t xml:space="preserve"> ce qui suit </w:t>
      </w:r>
      <w:r w:rsidR="00467CCC">
        <w:rPr>
          <w:color w:val="000000" w:themeColor="text1"/>
        </w:rPr>
        <w:t>:</w:t>
      </w:r>
    </w:p>
    <w:p w14:paraId="0B53196A" w14:textId="1790E59D" w:rsidR="008D7A63" w:rsidRDefault="00467CCC" w:rsidP="003514ED">
      <w:pPr>
        <w:pStyle w:val="CBDNormalNumber"/>
        <w:numPr>
          <w:ilvl w:val="0"/>
          <w:numId w:val="0"/>
        </w:numPr>
        <w:tabs>
          <w:tab w:val="clear" w:pos="567"/>
          <w:tab w:val="clear" w:pos="1134"/>
        </w:tabs>
        <w:ind w:left="567" w:firstLine="567"/>
        <w:rPr>
          <w:color w:val="000000" w:themeColor="text1"/>
        </w:rPr>
      </w:pPr>
      <w:r w:rsidRPr="00A40002">
        <w:rPr>
          <w:color w:val="000000" w:themeColor="text1"/>
        </w:rPr>
        <w:t>[</w:t>
      </w:r>
      <w:r w:rsidR="0087746D" w:rsidRPr="00A40002">
        <w:rPr>
          <w:color w:val="000000" w:themeColor="text1"/>
        </w:rPr>
        <w:t>a</w:t>
      </w:r>
      <w:r w:rsidRPr="002405E9">
        <w:rPr>
          <w:color w:val="000000" w:themeColor="text1"/>
        </w:rPr>
        <w:t>)</w:t>
      </w:r>
      <w:r>
        <w:tab/>
      </w:r>
      <w:r w:rsidRPr="002405E9">
        <w:rPr>
          <w:color w:val="000000" w:themeColor="text1"/>
        </w:rPr>
        <w:t xml:space="preserve">Une étude </w:t>
      </w:r>
      <w:r w:rsidR="000B07D7">
        <w:rPr>
          <w:color w:val="000000" w:themeColor="text1"/>
        </w:rPr>
        <w:t xml:space="preserve">visant </w:t>
      </w:r>
      <w:r w:rsidR="006D774E">
        <w:rPr>
          <w:color w:val="000000" w:themeColor="text1"/>
        </w:rPr>
        <w:t>à</w:t>
      </w:r>
      <w:r w:rsidR="000B07D7">
        <w:rPr>
          <w:color w:val="000000" w:themeColor="text1"/>
        </w:rPr>
        <w:t xml:space="preserve"> proposer </w:t>
      </w:r>
      <w:r w:rsidRPr="002405E9">
        <w:rPr>
          <w:color w:val="000000" w:themeColor="text1"/>
        </w:rPr>
        <w:t xml:space="preserve">un coefficient unique pour les </w:t>
      </w:r>
      <w:r w:rsidR="005271EB">
        <w:t xml:space="preserve">dépenses classées dans la catégorie </w:t>
      </w:r>
      <w:r w:rsidR="00464768">
        <w:t>« </w:t>
      </w:r>
      <w:r w:rsidR="005271EB">
        <w:t>objectif significatif</w:t>
      </w:r>
      <w:r w:rsidR="00464768">
        <w:t> » ;</w:t>
      </w:r>
      <w:r w:rsidRPr="002405E9">
        <w:rPr>
          <w:color w:val="000000" w:themeColor="text1"/>
        </w:rPr>
        <w:t>]</w:t>
      </w:r>
    </w:p>
    <w:p w14:paraId="0E02A272" w14:textId="7E53B4F6" w:rsidR="008D7A63" w:rsidRDefault="00AB101C" w:rsidP="00D35681">
      <w:pPr>
        <w:pStyle w:val="CBDNormalNumber"/>
        <w:numPr>
          <w:ilvl w:val="0"/>
          <w:numId w:val="0"/>
        </w:numPr>
        <w:tabs>
          <w:tab w:val="clear" w:pos="567"/>
          <w:tab w:val="clear" w:pos="1134"/>
        </w:tabs>
        <w:ind w:left="567" w:firstLine="567"/>
        <w:rPr>
          <w:color w:val="000000" w:themeColor="text1"/>
        </w:rPr>
      </w:pPr>
      <w:r>
        <w:rPr>
          <w:color w:val="000000" w:themeColor="text1"/>
        </w:rPr>
        <w:t>b</w:t>
      </w:r>
      <w:r w:rsidR="00467CCC" w:rsidRPr="002405E9">
        <w:rPr>
          <w:color w:val="000000" w:themeColor="text1"/>
        </w:rPr>
        <w:t>)</w:t>
      </w:r>
      <w:r w:rsidR="00467CCC" w:rsidRPr="002405E9">
        <w:rPr>
          <w:color w:val="000000" w:themeColor="text1"/>
        </w:rPr>
        <w:tab/>
        <w:t xml:space="preserve">Une étude visant à évaluer la pertinence conceptuelle et pratique des </w:t>
      </w:r>
      <w:r w:rsidR="00023BC8">
        <w:rPr>
          <w:color w:val="000000" w:themeColor="text1"/>
        </w:rPr>
        <w:t>crédits et mesures</w:t>
      </w:r>
      <w:r w:rsidR="00467CCC" w:rsidRPr="002405E9">
        <w:rPr>
          <w:color w:val="000000" w:themeColor="text1"/>
        </w:rPr>
        <w:t xml:space="preserve"> compensatoires </w:t>
      </w:r>
      <w:r w:rsidR="00023BC8">
        <w:rPr>
          <w:color w:val="000000" w:themeColor="text1"/>
        </w:rPr>
        <w:t xml:space="preserve">en faveur de la biodiversité </w:t>
      </w:r>
      <w:r w:rsidR="00467CCC" w:rsidRPr="002405E9">
        <w:rPr>
          <w:color w:val="000000" w:themeColor="text1"/>
        </w:rPr>
        <w:t xml:space="preserve">en tant que dépenses financières </w:t>
      </w:r>
      <w:r w:rsidR="00467CCC" w:rsidRPr="00335689">
        <w:rPr>
          <w:color w:val="000000" w:themeColor="text1"/>
        </w:rPr>
        <w:t>afférentes</w:t>
      </w:r>
      <w:r w:rsidR="00467CCC" w:rsidRPr="002405E9">
        <w:rPr>
          <w:color w:val="000000" w:themeColor="text1"/>
        </w:rPr>
        <w:t xml:space="preserve"> à la biodiversité, en examinant si ces </w:t>
      </w:r>
      <w:r w:rsidR="00D511CB">
        <w:rPr>
          <w:color w:val="000000" w:themeColor="text1"/>
        </w:rPr>
        <w:t>crédits et mesures</w:t>
      </w:r>
      <w:r w:rsidR="00D511CB" w:rsidRPr="002405E9">
        <w:rPr>
          <w:color w:val="000000" w:themeColor="text1"/>
        </w:rPr>
        <w:t xml:space="preserve"> compensatoires </w:t>
      </w:r>
      <w:r w:rsidR="00D511CB">
        <w:rPr>
          <w:color w:val="000000" w:themeColor="text1"/>
        </w:rPr>
        <w:t>en faveur de la biodiversité</w:t>
      </w:r>
      <w:r w:rsidR="00467CCC" w:rsidRPr="002405E9">
        <w:rPr>
          <w:color w:val="000000" w:themeColor="text1"/>
        </w:rPr>
        <w:t xml:space="preserve"> </w:t>
      </w:r>
      <w:r w:rsidR="00467CCC">
        <w:rPr>
          <w:color w:val="000000" w:themeColor="text1"/>
        </w:rPr>
        <w:t>produisent une additionnalité en matière de</w:t>
      </w:r>
      <w:r w:rsidR="00467CCC" w:rsidRPr="002405E9">
        <w:rPr>
          <w:color w:val="000000" w:themeColor="text1"/>
        </w:rPr>
        <w:t xml:space="preserve"> conservation de la biodiversité ;]</w:t>
      </w:r>
    </w:p>
    <w:p w14:paraId="5BB84C9F" w14:textId="4C7C6851" w:rsidR="005F6580" w:rsidRPr="008E5FD7" w:rsidRDefault="00895010" w:rsidP="00005177">
      <w:pPr>
        <w:pStyle w:val="Paragraphedeliste"/>
        <w:tabs>
          <w:tab w:val="clear" w:pos="567"/>
          <w:tab w:val="clear" w:pos="1134"/>
          <w:tab w:val="clear" w:pos="2268"/>
        </w:tabs>
        <w:spacing w:before="120" w:after="120"/>
        <w:ind w:left="567" w:firstLine="567"/>
        <w:contextualSpacing w:val="0"/>
        <w:rPr>
          <w:rFonts w:eastAsia="Times New Roman"/>
        </w:rPr>
      </w:pPr>
      <w:r>
        <w:rPr>
          <w:color w:val="000000" w:themeColor="text1"/>
        </w:rPr>
        <w:t>12</w:t>
      </w:r>
      <w:r w:rsidR="00005177">
        <w:rPr>
          <w:color w:val="000000" w:themeColor="text1"/>
        </w:rPr>
        <w:tab/>
        <w:t>(p</w:t>
      </w:r>
      <w:r w:rsidR="00DD3773">
        <w:rPr>
          <w:color w:val="000000" w:themeColor="text1"/>
        </w:rPr>
        <w:t xml:space="preserve">roposition) </w:t>
      </w:r>
      <w:r w:rsidR="005F6580" w:rsidRPr="008E5FD7">
        <w:rPr>
          <w:rFonts w:eastAsia="Times New Roman"/>
          <w:i/>
          <w:iCs/>
        </w:rPr>
        <w:t xml:space="preserve">Invite </w:t>
      </w:r>
      <w:r w:rsidR="005F6580" w:rsidRPr="008E5FD7">
        <w:rPr>
          <w:rFonts w:eastAsia="Times New Roman"/>
        </w:rPr>
        <w:t xml:space="preserve">les Parties ne figurant pas sur la liste des Parties qui sont des pays développés et des autres Parties qui assument volontairement les obligations des Parties qui sont des pays développés, telle qu’adoptée dans la décision </w:t>
      </w:r>
      <w:r w:rsidR="00EE69C1" w:rsidRPr="00EE69C1">
        <w:rPr>
          <w:rFonts w:eastAsia="Times New Roman"/>
        </w:rPr>
        <w:t>VIII/18</w:t>
      </w:r>
      <w:r w:rsidR="005F6580" w:rsidRPr="008E5FD7">
        <w:rPr>
          <w:rFonts w:eastAsia="Times New Roman"/>
        </w:rPr>
        <w:t>, conformément au paragraphe</w:t>
      </w:r>
      <w:r w:rsidR="00E30D33">
        <w:rPr>
          <w:rFonts w:eastAsia="Times New Roman"/>
        </w:rPr>
        <w:t> </w:t>
      </w:r>
      <w:r w:rsidR="005F6580" w:rsidRPr="008E5FD7">
        <w:rPr>
          <w:rFonts w:eastAsia="Times New Roman"/>
        </w:rPr>
        <w:t>2 de l’article 20 de la Convention, à faire savoir au secrétariat si elles souhaitent figurer sur la liste correspondante établie conformément à l’article précité, et invite les Parties à faire part de leurs observations sur la façon d’optimiser les modalités et le calendrier d’envoi de telles invitations ;</w:t>
      </w:r>
    </w:p>
    <w:p w14:paraId="486056DD" w14:textId="0F1101D1" w:rsidR="005F6580" w:rsidRPr="00475A01" w:rsidRDefault="00475A01" w:rsidP="00F60BD6">
      <w:pPr>
        <w:pStyle w:val="Paragraphedeliste"/>
        <w:numPr>
          <w:ilvl w:val="0"/>
          <w:numId w:val="12"/>
        </w:numPr>
        <w:tabs>
          <w:tab w:val="clear" w:pos="567"/>
          <w:tab w:val="clear" w:pos="1134"/>
          <w:tab w:val="clear" w:pos="2268"/>
        </w:tabs>
        <w:spacing w:before="120" w:after="120"/>
        <w:ind w:left="567" w:firstLine="567"/>
        <w:contextualSpacing w:val="0"/>
        <w:rPr>
          <w:rFonts w:eastAsia="Times New Roman"/>
        </w:rPr>
      </w:pPr>
      <w:r w:rsidRPr="00475A01">
        <w:rPr>
          <w:rFonts w:eastAsia="Times New Roman"/>
        </w:rPr>
        <w:t>(proposition)</w:t>
      </w:r>
      <w:r>
        <w:rPr>
          <w:rFonts w:eastAsia="Times New Roman"/>
          <w:i/>
          <w:iCs/>
        </w:rPr>
        <w:t xml:space="preserve"> </w:t>
      </w:r>
      <w:r w:rsidR="005F6580" w:rsidRPr="00475A01">
        <w:rPr>
          <w:rFonts w:eastAsia="Times New Roman"/>
          <w:i/>
          <w:iCs/>
        </w:rPr>
        <w:t xml:space="preserve">Considère </w:t>
      </w:r>
      <w:r w:rsidR="005F6580" w:rsidRPr="00475A01">
        <w:rPr>
          <w:rFonts w:eastAsia="Times New Roman"/>
        </w:rPr>
        <w:t>qu’il importe de tenir pleinement compte des besoins particuliers et des contextes spécifiques des pays les moins avancés et des petits États insulaires en développement</w:t>
      </w:r>
      <w:r w:rsidR="001A2D4E">
        <w:rPr>
          <w:rFonts w:eastAsia="Times New Roman"/>
        </w:rPr>
        <w:t> </w:t>
      </w:r>
      <w:r w:rsidR="005F6580" w:rsidRPr="00475A01">
        <w:rPr>
          <w:rFonts w:eastAsia="Times New Roman"/>
        </w:rPr>
        <w:t xml:space="preserve">; </w:t>
      </w:r>
    </w:p>
    <w:p w14:paraId="32F133BA" w14:textId="5B6AFF6D" w:rsidR="005F6580" w:rsidRPr="00B03BDA" w:rsidRDefault="00B03BDA" w:rsidP="00747B27">
      <w:pPr>
        <w:pStyle w:val="Paragraphedeliste"/>
        <w:numPr>
          <w:ilvl w:val="0"/>
          <w:numId w:val="12"/>
        </w:numPr>
        <w:tabs>
          <w:tab w:val="clear" w:pos="567"/>
          <w:tab w:val="clear" w:pos="1134"/>
          <w:tab w:val="clear" w:pos="2268"/>
        </w:tabs>
        <w:spacing w:before="120" w:after="120"/>
        <w:ind w:left="567" w:firstLine="567"/>
        <w:contextualSpacing w:val="0"/>
        <w:rPr>
          <w:rFonts w:eastAsia="Times New Roman"/>
        </w:rPr>
      </w:pPr>
      <w:r w:rsidRPr="00B03BDA">
        <w:rPr>
          <w:rFonts w:eastAsia="Times New Roman"/>
        </w:rPr>
        <w:t>(proposition)</w:t>
      </w:r>
      <w:r>
        <w:rPr>
          <w:rFonts w:eastAsia="Times New Roman"/>
          <w:i/>
          <w:iCs/>
        </w:rPr>
        <w:t xml:space="preserve"> </w:t>
      </w:r>
      <w:r w:rsidR="005F6580" w:rsidRPr="00B03BDA">
        <w:rPr>
          <w:rFonts w:eastAsia="Times New Roman"/>
          <w:i/>
          <w:iCs/>
        </w:rPr>
        <w:t>Prie</w:t>
      </w:r>
      <w:r w:rsidR="005F6580" w:rsidRPr="00B03BDA">
        <w:rPr>
          <w:rFonts w:eastAsia="Times New Roman"/>
        </w:rPr>
        <w:t xml:space="preserve"> la Secrétaire exécutive d’envoyer aux Parties l’invitation visée au paragraphe</w:t>
      </w:r>
      <w:r w:rsidR="00B8575C">
        <w:rPr>
          <w:rFonts w:eastAsia="Times New Roman"/>
        </w:rPr>
        <w:t> </w:t>
      </w:r>
      <w:r w:rsidR="00B50FF1">
        <w:rPr>
          <w:rFonts w:eastAsia="Times New Roman"/>
        </w:rPr>
        <w:t>1</w:t>
      </w:r>
      <w:r w:rsidR="005F6580" w:rsidRPr="00B03BDA">
        <w:rPr>
          <w:rFonts w:eastAsia="Times New Roman"/>
        </w:rPr>
        <w:t>2 ci-dessus avant la dix-huitième réunion de la Conférence des Parties, puis avant chaque réunion ultérieure, en leur demandant de signaler si elles souhaitent participer à des consultations bilatérales, de compiler les indications reçues, en préservant leur caractère confidentiel, sauf si la Partie concernée en décide autrement, et d’établir une version modifiée de la liste, sur la base du consentement donné et mentionné, qui sera soumise à la Conférence des Parties pour adoption</w:t>
      </w:r>
      <w:r w:rsidR="00123C30">
        <w:rPr>
          <w:rFonts w:eastAsia="Times New Roman"/>
        </w:rPr>
        <w:t> </w:t>
      </w:r>
      <w:r w:rsidR="005F6580" w:rsidRPr="00B03BDA">
        <w:rPr>
          <w:rFonts w:eastAsia="Times New Roman"/>
        </w:rPr>
        <w:t>;</w:t>
      </w:r>
    </w:p>
    <w:p w14:paraId="6A5A3F6F" w14:textId="2F04E1D5" w:rsidR="005F6580" w:rsidRPr="00872B80" w:rsidRDefault="00E838DA" w:rsidP="00BB7179">
      <w:pPr>
        <w:numPr>
          <w:ilvl w:val="0"/>
          <w:numId w:val="12"/>
        </w:numPr>
        <w:tabs>
          <w:tab w:val="clear" w:pos="567"/>
          <w:tab w:val="clear" w:pos="1134"/>
          <w:tab w:val="clear" w:pos="2268"/>
        </w:tabs>
        <w:spacing w:before="120" w:after="120"/>
        <w:ind w:left="567" w:firstLine="567"/>
        <w:rPr>
          <w:rFonts w:eastAsia="Times New Roman"/>
        </w:rPr>
      </w:pPr>
      <w:r w:rsidRPr="00E838DA">
        <w:rPr>
          <w:rFonts w:eastAsia="Times New Roman"/>
        </w:rPr>
        <w:t>(proposition)</w:t>
      </w:r>
      <w:r>
        <w:rPr>
          <w:rFonts w:eastAsia="Times New Roman"/>
          <w:i/>
          <w:iCs/>
        </w:rPr>
        <w:t xml:space="preserve"> </w:t>
      </w:r>
      <w:r w:rsidR="005F6580">
        <w:rPr>
          <w:rFonts w:eastAsia="Times New Roman"/>
          <w:i/>
          <w:iCs/>
        </w:rPr>
        <w:t>Prend note avec satisfaction</w:t>
      </w:r>
      <w:r w:rsidR="005F6580" w:rsidRPr="00872B80">
        <w:rPr>
          <w:rFonts w:eastAsia="Times New Roman"/>
        </w:rPr>
        <w:t xml:space="preserve"> </w:t>
      </w:r>
      <w:r w:rsidR="005F6580">
        <w:rPr>
          <w:rFonts w:eastAsia="Times New Roman"/>
        </w:rPr>
        <w:t>des ressources financières que les Parties qui sont des pays en développement mobilisent en faveur de la biodiversité au niveau national</w:t>
      </w:r>
      <w:r w:rsidR="005F6580" w:rsidRPr="00872B80">
        <w:rPr>
          <w:rFonts w:eastAsia="Times New Roman"/>
        </w:rPr>
        <w:t>,</w:t>
      </w:r>
      <w:r w:rsidR="005F6580" w:rsidRPr="00872B80">
        <w:rPr>
          <w:rFonts w:ascii="Calibri" w:eastAsia="Calibri" w:hAnsi="Calibri"/>
          <w:b/>
          <w:sz w:val="20"/>
        </w:rPr>
        <w:t xml:space="preserve"> </w:t>
      </w:r>
      <w:r w:rsidR="005F6580">
        <w:rPr>
          <w:rFonts w:eastAsia="Times New Roman"/>
          <w:bCs/>
        </w:rPr>
        <w:t>notamment dans le cadre des budgets nationaux et du cofinancement</w:t>
      </w:r>
      <w:r w:rsidR="005F6580" w:rsidRPr="00872B80">
        <w:rPr>
          <w:rFonts w:eastAsia="Times New Roman"/>
          <w:bCs/>
        </w:rPr>
        <w:t xml:space="preserve">, </w:t>
      </w:r>
      <w:r w:rsidR="005F6580">
        <w:rPr>
          <w:rFonts w:eastAsia="Times New Roman"/>
          <w:bCs/>
        </w:rPr>
        <w:t xml:space="preserve">et de celles qu’elles versent à </w:t>
      </w:r>
      <w:r w:rsidR="005F6580">
        <w:rPr>
          <w:rFonts w:eastAsia="Times New Roman"/>
          <w:bCs/>
        </w:rPr>
        <w:lastRenderedPageBreak/>
        <w:t>titre volontaire</w:t>
      </w:r>
      <w:r w:rsidR="005F6580" w:rsidRPr="00872B80">
        <w:rPr>
          <w:rFonts w:eastAsia="Times New Roman"/>
          <w:bCs/>
        </w:rPr>
        <w:t xml:space="preserve"> </w:t>
      </w:r>
      <w:r w:rsidR="005F6580">
        <w:rPr>
          <w:rFonts w:eastAsia="Times New Roman"/>
          <w:bCs/>
        </w:rPr>
        <w:t>au mécanisme</w:t>
      </w:r>
      <w:r w:rsidR="005F6580" w:rsidRPr="00872B80">
        <w:rPr>
          <w:rFonts w:eastAsia="Times New Roman"/>
        </w:rPr>
        <w:t xml:space="preserve"> </w:t>
      </w:r>
      <w:r w:rsidR="005F6580">
        <w:rPr>
          <w:rFonts w:eastAsia="Times New Roman"/>
        </w:rPr>
        <w:t>financier et à d’autres fonds multilatéraux et par l’intermédiaire de la coopération Sud-Sud</w:t>
      </w:r>
      <w:r w:rsidR="005F6580" w:rsidRPr="00872B80">
        <w:rPr>
          <w:rFonts w:eastAsia="Times New Roman"/>
        </w:rPr>
        <w:t xml:space="preserve">, </w:t>
      </w:r>
      <w:r w:rsidR="005F6580">
        <w:rPr>
          <w:rFonts w:eastAsia="Times New Roman"/>
        </w:rPr>
        <w:t>et</w:t>
      </w:r>
      <w:r w:rsidR="005F6580" w:rsidRPr="00872B80">
        <w:rPr>
          <w:rFonts w:eastAsia="Times New Roman"/>
        </w:rPr>
        <w:t xml:space="preserve"> </w:t>
      </w:r>
      <w:r w:rsidR="005F6580" w:rsidRPr="003B0684">
        <w:rPr>
          <w:rFonts w:eastAsia="Times New Roman"/>
          <w:i/>
          <w:iCs/>
        </w:rPr>
        <w:t>affirme</w:t>
      </w:r>
      <w:r w:rsidR="005F6580" w:rsidRPr="00872B80">
        <w:rPr>
          <w:rFonts w:eastAsia="Times New Roman"/>
        </w:rPr>
        <w:t xml:space="preserve"> </w:t>
      </w:r>
      <w:r w:rsidR="005F6580">
        <w:rPr>
          <w:rFonts w:eastAsia="Times New Roman"/>
        </w:rPr>
        <w:t>que le versement de telles</w:t>
      </w:r>
      <w:r w:rsidR="005F6580" w:rsidRPr="00872B80">
        <w:rPr>
          <w:rFonts w:eastAsia="Times New Roman"/>
        </w:rPr>
        <w:t xml:space="preserve"> contributions </w:t>
      </w:r>
      <w:r w:rsidR="005F6580">
        <w:rPr>
          <w:rFonts w:eastAsia="Times New Roman"/>
        </w:rPr>
        <w:t>ne signifie pas que lesdites Parties sont inscrites sur la</w:t>
      </w:r>
      <w:r w:rsidR="005F6580" w:rsidRPr="00872B80">
        <w:rPr>
          <w:rFonts w:eastAsia="Times New Roman"/>
        </w:rPr>
        <w:t xml:space="preserve"> list</w:t>
      </w:r>
      <w:r w:rsidR="005F6580">
        <w:rPr>
          <w:rFonts w:eastAsia="Times New Roman"/>
        </w:rPr>
        <w:t>e</w:t>
      </w:r>
      <w:r w:rsidR="005F6580" w:rsidRPr="00872B80">
        <w:rPr>
          <w:rFonts w:eastAsia="Times New Roman"/>
        </w:rPr>
        <w:t xml:space="preserve"> </w:t>
      </w:r>
      <w:r w:rsidR="005F6580">
        <w:rPr>
          <w:rFonts w:eastAsia="Times New Roman"/>
        </w:rPr>
        <w:t>visée au</w:t>
      </w:r>
      <w:r w:rsidR="005F6580" w:rsidRPr="00872B80">
        <w:rPr>
          <w:rFonts w:eastAsia="Times New Roman"/>
        </w:rPr>
        <w:t xml:space="preserve"> paragraph</w:t>
      </w:r>
      <w:r w:rsidR="005F6580">
        <w:rPr>
          <w:rFonts w:eastAsia="Times New Roman"/>
        </w:rPr>
        <w:t>e</w:t>
      </w:r>
      <w:r w:rsidR="003B0684">
        <w:rPr>
          <w:rFonts w:eastAsia="Times New Roman"/>
        </w:rPr>
        <w:t> </w:t>
      </w:r>
      <w:r w:rsidR="005F6580" w:rsidRPr="00872B80">
        <w:rPr>
          <w:rFonts w:eastAsia="Times New Roman"/>
        </w:rPr>
        <w:t xml:space="preserve">2 </w:t>
      </w:r>
      <w:r w:rsidR="005F6580">
        <w:rPr>
          <w:rFonts w:eastAsia="Times New Roman"/>
        </w:rPr>
        <w:t>de l’a</w:t>
      </w:r>
      <w:r w:rsidR="005F6580" w:rsidRPr="00872B80">
        <w:rPr>
          <w:rFonts w:eastAsia="Times New Roman"/>
        </w:rPr>
        <w:t>rticle</w:t>
      </w:r>
      <w:r w:rsidR="003B0684">
        <w:rPr>
          <w:rFonts w:eastAsia="Times New Roman"/>
        </w:rPr>
        <w:t> </w:t>
      </w:r>
      <w:r w:rsidR="005F6580" w:rsidRPr="00872B80">
        <w:rPr>
          <w:rFonts w:eastAsia="Times New Roman"/>
        </w:rPr>
        <w:t>20 o</w:t>
      </w:r>
      <w:r w:rsidR="005F6580">
        <w:rPr>
          <w:rFonts w:eastAsia="Times New Roman"/>
        </w:rPr>
        <w:t>u qu’elles assument les</w:t>
      </w:r>
      <w:r w:rsidR="005F6580" w:rsidRPr="00872B80">
        <w:rPr>
          <w:rFonts w:eastAsia="Times New Roman"/>
        </w:rPr>
        <w:t xml:space="preserve"> obligations </w:t>
      </w:r>
      <w:r w:rsidR="005F6580">
        <w:rPr>
          <w:rFonts w:eastAsia="Times New Roman"/>
        </w:rPr>
        <w:t>des Parties qui sont des pays développés ;</w:t>
      </w:r>
    </w:p>
    <w:p w14:paraId="23406F80" w14:textId="3F5A98B3" w:rsidR="005F6580" w:rsidRPr="00872B80" w:rsidRDefault="009C4A61" w:rsidP="00E9504B">
      <w:pPr>
        <w:numPr>
          <w:ilvl w:val="0"/>
          <w:numId w:val="12"/>
        </w:numPr>
        <w:tabs>
          <w:tab w:val="clear" w:pos="567"/>
          <w:tab w:val="clear" w:pos="1134"/>
          <w:tab w:val="clear" w:pos="2268"/>
        </w:tabs>
        <w:spacing w:before="120" w:after="120"/>
        <w:ind w:left="567" w:firstLine="567"/>
        <w:rPr>
          <w:rFonts w:eastAsia="Times New Roman"/>
        </w:rPr>
      </w:pPr>
      <w:r>
        <w:rPr>
          <w:rFonts w:eastAsia="Times New Roman"/>
          <w:i/>
          <w:iCs/>
        </w:rPr>
        <w:t>(</w:t>
      </w:r>
      <w:r w:rsidRPr="009C4A61">
        <w:rPr>
          <w:rFonts w:eastAsia="Times New Roman"/>
        </w:rPr>
        <w:t xml:space="preserve">proposition) </w:t>
      </w:r>
      <w:r w:rsidR="005F6580" w:rsidRPr="00872B80">
        <w:rPr>
          <w:rFonts w:eastAsia="Times New Roman"/>
          <w:i/>
          <w:iCs/>
        </w:rPr>
        <w:t>Encourage</w:t>
      </w:r>
      <w:r w:rsidR="005F6580" w:rsidRPr="00872B80">
        <w:rPr>
          <w:rFonts w:eastAsia="Times New Roman"/>
        </w:rPr>
        <w:t xml:space="preserve"> </w:t>
      </w:r>
      <w:r w:rsidR="005F6580">
        <w:rPr>
          <w:rFonts w:eastAsia="Times New Roman"/>
        </w:rPr>
        <w:t>les autres pays et les autres sources à verser des contributions à titre volontaire et</w:t>
      </w:r>
      <w:r w:rsidR="005F6580" w:rsidRPr="00872B80">
        <w:rPr>
          <w:rFonts w:eastAsia="Times New Roman"/>
        </w:rPr>
        <w:t xml:space="preserve"> </w:t>
      </w:r>
      <w:r w:rsidR="005F6580" w:rsidRPr="003D7ACE">
        <w:rPr>
          <w:rFonts w:eastAsia="Times New Roman"/>
        </w:rPr>
        <w:t>invite</w:t>
      </w:r>
      <w:r w:rsidR="005F6580" w:rsidRPr="00872B80">
        <w:rPr>
          <w:rFonts w:eastAsia="Times New Roman"/>
        </w:rPr>
        <w:t xml:space="preserve"> </w:t>
      </w:r>
      <w:r w:rsidR="005F6580">
        <w:rPr>
          <w:rFonts w:eastAsia="Times New Roman"/>
        </w:rPr>
        <w:t xml:space="preserve">les </w:t>
      </w:r>
      <w:r w:rsidR="005F6580" w:rsidRPr="00872B80">
        <w:rPr>
          <w:rFonts w:eastAsia="Times New Roman"/>
        </w:rPr>
        <w:t xml:space="preserve">Parties </w:t>
      </w:r>
      <w:r w:rsidR="005F6580">
        <w:rPr>
          <w:rFonts w:eastAsia="Times New Roman"/>
        </w:rPr>
        <w:t>qui le souhaitent à</w:t>
      </w:r>
      <w:r w:rsidR="005F6580" w:rsidRPr="00872B80">
        <w:rPr>
          <w:rFonts w:eastAsia="Times New Roman"/>
        </w:rPr>
        <w:t xml:space="preserve"> </w:t>
      </w:r>
      <w:r w:rsidR="005F6580">
        <w:rPr>
          <w:rFonts w:eastAsia="Times New Roman"/>
        </w:rPr>
        <w:t>signaler leurs contributions à la Secrétaire exécutive</w:t>
      </w:r>
      <w:r w:rsidR="005F6580" w:rsidRPr="00872B80">
        <w:rPr>
          <w:rFonts w:eastAsia="Times New Roman"/>
        </w:rPr>
        <w:t xml:space="preserve">, </w:t>
      </w:r>
      <w:r w:rsidR="005F6580">
        <w:rPr>
          <w:rFonts w:eastAsia="Times New Roman"/>
        </w:rPr>
        <w:t>afin que la</w:t>
      </w:r>
      <w:r w:rsidR="005F6580" w:rsidRPr="00872B80">
        <w:rPr>
          <w:rFonts w:eastAsia="Times New Roman"/>
        </w:rPr>
        <w:t xml:space="preserve"> Conf</w:t>
      </w:r>
      <w:r w:rsidR="005F6580">
        <w:rPr>
          <w:rFonts w:eastAsia="Times New Roman"/>
        </w:rPr>
        <w:t>é</w:t>
      </w:r>
      <w:r w:rsidR="005F6580" w:rsidRPr="00872B80">
        <w:rPr>
          <w:rFonts w:eastAsia="Times New Roman"/>
        </w:rPr>
        <w:t xml:space="preserve">rence </w:t>
      </w:r>
      <w:r w:rsidR="005F6580">
        <w:rPr>
          <w:rFonts w:eastAsia="Times New Roman"/>
        </w:rPr>
        <w:t>des</w:t>
      </w:r>
      <w:r w:rsidR="005F6580" w:rsidRPr="00872B80">
        <w:rPr>
          <w:rFonts w:eastAsia="Times New Roman"/>
        </w:rPr>
        <w:t xml:space="preserve"> Parties</w:t>
      </w:r>
      <w:r w:rsidR="005F6580">
        <w:rPr>
          <w:rFonts w:eastAsia="Times New Roman"/>
        </w:rPr>
        <w:t xml:space="preserve"> en soit informée </w:t>
      </w:r>
      <w:r w:rsidR="005F6580" w:rsidRPr="00872B80">
        <w:rPr>
          <w:rFonts w:eastAsia="Times New Roman"/>
        </w:rPr>
        <w:t>;</w:t>
      </w:r>
    </w:p>
    <w:p w14:paraId="7A0243BC" w14:textId="2479BA7C" w:rsidR="005F6580" w:rsidRPr="00872B80" w:rsidRDefault="000543A9" w:rsidP="00017D63">
      <w:pPr>
        <w:numPr>
          <w:ilvl w:val="0"/>
          <w:numId w:val="12"/>
        </w:numPr>
        <w:tabs>
          <w:tab w:val="clear" w:pos="567"/>
          <w:tab w:val="clear" w:pos="1134"/>
          <w:tab w:val="clear" w:pos="2268"/>
        </w:tabs>
        <w:spacing w:before="120" w:after="120"/>
        <w:ind w:left="567" w:firstLine="567"/>
        <w:rPr>
          <w:rFonts w:eastAsia="Times New Roman"/>
        </w:rPr>
      </w:pPr>
      <w:r w:rsidRPr="000543A9">
        <w:rPr>
          <w:rFonts w:eastAsia="Times New Roman"/>
        </w:rPr>
        <w:t>(proposition)</w:t>
      </w:r>
      <w:r>
        <w:rPr>
          <w:rFonts w:eastAsia="Times New Roman"/>
          <w:i/>
          <w:iCs/>
        </w:rPr>
        <w:t xml:space="preserve"> </w:t>
      </w:r>
      <w:r w:rsidR="005F6580">
        <w:rPr>
          <w:rFonts w:eastAsia="Times New Roman"/>
          <w:i/>
          <w:iCs/>
        </w:rPr>
        <w:t>Prie</w:t>
      </w:r>
      <w:r w:rsidR="005F6580" w:rsidRPr="00872B80">
        <w:rPr>
          <w:rFonts w:eastAsia="Times New Roman"/>
        </w:rPr>
        <w:t xml:space="preserve"> </w:t>
      </w:r>
      <w:r w:rsidR="00BD6379" w:rsidRPr="00BD6379">
        <w:rPr>
          <w:rFonts w:eastAsia="Times New Roman"/>
          <w:i/>
          <w:iCs/>
        </w:rPr>
        <w:t xml:space="preserve">en outre </w:t>
      </w:r>
      <w:r w:rsidR="005F6580">
        <w:rPr>
          <w:rFonts w:eastAsia="Times New Roman"/>
        </w:rPr>
        <w:t>la</w:t>
      </w:r>
      <w:r w:rsidR="005F6580" w:rsidRPr="00872B80">
        <w:rPr>
          <w:rFonts w:eastAsia="Times New Roman"/>
        </w:rPr>
        <w:t xml:space="preserve"> Secr</w:t>
      </w:r>
      <w:r w:rsidR="005F6580">
        <w:rPr>
          <w:rFonts w:eastAsia="Times New Roman"/>
        </w:rPr>
        <w:t>é</w:t>
      </w:r>
      <w:r w:rsidR="005F6580" w:rsidRPr="00872B80">
        <w:rPr>
          <w:rFonts w:eastAsia="Times New Roman"/>
        </w:rPr>
        <w:t>ta</w:t>
      </w:r>
      <w:r w:rsidR="005F6580">
        <w:rPr>
          <w:rFonts w:eastAsia="Times New Roman"/>
        </w:rPr>
        <w:t>ire exécutive</w:t>
      </w:r>
      <w:r w:rsidR="005F6580" w:rsidRPr="00872B80">
        <w:rPr>
          <w:rFonts w:eastAsia="Times New Roman"/>
        </w:rPr>
        <w:t xml:space="preserve">, </w:t>
      </w:r>
      <w:r w:rsidR="005F6580">
        <w:rPr>
          <w:rFonts w:eastAsia="Times New Roman"/>
        </w:rPr>
        <w:t>sous réserve de ressources financières disponibles</w:t>
      </w:r>
      <w:r w:rsidR="005F6580" w:rsidRPr="00872B80">
        <w:rPr>
          <w:rFonts w:eastAsia="Times New Roman"/>
        </w:rPr>
        <w:t xml:space="preserve">, </w:t>
      </w:r>
      <w:r w:rsidR="005F6580">
        <w:rPr>
          <w:rFonts w:eastAsia="Times New Roman"/>
        </w:rPr>
        <w:t>d’élaborer les documents ci-après et de les soumettre pour examen à</w:t>
      </w:r>
      <w:r w:rsidR="005F6580" w:rsidRPr="00872B80">
        <w:rPr>
          <w:rFonts w:eastAsia="Times New Roman"/>
        </w:rPr>
        <w:t xml:space="preserve"> </w:t>
      </w:r>
      <w:r w:rsidR="005F6580">
        <w:rPr>
          <w:rFonts w:eastAsia="Times New Roman"/>
        </w:rPr>
        <w:t>l’Organe subsidiaire chargé de l’application</w:t>
      </w:r>
      <w:r w:rsidR="005F6580" w:rsidRPr="00872B80">
        <w:rPr>
          <w:rFonts w:eastAsia="Times New Roman"/>
        </w:rPr>
        <w:t xml:space="preserve"> </w:t>
      </w:r>
      <w:r w:rsidR="005F6580">
        <w:rPr>
          <w:rFonts w:eastAsia="Times New Roman"/>
        </w:rPr>
        <w:t>à une réunion tenue avant la dix-huitième réunion de la</w:t>
      </w:r>
      <w:r w:rsidR="005F6580" w:rsidRPr="00872B80">
        <w:rPr>
          <w:rFonts w:eastAsia="Times New Roman"/>
        </w:rPr>
        <w:t xml:space="preserve"> Conf</w:t>
      </w:r>
      <w:r w:rsidR="005F6580">
        <w:rPr>
          <w:rFonts w:eastAsia="Times New Roman"/>
        </w:rPr>
        <w:t>é</w:t>
      </w:r>
      <w:r w:rsidR="005F6580" w:rsidRPr="00872B80">
        <w:rPr>
          <w:rFonts w:eastAsia="Times New Roman"/>
        </w:rPr>
        <w:t xml:space="preserve">rence </w:t>
      </w:r>
      <w:r w:rsidR="005F6580">
        <w:rPr>
          <w:rFonts w:eastAsia="Times New Roman"/>
        </w:rPr>
        <w:t>des</w:t>
      </w:r>
      <w:r w:rsidR="005F6580" w:rsidRPr="00872B80">
        <w:rPr>
          <w:rFonts w:eastAsia="Times New Roman"/>
        </w:rPr>
        <w:t xml:space="preserve"> Parties, </w:t>
      </w:r>
      <w:r w:rsidR="005F6580">
        <w:rPr>
          <w:rFonts w:eastAsia="Times New Roman"/>
        </w:rPr>
        <w:t xml:space="preserve">sans </w:t>
      </w:r>
      <w:r w:rsidR="005F6580" w:rsidRPr="00872B80">
        <w:rPr>
          <w:rFonts w:eastAsia="Times New Roman"/>
        </w:rPr>
        <w:t>pr</w:t>
      </w:r>
      <w:r w:rsidR="005F6580">
        <w:rPr>
          <w:rFonts w:eastAsia="Times New Roman"/>
        </w:rPr>
        <w:t>é</w:t>
      </w:r>
      <w:r w:rsidR="005F6580" w:rsidRPr="00872B80">
        <w:rPr>
          <w:rFonts w:eastAsia="Times New Roman"/>
        </w:rPr>
        <w:t xml:space="preserve">judice </w:t>
      </w:r>
      <w:r w:rsidR="005F6580">
        <w:rPr>
          <w:rFonts w:eastAsia="Times New Roman"/>
        </w:rPr>
        <w:t>des</w:t>
      </w:r>
      <w:r w:rsidR="005F6580" w:rsidRPr="00872B80">
        <w:rPr>
          <w:rFonts w:eastAsia="Times New Roman"/>
        </w:rPr>
        <w:t xml:space="preserve"> positions </w:t>
      </w:r>
      <w:r w:rsidR="005F6580">
        <w:rPr>
          <w:rFonts w:eastAsia="Times New Roman"/>
        </w:rPr>
        <w:t>et des</w:t>
      </w:r>
      <w:r w:rsidR="005F6580" w:rsidRPr="00872B80">
        <w:rPr>
          <w:rFonts w:eastAsia="Times New Roman"/>
        </w:rPr>
        <w:t xml:space="preserve"> interpr</w:t>
      </w:r>
      <w:r w:rsidR="005F6580">
        <w:rPr>
          <w:rFonts w:eastAsia="Times New Roman"/>
        </w:rPr>
        <w:t>é</w:t>
      </w:r>
      <w:r w:rsidR="005F6580" w:rsidRPr="00872B80">
        <w:rPr>
          <w:rFonts w:eastAsia="Times New Roman"/>
        </w:rPr>
        <w:t xml:space="preserve">tations </w:t>
      </w:r>
      <w:r w:rsidR="005F6580">
        <w:rPr>
          <w:rFonts w:eastAsia="Times New Roman"/>
        </w:rPr>
        <w:t>des</w:t>
      </w:r>
      <w:r w:rsidR="005F6580" w:rsidRPr="00872B80">
        <w:rPr>
          <w:rFonts w:eastAsia="Times New Roman"/>
        </w:rPr>
        <w:t xml:space="preserve"> Parties</w:t>
      </w:r>
      <w:r w:rsidR="00017D63">
        <w:rPr>
          <w:rFonts w:eastAsia="Times New Roman"/>
        </w:rPr>
        <w:t> </w:t>
      </w:r>
      <w:r w:rsidR="005F6580" w:rsidRPr="00872B80">
        <w:rPr>
          <w:rFonts w:eastAsia="Times New Roman"/>
        </w:rPr>
        <w:t>:</w:t>
      </w:r>
    </w:p>
    <w:p w14:paraId="43ED7304" w14:textId="1E1A2B3A" w:rsidR="005F6580" w:rsidRPr="00872B80" w:rsidRDefault="005F6580" w:rsidP="00562FB5">
      <w:pPr>
        <w:spacing w:before="120" w:after="120"/>
        <w:ind w:left="567" w:firstLine="567"/>
        <w:rPr>
          <w:rFonts w:eastAsia="Times New Roman"/>
        </w:rPr>
      </w:pPr>
      <w:r w:rsidRPr="00872B80">
        <w:rPr>
          <w:rFonts w:eastAsia="Times New Roman"/>
        </w:rPr>
        <w:t>a)</w:t>
      </w:r>
      <w:r w:rsidR="001F3114">
        <w:rPr>
          <w:rFonts w:eastAsia="Times New Roman"/>
        </w:rPr>
        <w:tab/>
      </w:r>
      <w:r>
        <w:rPr>
          <w:rFonts w:eastAsia="Times New Roman"/>
        </w:rPr>
        <w:t>Un recueil de données factuelles sur la manière dont</w:t>
      </w:r>
      <w:r w:rsidRPr="00872B80">
        <w:rPr>
          <w:rFonts w:eastAsia="Times New Roman"/>
        </w:rPr>
        <w:t xml:space="preserve"> </w:t>
      </w:r>
      <w:r>
        <w:rPr>
          <w:rFonts w:eastAsia="Times New Roman"/>
        </w:rPr>
        <w:t>la</w:t>
      </w:r>
      <w:r w:rsidRPr="00872B80">
        <w:rPr>
          <w:rFonts w:eastAsia="Times New Roman"/>
        </w:rPr>
        <w:t xml:space="preserve"> Conf</w:t>
      </w:r>
      <w:r>
        <w:rPr>
          <w:rFonts w:eastAsia="Times New Roman"/>
        </w:rPr>
        <w:t>é</w:t>
      </w:r>
      <w:r w:rsidRPr="00872B80">
        <w:rPr>
          <w:rFonts w:eastAsia="Times New Roman"/>
        </w:rPr>
        <w:t xml:space="preserve">rence </w:t>
      </w:r>
      <w:r>
        <w:rPr>
          <w:rFonts w:eastAsia="Times New Roman"/>
        </w:rPr>
        <w:t>des</w:t>
      </w:r>
      <w:r w:rsidRPr="00872B80">
        <w:rPr>
          <w:rFonts w:eastAsia="Times New Roman"/>
        </w:rPr>
        <w:t xml:space="preserve"> Parties </w:t>
      </w:r>
      <w:r>
        <w:rPr>
          <w:rFonts w:eastAsia="Times New Roman"/>
        </w:rPr>
        <w:t>a donné effet</w:t>
      </w:r>
      <w:r w:rsidRPr="00872B80">
        <w:rPr>
          <w:rFonts w:eastAsia="Times New Roman"/>
        </w:rPr>
        <w:t xml:space="preserve"> </w:t>
      </w:r>
      <w:r>
        <w:rPr>
          <w:rFonts w:eastAsia="Times New Roman"/>
        </w:rPr>
        <w:t>à l’ensemble des dispositions de l’a</w:t>
      </w:r>
      <w:r w:rsidRPr="00872B80">
        <w:rPr>
          <w:rFonts w:eastAsia="Times New Roman"/>
        </w:rPr>
        <w:t>rticle 20</w:t>
      </w:r>
      <w:r>
        <w:rPr>
          <w:rFonts w:eastAsia="Times New Roman"/>
        </w:rPr>
        <w:t xml:space="preserve"> </w:t>
      </w:r>
      <w:r w:rsidRPr="00872B80">
        <w:rPr>
          <w:rFonts w:eastAsia="Times New Roman"/>
        </w:rPr>
        <w:t>;</w:t>
      </w:r>
    </w:p>
    <w:p w14:paraId="076233B4" w14:textId="37BF6B07" w:rsidR="005F6580" w:rsidRPr="00872B80" w:rsidRDefault="005F6580" w:rsidP="001F3114">
      <w:pPr>
        <w:spacing w:before="120" w:after="120"/>
        <w:ind w:left="567" w:firstLine="567"/>
        <w:rPr>
          <w:rFonts w:eastAsia="Times New Roman"/>
        </w:rPr>
      </w:pPr>
      <w:r w:rsidRPr="00872B80">
        <w:rPr>
          <w:rFonts w:eastAsia="Times New Roman"/>
        </w:rPr>
        <w:t>b)</w:t>
      </w:r>
      <w:r w:rsidR="001F3114">
        <w:rPr>
          <w:rFonts w:eastAsia="Times New Roman"/>
        </w:rPr>
        <w:tab/>
      </w:r>
      <w:r>
        <w:rPr>
          <w:rFonts w:eastAsia="Times New Roman"/>
        </w:rPr>
        <w:t>Une</w:t>
      </w:r>
      <w:r w:rsidRPr="00872B80">
        <w:rPr>
          <w:rFonts w:eastAsia="Times New Roman"/>
        </w:rPr>
        <w:t xml:space="preserve"> analys</w:t>
      </w:r>
      <w:r>
        <w:rPr>
          <w:rFonts w:eastAsia="Times New Roman"/>
        </w:rPr>
        <w:t>e des effets de l’inscription sur la liste de</w:t>
      </w:r>
      <w:r w:rsidRPr="00872B80">
        <w:rPr>
          <w:rFonts w:eastAsia="Times New Roman"/>
        </w:rPr>
        <w:t xml:space="preserve"> </w:t>
      </w:r>
      <w:r w:rsidRPr="00C64E45">
        <w:rPr>
          <w:rFonts w:eastAsia="Times New Roman"/>
        </w:rPr>
        <w:t>Parties qui assument volontairement les obligations des Parties qui sont des pays développés</w:t>
      </w:r>
      <w:r w:rsidRPr="00872B80">
        <w:rPr>
          <w:rFonts w:eastAsia="Times New Roman"/>
        </w:rPr>
        <w:t xml:space="preserve">, </w:t>
      </w:r>
      <w:r>
        <w:rPr>
          <w:rFonts w:eastAsia="Times New Roman"/>
        </w:rPr>
        <w:t>y compris la question de savoir si cette inscription produit des effets relatifs aux dispositions de la</w:t>
      </w:r>
      <w:r w:rsidRPr="00872B80">
        <w:rPr>
          <w:rFonts w:eastAsia="Times New Roman"/>
        </w:rPr>
        <w:t xml:space="preserve"> Convention </w:t>
      </w:r>
      <w:r>
        <w:rPr>
          <w:rFonts w:eastAsia="Times New Roman"/>
        </w:rPr>
        <w:t>autres que les dispositions financières</w:t>
      </w:r>
      <w:r w:rsidRPr="00872B80">
        <w:rPr>
          <w:rFonts w:eastAsia="Times New Roman"/>
        </w:rPr>
        <w:t xml:space="preserve"> </w:t>
      </w:r>
      <w:r>
        <w:rPr>
          <w:rFonts w:eastAsia="Times New Roman"/>
        </w:rPr>
        <w:t>de l’a</w:t>
      </w:r>
      <w:r w:rsidRPr="00872B80">
        <w:rPr>
          <w:rFonts w:eastAsia="Times New Roman"/>
        </w:rPr>
        <w:t>rticle 20</w:t>
      </w:r>
      <w:r>
        <w:rPr>
          <w:rFonts w:eastAsia="Times New Roman"/>
        </w:rPr>
        <w:t xml:space="preserve"> </w:t>
      </w:r>
      <w:r w:rsidRPr="00872B80">
        <w:rPr>
          <w:rFonts w:eastAsia="Times New Roman"/>
        </w:rPr>
        <w:t>;</w:t>
      </w:r>
    </w:p>
    <w:p w14:paraId="5D662C4C" w14:textId="6B3FD627" w:rsidR="005F6580" w:rsidRPr="00872B80" w:rsidRDefault="005F6580" w:rsidP="001F3114">
      <w:pPr>
        <w:spacing w:before="120" w:after="120"/>
        <w:ind w:left="567" w:firstLine="567"/>
        <w:rPr>
          <w:rFonts w:eastAsia="Times New Roman"/>
        </w:rPr>
      </w:pPr>
      <w:r w:rsidRPr="00872B80">
        <w:rPr>
          <w:rFonts w:eastAsia="Times New Roman"/>
        </w:rPr>
        <w:t>c)</w:t>
      </w:r>
      <w:r w:rsidR="001F3114">
        <w:rPr>
          <w:rFonts w:eastAsia="Times New Roman"/>
        </w:rPr>
        <w:tab/>
      </w:r>
      <w:r>
        <w:rPr>
          <w:rFonts w:eastAsia="Times New Roman"/>
        </w:rPr>
        <w:t>Un recueil des</w:t>
      </w:r>
      <w:r w:rsidRPr="00872B80">
        <w:rPr>
          <w:rFonts w:eastAsia="Times New Roman"/>
        </w:rPr>
        <w:t xml:space="preserve"> </w:t>
      </w:r>
      <w:r>
        <w:rPr>
          <w:rFonts w:eastAsia="Times New Roman"/>
        </w:rPr>
        <w:t>observations communiquées</w:t>
      </w:r>
      <w:r w:rsidRPr="00872B80">
        <w:rPr>
          <w:rFonts w:eastAsia="Times New Roman"/>
        </w:rPr>
        <w:t xml:space="preserve"> </w:t>
      </w:r>
      <w:r>
        <w:rPr>
          <w:rFonts w:eastAsia="Times New Roman"/>
        </w:rPr>
        <w:t>conformément au</w:t>
      </w:r>
      <w:r w:rsidRPr="00872B80">
        <w:rPr>
          <w:rFonts w:eastAsia="Times New Roman"/>
        </w:rPr>
        <w:t xml:space="preserve"> paragraph</w:t>
      </w:r>
      <w:r>
        <w:rPr>
          <w:rFonts w:eastAsia="Times New Roman"/>
        </w:rPr>
        <w:t>e</w:t>
      </w:r>
      <w:r w:rsidRPr="00872B80">
        <w:rPr>
          <w:rFonts w:eastAsia="Times New Roman"/>
        </w:rPr>
        <w:t xml:space="preserve"> 2 </w:t>
      </w:r>
      <w:r>
        <w:rPr>
          <w:rFonts w:eastAsia="Times New Roman"/>
        </w:rPr>
        <w:t xml:space="preserve">et un rapport sur les </w:t>
      </w:r>
      <w:r w:rsidRPr="00872B80">
        <w:rPr>
          <w:rFonts w:eastAsia="Times New Roman"/>
        </w:rPr>
        <w:t xml:space="preserve">consultations </w:t>
      </w:r>
      <w:r>
        <w:rPr>
          <w:rFonts w:eastAsia="Times New Roman"/>
        </w:rPr>
        <w:t>menées avec les</w:t>
      </w:r>
      <w:r w:rsidRPr="00872B80">
        <w:rPr>
          <w:rFonts w:eastAsia="Times New Roman"/>
        </w:rPr>
        <w:t xml:space="preserve"> Parties </w:t>
      </w:r>
      <w:r>
        <w:rPr>
          <w:rFonts w:eastAsia="Times New Roman"/>
        </w:rPr>
        <w:t>conformément au</w:t>
      </w:r>
      <w:r w:rsidRPr="00872B80">
        <w:rPr>
          <w:rFonts w:eastAsia="Times New Roman"/>
        </w:rPr>
        <w:t xml:space="preserve"> paragraph</w:t>
      </w:r>
      <w:r>
        <w:rPr>
          <w:rFonts w:eastAsia="Times New Roman"/>
        </w:rPr>
        <w:t>e</w:t>
      </w:r>
      <w:r w:rsidRPr="00872B80">
        <w:rPr>
          <w:rFonts w:eastAsia="Times New Roman"/>
        </w:rPr>
        <w:t xml:space="preserve"> 4</w:t>
      </w:r>
      <w:r>
        <w:rPr>
          <w:rFonts w:eastAsia="Times New Roman"/>
        </w:rPr>
        <w:t xml:space="preserve"> </w:t>
      </w:r>
      <w:r w:rsidRPr="00872B80">
        <w:rPr>
          <w:rFonts w:eastAsia="Times New Roman"/>
        </w:rPr>
        <w:t xml:space="preserve">; </w:t>
      </w:r>
    </w:p>
    <w:p w14:paraId="33BE4A62" w14:textId="38974082" w:rsidR="005F6580" w:rsidRPr="00872B80" w:rsidRDefault="005F6580" w:rsidP="001F3114">
      <w:pPr>
        <w:spacing w:before="120" w:after="120"/>
        <w:ind w:left="567" w:firstLine="567"/>
        <w:rPr>
          <w:rFonts w:eastAsia="Times New Roman"/>
        </w:rPr>
      </w:pPr>
      <w:r w:rsidRPr="001F3114">
        <w:rPr>
          <w:rFonts w:eastAsia="Times New Roman"/>
        </w:rPr>
        <w:t>d)</w:t>
      </w:r>
      <w:r w:rsidR="001F3114">
        <w:rPr>
          <w:rFonts w:eastAsia="Times New Roman"/>
        </w:rPr>
        <w:tab/>
      </w:r>
      <w:r w:rsidRPr="001F3114">
        <w:rPr>
          <w:rFonts w:eastAsia="Times New Roman"/>
        </w:rPr>
        <w:t>Un rapport sur les approches de mobilisation des ressources financières auprès de sources privées et autres, notamment la philanthropie et les instruments de financement innovants, dans le contexte de la stratégie de mobilisation des ressources ;</w:t>
      </w:r>
    </w:p>
    <w:p w14:paraId="26386539" w14:textId="79DCBD75" w:rsidR="005F6580" w:rsidRPr="00872B80" w:rsidRDefault="00E803BF" w:rsidP="00B37DA8">
      <w:pPr>
        <w:pStyle w:val="Paragraphedeliste"/>
        <w:numPr>
          <w:ilvl w:val="0"/>
          <w:numId w:val="12"/>
        </w:numPr>
        <w:tabs>
          <w:tab w:val="clear" w:pos="567"/>
          <w:tab w:val="clear" w:pos="1134"/>
          <w:tab w:val="clear" w:pos="2268"/>
        </w:tabs>
        <w:spacing w:before="120" w:after="120"/>
        <w:ind w:left="567" w:firstLine="567"/>
        <w:contextualSpacing w:val="0"/>
        <w:rPr>
          <w:rFonts w:eastAsia="Times New Roman"/>
        </w:rPr>
      </w:pPr>
      <w:r w:rsidRPr="00E803BF">
        <w:t xml:space="preserve">(proposition) </w:t>
      </w:r>
      <w:r w:rsidR="005F6580" w:rsidRPr="00872B80">
        <w:rPr>
          <w:i/>
          <w:iCs/>
        </w:rPr>
        <w:t>Prie</w:t>
      </w:r>
      <w:r w:rsidR="005F6580" w:rsidRPr="00872B80">
        <w:t xml:space="preserve"> l’Organe subsidiaire chargé de l’application d’examiner les documents visés au </w:t>
      </w:r>
      <w:r w:rsidR="005F6580" w:rsidRPr="004710EF">
        <w:t>paragraphe 8 ci-dessus</w:t>
      </w:r>
      <w:r w:rsidR="005F6580" w:rsidRPr="00872B80">
        <w:t xml:space="preserve"> et d’élaborer des recommandations qui seront soumises à la Conférence des Parties pour examen à sa dix-huitième réunion ;</w:t>
      </w:r>
    </w:p>
    <w:p w14:paraId="3582ED3C" w14:textId="6687538F" w:rsidR="005F6580" w:rsidRDefault="00D42891" w:rsidP="008405D8">
      <w:pPr>
        <w:pStyle w:val="CBDNormalNumber"/>
        <w:numPr>
          <w:ilvl w:val="0"/>
          <w:numId w:val="12"/>
        </w:numPr>
        <w:tabs>
          <w:tab w:val="clear" w:pos="567"/>
        </w:tabs>
        <w:ind w:left="567" w:firstLine="567"/>
        <w:rPr>
          <w:bCs/>
        </w:rPr>
      </w:pPr>
      <w:r>
        <w:rPr>
          <w:bCs/>
          <w:i/>
          <w:iCs/>
        </w:rPr>
        <w:t>(</w:t>
      </w:r>
      <w:r w:rsidRPr="00D42891">
        <w:rPr>
          <w:bCs/>
        </w:rPr>
        <w:t xml:space="preserve">proposition) </w:t>
      </w:r>
      <w:r w:rsidR="005F6580" w:rsidRPr="00872B80">
        <w:rPr>
          <w:bCs/>
          <w:i/>
          <w:iCs/>
        </w:rPr>
        <w:t xml:space="preserve">Affirme </w:t>
      </w:r>
      <w:r w:rsidR="005F6580" w:rsidRPr="00872B80">
        <w:rPr>
          <w:bCs/>
        </w:rPr>
        <w:t xml:space="preserve">qu’aucune des dispositions de la présente décision ne saurait être interprétée </w:t>
      </w:r>
      <w:r w:rsidR="005F6580">
        <w:rPr>
          <w:bCs/>
        </w:rPr>
        <w:t>comme modifiant</w:t>
      </w:r>
      <w:r w:rsidR="005F6580" w:rsidRPr="00872B80">
        <w:rPr>
          <w:bCs/>
        </w:rPr>
        <w:t xml:space="preserve"> les obligations qui inc</w:t>
      </w:r>
      <w:r w:rsidR="005F6580">
        <w:rPr>
          <w:bCs/>
        </w:rPr>
        <w:t>o</w:t>
      </w:r>
      <w:r w:rsidR="005F6580" w:rsidRPr="00872B80">
        <w:rPr>
          <w:bCs/>
        </w:rPr>
        <w:t xml:space="preserve">mbent aux Parties </w:t>
      </w:r>
      <w:r w:rsidR="005F6580">
        <w:rPr>
          <w:bCs/>
        </w:rPr>
        <w:t>au titre de l’a</w:t>
      </w:r>
      <w:r w:rsidR="005F6580" w:rsidRPr="00872B80">
        <w:rPr>
          <w:bCs/>
        </w:rPr>
        <w:t>rticle</w:t>
      </w:r>
      <w:r w:rsidR="007D29FC">
        <w:rPr>
          <w:bCs/>
        </w:rPr>
        <w:t> </w:t>
      </w:r>
      <w:r w:rsidR="005F6580" w:rsidRPr="00872B80">
        <w:rPr>
          <w:bCs/>
        </w:rPr>
        <w:t xml:space="preserve">20 </w:t>
      </w:r>
      <w:r w:rsidR="005F6580">
        <w:rPr>
          <w:bCs/>
        </w:rPr>
        <w:t>de la</w:t>
      </w:r>
      <w:r w:rsidR="005F6580" w:rsidRPr="00872B80">
        <w:rPr>
          <w:bCs/>
        </w:rPr>
        <w:t xml:space="preserve"> Convention</w:t>
      </w:r>
      <w:r w:rsidR="005F6580" w:rsidRPr="007D29FC">
        <w:t xml:space="preserve"> </w:t>
      </w:r>
      <w:r w:rsidR="005F6580" w:rsidRPr="00872B80">
        <w:rPr>
          <w:bCs/>
        </w:rPr>
        <w:t xml:space="preserve">; </w:t>
      </w:r>
    </w:p>
    <w:p w14:paraId="7EEC3E09" w14:textId="45E829D4" w:rsidR="008D7A63" w:rsidRPr="00525E79" w:rsidRDefault="00771D7B" w:rsidP="00D35681">
      <w:pPr>
        <w:pStyle w:val="CBDNormalNumber"/>
        <w:numPr>
          <w:ilvl w:val="0"/>
          <w:numId w:val="0"/>
        </w:numPr>
        <w:tabs>
          <w:tab w:val="clear" w:pos="567"/>
          <w:tab w:val="clear" w:pos="1134"/>
        </w:tabs>
        <w:ind w:left="567" w:firstLine="567"/>
      </w:pPr>
      <w:r>
        <w:t>20</w:t>
      </w:r>
      <w:r w:rsidR="00467CCC" w:rsidRPr="00525E79">
        <w:t>.</w:t>
      </w:r>
      <w:r w:rsidR="00467CCC" w:rsidRPr="00525E79">
        <w:tab/>
      </w:r>
      <w:r w:rsidR="00467CCC" w:rsidRPr="00525E79">
        <w:rPr>
          <w:i/>
          <w:iCs/>
        </w:rPr>
        <w:t xml:space="preserve">Prend note </w:t>
      </w:r>
      <w:r w:rsidR="00467CCC" w:rsidRPr="00525E79">
        <w:t>des études sur le lien entre la soutenabilité de la dette et la mise en œuvre de la Convention sur la diversité biologique ; sur la manière dont les orientations relatives aux garanties dans les mécanismes de financement de la biodiversité adoptées dans les décisions </w:t>
      </w:r>
      <w:hyperlink r:id="rId24" w:history="1">
        <w:r w:rsidR="008D7A63" w:rsidRPr="00525E79">
          <w:rPr>
            <w:rStyle w:val="Lienhypertexte"/>
          </w:rPr>
          <w:t>XII/3</w:t>
        </w:r>
      </w:hyperlink>
      <w:r w:rsidR="00467CCC" w:rsidRPr="00525E79">
        <w:t xml:space="preserve"> du 17 octobre 2014 et </w:t>
      </w:r>
      <w:hyperlink r:id="rId25" w:history="1">
        <w:r w:rsidR="008D7A63" w:rsidRPr="00525E79">
          <w:rPr>
            <w:rStyle w:val="Lienhypertexte"/>
          </w:rPr>
          <w:t>14/15</w:t>
        </w:r>
      </w:hyperlink>
      <w:r w:rsidR="00467CCC" w:rsidRPr="00525E79">
        <w:t xml:space="preserve"> du 29 octobre 2018 ont été mises en œuvre, en identifiant les bonnes pratiques et les enseignements tirés, ainsi que les possibilités d’améliorer la mise en œuvre des orientations ; et sur le lien entre le financement de la biodiversité et </w:t>
      </w:r>
      <w:r w:rsidR="00467CCC">
        <w:t>celui</w:t>
      </w:r>
      <w:r w:rsidR="00467CCC" w:rsidRPr="00525E79">
        <w:t xml:space="preserve"> </w:t>
      </w:r>
      <w:r w:rsidR="00467CCC">
        <w:t xml:space="preserve">de l’action </w:t>
      </w:r>
      <w:r w:rsidR="00467CCC" w:rsidRPr="00525E79">
        <w:t>climatique</w:t>
      </w:r>
      <w:r w:rsidR="00467CCC">
        <w:t> ;</w:t>
      </w:r>
    </w:p>
    <w:p w14:paraId="4814E58A" w14:textId="2C5618CA" w:rsidR="008D7A63" w:rsidRPr="00525E79" w:rsidRDefault="00503C5A" w:rsidP="00D35681">
      <w:pPr>
        <w:pStyle w:val="CBDNormalNumber"/>
        <w:numPr>
          <w:ilvl w:val="0"/>
          <w:numId w:val="0"/>
        </w:numPr>
        <w:tabs>
          <w:tab w:val="clear" w:pos="567"/>
          <w:tab w:val="clear" w:pos="1134"/>
        </w:tabs>
        <w:ind w:left="567" w:firstLine="567"/>
      </w:pPr>
      <w:r>
        <w:t>21</w:t>
      </w:r>
      <w:r w:rsidR="00467CCC" w:rsidRPr="00525E79">
        <w:t>.</w:t>
      </w:r>
      <w:r w:rsidR="00467CCC" w:rsidRPr="00525E79">
        <w:tab/>
      </w:r>
      <w:r w:rsidR="00467CCC" w:rsidRPr="00525E79">
        <w:rPr>
          <w:i/>
          <w:iCs/>
        </w:rPr>
        <w:t xml:space="preserve">Invite </w:t>
      </w:r>
      <w:r w:rsidR="00467CCC" w:rsidRPr="00525E79">
        <w:t>les Parties et les autres gouvernements à examiner les trois études dans le cadre de leurs travaux en vue de mobiliser des ressources financières de toutes sources, selon qu’il convient et en fonction de leur situation, de leurs priorités et de leurs capacités nationales, conformément à leur législation nationale et à l</w:t>
      </w:r>
      <w:r w:rsidR="00467CCC">
        <w:t>’</w:t>
      </w:r>
      <w:r w:rsidR="00467CCC" w:rsidRPr="00525E79">
        <w:t>article 3 de la Convention ainsi qu</w:t>
      </w:r>
      <w:r w:rsidR="00467CCC">
        <w:t>’</w:t>
      </w:r>
      <w:r w:rsidR="00467CCC" w:rsidRPr="00525E79">
        <w:t>à la section C et à la cible 19 du Cadre mondial de la biodiversité de Kunming-Montréal ;</w:t>
      </w:r>
    </w:p>
    <w:p w14:paraId="64B6CC27" w14:textId="58BFFCD0" w:rsidR="008D7A63" w:rsidRDefault="0029444A" w:rsidP="00D35681">
      <w:pPr>
        <w:pStyle w:val="CBDNormalNumber"/>
        <w:numPr>
          <w:ilvl w:val="0"/>
          <w:numId w:val="0"/>
        </w:numPr>
        <w:tabs>
          <w:tab w:val="clear" w:pos="567"/>
          <w:tab w:val="clear" w:pos="1134"/>
        </w:tabs>
        <w:ind w:left="567" w:firstLine="567"/>
        <w:rPr>
          <w:lang w:eastAsia="zh-CN"/>
        </w:rPr>
      </w:pPr>
      <w:r>
        <w:t>22</w:t>
      </w:r>
      <w:r w:rsidR="00467CCC" w:rsidRPr="00525E79">
        <w:t>.</w:t>
      </w:r>
      <w:r w:rsidR="00467CCC" w:rsidRPr="00525E79">
        <w:tab/>
      </w:r>
      <w:r w:rsidR="00467CCC" w:rsidRPr="00525E79">
        <w:rPr>
          <w:i/>
          <w:iCs/>
        </w:rPr>
        <w:t xml:space="preserve">Invite </w:t>
      </w:r>
      <w:r w:rsidR="00467CCC" w:rsidRPr="00525E79">
        <w:t>les organisations internationales compétentes et les initiatives internationales pertinentes, les banques régionales de développement et les autres institutions financières régionales et internationales, ainsi que les organisations parties prenantes, selon qu</w:t>
      </w:r>
      <w:r w:rsidR="00467CCC">
        <w:t>’</w:t>
      </w:r>
      <w:r w:rsidR="00467CCC" w:rsidRPr="00525E79">
        <w:t>il convient et conformément à leurs mandats respectifs, à examiner les trois études dans le cadre de leurs travaux sur le financement de la biodiversité</w:t>
      </w:r>
      <w:r w:rsidR="00467CCC">
        <w:t> ;</w:t>
      </w:r>
    </w:p>
    <w:p w14:paraId="53C2D905" w14:textId="1E332DDF" w:rsidR="008D7A63" w:rsidRDefault="0029444A" w:rsidP="00D35681">
      <w:pPr>
        <w:pStyle w:val="CBDNormalNoNumber"/>
        <w:shd w:val="clear" w:color="auto" w:fill="FFFFFF" w:themeFill="background1"/>
        <w:tabs>
          <w:tab w:val="clear" w:pos="567"/>
          <w:tab w:val="clear" w:pos="1134"/>
        </w:tabs>
        <w:ind w:firstLine="567"/>
        <w:rPr>
          <w:lang w:eastAsia="zh-CN"/>
        </w:rPr>
      </w:pPr>
      <w:r>
        <w:t>23</w:t>
      </w:r>
      <w:r w:rsidR="00467CCC" w:rsidRPr="00525E79">
        <w:t>.</w:t>
      </w:r>
      <w:r w:rsidR="00467CCC" w:rsidRPr="00525E79">
        <w:rPr>
          <w:b/>
          <w:bCs/>
        </w:rPr>
        <w:tab/>
      </w:r>
      <w:r w:rsidR="00467CCC" w:rsidRPr="00525E79">
        <w:rPr>
          <w:i/>
          <w:iCs/>
        </w:rPr>
        <w:t xml:space="preserve">Invite </w:t>
      </w:r>
      <w:r w:rsidR="00467CCC" w:rsidRPr="00525E79">
        <w:t>les Parties et les autres gouvernements à envisager, à titre volontaire, conformément à la section C du Cadre :</w:t>
      </w:r>
    </w:p>
    <w:p w14:paraId="750C8162" w14:textId="77777777" w:rsidR="00543F83" w:rsidRDefault="00467CCC">
      <w:pPr>
        <w:pStyle w:val="CBDNormalNoNumber"/>
        <w:shd w:val="clear" w:color="auto" w:fill="FFFFFF" w:themeFill="background1"/>
        <w:tabs>
          <w:tab w:val="clear" w:pos="567"/>
          <w:tab w:val="clear" w:pos="1134"/>
        </w:tabs>
        <w:ind w:firstLine="567"/>
        <w:rPr>
          <w:lang w:eastAsia="zh-CN"/>
        </w:rPr>
      </w:pPr>
      <w:r>
        <w:lastRenderedPageBreak/>
        <w:t>a)</w:t>
      </w:r>
      <w:r>
        <w:tab/>
        <w:t>De tenir compte du caractère propre à chaque contexte du lien entre la soutenabilité de la dette et la mise en œuvre de la Convention, y compris des niveaux de tension liés à la dette dans les pays en développement, en particulier dans les pays les moins avancés et les petits États insulaires en développement parmi eux ;</w:t>
      </w:r>
    </w:p>
    <w:p w14:paraId="7BCC945E" w14:textId="77777777" w:rsidR="008D7A63" w:rsidRPr="00674F91" w:rsidRDefault="00467CCC" w:rsidP="00D35681">
      <w:pPr>
        <w:pStyle w:val="CBDNormalNoNumber"/>
        <w:shd w:val="clear" w:color="auto" w:fill="FFFFFF" w:themeFill="background1"/>
        <w:tabs>
          <w:tab w:val="clear" w:pos="567"/>
          <w:tab w:val="clear" w:pos="1134"/>
        </w:tabs>
        <w:ind w:firstLine="567"/>
        <w:rPr>
          <w:lang w:eastAsia="zh-CN"/>
        </w:rPr>
      </w:pPr>
      <w:r w:rsidRPr="00525E79">
        <w:t>b)</w:t>
      </w:r>
      <w:r w:rsidRPr="00525E79">
        <w:tab/>
      </w:r>
      <w:r w:rsidRPr="00674F91">
        <w:rPr>
          <w:lang w:eastAsia="zh-CN"/>
        </w:rPr>
        <w:t>D’évaluer la pertinence et les implications de l</w:t>
      </w:r>
      <w:r>
        <w:rPr>
          <w:lang w:eastAsia="zh-CN"/>
        </w:rPr>
        <w:t>’</w:t>
      </w:r>
      <w:r w:rsidRPr="00674F91">
        <w:rPr>
          <w:lang w:eastAsia="zh-CN"/>
        </w:rPr>
        <w:t>utilisation d</w:t>
      </w:r>
      <w:r>
        <w:rPr>
          <w:lang w:eastAsia="zh-CN"/>
        </w:rPr>
        <w:t>’</w:t>
      </w:r>
      <w:r w:rsidRPr="00674F91">
        <w:rPr>
          <w:lang w:eastAsia="zh-CN"/>
        </w:rPr>
        <w:t>instruments liés à la dette pour mettre en œuvre les stratégies et plans d’action nationaux pour la biodiversité, et d’étudier de nouvelles possibilités à cet égard, ainsi que la manière dont ces instruments pourraient être pris en compte dans les plans nationaux de financement de la biodiversité ou dans des instruments et cadres de planification similaires, sans créer de conditionnalités supplémentaires ni restreindre la marge de manœuvre budgétaire nationale ;</w:t>
      </w:r>
    </w:p>
    <w:p w14:paraId="7264DF71" w14:textId="77777777" w:rsidR="008D7A63" w:rsidRDefault="00467CCC" w:rsidP="00D35681">
      <w:pPr>
        <w:pStyle w:val="CBDNormalNoNumber"/>
        <w:shd w:val="clear" w:color="auto" w:fill="FFFFFF" w:themeFill="background1"/>
        <w:tabs>
          <w:tab w:val="clear" w:pos="567"/>
          <w:tab w:val="clear" w:pos="1134"/>
        </w:tabs>
        <w:ind w:firstLine="567"/>
        <w:rPr>
          <w:lang w:eastAsia="zh-CN"/>
        </w:rPr>
      </w:pPr>
      <w:r w:rsidRPr="0078476E">
        <w:t>c)</w:t>
      </w:r>
      <w:r w:rsidRPr="0078476E">
        <w:tab/>
        <w:t>De renforcer, lorsque</w:t>
      </w:r>
      <w:r>
        <w:t xml:space="preserve"> les risques budgétaires et économiques liés à la biodiversité sont pertinents au niveau national,</w:t>
      </w:r>
      <w:r w:rsidRPr="0078476E">
        <w:t xml:space="preserve"> l</w:t>
      </w:r>
      <w:r>
        <w:t>’</w:t>
      </w:r>
      <w:r w:rsidRPr="0078476E">
        <w:t xml:space="preserve">intégration des </w:t>
      </w:r>
      <w:r>
        <w:t>considérations pertinentes relatives à</w:t>
      </w:r>
      <w:r w:rsidRPr="0078476E">
        <w:t xml:space="preserve"> </w:t>
      </w:r>
      <w:r>
        <w:t xml:space="preserve">la </w:t>
      </w:r>
      <w:r w:rsidRPr="0078476E">
        <w:t xml:space="preserve">biodiversité dans les stratégies nationales de gestion de la dette et </w:t>
      </w:r>
      <w:r>
        <w:t>dans les évaluations nationales de la situation budgétaire et de la soutenabilité de la dette, et d’étudier d’autres voies</w:t>
      </w:r>
      <w:r w:rsidRPr="0078476E">
        <w:t xml:space="preserve"> de gestion de </w:t>
      </w:r>
      <w:r>
        <w:t xml:space="preserve">la </w:t>
      </w:r>
      <w:r w:rsidRPr="0078476E">
        <w:t xml:space="preserve">dette qui ne </w:t>
      </w:r>
      <w:r>
        <w:t>se traduisent</w:t>
      </w:r>
      <w:r w:rsidRPr="0078476E">
        <w:t xml:space="preserve"> pas </w:t>
      </w:r>
      <w:r>
        <w:t>par</w:t>
      </w:r>
      <w:r w:rsidRPr="0078476E">
        <w:t xml:space="preserve"> des flux financiers néfastes à la biodiversité</w:t>
      </w:r>
      <w:r>
        <w:t> ;</w:t>
      </w:r>
      <w:r w:rsidRPr="0078476E">
        <w:t xml:space="preserve"> </w:t>
      </w:r>
    </w:p>
    <w:p w14:paraId="22DCF7A6" w14:textId="77777777" w:rsidR="008D7A63" w:rsidRDefault="00467CCC" w:rsidP="00D35681">
      <w:pPr>
        <w:pStyle w:val="CBDNormalNoNumber"/>
        <w:shd w:val="clear" w:color="auto" w:fill="FFFFFF" w:themeFill="background1"/>
        <w:tabs>
          <w:tab w:val="clear" w:pos="567"/>
          <w:tab w:val="clear" w:pos="1134"/>
        </w:tabs>
        <w:ind w:firstLine="567"/>
      </w:pPr>
      <w:r w:rsidRPr="0078476E">
        <w:t>d)</w:t>
      </w:r>
      <w:r w:rsidRPr="0078476E">
        <w:tab/>
        <w:t>D’étudier d’autres possibilités</w:t>
      </w:r>
      <w:r>
        <w:t>, le cas échéant, d’utiliser des instruments budgétaires</w:t>
      </w:r>
      <w:r w:rsidRPr="0078476E">
        <w:t xml:space="preserve"> liés à la dette pour </w:t>
      </w:r>
      <w:r>
        <w:t>appuyer la mise en œuvre des mesures</w:t>
      </w:r>
      <w:r w:rsidRPr="0078476E">
        <w:t xml:space="preserve"> en faveur de la biodiversité</w:t>
      </w:r>
      <w:r>
        <w:t>, en tenant co</w:t>
      </w:r>
      <w:r w:rsidRPr="0078476E">
        <w:t>mpte du contexte et de la situation de chaque pays</w:t>
      </w:r>
      <w:r>
        <w:t> ;</w:t>
      </w:r>
      <w:r w:rsidRPr="0078476E">
        <w:t xml:space="preserve"> </w:t>
      </w:r>
    </w:p>
    <w:p w14:paraId="1215700D" w14:textId="3E05DA49" w:rsidR="00543F83" w:rsidRDefault="00DD47E9">
      <w:pPr>
        <w:pStyle w:val="CBDNormalNoNumber"/>
        <w:shd w:val="clear" w:color="auto" w:fill="FFFFFF" w:themeFill="background1"/>
        <w:ind w:firstLine="567"/>
        <w:rPr>
          <w:lang w:eastAsia="zh-CN"/>
        </w:rPr>
      </w:pPr>
      <w:r>
        <w:t>e</w:t>
      </w:r>
      <w:r w:rsidR="00467CCC">
        <w:t>)</w:t>
      </w:r>
      <w:r w:rsidR="00467CCC">
        <w:tab/>
        <w:t>De prendre en considération, selon qu’il convient, la participation pleine et effective des peuples autochtones et communautés locales, des femmes, des jeunes, du secteur privé et des parties prenantes concernées à la réalisation des activités énumérées ci-dessus ;]</w:t>
      </w:r>
    </w:p>
    <w:p w14:paraId="5B7866E8" w14:textId="1F31E17C" w:rsidR="008D7A63" w:rsidRPr="00271490" w:rsidRDefault="00DD47E9" w:rsidP="00D35681">
      <w:pPr>
        <w:pStyle w:val="CBDNormalNoNumber"/>
        <w:shd w:val="clear" w:color="auto" w:fill="FFFFFF" w:themeFill="background1"/>
        <w:tabs>
          <w:tab w:val="clear" w:pos="567"/>
          <w:tab w:val="clear" w:pos="1134"/>
        </w:tabs>
        <w:ind w:firstLine="567"/>
        <w:rPr>
          <w:rFonts w:eastAsia="Arial"/>
        </w:rPr>
      </w:pPr>
      <w:r>
        <w:t>24</w:t>
      </w:r>
      <w:r w:rsidR="00467CCC" w:rsidRPr="00271490">
        <w:t>.</w:t>
      </w:r>
      <w:r w:rsidR="00467CCC" w:rsidRPr="00271490">
        <w:rPr>
          <w:b/>
          <w:bCs/>
        </w:rPr>
        <w:tab/>
      </w:r>
      <w:r w:rsidR="00467CCC" w:rsidRPr="00271490">
        <w:rPr>
          <w:i/>
          <w:iCs/>
        </w:rPr>
        <w:t>Encourage</w:t>
      </w:r>
      <w:r w:rsidR="00467CCC" w:rsidRPr="00271490">
        <w:t xml:space="preserve"> les </w:t>
      </w:r>
      <w:r w:rsidR="00467CCC">
        <w:t>organisations et initiatives internationales ou régionales</w:t>
      </w:r>
      <w:r w:rsidR="00467CCC" w:rsidRPr="00271490">
        <w:t xml:space="preserve"> compétentes, comme l</w:t>
      </w:r>
      <w:r w:rsidR="00467CCC">
        <w:t>’</w:t>
      </w:r>
      <w:r w:rsidR="00467CCC" w:rsidRPr="00271490">
        <w:t>initiative de financement de la biodiversité du Programme des Nations Unies pour le développement, à appuyer les activités décrites au paragraphe </w:t>
      </w:r>
      <w:r w:rsidR="000909E7">
        <w:t>23</w:t>
      </w:r>
      <w:r w:rsidR="00467CCC" w:rsidRPr="00271490">
        <w:t xml:space="preserve"> ci-dessus, notamment en identifiant les bonnes pratiques et les enseignements tirés</w:t>
      </w:r>
      <w:r w:rsidR="00467CCC">
        <w:t xml:space="preserve"> et en soutenant les efforts visant à améliorer leur visibilité ;</w:t>
      </w:r>
    </w:p>
    <w:p w14:paraId="3510B75C" w14:textId="4AF480BC" w:rsidR="008D7A63" w:rsidRPr="00271490" w:rsidRDefault="000909E7" w:rsidP="00D35681">
      <w:pPr>
        <w:pStyle w:val="CBDNormalNoNumber"/>
        <w:shd w:val="clear" w:color="auto" w:fill="FFFFFF" w:themeFill="background1"/>
        <w:tabs>
          <w:tab w:val="clear" w:pos="567"/>
          <w:tab w:val="clear" w:pos="1134"/>
        </w:tabs>
        <w:ind w:firstLine="567"/>
      </w:pPr>
      <w:r>
        <w:t>25</w:t>
      </w:r>
      <w:r w:rsidR="00467CCC" w:rsidRPr="00271490">
        <w:rPr>
          <w:i/>
          <w:iCs/>
        </w:rPr>
        <w:t>.</w:t>
      </w:r>
      <w:r w:rsidR="00467CCC" w:rsidRPr="00271490">
        <w:rPr>
          <w:i/>
          <w:iCs/>
        </w:rPr>
        <w:tab/>
        <w:t xml:space="preserve">Invite </w:t>
      </w:r>
      <w:r w:rsidR="00467CCC" w:rsidRPr="00271490">
        <w:t>les Parties, selon qu’il convient et en fonction de leur situation, de leurs priorités et de leurs capacités nationales, et conformément à leur législation nationale, ainsi que les autres gouvernements à tous les niveaux, les organisations professionnelles et les autres parties prenantes, ainsi que les banques de développement nationales, régionales et internationales et les autres institutions financières, selon le cas et conformément à leurs mandats respectifs :</w:t>
      </w:r>
    </w:p>
    <w:p w14:paraId="5D571F89" w14:textId="77777777" w:rsidR="008D7A63" w:rsidRPr="00AD7CEE" w:rsidRDefault="00467CCC" w:rsidP="00D35681">
      <w:pPr>
        <w:pStyle w:val="CBDNormalNoNumber"/>
        <w:shd w:val="clear" w:color="auto" w:fill="FFFFFF" w:themeFill="background1"/>
        <w:tabs>
          <w:tab w:val="clear" w:pos="567"/>
          <w:tab w:val="clear" w:pos="1134"/>
        </w:tabs>
        <w:ind w:firstLine="567"/>
      </w:pPr>
      <w:r w:rsidRPr="00271490">
        <w:t>a)</w:t>
      </w:r>
      <w:r w:rsidRPr="00271490">
        <w:tab/>
        <w:t xml:space="preserve">À tenir compte des lignes directrices facultatives </w:t>
      </w:r>
      <w:r>
        <w:t>sur les garanties dans les mécanismes de financement de la diversité biologique</w:t>
      </w:r>
      <w:r w:rsidRPr="000468B4">
        <w:rPr>
          <w:rStyle w:val="Appelnotedebasdep"/>
        </w:rPr>
        <w:footnoteReference w:id="5"/>
      </w:r>
      <w:r w:rsidRPr="000468B4">
        <w:t xml:space="preserve"> au</w:t>
      </w:r>
      <w:r>
        <w:t xml:space="preserve"> moment de choisir, de concevoir et d’appliquer c</w:t>
      </w:r>
      <w:r w:rsidRPr="00271490">
        <w:t>es mécanismes et dans le cadre de l</w:t>
      </w:r>
      <w:r>
        <w:t>’</w:t>
      </w:r>
      <w:r w:rsidRPr="00271490">
        <w:t xml:space="preserve">élaboration de garanties propres </w:t>
      </w:r>
      <w:r>
        <w:t xml:space="preserve">à chaque instrument, </w:t>
      </w:r>
      <w:r w:rsidRPr="00271490">
        <w:t>afin d</w:t>
      </w:r>
      <w:r>
        <w:t>’</w:t>
      </w:r>
      <w:r w:rsidRPr="00271490">
        <w:t>exploiter leurs effets positifs de manière efficace et d</w:t>
      </w:r>
      <w:r>
        <w:t>’</w:t>
      </w:r>
      <w:r w:rsidRPr="00271490">
        <w:t>éviter ou d</w:t>
      </w:r>
      <w:r>
        <w:t>’</w:t>
      </w:r>
      <w:r w:rsidRPr="00271490">
        <w:t>atténuer les effets négatifs</w:t>
      </w:r>
      <w:r w:rsidRPr="00AD7CEE">
        <w:t> ;</w:t>
      </w:r>
    </w:p>
    <w:p w14:paraId="72619FCF" w14:textId="77777777" w:rsidR="008D7A63" w:rsidRPr="00AD7CEE" w:rsidRDefault="00467CCC" w:rsidP="00D35681">
      <w:pPr>
        <w:pStyle w:val="CBDNormalNoNumber"/>
        <w:shd w:val="clear" w:color="auto" w:fill="FFFFFF" w:themeFill="background1"/>
        <w:tabs>
          <w:tab w:val="clear" w:pos="567"/>
          <w:tab w:val="clear" w:pos="1134"/>
        </w:tabs>
        <w:ind w:firstLine="567"/>
        <w:rPr>
          <w:i/>
          <w:iCs/>
        </w:rPr>
      </w:pPr>
      <w:r w:rsidRPr="00AD7CEE">
        <w:t>b)</w:t>
      </w:r>
      <w:r w:rsidRPr="00AD7CEE">
        <w:tab/>
        <w:t>À tenir compte des lignes directrices facultatives sur les garanties dans les mécanismes de financement de la diversité biologique dans le cadre de l’examen et de l</w:t>
      </w:r>
      <w:r>
        <w:t>’</w:t>
      </w:r>
      <w:r w:rsidRPr="00AD7CEE">
        <w:t>harmonisation en cours des</w:t>
      </w:r>
      <w:r>
        <w:t xml:space="preserve"> normes en matière de</w:t>
      </w:r>
      <w:r w:rsidRPr="00AD7CEE">
        <w:t xml:space="preserve"> garanties, le cas échéant, notamment en les alignant sur les cadres juridiques et réglementaires nationaux pertinents, en vue de faciliter leur mise en œuvre effective aux niveaux national et local ;</w:t>
      </w:r>
    </w:p>
    <w:p w14:paraId="263CCE9F" w14:textId="77777777" w:rsidR="008D7A63" w:rsidRPr="00AD7CEE" w:rsidRDefault="00467CCC" w:rsidP="00D35681">
      <w:pPr>
        <w:pStyle w:val="CBDNormalNoNumber"/>
        <w:shd w:val="clear" w:color="auto" w:fill="FFFFFF" w:themeFill="background1"/>
        <w:tabs>
          <w:tab w:val="clear" w:pos="567"/>
          <w:tab w:val="clear" w:pos="1134"/>
        </w:tabs>
        <w:ind w:firstLine="567"/>
        <w:rPr>
          <w:i/>
          <w:iCs/>
        </w:rPr>
      </w:pPr>
      <w:r w:rsidRPr="00AD7CEE">
        <w:t>c)</w:t>
      </w:r>
      <w:r w:rsidRPr="00AD7CEE">
        <w:tab/>
      </w:r>
      <w:r>
        <w:t>À assurer et à consolider la création</w:t>
      </w:r>
      <w:r w:rsidRPr="00AD7CEE">
        <w:t xml:space="preserve"> et </w:t>
      </w:r>
      <w:r>
        <w:t>le</w:t>
      </w:r>
      <w:r w:rsidRPr="00AD7CEE">
        <w:t xml:space="preserve"> renforcement des capacités </w:t>
      </w:r>
      <w:r>
        <w:t>aux fins de</w:t>
      </w:r>
      <w:r w:rsidRPr="00AD7CEE">
        <w:t xml:space="preserve"> l</w:t>
      </w:r>
      <w:r>
        <w:t>’</w:t>
      </w:r>
      <w:r w:rsidRPr="00AD7CEE">
        <w:t>application effective des normes en matière de garanties, selon qu</w:t>
      </w:r>
      <w:r>
        <w:t>’</w:t>
      </w:r>
      <w:r w:rsidRPr="00AD7CEE">
        <w:t>il convient ;</w:t>
      </w:r>
    </w:p>
    <w:p w14:paraId="05CF7E5C" w14:textId="77777777" w:rsidR="008D7A63" w:rsidRPr="00AD7CEE" w:rsidRDefault="00467CCC" w:rsidP="00D35681">
      <w:pPr>
        <w:pStyle w:val="CBDNormalNoNumber"/>
        <w:tabs>
          <w:tab w:val="clear" w:pos="567"/>
          <w:tab w:val="clear" w:pos="1134"/>
        </w:tabs>
        <w:ind w:firstLine="567"/>
        <w:rPr>
          <w:i/>
          <w:iCs/>
        </w:rPr>
      </w:pPr>
      <w:r w:rsidRPr="00AD7CEE">
        <w:t>d)</w:t>
      </w:r>
      <w:r w:rsidRPr="00AD7CEE">
        <w:tab/>
        <w:t xml:space="preserve">À partager les études de cas, </w:t>
      </w:r>
      <w:r>
        <w:t xml:space="preserve">les </w:t>
      </w:r>
      <w:r w:rsidRPr="00AD7CEE">
        <w:t xml:space="preserve">bonnes pratiques, </w:t>
      </w:r>
      <w:r>
        <w:t xml:space="preserve">les </w:t>
      </w:r>
      <w:r w:rsidRPr="00AD7CEE">
        <w:t xml:space="preserve">enseignements tirés et </w:t>
      </w:r>
      <w:r>
        <w:t xml:space="preserve">le </w:t>
      </w:r>
      <w:r w:rsidRPr="00AD7CEE">
        <w:t>matériel d</w:t>
      </w:r>
      <w:r>
        <w:t>’</w:t>
      </w:r>
      <w:r w:rsidRPr="00AD7CEE">
        <w:t xml:space="preserve">orientation connexe pertinents </w:t>
      </w:r>
      <w:r>
        <w:t>au moyen du</w:t>
      </w:r>
      <w:r w:rsidRPr="00AD7CEE">
        <w:t xml:space="preserve"> centre d</w:t>
      </w:r>
      <w:r>
        <w:t>’</w:t>
      </w:r>
      <w:r w:rsidRPr="00AD7CEE">
        <w:t>échange de la Convention ;</w:t>
      </w:r>
    </w:p>
    <w:p w14:paraId="042F45AD" w14:textId="7A8F9429" w:rsidR="008D7A63" w:rsidRPr="007A36C2" w:rsidRDefault="00B67886" w:rsidP="00D35681">
      <w:pPr>
        <w:pStyle w:val="CBDNormalNoNumber"/>
        <w:tabs>
          <w:tab w:val="clear" w:pos="567"/>
          <w:tab w:val="clear" w:pos="1134"/>
        </w:tabs>
        <w:ind w:firstLine="567"/>
      </w:pPr>
      <w:r>
        <w:t>26</w:t>
      </w:r>
      <w:r w:rsidR="00467CCC" w:rsidRPr="00AD7CEE">
        <w:t>.</w:t>
      </w:r>
      <w:r w:rsidR="00467CCC" w:rsidRPr="00AD7CEE">
        <w:tab/>
      </w:r>
      <w:r w:rsidR="00467CCC" w:rsidRPr="00AD7CEE">
        <w:rPr>
          <w:i/>
          <w:iCs/>
        </w:rPr>
        <w:t xml:space="preserve">Invite </w:t>
      </w:r>
      <w:r w:rsidR="00467CCC" w:rsidRPr="00AD7CEE">
        <w:t xml:space="preserve">les Parties, selon qu’il convient et en fonction de leur situation, de leurs priorités et de leurs capacités nationales, conformément à la législation nationale, ainsi que les autres </w:t>
      </w:r>
      <w:r w:rsidR="00467CCC" w:rsidRPr="00AD7CEE">
        <w:lastRenderedPageBreak/>
        <w:t>gouvernements à tous les niveaux, les organes directeurs des accords environnementaux pertinents, les</w:t>
      </w:r>
      <w:r w:rsidR="00467CCC" w:rsidRPr="007A36C2">
        <w:t xml:space="preserve"> organisations professionnelles et les autres parties prenantes, ainsi que les banques de développement nationales, régionales et internationales et les autres institutions financières, selon le cas et conformément à leurs mandats respectifs, à continuer </w:t>
      </w:r>
      <w:r w:rsidR="00467CCC">
        <w:t>d’optimiser les</w:t>
      </w:r>
      <w:r w:rsidR="00467CCC" w:rsidRPr="007A36C2">
        <w:t xml:space="preserve"> avantages connexes et </w:t>
      </w:r>
      <w:r w:rsidR="00467CCC">
        <w:t>les synergies entre le financement de la biodiversité et celui de l’action climatique</w:t>
      </w:r>
      <w:r w:rsidR="00467CCC" w:rsidRPr="007A36C2">
        <w:t>, tout en évitant le</w:t>
      </w:r>
      <w:r w:rsidR="00467CCC">
        <w:t>s</w:t>
      </w:r>
      <w:r w:rsidR="00467CCC" w:rsidRPr="007A36C2">
        <w:t xml:space="preserve"> double</w:t>
      </w:r>
      <w:r w:rsidR="00467CCC">
        <w:t>s</w:t>
      </w:r>
      <w:r w:rsidR="00467CCC" w:rsidRPr="007A36C2">
        <w:t xml:space="preserve"> emploi</w:t>
      </w:r>
      <w:r w:rsidR="00467CCC">
        <w:t>s</w:t>
      </w:r>
      <w:r w:rsidR="00467CCC" w:rsidRPr="007A36C2">
        <w:t xml:space="preserve"> entre les secrétariats des conventions et en respectant leurs différents mandats :</w:t>
      </w:r>
    </w:p>
    <w:p w14:paraId="24909E72" w14:textId="77777777" w:rsidR="008D7A63" w:rsidRPr="007A36C2" w:rsidRDefault="00467CCC" w:rsidP="00D35681">
      <w:pPr>
        <w:pStyle w:val="CBDNormalNoNumber"/>
        <w:tabs>
          <w:tab w:val="clear" w:pos="567"/>
          <w:tab w:val="clear" w:pos="1134"/>
        </w:tabs>
        <w:ind w:firstLine="567"/>
      </w:pPr>
      <w:r w:rsidRPr="007A36C2">
        <w:t>a)</w:t>
      </w:r>
      <w:r w:rsidRPr="007A36C2">
        <w:tab/>
        <w:t>En tirant parti des nouvelles possibilités de créer ou d’amplifier les synergies entre l’action en faveur de la biodiversité et les actions liées au financement de l’action climatique </w:t>
      </w:r>
      <w:r>
        <w:t>;</w:t>
      </w:r>
    </w:p>
    <w:p w14:paraId="5B1B2F6A" w14:textId="77777777" w:rsidR="008D7A63" w:rsidRPr="0078476E" w:rsidRDefault="00467CCC" w:rsidP="00D35681">
      <w:pPr>
        <w:pStyle w:val="CBDNormalNoNumber"/>
        <w:tabs>
          <w:tab w:val="clear" w:pos="567"/>
          <w:tab w:val="clear" w:pos="1134"/>
        </w:tabs>
        <w:ind w:firstLine="567"/>
      </w:pPr>
      <w:r w:rsidRPr="0078476E">
        <w:t>b)</w:t>
      </w:r>
      <w:r w:rsidRPr="0078476E">
        <w:tab/>
      </w:r>
      <w:r w:rsidRPr="00CB7906">
        <w:t>En intégrant les considérations relatives à la biodiversité, ou en améliorant leur intégration, dans les mécanismes et politiques internationaux et nationaux de financement de l’action climatique</w:t>
      </w:r>
      <w:r>
        <w:t> :</w:t>
      </w:r>
    </w:p>
    <w:p w14:paraId="3CF6D198" w14:textId="77777777" w:rsidR="008D7A63" w:rsidRPr="0078476E" w:rsidRDefault="00467CCC" w:rsidP="00D35681">
      <w:pPr>
        <w:pStyle w:val="CBDNormalNoNumber"/>
        <w:tabs>
          <w:tab w:val="clear" w:pos="567"/>
          <w:tab w:val="clear" w:pos="2268"/>
        </w:tabs>
        <w:ind w:left="1701" w:hanging="567"/>
      </w:pPr>
      <w:r w:rsidRPr="0078476E">
        <w:t>i)</w:t>
      </w:r>
      <w:r>
        <w:tab/>
      </w:r>
      <w:r w:rsidRPr="0078476E">
        <w:t>En renforçant la coordination intersectorielle au niveau national</w:t>
      </w:r>
      <w:r>
        <w:t> ;</w:t>
      </w:r>
    </w:p>
    <w:p w14:paraId="63D3971F" w14:textId="77777777" w:rsidR="008D7A63" w:rsidRPr="0078476E" w:rsidRDefault="00467CCC" w:rsidP="00D35681">
      <w:pPr>
        <w:pStyle w:val="CBDNormalNoNumber"/>
        <w:tabs>
          <w:tab w:val="clear" w:pos="567"/>
          <w:tab w:val="clear" w:pos="2268"/>
        </w:tabs>
        <w:ind w:left="1701" w:hanging="567"/>
      </w:pPr>
      <w:r w:rsidRPr="0078476E">
        <w:t>ii)</w:t>
      </w:r>
      <w:r w:rsidRPr="0078476E">
        <w:tab/>
      </w:r>
      <w:r>
        <w:t>En appliquant et en promouvant des politiques</w:t>
      </w:r>
      <w:r w:rsidRPr="0078476E">
        <w:t xml:space="preserve"> </w:t>
      </w:r>
      <w:r>
        <w:t xml:space="preserve">relatives aux garanties </w:t>
      </w:r>
      <w:r w:rsidRPr="0078476E">
        <w:t xml:space="preserve">sociales et environnementales qui réduisent et préviennent les incidences </w:t>
      </w:r>
      <w:r>
        <w:t>potentiellement</w:t>
      </w:r>
      <w:r w:rsidRPr="0078476E">
        <w:t xml:space="preserve"> </w:t>
      </w:r>
      <w:r>
        <w:t>néfastes</w:t>
      </w:r>
      <w:r w:rsidRPr="0078476E">
        <w:t xml:space="preserve"> des programmes, projets et activités liés au climat sur la biodiversité</w:t>
      </w:r>
      <w:r>
        <w:t> ;</w:t>
      </w:r>
    </w:p>
    <w:p w14:paraId="47597779" w14:textId="77777777" w:rsidR="008D7A63" w:rsidRDefault="00467CCC" w:rsidP="00D35681">
      <w:pPr>
        <w:pStyle w:val="CBDNormalNoNumber"/>
        <w:tabs>
          <w:tab w:val="clear" w:pos="567"/>
          <w:tab w:val="clear" w:pos="2268"/>
        </w:tabs>
        <w:ind w:left="1701" w:hanging="567"/>
      </w:pPr>
      <w:r w:rsidRPr="0078476E">
        <w:t>iii)</w:t>
      </w:r>
      <w:r w:rsidRPr="0078476E">
        <w:tab/>
      </w:r>
      <w:r>
        <w:t>En fixant des objectifs, en concevant des politiques, des programmes et des projets et en prenant des mesures présentant des avantages connexes pour</w:t>
      </w:r>
      <w:r w:rsidRPr="00CB7906">
        <w:t xml:space="preserve"> la biodiversité dans le cadre </w:t>
      </w:r>
      <w:r>
        <w:t xml:space="preserve">de la fourniture </w:t>
      </w:r>
      <w:r w:rsidRPr="00CB7906">
        <w:t xml:space="preserve">du financement de </w:t>
      </w:r>
      <w:r>
        <w:t>l’action climatique</w:t>
      </w:r>
      <w:r w:rsidRPr="00CB7906">
        <w:t xml:space="preserve">, </w:t>
      </w:r>
      <w:r>
        <w:t>comme</w:t>
      </w:r>
      <w:r w:rsidRPr="00CB7906">
        <w:t xml:space="preserve"> des programmes, des projets et des activités </w:t>
      </w:r>
      <w:r>
        <w:t xml:space="preserve">soutenant </w:t>
      </w:r>
      <w:r w:rsidRPr="00CB7906">
        <w:t>l</w:t>
      </w:r>
      <w:r>
        <w:t>’</w:t>
      </w:r>
      <w:r w:rsidRPr="00CB7906">
        <w:t>atténuation des changements climatiques et l</w:t>
      </w:r>
      <w:r>
        <w:t>’</w:t>
      </w:r>
      <w:r w:rsidRPr="00CB7906">
        <w:t xml:space="preserve">adaptation à leurs effets, </w:t>
      </w:r>
      <w:r>
        <w:t xml:space="preserve">au moyen </w:t>
      </w:r>
      <w:r w:rsidRPr="00CB7906">
        <w:t xml:space="preserve">de solutions </w:t>
      </w:r>
      <w:r>
        <w:t>fondées</w:t>
      </w:r>
      <w:r w:rsidRPr="00CB7906">
        <w:t xml:space="preserve"> sur la nature</w:t>
      </w:r>
      <w:r>
        <w:t xml:space="preserve"> et/ou </w:t>
      </w:r>
      <w:r w:rsidRPr="00CB7906">
        <w:t>d</w:t>
      </w:r>
      <w:r>
        <w:t>’</w:t>
      </w:r>
      <w:r w:rsidRPr="00CB7906">
        <w:t>approches écosystémiques</w:t>
      </w:r>
      <w:r>
        <w:t>, ainsi que d’autres approches appropriées</w:t>
      </w:r>
      <w:r w:rsidRPr="00CB7906">
        <w:t xml:space="preserve"> compatibles avec les objectifs de la Convention</w:t>
      </w:r>
      <w:r>
        <w:t> ;</w:t>
      </w:r>
    </w:p>
    <w:p w14:paraId="4E49366C" w14:textId="77777777" w:rsidR="00543F83" w:rsidRDefault="00467CCC">
      <w:pPr>
        <w:pStyle w:val="CBDNormalNoNumber"/>
        <w:tabs>
          <w:tab w:val="clear" w:pos="567"/>
          <w:tab w:val="clear" w:pos="2268"/>
        </w:tabs>
        <w:ind w:left="1701" w:hanging="567"/>
      </w:pPr>
      <w:r>
        <w:t>iv)</w:t>
      </w:r>
      <w:r>
        <w:tab/>
        <w:t>En élaborant et en appliquant, au stade de la planification et de la préparation des projets, selon qu’il convient, des indicateurs, des paramètres de mesure et des méthodes d’établissement de rapports compatibles afin d’évaluer les résultats pertinents en matière de biodiversité et les avantages connexes dans les programmes et projets liés au climat ;</w:t>
      </w:r>
    </w:p>
    <w:p w14:paraId="11991D98" w14:textId="3FC9746D" w:rsidR="008D7A63" w:rsidRPr="0078476E" w:rsidRDefault="00467CCC" w:rsidP="00D35681">
      <w:pPr>
        <w:pStyle w:val="CBDNormalNoNumber"/>
        <w:tabs>
          <w:tab w:val="clear" w:pos="567"/>
          <w:tab w:val="clear" w:pos="1701"/>
        </w:tabs>
        <w:ind w:left="1134" w:hanging="567"/>
      </w:pPr>
      <w:r w:rsidRPr="0078476E">
        <w:t>c)</w:t>
      </w:r>
      <w:r w:rsidRPr="0078476E">
        <w:tab/>
      </w:r>
      <w:r>
        <w:t>En accroissant considérablement la compréhension</w:t>
      </w:r>
      <w:r w:rsidRPr="0078476E">
        <w:t xml:space="preserve"> et la transparence de la comptabilité et des rapports relatifs aux contributions financières</w:t>
      </w:r>
    </w:p>
    <w:p w14:paraId="3D81EA66" w14:textId="343ABEC7" w:rsidR="008D7A63" w:rsidRPr="00335689" w:rsidRDefault="00467CCC" w:rsidP="00D35681">
      <w:pPr>
        <w:pStyle w:val="CBDDesicionAnnex"/>
        <w:tabs>
          <w:tab w:val="left" w:pos="1134"/>
        </w:tabs>
        <w:spacing w:before="120" w:after="0"/>
        <w:rPr>
          <w:color w:val="000000" w:themeColor="text1"/>
          <w:lang w:val="fr-CA"/>
        </w:rPr>
      </w:pPr>
      <w:r w:rsidRPr="00335689">
        <w:rPr>
          <w:rFonts w:eastAsia="Times New Roman"/>
          <w:color w:val="000000" w:themeColor="text1"/>
          <w:szCs w:val="28"/>
          <w:lang w:val="fr-CA"/>
        </w:rPr>
        <w:t>Annexe</w:t>
      </w:r>
    </w:p>
    <w:p w14:paraId="3C0A3155" w14:textId="77777777" w:rsidR="008D7A63" w:rsidRDefault="00467CCC" w:rsidP="00D35681">
      <w:pPr>
        <w:pStyle w:val="CBDDesicionAnnex"/>
        <w:tabs>
          <w:tab w:val="left" w:pos="1134"/>
        </w:tabs>
        <w:spacing w:before="120" w:after="0"/>
        <w:rPr>
          <w:rFonts w:eastAsia="Times New Roman"/>
          <w:color w:val="000000" w:themeColor="text1"/>
          <w:lang w:val="fr-CA"/>
        </w:rPr>
      </w:pPr>
      <w:r w:rsidRPr="00335689">
        <w:rPr>
          <w:rFonts w:eastAsia="Times New Roman"/>
          <w:color w:val="000000" w:themeColor="text1"/>
          <w:lang w:val="fr-CA"/>
        </w:rPr>
        <w:t>Critères relatifs à la structure institutionnelle qui assure le fonctionnement du mécanisme de financement prévu à l’article 21 de la Convention sur la diversité biologique</w:t>
      </w:r>
    </w:p>
    <w:p w14:paraId="116CE6B5" w14:textId="0929940F" w:rsidR="00643492" w:rsidRPr="00C4751D" w:rsidRDefault="00643492" w:rsidP="00C4751D">
      <w:pPr>
        <w:pStyle w:val="CBDDesicionText"/>
        <w:numPr>
          <w:ilvl w:val="0"/>
          <w:numId w:val="13"/>
        </w:numPr>
        <w:spacing w:before="120"/>
        <w:ind w:left="567" w:firstLine="0"/>
        <w:rPr>
          <w:b/>
          <w:bCs/>
          <w:lang w:val="en-GB" w:eastAsia="en-US"/>
        </w:rPr>
      </w:pPr>
      <w:r w:rsidRPr="00C4751D">
        <w:rPr>
          <w:b/>
          <w:bCs/>
          <w:lang w:val="en-GB" w:eastAsia="en-US"/>
        </w:rPr>
        <w:t>Critères</w:t>
      </w:r>
      <w:r w:rsidR="001E0AD1" w:rsidRPr="00C4751D">
        <w:rPr>
          <w:b/>
          <w:bCs/>
          <w:lang w:val="en-GB" w:eastAsia="en-US"/>
        </w:rPr>
        <w:t xml:space="preserve"> énoncés au paragraphe 21 de la décision 16/34</w:t>
      </w:r>
    </w:p>
    <w:p w14:paraId="6E136165" w14:textId="559FC0C3" w:rsidR="008D7A63" w:rsidRPr="00544B69" w:rsidRDefault="00467CCC" w:rsidP="00D35681">
      <w:pPr>
        <w:pStyle w:val="CBDNormalNoNumber"/>
        <w:tabs>
          <w:tab w:val="clear" w:pos="567"/>
        </w:tabs>
        <w:spacing w:before="100" w:after="0"/>
        <w:rPr>
          <w:color w:val="000000" w:themeColor="text1"/>
        </w:rPr>
      </w:pPr>
      <w:r w:rsidRPr="00544B69">
        <w:rPr>
          <w:color w:val="000000" w:themeColor="text1"/>
        </w:rPr>
        <w:t>Le fonctionnement du mécanisme de financement prévu à l</w:t>
      </w:r>
      <w:r>
        <w:rPr>
          <w:color w:val="000000" w:themeColor="text1"/>
        </w:rPr>
        <w:t>’</w:t>
      </w:r>
      <w:r w:rsidRPr="00544B69">
        <w:rPr>
          <w:color w:val="000000" w:themeColor="text1"/>
        </w:rPr>
        <w:t>article 21 de la Convention sur la diversité biologique</w:t>
      </w:r>
      <w:r>
        <w:rPr>
          <w:rStyle w:val="Appelnotedebasdep"/>
        </w:rPr>
        <w:footnoteReference w:id="6"/>
      </w:r>
      <w:r>
        <w:rPr>
          <w:color w:val="000000" w:themeColor="text1"/>
        </w:rPr>
        <w:t xml:space="preserve"> </w:t>
      </w:r>
      <w:r w:rsidRPr="00544B69">
        <w:rPr>
          <w:color w:val="000000" w:themeColor="text1"/>
        </w:rPr>
        <w:t>peut être confié à une ou plusieurs entités, qu</w:t>
      </w:r>
      <w:r>
        <w:rPr>
          <w:color w:val="000000" w:themeColor="text1"/>
        </w:rPr>
        <w:t>’</w:t>
      </w:r>
      <w:r w:rsidRPr="00544B69">
        <w:rPr>
          <w:color w:val="000000" w:themeColor="text1"/>
        </w:rPr>
        <w:t xml:space="preserve">elles soient nouvelles, </w:t>
      </w:r>
      <w:r>
        <w:rPr>
          <w:color w:val="000000" w:themeColor="text1"/>
        </w:rPr>
        <w:t>réformées</w:t>
      </w:r>
      <w:r w:rsidRPr="00544B69">
        <w:rPr>
          <w:color w:val="000000" w:themeColor="text1"/>
        </w:rPr>
        <w:t xml:space="preserve"> ou existantes, qui constitueraient une structure institutionnelle répondant au moins aux critères </w:t>
      </w:r>
      <w:r w:rsidRPr="00381618">
        <w:rPr>
          <w:color w:val="000000" w:themeColor="text1"/>
        </w:rPr>
        <w:t>suivants</w:t>
      </w:r>
      <w:r w:rsidRPr="00381618">
        <w:rPr>
          <w:rStyle w:val="Appelnotedebasdep"/>
          <w:color w:val="000000" w:themeColor="text1"/>
        </w:rPr>
        <w:footnoteReference w:id="7"/>
      </w:r>
      <w:r w:rsidRPr="00381618">
        <w:rPr>
          <w:color w:val="000000" w:themeColor="text1"/>
        </w:rPr>
        <w:t> :</w:t>
      </w:r>
    </w:p>
    <w:p w14:paraId="788C3F86" w14:textId="77777777" w:rsidR="008D7A63" w:rsidRPr="00544B69" w:rsidRDefault="00467CCC" w:rsidP="00D35681">
      <w:pPr>
        <w:pStyle w:val="CBDNormalNumber"/>
        <w:numPr>
          <w:ilvl w:val="0"/>
          <w:numId w:val="0"/>
        </w:numPr>
        <w:tabs>
          <w:tab w:val="clear" w:pos="567"/>
        </w:tabs>
        <w:spacing w:before="100" w:after="0"/>
        <w:ind w:left="567" w:firstLine="567"/>
        <w:rPr>
          <w:color w:val="000000" w:themeColor="text1"/>
        </w:rPr>
      </w:pPr>
      <w:r w:rsidRPr="00544B69">
        <w:rPr>
          <w:color w:val="000000" w:themeColor="text1"/>
        </w:rPr>
        <w:t>a)</w:t>
      </w:r>
      <w:r>
        <w:tab/>
      </w:r>
      <w:r w:rsidRPr="00544B69">
        <w:rPr>
          <w:color w:val="000000" w:themeColor="text1"/>
        </w:rPr>
        <w:t>Elle fonctionne aux fins de la mise en œuvre de la Convention et de ses Protocoles ;</w:t>
      </w:r>
    </w:p>
    <w:p w14:paraId="376DDDCF" w14:textId="77777777" w:rsidR="008D7A63" w:rsidRPr="00544B69" w:rsidRDefault="00467CCC" w:rsidP="00D35681">
      <w:pPr>
        <w:pStyle w:val="CBDNormalNumber"/>
        <w:numPr>
          <w:ilvl w:val="0"/>
          <w:numId w:val="0"/>
        </w:numPr>
        <w:tabs>
          <w:tab w:val="clear" w:pos="567"/>
        </w:tabs>
        <w:spacing w:before="100" w:after="0"/>
        <w:ind w:left="567" w:firstLine="567"/>
        <w:rPr>
          <w:color w:val="000000" w:themeColor="text1"/>
        </w:rPr>
      </w:pPr>
      <w:r w:rsidRPr="00544B69">
        <w:rPr>
          <w:color w:val="000000" w:themeColor="text1"/>
        </w:rPr>
        <w:t>b)</w:t>
      </w:r>
      <w:r>
        <w:tab/>
      </w:r>
      <w:r w:rsidRPr="00544B69">
        <w:rPr>
          <w:color w:val="000000" w:themeColor="text1"/>
        </w:rPr>
        <w:t>Elle fonctionne sous l</w:t>
      </w:r>
      <w:r>
        <w:rPr>
          <w:color w:val="000000" w:themeColor="text1"/>
        </w:rPr>
        <w:t>’</w:t>
      </w:r>
      <w:r w:rsidRPr="00544B69">
        <w:rPr>
          <w:color w:val="000000" w:themeColor="text1"/>
        </w:rPr>
        <w:t>autorité et la direction de la Conférence des Parties, envers laquelle elle est comptable ;</w:t>
      </w:r>
    </w:p>
    <w:p w14:paraId="0CE317DB" w14:textId="77777777" w:rsidR="008D7A63" w:rsidRPr="00544B69" w:rsidRDefault="00467CCC" w:rsidP="00D35681">
      <w:pPr>
        <w:pStyle w:val="CBDNormalNumber"/>
        <w:numPr>
          <w:ilvl w:val="0"/>
          <w:numId w:val="0"/>
        </w:numPr>
        <w:tabs>
          <w:tab w:val="clear" w:pos="567"/>
        </w:tabs>
        <w:spacing w:before="100" w:after="0"/>
        <w:ind w:left="567" w:firstLine="567"/>
        <w:rPr>
          <w:color w:val="000000" w:themeColor="text1"/>
        </w:rPr>
      </w:pPr>
      <w:r w:rsidRPr="00544B69">
        <w:rPr>
          <w:color w:val="000000" w:themeColor="text1"/>
        </w:rPr>
        <w:lastRenderedPageBreak/>
        <w:t>c)</w:t>
      </w:r>
      <w:r>
        <w:tab/>
      </w:r>
      <w:r w:rsidRPr="00544B69">
        <w:rPr>
          <w:color w:val="000000" w:themeColor="text1"/>
        </w:rPr>
        <w:t>Elle opère dans le cadre d</w:t>
      </w:r>
      <w:r>
        <w:rPr>
          <w:color w:val="000000" w:themeColor="text1"/>
        </w:rPr>
        <w:t>’</w:t>
      </w:r>
      <w:r w:rsidRPr="00544B69">
        <w:rPr>
          <w:color w:val="000000" w:themeColor="text1"/>
        </w:rPr>
        <w:t>un système de gouvernance démocratique et transparent, garantissant une structure juste, équitable, inclusive, efficace et représentative ;</w:t>
      </w:r>
    </w:p>
    <w:p w14:paraId="7F16F53C" w14:textId="77777777" w:rsidR="008D7A63" w:rsidRPr="00544B69" w:rsidRDefault="00467CCC" w:rsidP="00D35681">
      <w:pPr>
        <w:pStyle w:val="CBDNormalNumber"/>
        <w:numPr>
          <w:ilvl w:val="0"/>
          <w:numId w:val="0"/>
        </w:numPr>
        <w:tabs>
          <w:tab w:val="clear" w:pos="567"/>
          <w:tab w:val="clear" w:pos="1134"/>
        </w:tabs>
        <w:spacing w:before="100" w:after="0"/>
        <w:ind w:left="567" w:firstLine="567"/>
        <w:rPr>
          <w:color w:val="000000" w:themeColor="text1"/>
        </w:rPr>
      </w:pPr>
      <w:r w:rsidRPr="00544B69">
        <w:rPr>
          <w:color w:val="000000" w:themeColor="text1"/>
        </w:rPr>
        <w:t>d)</w:t>
      </w:r>
      <w:r>
        <w:tab/>
      </w:r>
      <w:r w:rsidRPr="00544B69">
        <w:rPr>
          <w:color w:val="000000" w:themeColor="text1"/>
        </w:rPr>
        <w:t>Elle est accessible par toutes les Parties à la Convention admissibles, en temps voulu et de manière juste, simplifiée, équitable, inclusive et non discriminatoire</w:t>
      </w:r>
      <w:r>
        <w:rPr>
          <w:color w:val="000000" w:themeColor="text1"/>
        </w:rPr>
        <w:t>.</w:t>
      </w:r>
    </w:p>
    <w:p w14:paraId="104E4C93" w14:textId="0CE68C93" w:rsidR="00F54659" w:rsidRPr="00177E2B" w:rsidRDefault="00F6002B" w:rsidP="00F6002B">
      <w:pPr>
        <w:pStyle w:val="CBDNormalNumber"/>
        <w:numPr>
          <w:ilvl w:val="0"/>
          <w:numId w:val="0"/>
        </w:numPr>
        <w:tabs>
          <w:tab w:val="clear" w:pos="567"/>
          <w:tab w:val="clear" w:pos="1134"/>
        </w:tabs>
        <w:spacing w:after="0"/>
        <w:ind w:left="567"/>
        <w:rPr>
          <w:b/>
          <w:bCs/>
          <w:color w:val="000000" w:themeColor="text1"/>
        </w:rPr>
      </w:pPr>
      <w:r w:rsidRPr="008C031D">
        <w:rPr>
          <w:b/>
          <w:bCs/>
          <w:color w:val="000000" w:themeColor="text1"/>
        </w:rPr>
        <w:t xml:space="preserve">B. </w:t>
      </w:r>
      <w:r w:rsidR="00177E2B" w:rsidRPr="008C031D">
        <w:rPr>
          <w:b/>
          <w:bCs/>
          <w:color w:val="000000" w:themeColor="text1"/>
        </w:rPr>
        <w:t xml:space="preserve">Critères </w:t>
      </w:r>
      <w:r w:rsidR="007A52FF" w:rsidRPr="008C031D">
        <w:rPr>
          <w:b/>
          <w:bCs/>
          <w:color w:val="000000" w:themeColor="text1"/>
        </w:rPr>
        <w:t>élaborés</w:t>
      </w:r>
      <w:r w:rsidR="00177E2B" w:rsidRPr="008C031D">
        <w:rPr>
          <w:b/>
          <w:bCs/>
          <w:color w:val="000000" w:themeColor="text1"/>
        </w:rPr>
        <w:t xml:space="preserve"> plus avant conformément au paragraphe 22 a) de la décision 16/34</w:t>
      </w:r>
    </w:p>
    <w:p w14:paraId="05CF12DC" w14:textId="77777777" w:rsidR="008234D2" w:rsidRDefault="008234D2">
      <w:pPr>
        <w:pStyle w:val="CBDNormalNumber"/>
        <w:numPr>
          <w:ilvl w:val="0"/>
          <w:numId w:val="0"/>
        </w:numPr>
        <w:tabs>
          <w:tab w:val="clear" w:pos="567"/>
          <w:tab w:val="clear" w:pos="1134"/>
        </w:tabs>
        <w:spacing w:before="100" w:after="0"/>
        <w:ind w:left="567" w:firstLine="567"/>
        <w:rPr>
          <w:color w:val="000000" w:themeColor="text1"/>
        </w:rPr>
      </w:pPr>
      <w:r w:rsidRPr="008234D2">
        <w:rPr>
          <w:color w:val="000000" w:themeColor="text1"/>
        </w:rPr>
        <w:t xml:space="preserve">Les critères suivants approfondissent les critères énoncés à la section A. </w:t>
      </w:r>
    </w:p>
    <w:p w14:paraId="6C79B8DE" w14:textId="1A2F4866" w:rsidR="00F54659" w:rsidRDefault="008234D2">
      <w:pPr>
        <w:pStyle w:val="CBDNormalNumber"/>
        <w:numPr>
          <w:ilvl w:val="0"/>
          <w:numId w:val="0"/>
        </w:numPr>
        <w:tabs>
          <w:tab w:val="clear" w:pos="567"/>
          <w:tab w:val="clear" w:pos="1134"/>
        </w:tabs>
        <w:spacing w:before="100" w:after="0"/>
        <w:ind w:left="567" w:firstLine="567"/>
        <w:rPr>
          <w:color w:val="000000" w:themeColor="text1"/>
        </w:rPr>
      </w:pPr>
      <w:r w:rsidRPr="008234D2">
        <w:rPr>
          <w:color w:val="000000" w:themeColor="text1"/>
        </w:rPr>
        <w:t xml:space="preserve">Les critères figurant aux sections A et B serviront de base à l'examen et à la décision de la Conférence des Parties, </w:t>
      </w:r>
      <w:r>
        <w:rPr>
          <w:color w:val="000000" w:themeColor="text1"/>
        </w:rPr>
        <w:t>à</w:t>
      </w:r>
      <w:r w:rsidRPr="008234D2">
        <w:rPr>
          <w:color w:val="000000" w:themeColor="text1"/>
        </w:rPr>
        <w:t xml:space="preserve"> sa dix-huitième réunion, concernant la </w:t>
      </w:r>
      <w:r w:rsidRPr="006C743D">
        <w:rPr>
          <w:color w:val="000000" w:themeColor="text1"/>
        </w:rPr>
        <w:t xml:space="preserve">structure institutionnelle </w:t>
      </w:r>
      <w:r w:rsidR="002F4650">
        <w:rPr>
          <w:color w:val="000000" w:themeColor="text1"/>
        </w:rPr>
        <w:t>qui assure le fonctionnement</w:t>
      </w:r>
      <w:r w:rsidRPr="006C743D">
        <w:rPr>
          <w:color w:val="000000" w:themeColor="text1"/>
        </w:rPr>
        <w:t xml:space="preserve"> </w:t>
      </w:r>
      <w:r w:rsidRPr="008234D2">
        <w:rPr>
          <w:color w:val="000000" w:themeColor="text1"/>
        </w:rPr>
        <w:t xml:space="preserve">du mécanisme </w:t>
      </w:r>
      <w:r>
        <w:rPr>
          <w:color w:val="000000" w:themeColor="text1"/>
        </w:rPr>
        <w:t>de financement</w:t>
      </w:r>
      <w:r w:rsidRPr="008234D2">
        <w:rPr>
          <w:color w:val="000000" w:themeColor="text1"/>
        </w:rPr>
        <w:t>, conformément à l'article</w:t>
      </w:r>
      <w:r>
        <w:rPr>
          <w:color w:val="000000" w:themeColor="text1"/>
        </w:rPr>
        <w:t> </w:t>
      </w:r>
      <w:r w:rsidRPr="008234D2">
        <w:rPr>
          <w:color w:val="000000" w:themeColor="text1"/>
        </w:rPr>
        <w:t>21 de la Convention.</w:t>
      </w:r>
    </w:p>
    <w:p w14:paraId="6D86400F" w14:textId="17B626CC" w:rsidR="008D7A63" w:rsidRPr="00544B69" w:rsidRDefault="00467CCC" w:rsidP="00D35681">
      <w:pPr>
        <w:pStyle w:val="CBDNormalNumber"/>
        <w:numPr>
          <w:ilvl w:val="0"/>
          <w:numId w:val="0"/>
        </w:numPr>
        <w:tabs>
          <w:tab w:val="clear" w:pos="567"/>
          <w:tab w:val="clear" w:pos="1134"/>
        </w:tabs>
        <w:spacing w:before="100" w:after="0"/>
        <w:ind w:left="567" w:firstLine="567"/>
        <w:rPr>
          <w:color w:val="000000" w:themeColor="text1"/>
        </w:rPr>
      </w:pPr>
      <w:r w:rsidRPr="00544B69">
        <w:rPr>
          <w:color w:val="000000" w:themeColor="text1"/>
        </w:rPr>
        <w:t>e)</w:t>
      </w:r>
      <w:r>
        <w:tab/>
      </w:r>
      <w:r w:rsidRPr="00544B69">
        <w:rPr>
          <w:color w:val="000000" w:themeColor="text1"/>
        </w:rPr>
        <w:t>Sa politique générale, sa stratégie et ses priorités de programme ainsi que les critères définissant les conditions d’attribution et d’utilisation des ressources financières, aux fins de la Convention, sont ceux déterminés par la Conférence des Parties et sont conformes aux principes et aux dispositions de la Convention ;</w:t>
      </w:r>
    </w:p>
    <w:p w14:paraId="52547C34" w14:textId="781D92DF" w:rsidR="00543F83" w:rsidRDefault="00467CCC">
      <w:pPr>
        <w:pStyle w:val="CBDNormalNumber"/>
        <w:numPr>
          <w:ilvl w:val="0"/>
          <w:numId w:val="0"/>
        </w:numPr>
        <w:tabs>
          <w:tab w:val="clear" w:pos="567"/>
          <w:tab w:val="clear" w:pos="1134"/>
        </w:tabs>
        <w:spacing w:before="100" w:after="0"/>
        <w:ind w:left="567" w:firstLine="567"/>
        <w:rPr>
          <w:color w:val="000000" w:themeColor="text1"/>
        </w:rPr>
      </w:pPr>
      <w:r>
        <w:t>f)</w:t>
      </w:r>
      <w:r>
        <w:tab/>
        <w:t>Elle prévoit des dispositions solides en matière de responsabilisation, de transparence, de suivi, d’établissement de rapports et d’évaluation concernant le décaissement et l’utilisation des ressources à l’égard de la Conférence des Parties, y compris l’obligation pour l’administrateur de rendre compte de l’exercice de ses responsabilités fiduciaires et administratives à l’organe directeur de la structure institutionnelle chargée d’assurer le fonctionnement du mécanisme de financement, ainsi que des dispositifs de réclamation et de recours ;]</w:t>
      </w:r>
    </w:p>
    <w:p w14:paraId="3F06DCCC" w14:textId="04F4B556" w:rsidR="00543F83" w:rsidRDefault="006047AD">
      <w:pPr>
        <w:pStyle w:val="CBDNormalNumber"/>
        <w:numPr>
          <w:ilvl w:val="0"/>
          <w:numId w:val="0"/>
        </w:numPr>
        <w:tabs>
          <w:tab w:val="clear" w:pos="567"/>
          <w:tab w:val="clear" w:pos="1134"/>
        </w:tabs>
        <w:spacing w:before="100" w:after="0"/>
        <w:ind w:left="567" w:firstLine="567"/>
        <w:rPr>
          <w:color w:val="000000" w:themeColor="text1"/>
        </w:rPr>
      </w:pPr>
      <w:r>
        <w:t>g</w:t>
      </w:r>
      <w:r w:rsidR="00467CCC">
        <w:t>)</w:t>
      </w:r>
      <w:r w:rsidR="00467CCC">
        <w:tab/>
        <w:t>Elle offre un accès prévisible, adéquat et en temps voulu aux ressources financières, sous forme de dons ou à des conditions de faveur, à toutes les Parties admissibles, en particulier aux pays les moins avancés et aux petits États insulaires en développement, ainsi qu’aux Parties à économie en transition, pour leur permettre de faire face à la totalité des surcoûts convenus que leur impose la mise en œuvre des mesures par lesquelles elles s’acquittent des obligations découlant de la Convention ;</w:t>
      </w:r>
    </w:p>
    <w:p w14:paraId="055156C1" w14:textId="75E8D146" w:rsidR="008D7A63" w:rsidRPr="00544B69" w:rsidRDefault="00D64BEF" w:rsidP="00D35681">
      <w:pPr>
        <w:pStyle w:val="CBDNormalNumber"/>
        <w:numPr>
          <w:ilvl w:val="0"/>
          <w:numId w:val="0"/>
        </w:numPr>
        <w:tabs>
          <w:tab w:val="clear" w:pos="567"/>
          <w:tab w:val="clear" w:pos="1134"/>
        </w:tabs>
        <w:spacing w:before="100" w:after="0"/>
        <w:ind w:left="567" w:firstLine="567"/>
        <w:rPr>
          <w:color w:val="000000" w:themeColor="text1"/>
        </w:rPr>
      </w:pPr>
      <w:r>
        <w:rPr>
          <w:color w:val="000000" w:themeColor="text1"/>
        </w:rPr>
        <w:t>h</w:t>
      </w:r>
      <w:r w:rsidR="00467CCC" w:rsidRPr="00544B69">
        <w:rPr>
          <w:color w:val="000000" w:themeColor="text1"/>
        </w:rPr>
        <w:t>)</w:t>
      </w:r>
      <w:r w:rsidR="00467CCC">
        <w:tab/>
      </w:r>
      <w:r w:rsidR="00467CCC" w:rsidRPr="00544B69">
        <w:rPr>
          <w:color w:val="000000" w:themeColor="text1"/>
        </w:rPr>
        <w:t>Elle favorise l</w:t>
      </w:r>
      <w:r w:rsidR="00467CCC">
        <w:rPr>
          <w:color w:val="000000" w:themeColor="text1"/>
        </w:rPr>
        <w:t>’</w:t>
      </w:r>
      <w:r w:rsidR="00467CCC" w:rsidRPr="00544B69">
        <w:rPr>
          <w:color w:val="000000" w:themeColor="text1"/>
        </w:rPr>
        <w:t>appropriation nationale par toutes les Parties admissibles, notamment par l</w:t>
      </w:r>
      <w:r w:rsidR="00467CCC">
        <w:rPr>
          <w:color w:val="000000" w:themeColor="text1"/>
        </w:rPr>
        <w:t>’</w:t>
      </w:r>
      <w:r w:rsidR="00467CCC" w:rsidRPr="00544B69">
        <w:rPr>
          <w:color w:val="000000" w:themeColor="text1"/>
        </w:rPr>
        <w:t>intermédiaire d</w:t>
      </w:r>
      <w:r w:rsidR="00467CCC">
        <w:rPr>
          <w:color w:val="000000" w:themeColor="text1"/>
        </w:rPr>
        <w:t>’</w:t>
      </w:r>
      <w:r w:rsidR="00467CCC" w:rsidRPr="00544B69">
        <w:rPr>
          <w:color w:val="000000" w:themeColor="text1"/>
        </w:rPr>
        <w:t>entités nationales et</w:t>
      </w:r>
      <w:r w:rsidR="00EA2004">
        <w:rPr>
          <w:color w:val="000000" w:themeColor="text1"/>
        </w:rPr>
        <w:t>/ou</w:t>
      </w:r>
      <w:r w:rsidR="00467CCC" w:rsidRPr="00544B69">
        <w:rPr>
          <w:color w:val="000000" w:themeColor="text1"/>
        </w:rPr>
        <w:t xml:space="preserve"> régionales</w:t>
      </w:r>
      <w:r w:rsidR="00255FD5">
        <w:rPr>
          <w:color w:val="000000" w:themeColor="text1"/>
        </w:rPr>
        <w:t xml:space="preserve"> </w:t>
      </w:r>
      <w:r w:rsidR="00467CCC" w:rsidRPr="00544B69">
        <w:rPr>
          <w:color w:val="000000" w:themeColor="text1"/>
        </w:rPr>
        <w:t>accréditées</w:t>
      </w:r>
      <w:r w:rsidR="00255FD5">
        <w:rPr>
          <w:color w:val="000000" w:themeColor="text1"/>
        </w:rPr>
        <w:t xml:space="preserve">, </w:t>
      </w:r>
      <w:r w:rsidR="00467CCC" w:rsidRPr="00544B69">
        <w:rPr>
          <w:color w:val="000000" w:themeColor="text1"/>
        </w:rPr>
        <w:t>et la participation effective et l’implication des autorités nationales compétentes à toutes les phases pertinentes du processus d’allocation des fonds, et du cycle des programmes et des projets ;</w:t>
      </w:r>
    </w:p>
    <w:p w14:paraId="7E65287B" w14:textId="71CA1C97" w:rsidR="00A74678" w:rsidRDefault="009D332B" w:rsidP="00D35681">
      <w:pPr>
        <w:pStyle w:val="CBDNormalNumber"/>
        <w:numPr>
          <w:ilvl w:val="0"/>
          <w:numId w:val="0"/>
        </w:numPr>
        <w:tabs>
          <w:tab w:val="clear" w:pos="567"/>
          <w:tab w:val="clear" w:pos="1134"/>
        </w:tabs>
        <w:spacing w:before="100" w:after="0"/>
        <w:ind w:left="567" w:firstLine="567"/>
      </w:pPr>
      <w:r>
        <w:rPr>
          <w:color w:val="000000" w:themeColor="text1"/>
        </w:rPr>
        <w:t>i</w:t>
      </w:r>
      <w:r w:rsidR="00467CCC" w:rsidRPr="00544B69">
        <w:rPr>
          <w:color w:val="000000" w:themeColor="text1"/>
        </w:rPr>
        <w:t>)</w:t>
      </w:r>
      <w:r w:rsidR="00467CCC">
        <w:tab/>
      </w:r>
      <w:r w:rsidR="00A74678" w:rsidRPr="00A74678">
        <w:t xml:space="preserve">Elle favorise la participation pleine et effective des peuples autochtones et communautés locales, des femmes et des jeunes, notamment par le biais de modalités d'accès simplifiées, </w:t>
      </w:r>
      <w:r w:rsidR="001B680C">
        <w:t>selon qu’il convient</w:t>
      </w:r>
      <w:r w:rsidR="00A74678" w:rsidRPr="00A74678">
        <w:t xml:space="preserve">, au niveau des projets, et conformément à la législation et aux spécificités </w:t>
      </w:r>
      <w:r w:rsidR="002B6EF6">
        <w:t>de chaque pays </w:t>
      </w:r>
      <w:r w:rsidR="00A74678" w:rsidRPr="00A74678">
        <w:t>;</w:t>
      </w:r>
    </w:p>
    <w:p w14:paraId="46EFF797" w14:textId="7BE30884" w:rsidR="004236A4" w:rsidRDefault="004236A4" w:rsidP="00D35681">
      <w:pPr>
        <w:pStyle w:val="CBDNormalNumber"/>
        <w:numPr>
          <w:ilvl w:val="0"/>
          <w:numId w:val="0"/>
        </w:numPr>
        <w:tabs>
          <w:tab w:val="clear" w:pos="567"/>
          <w:tab w:val="clear" w:pos="1134"/>
        </w:tabs>
        <w:spacing w:before="100" w:after="0"/>
        <w:ind w:left="567" w:firstLine="567"/>
        <w:rPr>
          <w:color w:val="000000" w:themeColor="text1"/>
        </w:rPr>
      </w:pPr>
      <w:r>
        <w:rPr>
          <w:color w:val="000000" w:themeColor="text1"/>
        </w:rPr>
        <w:t>j)</w:t>
      </w:r>
      <w:r>
        <w:rPr>
          <w:color w:val="000000" w:themeColor="text1"/>
        </w:rPr>
        <w:tab/>
      </w:r>
      <w:r w:rsidR="00B875D0" w:rsidRPr="00B875D0">
        <w:rPr>
          <w:color w:val="000000" w:themeColor="text1"/>
        </w:rPr>
        <w:t>Elle fait preuve de complémentarité avec le paysage du financement de la biodiversité et fonctionne de manière rentable ;</w:t>
      </w:r>
    </w:p>
    <w:p w14:paraId="3C153C81" w14:textId="0E874B56" w:rsidR="00A15C9B" w:rsidRDefault="00910842" w:rsidP="00D35681">
      <w:pPr>
        <w:pStyle w:val="CBDNormalNumber"/>
        <w:numPr>
          <w:ilvl w:val="0"/>
          <w:numId w:val="0"/>
        </w:numPr>
        <w:tabs>
          <w:tab w:val="clear" w:pos="567"/>
          <w:tab w:val="clear" w:pos="1134"/>
        </w:tabs>
        <w:spacing w:before="100" w:after="0"/>
        <w:ind w:left="567" w:firstLine="567"/>
      </w:pPr>
      <w:r>
        <w:t>k)</w:t>
      </w:r>
      <w:r>
        <w:tab/>
      </w:r>
      <w:r w:rsidRPr="00910842">
        <w:t>Elle conçoit ses instruments de financement et ses modalités d'accès en tenant pleinement compte des dispositions des paragraphes</w:t>
      </w:r>
      <w:r w:rsidR="00DC5752">
        <w:t> </w:t>
      </w:r>
      <w:r w:rsidRPr="00910842">
        <w:t>5, 6 et 7 de l'article</w:t>
      </w:r>
      <w:r w:rsidR="00DC5752">
        <w:t> </w:t>
      </w:r>
      <w:r w:rsidRPr="00910842">
        <w:t>20 de la Convention</w:t>
      </w:r>
      <w:r w:rsidR="00677754">
        <w:t>.</w:t>
      </w:r>
    </w:p>
    <w:p w14:paraId="7F0608E0" w14:textId="77777777" w:rsidR="00677754" w:rsidRDefault="00677754" w:rsidP="00D35681">
      <w:pPr>
        <w:pStyle w:val="CBDNormalNumber"/>
        <w:numPr>
          <w:ilvl w:val="0"/>
          <w:numId w:val="0"/>
        </w:numPr>
        <w:tabs>
          <w:tab w:val="clear" w:pos="567"/>
          <w:tab w:val="clear" w:pos="1134"/>
        </w:tabs>
        <w:spacing w:before="100" w:after="0"/>
        <w:ind w:left="567" w:firstLine="567"/>
      </w:pPr>
    </w:p>
    <w:p w14:paraId="63179F6D" w14:textId="77777777"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6ABF5" w14:textId="77777777" w:rsidR="00D82C17" w:rsidRPr="003F1A75" w:rsidRDefault="00D82C17" w:rsidP="00CF1848">
      <w:r w:rsidRPr="003F1A75">
        <w:separator/>
      </w:r>
    </w:p>
  </w:endnote>
  <w:endnote w:type="continuationSeparator" w:id="0">
    <w:p w14:paraId="2C1127EE" w14:textId="77777777" w:rsidR="00D82C17" w:rsidRPr="003F1A75" w:rsidRDefault="00D82C1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6FF63EB"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A38FCE9"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1E7C2" w14:textId="77777777" w:rsidR="00D82C17" w:rsidRPr="003F1A75" w:rsidRDefault="00D82C17" w:rsidP="00CF1848">
      <w:r w:rsidRPr="003F1A75">
        <w:separator/>
      </w:r>
    </w:p>
  </w:footnote>
  <w:footnote w:type="continuationSeparator" w:id="0">
    <w:p w14:paraId="731F5681" w14:textId="77777777" w:rsidR="00D82C17" w:rsidRPr="003F1A75" w:rsidRDefault="00D82C17" w:rsidP="00CF1848">
      <w:r w:rsidRPr="003F1A75">
        <w:continuationSeparator/>
      </w:r>
    </w:p>
  </w:footnote>
  <w:footnote w:id="1">
    <w:p w14:paraId="031C8E45" w14:textId="41CAECC9" w:rsidR="0035287B" w:rsidRPr="00444EA1" w:rsidRDefault="0035287B" w:rsidP="0035287B">
      <w:pPr>
        <w:pStyle w:val="Notedebasdepage"/>
        <w:rPr>
          <w:lang w:val="en-CA"/>
        </w:rPr>
      </w:pPr>
      <w:r>
        <w:rPr>
          <w:rStyle w:val="Appelnotedebasdep"/>
        </w:rPr>
        <w:t>*</w:t>
      </w:r>
      <w:r>
        <w:t xml:space="preserve"> </w:t>
      </w:r>
      <w:r w:rsidR="007C5935" w:rsidRPr="007C5935">
        <w:t>Le présent document est publié sans avoir fait l'objet de modifications formelles</w:t>
      </w:r>
      <w:r>
        <w:rPr>
          <w:lang w:val="en-CA"/>
        </w:rPr>
        <w:t>.</w:t>
      </w:r>
    </w:p>
  </w:footnote>
  <w:footnote w:id="2">
    <w:p w14:paraId="352F472F" w14:textId="775CE96F" w:rsidR="00932FB3" w:rsidRPr="00D13D01" w:rsidRDefault="00932FB3" w:rsidP="00932FB3">
      <w:pPr>
        <w:pStyle w:val="Notedebasdepage"/>
        <w:rPr>
          <w:lang w:val="en-US"/>
        </w:rPr>
      </w:pPr>
      <w:r>
        <w:rPr>
          <w:rStyle w:val="Appelnotedebasdep"/>
        </w:rPr>
        <w:t>**</w:t>
      </w:r>
      <w:r>
        <w:t xml:space="preserve"> </w:t>
      </w:r>
      <w:r w:rsidR="008E5ED0" w:rsidRPr="008E5ED0">
        <w:t>Les propositions issues des consultations ministérielles sont présentées sous forme d'options dans le présent document, le mot «</w:t>
      </w:r>
      <w:r w:rsidR="00E819F5">
        <w:t> </w:t>
      </w:r>
      <w:r w:rsidR="008E5ED0" w:rsidRPr="008E5ED0">
        <w:t>proposition</w:t>
      </w:r>
      <w:r w:rsidR="00E819F5">
        <w:t> </w:t>
      </w:r>
      <w:r w:rsidR="008E5ED0" w:rsidRPr="008E5ED0">
        <w:t>» figurant à côté de chaque paragraphe indique que le texte provient de ces consultations.</w:t>
      </w:r>
    </w:p>
  </w:footnote>
  <w:footnote w:id="3">
    <w:p w14:paraId="13291DF8" w14:textId="77777777" w:rsidR="008D7A63" w:rsidRPr="00DF3961" w:rsidRDefault="00467CCC" w:rsidP="00D35681">
      <w:pPr>
        <w:pStyle w:val="Notedebasdepage"/>
      </w:pPr>
      <w:r>
        <w:rPr>
          <w:rStyle w:val="Appelnotedebasdep"/>
        </w:rPr>
        <w:footnoteRef/>
      </w:r>
      <w:r w:rsidRPr="00DF3961">
        <w:t xml:space="preserve"> D</w:t>
      </w:r>
      <w:r>
        <w:t>é</w:t>
      </w:r>
      <w:r w:rsidRPr="00DF3961">
        <w:t xml:space="preserve">cision </w:t>
      </w:r>
      <w:hyperlink r:id="rId1" w:history="1">
        <w:r w:rsidR="008D7A63" w:rsidRPr="00DF3961">
          <w:rPr>
            <w:rStyle w:val="Lienhypertexte"/>
          </w:rPr>
          <w:t>16/34</w:t>
        </w:r>
      </w:hyperlink>
      <w:r w:rsidRPr="00DF3961">
        <w:t>, annex</w:t>
      </w:r>
      <w:r>
        <w:t>e</w:t>
      </w:r>
      <w:r w:rsidRPr="00DF3961">
        <w:t> I.</w:t>
      </w:r>
    </w:p>
  </w:footnote>
  <w:footnote w:id="4">
    <w:p w14:paraId="2B6F65E6" w14:textId="77777777" w:rsidR="008D7A63" w:rsidRDefault="00467CCC" w:rsidP="00D35681">
      <w:pPr>
        <w:pStyle w:val="Notedebasdepage"/>
        <w:rPr>
          <w:lang w:val="fr-CA"/>
        </w:rPr>
      </w:pPr>
      <w:r w:rsidRPr="009A43EC">
        <w:rPr>
          <w:rStyle w:val="Appelnotedebasdep"/>
          <w:lang w:val="fr-CA"/>
        </w:rPr>
        <w:footnoteRef/>
      </w:r>
      <w:r>
        <w:rPr>
          <w:lang w:val="fr-CA"/>
        </w:rPr>
        <w:t xml:space="preserve"> </w:t>
      </w:r>
      <w:r w:rsidRPr="009A43EC">
        <w:rPr>
          <w:lang w:val="fr-CA"/>
        </w:rPr>
        <w:t xml:space="preserve">Le </w:t>
      </w:r>
      <w:r>
        <w:rPr>
          <w:lang w:val="fr-CA"/>
        </w:rPr>
        <w:t>secrétariat</w:t>
      </w:r>
      <w:r w:rsidRPr="009A43EC">
        <w:rPr>
          <w:lang w:val="fr-CA"/>
        </w:rPr>
        <w:t xml:space="preserve"> a proposé, dans le document </w:t>
      </w:r>
      <w:hyperlink r:id="rId2" w:history="1">
        <w:r w:rsidR="008D7A63" w:rsidRPr="00A440DB">
          <w:rPr>
            <w:rStyle w:val="Lienhypertexte"/>
            <w:lang w:val="fr-CA"/>
          </w:rPr>
          <w:t>CBD/SBI/7/4</w:t>
        </w:r>
      </w:hyperlink>
      <w:r w:rsidRPr="009A43EC">
        <w:rPr>
          <w:lang w:val="fr-CA"/>
        </w:rPr>
        <w:t xml:space="preserve"> sur le mécanisme de financement, que les travaux préparatoires </w:t>
      </w:r>
      <w:r>
        <w:rPr>
          <w:lang w:val="fr-CA"/>
        </w:rPr>
        <w:t xml:space="preserve">en vue de ce </w:t>
      </w:r>
      <w:r w:rsidRPr="009A43EC">
        <w:rPr>
          <w:lang w:val="fr-CA"/>
        </w:rPr>
        <w:t xml:space="preserve">bilan soient menés </w:t>
      </w:r>
      <w:r>
        <w:rPr>
          <w:lang w:val="fr-CA"/>
        </w:rPr>
        <w:t>en même temps que</w:t>
      </w:r>
      <w:r w:rsidRPr="009A43EC">
        <w:rPr>
          <w:lang w:val="fr-CA"/>
        </w:rPr>
        <w:t xml:space="preserve"> le septième examen quadriennal de l</w:t>
      </w:r>
      <w:r>
        <w:rPr>
          <w:lang w:val="fr-CA"/>
        </w:rPr>
        <w:t>’</w:t>
      </w:r>
      <w:r w:rsidRPr="009A43EC">
        <w:rPr>
          <w:lang w:val="fr-CA"/>
        </w:rPr>
        <w:t>efficacité du mécanisme de financement.</w:t>
      </w:r>
    </w:p>
    <w:p w14:paraId="6BA4E1DF" w14:textId="77777777" w:rsidR="008D7A63" w:rsidRPr="0011609D" w:rsidRDefault="008D7A63" w:rsidP="00D35681">
      <w:pPr>
        <w:pStyle w:val="Notedebasdepage"/>
      </w:pPr>
    </w:p>
  </w:footnote>
  <w:footnote w:id="5">
    <w:p w14:paraId="2074C803" w14:textId="77777777" w:rsidR="008D7A63" w:rsidRPr="00E92164" w:rsidRDefault="00467CCC" w:rsidP="00D35681">
      <w:pPr>
        <w:pStyle w:val="Notedebasdepage"/>
      </w:pPr>
      <w:r>
        <w:rPr>
          <w:rStyle w:val="Appelnotedebasdep"/>
        </w:rPr>
        <w:footnoteRef/>
      </w:r>
      <w:r w:rsidRPr="00E92164">
        <w:t xml:space="preserve"> </w:t>
      </w:r>
      <w:r w:rsidRPr="00E92164">
        <w:rPr>
          <w:shd w:val="clear" w:color="auto" w:fill="FFFFFF" w:themeFill="background1"/>
        </w:rPr>
        <w:t>D</w:t>
      </w:r>
      <w:r>
        <w:rPr>
          <w:shd w:val="clear" w:color="auto" w:fill="FFFFFF" w:themeFill="background1"/>
        </w:rPr>
        <w:t>é</w:t>
      </w:r>
      <w:r w:rsidRPr="00E92164">
        <w:rPr>
          <w:shd w:val="clear" w:color="auto" w:fill="FFFFFF" w:themeFill="background1"/>
        </w:rPr>
        <w:t xml:space="preserve">cision </w:t>
      </w:r>
      <w:hyperlink r:id="rId3" w:history="1">
        <w:r w:rsidR="008D7A63" w:rsidRPr="00E92164">
          <w:rPr>
            <w:rStyle w:val="Lienhypertexte"/>
            <w:shd w:val="clear" w:color="auto" w:fill="FFFFFF" w:themeFill="background1"/>
          </w:rPr>
          <w:t>XII/3</w:t>
        </w:r>
      </w:hyperlink>
      <w:r w:rsidRPr="00E92164">
        <w:rPr>
          <w:shd w:val="clear" w:color="auto" w:fill="FFFFFF" w:themeFill="background1"/>
        </w:rPr>
        <w:t>, annex</w:t>
      </w:r>
      <w:r>
        <w:rPr>
          <w:shd w:val="clear" w:color="auto" w:fill="FFFFFF" w:themeFill="background1"/>
        </w:rPr>
        <w:t>e</w:t>
      </w:r>
      <w:r w:rsidRPr="00E92164">
        <w:rPr>
          <w:shd w:val="clear" w:color="auto" w:fill="FFFFFF" w:themeFill="background1"/>
        </w:rPr>
        <w:t xml:space="preserve"> III.</w:t>
      </w:r>
    </w:p>
  </w:footnote>
  <w:footnote w:id="6">
    <w:p w14:paraId="3B29EB30" w14:textId="77777777" w:rsidR="008D7A63" w:rsidRPr="00CA0667" w:rsidRDefault="00467CCC" w:rsidP="00D35681">
      <w:pPr>
        <w:pStyle w:val="Notedebasdepage"/>
      </w:pPr>
      <w:r>
        <w:rPr>
          <w:rStyle w:val="Appelnotedebasdep"/>
        </w:rPr>
        <w:footnoteRef/>
      </w:r>
      <w:r w:rsidRPr="00CA0667">
        <w:t xml:space="preserve"> Nations Unies, </w:t>
      </w:r>
      <w:r>
        <w:rPr>
          <w:i/>
          <w:iCs/>
        </w:rPr>
        <w:t>Recueil des Traités</w:t>
      </w:r>
      <w:r w:rsidRPr="00CA0667">
        <w:rPr>
          <w:i/>
          <w:iCs/>
        </w:rPr>
        <w:t xml:space="preserve">, </w:t>
      </w:r>
      <w:r w:rsidRPr="00CA0667">
        <w:t xml:space="preserve">vol. 1760, </w:t>
      </w:r>
      <w:r>
        <w:t>n°</w:t>
      </w:r>
      <w:r w:rsidRPr="00CA0667">
        <w:t xml:space="preserve"> 30619.</w:t>
      </w:r>
    </w:p>
  </w:footnote>
  <w:footnote w:id="7">
    <w:p w14:paraId="2769CBF5" w14:textId="20A3DCA7" w:rsidR="008D7A63" w:rsidRPr="0000646B" w:rsidRDefault="00467CCC" w:rsidP="00D35681">
      <w:pPr>
        <w:pStyle w:val="Notedebasdepage"/>
        <w:rPr>
          <w:lang w:val="fr-CA"/>
        </w:rPr>
      </w:pPr>
      <w:r>
        <w:rPr>
          <w:rStyle w:val="Appelnotedebasdep"/>
        </w:rPr>
        <w:footnoteRef/>
      </w:r>
      <w:r>
        <w:t xml:space="preserve"> </w:t>
      </w:r>
      <w:r w:rsidRPr="0000646B">
        <w:rPr>
          <w:lang w:val="fr-CA"/>
        </w:rPr>
        <w:t>Les critères énumérés [ne sont ni exhaustifs ni contraignants et] ne préjugent en rien de l</w:t>
      </w:r>
      <w:r>
        <w:rPr>
          <w:lang w:val="fr-CA"/>
        </w:rPr>
        <w:t>’</w:t>
      </w:r>
      <w:r w:rsidRPr="0000646B">
        <w:rPr>
          <w:lang w:val="fr-CA"/>
        </w:rPr>
        <w:t xml:space="preserve">entité ou des entités auxquelles le fonctionnement du mécanisme </w:t>
      </w:r>
      <w:r>
        <w:rPr>
          <w:lang w:val="fr-CA"/>
        </w:rPr>
        <w:t xml:space="preserve">de financement </w:t>
      </w:r>
      <w:r w:rsidRPr="0000646B">
        <w:rPr>
          <w:lang w:val="fr-CA"/>
        </w:rPr>
        <w:t>pourrait être confié, des modalités de leur fonctionnement ni du résultat des</w:t>
      </w:r>
      <w:r w:rsidR="00537F0A">
        <w:rPr>
          <w:lang w:val="fr-CA"/>
        </w:rPr>
        <w:t xml:space="preserve"> </w:t>
      </w:r>
      <w:r>
        <w:rPr>
          <w:lang w:val="fr-CA"/>
        </w:rPr>
        <w:t>e</w:t>
      </w:r>
      <w:r w:rsidRPr="0000646B">
        <w:rPr>
          <w:lang w:val="fr-CA"/>
        </w:rPr>
        <w:t>xamens visés au paragraphe 6 ci-dessus.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0489A47" w14:textId="1D21F404" w:rsidR="00534681" w:rsidRPr="003F1A75" w:rsidRDefault="00F64143" w:rsidP="007C4951">
        <w:pPr>
          <w:pStyle w:val="En-tte"/>
          <w:spacing w:after="240"/>
          <w:rPr>
            <w:szCs w:val="20"/>
          </w:rPr>
        </w:pPr>
        <w:r>
          <w:rPr>
            <w:szCs w:val="20"/>
          </w:rPr>
          <w:t>CBD/COP/17/WG.I/CRP.</w:t>
        </w:r>
        <w:r w:rsidR="003C5CDE">
          <w:rPr>
            <w:szCs w:val="20"/>
          </w:rPr>
          <w:t>16</w:t>
        </w:r>
        <w:r w:rsidR="00837155">
          <w:rPr>
            <w:szCs w:val="20"/>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9613AD7" w14:textId="1AA8C63F" w:rsidR="009505C9" w:rsidRPr="003F1A75" w:rsidRDefault="00837155" w:rsidP="007C4951">
        <w:pPr>
          <w:pStyle w:val="En-tte"/>
          <w:spacing w:after="240"/>
          <w:jc w:val="right"/>
        </w:pPr>
        <w:r>
          <w:t>CBD/COP/17/WG.I/CRP.16/Rev.1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E3965"/>
    <w:multiLevelType w:val="hybridMultilevel"/>
    <w:tmpl w:val="8F4E3E5C"/>
    <w:lvl w:ilvl="0" w:tplc="86B08130">
      <w:start w:val="1"/>
      <w:numFmt w:val="upperLetter"/>
      <w:lvlText w:val="%1."/>
      <w:lvlJc w:val="left"/>
      <w:pPr>
        <w:ind w:left="2061" w:hanging="360"/>
      </w:pPr>
      <w:rPr>
        <w:rFonts w:hint="default"/>
      </w:rPr>
    </w:lvl>
    <w:lvl w:ilvl="1" w:tplc="140C0019" w:tentative="1">
      <w:start w:val="1"/>
      <w:numFmt w:val="lowerLetter"/>
      <w:lvlText w:val="%2."/>
      <w:lvlJc w:val="left"/>
      <w:pPr>
        <w:ind w:left="2781" w:hanging="360"/>
      </w:pPr>
    </w:lvl>
    <w:lvl w:ilvl="2" w:tplc="140C001B" w:tentative="1">
      <w:start w:val="1"/>
      <w:numFmt w:val="lowerRoman"/>
      <w:lvlText w:val="%3."/>
      <w:lvlJc w:val="right"/>
      <w:pPr>
        <w:ind w:left="3501" w:hanging="180"/>
      </w:pPr>
    </w:lvl>
    <w:lvl w:ilvl="3" w:tplc="140C000F" w:tentative="1">
      <w:start w:val="1"/>
      <w:numFmt w:val="decimal"/>
      <w:lvlText w:val="%4."/>
      <w:lvlJc w:val="left"/>
      <w:pPr>
        <w:ind w:left="4221" w:hanging="360"/>
      </w:pPr>
    </w:lvl>
    <w:lvl w:ilvl="4" w:tplc="140C0019" w:tentative="1">
      <w:start w:val="1"/>
      <w:numFmt w:val="lowerLetter"/>
      <w:lvlText w:val="%5."/>
      <w:lvlJc w:val="left"/>
      <w:pPr>
        <w:ind w:left="4941" w:hanging="360"/>
      </w:pPr>
    </w:lvl>
    <w:lvl w:ilvl="5" w:tplc="140C001B" w:tentative="1">
      <w:start w:val="1"/>
      <w:numFmt w:val="lowerRoman"/>
      <w:lvlText w:val="%6."/>
      <w:lvlJc w:val="right"/>
      <w:pPr>
        <w:ind w:left="5661" w:hanging="180"/>
      </w:pPr>
    </w:lvl>
    <w:lvl w:ilvl="6" w:tplc="140C000F" w:tentative="1">
      <w:start w:val="1"/>
      <w:numFmt w:val="decimal"/>
      <w:lvlText w:val="%7."/>
      <w:lvlJc w:val="left"/>
      <w:pPr>
        <w:ind w:left="6381" w:hanging="360"/>
      </w:pPr>
    </w:lvl>
    <w:lvl w:ilvl="7" w:tplc="140C0019" w:tentative="1">
      <w:start w:val="1"/>
      <w:numFmt w:val="lowerLetter"/>
      <w:lvlText w:val="%8."/>
      <w:lvlJc w:val="left"/>
      <w:pPr>
        <w:ind w:left="7101" w:hanging="360"/>
      </w:pPr>
    </w:lvl>
    <w:lvl w:ilvl="8" w:tplc="140C001B" w:tentative="1">
      <w:start w:val="1"/>
      <w:numFmt w:val="lowerRoman"/>
      <w:lvlText w:val="%9."/>
      <w:lvlJc w:val="right"/>
      <w:pPr>
        <w:ind w:left="7821" w:hanging="180"/>
      </w:pPr>
    </w:lvl>
  </w:abstractNum>
  <w:abstractNum w:abstractNumId="1" w15:restartNumberingAfterBreak="0">
    <w:nsid w:val="3B8778AA"/>
    <w:multiLevelType w:val="multilevel"/>
    <w:tmpl w:val="A49EB658"/>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A01225"/>
    <w:multiLevelType w:val="hybridMultilevel"/>
    <w:tmpl w:val="7E38B7D4"/>
    <w:lvl w:ilvl="0" w:tplc="B1300CDE">
      <w:start w:val="13"/>
      <w:numFmt w:val="decimal"/>
      <w:lvlText w:val="%1."/>
      <w:lvlJc w:val="left"/>
      <w:pPr>
        <w:ind w:left="1080" w:hanging="360"/>
      </w:pPr>
      <w:rPr>
        <w:rFonts w:hint="default"/>
        <w:i w:val="0"/>
        <w:iCs/>
      </w:rPr>
    </w:lvl>
    <w:lvl w:ilvl="1" w:tplc="140C0019">
      <w:start w:val="1"/>
      <w:numFmt w:val="lowerLetter"/>
      <w:lvlText w:val="%2."/>
      <w:lvlJc w:val="left"/>
      <w:pPr>
        <w:ind w:left="1800" w:hanging="360"/>
      </w:pPr>
    </w:lvl>
    <w:lvl w:ilvl="2" w:tplc="140C001B" w:tentative="1">
      <w:start w:val="1"/>
      <w:numFmt w:val="lowerRoman"/>
      <w:lvlText w:val="%3."/>
      <w:lvlJc w:val="right"/>
      <w:pPr>
        <w:ind w:left="2520" w:hanging="180"/>
      </w:pPr>
    </w:lvl>
    <w:lvl w:ilvl="3" w:tplc="140C000F" w:tentative="1">
      <w:start w:val="1"/>
      <w:numFmt w:val="decimal"/>
      <w:lvlText w:val="%4."/>
      <w:lvlJc w:val="left"/>
      <w:pPr>
        <w:ind w:left="3240" w:hanging="360"/>
      </w:pPr>
    </w:lvl>
    <w:lvl w:ilvl="4" w:tplc="140C0019" w:tentative="1">
      <w:start w:val="1"/>
      <w:numFmt w:val="lowerLetter"/>
      <w:lvlText w:val="%5."/>
      <w:lvlJc w:val="left"/>
      <w:pPr>
        <w:ind w:left="3960" w:hanging="360"/>
      </w:pPr>
    </w:lvl>
    <w:lvl w:ilvl="5" w:tplc="140C001B" w:tentative="1">
      <w:start w:val="1"/>
      <w:numFmt w:val="lowerRoman"/>
      <w:lvlText w:val="%6."/>
      <w:lvlJc w:val="right"/>
      <w:pPr>
        <w:ind w:left="4680" w:hanging="180"/>
      </w:pPr>
    </w:lvl>
    <w:lvl w:ilvl="6" w:tplc="140C000F" w:tentative="1">
      <w:start w:val="1"/>
      <w:numFmt w:val="decimal"/>
      <w:lvlText w:val="%7."/>
      <w:lvlJc w:val="left"/>
      <w:pPr>
        <w:ind w:left="5400" w:hanging="360"/>
      </w:pPr>
    </w:lvl>
    <w:lvl w:ilvl="7" w:tplc="140C0019" w:tentative="1">
      <w:start w:val="1"/>
      <w:numFmt w:val="lowerLetter"/>
      <w:lvlText w:val="%8."/>
      <w:lvlJc w:val="left"/>
      <w:pPr>
        <w:ind w:left="6120" w:hanging="360"/>
      </w:pPr>
    </w:lvl>
    <w:lvl w:ilvl="8" w:tplc="140C001B" w:tentative="1">
      <w:start w:val="1"/>
      <w:numFmt w:val="lowerRoman"/>
      <w:lvlText w:val="%9."/>
      <w:lvlJc w:val="right"/>
      <w:pPr>
        <w:ind w:left="684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5FC68D5"/>
    <w:multiLevelType w:val="hybridMultilevel"/>
    <w:tmpl w:val="9B464BD2"/>
    <w:lvl w:ilvl="0" w:tplc="313EA5CC">
      <w:start w:val="12"/>
      <w:numFmt w:val="decimal"/>
      <w:lvlText w:val="%1."/>
      <w:lvlJc w:val="left"/>
      <w:pPr>
        <w:ind w:left="1026" w:hanging="360"/>
      </w:pPr>
      <w:rPr>
        <w:rFonts w:hint="default"/>
        <w:i w:val="0"/>
        <w:iCs/>
      </w:rPr>
    </w:lvl>
    <w:lvl w:ilvl="1" w:tplc="140C0019" w:tentative="1">
      <w:start w:val="1"/>
      <w:numFmt w:val="lowerLetter"/>
      <w:lvlText w:val="%2."/>
      <w:lvlJc w:val="left"/>
      <w:pPr>
        <w:ind w:left="1746" w:hanging="360"/>
      </w:pPr>
    </w:lvl>
    <w:lvl w:ilvl="2" w:tplc="140C001B" w:tentative="1">
      <w:start w:val="1"/>
      <w:numFmt w:val="lowerRoman"/>
      <w:lvlText w:val="%3."/>
      <w:lvlJc w:val="right"/>
      <w:pPr>
        <w:ind w:left="2466" w:hanging="180"/>
      </w:pPr>
    </w:lvl>
    <w:lvl w:ilvl="3" w:tplc="140C000F" w:tentative="1">
      <w:start w:val="1"/>
      <w:numFmt w:val="decimal"/>
      <w:lvlText w:val="%4."/>
      <w:lvlJc w:val="left"/>
      <w:pPr>
        <w:ind w:left="3186" w:hanging="360"/>
      </w:pPr>
    </w:lvl>
    <w:lvl w:ilvl="4" w:tplc="140C0019" w:tentative="1">
      <w:start w:val="1"/>
      <w:numFmt w:val="lowerLetter"/>
      <w:lvlText w:val="%5."/>
      <w:lvlJc w:val="left"/>
      <w:pPr>
        <w:ind w:left="3906" w:hanging="360"/>
      </w:pPr>
    </w:lvl>
    <w:lvl w:ilvl="5" w:tplc="140C001B" w:tentative="1">
      <w:start w:val="1"/>
      <w:numFmt w:val="lowerRoman"/>
      <w:lvlText w:val="%6."/>
      <w:lvlJc w:val="right"/>
      <w:pPr>
        <w:ind w:left="4626" w:hanging="180"/>
      </w:pPr>
    </w:lvl>
    <w:lvl w:ilvl="6" w:tplc="140C000F" w:tentative="1">
      <w:start w:val="1"/>
      <w:numFmt w:val="decimal"/>
      <w:lvlText w:val="%7."/>
      <w:lvlJc w:val="left"/>
      <w:pPr>
        <w:ind w:left="5346" w:hanging="360"/>
      </w:pPr>
    </w:lvl>
    <w:lvl w:ilvl="7" w:tplc="140C0019" w:tentative="1">
      <w:start w:val="1"/>
      <w:numFmt w:val="lowerLetter"/>
      <w:lvlText w:val="%8."/>
      <w:lvlJc w:val="left"/>
      <w:pPr>
        <w:ind w:left="6066" w:hanging="360"/>
      </w:pPr>
    </w:lvl>
    <w:lvl w:ilvl="8" w:tplc="140C001B" w:tentative="1">
      <w:start w:val="1"/>
      <w:numFmt w:val="lowerRoman"/>
      <w:lvlText w:val="%9."/>
      <w:lvlJc w:val="right"/>
      <w:pPr>
        <w:ind w:left="6786" w:hanging="180"/>
      </w:p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1" w15:restartNumberingAfterBreak="0">
    <w:nsid w:val="72F312A5"/>
    <w:multiLevelType w:val="hybridMultilevel"/>
    <w:tmpl w:val="B5702602"/>
    <w:lvl w:ilvl="0" w:tplc="7A2C6BB0">
      <w:start w:val="12"/>
      <w:numFmt w:val="decimal"/>
      <w:lvlText w:val="%1"/>
      <w:lvlJc w:val="left"/>
      <w:pPr>
        <w:ind w:left="720" w:hanging="360"/>
      </w:pPr>
      <w:rPr>
        <w:rFonts w:hint="default"/>
        <w:i/>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2" w15:restartNumberingAfterBreak="0">
    <w:nsid w:val="751E4A46"/>
    <w:multiLevelType w:val="hybridMultilevel"/>
    <w:tmpl w:val="0246B568"/>
    <w:lvl w:ilvl="0" w:tplc="1A4E7EF6">
      <w:start w:val="12"/>
      <w:numFmt w:val="decimal"/>
      <w:lvlText w:val="%1."/>
      <w:lvlJc w:val="left"/>
      <w:pPr>
        <w:ind w:left="927" w:hanging="360"/>
      </w:pPr>
      <w:rPr>
        <w:rFonts w:hint="default"/>
      </w:rPr>
    </w:lvl>
    <w:lvl w:ilvl="1" w:tplc="140C0019" w:tentative="1">
      <w:start w:val="1"/>
      <w:numFmt w:val="lowerLetter"/>
      <w:lvlText w:val="%2."/>
      <w:lvlJc w:val="left"/>
      <w:pPr>
        <w:ind w:left="1647" w:hanging="360"/>
      </w:pPr>
    </w:lvl>
    <w:lvl w:ilvl="2" w:tplc="140C001B" w:tentative="1">
      <w:start w:val="1"/>
      <w:numFmt w:val="lowerRoman"/>
      <w:lvlText w:val="%3."/>
      <w:lvlJc w:val="right"/>
      <w:pPr>
        <w:ind w:left="2367" w:hanging="180"/>
      </w:pPr>
    </w:lvl>
    <w:lvl w:ilvl="3" w:tplc="140C000F" w:tentative="1">
      <w:start w:val="1"/>
      <w:numFmt w:val="decimal"/>
      <w:lvlText w:val="%4."/>
      <w:lvlJc w:val="left"/>
      <w:pPr>
        <w:ind w:left="3087" w:hanging="360"/>
      </w:pPr>
    </w:lvl>
    <w:lvl w:ilvl="4" w:tplc="140C0019" w:tentative="1">
      <w:start w:val="1"/>
      <w:numFmt w:val="lowerLetter"/>
      <w:lvlText w:val="%5."/>
      <w:lvlJc w:val="left"/>
      <w:pPr>
        <w:ind w:left="3807" w:hanging="360"/>
      </w:pPr>
    </w:lvl>
    <w:lvl w:ilvl="5" w:tplc="140C001B" w:tentative="1">
      <w:start w:val="1"/>
      <w:numFmt w:val="lowerRoman"/>
      <w:lvlText w:val="%6."/>
      <w:lvlJc w:val="right"/>
      <w:pPr>
        <w:ind w:left="4527" w:hanging="180"/>
      </w:pPr>
    </w:lvl>
    <w:lvl w:ilvl="6" w:tplc="140C000F" w:tentative="1">
      <w:start w:val="1"/>
      <w:numFmt w:val="decimal"/>
      <w:lvlText w:val="%7."/>
      <w:lvlJc w:val="left"/>
      <w:pPr>
        <w:ind w:left="5247" w:hanging="360"/>
      </w:pPr>
    </w:lvl>
    <w:lvl w:ilvl="7" w:tplc="140C0019" w:tentative="1">
      <w:start w:val="1"/>
      <w:numFmt w:val="lowerLetter"/>
      <w:lvlText w:val="%8."/>
      <w:lvlJc w:val="left"/>
      <w:pPr>
        <w:ind w:left="5967" w:hanging="360"/>
      </w:pPr>
    </w:lvl>
    <w:lvl w:ilvl="8" w:tplc="140C001B" w:tentative="1">
      <w:start w:val="1"/>
      <w:numFmt w:val="lowerRoman"/>
      <w:lvlText w:val="%9."/>
      <w:lvlJc w:val="right"/>
      <w:pPr>
        <w:ind w:left="6687" w:hanging="180"/>
      </w:pPr>
    </w:lvl>
  </w:abstractNum>
  <w:num w:numId="1" w16cid:durableId="830828777">
    <w:abstractNumId w:val="5"/>
  </w:num>
  <w:num w:numId="2" w16cid:durableId="1858829">
    <w:abstractNumId w:val="3"/>
  </w:num>
  <w:num w:numId="3" w16cid:durableId="1333221471">
    <w:abstractNumId w:val="9"/>
  </w:num>
  <w:num w:numId="4" w16cid:durableId="1072390599">
    <w:abstractNumId w:val="10"/>
  </w:num>
  <w:num w:numId="5" w16cid:durableId="960385107">
    <w:abstractNumId w:val="4"/>
  </w:num>
  <w:num w:numId="6" w16cid:durableId="893932166">
    <w:abstractNumId w:val="8"/>
  </w:num>
  <w:num w:numId="7" w16cid:durableId="323945383">
    <w:abstractNumId w:val="7"/>
  </w:num>
  <w:num w:numId="8" w16cid:durableId="1237204969">
    <w:abstractNumId w:val="12"/>
  </w:num>
  <w:num w:numId="9" w16cid:durableId="34814976">
    <w:abstractNumId w:val="1"/>
  </w:num>
  <w:num w:numId="10" w16cid:durableId="1832673998">
    <w:abstractNumId w:val="11"/>
  </w:num>
  <w:num w:numId="11" w16cid:durableId="1560480851">
    <w:abstractNumId w:val="6"/>
  </w:num>
  <w:num w:numId="12" w16cid:durableId="723601584">
    <w:abstractNumId w:val="2"/>
  </w:num>
  <w:num w:numId="13" w16cid:durableId="160183299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5177"/>
    <w:rsid w:val="0000582D"/>
    <w:rsid w:val="00017D63"/>
    <w:rsid w:val="0002089E"/>
    <w:rsid w:val="00023BC8"/>
    <w:rsid w:val="0003345C"/>
    <w:rsid w:val="00034210"/>
    <w:rsid w:val="000367D8"/>
    <w:rsid w:val="00037C36"/>
    <w:rsid w:val="00043F97"/>
    <w:rsid w:val="0005091C"/>
    <w:rsid w:val="000543A9"/>
    <w:rsid w:val="00055821"/>
    <w:rsid w:val="0005782F"/>
    <w:rsid w:val="0007171B"/>
    <w:rsid w:val="00076C29"/>
    <w:rsid w:val="000909DC"/>
    <w:rsid w:val="000909E7"/>
    <w:rsid w:val="00091AAA"/>
    <w:rsid w:val="0009534C"/>
    <w:rsid w:val="000967D5"/>
    <w:rsid w:val="000974B5"/>
    <w:rsid w:val="000A2B62"/>
    <w:rsid w:val="000B044F"/>
    <w:rsid w:val="000B07D7"/>
    <w:rsid w:val="000B3A7A"/>
    <w:rsid w:val="000D0F68"/>
    <w:rsid w:val="000D167D"/>
    <w:rsid w:val="000D2CFE"/>
    <w:rsid w:val="000D7AEF"/>
    <w:rsid w:val="000E4CFA"/>
    <w:rsid w:val="000E673A"/>
    <w:rsid w:val="000F1F40"/>
    <w:rsid w:val="000F2197"/>
    <w:rsid w:val="000F6945"/>
    <w:rsid w:val="000F74F5"/>
    <w:rsid w:val="000F78FC"/>
    <w:rsid w:val="001026F1"/>
    <w:rsid w:val="001031DF"/>
    <w:rsid w:val="001044F0"/>
    <w:rsid w:val="00105372"/>
    <w:rsid w:val="001054A6"/>
    <w:rsid w:val="001078A1"/>
    <w:rsid w:val="00111A6D"/>
    <w:rsid w:val="00116B34"/>
    <w:rsid w:val="00117BD8"/>
    <w:rsid w:val="00123C30"/>
    <w:rsid w:val="001312AD"/>
    <w:rsid w:val="00131E7A"/>
    <w:rsid w:val="00134846"/>
    <w:rsid w:val="00137278"/>
    <w:rsid w:val="00172392"/>
    <w:rsid w:val="00172AF6"/>
    <w:rsid w:val="0017588C"/>
    <w:rsid w:val="00176CEE"/>
    <w:rsid w:val="00177E2B"/>
    <w:rsid w:val="00186DD8"/>
    <w:rsid w:val="00196BFC"/>
    <w:rsid w:val="00196F16"/>
    <w:rsid w:val="00197CF9"/>
    <w:rsid w:val="001A005C"/>
    <w:rsid w:val="001A2D4E"/>
    <w:rsid w:val="001A35EC"/>
    <w:rsid w:val="001B13FE"/>
    <w:rsid w:val="001B2A3D"/>
    <w:rsid w:val="001B680C"/>
    <w:rsid w:val="001C324D"/>
    <w:rsid w:val="001C5FDD"/>
    <w:rsid w:val="001D638B"/>
    <w:rsid w:val="001E0AD1"/>
    <w:rsid w:val="001F3114"/>
    <w:rsid w:val="001F63C6"/>
    <w:rsid w:val="00212F5E"/>
    <w:rsid w:val="00215CD4"/>
    <w:rsid w:val="00226654"/>
    <w:rsid w:val="00226737"/>
    <w:rsid w:val="00227D0F"/>
    <w:rsid w:val="002403D1"/>
    <w:rsid w:val="0024081C"/>
    <w:rsid w:val="00240EE6"/>
    <w:rsid w:val="0024112D"/>
    <w:rsid w:val="00247C53"/>
    <w:rsid w:val="00247F47"/>
    <w:rsid w:val="002542C4"/>
    <w:rsid w:val="00254EB5"/>
    <w:rsid w:val="00255020"/>
    <w:rsid w:val="00255FD5"/>
    <w:rsid w:val="00256B32"/>
    <w:rsid w:val="002606E9"/>
    <w:rsid w:val="00267261"/>
    <w:rsid w:val="00271BAF"/>
    <w:rsid w:val="00277B16"/>
    <w:rsid w:val="002805F6"/>
    <w:rsid w:val="0029444A"/>
    <w:rsid w:val="002946CB"/>
    <w:rsid w:val="00295B48"/>
    <w:rsid w:val="002B2768"/>
    <w:rsid w:val="002B62EF"/>
    <w:rsid w:val="002B6EF6"/>
    <w:rsid w:val="002B7A02"/>
    <w:rsid w:val="002C1B4A"/>
    <w:rsid w:val="002C528F"/>
    <w:rsid w:val="002D7F8F"/>
    <w:rsid w:val="002E213A"/>
    <w:rsid w:val="002F3BED"/>
    <w:rsid w:val="002F4650"/>
    <w:rsid w:val="002F6E18"/>
    <w:rsid w:val="003008FE"/>
    <w:rsid w:val="0030169D"/>
    <w:rsid w:val="003060EB"/>
    <w:rsid w:val="003153EB"/>
    <w:rsid w:val="0032136E"/>
    <w:rsid w:val="00321985"/>
    <w:rsid w:val="00337917"/>
    <w:rsid w:val="00343E26"/>
    <w:rsid w:val="00351205"/>
    <w:rsid w:val="003514ED"/>
    <w:rsid w:val="0035287B"/>
    <w:rsid w:val="00372F74"/>
    <w:rsid w:val="0037325F"/>
    <w:rsid w:val="00373E51"/>
    <w:rsid w:val="0038328A"/>
    <w:rsid w:val="003865A1"/>
    <w:rsid w:val="0039635A"/>
    <w:rsid w:val="003A266C"/>
    <w:rsid w:val="003B0684"/>
    <w:rsid w:val="003C0515"/>
    <w:rsid w:val="003C5CDE"/>
    <w:rsid w:val="003D3539"/>
    <w:rsid w:val="003F0D3A"/>
    <w:rsid w:val="003F1A75"/>
    <w:rsid w:val="003F7224"/>
    <w:rsid w:val="00411758"/>
    <w:rsid w:val="004142FB"/>
    <w:rsid w:val="0041735B"/>
    <w:rsid w:val="0042129D"/>
    <w:rsid w:val="00422C6E"/>
    <w:rsid w:val="004236A4"/>
    <w:rsid w:val="0042400B"/>
    <w:rsid w:val="00427D21"/>
    <w:rsid w:val="00427DCF"/>
    <w:rsid w:val="00432C69"/>
    <w:rsid w:val="00447F4A"/>
    <w:rsid w:val="00456F67"/>
    <w:rsid w:val="004577FE"/>
    <w:rsid w:val="00464332"/>
    <w:rsid w:val="004644C2"/>
    <w:rsid w:val="00464768"/>
    <w:rsid w:val="00467CCC"/>
    <w:rsid w:val="00467F9C"/>
    <w:rsid w:val="00475A01"/>
    <w:rsid w:val="00475F75"/>
    <w:rsid w:val="00481219"/>
    <w:rsid w:val="00481AEC"/>
    <w:rsid w:val="00493C5F"/>
    <w:rsid w:val="004975E2"/>
    <w:rsid w:val="004C00C4"/>
    <w:rsid w:val="004C4395"/>
    <w:rsid w:val="004E05D0"/>
    <w:rsid w:val="004E1F27"/>
    <w:rsid w:val="00502308"/>
    <w:rsid w:val="00503C5A"/>
    <w:rsid w:val="0051006C"/>
    <w:rsid w:val="00515D7D"/>
    <w:rsid w:val="00521717"/>
    <w:rsid w:val="005271EB"/>
    <w:rsid w:val="00534681"/>
    <w:rsid w:val="00537F0A"/>
    <w:rsid w:val="0054247E"/>
    <w:rsid w:val="00543F83"/>
    <w:rsid w:val="005501D5"/>
    <w:rsid w:val="005552E5"/>
    <w:rsid w:val="00555BF7"/>
    <w:rsid w:val="0056068E"/>
    <w:rsid w:val="00562FB5"/>
    <w:rsid w:val="00563442"/>
    <w:rsid w:val="0056348E"/>
    <w:rsid w:val="00565B42"/>
    <w:rsid w:val="005727C7"/>
    <w:rsid w:val="00573575"/>
    <w:rsid w:val="00574446"/>
    <w:rsid w:val="00580875"/>
    <w:rsid w:val="00587B49"/>
    <w:rsid w:val="00591B5E"/>
    <w:rsid w:val="00594ACE"/>
    <w:rsid w:val="005B26BB"/>
    <w:rsid w:val="005B35E2"/>
    <w:rsid w:val="005B58DF"/>
    <w:rsid w:val="005B602C"/>
    <w:rsid w:val="005C05CC"/>
    <w:rsid w:val="005C4CE6"/>
    <w:rsid w:val="005C500C"/>
    <w:rsid w:val="005C6A4E"/>
    <w:rsid w:val="005D0A13"/>
    <w:rsid w:val="005F6580"/>
    <w:rsid w:val="005F6F6D"/>
    <w:rsid w:val="006047AD"/>
    <w:rsid w:val="006122BA"/>
    <w:rsid w:val="00621F1A"/>
    <w:rsid w:val="00624A6E"/>
    <w:rsid w:val="00642D22"/>
    <w:rsid w:val="00643492"/>
    <w:rsid w:val="006478BF"/>
    <w:rsid w:val="00653334"/>
    <w:rsid w:val="00653BB6"/>
    <w:rsid w:val="006657D2"/>
    <w:rsid w:val="006713E6"/>
    <w:rsid w:val="00677754"/>
    <w:rsid w:val="00685D3D"/>
    <w:rsid w:val="006877CA"/>
    <w:rsid w:val="00696565"/>
    <w:rsid w:val="006A73C1"/>
    <w:rsid w:val="006B2290"/>
    <w:rsid w:val="006B275E"/>
    <w:rsid w:val="006C6F48"/>
    <w:rsid w:val="006C743D"/>
    <w:rsid w:val="006D220E"/>
    <w:rsid w:val="006D774E"/>
    <w:rsid w:val="006E091C"/>
    <w:rsid w:val="006E52A4"/>
    <w:rsid w:val="006E5E52"/>
    <w:rsid w:val="006E7BE2"/>
    <w:rsid w:val="006F2F94"/>
    <w:rsid w:val="007065D5"/>
    <w:rsid w:val="00717D88"/>
    <w:rsid w:val="00724BE0"/>
    <w:rsid w:val="00726A43"/>
    <w:rsid w:val="00726F9A"/>
    <w:rsid w:val="00733E96"/>
    <w:rsid w:val="0074097D"/>
    <w:rsid w:val="00747B27"/>
    <w:rsid w:val="00750817"/>
    <w:rsid w:val="00761A81"/>
    <w:rsid w:val="00766CF7"/>
    <w:rsid w:val="00771D7B"/>
    <w:rsid w:val="00772311"/>
    <w:rsid w:val="00772AF5"/>
    <w:rsid w:val="0077497B"/>
    <w:rsid w:val="007803C2"/>
    <w:rsid w:val="00784226"/>
    <w:rsid w:val="00786056"/>
    <w:rsid w:val="00786A34"/>
    <w:rsid w:val="007942D3"/>
    <w:rsid w:val="007A365F"/>
    <w:rsid w:val="007A52FF"/>
    <w:rsid w:val="007B2099"/>
    <w:rsid w:val="007B27A6"/>
    <w:rsid w:val="007B6C09"/>
    <w:rsid w:val="007B7741"/>
    <w:rsid w:val="007C1429"/>
    <w:rsid w:val="007C4951"/>
    <w:rsid w:val="007C5935"/>
    <w:rsid w:val="007D29FC"/>
    <w:rsid w:val="007D3801"/>
    <w:rsid w:val="007E09DA"/>
    <w:rsid w:val="007E0F8A"/>
    <w:rsid w:val="007E450D"/>
    <w:rsid w:val="007F718D"/>
    <w:rsid w:val="00800583"/>
    <w:rsid w:val="00801FAD"/>
    <w:rsid w:val="00816859"/>
    <w:rsid w:val="008178B6"/>
    <w:rsid w:val="008233E6"/>
    <w:rsid w:val="008234D2"/>
    <w:rsid w:val="00833427"/>
    <w:rsid w:val="00835BCD"/>
    <w:rsid w:val="00836F27"/>
    <w:rsid w:val="00837155"/>
    <w:rsid w:val="008405D8"/>
    <w:rsid w:val="008564A5"/>
    <w:rsid w:val="008647CF"/>
    <w:rsid w:val="00865B74"/>
    <w:rsid w:val="00866063"/>
    <w:rsid w:val="008705AD"/>
    <w:rsid w:val="0087713E"/>
    <w:rsid w:val="0087746D"/>
    <w:rsid w:val="008777AF"/>
    <w:rsid w:val="008812F0"/>
    <w:rsid w:val="00895010"/>
    <w:rsid w:val="008974F0"/>
    <w:rsid w:val="008A1499"/>
    <w:rsid w:val="008A4976"/>
    <w:rsid w:val="008A6EEE"/>
    <w:rsid w:val="008B012A"/>
    <w:rsid w:val="008C031D"/>
    <w:rsid w:val="008D0F84"/>
    <w:rsid w:val="008D24CD"/>
    <w:rsid w:val="008D529C"/>
    <w:rsid w:val="008D7A63"/>
    <w:rsid w:val="008E5ED0"/>
    <w:rsid w:val="008E5FD7"/>
    <w:rsid w:val="008F70C7"/>
    <w:rsid w:val="0090327F"/>
    <w:rsid w:val="00905CA0"/>
    <w:rsid w:val="00906E17"/>
    <w:rsid w:val="00910842"/>
    <w:rsid w:val="00930BA1"/>
    <w:rsid w:val="0093169E"/>
    <w:rsid w:val="00932FB3"/>
    <w:rsid w:val="0094715A"/>
    <w:rsid w:val="009505C9"/>
    <w:rsid w:val="00950752"/>
    <w:rsid w:val="00951FD6"/>
    <w:rsid w:val="00954354"/>
    <w:rsid w:val="009619FB"/>
    <w:rsid w:val="009645E9"/>
    <w:rsid w:val="00966424"/>
    <w:rsid w:val="0098401D"/>
    <w:rsid w:val="00985CD6"/>
    <w:rsid w:val="009C2DE6"/>
    <w:rsid w:val="009C4A61"/>
    <w:rsid w:val="009D10CF"/>
    <w:rsid w:val="009D332B"/>
    <w:rsid w:val="009E4948"/>
    <w:rsid w:val="00A05DBE"/>
    <w:rsid w:val="00A111D1"/>
    <w:rsid w:val="00A118BE"/>
    <w:rsid w:val="00A15C9B"/>
    <w:rsid w:val="00A22612"/>
    <w:rsid w:val="00A26D13"/>
    <w:rsid w:val="00A40002"/>
    <w:rsid w:val="00A403E7"/>
    <w:rsid w:val="00A41E78"/>
    <w:rsid w:val="00A4422D"/>
    <w:rsid w:val="00A44FF6"/>
    <w:rsid w:val="00A56887"/>
    <w:rsid w:val="00A60B83"/>
    <w:rsid w:val="00A728A7"/>
    <w:rsid w:val="00A74678"/>
    <w:rsid w:val="00A74C8A"/>
    <w:rsid w:val="00A76E54"/>
    <w:rsid w:val="00A95944"/>
    <w:rsid w:val="00A95B23"/>
    <w:rsid w:val="00AA512E"/>
    <w:rsid w:val="00AA6D30"/>
    <w:rsid w:val="00AA6F92"/>
    <w:rsid w:val="00AB101C"/>
    <w:rsid w:val="00AB4DB3"/>
    <w:rsid w:val="00AB6934"/>
    <w:rsid w:val="00AB745C"/>
    <w:rsid w:val="00AC4F5E"/>
    <w:rsid w:val="00AC65C6"/>
    <w:rsid w:val="00AD1C77"/>
    <w:rsid w:val="00AD3BCB"/>
    <w:rsid w:val="00AF42DE"/>
    <w:rsid w:val="00AF6DA0"/>
    <w:rsid w:val="00AF7304"/>
    <w:rsid w:val="00AF793C"/>
    <w:rsid w:val="00B03BDA"/>
    <w:rsid w:val="00B102B7"/>
    <w:rsid w:val="00B10FCA"/>
    <w:rsid w:val="00B23093"/>
    <w:rsid w:val="00B26711"/>
    <w:rsid w:val="00B3369F"/>
    <w:rsid w:val="00B379B4"/>
    <w:rsid w:val="00B37DA8"/>
    <w:rsid w:val="00B50FF1"/>
    <w:rsid w:val="00B51FC6"/>
    <w:rsid w:val="00B52D14"/>
    <w:rsid w:val="00B54755"/>
    <w:rsid w:val="00B67886"/>
    <w:rsid w:val="00B71416"/>
    <w:rsid w:val="00B74450"/>
    <w:rsid w:val="00B8575C"/>
    <w:rsid w:val="00B875D0"/>
    <w:rsid w:val="00B94BA4"/>
    <w:rsid w:val="00B94E6C"/>
    <w:rsid w:val="00BA14B9"/>
    <w:rsid w:val="00BB2556"/>
    <w:rsid w:val="00BB4606"/>
    <w:rsid w:val="00BB7179"/>
    <w:rsid w:val="00BC188A"/>
    <w:rsid w:val="00BC54C1"/>
    <w:rsid w:val="00BD043D"/>
    <w:rsid w:val="00BD6379"/>
    <w:rsid w:val="00BE7782"/>
    <w:rsid w:val="00C02C19"/>
    <w:rsid w:val="00C23D2F"/>
    <w:rsid w:val="00C25328"/>
    <w:rsid w:val="00C36205"/>
    <w:rsid w:val="00C36C78"/>
    <w:rsid w:val="00C37EF7"/>
    <w:rsid w:val="00C443BD"/>
    <w:rsid w:val="00C451C5"/>
    <w:rsid w:val="00C45742"/>
    <w:rsid w:val="00C46AEC"/>
    <w:rsid w:val="00C4751D"/>
    <w:rsid w:val="00C62C9A"/>
    <w:rsid w:val="00C83855"/>
    <w:rsid w:val="00C9161D"/>
    <w:rsid w:val="00C96F85"/>
    <w:rsid w:val="00C976D5"/>
    <w:rsid w:val="00CA0C1D"/>
    <w:rsid w:val="00CA6AA4"/>
    <w:rsid w:val="00CB048A"/>
    <w:rsid w:val="00CB567B"/>
    <w:rsid w:val="00CC104F"/>
    <w:rsid w:val="00CC11E0"/>
    <w:rsid w:val="00CC7DAE"/>
    <w:rsid w:val="00CD34A1"/>
    <w:rsid w:val="00CD4FD2"/>
    <w:rsid w:val="00CE1077"/>
    <w:rsid w:val="00CE4AE0"/>
    <w:rsid w:val="00CE4C32"/>
    <w:rsid w:val="00CF1848"/>
    <w:rsid w:val="00D00218"/>
    <w:rsid w:val="00D02B3F"/>
    <w:rsid w:val="00D04A08"/>
    <w:rsid w:val="00D04C12"/>
    <w:rsid w:val="00D12044"/>
    <w:rsid w:val="00D16793"/>
    <w:rsid w:val="00D170D9"/>
    <w:rsid w:val="00D22996"/>
    <w:rsid w:val="00D26FCA"/>
    <w:rsid w:val="00D318D7"/>
    <w:rsid w:val="00D31D7D"/>
    <w:rsid w:val="00D33EFC"/>
    <w:rsid w:val="00D40DBC"/>
    <w:rsid w:val="00D42891"/>
    <w:rsid w:val="00D46D86"/>
    <w:rsid w:val="00D5054F"/>
    <w:rsid w:val="00D511CB"/>
    <w:rsid w:val="00D53191"/>
    <w:rsid w:val="00D56C36"/>
    <w:rsid w:val="00D61C85"/>
    <w:rsid w:val="00D64BEF"/>
    <w:rsid w:val="00D656D5"/>
    <w:rsid w:val="00D71BA9"/>
    <w:rsid w:val="00D75924"/>
    <w:rsid w:val="00D75CA6"/>
    <w:rsid w:val="00D76A18"/>
    <w:rsid w:val="00D80849"/>
    <w:rsid w:val="00D80E85"/>
    <w:rsid w:val="00D82C17"/>
    <w:rsid w:val="00D82E8F"/>
    <w:rsid w:val="00D857CA"/>
    <w:rsid w:val="00D90EBA"/>
    <w:rsid w:val="00D93896"/>
    <w:rsid w:val="00DA2AD5"/>
    <w:rsid w:val="00DA60E5"/>
    <w:rsid w:val="00DB3861"/>
    <w:rsid w:val="00DB553F"/>
    <w:rsid w:val="00DB5E0F"/>
    <w:rsid w:val="00DB6093"/>
    <w:rsid w:val="00DC5752"/>
    <w:rsid w:val="00DD118C"/>
    <w:rsid w:val="00DD30C4"/>
    <w:rsid w:val="00DD327B"/>
    <w:rsid w:val="00DD3773"/>
    <w:rsid w:val="00DD47E9"/>
    <w:rsid w:val="00DD5C29"/>
    <w:rsid w:val="00DE23A4"/>
    <w:rsid w:val="00DE5E8C"/>
    <w:rsid w:val="00DE765C"/>
    <w:rsid w:val="00DF72A6"/>
    <w:rsid w:val="00E06E7F"/>
    <w:rsid w:val="00E16C56"/>
    <w:rsid w:val="00E16E92"/>
    <w:rsid w:val="00E23F0F"/>
    <w:rsid w:val="00E25604"/>
    <w:rsid w:val="00E3008E"/>
    <w:rsid w:val="00E30D33"/>
    <w:rsid w:val="00E324AE"/>
    <w:rsid w:val="00E40616"/>
    <w:rsid w:val="00E458BA"/>
    <w:rsid w:val="00E46BAB"/>
    <w:rsid w:val="00E47C2D"/>
    <w:rsid w:val="00E51951"/>
    <w:rsid w:val="00E66235"/>
    <w:rsid w:val="00E66AE2"/>
    <w:rsid w:val="00E721B2"/>
    <w:rsid w:val="00E803BF"/>
    <w:rsid w:val="00E819F5"/>
    <w:rsid w:val="00E838DA"/>
    <w:rsid w:val="00E83C24"/>
    <w:rsid w:val="00E9318D"/>
    <w:rsid w:val="00E93F3E"/>
    <w:rsid w:val="00E9504B"/>
    <w:rsid w:val="00EA2004"/>
    <w:rsid w:val="00EB1CC7"/>
    <w:rsid w:val="00ED2113"/>
    <w:rsid w:val="00ED2EF0"/>
    <w:rsid w:val="00EE42B1"/>
    <w:rsid w:val="00EE69C1"/>
    <w:rsid w:val="00EF5264"/>
    <w:rsid w:val="00F05DCA"/>
    <w:rsid w:val="00F063C2"/>
    <w:rsid w:val="00F07072"/>
    <w:rsid w:val="00F40464"/>
    <w:rsid w:val="00F46E89"/>
    <w:rsid w:val="00F53193"/>
    <w:rsid w:val="00F5357E"/>
    <w:rsid w:val="00F54659"/>
    <w:rsid w:val="00F6002B"/>
    <w:rsid w:val="00F60BD6"/>
    <w:rsid w:val="00F64143"/>
    <w:rsid w:val="00F6586C"/>
    <w:rsid w:val="00F730D8"/>
    <w:rsid w:val="00F80FE2"/>
    <w:rsid w:val="00F9038B"/>
    <w:rsid w:val="00F94774"/>
    <w:rsid w:val="00F954C4"/>
    <w:rsid w:val="00F95A9B"/>
    <w:rsid w:val="00FA663B"/>
    <w:rsid w:val="00FB048E"/>
    <w:rsid w:val="00FB7927"/>
    <w:rsid w:val="00FC1C03"/>
    <w:rsid w:val="00FC1F7B"/>
    <w:rsid w:val="00FC53DB"/>
    <w:rsid w:val="00FC5D9B"/>
    <w:rsid w:val="00FE3762"/>
    <w:rsid w:val="00FF07C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09BF68"/>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fr-FR"/>
    </w:rPr>
  </w:style>
  <w:style w:type="character" w:styleId="Textedelespacerserv">
    <w:name w:val="Placeholder Text"/>
    <w:basedOn w:val="Policepardfaut"/>
    <w:uiPriority w:val="99"/>
    <w:semiHidden/>
    <w:rsid w:val="00105372"/>
    <w:rPr>
      <w:color w:val="808080"/>
      <w:lang w:val="fr-FR"/>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fr-FR"/>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fr-FR"/>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fr-FR"/>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fr-FR"/>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fr-FR"/>
    </w:rPr>
  </w:style>
  <w:style w:type="character" w:styleId="Marquedecommentaire">
    <w:name w:val="annotation reference"/>
    <w:basedOn w:val="Policepardfaut"/>
    <w:uiPriority w:val="99"/>
    <w:semiHidden/>
    <w:unhideWhenUsed/>
    <w:rsid w:val="003F1A75"/>
    <w:rPr>
      <w:sz w:val="16"/>
      <w:szCs w:val="16"/>
      <w:lang w:val="fr-FR"/>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fr-FR"/>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fr-FR"/>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fr-FR"/>
    </w:rPr>
  </w:style>
  <w:style w:type="character" w:styleId="Lienhypertextesuivivisit">
    <w:name w:val="FollowedHyperlink"/>
    <w:rsid w:val="007E09DA"/>
    <w:rPr>
      <w:color w:val="800080"/>
      <w:u w:val="single"/>
      <w:lang w:val="fr-FR"/>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fr-FR"/>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fr-FR"/>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fr-FR"/>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fr-FR"/>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fr-FR"/>
    </w:rPr>
  </w:style>
  <w:style w:type="character" w:customStyle="1" w:styleId="Titre6Car">
    <w:name w:val="Titre 6 Car"/>
    <w:basedOn w:val="Policepardfaut"/>
    <w:link w:val="Titre6"/>
    <w:rsid w:val="003F1A75"/>
    <w:rPr>
      <w:rFonts w:ascii="Times New Roman" w:eastAsia="SimSun" w:hAnsi="Times New Roman" w:cs="Times New Roman"/>
      <w:bCs/>
      <w:szCs w:val="22"/>
      <w:lang w:val="fr-FR"/>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fr-FR"/>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fr-FR"/>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fr-FR"/>
    </w:rPr>
  </w:style>
  <w:style w:type="character" w:styleId="Numrodepage">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fr-FR"/>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fr-FR"/>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fr-FR"/>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fr-FR"/>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fr-FR"/>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fr-FR"/>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fr-FR"/>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fr-FR"/>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fr-FR"/>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fr-FR"/>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fr-FR"/>
    </w:rPr>
  </w:style>
  <w:style w:type="character" w:styleId="Titredulivre">
    <w:name w:val="Book Title"/>
    <w:basedOn w:val="Policepardfaut"/>
    <w:uiPriority w:val="33"/>
    <w:qFormat/>
    <w:rsid w:val="00A111D1"/>
    <w:rPr>
      <w:b/>
      <w:bCs/>
      <w:i/>
      <w:iCs/>
      <w:spacing w:val="5"/>
      <w:lang w:val="fr-FR"/>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fr-FR"/>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fr-FR"/>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fr-FR"/>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fr-FR"/>
    </w:rPr>
  </w:style>
  <w:style w:type="character" w:styleId="Accentuation">
    <w:name w:val="Emphasis"/>
    <w:basedOn w:val="Policepardfaut"/>
    <w:uiPriority w:val="20"/>
    <w:qFormat/>
    <w:rsid w:val="00A111D1"/>
    <w:rPr>
      <w:i/>
      <w:iCs/>
      <w:lang w:val="fr-FR"/>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fr-FR"/>
    </w:rPr>
  </w:style>
  <w:style w:type="character" w:styleId="AcronymeHTML">
    <w:name w:val="HTML Acronym"/>
    <w:basedOn w:val="Policepardfaut"/>
    <w:uiPriority w:val="99"/>
    <w:semiHidden/>
    <w:unhideWhenUsed/>
    <w:rsid w:val="00A111D1"/>
    <w:rPr>
      <w:lang w:val="fr-FR"/>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fr-FR"/>
    </w:rPr>
  </w:style>
  <w:style w:type="character" w:styleId="CitationHTML">
    <w:name w:val="HTML Cite"/>
    <w:basedOn w:val="Policepardfaut"/>
    <w:uiPriority w:val="99"/>
    <w:semiHidden/>
    <w:unhideWhenUsed/>
    <w:rsid w:val="00A111D1"/>
    <w:rPr>
      <w:i/>
      <w:iCs/>
      <w:lang w:val="fr-FR"/>
    </w:rPr>
  </w:style>
  <w:style w:type="character" w:styleId="CodeHTML">
    <w:name w:val="HTML Code"/>
    <w:basedOn w:val="Policepardfaut"/>
    <w:uiPriority w:val="99"/>
    <w:semiHidden/>
    <w:unhideWhenUsed/>
    <w:rsid w:val="00A111D1"/>
    <w:rPr>
      <w:rFonts w:ascii="Consolas" w:hAnsi="Consolas"/>
      <w:sz w:val="20"/>
      <w:szCs w:val="20"/>
      <w:lang w:val="fr-FR"/>
    </w:rPr>
  </w:style>
  <w:style w:type="character" w:styleId="DfinitionHTML">
    <w:name w:val="HTML Definition"/>
    <w:basedOn w:val="Policepardfaut"/>
    <w:uiPriority w:val="99"/>
    <w:semiHidden/>
    <w:unhideWhenUsed/>
    <w:rsid w:val="00A111D1"/>
    <w:rPr>
      <w:i/>
      <w:iCs/>
      <w:lang w:val="fr-FR"/>
    </w:rPr>
  </w:style>
  <w:style w:type="character" w:styleId="ClavierHTML">
    <w:name w:val="HTML Keyboard"/>
    <w:basedOn w:val="Policepardfaut"/>
    <w:uiPriority w:val="99"/>
    <w:semiHidden/>
    <w:unhideWhenUsed/>
    <w:rsid w:val="00A111D1"/>
    <w:rPr>
      <w:rFonts w:ascii="Consolas" w:hAnsi="Consolas"/>
      <w:sz w:val="20"/>
      <w:szCs w:val="20"/>
      <w:lang w:val="fr-FR"/>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fr-FR"/>
    </w:rPr>
  </w:style>
  <w:style w:type="character" w:styleId="ExempleHTML">
    <w:name w:val="HTML Sample"/>
    <w:basedOn w:val="Policepardfaut"/>
    <w:uiPriority w:val="99"/>
    <w:semiHidden/>
    <w:unhideWhenUsed/>
    <w:rsid w:val="00A111D1"/>
    <w:rPr>
      <w:rFonts w:ascii="Consolas" w:hAnsi="Consolas"/>
      <w:sz w:val="24"/>
      <w:szCs w:val="24"/>
      <w:lang w:val="fr-FR"/>
    </w:rPr>
  </w:style>
  <w:style w:type="character" w:styleId="MachinecrireHTML">
    <w:name w:val="HTML Typewriter"/>
    <w:basedOn w:val="Policepardfaut"/>
    <w:uiPriority w:val="99"/>
    <w:semiHidden/>
    <w:unhideWhenUsed/>
    <w:rsid w:val="00A111D1"/>
    <w:rPr>
      <w:rFonts w:ascii="Consolas" w:hAnsi="Consolas"/>
      <w:sz w:val="20"/>
      <w:szCs w:val="20"/>
      <w:lang w:val="fr-FR"/>
    </w:rPr>
  </w:style>
  <w:style w:type="character" w:styleId="VariableHTML">
    <w:name w:val="HTML Variable"/>
    <w:basedOn w:val="Policepardfau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fr-FR"/>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fr-FR"/>
    </w:rPr>
  </w:style>
  <w:style w:type="character" w:styleId="Rfrenceintense">
    <w:name w:val="Intense Reference"/>
    <w:basedOn w:val="Policepardfaut"/>
    <w:uiPriority w:val="32"/>
    <w:qFormat/>
    <w:rsid w:val="00A111D1"/>
    <w:rPr>
      <w:b/>
      <w:bCs/>
      <w:smallCaps/>
      <w:color w:val="4F81BD" w:themeColor="accent1"/>
      <w:spacing w:val="5"/>
      <w:lang w:val="fr-FR"/>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fr-FR"/>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fr-FR"/>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fr-FR"/>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fr-FR"/>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fr-FR"/>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fr-FR"/>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fr-FR"/>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fr-FR"/>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Policepardfaut"/>
    <w:uiPriority w:val="99"/>
    <w:semiHidden/>
    <w:unhideWhenUsed/>
    <w:rsid w:val="00A111D1"/>
    <w:rPr>
      <w:u w:val="dotted"/>
      <w:lang w:val="fr-FR"/>
    </w:rPr>
  </w:style>
  <w:style w:type="character" w:styleId="SmartLink">
    <w:name w:val="Smart Link"/>
    <w:basedOn w:val="Policepardfaut"/>
    <w:uiPriority w:val="99"/>
    <w:semiHidden/>
    <w:unhideWhenUsed/>
    <w:rsid w:val="00A111D1"/>
    <w:rPr>
      <w:color w:val="0000FF"/>
      <w:u w:val="single"/>
      <w:shd w:val="clear" w:color="auto" w:fill="F3F2F1"/>
      <w:lang w:val="fr-FR"/>
    </w:rPr>
  </w:style>
  <w:style w:type="character" w:styleId="lev">
    <w:name w:val="Strong"/>
    <w:basedOn w:val="Policepardfaut"/>
    <w:uiPriority w:val="22"/>
    <w:qFormat/>
    <w:rsid w:val="00A111D1"/>
    <w:rPr>
      <w:b/>
      <w:bCs/>
      <w:lang w:val="fr-FR"/>
    </w:rPr>
  </w:style>
  <w:style w:type="character" w:styleId="Accentuationlgre">
    <w:name w:val="Subtle Emphasis"/>
    <w:basedOn w:val="Policepardfaut"/>
    <w:uiPriority w:val="19"/>
    <w:qFormat/>
    <w:rsid w:val="00A111D1"/>
    <w:rPr>
      <w:i/>
      <w:iCs/>
      <w:color w:val="404040" w:themeColor="text1" w:themeTint="BF"/>
      <w:lang w:val="fr-FR"/>
    </w:rPr>
  </w:style>
  <w:style w:type="character" w:styleId="Rfrencelgre">
    <w:name w:val="Subtle Reference"/>
    <w:basedOn w:val="Policepardfaut"/>
    <w:uiPriority w:val="31"/>
    <w:qFormat/>
    <w:rsid w:val="00A111D1"/>
    <w:rPr>
      <w:smallCaps/>
      <w:color w:val="5A5A5A" w:themeColor="text1" w:themeTint="A5"/>
      <w:lang w:val="fr-FR"/>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uments/CBD/SBI/7/3/ADD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4"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2"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2" TargetMode="External"/><Relationship Id="rId2" Type="http://schemas.openxmlformats.org/officeDocument/2006/relationships/hyperlink" Target="https://www.cbd.int/documents/CBD/SBI/7/4"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059"/>
    <w:rsid w:val="0003345C"/>
    <w:rsid w:val="0005782F"/>
    <w:rsid w:val="000A5BC5"/>
    <w:rsid w:val="0017064E"/>
    <w:rsid w:val="00194E05"/>
    <w:rsid w:val="001A0E3A"/>
    <w:rsid w:val="002307D6"/>
    <w:rsid w:val="00254EB5"/>
    <w:rsid w:val="00296D78"/>
    <w:rsid w:val="00373EE7"/>
    <w:rsid w:val="003C0515"/>
    <w:rsid w:val="003C4824"/>
    <w:rsid w:val="004416C0"/>
    <w:rsid w:val="004577FE"/>
    <w:rsid w:val="00571FCB"/>
    <w:rsid w:val="006515F0"/>
    <w:rsid w:val="00680FD1"/>
    <w:rsid w:val="00696565"/>
    <w:rsid w:val="0072643D"/>
    <w:rsid w:val="00761A81"/>
    <w:rsid w:val="007A702E"/>
    <w:rsid w:val="007E450D"/>
    <w:rsid w:val="008D6EF5"/>
    <w:rsid w:val="00951FD6"/>
    <w:rsid w:val="00996684"/>
    <w:rsid w:val="00B23A31"/>
    <w:rsid w:val="00B52D14"/>
    <w:rsid w:val="00BD4240"/>
    <w:rsid w:val="00C0641E"/>
    <w:rsid w:val="00CE4AE0"/>
    <w:rsid w:val="00D318D7"/>
    <w:rsid w:val="00DD5C29"/>
    <w:rsid w:val="00DE23A4"/>
    <w:rsid w:val="00F0707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CA38F745-356E-46F5-BF92-B649C26BB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86</TotalTime>
  <Pages>7</Pages>
  <Words>3782</Words>
  <Characters>20801</Characters>
  <Application>Microsoft Office Word</Application>
  <DocSecurity>0</DocSecurity>
  <Lines>173</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Mobilisation des ressources</vt:lpstr>
      <vt:lpstr>Resource mobilization</vt:lpstr>
    </vt:vector>
  </TitlesOfParts>
  <Company>SCBD</Company>
  <LinksUpToDate>false</LinksUpToDate>
  <CharactersWithSpaces>24534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dc:title>
  <dc:subject>CBD/COP/17/WG.I/CRP.16/Rev.1</dc:subject>
  <dc:creator>Veronique Lefebvre</dc:creator>
  <cp:keywords>Convention on Biological Diversity</cp:keywords>
  <cp:lastModifiedBy>Virginie Dupont-Shakh</cp:lastModifiedBy>
  <cp:revision>153</cp:revision>
  <cp:lastPrinted>2020-01-21T16:56:00Z</cp:lastPrinted>
  <dcterms:created xsi:type="dcterms:W3CDTF">2026-10-30T13:09:00Z</dcterms:created>
  <dcterms:modified xsi:type="dcterms:W3CDTF">2026-10-30T15:03:00Z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