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207A6E" w:rsidRPr="00827B06" w:rsidTr="000204C0">
        <w:trPr>
          <w:trHeight w:val="709"/>
        </w:trPr>
        <w:tc>
          <w:tcPr>
            <w:tcW w:w="976" w:type="dxa"/>
            <w:tcBorders>
              <w:bottom w:val="single" w:sz="12" w:space="0" w:color="auto"/>
            </w:tcBorders>
          </w:tcPr>
          <w:p w:rsidR="00207A6E" w:rsidRPr="00827B06" w:rsidRDefault="00207A6E" w:rsidP="000204C0">
            <w:pPr>
              <w:rPr>
                <w:kern w:val="22"/>
                <w:lang w:val="fr-CA"/>
              </w:rPr>
            </w:pPr>
            <w:r w:rsidRPr="00827B06">
              <w:rPr>
                <w:noProof/>
                <w:kern w:val="22"/>
                <w:lang w:val="fr-CA" w:eastAsia="zh-CN"/>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827B06" w:rsidRDefault="00207A6E" w:rsidP="000204C0">
            <w:pPr>
              <w:rPr>
                <w:kern w:val="22"/>
                <w:lang w:val="fr-CA"/>
              </w:rPr>
            </w:pPr>
            <w:r w:rsidRPr="00827B06">
              <w:rPr>
                <w:noProof/>
                <w:kern w:val="22"/>
                <w:lang w:val="fr-CA" w:eastAsia="zh-CN"/>
              </w:rPr>
              <w:drawing>
                <wp:inline distT="0" distB="0" distL="0" distR="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827B06" w:rsidRDefault="00207A6E" w:rsidP="000204C0">
            <w:pPr>
              <w:jc w:val="right"/>
              <w:rPr>
                <w:rFonts w:ascii="Arial" w:hAnsi="Arial" w:cs="Arial"/>
                <w:b/>
                <w:kern w:val="22"/>
                <w:sz w:val="32"/>
                <w:szCs w:val="32"/>
                <w:lang w:val="fr-CA"/>
              </w:rPr>
            </w:pPr>
            <w:r w:rsidRPr="00827B06">
              <w:rPr>
                <w:rFonts w:ascii="Arial" w:hAnsi="Arial" w:cs="Arial"/>
                <w:b/>
                <w:kern w:val="22"/>
                <w:sz w:val="32"/>
                <w:szCs w:val="32"/>
                <w:lang w:val="fr-CA"/>
              </w:rPr>
              <w:t>CBD</w:t>
            </w:r>
          </w:p>
        </w:tc>
      </w:tr>
    </w:tbl>
    <w:tbl>
      <w:tblPr>
        <w:tblW w:w="10348" w:type="dxa"/>
        <w:tblInd w:w="-459" w:type="dxa"/>
        <w:tblBorders>
          <w:bottom w:val="single" w:sz="36" w:space="0" w:color="000000"/>
        </w:tblBorders>
        <w:tblLayout w:type="fixed"/>
        <w:tblLook w:val="0000"/>
      </w:tblPr>
      <w:tblGrid>
        <w:gridCol w:w="6227"/>
        <w:gridCol w:w="1144"/>
        <w:gridCol w:w="2977"/>
      </w:tblGrid>
      <w:tr w:rsidR="00F16F02" w:rsidRPr="00827B06" w:rsidTr="009554D5">
        <w:trPr>
          <w:trHeight w:val="1693"/>
        </w:trPr>
        <w:tc>
          <w:tcPr>
            <w:tcW w:w="6227" w:type="dxa"/>
            <w:tcBorders>
              <w:top w:val="nil"/>
              <w:bottom w:val="single" w:sz="36" w:space="0" w:color="000000"/>
            </w:tcBorders>
          </w:tcPr>
          <w:p w:rsidR="00F16F02" w:rsidRPr="00827B06" w:rsidRDefault="00F16F02">
            <w:pPr>
              <w:rPr>
                <w:snapToGrid w:val="0"/>
                <w:kern w:val="22"/>
                <w:lang w:val="fr-CA"/>
              </w:rPr>
            </w:pPr>
          </w:p>
          <w:p w:rsidR="00F16F02" w:rsidRPr="00827B06" w:rsidRDefault="00536DC2" w:rsidP="00736BC2">
            <w:pPr>
              <w:rPr>
                <w:snapToGrid w:val="0"/>
                <w:kern w:val="22"/>
                <w:lang w:val="fr-CA"/>
              </w:rPr>
            </w:pPr>
            <w:r w:rsidRPr="00827B06">
              <w:rPr>
                <w:noProof/>
                <w:lang w:val="fr-CA" w:eastAsia="zh-CN"/>
              </w:rPr>
              <w:drawing>
                <wp:inline distT="0" distB="0" distL="0" distR="0">
                  <wp:extent cx="2867660" cy="1082675"/>
                  <wp:effectExtent l="0" t="0" r="889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660" cy="1082675"/>
                          </a:xfrm>
                          <a:prstGeom prst="rect">
                            <a:avLst/>
                          </a:prstGeom>
                          <a:noFill/>
                          <a:ln>
                            <a:noFill/>
                          </a:ln>
                        </pic:spPr>
                      </pic:pic>
                    </a:graphicData>
                  </a:graphic>
                </wp:inline>
              </w:drawing>
            </w:r>
          </w:p>
          <w:p w:rsidR="00F16F02" w:rsidRPr="00827B06" w:rsidRDefault="00F16F02">
            <w:pPr>
              <w:rPr>
                <w:rFonts w:ascii="Univers" w:hAnsi="Univers"/>
                <w:snapToGrid w:val="0"/>
                <w:kern w:val="22"/>
                <w:sz w:val="32"/>
                <w:lang w:val="fr-CA"/>
              </w:rPr>
            </w:pPr>
          </w:p>
        </w:tc>
        <w:tc>
          <w:tcPr>
            <w:tcW w:w="1144" w:type="dxa"/>
            <w:tcBorders>
              <w:top w:val="nil"/>
              <w:bottom w:val="single" w:sz="36" w:space="0" w:color="000000"/>
            </w:tcBorders>
          </w:tcPr>
          <w:p w:rsidR="00F16F02" w:rsidRPr="00827B06" w:rsidRDefault="00F16F02">
            <w:pPr>
              <w:pStyle w:val="Header"/>
              <w:tabs>
                <w:tab w:val="clear" w:pos="4320"/>
                <w:tab w:val="clear" w:pos="8640"/>
              </w:tabs>
              <w:rPr>
                <w:b/>
                <w:snapToGrid w:val="0"/>
                <w:kern w:val="22"/>
                <w:sz w:val="32"/>
                <w:szCs w:val="32"/>
                <w:lang w:val="fr-CA"/>
              </w:rPr>
            </w:pPr>
          </w:p>
        </w:tc>
        <w:tc>
          <w:tcPr>
            <w:tcW w:w="2977" w:type="dxa"/>
            <w:tcBorders>
              <w:top w:val="nil"/>
              <w:bottom w:val="single" w:sz="36" w:space="0" w:color="000000"/>
            </w:tcBorders>
          </w:tcPr>
          <w:p w:rsidR="00F16F02" w:rsidRPr="00827B06" w:rsidRDefault="00F16F02" w:rsidP="00B271A0">
            <w:pPr>
              <w:ind w:left="63"/>
              <w:rPr>
                <w:noProof/>
                <w:snapToGrid w:val="0"/>
                <w:kern w:val="22"/>
                <w:szCs w:val="22"/>
                <w:lang w:val="fr-FR"/>
              </w:rPr>
            </w:pPr>
            <w:r w:rsidRPr="00827B06">
              <w:rPr>
                <w:noProof/>
                <w:snapToGrid w:val="0"/>
                <w:kern w:val="22"/>
                <w:szCs w:val="22"/>
                <w:lang w:val="fr-FR"/>
              </w:rPr>
              <w:t>Distr.</w:t>
            </w:r>
          </w:p>
          <w:p w:rsidR="00F16F02" w:rsidRPr="00827B06" w:rsidRDefault="00536DC2" w:rsidP="00B271A0">
            <w:pPr>
              <w:ind w:left="63"/>
              <w:rPr>
                <w:snapToGrid w:val="0"/>
                <w:kern w:val="22"/>
                <w:szCs w:val="22"/>
                <w:lang w:val="fr-CA"/>
              </w:rPr>
            </w:pPr>
            <w:r w:rsidRPr="00827B06">
              <w:rPr>
                <w:snapToGrid w:val="0"/>
                <w:kern w:val="22"/>
                <w:szCs w:val="22"/>
                <w:lang w:val="fr-CA"/>
              </w:rPr>
              <w:t>GÉNÉRALE</w:t>
            </w:r>
          </w:p>
          <w:p w:rsidR="00F16F02" w:rsidRPr="00827B06" w:rsidRDefault="00F16F02" w:rsidP="00B271A0">
            <w:pPr>
              <w:ind w:left="63"/>
              <w:rPr>
                <w:snapToGrid w:val="0"/>
                <w:kern w:val="22"/>
                <w:szCs w:val="22"/>
                <w:lang w:val="fr-CA"/>
              </w:rPr>
            </w:pPr>
          </w:p>
          <w:p w:rsidR="00F16F02" w:rsidRPr="00827B06" w:rsidRDefault="00233A21" w:rsidP="00B271A0">
            <w:pPr>
              <w:ind w:left="63"/>
              <w:rPr>
                <w:snapToGrid w:val="0"/>
                <w:kern w:val="22"/>
                <w:szCs w:val="22"/>
                <w:lang w:val="fr-CA"/>
              </w:rPr>
            </w:pPr>
            <w:sdt>
              <w:sdtPr>
                <w:rPr>
                  <w:snapToGrid w:val="0"/>
                  <w:kern w:val="22"/>
                  <w:szCs w:val="22"/>
                  <w:lang w:val="fr-CA"/>
                </w:rPr>
                <w:alias w:val="Subject"/>
                <w:tag w:val=""/>
                <w:id w:val="-344942035"/>
                <w:placeholder>
                  <w:docPart w:val="205AA3135F934211871EEA5DF7C407EA"/>
                </w:placeholder>
                <w:dataBinding w:prefixMappings="xmlns:ns0='http://purl.org/dc/elements/1.1/' xmlns:ns1='http://schemas.openxmlformats.org/package/2006/metadata/core-properties' " w:xpath="/ns1:coreProperties[1]/ns0:subject[1]" w:storeItemID="{6C3C8BC8-F283-45AE-878A-BAB7291924A1}"/>
                <w:text/>
              </w:sdtPr>
              <w:sdtContent>
                <w:r w:rsidR="00E10A2E" w:rsidRPr="00827B06">
                  <w:rPr>
                    <w:snapToGrid w:val="0"/>
                    <w:kern w:val="22"/>
                    <w:szCs w:val="22"/>
                    <w:lang w:val="fr-CA"/>
                  </w:rPr>
                  <w:t>CBD/SBSTTA/22/3</w:t>
                </w:r>
              </w:sdtContent>
            </w:sdt>
          </w:p>
          <w:p w:rsidR="00131DD8" w:rsidRPr="005A4874" w:rsidRDefault="00072A44" w:rsidP="00131DD8">
            <w:pPr>
              <w:suppressLineNumbers/>
              <w:suppressAutoHyphens/>
              <w:kinsoku w:val="0"/>
              <w:overflowPunct w:val="0"/>
              <w:autoSpaceDE w:val="0"/>
              <w:autoSpaceDN w:val="0"/>
              <w:ind w:left="63"/>
              <w:rPr>
                <w:snapToGrid w:val="0"/>
                <w:kern w:val="22"/>
                <w:szCs w:val="22"/>
              </w:rPr>
            </w:pPr>
            <w:r w:rsidRPr="00827B06">
              <w:rPr>
                <w:snapToGrid w:val="0"/>
                <w:kern w:val="22"/>
                <w:szCs w:val="22"/>
                <w:lang w:val="fr-CA"/>
              </w:rPr>
              <w:t>2</w:t>
            </w:r>
            <w:r w:rsidR="00E10A2E" w:rsidRPr="00827B06">
              <w:rPr>
                <w:snapToGrid w:val="0"/>
                <w:kern w:val="22"/>
                <w:szCs w:val="22"/>
                <w:lang w:val="fr-CA"/>
              </w:rPr>
              <w:t>9</w:t>
            </w:r>
            <w:r w:rsidR="00827B06">
              <w:rPr>
                <w:snapToGrid w:val="0"/>
                <w:kern w:val="22"/>
                <w:szCs w:val="22"/>
                <w:lang w:val="fr-CA"/>
              </w:rPr>
              <w:t> </w:t>
            </w:r>
            <w:r w:rsidR="00536DC2" w:rsidRPr="00827B06">
              <w:rPr>
                <w:snapToGrid w:val="0"/>
                <w:kern w:val="22"/>
                <w:szCs w:val="22"/>
                <w:lang w:val="fr-CA"/>
              </w:rPr>
              <w:t>mars</w:t>
            </w:r>
            <w:r w:rsidR="00827B06">
              <w:rPr>
                <w:snapToGrid w:val="0"/>
                <w:kern w:val="22"/>
                <w:szCs w:val="22"/>
                <w:lang w:val="fr-CA"/>
              </w:rPr>
              <w:t> </w:t>
            </w:r>
            <w:r w:rsidR="00D15589" w:rsidRPr="00827B06">
              <w:rPr>
                <w:snapToGrid w:val="0"/>
                <w:kern w:val="22"/>
                <w:szCs w:val="22"/>
                <w:lang w:val="fr-CA"/>
              </w:rPr>
              <w:t>2018</w:t>
            </w:r>
            <w:r w:rsidR="00131DD8" w:rsidRPr="00131DD8">
              <w:rPr>
                <w:rStyle w:val="FootnoteReference"/>
                <w:snapToGrid w:val="0"/>
                <w:kern w:val="22"/>
                <w:szCs w:val="22"/>
                <w:u w:val="none"/>
                <w:vertAlign w:val="superscript"/>
              </w:rPr>
              <w:footnoteReference w:customMarkFollows="1" w:id="1"/>
              <w:t>*</w:t>
            </w:r>
          </w:p>
          <w:p w:rsidR="00F16F02" w:rsidRPr="00827B06" w:rsidRDefault="00F16F02" w:rsidP="00B271A0">
            <w:pPr>
              <w:ind w:left="63"/>
              <w:rPr>
                <w:snapToGrid w:val="0"/>
                <w:kern w:val="22"/>
                <w:szCs w:val="22"/>
                <w:lang w:val="fr-CA"/>
              </w:rPr>
            </w:pPr>
          </w:p>
          <w:p w:rsidR="00536DC2" w:rsidRPr="00827B06" w:rsidRDefault="00536DC2" w:rsidP="00B271A0">
            <w:pPr>
              <w:ind w:left="63"/>
              <w:rPr>
                <w:snapToGrid w:val="0"/>
                <w:kern w:val="22"/>
                <w:szCs w:val="22"/>
                <w:lang w:val="fr-CA"/>
              </w:rPr>
            </w:pPr>
            <w:r w:rsidRPr="00827B06">
              <w:rPr>
                <w:snapToGrid w:val="0"/>
                <w:kern w:val="22"/>
                <w:szCs w:val="22"/>
                <w:lang w:val="fr-CA"/>
              </w:rPr>
              <w:t>FRANÇAIS</w:t>
            </w:r>
          </w:p>
          <w:p w:rsidR="00F16F02" w:rsidRPr="00827B06" w:rsidRDefault="00F16F02" w:rsidP="00536DC2">
            <w:pPr>
              <w:ind w:left="63"/>
              <w:rPr>
                <w:snapToGrid w:val="0"/>
                <w:color w:val="FF0000"/>
                <w:kern w:val="22"/>
                <w:szCs w:val="22"/>
                <w:u w:val="single"/>
                <w:lang w:val="fr-CA"/>
              </w:rPr>
            </w:pPr>
            <w:r w:rsidRPr="00827B06">
              <w:rPr>
                <w:snapToGrid w:val="0"/>
                <w:kern w:val="22"/>
                <w:szCs w:val="22"/>
                <w:lang w:val="fr-CA"/>
              </w:rPr>
              <w:t>ORIGINAL</w:t>
            </w:r>
            <w:r w:rsidR="00827B06">
              <w:rPr>
                <w:snapToGrid w:val="0"/>
                <w:kern w:val="22"/>
                <w:szCs w:val="22"/>
                <w:lang w:val="fr-CA"/>
              </w:rPr>
              <w:t xml:space="preserve"> : </w:t>
            </w:r>
            <w:r w:rsidR="00536DC2" w:rsidRPr="00827B06">
              <w:rPr>
                <w:snapToGrid w:val="0"/>
                <w:kern w:val="22"/>
                <w:szCs w:val="22"/>
                <w:lang w:val="fr-CA"/>
              </w:rPr>
              <w:t>ANGLAIS</w:t>
            </w:r>
          </w:p>
        </w:tc>
      </w:tr>
    </w:tbl>
    <w:bookmarkStart w:id="0" w:name="Meeting"/>
    <w:p w:rsidR="00CA6B87" w:rsidRPr="00827B06" w:rsidRDefault="00233A21" w:rsidP="00536DC2">
      <w:pPr>
        <w:pStyle w:val="meetingname"/>
        <w:ind w:right="4590"/>
        <w:rPr>
          <w:kern w:val="22"/>
          <w:szCs w:val="22"/>
          <w:lang w:val="fr-CA"/>
        </w:rPr>
      </w:pPr>
      <w:sdt>
        <w:sdtPr>
          <w:rPr>
            <w:kern w:val="22"/>
            <w:szCs w:val="22"/>
            <w:lang w:val="fr-CA"/>
          </w:rPr>
          <w:alias w:val="Meeting"/>
          <w:tag w:val="Meeting"/>
          <w:id w:val="1412045910"/>
          <w:placeholder>
            <w:docPart w:val="DefaultPlaceholder_1082065158"/>
          </w:placeholder>
          <w:text/>
        </w:sdtPr>
        <w:sdtContent>
          <w:r w:rsidR="00536DC2" w:rsidRPr="00827B06">
            <w:rPr>
              <w:kern w:val="22"/>
              <w:szCs w:val="22"/>
              <w:lang w:val="fr-CA"/>
            </w:rPr>
            <w:t>ORGANE SUB</w:t>
          </w:r>
          <w:r w:rsidR="00827B06">
            <w:rPr>
              <w:kern w:val="22"/>
              <w:szCs w:val="22"/>
              <w:lang w:val="fr-CA"/>
            </w:rPr>
            <w:t xml:space="preserve">SIDIAIRE CHARGÉ de FOURNIR </w:t>
          </w:r>
          <w:r w:rsidR="00536DC2" w:rsidRPr="00827B06">
            <w:rPr>
              <w:kern w:val="22"/>
              <w:szCs w:val="22"/>
              <w:lang w:val="fr-CA"/>
            </w:rPr>
            <w:t>DES AVIS SC</w:t>
          </w:r>
          <w:r w:rsidR="00827B06">
            <w:rPr>
              <w:kern w:val="22"/>
              <w:szCs w:val="22"/>
              <w:lang w:val="fr-CA"/>
            </w:rPr>
            <w:t xml:space="preserve">IENTIFIQUES, TECHNIQUES ET </w:t>
          </w:r>
          <w:r w:rsidR="00536DC2" w:rsidRPr="00827B06">
            <w:rPr>
              <w:kern w:val="22"/>
              <w:szCs w:val="22"/>
              <w:lang w:val="fr-CA"/>
            </w:rPr>
            <w:t>TECHNOLOGIQUES</w:t>
          </w:r>
        </w:sdtContent>
      </w:sdt>
      <w:bookmarkEnd w:id="0"/>
    </w:p>
    <w:p w:rsidR="00536DC2" w:rsidRPr="00827B06" w:rsidRDefault="00536DC2" w:rsidP="00536DC2">
      <w:pPr>
        <w:rPr>
          <w:noProof/>
          <w:snapToGrid w:val="0"/>
          <w:kern w:val="22"/>
          <w:szCs w:val="22"/>
          <w:lang w:val="fr-CA" w:eastAsia="nb-NO"/>
        </w:rPr>
      </w:pPr>
      <w:r w:rsidRPr="00827B06">
        <w:rPr>
          <w:noProof/>
          <w:snapToGrid w:val="0"/>
          <w:kern w:val="22"/>
          <w:szCs w:val="22"/>
          <w:lang w:val="fr-CA" w:eastAsia="nb-NO"/>
        </w:rPr>
        <w:t>Vingt</w:t>
      </w:r>
      <w:r w:rsidR="00F6046B">
        <w:rPr>
          <w:noProof/>
          <w:snapToGrid w:val="0"/>
          <w:kern w:val="22"/>
          <w:szCs w:val="22"/>
          <w:lang w:val="fr-CA" w:eastAsia="nb-NO"/>
        </w:rPr>
        <w:noBreakHyphen/>
      </w:r>
      <w:r w:rsidRPr="00827B06">
        <w:rPr>
          <w:noProof/>
          <w:snapToGrid w:val="0"/>
          <w:kern w:val="22"/>
          <w:szCs w:val="22"/>
          <w:lang w:val="fr-CA" w:eastAsia="nb-NO"/>
        </w:rPr>
        <w:t>deuxième réunion</w:t>
      </w:r>
    </w:p>
    <w:p w:rsidR="00CA6B87" w:rsidRPr="00827B06" w:rsidRDefault="00827B06" w:rsidP="00536DC2">
      <w:pPr>
        <w:rPr>
          <w:snapToGrid w:val="0"/>
          <w:kern w:val="22"/>
          <w:szCs w:val="22"/>
          <w:lang w:val="fr-CA" w:eastAsia="nb-NO"/>
        </w:rPr>
      </w:pPr>
      <w:r>
        <w:rPr>
          <w:snapToGrid w:val="0"/>
          <w:kern w:val="22"/>
          <w:szCs w:val="22"/>
          <w:lang w:val="fr-CA" w:eastAsia="nb-NO"/>
        </w:rPr>
        <w:t>Montréal (</w:t>
      </w:r>
      <w:r w:rsidR="00536DC2" w:rsidRPr="00827B06">
        <w:rPr>
          <w:snapToGrid w:val="0"/>
          <w:kern w:val="22"/>
          <w:szCs w:val="22"/>
          <w:lang w:val="fr-CA" w:eastAsia="nb-NO"/>
        </w:rPr>
        <w:t>Canada</w:t>
      </w:r>
      <w:r>
        <w:rPr>
          <w:snapToGrid w:val="0"/>
          <w:kern w:val="22"/>
          <w:szCs w:val="22"/>
          <w:lang w:val="fr-CA" w:eastAsia="nb-NO"/>
        </w:rPr>
        <w:t>), 2</w:t>
      </w:r>
      <w:r w:rsidR="00F6046B">
        <w:rPr>
          <w:snapToGrid w:val="0"/>
          <w:kern w:val="22"/>
          <w:szCs w:val="22"/>
          <w:lang w:val="fr-CA" w:eastAsia="nb-NO"/>
        </w:rPr>
        <w:noBreakHyphen/>
      </w:r>
      <w:r>
        <w:rPr>
          <w:snapToGrid w:val="0"/>
          <w:kern w:val="22"/>
          <w:szCs w:val="22"/>
          <w:lang w:val="fr-CA" w:eastAsia="nb-NO"/>
        </w:rPr>
        <w:t>7 juillet </w:t>
      </w:r>
      <w:r w:rsidR="00D15589" w:rsidRPr="00827B06">
        <w:rPr>
          <w:snapToGrid w:val="0"/>
          <w:kern w:val="22"/>
          <w:szCs w:val="22"/>
          <w:lang w:val="fr-CA" w:eastAsia="nb-NO"/>
        </w:rPr>
        <w:t>2018</w:t>
      </w:r>
    </w:p>
    <w:p w:rsidR="00CA6B87" w:rsidRPr="00827B06" w:rsidRDefault="00827B06" w:rsidP="00827B06">
      <w:pPr>
        <w:rPr>
          <w:snapToGrid w:val="0"/>
          <w:kern w:val="22"/>
          <w:szCs w:val="22"/>
          <w:lang w:val="fr-CA" w:eastAsia="nb-NO"/>
        </w:rPr>
      </w:pPr>
      <w:r>
        <w:rPr>
          <w:snapToGrid w:val="0"/>
          <w:kern w:val="22"/>
          <w:szCs w:val="22"/>
          <w:lang w:val="fr-CA" w:eastAsia="nb-NO"/>
        </w:rPr>
        <w:t>Point </w:t>
      </w:r>
      <w:r w:rsidR="00536DC2" w:rsidRPr="00827B06">
        <w:rPr>
          <w:snapToGrid w:val="0"/>
          <w:kern w:val="22"/>
          <w:szCs w:val="22"/>
          <w:lang w:val="fr-CA" w:eastAsia="nb-NO"/>
        </w:rPr>
        <w:t>4 de l’ordre du jour provisoire</w:t>
      </w:r>
      <w:r w:rsidRPr="00827B06">
        <w:rPr>
          <w:snapToGrid w:val="0"/>
          <w:kern w:val="22"/>
          <w:szCs w:val="22"/>
          <w:lang w:val="fr-CA" w:eastAsia="nb-NO"/>
        </w:rPr>
        <w:t>*</w:t>
      </w:r>
      <w:r w:rsidRPr="00827B06">
        <w:rPr>
          <w:rStyle w:val="FootnoteReference"/>
          <w:snapToGrid w:val="0"/>
          <w:kern w:val="22"/>
          <w:sz w:val="22"/>
          <w:szCs w:val="22"/>
          <w:u w:val="none"/>
          <w:lang w:val="fr-CA" w:eastAsia="nb-NO"/>
        </w:rPr>
        <w:footnoteReference w:customMarkFollows="1" w:id="2"/>
        <w:t>*</w:t>
      </w:r>
    </w:p>
    <w:p w:rsidR="00406BC6" w:rsidRPr="00827B06" w:rsidRDefault="00233A21" w:rsidP="006B23B9">
      <w:pPr>
        <w:pStyle w:val="Heading1"/>
        <w:tabs>
          <w:tab w:val="clear" w:pos="720"/>
          <w:tab w:val="left" w:pos="0"/>
        </w:tabs>
        <w:spacing w:before="120"/>
        <w:rPr>
          <w:snapToGrid w:val="0"/>
          <w:kern w:val="22"/>
          <w:lang w:val="fr-CA"/>
        </w:rPr>
      </w:pPr>
      <w:sdt>
        <w:sdtPr>
          <w:rPr>
            <w:snapToGrid w:val="0"/>
            <w:kern w:val="22"/>
            <w:sz w:val="18"/>
            <w:u w:val="single"/>
            <w:lang w:val="fr-CA"/>
          </w:rPr>
          <w:alias w:val="Title"/>
          <w:tag w:val=""/>
          <w:id w:val="1426923883"/>
          <w:placeholder>
            <w:docPart w:val="D9CF4C37DFA949DB8105977C8D14D79A"/>
          </w:placeholder>
          <w:dataBinding w:prefixMappings="xmlns:ns0='http://purl.org/dc/elements/1.1/' xmlns:ns1='http://schemas.openxmlformats.org/package/2006/metadata/core-properties' " w:xpath="/ns1:coreProperties[1]/ns0:title[1]" w:storeItemID="{6C3C8BC8-F283-45AE-878A-BAB7291924A1}"/>
          <w:text/>
        </w:sdtPr>
        <w:sdtContent>
          <w:r w:rsidR="001032B6" w:rsidRPr="00827B06">
            <w:rPr>
              <w:snapToGrid w:val="0"/>
              <w:kern w:val="22"/>
              <w:lang w:val="fr-CA"/>
            </w:rPr>
            <w:t>ÉVALUATION ET GESTION DES RISQUES LIÉS AUX ORGANISMES VIVANTS MODIFIÉS</w:t>
          </w:r>
        </w:sdtContent>
      </w:sdt>
    </w:p>
    <w:p w:rsidR="00C85EA4" w:rsidRPr="00827B06" w:rsidRDefault="001032B6" w:rsidP="00E10A2E">
      <w:pPr>
        <w:pStyle w:val="Heading2"/>
        <w:rPr>
          <w:b w:val="0"/>
          <w:i/>
          <w:kern w:val="22"/>
          <w:lang w:val="fr-CA"/>
        </w:rPr>
      </w:pPr>
      <w:r w:rsidRPr="00827B06">
        <w:rPr>
          <w:b w:val="0"/>
          <w:i/>
          <w:kern w:val="22"/>
          <w:lang w:val="fr-CA"/>
        </w:rPr>
        <w:t>Note de la Secrétaire exécutive</w:t>
      </w:r>
    </w:p>
    <w:p w:rsidR="005947F1" w:rsidRPr="00827B06" w:rsidRDefault="005947F1" w:rsidP="005947F1">
      <w:pPr>
        <w:jc w:val="center"/>
        <w:rPr>
          <w:b/>
          <w:lang w:val="fr-CA"/>
        </w:rPr>
      </w:pPr>
      <w:r w:rsidRPr="00827B06">
        <w:rPr>
          <w:b/>
          <w:lang w:val="fr-CA"/>
        </w:rPr>
        <w:t>INTRODUCTION</w:t>
      </w:r>
    </w:p>
    <w:p w:rsidR="00E3156A" w:rsidRPr="00827B06" w:rsidRDefault="001032B6" w:rsidP="00E10A2E">
      <w:pPr>
        <w:pStyle w:val="Para1"/>
        <w:tabs>
          <w:tab w:val="clear" w:pos="360"/>
          <w:tab w:val="num" w:pos="720"/>
        </w:tabs>
        <w:snapToGrid w:val="0"/>
        <w:rPr>
          <w:kern w:val="22"/>
          <w:lang w:val="fr-CA"/>
        </w:rPr>
      </w:pPr>
      <w:r w:rsidRPr="00827B06">
        <w:rPr>
          <w:kern w:val="22"/>
          <w:lang w:val="fr-CA"/>
        </w:rPr>
        <w:t>Au paragraphe 6 de la décision</w:t>
      </w:r>
      <w:r w:rsidR="00E3156A" w:rsidRPr="00827B06">
        <w:rPr>
          <w:kern w:val="22"/>
          <w:lang w:val="fr-CA"/>
        </w:rPr>
        <w:t xml:space="preserve"> </w:t>
      </w:r>
      <w:hyperlink r:id="rId11" w:history="1">
        <w:r w:rsidR="00E3156A" w:rsidRPr="00827B06">
          <w:rPr>
            <w:rStyle w:val="Hyperlink"/>
            <w:kern w:val="22"/>
            <w:lang w:val="fr-CA"/>
          </w:rPr>
          <w:t>CP</w:t>
        </w:r>
        <w:r w:rsidR="00F6046B">
          <w:rPr>
            <w:rStyle w:val="Hyperlink"/>
            <w:kern w:val="22"/>
            <w:lang w:val="fr-CA"/>
          </w:rPr>
          <w:noBreakHyphen/>
        </w:r>
        <w:r w:rsidR="00E3156A" w:rsidRPr="00827B06">
          <w:rPr>
            <w:rStyle w:val="Hyperlink"/>
            <w:kern w:val="22"/>
            <w:lang w:val="fr-CA"/>
          </w:rPr>
          <w:t>VI</w:t>
        </w:r>
        <w:r w:rsidR="00E3156A" w:rsidRPr="00827B06">
          <w:rPr>
            <w:rStyle w:val="Hyperlink"/>
            <w:kern w:val="22"/>
            <w:lang w:val="fr-CA"/>
          </w:rPr>
          <w:t>I</w:t>
        </w:r>
        <w:r w:rsidR="00E3156A" w:rsidRPr="00827B06">
          <w:rPr>
            <w:rStyle w:val="Hyperlink"/>
            <w:kern w:val="22"/>
            <w:lang w:val="fr-CA"/>
          </w:rPr>
          <w:t>I/12</w:t>
        </w:r>
      </w:hyperlink>
      <w:r w:rsidR="00E3156A" w:rsidRPr="00827B06">
        <w:rPr>
          <w:kern w:val="22"/>
          <w:lang w:val="fr-CA"/>
        </w:rPr>
        <w:t xml:space="preserve">, </w:t>
      </w:r>
      <w:r w:rsidRPr="00827B06">
        <w:rPr>
          <w:kern w:val="22"/>
          <w:lang w:val="fr-CA"/>
        </w:rPr>
        <w:t>la Conférence des Parties siégeant en tant que réunion des Parties au Protocole de Cartagena sur la préventio</w:t>
      </w:r>
      <w:r w:rsidR="005947F1" w:rsidRPr="00827B06">
        <w:rPr>
          <w:kern w:val="22"/>
          <w:lang w:val="fr-CA"/>
        </w:rPr>
        <w:t>n des risques biotechnologiques</w:t>
      </w:r>
      <w:r w:rsidRPr="00827B06">
        <w:rPr>
          <w:kern w:val="22"/>
          <w:lang w:val="fr-CA"/>
        </w:rPr>
        <w:t xml:space="preserve"> </w:t>
      </w:r>
      <w:r w:rsidR="00DD7CF4" w:rsidRPr="00827B06">
        <w:rPr>
          <w:kern w:val="22"/>
          <w:lang w:val="fr-CA"/>
        </w:rPr>
        <w:t>a invité</w:t>
      </w:r>
      <w:r w:rsidRPr="00827B06">
        <w:rPr>
          <w:kern w:val="22"/>
          <w:lang w:val="fr-CA"/>
        </w:rPr>
        <w:t xml:space="preserve"> les </w:t>
      </w:r>
      <w:r w:rsidRPr="00827B06">
        <w:rPr>
          <w:lang w:val="fr-CA"/>
        </w:rPr>
        <w:t xml:space="preserve">Parties à remettre </w:t>
      </w:r>
      <w:r w:rsidR="00153E4C" w:rsidRPr="00827B06">
        <w:rPr>
          <w:lang w:val="fr-CA"/>
        </w:rPr>
        <w:t>à la Secrétaire exécutive</w:t>
      </w:r>
      <w:r w:rsidRPr="00827B06">
        <w:rPr>
          <w:lang w:val="fr-CA"/>
        </w:rPr>
        <w:t xml:space="preserve"> a) des informations sur leurs besoins et priorités dans le cadre de l'élaboration d'orientations supplémentaires sur des thèmes spécifiques liés à l'évaluation des risques présentés par les organismes vivants modifiés, b) des propositions sur les critères, y compris leur justification technique, susceptibles de faciliter la sélection des thèmes pour l'élaboration d'orientations supplémentaires, et c) des points de vue sur les lacunes constatées dans les matériels d'orientation existants</w:t>
      </w:r>
      <w:r w:rsidR="00892040">
        <w:rPr>
          <w:color w:val="000000"/>
          <w:kern w:val="22"/>
          <w:szCs w:val="22"/>
          <w:lang w:val="fr-CA"/>
        </w:rPr>
        <w:t>.</w:t>
      </w:r>
      <w:r w:rsidR="00E3156A" w:rsidRPr="00827B06">
        <w:rPr>
          <w:kern w:val="22"/>
          <w:lang w:val="fr-CA"/>
        </w:rPr>
        <w:t xml:space="preserve"> </w:t>
      </w:r>
    </w:p>
    <w:p w:rsidR="00E3156A" w:rsidRPr="00827B06" w:rsidRDefault="00DD7CF4" w:rsidP="00E10A2E">
      <w:pPr>
        <w:pStyle w:val="Para1"/>
        <w:tabs>
          <w:tab w:val="clear" w:pos="360"/>
          <w:tab w:val="num" w:pos="720"/>
        </w:tabs>
        <w:snapToGrid w:val="0"/>
        <w:rPr>
          <w:kern w:val="22"/>
          <w:lang w:val="fr-CA"/>
        </w:rPr>
      </w:pPr>
      <w:r w:rsidRPr="00827B06">
        <w:rPr>
          <w:kern w:val="22"/>
          <w:lang w:val="fr-CA"/>
        </w:rPr>
        <w:t xml:space="preserve">Au paragraphe 7 de cette même décision, la Réunion des Parties a décidé d’élargir </w:t>
      </w:r>
      <w:r w:rsidRPr="00827B06">
        <w:rPr>
          <w:lang w:val="fr-CA"/>
        </w:rPr>
        <w:t>le Forum en ligne sur l'évaluation des risques et la gestion des risques, afin de partager des données d’expériences sur l'évaluation des risques, de fournir des informations et des points de vue sur les lacunes constatées dans les matériels d'orientation existants, et de faire des propositions visant à combler les lacunes identifi</w:t>
      </w:r>
      <w:r w:rsidR="00F11A05" w:rsidRPr="00827B06">
        <w:rPr>
          <w:lang w:val="fr-CA"/>
        </w:rPr>
        <w:t>é</w:t>
      </w:r>
      <w:r w:rsidRPr="00827B06">
        <w:rPr>
          <w:lang w:val="fr-CA"/>
        </w:rPr>
        <w:t xml:space="preserve">es. De plus, la Réunion des Parties a invité son Bureau à nommer l’animateur principal </w:t>
      </w:r>
      <w:r w:rsidR="00831B32" w:rsidRPr="00827B06">
        <w:rPr>
          <w:lang w:val="fr-CA"/>
        </w:rPr>
        <w:t>chargé d’animer les discussions en ligne et à en faire rapport</w:t>
      </w:r>
      <w:r w:rsidR="00E3156A" w:rsidRPr="00827B06">
        <w:rPr>
          <w:kern w:val="22"/>
          <w:lang w:val="fr-CA"/>
        </w:rPr>
        <w:t>.</w:t>
      </w:r>
    </w:p>
    <w:p w:rsidR="00E3156A" w:rsidRPr="00827B06" w:rsidRDefault="00831B32" w:rsidP="00E10A2E">
      <w:pPr>
        <w:pStyle w:val="Para1"/>
        <w:tabs>
          <w:tab w:val="clear" w:pos="360"/>
          <w:tab w:val="num" w:pos="720"/>
        </w:tabs>
        <w:snapToGrid w:val="0"/>
        <w:rPr>
          <w:kern w:val="22"/>
          <w:lang w:val="fr-CA"/>
        </w:rPr>
      </w:pPr>
      <w:r w:rsidRPr="00827B06">
        <w:rPr>
          <w:kern w:val="22"/>
          <w:lang w:val="fr-CA"/>
        </w:rPr>
        <w:t xml:space="preserve">L’Organe subsidiaire chargé de fournir des avis scientifiques, techniques et technologiques a été </w:t>
      </w:r>
      <w:r w:rsidR="003B4E98" w:rsidRPr="00827B06">
        <w:rPr>
          <w:lang w:val="fr-CA"/>
        </w:rPr>
        <w:t xml:space="preserve">invité à </w:t>
      </w:r>
      <w:r w:rsidRPr="00827B06">
        <w:rPr>
          <w:lang w:val="fr-CA"/>
        </w:rPr>
        <w:t xml:space="preserve">étudier les informations communiquées et </w:t>
      </w:r>
      <w:r w:rsidR="003B4E98" w:rsidRPr="00827B06">
        <w:rPr>
          <w:lang w:val="fr-CA"/>
        </w:rPr>
        <w:t>à</w:t>
      </w:r>
      <w:r w:rsidRPr="00827B06">
        <w:rPr>
          <w:lang w:val="fr-CA"/>
        </w:rPr>
        <w:t xml:space="preserve"> recommander une marche à suivre pour répondre aux besoins, traiter les priorités et combler les lacunes identifiées par les Parties, </w:t>
      </w:r>
      <w:r w:rsidR="003B4E98" w:rsidRPr="00827B06">
        <w:rPr>
          <w:lang w:val="fr-CA"/>
        </w:rPr>
        <w:t xml:space="preserve">y compris la création éventuelle d'un nouveau groupe spécial d'experts techniques, </w:t>
      </w:r>
      <w:r w:rsidRPr="00827B06">
        <w:rPr>
          <w:lang w:val="fr-CA"/>
        </w:rPr>
        <w:t xml:space="preserve">pour examen </w:t>
      </w:r>
      <w:r w:rsidR="005947F1" w:rsidRPr="00827B06">
        <w:rPr>
          <w:lang w:val="fr-CA"/>
        </w:rPr>
        <w:t>par la Conférence des Parties siégeant en tant que réunion des Parties au Protocole à sa neuvième r</w:t>
      </w:r>
      <w:r w:rsidRPr="00827B06">
        <w:rPr>
          <w:lang w:val="fr-CA"/>
        </w:rPr>
        <w:t>éunion</w:t>
      </w:r>
      <w:r w:rsidR="00E3156A" w:rsidRPr="00827B06">
        <w:rPr>
          <w:kern w:val="22"/>
          <w:lang w:val="fr-CA"/>
        </w:rPr>
        <w:t>.</w:t>
      </w:r>
    </w:p>
    <w:p w:rsidR="00E3156A" w:rsidRPr="00827B06" w:rsidRDefault="00A27A1D" w:rsidP="00E10A2E">
      <w:pPr>
        <w:pStyle w:val="Para1"/>
        <w:tabs>
          <w:tab w:val="clear" w:pos="360"/>
          <w:tab w:val="num" w:pos="720"/>
        </w:tabs>
        <w:snapToGrid w:val="0"/>
        <w:rPr>
          <w:kern w:val="22"/>
          <w:lang w:val="fr-CA"/>
        </w:rPr>
      </w:pPr>
      <w:r w:rsidRPr="00827B06">
        <w:rPr>
          <w:kern w:val="22"/>
          <w:lang w:val="fr-CA"/>
        </w:rPr>
        <w:t xml:space="preserve">La partie I </w:t>
      </w:r>
      <w:r w:rsidR="005947F1" w:rsidRPr="00827B06">
        <w:rPr>
          <w:kern w:val="22"/>
          <w:lang w:val="fr-CA"/>
        </w:rPr>
        <w:t xml:space="preserve">du présent document </w:t>
      </w:r>
      <w:r w:rsidRPr="00827B06">
        <w:rPr>
          <w:kern w:val="22"/>
          <w:lang w:val="fr-CA"/>
        </w:rPr>
        <w:t xml:space="preserve">décrit les activités entreprises dans le cadre des mandats </w:t>
      </w:r>
      <w:r w:rsidRPr="00827B06">
        <w:rPr>
          <w:noProof/>
          <w:kern w:val="22"/>
          <w:lang w:val="fr-CA"/>
        </w:rPr>
        <w:t>ci</w:t>
      </w:r>
      <w:r w:rsidR="00F6046B">
        <w:rPr>
          <w:noProof/>
          <w:kern w:val="22"/>
          <w:lang w:val="fr-CA"/>
        </w:rPr>
        <w:noBreakHyphen/>
      </w:r>
      <w:r w:rsidRPr="00827B06">
        <w:rPr>
          <w:noProof/>
          <w:kern w:val="22"/>
          <w:lang w:val="fr-CA"/>
        </w:rPr>
        <w:t>dessus. La partie</w:t>
      </w:r>
      <w:r w:rsidRPr="00827B06">
        <w:rPr>
          <w:kern w:val="22"/>
          <w:lang w:val="fr-CA"/>
        </w:rPr>
        <w:t xml:space="preserve"> II propose un aperçu des exposés des Parties </w:t>
      </w:r>
      <w:r w:rsidR="003B4E98" w:rsidRPr="00827B06">
        <w:rPr>
          <w:kern w:val="22"/>
          <w:lang w:val="fr-CA"/>
        </w:rPr>
        <w:t>et des discussions en ligne du f</w:t>
      </w:r>
      <w:r w:rsidRPr="00827B06">
        <w:rPr>
          <w:kern w:val="22"/>
          <w:lang w:val="fr-CA"/>
        </w:rPr>
        <w:t>orum sur l’évaluation et la gestion des risques. La partie III présente les grandes lignes des éléments possibles d’une recommandation</w:t>
      </w:r>
      <w:r w:rsidR="00E3156A" w:rsidRPr="00827B06">
        <w:rPr>
          <w:kern w:val="22"/>
          <w:lang w:val="fr-CA"/>
        </w:rPr>
        <w:t xml:space="preserve">.  </w:t>
      </w:r>
    </w:p>
    <w:p w:rsidR="00E3156A" w:rsidRPr="00827B06" w:rsidRDefault="00A27A1D" w:rsidP="00E10A2E">
      <w:pPr>
        <w:pStyle w:val="Para1"/>
        <w:numPr>
          <w:ilvl w:val="0"/>
          <w:numId w:val="37"/>
        </w:numPr>
        <w:snapToGrid w:val="0"/>
        <w:jc w:val="center"/>
        <w:rPr>
          <w:b/>
          <w:kern w:val="22"/>
          <w:lang w:val="fr-CA"/>
        </w:rPr>
      </w:pPr>
      <w:r w:rsidRPr="00827B06">
        <w:rPr>
          <w:b/>
          <w:kern w:val="22"/>
          <w:lang w:val="fr-CA"/>
        </w:rPr>
        <w:t>APERÇU DES ACTIVITÉS</w:t>
      </w:r>
    </w:p>
    <w:p w:rsidR="00E3156A" w:rsidRPr="00827B06" w:rsidRDefault="00A27A1D" w:rsidP="00E10A2E">
      <w:pPr>
        <w:pStyle w:val="Para1"/>
        <w:tabs>
          <w:tab w:val="clear" w:pos="360"/>
          <w:tab w:val="num" w:pos="720"/>
        </w:tabs>
        <w:snapToGrid w:val="0"/>
        <w:rPr>
          <w:kern w:val="22"/>
          <w:lang w:val="fr-CA"/>
        </w:rPr>
      </w:pPr>
      <w:r w:rsidRPr="00827B06">
        <w:rPr>
          <w:kern w:val="22"/>
          <w:lang w:val="fr-CA"/>
        </w:rPr>
        <w:t xml:space="preserve">La Secrétaire exécutive a émis une notification aux Parties </w:t>
      </w:r>
      <w:r w:rsidR="000F76D7" w:rsidRPr="00827B06">
        <w:rPr>
          <w:kern w:val="22"/>
          <w:lang w:val="fr-CA"/>
        </w:rPr>
        <w:t xml:space="preserve">le 12 avril 2017, </w:t>
      </w:r>
      <w:r w:rsidRPr="00827B06">
        <w:rPr>
          <w:kern w:val="22"/>
          <w:lang w:val="fr-CA"/>
        </w:rPr>
        <w:t>con</w:t>
      </w:r>
      <w:r w:rsidR="00735B2A" w:rsidRPr="00827B06">
        <w:rPr>
          <w:kern w:val="22"/>
          <w:lang w:val="fr-CA"/>
        </w:rPr>
        <w:t xml:space="preserve">formément à </w:t>
      </w:r>
      <w:r w:rsidRPr="00827B06">
        <w:rPr>
          <w:kern w:val="22"/>
          <w:lang w:val="fr-CA"/>
        </w:rPr>
        <w:t>la demande faite au parag</w:t>
      </w:r>
      <w:r w:rsidR="00735B2A" w:rsidRPr="00827B06">
        <w:rPr>
          <w:kern w:val="22"/>
          <w:lang w:val="fr-CA"/>
        </w:rPr>
        <w:t>ra</w:t>
      </w:r>
      <w:r w:rsidRPr="00827B06">
        <w:rPr>
          <w:kern w:val="22"/>
          <w:lang w:val="fr-CA"/>
        </w:rPr>
        <w:t>phe 6 de la décision</w:t>
      </w:r>
      <w:r w:rsidR="00FD5C7D" w:rsidRPr="00827B06">
        <w:rPr>
          <w:kern w:val="22"/>
          <w:lang w:val="fr-CA"/>
        </w:rPr>
        <w:t> </w:t>
      </w:r>
      <w:r w:rsidR="00E3156A" w:rsidRPr="00827B06">
        <w:rPr>
          <w:kern w:val="22"/>
          <w:lang w:val="fr-CA"/>
        </w:rPr>
        <w:t>CP</w:t>
      </w:r>
      <w:r w:rsidR="00F6046B">
        <w:rPr>
          <w:kern w:val="22"/>
          <w:lang w:val="fr-CA"/>
        </w:rPr>
        <w:noBreakHyphen/>
      </w:r>
      <w:r w:rsidR="00E3156A" w:rsidRPr="00827B06">
        <w:rPr>
          <w:kern w:val="22"/>
          <w:lang w:val="fr-CA"/>
        </w:rPr>
        <w:t>VIII/12</w:t>
      </w:r>
      <w:r w:rsidR="000204C0" w:rsidRPr="00827B06">
        <w:rPr>
          <w:kern w:val="22"/>
          <w:lang w:val="fr-CA"/>
        </w:rPr>
        <w:t>.</w:t>
      </w:r>
      <w:r w:rsidR="00E3156A" w:rsidRPr="00827B06">
        <w:rPr>
          <w:rStyle w:val="FootnoteReference"/>
          <w:kern w:val="22"/>
          <w:u w:val="none"/>
          <w:vertAlign w:val="superscript"/>
          <w:lang w:val="fr-CA"/>
        </w:rPr>
        <w:footnoteReference w:id="3"/>
      </w:r>
      <w:r w:rsidR="00E3156A" w:rsidRPr="00827B06">
        <w:rPr>
          <w:kern w:val="22"/>
          <w:lang w:val="fr-CA"/>
        </w:rPr>
        <w:t xml:space="preserve"> </w:t>
      </w:r>
    </w:p>
    <w:p w:rsidR="00E3156A" w:rsidRPr="00827B06" w:rsidRDefault="00074334" w:rsidP="00133476">
      <w:pPr>
        <w:pStyle w:val="Para1"/>
        <w:tabs>
          <w:tab w:val="clear" w:pos="360"/>
          <w:tab w:val="num" w:pos="720"/>
        </w:tabs>
        <w:rPr>
          <w:kern w:val="22"/>
          <w:lang w:val="fr-CA"/>
        </w:rPr>
      </w:pPr>
      <w:r w:rsidRPr="00827B06">
        <w:rPr>
          <w:noProof/>
          <w:kern w:val="22"/>
          <w:lang w:val="fr-CA"/>
        </w:rPr>
        <w:lastRenderedPageBreak/>
        <w:t>Dix</w:t>
      </w:r>
      <w:r w:rsidR="00F6046B">
        <w:rPr>
          <w:noProof/>
          <w:kern w:val="22"/>
          <w:lang w:val="fr-CA"/>
        </w:rPr>
        <w:noBreakHyphen/>
      </w:r>
      <w:r w:rsidRPr="00827B06">
        <w:rPr>
          <w:noProof/>
          <w:kern w:val="22"/>
          <w:lang w:val="fr-CA"/>
        </w:rPr>
        <w:t>neuf exposés ont été reçu</w:t>
      </w:r>
      <w:r w:rsidR="00735B2A" w:rsidRPr="00827B06">
        <w:rPr>
          <w:noProof/>
          <w:kern w:val="22"/>
          <w:lang w:val="fr-CA"/>
        </w:rPr>
        <w:t>s des Parties en réponse à la notification</w:t>
      </w:r>
      <w:r w:rsidR="00174832" w:rsidRPr="00827B06">
        <w:rPr>
          <w:noProof/>
          <w:kern w:val="22"/>
          <w:lang w:val="fr-CA"/>
        </w:rPr>
        <w:t xml:space="preserve"> </w:t>
      </w:r>
      <w:r w:rsidR="00735B2A" w:rsidRPr="00827B06">
        <w:rPr>
          <w:noProof/>
          <w:kern w:val="22"/>
          <w:lang w:val="fr-CA"/>
        </w:rPr>
        <w:t>(Afrique du Sud, Autriche, Belarus, Bolivie, Brésil, Bulgarie, Costa Rica, Finlande, France, Honduras, Italie, Japon, Malaisie, Mexique, Nouvelle</w:t>
      </w:r>
      <w:r w:rsidR="00F6046B">
        <w:rPr>
          <w:noProof/>
          <w:kern w:val="22"/>
          <w:lang w:val="fr-CA"/>
        </w:rPr>
        <w:noBreakHyphen/>
      </w:r>
      <w:r w:rsidR="00735B2A" w:rsidRPr="00827B06">
        <w:rPr>
          <w:noProof/>
          <w:kern w:val="22"/>
          <w:lang w:val="fr-CA"/>
        </w:rPr>
        <w:t>Zélande, Nigeria, Norvège, République de Moldavie et Union européenn</w:t>
      </w:r>
      <w:r w:rsidRPr="00827B06">
        <w:rPr>
          <w:noProof/>
          <w:kern w:val="22"/>
          <w:lang w:val="fr-CA"/>
        </w:rPr>
        <w:t>e, et tr</w:t>
      </w:r>
      <w:r w:rsidR="00E26EB5" w:rsidRPr="00827B06">
        <w:rPr>
          <w:noProof/>
          <w:kern w:val="22"/>
          <w:lang w:val="fr-CA"/>
        </w:rPr>
        <w:t>ois pays non</w:t>
      </w:r>
      <w:r w:rsidR="00F6046B">
        <w:rPr>
          <w:noProof/>
          <w:kern w:val="22"/>
          <w:lang w:val="fr-CA"/>
        </w:rPr>
        <w:noBreakHyphen/>
      </w:r>
      <w:r w:rsidR="00735B2A" w:rsidRPr="00827B06">
        <w:rPr>
          <w:noProof/>
          <w:kern w:val="22"/>
          <w:lang w:val="fr-CA"/>
        </w:rPr>
        <w:t>Parties au Protocole de Cartagena ont également fait parvenir un exposé (Australie, Canada et États</w:t>
      </w:r>
      <w:r w:rsidR="00F6046B">
        <w:rPr>
          <w:noProof/>
          <w:kern w:val="22"/>
          <w:lang w:val="fr-CA"/>
        </w:rPr>
        <w:noBreakHyphen/>
      </w:r>
      <w:r w:rsidR="00735B2A" w:rsidRPr="00827B06">
        <w:rPr>
          <w:noProof/>
          <w:kern w:val="22"/>
          <w:lang w:val="fr-CA"/>
        </w:rPr>
        <w:t>Unis d’Amérique</w:t>
      </w:r>
      <w:r w:rsidR="00735B2A" w:rsidRPr="00827B06">
        <w:rPr>
          <w:kern w:val="22"/>
          <w:lang w:val="fr-CA"/>
        </w:rPr>
        <w:t xml:space="preserve">). </w:t>
      </w:r>
      <w:r w:rsidR="00680DC0" w:rsidRPr="00827B06">
        <w:rPr>
          <w:kern w:val="22"/>
          <w:lang w:val="fr-CA"/>
        </w:rPr>
        <w:t>Une synthèse détaillée des exposés des Parties est offerte dans le document informatif</w:t>
      </w:r>
      <w:r w:rsidR="00735B2A" w:rsidRPr="00827B06">
        <w:rPr>
          <w:kern w:val="22"/>
          <w:lang w:val="fr-CA"/>
        </w:rPr>
        <w:t xml:space="preserve"> </w:t>
      </w:r>
      <w:r w:rsidR="00174832" w:rsidRPr="00827B06">
        <w:rPr>
          <w:kern w:val="22"/>
          <w:lang w:val="fr-CA"/>
        </w:rPr>
        <w:t>CBD/SBSTTA/22/INF/11.</w:t>
      </w:r>
      <w:r w:rsidR="00680DC0" w:rsidRPr="00827B06">
        <w:rPr>
          <w:kern w:val="22"/>
          <w:lang w:val="fr-CA"/>
        </w:rPr>
        <w:t xml:space="preserve"> Les exposés sont publiés en version intégrale en ligne au</w:t>
      </w:r>
      <w:r w:rsidR="00E3156A" w:rsidRPr="00827B06">
        <w:rPr>
          <w:kern w:val="22"/>
          <w:lang w:val="fr-CA"/>
        </w:rPr>
        <w:t xml:space="preserve"> </w:t>
      </w:r>
      <w:hyperlink r:id="rId12" w:history="1">
        <w:r w:rsidR="00E3156A" w:rsidRPr="00827B06">
          <w:rPr>
            <w:rStyle w:val="Hyperlink"/>
            <w:kern w:val="22"/>
            <w:lang w:val="fr-CA"/>
          </w:rPr>
          <w:t>http://bch.cbd.int/protocol/cpb_art15_submissions</w:t>
        </w:r>
      </w:hyperlink>
      <w:r w:rsidR="00E3156A" w:rsidRPr="00827B06">
        <w:rPr>
          <w:kern w:val="22"/>
          <w:lang w:val="fr-CA"/>
        </w:rPr>
        <w:t xml:space="preserve">. </w:t>
      </w:r>
    </w:p>
    <w:p w:rsidR="00174832" w:rsidRPr="00827B06" w:rsidRDefault="00680DC0" w:rsidP="00174832">
      <w:pPr>
        <w:pStyle w:val="Para1"/>
        <w:tabs>
          <w:tab w:val="clear" w:pos="360"/>
          <w:tab w:val="num" w:pos="720"/>
        </w:tabs>
        <w:snapToGrid w:val="0"/>
        <w:rPr>
          <w:kern w:val="22"/>
          <w:lang w:val="fr-CA"/>
        </w:rPr>
      </w:pPr>
      <w:r w:rsidRPr="00827B06">
        <w:rPr>
          <w:kern w:val="22"/>
          <w:lang w:val="fr-CA"/>
        </w:rPr>
        <w:t>Les discussions du Forum en ligne à composition non limité</w:t>
      </w:r>
      <w:r w:rsidR="00074334" w:rsidRPr="00827B06">
        <w:rPr>
          <w:kern w:val="22"/>
          <w:lang w:val="fr-CA"/>
        </w:rPr>
        <w:t>e</w:t>
      </w:r>
      <w:r w:rsidRPr="00827B06">
        <w:rPr>
          <w:kern w:val="22"/>
          <w:lang w:val="fr-CA"/>
        </w:rPr>
        <w:t xml:space="preserve"> sur l’évaluatio</w:t>
      </w:r>
      <w:r w:rsidR="00074334" w:rsidRPr="00827B06">
        <w:rPr>
          <w:kern w:val="22"/>
          <w:lang w:val="fr-CA"/>
        </w:rPr>
        <w:t xml:space="preserve">n et la gestion des risques se sont déroulées </w:t>
      </w:r>
      <w:r w:rsidR="00A649CF" w:rsidRPr="00827B06">
        <w:rPr>
          <w:kern w:val="22"/>
          <w:lang w:val="fr-CA"/>
        </w:rPr>
        <w:t xml:space="preserve">du 29 janvier au 12 février 2018 </w:t>
      </w:r>
      <w:r w:rsidRPr="00827B06">
        <w:rPr>
          <w:kern w:val="22"/>
          <w:lang w:val="fr-CA"/>
        </w:rPr>
        <w:t xml:space="preserve">par l’entremise du Centre d’échange sur la </w:t>
      </w:r>
      <w:r w:rsidRPr="00827B06">
        <w:rPr>
          <w:noProof/>
          <w:kern w:val="22"/>
          <w:lang w:val="fr-CA"/>
        </w:rPr>
        <w:t>prévention des risques biotechnologiques</w:t>
      </w:r>
      <w:r w:rsidR="00124F5C" w:rsidRPr="00827B06">
        <w:rPr>
          <w:noProof/>
          <w:kern w:val="22"/>
          <w:lang w:val="fr-CA"/>
        </w:rPr>
        <w:t xml:space="preserve">. Elles ont été </w:t>
      </w:r>
      <w:r w:rsidR="00A649CF" w:rsidRPr="00827B06">
        <w:rPr>
          <w:noProof/>
          <w:kern w:val="22"/>
          <w:lang w:val="fr-CA"/>
        </w:rPr>
        <w:t>animées par M. Timothy Strabala de la Nouvelle</w:t>
      </w:r>
      <w:r w:rsidR="00F6046B">
        <w:rPr>
          <w:noProof/>
          <w:kern w:val="22"/>
          <w:lang w:val="fr-CA"/>
        </w:rPr>
        <w:noBreakHyphen/>
      </w:r>
      <w:r w:rsidR="00A649CF" w:rsidRPr="00827B06">
        <w:rPr>
          <w:noProof/>
          <w:kern w:val="22"/>
          <w:lang w:val="fr-CA"/>
        </w:rPr>
        <w:t>Zélande</w:t>
      </w:r>
      <w:r w:rsidR="00174832" w:rsidRPr="00827B06">
        <w:rPr>
          <w:noProof/>
          <w:kern w:val="22"/>
          <w:lang w:val="fr-CA"/>
        </w:rPr>
        <w:t>.</w:t>
      </w:r>
      <w:r w:rsidR="00174832" w:rsidRPr="00827B06">
        <w:rPr>
          <w:noProof/>
          <w:kern w:val="22"/>
          <w:vertAlign w:val="superscript"/>
          <w:lang w:val="fr-CA"/>
        </w:rPr>
        <w:footnoteReference w:id="4"/>
      </w:r>
      <w:r w:rsidR="00174832" w:rsidRPr="00827B06">
        <w:rPr>
          <w:noProof/>
          <w:kern w:val="22"/>
          <w:lang w:val="fr-CA"/>
        </w:rPr>
        <w:t xml:space="preserve"> </w:t>
      </w:r>
      <w:r w:rsidR="00A649CF" w:rsidRPr="00827B06">
        <w:rPr>
          <w:noProof/>
          <w:kern w:val="22"/>
          <w:lang w:val="fr-CA"/>
        </w:rPr>
        <w:t>Les thèmes</w:t>
      </w:r>
      <w:r w:rsidR="00A649CF" w:rsidRPr="00827B06">
        <w:rPr>
          <w:kern w:val="22"/>
          <w:lang w:val="fr-CA"/>
        </w:rPr>
        <w:t xml:space="preserve"> des discussions ont été extraits de la décision</w:t>
      </w:r>
      <w:r w:rsidR="00124F5C" w:rsidRPr="00827B06">
        <w:rPr>
          <w:kern w:val="22"/>
          <w:lang w:val="fr-CA"/>
        </w:rPr>
        <w:t> :</w:t>
      </w:r>
      <w:r w:rsidR="00174832" w:rsidRPr="00827B06">
        <w:rPr>
          <w:kern w:val="22"/>
          <w:lang w:val="fr-CA"/>
        </w:rPr>
        <w:t xml:space="preserve"> </w:t>
      </w:r>
    </w:p>
    <w:p w:rsidR="00174832" w:rsidRPr="00827B06" w:rsidRDefault="00A649CF" w:rsidP="00A649CF">
      <w:pPr>
        <w:pStyle w:val="Para1"/>
        <w:numPr>
          <w:ilvl w:val="0"/>
          <w:numId w:val="38"/>
        </w:numPr>
        <w:snapToGrid w:val="0"/>
        <w:ind w:left="0" w:firstLine="720"/>
        <w:rPr>
          <w:kern w:val="22"/>
          <w:lang w:val="fr-CA"/>
        </w:rPr>
      </w:pPr>
      <w:r w:rsidRPr="00827B06">
        <w:rPr>
          <w:kern w:val="22"/>
          <w:lang w:val="fr-CA"/>
        </w:rPr>
        <w:t>Partage de données d’expérience</w:t>
      </w:r>
      <w:r w:rsidR="00E26EB5" w:rsidRPr="00827B06">
        <w:rPr>
          <w:kern w:val="22"/>
          <w:lang w:val="fr-CA"/>
        </w:rPr>
        <w:t>s</w:t>
      </w:r>
      <w:r w:rsidRPr="00827B06">
        <w:rPr>
          <w:kern w:val="22"/>
          <w:lang w:val="fr-CA"/>
        </w:rPr>
        <w:t xml:space="preserve"> sur l’évaluation des risques </w:t>
      </w:r>
      <w:r w:rsidR="00124F5C" w:rsidRPr="00827B06">
        <w:rPr>
          <w:kern w:val="22"/>
          <w:lang w:val="fr-CA"/>
        </w:rPr>
        <w:t>présentés par</w:t>
      </w:r>
      <w:r w:rsidRPr="00827B06">
        <w:rPr>
          <w:kern w:val="22"/>
          <w:lang w:val="fr-CA"/>
        </w:rPr>
        <w:t xml:space="preserve"> les organismes vivants modifiés</w:t>
      </w:r>
      <w:r w:rsidR="00174832" w:rsidRPr="00827B06">
        <w:rPr>
          <w:kern w:val="22"/>
          <w:lang w:val="fr-CA"/>
        </w:rPr>
        <w:t>;</w:t>
      </w:r>
    </w:p>
    <w:p w:rsidR="00174832" w:rsidRPr="00827B06" w:rsidRDefault="00A649CF" w:rsidP="00174832">
      <w:pPr>
        <w:pStyle w:val="Para1"/>
        <w:numPr>
          <w:ilvl w:val="0"/>
          <w:numId w:val="38"/>
        </w:numPr>
        <w:snapToGrid w:val="0"/>
        <w:ind w:left="0" w:firstLine="720"/>
        <w:rPr>
          <w:kern w:val="22"/>
          <w:lang w:val="fr-CA"/>
        </w:rPr>
      </w:pPr>
      <w:r w:rsidRPr="00827B06">
        <w:rPr>
          <w:kern w:val="22"/>
          <w:lang w:val="fr-CA"/>
        </w:rPr>
        <w:t>Information et points de vue sur les orientations existantes en matière d’évaluation des risques</w:t>
      </w:r>
      <w:r w:rsidR="00174832" w:rsidRPr="00827B06">
        <w:rPr>
          <w:kern w:val="22"/>
          <w:lang w:val="fr-CA"/>
        </w:rPr>
        <w:t>;</w:t>
      </w:r>
    </w:p>
    <w:p w:rsidR="00174832" w:rsidRPr="00827B06" w:rsidRDefault="00F11A05" w:rsidP="00174832">
      <w:pPr>
        <w:pStyle w:val="Para1"/>
        <w:numPr>
          <w:ilvl w:val="0"/>
          <w:numId w:val="38"/>
        </w:numPr>
        <w:snapToGrid w:val="0"/>
        <w:ind w:left="0" w:firstLine="720"/>
        <w:rPr>
          <w:kern w:val="22"/>
          <w:lang w:val="fr-CA"/>
        </w:rPr>
      </w:pPr>
      <w:r w:rsidRPr="00827B06">
        <w:rPr>
          <w:lang w:val="fr-CA"/>
        </w:rPr>
        <w:t>Lacunes constatées dans les matériels d'orientation existants et proposition</w:t>
      </w:r>
      <w:r w:rsidR="00124F5C" w:rsidRPr="00827B06">
        <w:rPr>
          <w:lang w:val="fr-CA"/>
        </w:rPr>
        <w:t>s visant à combler toute</w:t>
      </w:r>
      <w:r w:rsidRPr="00827B06">
        <w:rPr>
          <w:lang w:val="fr-CA"/>
        </w:rPr>
        <w:t xml:space="preserve"> lacune</w:t>
      </w:r>
      <w:r w:rsidR="00174832" w:rsidRPr="00827B06">
        <w:rPr>
          <w:kern w:val="22"/>
          <w:lang w:val="fr-CA"/>
        </w:rPr>
        <w:t>.</w:t>
      </w:r>
    </w:p>
    <w:p w:rsidR="00174832" w:rsidRPr="00827B06" w:rsidRDefault="00F11A05" w:rsidP="00174832">
      <w:pPr>
        <w:pStyle w:val="Para1"/>
        <w:tabs>
          <w:tab w:val="clear" w:pos="360"/>
          <w:tab w:val="num" w:pos="720"/>
        </w:tabs>
        <w:snapToGrid w:val="0"/>
        <w:rPr>
          <w:kern w:val="22"/>
          <w:lang w:val="fr-CA"/>
        </w:rPr>
      </w:pPr>
      <w:r w:rsidRPr="00827B06">
        <w:rPr>
          <w:kern w:val="22"/>
          <w:lang w:val="fr-CA"/>
        </w:rPr>
        <w:t xml:space="preserve">Cent dix interventions </w:t>
      </w:r>
      <w:r w:rsidR="00124F5C" w:rsidRPr="00827B06">
        <w:rPr>
          <w:kern w:val="22"/>
          <w:lang w:val="fr-CA"/>
        </w:rPr>
        <w:t xml:space="preserve">de 48 participants différents </w:t>
      </w:r>
      <w:r w:rsidRPr="00827B06">
        <w:rPr>
          <w:kern w:val="22"/>
          <w:lang w:val="fr-CA"/>
        </w:rPr>
        <w:t>ont été dénombrées au cours des discussion</w:t>
      </w:r>
      <w:r w:rsidR="00124F5C" w:rsidRPr="00827B06">
        <w:rPr>
          <w:kern w:val="22"/>
          <w:lang w:val="fr-CA"/>
        </w:rPr>
        <w:t>s en ligne sur les trois thèmes</w:t>
      </w:r>
      <w:r w:rsidRPr="00827B06">
        <w:rPr>
          <w:kern w:val="22"/>
          <w:lang w:val="fr-CA"/>
        </w:rPr>
        <w:t xml:space="preserve">, dont 31 </w:t>
      </w:r>
      <w:r w:rsidR="00124F5C" w:rsidRPr="00827B06">
        <w:rPr>
          <w:kern w:val="22"/>
          <w:lang w:val="fr-CA"/>
        </w:rPr>
        <w:t>provenant des</w:t>
      </w:r>
      <w:r w:rsidRPr="00827B06">
        <w:rPr>
          <w:kern w:val="22"/>
          <w:lang w:val="fr-CA"/>
        </w:rPr>
        <w:t xml:space="preserve"> Parties, 2 d’autres gouvernements et 15 </w:t>
      </w:r>
      <w:r w:rsidR="00692CFA" w:rsidRPr="00827B06">
        <w:rPr>
          <w:kern w:val="22"/>
          <w:lang w:val="fr-CA"/>
        </w:rPr>
        <w:t xml:space="preserve">venues </w:t>
      </w:r>
      <w:r w:rsidR="00124F5C" w:rsidRPr="00827B06">
        <w:rPr>
          <w:kern w:val="22"/>
          <w:lang w:val="fr-CA"/>
        </w:rPr>
        <w:t>d’</w:t>
      </w:r>
      <w:r w:rsidRPr="00827B06">
        <w:rPr>
          <w:kern w:val="22"/>
          <w:lang w:val="fr-CA"/>
        </w:rPr>
        <w:t>organisations</w:t>
      </w:r>
      <w:r w:rsidR="00174832" w:rsidRPr="00827B06">
        <w:rPr>
          <w:kern w:val="22"/>
          <w:lang w:val="fr-CA"/>
        </w:rPr>
        <w:t xml:space="preserve">. </w:t>
      </w:r>
    </w:p>
    <w:p w:rsidR="00174832" w:rsidRPr="00827B06" w:rsidRDefault="000A7ABD" w:rsidP="00174832">
      <w:pPr>
        <w:pStyle w:val="Para1"/>
        <w:tabs>
          <w:tab w:val="clear" w:pos="360"/>
          <w:tab w:val="left" w:pos="720"/>
        </w:tabs>
        <w:snapToGrid w:val="0"/>
        <w:rPr>
          <w:kern w:val="22"/>
          <w:lang w:val="fr-CA"/>
        </w:rPr>
      </w:pPr>
      <w:r w:rsidRPr="00827B06">
        <w:rPr>
          <w:kern w:val="22"/>
          <w:lang w:val="fr-CA"/>
        </w:rPr>
        <w:t xml:space="preserve">L’animateur principal a préparé un </w:t>
      </w:r>
      <w:r w:rsidR="00692CFA" w:rsidRPr="00827B06">
        <w:rPr>
          <w:kern w:val="22"/>
          <w:lang w:val="fr-CA"/>
        </w:rPr>
        <w:t xml:space="preserve">projet de </w:t>
      </w:r>
      <w:r w:rsidRPr="00827B06">
        <w:rPr>
          <w:kern w:val="22"/>
          <w:lang w:val="fr-CA"/>
        </w:rPr>
        <w:t xml:space="preserve">rapport sur les discussions du forum en ligne, avec l’assistance du Secrétariat, </w:t>
      </w:r>
      <w:r w:rsidR="00E26EB5" w:rsidRPr="00827B06">
        <w:rPr>
          <w:kern w:val="22"/>
          <w:lang w:val="fr-CA"/>
        </w:rPr>
        <w:t xml:space="preserve">qu’il </w:t>
      </w:r>
      <w:r w:rsidR="00692CFA" w:rsidRPr="00827B06">
        <w:rPr>
          <w:kern w:val="22"/>
          <w:lang w:val="fr-CA"/>
        </w:rPr>
        <w:t xml:space="preserve">a soumis </w:t>
      </w:r>
      <w:r w:rsidRPr="00827B06">
        <w:rPr>
          <w:kern w:val="22"/>
          <w:lang w:val="fr-CA"/>
        </w:rPr>
        <w:t>po</w:t>
      </w:r>
      <w:r w:rsidR="00692CFA" w:rsidRPr="00827B06">
        <w:rPr>
          <w:kern w:val="22"/>
          <w:lang w:val="fr-CA"/>
        </w:rPr>
        <w:t>ur examen par les pairs par le f</w:t>
      </w:r>
      <w:r w:rsidR="00E26EB5" w:rsidRPr="00827B06">
        <w:rPr>
          <w:kern w:val="22"/>
          <w:lang w:val="fr-CA"/>
        </w:rPr>
        <w:t>orum en ligne</w:t>
      </w:r>
      <w:r w:rsidRPr="00827B06">
        <w:rPr>
          <w:kern w:val="22"/>
          <w:lang w:val="fr-CA"/>
        </w:rPr>
        <w:t xml:space="preserve"> du 26 février au 12 mars 2018. Tous les commentaires reçus pendant le processus d’examen par les pairs sont disponibles auprès du Centre d’échange sur la prévention des risques biotechnologiques</w:t>
      </w:r>
      <w:r w:rsidR="00174832" w:rsidRPr="00827B06">
        <w:rPr>
          <w:kern w:val="22"/>
          <w:lang w:val="fr-CA"/>
        </w:rPr>
        <w:t>.</w:t>
      </w:r>
      <w:r w:rsidR="00174832" w:rsidRPr="00827B06">
        <w:rPr>
          <w:rStyle w:val="FootnoteReference"/>
          <w:kern w:val="22"/>
          <w:u w:val="none"/>
          <w:vertAlign w:val="superscript"/>
          <w:lang w:val="fr-CA"/>
        </w:rPr>
        <w:footnoteReference w:id="5"/>
      </w:r>
      <w:r w:rsidR="00174832" w:rsidRPr="00827B06">
        <w:rPr>
          <w:kern w:val="22"/>
          <w:lang w:val="fr-CA"/>
        </w:rPr>
        <w:t xml:space="preserve"> </w:t>
      </w:r>
      <w:r w:rsidRPr="00827B06">
        <w:rPr>
          <w:kern w:val="22"/>
          <w:lang w:val="fr-CA"/>
        </w:rPr>
        <w:t xml:space="preserve">Le rapport final </w:t>
      </w:r>
      <w:r w:rsidR="00692CFA" w:rsidRPr="00827B06">
        <w:rPr>
          <w:kern w:val="22"/>
          <w:lang w:val="fr-CA"/>
        </w:rPr>
        <w:t>du forum en ligne</w:t>
      </w:r>
      <w:r w:rsidRPr="00827B06">
        <w:rPr>
          <w:kern w:val="22"/>
          <w:lang w:val="fr-CA"/>
        </w:rPr>
        <w:t xml:space="preserve"> préparé par l’animateur principal est présenté dans le document informatif</w:t>
      </w:r>
      <w:r w:rsidR="00174832" w:rsidRPr="00827B06">
        <w:rPr>
          <w:kern w:val="22"/>
          <w:lang w:val="fr-CA"/>
        </w:rPr>
        <w:t xml:space="preserve"> CBD/SBSTTA/22/INF/12.</w:t>
      </w:r>
    </w:p>
    <w:p w:rsidR="00E3156A" w:rsidRPr="00827B06" w:rsidRDefault="000A7ABD" w:rsidP="00E10A2E">
      <w:pPr>
        <w:pStyle w:val="ListParagraph"/>
        <w:numPr>
          <w:ilvl w:val="0"/>
          <w:numId w:val="37"/>
        </w:numPr>
        <w:spacing w:before="120" w:after="120"/>
        <w:ind w:left="1440"/>
        <w:contextualSpacing w:val="0"/>
        <w:jc w:val="left"/>
        <w:rPr>
          <w:kern w:val="22"/>
          <w:lang w:val="fr-CA"/>
        </w:rPr>
      </w:pPr>
      <w:r w:rsidRPr="00827B06">
        <w:rPr>
          <w:b/>
          <w:kern w:val="22"/>
          <w:lang w:val="fr-CA"/>
        </w:rPr>
        <w:t>APERÇU DES EXPOSÉS ET DES DISCUSSIONS DU FORUM EN LIGNE</w:t>
      </w:r>
    </w:p>
    <w:p w:rsidR="00174832" w:rsidRPr="00827B06" w:rsidRDefault="0044787F" w:rsidP="00174832">
      <w:pPr>
        <w:pStyle w:val="Para1"/>
        <w:tabs>
          <w:tab w:val="clear" w:pos="360"/>
          <w:tab w:val="num" w:pos="720"/>
        </w:tabs>
        <w:snapToGrid w:val="0"/>
        <w:rPr>
          <w:kern w:val="22"/>
          <w:lang w:val="fr-CA"/>
        </w:rPr>
      </w:pPr>
      <w:r w:rsidRPr="00827B06">
        <w:rPr>
          <w:kern w:val="22"/>
          <w:lang w:val="fr-CA"/>
        </w:rPr>
        <w:t xml:space="preserve">L’importance </w:t>
      </w:r>
      <w:r w:rsidR="00692CFA" w:rsidRPr="00827B06">
        <w:rPr>
          <w:kern w:val="22"/>
          <w:lang w:val="fr-CA"/>
        </w:rPr>
        <w:t xml:space="preserve">de mettre en commun </w:t>
      </w:r>
      <w:r w:rsidRPr="00827B06">
        <w:rPr>
          <w:kern w:val="22"/>
          <w:lang w:val="fr-CA"/>
        </w:rPr>
        <w:t xml:space="preserve">les connaissances et les expériences </w:t>
      </w:r>
      <w:r w:rsidR="00692CFA" w:rsidRPr="00827B06">
        <w:rPr>
          <w:kern w:val="22"/>
          <w:lang w:val="fr-CA"/>
        </w:rPr>
        <w:t>des</w:t>
      </w:r>
      <w:r w:rsidRPr="00827B06">
        <w:rPr>
          <w:kern w:val="22"/>
          <w:lang w:val="fr-CA"/>
        </w:rPr>
        <w:t xml:space="preserve"> pays </w:t>
      </w:r>
      <w:r w:rsidR="00692CFA" w:rsidRPr="00827B06">
        <w:rPr>
          <w:kern w:val="22"/>
          <w:lang w:val="fr-CA"/>
        </w:rPr>
        <w:t xml:space="preserve">concernant </w:t>
      </w:r>
      <w:r w:rsidRPr="00827B06">
        <w:rPr>
          <w:kern w:val="22"/>
          <w:lang w:val="fr-CA"/>
        </w:rPr>
        <w:t>l’évaluation des risques a été largement reconnue</w:t>
      </w:r>
      <w:r w:rsidR="00174832" w:rsidRPr="00827B06">
        <w:rPr>
          <w:kern w:val="22"/>
          <w:lang w:val="fr-CA"/>
        </w:rPr>
        <w:t>.</w:t>
      </w:r>
    </w:p>
    <w:p w:rsidR="00174832" w:rsidRPr="00827B06" w:rsidRDefault="0044787F" w:rsidP="0088631D">
      <w:pPr>
        <w:pStyle w:val="Para1"/>
        <w:tabs>
          <w:tab w:val="clear" w:pos="360"/>
          <w:tab w:val="num" w:pos="720"/>
        </w:tabs>
        <w:snapToGrid w:val="0"/>
        <w:rPr>
          <w:kern w:val="22"/>
          <w:lang w:val="fr-CA"/>
        </w:rPr>
      </w:pPr>
      <w:r w:rsidRPr="00827B06">
        <w:rPr>
          <w:kern w:val="22"/>
          <w:lang w:val="fr-CA"/>
        </w:rPr>
        <w:t>Il y a eu consensus, entre les pays dans le</w:t>
      </w:r>
      <w:r w:rsidR="00692CFA" w:rsidRPr="00827B06">
        <w:rPr>
          <w:kern w:val="22"/>
          <w:lang w:val="fr-CA"/>
        </w:rPr>
        <w:t>ur</w:t>
      </w:r>
      <w:r w:rsidRPr="00827B06">
        <w:rPr>
          <w:kern w:val="22"/>
          <w:lang w:val="fr-CA"/>
        </w:rPr>
        <w:t>s exposés et par les experts lors du forum en ligne, que les matériels d’orientation existants sur l’évaluation des risques sont utiles et qu’ils</w:t>
      </w:r>
      <w:r w:rsidR="002047AE" w:rsidRPr="00827B06">
        <w:rPr>
          <w:kern w:val="22"/>
          <w:lang w:val="fr-CA"/>
        </w:rPr>
        <w:t xml:space="preserve"> offrent une bonne base pour l’é</w:t>
      </w:r>
      <w:r w:rsidRPr="00827B06">
        <w:rPr>
          <w:kern w:val="22"/>
          <w:lang w:val="fr-CA"/>
        </w:rPr>
        <w:t>valuation des organismes vivants modifiés. Les participants au forum en ligne ont fait connaître leur point de vue sur les forces et les faiblesses perçues des différents documents d</w:t>
      </w:r>
      <w:r w:rsidR="001F6A19" w:rsidRPr="00827B06">
        <w:rPr>
          <w:kern w:val="22"/>
          <w:lang w:val="fr-CA"/>
        </w:rPr>
        <w:t>’orientation existants.</w:t>
      </w:r>
      <w:r w:rsidRPr="00827B06">
        <w:rPr>
          <w:kern w:val="22"/>
          <w:lang w:val="fr-CA"/>
        </w:rPr>
        <w:t xml:space="preserve"> De nombreuses sources d’information sur l’évaluation des risques ont été mentionnées lors des interventions, dont le Centre d’échange sur la prévention des risques biotechnologiques et les orientations élaborées par divers gouvernements</w:t>
      </w:r>
      <w:r w:rsidR="00174832" w:rsidRPr="00827B06">
        <w:rPr>
          <w:kern w:val="22"/>
          <w:lang w:val="fr-CA"/>
        </w:rPr>
        <w:t>.</w:t>
      </w:r>
    </w:p>
    <w:p w:rsidR="00174832" w:rsidRPr="00827B06" w:rsidRDefault="00DC53A1" w:rsidP="00174832">
      <w:pPr>
        <w:pStyle w:val="Para1"/>
        <w:tabs>
          <w:tab w:val="clear" w:pos="360"/>
          <w:tab w:val="num" w:pos="720"/>
        </w:tabs>
        <w:snapToGrid w:val="0"/>
        <w:rPr>
          <w:kern w:val="22"/>
          <w:lang w:val="fr-CA"/>
        </w:rPr>
      </w:pPr>
      <w:r w:rsidRPr="00827B06">
        <w:rPr>
          <w:kern w:val="22"/>
          <w:lang w:val="fr-CA"/>
        </w:rPr>
        <w:t xml:space="preserve">Par contre, les Parties ont relevé plusieurs lacunes dans les orientations existantes sur la gestion des risques que présentent les organismes vivants modifiés, dont un manque d’information sur la façon </w:t>
      </w:r>
      <w:r w:rsidR="00174832" w:rsidRPr="00827B06">
        <w:rPr>
          <w:kern w:val="22"/>
          <w:lang w:val="fr-CA"/>
        </w:rPr>
        <w:t>:</w:t>
      </w:r>
    </w:p>
    <w:p w:rsidR="00174832" w:rsidRPr="00827B06" w:rsidRDefault="00DC53A1" w:rsidP="00DC53A1">
      <w:pPr>
        <w:pStyle w:val="Para1"/>
        <w:numPr>
          <w:ilvl w:val="0"/>
          <w:numId w:val="39"/>
        </w:numPr>
        <w:snapToGrid w:val="0"/>
        <w:ind w:left="0" w:firstLine="720"/>
        <w:rPr>
          <w:kern w:val="22"/>
          <w:lang w:val="fr-CA"/>
        </w:rPr>
      </w:pPr>
      <w:r w:rsidRPr="00827B06">
        <w:rPr>
          <w:kern w:val="22"/>
          <w:lang w:val="fr-CA"/>
        </w:rPr>
        <w:t>De réaliser une évaluation en l’absence de comparateurs pertinents</w:t>
      </w:r>
      <w:r w:rsidR="00174832" w:rsidRPr="00827B06">
        <w:rPr>
          <w:kern w:val="22"/>
          <w:lang w:val="fr-CA"/>
        </w:rPr>
        <w:t>;</w:t>
      </w:r>
    </w:p>
    <w:p w:rsidR="00174832" w:rsidRPr="00827B06" w:rsidRDefault="00DC53A1" w:rsidP="00174832">
      <w:pPr>
        <w:pStyle w:val="Para1"/>
        <w:numPr>
          <w:ilvl w:val="0"/>
          <w:numId w:val="39"/>
        </w:numPr>
        <w:snapToGrid w:val="0"/>
        <w:ind w:left="0" w:firstLine="720"/>
        <w:rPr>
          <w:kern w:val="22"/>
          <w:lang w:val="fr-CA"/>
        </w:rPr>
      </w:pPr>
      <w:r w:rsidRPr="00827B06">
        <w:rPr>
          <w:kern w:val="22"/>
          <w:lang w:val="fr-CA"/>
        </w:rPr>
        <w:t>D’aborder les incertitudes dans l’évaluation des risques que représentent les organismes vivants modifies à caractéristiques complexes</w:t>
      </w:r>
      <w:r w:rsidR="00174832" w:rsidRPr="00827B06">
        <w:rPr>
          <w:kern w:val="22"/>
          <w:lang w:val="fr-CA"/>
        </w:rPr>
        <w:t>;</w:t>
      </w:r>
    </w:p>
    <w:p w:rsidR="00174832" w:rsidRPr="00827B06" w:rsidRDefault="00DC53A1" w:rsidP="00174832">
      <w:pPr>
        <w:pStyle w:val="Para1"/>
        <w:numPr>
          <w:ilvl w:val="0"/>
          <w:numId w:val="39"/>
        </w:numPr>
        <w:snapToGrid w:val="0"/>
        <w:ind w:left="0" w:firstLine="720"/>
        <w:rPr>
          <w:kern w:val="22"/>
          <w:lang w:val="fr-CA"/>
        </w:rPr>
      </w:pPr>
      <w:r w:rsidRPr="00827B06">
        <w:rPr>
          <w:kern w:val="22"/>
          <w:lang w:val="fr-CA"/>
        </w:rPr>
        <w:lastRenderedPageBreak/>
        <w:t>D’aborder adéquatement les facteurs de santé humaine et socioéconomiques pendant l’évaluation des risques</w:t>
      </w:r>
      <w:r w:rsidR="00174832" w:rsidRPr="00827B06">
        <w:rPr>
          <w:kern w:val="22"/>
          <w:lang w:val="fr-CA"/>
        </w:rPr>
        <w:t>;</w:t>
      </w:r>
    </w:p>
    <w:p w:rsidR="00341A86" w:rsidRPr="00827B06" w:rsidRDefault="009B60BA" w:rsidP="00174832">
      <w:pPr>
        <w:pStyle w:val="Para1"/>
        <w:numPr>
          <w:ilvl w:val="0"/>
          <w:numId w:val="39"/>
        </w:numPr>
        <w:snapToGrid w:val="0"/>
        <w:ind w:left="0" w:firstLine="720"/>
        <w:rPr>
          <w:kern w:val="22"/>
          <w:lang w:val="fr-CA"/>
        </w:rPr>
      </w:pPr>
      <w:r w:rsidRPr="00827B06">
        <w:rPr>
          <w:kern w:val="22"/>
          <w:szCs w:val="22"/>
          <w:lang w:val="fr-CA"/>
        </w:rPr>
        <w:t xml:space="preserve">D’évaluer les </w:t>
      </w:r>
      <w:r w:rsidR="002047AE" w:rsidRPr="00827B06">
        <w:rPr>
          <w:kern w:val="22"/>
          <w:szCs w:val="22"/>
          <w:lang w:val="fr-CA"/>
        </w:rPr>
        <w:t>impacts</w:t>
      </w:r>
      <w:r w:rsidRPr="00827B06">
        <w:rPr>
          <w:kern w:val="22"/>
          <w:szCs w:val="22"/>
          <w:lang w:val="fr-CA"/>
        </w:rPr>
        <w:t xml:space="preserve"> des organismes vivants modifies sur l’état et la dynamique de la diversité biologique en interaction avec l’agriculture (p</w:t>
      </w:r>
      <w:r w:rsidR="000F76D7" w:rsidRPr="00827B06">
        <w:rPr>
          <w:kern w:val="22"/>
          <w:szCs w:val="22"/>
          <w:lang w:val="fr-CA"/>
        </w:rPr>
        <w:t>ar exemple</w:t>
      </w:r>
      <w:r w:rsidRPr="00827B06">
        <w:rPr>
          <w:kern w:val="22"/>
          <w:szCs w:val="22"/>
          <w:lang w:val="fr-CA"/>
        </w:rPr>
        <w:t>, les oiseaux de ferme)</w:t>
      </w:r>
      <w:r w:rsidR="00C91039" w:rsidRPr="00827B06">
        <w:rPr>
          <w:kern w:val="22"/>
          <w:szCs w:val="22"/>
          <w:lang w:val="fr-CA"/>
        </w:rPr>
        <w:t>;</w:t>
      </w:r>
    </w:p>
    <w:p w:rsidR="00174832" w:rsidRPr="00827B06" w:rsidRDefault="009B60BA" w:rsidP="00174832">
      <w:pPr>
        <w:pStyle w:val="Para1"/>
        <w:numPr>
          <w:ilvl w:val="0"/>
          <w:numId w:val="39"/>
        </w:numPr>
        <w:snapToGrid w:val="0"/>
        <w:ind w:left="0" w:firstLine="720"/>
        <w:rPr>
          <w:kern w:val="22"/>
          <w:lang w:val="fr-CA"/>
        </w:rPr>
      </w:pPr>
      <w:r w:rsidRPr="00827B06">
        <w:rPr>
          <w:kern w:val="22"/>
          <w:lang w:val="fr-CA"/>
        </w:rPr>
        <w:t>De gérer les risques recensés pendant le processus d’évaluation des risques</w:t>
      </w:r>
      <w:r w:rsidR="00174832" w:rsidRPr="00827B06">
        <w:rPr>
          <w:kern w:val="22"/>
          <w:lang w:val="fr-CA"/>
        </w:rPr>
        <w:t>;</w:t>
      </w:r>
    </w:p>
    <w:p w:rsidR="00174832" w:rsidRPr="00827B06" w:rsidRDefault="009B60BA" w:rsidP="00174832">
      <w:pPr>
        <w:pStyle w:val="Para1"/>
        <w:numPr>
          <w:ilvl w:val="0"/>
          <w:numId w:val="39"/>
        </w:numPr>
        <w:snapToGrid w:val="0"/>
        <w:ind w:left="0" w:firstLine="720"/>
        <w:rPr>
          <w:kern w:val="22"/>
          <w:lang w:val="fr-CA"/>
        </w:rPr>
      </w:pPr>
      <w:r w:rsidRPr="00827B06">
        <w:rPr>
          <w:kern w:val="22"/>
          <w:lang w:val="fr-CA"/>
        </w:rPr>
        <w:t xml:space="preserve">De </w:t>
      </w:r>
      <w:r w:rsidR="00CA17A0" w:rsidRPr="00827B06">
        <w:rPr>
          <w:kern w:val="22"/>
          <w:lang w:val="fr-CA"/>
        </w:rPr>
        <w:t>traiter les</w:t>
      </w:r>
      <w:r w:rsidRPr="00827B06">
        <w:rPr>
          <w:kern w:val="22"/>
          <w:lang w:val="fr-CA"/>
        </w:rPr>
        <w:t xml:space="preserve"> données incomplètes provenant de suivis</w:t>
      </w:r>
      <w:r w:rsidR="00174832" w:rsidRPr="00827B06">
        <w:rPr>
          <w:kern w:val="22"/>
          <w:lang w:val="fr-CA"/>
        </w:rPr>
        <w:t>;</w:t>
      </w:r>
    </w:p>
    <w:p w:rsidR="00174832" w:rsidRPr="00827B06" w:rsidRDefault="009B60BA" w:rsidP="00174832">
      <w:pPr>
        <w:pStyle w:val="Para1"/>
        <w:numPr>
          <w:ilvl w:val="0"/>
          <w:numId w:val="39"/>
        </w:numPr>
        <w:snapToGrid w:val="0"/>
        <w:ind w:left="0" w:firstLine="720"/>
        <w:rPr>
          <w:kern w:val="22"/>
          <w:lang w:val="fr-CA"/>
        </w:rPr>
      </w:pPr>
      <w:r w:rsidRPr="00827B06">
        <w:rPr>
          <w:kern w:val="22"/>
          <w:lang w:val="fr-CA"/>
        </w:rPr>
        <w:t>De tirer des leçons des observations disponibles</w:t>
      </w:r>
      <w:r w:rsidR="00174832" w:rsidRPr="00827B06">
        <w:rPr>
          <w:kern w:val="22"/>
          <w:lang w:val="fr-CA"/>
        </w:rPr>
        <w:t>;</w:t>
      </w:r>
    </w:p>
    <w:p w:rsidR="00174832" w:rsidRPr="00827B06" w:rsidRDefault="009B60BA" w:rsidP="00174832">
      <w:pPr>
        <w:pStyle w:val="Para1"/>
        <w:numPr>
          <w:ilvl w:val="0"/>
          <w:numId w:val="39"/>
        </w:numPr>
        <w:snapToGrid w:val="0"/>
        <w:ind w:left="0" w:firstLine="720"/>
        <w:rPr>
          <w:kern w:val="22"/>
          <w:lang w:val="fr-CA"/>
        </w:rPr>
      </w:pPr>
      <w:r w:rsidRPr="00827B06">
        <w:rPr>
          <w:kern w:val="22"/>
          <w:lang w:val="fr-CA"/>
        </w:rPr>
        <w:t>De rendre le matériel existant plus accessible aux évaluateur</w:t>
      </w:r>
      <w:r w:rsidR="002047AE" w:rsidRPr="00827B06">
        <w:rPr>
          <w:kern w:val="22"/>
          <w:lang w:val="fr-CA"/>
        </w:rPr>
        <w:t>s</w:t>
      </w:r>
      <w:r w:rsidRPr="00827B06">
        <w:rPr>
          <w:kern w:val="22"/>
          <w:lang w:val="fr-CA"/>
        </w:rPr>
        <w:t xml:space="preserve"> de risque</w:t>
      </w:r>
      <w:r w:rsidR="002047AE" w:rsidRPr="00827B06">
        <w:rPr>
          <w:kern w:val="22"/>
          <w:lang w:val="fr-CA"/>
        </w:rPr>
        <w:t>s</w:t>
      </w:r>
      <w:r w:rsidRPr="00827B06">
        <w:rPr>
          <w:kern w:val="22"/>
          <w:lang w:val="fr-CA"/>
        </w:rPr>
        <w:t xml:space="preserve"> moins expérimentés</w:t>
      </w:r>
      <w:r w:rsidR="00174832" w:rsidRPr="00827B06">
        <w:rPr>
          <w:kern w:val="22"/>
          <w:lang w:val="fr-CA"/>
        </w:rPr>
        <w:t>.</w:t>
      </w:r>
    </w:p>
    <w:p w:rsidR="00174832" w:rsidRPr="00827B06" w:rsidRDefault="00EC20CE" w:rsidP="00772243">
      <w:pPr>
        <w:pStyle w:val="Para1"/>
        <w:tabs>
          <w:tab w:val="clear" w:pos="360"/>
          <w:tab w:val="left" w:pos="720"/>
        </w:tabs>
        <w:snapToGrid w:val="0"/>
        <w:rPr>
          <w:kern w:val="22"/>
          <w:lang w:val="fr-CA"/>
        </w:rPr>
      </w:pPr>
      <w:r w:rsidRPr="00827B06">
        <w:rPr>
          <w:kern w:val="22"/>
          <w:lang w:val="fr-CA"/>
        </w:rPr>
        <w:t>Les points de vue concernant le besoin actuel d’orientations supplémentaires variaient. La majorité des Parties ayant présenté un exposé sur la</w:t>
      </w:r>
      <w:r w:rsidR="00CA17A0" w:rsidRPr="00827B06">
        <w:rPr>
          <w:kern w:val="22"/>
          <w:lang w:val="fr-CA"/>
        </w:rPr>
        <w:t xml:space="preserve"> question</w:t>
      </w:r>
      <w:r w:rsidR="00772243" w:rsidRPr="00827B06">
        <w:rPr>
          <w:kern w:val="22"/>
          <w:lang w:val="fr-CA"/>
        </w:rPr>
        <w:t xml:space="preserve"> ont mentionné le besoin de développer une orientati</w:t>
      </w:r>
      <w:r w:rsidRPr="00827B06">
        <w:rPr>
          <w:kern w:val="22"/>
          <w:lang w:val="fr-CA"/>
        </w:rPr>
        <w:t xml:space="preserve">on </w:t>
      </w:r>
      <w:r w:rsidR="00CA17A0" w:rsidRPr="00827B06">
        <w:rPr>
          <w:kern w:val="22"/>
          <w:lang w:val="fr-CA"/>
        </w:rPr>
        <w:t>supplémentaire</w:t>
      </w:r>
      <w:r w:rsidRPr="00827B06">
        <w:rPr>
          <w:kern w:val="22"/>
          <w:lang w:val="fr-CA"/>
        </w:rPr>
        <w:t xml:space="preserve"> sur des thèmes précis de l’évaluation des risques. Par contre, bien que plusieurs </w:t>
      </w:r>
      <w:r w:rsidR="00772243" w:rsidRPr="00827B06">
        <w:rPr>
          <w:kern w:val="22"/>
          <w:lang w:val="fr-CA"/>
        </w:rPr>
        <w:t>auteurs d’</w:t>
      </w:r>
      <w:r w:rsidRPr="00827B06">
        <w:rPr>
          <w:kern w:val="22"/>
          <w:lang w:val="fr-CA"/>
        </w:rPr>
        <w:t xml:space="preserve">interventions </w:t>
      </w:r>
      <w:r w:rsidR="00CA17A0" w:rsidRPr="00827B06">
        <w:rPr>
          <w:kern w:val="22"/>
          <w:lang w:val="fr-CA"/>
        </w:rPr>
        <w:t>réalisées dans le cadre du</w:t>
      </w:r>
      <w:r w:rsidRPr="00827B06">
        <w:rPr>
          <w:kern w:val="22"/>
          <w:lang w:val="fr-CA"/>
        </w:rPr>
        <w:t xml:space="preserve"> forum en ligne aient fait ét</w:t>
      </w:r>
      <w:r w:rsidR="00772243" w:rsidRPr="00827B06">
        <w:rPr>
          <w:kern w:val="22"/>
          <w:lang w:val="fr-CA"/>
        </w:rPr>
        <w:t>at de lacunes dans les orientati</w:t>
      </w:r>
      <w:r w:rsidRPr="00827B06">
        <w:rPr>
          <w:kern w:val="22"/>
          <w:lang w:val="fr-CA"/>
        </w:rPr>
        <w:t xml:space="preserve">ons existantes, et </w:t>
      </w:r>
      <w:r w:rsidR="00B61004" w:rsidRPr="00827B06">
        <w:rPr>
          <w:kern w:val="22"/>
          <w:lang w:val="fr-CA"/>
        </w:rPr>
        <w:t>nommé</w:t>
      </w:r>
      <w:r w:rsidR="00772243" w:rsidRPr="00827B06">
        <w:rPr>
          <w:kern w:val="22"/>
          <w:lang w:val="fr-CA"/>
        </w:rPr>
        <w:t xml:space="preserve"> pl</w:t>
      </w:r>
      <w:r w:rsidRPr="00827B06">
        <w:rPr>
          <w:kern w:val="22"/>
          <w:lang w:val="fr-CA"/>
        </w:rPr>
        <w:t xml:space="preserve">usieurs </w:t>
      </w:r>
      <w:r w:rsidR="00CA17A0" w:rsidRPr="00827B06">
        <w:rPr>
          <w:kern w:val="22"/>
          <w:lang w:val="fr-CA"/>
        </w:rPr>
        <w:t>thèmes</w:t>
      </w:r>
      <w:r w:rsidRPr="00827B06">
        <w:rPr>
          <w:kern w:val="22"/>
          <w:lang w:val="fr-CA"/>
        </w:rPr>
        <w:t xml:space="preserve"> </w:t>
      </w:r>
      <w:r w:rsidR="00B61004" w:rsidRPr="00827B06">
        <w:rPr>
          <w:kern w:val="22"/>
          <w:lang w:val="fr-CA"/>
        </w:rPr>
        <w:t>ayant besoin d’être développés davantage</w:t>
      </w:r>
      <w:r w:rsidRPr="00827B06">
        <w:rPr>
          <w:kern w:val="22"/>
          <w:lang w:val="fr-CA"/>
        </w:rPr>
        <w:t xml:space="preserve">, la majorité des interventions </w:t>
      </w:r>
      <w:r w:rsidR="00B61004" w:rsidRPr="00827B06">
        <w:rPr>
          <w:kern w:val="22"/>
          <w:lang w:val="fr-CA"/>
        </w:rPr>
        <w:t>précisaient</w:t>
      </w:r>
      <w:r w:rsidR="00772243" w:rsidRPr="00827B06">
        <w:rPr>
          <w:kern w:val="22"/>
          <w:lang w:val="fr-CA"/>
        </w:rPr>
        <w:t xml:space="preserve"> que le matériel d’</w:t>
      </w:r>
      <w:r w:rsidR="00B61004" w:rsidRPr="00827B06">
        <w:rPr>
          <w:kern w:val="22"/>
          <w:lang w:val="fr-CA"/>
        </w:rPr>
        <w:t>orientation existant ne compor</w:t>
      </w:r>
      <w:r w:rsidR="00772243" w:rsidRPr="00827B06">
        <w:rPr>
          <w:kern w:val="22"/>
          <w:lang w:val="fr-CA"/>
        </w:rPr>
        <w:t xml:space="preserve">te pas de lacunes et qu’aucune orientation </w:t>
      </w:r>
      <w:r w:rsidR="00E27832" w:rsidRPr="00827B06">
        <w:rPr>
          <w:kern w:val="22"/>
          <w:lang w:val="fr-CA"/>
        </w:rPr>
        <w:t xml:space="preserve">supplémentaire </w:t>
      </w:r>
      <w:r w:rsidR="00772243" w:rsidRPr="00827B06">
        <w:rPr>
          <w:kern w:val="22"/>
          <w:lang w:val="fr-CA"/>
        </w:rPr>
        <w:t>n’est donc nécessaire</w:t>
      </w:r>
      <w:r w:rsidR="00325A4D" w:rsidRPr="00827B06">
        <w:rPr>
          <w:kern w:val="22"/>
          <w:lang w:val="fr-CA"/>
        </w:rPr>
        <w:t>.</w:t>
      </w:r>
      <w:r w:rsidR="00B61004" w:rsidRPr="00827B06">
        <w:rPr>
          <w:kern w:val="22"/>
          <w:lang w:val="fr-CA"/>
        </w:rPr>
        <w:t xml:space="preserve"> </w:t>
      </w:r>
      <w:r w:rsidR="00772243" w:rsidRPr="00827B06">
        <w:rPr>
          <w:kern w:val="22"/>
          <w:lang w:val="fr-CA"/>
        </w:rPr>
        <w:t xml:space="preserve">De plus, certaines Parties et certains participants au forum ont mentionné l’importance de </w:t>
      </w:r>
      <w:r w:rsidR="00E27832" w:rsidRPr="00827B06">
        <w:rPr>
          <w:kern w:val="22"/>
          <w:lang w:val="fr-CA"/>
        </w:rPr>
        <w:t>mettre en commun</w:t>
      </w:r>
      <w:r w:rsidR="00772243" w:rsidRPr="00827B06">
        <w:rPr>
          <w:kern w:val="22"/>
          <w:lang w:val="fr-CA"/>
        </w:rPr>
        <w:t xml:space="preserve"> les expériences en gestion des risques.</w:t>
      </w:r>
    </w:p>
    <w:p w:rsidR="00174832" w:rsidRPr="00827B06" w:rsidRDefault="00B61004" w:rsidP="00133476">
      <w:pPr>
        <w:pStyle w:val="Para1"/>
        <w:tabs>
          <w:tab w:val="clear" w:pos="360"/>
          <w:tab w:val="num" w:pos="720"/>
        </w:tabs>
        <w:rPr>
          <w:lang w:val="fr-CA"/>
        </w:rPr>
      </w:pPr>
      <w:r w:rsidRPr="00827B06">
        <w:rPr>
          <w:lang w:val="fr-CA"/>
        </w:rPr>
        <w:t xml:space="preserve">Douze Parties ont recommandé dans leur exposé le développement d’une nouvelle orientation sur certains </w:t>
      </w:r>
      <w:r w:rsidR="00E27832" w:rsidRPr="00827B06">
        <w:rPr>
          <w:lang w:val="fr-CA"/>
        </w:rPr>
        <w:t>thèmes</w:t>
      </w:r>
      <w:r w:rsidRPr="00827B06">
        <w:rPr>
          <w:lang w:val="fr-CA"/>
        </w:rPr>
        <w:t xml:space="preserve"> précis de l’évaluation des risques</w:t>
      </w:r>
      <w:r w:rsidR="00E27832" w:rsidRPr="00827B06">
        <w:rPr>
          <w:lang w:val="fr-CA"/>
        </w:rPr>
        <w:t>, afin d’offrir une aide supplémentaire</w:t>
      </w:r>
      <w:r w:rsidRPr="00827B06">
        <w:rPr>
          <w:lang w:val="fr-CA"/>
        </w:rPr>
        <w:t xml:space="preserve"> pour </w:t>
      </w:r>
      <w:r w:rsidR="00E27832" w:rsidRPr="00827B06">
        <w:rPr>
          <w:lang w:val="fr-CA"/>
        </w:rPr>
        <w:t>traiter</w:t>
      </w:r>
      <w:r w:rsidRPr="00827B06">
        <w:rPr>
          <w:lang w:val="fr-CA"/>
        </w:rPr>
        <w:t xml:space="preserve"> des s</w:t>
      </w:r>
      <w:r w:rsidR="005B1067" w:rsidRPr="00827B06">
        <w:rPr>
          <w:lang w:val="fr-CA"/>
        </w:rPr>
        <w:t>ujets sur lesquel</w:t>
      </w:r>
      <w:r w:rsidRPr="00827B06">
        <w:rPr>
          <w:lang w:val="fr-CA"/>
        </w:rPr>
        <w:t xml:space="preserve">s les lignes directrices existantes sont insuffisantes, notamment en ce qui a trait </w:t>
      </w:r>
      <w:proofErr w:type="gramStart"/>
      <w:r w:rsidRPr="00827B06">
        <w:rPr>
          <w:lang w:val="fr-CA"/>
        </w:rPr>
        <w:t xml:space="preserve">au nouveaux </w:t>
      </w:r>
      <w:r w:rsidR="005B1067" w:rsidRPr="00827B06">
        <w:rPr>
          <w:lang w:val="fr-CA"/>
        </w:rPr>
        <w:t>développements</w:t>
      </w:r>
      <w:proofErr w:type="gramEnd"/>
      <w:r w:rsidRPr="00827B06">
        <w:rPr>
          <w:lang w:val="fr-CA"/>
        </w:rPr>
        <w:t xml:space="preserve"> qui pourraient </w:t>
      </w:r>
      <w:r w:rsidR="005B1067" w:rsidRPr="00827B06">
        <w:rPr>
          <w:lang w:val="fr-CA"/>
        </w:rPr>
        <w:t xml:space="preserve">présenter de nouvelles difficultés pour l’évaluation des risques et </w:t>
      </w:r>
      <w:r w:rsidR="00C95358" w:rsidRPr="00827B06">
        <w:rPr>
          <w:lang w:val="fr-CA"/>
        </w:rPr>
        <w:t xml:space="preserve">qui </w:t>
      </w:r>
      <w:r w:rsidR="00E27832" w:rsidRPr="00827B06">
        <w:rPr>
          <w:lang w:val="fr-CA"/>
        </w:rPr>
        <w:t>exigent une approche différente</w:t>
      </w:r>
      <w:r w:rsidR="005B1067" w:rsidRPr="00827B06">
        <w:rPr>
          <w:lang w:val="fr-CA"/>
        </w:rPr>
        <w:t>. Huit de ces Parties ont mentionné</w:t>
      </w:r>
      <w:r w:rsidR="000251D4" w:rsidRPr="00827B06">
        <w:rPr>
          <w:lang w:val="fr-CA"/>
        </w:rPr>
        <w:t xml:space="preserve"> en priorité</w:t>
      </w:r>
      <w:r w:rsidR="005B1067" w:rsidRPr="00827B06">
        <w:rPr>
          <w:lang w:val="fr-CA"/>
        </w:rPr>
        <w:t xml:space="preserve"> le thème </w:t>
      </w:r>
      <w:r w:rsidR="000251D4" w:rsidRPr="00827B06">
        <w:rPr>
          <w:lang w:val="fr-CA"/>
        </w:rPr>
        <w:t xml:space="preserve">de </w:t>
      </w:r>
      <w:r w:rsidR="005B1067" w:rsidRPr="00827B06">
        <w:rPr>
          <w:lang w:val="fr-CA"/>
        </w:rPr>
        <w:t xml:space="preserve">« </w:t>
      </w:r>
      <w:r w:rsidR="000251D4" w:rsidRPr="00827B06">
        <w:rPr>
          <w:lang w:val="fr-CA"/>
        </w:rPr>
        <w:t>l’</w:t>
      </w:r>
      <w:r w:rsidR="005B1067" w:rsidRPr="00827B06">
        <w:rPr>
          <w:lang w:val="fr-CA"/>
        </w:rPr>
        <w:t xml:space="preserve">évaluation des risques que présentent les organismes développés grâce à la biologique synthétique, dont les organismes produits par l’édition des génomes et les organismes </w:t>
      </w:r>
      <w:r w:rsidR="000251D4" w:rsidRPr="00827B06">
        <w:rPr>
          <w:lang w:val="fr-CA"/>
        </w:rPr>
        <w:t xml:space="preserve">ayant fait l’objet </w:t>
      </w:r>
      <w:r w:rsidR="00C95358" w:rsidRPr="00827B06">
        <w:rPr>
          <w:lang w:val="fr-CA"/>
        </w:rPr>
        <w:t>d’un forçage génétique ». Huit P</w:t>
      </w:r>
      <w:r w:rsidR="000251D4" w:rsidRPr="00827B06">
        <w:rPr>
          <w:lang w:val="fr-CA"/>
        </w:rPr>
        <w:t>arties ont mentionné en priorité «</w:t>
      </w:r>
      <w:r w:rsidR="00C42C5E" w:rsidRPr="00827B06">
        <w:rPr>
          <w:lang w:val="fr-CA"/>
        </w:rPr>
        <w:t xml:space="preserve"> l’évaluation des risques que </w:t>
      </w:r>
      <w:r w:rsidR="000251D4" w:rsidRPr="00827B06">
        <w:rPr>
          <w:lang w:val="fr-CA"/>
        </w:rPr>
        <w:t>présentent les poissons vivants modifiés ». Trois Parties ont mentionné les thèmes de l’</w:t>
      </w:r>
      <w:r w:rsidR="00BA24E0" w:rsidRPr="00827B06">
        <w:rPr>
          <w:lang w:val="fr-CA"/>
        </w:rPr>
        <w:t xml:space="preserve">évaluation des risques </w:t>
      </w:r>
      <w:r w:rsidR="00C95358" w:rsidRPr="00827B06">
        <w:rPr>
          <w:lang w:val="fr-CA"/>
        </w:rPr>
        <w:t>que présentent les</w:t>
      </w:r>
      <w:r w:rsidR="00BA24E0" w:rsidRPr="00827B06">
        <w:rPr>
          <w:lang w:val="fr-CA"/>
        </w:rPr>
        <w:t xml:space="preserve"> an</w:t>
      </w:r>
      <w:r w:rsidR="000251D4" w:rsidRPr="00827B06">
        <w:rPr>
          <w:lang w:val="fr-CA"/>
        </w:rPr>
        <w:t>imaux/mammifères</w:t>
      </w:r>
      <w:r w:rsidR="00CE0125" w:rsidRPr="00827B06">
        <w:rPr>
          <w:lang w:val="fr-CA"/>
        </w:rPr>
        <w:t xml:space="preserve"> vivants modifiés</w:t>
      </w:r>
      <w:r w:rsidR="00C95358" w:rsidRPr="00827B06">
        <w:rPr>
          <w:lang w:val="fr-CA"/>
        </w:rPr>
        <w:t>, l</w:t>
      </w:r>
      <w:r w:rsidR="000251D4" w:rsidRPr="00827B06">
        <w:rPr>
          <w:lang w:val="fr-CA"/>
        </w:rPr>
        <w:t xml:space="preserve">es arthropodes (y compris les </w:t>
      </w:r>
      <w:r w:rsidR="00C95358" w:rsidRPr="00827B06">
        <w:rPr>
          <w:lang w:val="fr-CA"/>
        </w:rPr>
        <w:t>insectes et les mollusques) et l</w:t>
      </w:r>
      <w:r w:rsidR="000251D4" w:rsidRPr="00827B06">
        <w:rPr>
          <w:lang w:val="fr-CA"/>
        </w:rPr>
        <w:t>es microorganismes et virus, l’évaluation des risques</w:t>
      </w:r>
      <w:r w:rsidR="00BA24E0" w:rsidRPr="00827B06">
        <w:rPr>
          <w:lang w:val="fr-CA"/>
        </w:rPr>
        <w:t xml:space="preserve"> associés aux</w:t>
      </w:r>
      <w:r w:rsidR="000251D4" w:rsidRPr="00827B06">
        <w:rPr>
          <w:lang w:val="fr-CA"/>
        </w:rPr>
        <w:t xml:space="preserve"> conséquences des organismes vivants modifiés sur les organismes du sol</w:t>
      </w:r>
      <w:r w:rsidR="00BA24E0" w:rsidRPr="00827B06">
        <w:rPr>
          <w:lang w:val="fr-CA"/>
        </w:rPr>
        <w:t xml:space="preserve">, et la coexistence entre les organismes vivants modifiés et les organismes vivants non modifiés dans le contexte de l’élevage à </w:t>
      </w:r>
      <w:r w:rsidR="000051E4" w:rsidRPr="00827B06">
        <w:rPr>
          <w:lang w:val="fr-CA"/>
        </w:rPr>
        <w:t>petite</w:t>
      </w:r>
      <w:r w:rsidR="00BA24E0" w:rsidRPr="00827B06">
        <w:rPr>
          <w:lang w:val="fr-CA"/>
        </w:rPr>
        <w:t xml:space="preserve"> échelle. Ces thèmes ont aussi été mentionnés par certains participants au forum en ligne. Les raisons justifiant la mention de ces thèmes sont fournies dans les exposés et/ou dans le rapport sur le forum en ligne</w:t>
      </w:r>
      <w:r w:rsidR="000251D4" w:rsidRPr="00827B06">
        <w:rPr>
          <w:lang w:val="fr-CA"/>
        </w:rPr>
        <w:t xml:space="preserve">. </w:t>
      </w:r>
      <w:r w:rsidR="005B1067" w:rsidRPr="00827B06">
        <w:rPr>
          <w:lang w:val="fr-CA"/>
        </w:rPr>
        <w:t xml:space="preserve"> </w:t>
      </w:r>
      <w:r w:rsidR="00D56271" w:rsidRPr="00827B06">
        <w:rPr>
          <w:lang w:val="fr-CA"/>
        </w:rPr>
        <w:t xml:space="preserve"> </w:t>
      </w:r>
    </w:p>
    <w:p w:rsidR="0088631D" w:rsidRPr="00827B06" w:rsidRDefault="00BA24E0" w:rsidP="00174832">
      <w:pPr>
        <w:pStyle w:val="Para1"/>
        <w:tabs>
          <w:tab w:val="clear" w:pos="360"/>
          <w:tab w:val="num" w:pos="720"/>
        </w:tabs>
        <w:snapToGrid w:val="0"/>
        <w:rPr>
          <w:kern w:val="22"/>
          <w:lang w:val="fr-CA"/>
        </w:rPr>
      </w:pPr>
      <w:r w:rsidRPr="00827B06">
        <w:rPr>
          <w:kern w:val="22"/>
          <w:lang w:val="fr-CA"/>
        </w:rPr>
        <w:t>Les conclusions des travaux du Comité spécial d’experts techniques sur la biologie synthétique formé au titre de la Convention sont également pertinentes dans ce contexte</w:t>
      </w:r>
      <w:r w:rsidR="0088631D" w:rsidRPr="00827B06">
        <w:rPr>
          <w:kern w:val="22"/>
          <w:lang w:val="fr-CA"/>
        </w:rPr>
        <w:t>.</w:t>
      </w:r>
      <w:r w:rsidR="00767B3E" w:rsidRPr="00827B06">
        <w:rPr>
          <w:rStyle w:val="FootnoteReference"/>
          <w:kern w:val="22"/>
          <w:sz w:val="22"/>
          <w:szCs w:val="22"/>
          <w:u w:val="none"/>
          <w:vertAlign w:val="superscript"/>
          <w:lang w:val="fr-CA"/>
        </w:rPr>
        <w:footnoteReference w:id="6"/>
      </w:r>
    </w:p>
    <w:p w:rsidR="00174832" w:rsidRPr="00827B06" w:rsidRDefault="000A58D7" w:rsidP="00174832">
      <w:pPr>
        <w:pStyle w:val="Para1"/>
        <w:tabs>
          <w:tab w:val="clear" w:pos="360"/>
          <w:tab w:val="num" w:pos="720"/>
        </w:tabs>
        <w:snapToGrid w:val="0"/>
        <w:rPr>
          <w:kern w:val="22"/>
          <w:lang w:val="fr-CA"/>
        </w:rPr>
      </w:pPr>
      <w:r w:rsidRPr="00827B06">
        <w:rPr>
          <w:kern w:val="22"/>
          <w:lang w:val="fr-CA"/>
        </w:rPr>
        <w:t xml:space="preserve">Les Parties ont aussi communiqué leurs points de vue sur les </w:t>
      </w:r>
      <w:r w:rsidR="000051E4" w:rsidRPr="00827B06">
        <w:rPr>
          <w:kern w:val="22"/>
          <w:lang w:val="fr-CA"/>
        </w:rPr>
        <w:t>thèmes</w:t>
      </w:r>
      <w:r w:rsidRPr="00827B06">
        <w:rPr>
          <w:kern w:val="22"/>
          <w:lang w:val="fr-CA"/>
        </w:rPr>
        <w:t xml:space="preserve"> sur lesquels </w:t>
      </w:r>
      <w:r w:rsidR="000051E4" w:rsidRPr="00827B06">
        <w:rPr>
          <w:kern w:val="22"/>
          <w:lang w:val="fr-CA"/>
        </w:rPr>
        <w:t>élaborer</w:t>
      </w:r>
      <w:r w:rsidRPr="00827B06">
        <w:rPr>
          <w:kern w:val="22"/>
          <w:lang w:val="fr-CA"/>
        </w:rPr>
        <w:t xml:space="preserve"> de nouvelles orientations sur la gestion des risques. Un processus a été proposé pour aider au recensement des </w:t>
      </w:r>
      <w:r w:rsidR="00FF5EE5" w:rsidRPr="00827B06">
        <w:rPr>
          <w:kern w:val="22"/>
          <w:lang w:val="fr-CA"/>
        </w:rPr>
        <w:t>thèmes</w:t>
      </w:r>
      <w:r w:rsidRPr="00827B06">
        <w:rPr>
          <w:kern w:val="22"/>
          <w:lang w:val="fr-CA"/>
        </w:rPr>
        <w:t xml:space="preserve"> sur lesquels développer </w:t>
      </w:r>
      <w:r w:rsidR="000051E4" w:rsidRPr="00827B06">
        <w:rPr>
          <w:kern w:val="22"/>
          <w:lang w:val="fr-CA"/>
        </w:rPr>
        <w:t>des orientations supplémentaires</w:t>
      </w:r>
      <w:r w:rsidRPr="00827B06">
        <w:rPr>
          <w:kern w:val="22"/>
          <w:lang w:val="fr-CA"/>
        </w:rPr>
        <w:t xml:space="preserve"> </w:t>
      </w:r>
      <w:r w:rsidR="00CE0125" w:rsidRPr="00827B06">
        <w:rPr>
          <w:kern w:val="22"/>
          <w:lang w:val="fr-CA"/>
        </w:rPr>
        <w:t>sur</w:t>
      </w:r>
      <w:r w:rsidRPr="00827B06">
        <w:rPr>
          <w:kern w:val="22"/>
          <w:lang w:val="fr-CA"/>
        </w:rPr>
        <w:t xml:space="preserve"> l’évaluation des risques au titre du Protocole de Cartagena, en tenant compte des </w:t>
      </w:r>
      <w:r w:rsidR="003A1852" w:rsidRPr="00827B06">
        <w:rPr>
          <w:kern w:val="22"/>
          <w:lang w:val="fr-CA"/>
        </w:rPr>
        <w:t>ressources</w:t>
      </w:r>
      <w:r w:rsidRPr="00827B06">
        <w:rPr>
          <w:kern w:val="22"/>
          <w:lang w:val="fr-CA"/>
        </w:rPr>
        <w:t xml:space="preserve"> développées par les </w:t>
      </w:r>
      <w:r w:rsidR="003A1852" w:rsidRPr="00827B06">
        <w:rPr>
          <w:kern w:val="22"/>
          <w:lang w:val="fr-CA"/>
        </w:rPr>
        <w:t>organes</w:t>
      </w:r>
      <w:r w:rsidRPr="00827B06">
        <w:rPr>
          <w:kern w:val="22"/>
          <w:lang w:val="fr-CA"/>
        </w:rPr>
        <w:t xml:space="preserve"> nationa</w:t>
      </w:r>
      <w:r w:rsidR="005D4DA1" w:rsidRPr="00827B06">
        <w:rPr>
          <w:kern w:val="22"/>
          <w:lang w:val="fr-CA"/>
        </w:rPr>
        <w:t>ux, régionaux et internationaux</w:t>
      </w:r>
      <w:r w:rsidR="000051E4" w:rsidRPr="00827B06">
        <w:rPr>
          <w:kern w:val="22"/>
          <w:lang w:val="fr-CA"/>
        </w:rPr>
        <w:t xml:space="preserve"> sur des thèmes apparentés </w:t>
      </w:r>
      <w:r w:rsidRPr="00827B06">
        <w:rPr>
          <w:kern w:val="22"/>
          <w:lang w:val="fr-CA"/>
        </w:rPr>
        <w:t>et</w:t>
      </w:r>
      <w:r w:rsidR="003A1852" w:rsidRPr="00827B06">
        <w:rPr>
          <w:kern w:val="22"/>
          <w:lang w:val="fr-CA"/>
        </w:rPr>
        <w:t xml:space="preserve"> en analysant la mesure dans laquelle ces </w:t>
      </w:r>
      <w:r w:rsidR="00FF5EE5" w:rsidRPr="00827B06">
        <w:rPr>
          <w:kern w:val="22"/>
          <w:lang w:val="fr-CA"/>
        </w:rPr>
        <w:t>thèmes</w:t>
      </w:r>
      <w:r w:rsidR="003A1852" w:rsidRPr="00827B06">
        <w:rPr>
          <w:kern w:val="22"/>
          <w:lang w:val="fr-CA"/>
        </w:rPr>
        <w:t xml:space="preserve"> </w:t>
      </w:r>
      <w:r w:rsidR="00FF5EE5" w:rsidRPr="00827B06">
        <w:rPr>
          <w:kern w:val="22"/>
          <w:lang w:val="fr-CA"/>
        </w:rPr>
        <w:t>précis</w:t>
      </w:r>
      <w:r w:rsidR="003A1852" w:rsidRPr="00827B06">
        <w:rPr>
          <w:kern w:val="22"/>
          <w:lang w:val="fr-CA"/>
        </w:rPr>
        <w:t xml:space="preserve"> </w:t>
      </w:r>
      <w:r w:rsidR="00174832" w:rsidRPr="00827B06">
        <w:rPr>
          <w:kern w:val="22"/>
          <w:lang w:val="fr-CA"/>
        </w:rPr>
        <w:t>:</w:t>
      </w:r>
    </w:p>
    <w:p w:rsidR="00174832" w:rsidRPr="00827B06" w:rsidRDefault="003A1852" w:rsidP="003A1852">
      <w:pPr>
        <w:pStyle w:val="Para1"/>
        <w:numPr>
          <w:ilvl w:val="0"/>
          <w:numId w:val="53"/>
        </w:numPr>
        <w:ind w:left="0" w:firstLine="720"/>
        <w:rPr>
          <w:kern w:val="22"/>
          <w:lang w:val="fr-CA"/>
        </w:rPr>
      </w:pPr>
      <w:r w:rsidRPr="00827B06">
        <w:rPr>
          <w:kern w:val="22"/>
          <w:lang w:val="fr-CA"/>
        </w:rPr>
        <w:t>Respectent le champ d’application et l’objectif du Protocole de Cartagena</w:t>
      </w:r>
      <w:r w:rsidR="00174832" w:rsidRPr="00827B06">
        <w:rPr>
          <w:kern w:val="22"/>
          <w:lang w:val="fr-CA"/>
        </w:rPr>
        <w:t>;</w:t>
      </w:r>
    </w:p>
    <w:p w:rsidR="00174832" w:rsidRPr="00827B06" w:rsidRDefault="00954E9B" w:rsidP="00954E9B">
      <w:pPr>
        <w:pStyle w:val="Para1"/>
        <w:numPr>
          <w:ilvl w:val="0"/>
          <w:numId w:val="53"/>
        </w:numPr>
        <w:tabs>
          <w:tab w:val="left" w:pos="1440"/>
        </w:tabs>
        <w:ind w:hanging="720"/>
        <w:rPr>
          <w:kern w:val="22"/>
          <w:lang w:val="fr-CA"/>
        </w:rPr>
      </w:pPr>
      <w:r w:rsidRPr="00827B06">
        <w:rPr>
          <w:kern w:val="22"/>
          <w:lang w:val="fr-CA"/>
        </w:rPr>
        <w:t>Représentent des difficultés pour les cadres d’évaluation et les méthodes d’évaluation des risques actuels</w:t>
      </w:r>
      <w:r w:rsidR="00174832" w:rsidRPr="00827B06">
        <w:rPr>
          <w:kern w:val="22"/>
          <w:lang w:val="fr-CA"/>
        </w:rPr>
        <w:t>;</w:t>
      </w:r>
    </w:p>
    <w:p w:rsidR="00174832" w:rsidRPr="00827B06" w:rsidRDefault="00954E9B" w:rsidP="00E9202C">
      <w:pPr>
        <w:pStyle w:val="Para1"/>
        <w:numPr>
          <w:ilvl w:val="0"/>
          <w:numId w:val="53"/>
        </w:numPr>
        <w:ind w:left="1418" w:hanging="709"/>
        <w:rPr>
          <w:kern w:val="22"/>
          <w:lang w:val="fr-CA"/>
        </w:rPr>
      </w:pPr>
      <w:r w:rsidRPr="00827B06">
        <w:rPr>
          <w:kern w:val="22"/>
          <w:lang w:val="fr-CA"/>
        </w:rPr>
        <w:lastRenderedPageBreak/>
        <w:t>Reposent sur les connaissances et l’expertise technique que possède la grande communauté scientifique</w:t>
      </w:r>
      <w:r w:rsidR="00174832" w:rsidRPr="00827B06">
        <w:rPr>
          <w:kern w:val="22"/>
          <w:lang w:val="fr-CA"/>
        </w:rPr>
        <w:t>;</w:t>
      </w:r>
    </w:p>
    <w:p w:rsidR="00174832" w:rsidRPr="00827B06" w:rsidRDefault="00954E9B" w:rsidP="00954E9B">
      <w:pPr>
        <w:pStyle w:val="Para1"/>
        <w:numPr>
          <w:ilvl w:val="0"/>
          <w:numId w:val="53"/>
        </w:numPr>
        <w:tabs>
          <w:tab w:val="left" w:pos="1440"/>
        </w:tabs>
        <w:ind w:hanging="720"/>
        <w:rPr>
          <w:kern w:val="22"/>
          <w:lang w:val="fr-CA"/>
        </w:rPr>
      </w:pPr>
      <w:r w:rsidRPr="00827B06">
        <w:rPr>
          <w:kern w:val="22"/>
          <w:lang w:val="fr-CA"/>
        </w:rPr>
        <w:t>Portent sur des techniques connaissant des avancées scientifiques et technologiques rapides</w:t>
      </w:r>
      <w:r w:rsidR="00174832" w:rsidRPr="00827B06">
        <w:rPr>
          <w:kern w:val="22"/>
          <w:lang w:val="fr-CA"/>
        </w:rPr>
        <w:t>;</w:t>
      </w:r>
    </w:p>
    <w:p w:rsidR="00174832" w:rsidRPr="00827B06" w:rsidRDefault="00954E9B" w:rsidP="00174832">
      <w:pPr>
        <w:pStyle w:val="Para1"/>
        <w:numPr>
          <w:ilvl w:val="0"/>
          <w:numId w:val="53"/>
        </w:numPr>
        <w:tabs>
          <w:tab w:val="left" w:pos="1440"/>
        </w:tabs>
        <w:ind w:left="0" w:firstLine="720"/>
        <w:rPr>
          <w:kern w:val="22"/>
          <w:lang w:val="fr-CA"/>
        </w:rPr>
      </w:pPr>
      <w:r w:rsidRPr="00827B06">
        <w:rPr>
          <w:kern w:val="22"/>
          <w:lang w:val="fr-CA"/>
        </w:rPr>
        <w:t xml:space="preserve">Portent sur des organismes vivants modifiés </w:t>
      </w:r>
      <w:r w:rsidR="00174832" w:rsidRPr="00827B06">
        <w:rPr>
          <w:kern w:val="22"/>
          <w:lang w:val="fr-CA"/>
        </w:rPr>
        <w:t>:</w:t>
      </w:r>
    </w:p>
    <w:p w:rsidR="00174832" w:rsidRPr="00827B06" w:rsidRDefault="00693E2C" w:rsidP="004F737F">
      <w:pPr>
        <w:pStyle w:val="Para1"/>
        <w:numPr>
          <w:ilvl w:val="0"/>
          <w:numId w:val="48"/>
        </w:numPr>
        <w:ind w:firstLine="0"/>
        <w:rPr>
          <w:kern w:val="22"/>
          <w:lang w:val="fr-CA"/>
        </w:rPr>
      </w:pPr>
      <w:r w:rsidRPr="00827B06">
        <w:rPr>
          <w:kern w:val="22"/>
          <w:lang w:val="fr-CA"/>
        </w:rPr>
        <w:t>Pouvant avoir des</w:t>
      </w:r>
      <w:r w:rsidR="00954E9B" w:rsidRPr="00827B06">
        <w:rPr>
          <w:kern w:val="22"/>
          <w:lang w:val="fr-CA"/>
        </w:rPr>
        <w:t xml:space="preserve"> conséquences néfastes graves ou irréversibles</w:t>
      </w:r>
      <w:r w:rsidR="005D4DA1" w:rsidRPr="00827B06">
        <w:rPr>
          <w:kern w:val="22"/>
          <w:lang w:val="fr-CA"/>
        </w:rPr>
        <w:t xml:space="preserve"> sur la</w:t>
      </w:r>
      <w:r w:rsidR="00954E9B" w:rsidRPr="00827B06">
        <w:rPr>
          <w:kern w:val="22"/>
          <w:lang w:val="fr-CA"/>
        </w:rPr>
        <w:t xml:space="preserve"> diversité biologique, </w:t>
      </w:r>
      <w:r w:rsidR="005D4DA1" w:rsidRPr="00827B06">
        <w:rPr>
          <w:kern w:val="22"/>
          <w:lang w:val="fr-CA"/>
        </w:rPr>
        <w:t>compte tenu</w:t>
      </w:r>
      <w:r w:rsidR="004F737F" w:rsidRPr="00827B06">
        <w:rPr>
          <w:kern w:val="22"/>
          <w:lang w:val="fr-CA"/>
        </w:rPr>
        <w:t xml:space="preserve"> de l’urgence de protéger certains aspects de la diversité biologique tels que les espèces endémiques/rares ou un habitat ou un écosystème unique</w:t>
      </w:r>
      <w:r w:rsidR="00174832" w:rsidRPr="00827B06">
        <w:rPr>
          <w:kern w:val="22"/>
          <w:lang w:val="fr-CA"/>
        </w:rPr>
        <w:t xml:space="preserve">; </w:t>
      </w:r>
    </w:p>
    <w:p w:rsidR="00174832" w:rsidRPr="00827B06" w:rsidRDefault="004F737F" w:rsidP="00174832">
      <w:pPr>
        <w:pStyle w:val="Para1"/>
        <w:numPr>
          <w:ilvl w:val="0"/>
          <w:numId w:val="48"/>
        </w:numPr>
        <w:tabs>
          <w:tab w:val="left" w:pos="2160"/>
        </w:tabs>
        <w:ind w:firstLine="0"/>
        <w:rPr>
          <w:kern w:val="22"/>
          <w:lang w:val="fr-CA"/>
        </w:rPr>
      </w:pPr>
      <w:r w:rsidRPr="00827B06">
        <w:rPr>
          <w:kern w:val="22"/>
          <w:lang w:val="fr-CA"/>
        </w:rPr>
        <w:t>Pouvant être introduits dans l’environnement volontairement ou accidentellement</w:t>
      </w:r>
      <w:r w:rsidR="00174832" w:rsidRPr="00827B06">
        <w:rPr>
          <w:kern w:val="22"/>
          <w:lang w:val="fr-CA"/>
        </w:rPr>
        <w:t>;</w:t>
      </w:r>
    </w:p>
    <w:p w:rsidR="00174832" w:rsidRPr="00827B06" w:rsidRDefault="004F737F" w:rsidP="00174832">
      <w:pPr>
        <w:pStyle w:val="Para1"/>
        <w:numPr>
          <w:ilvl w:val="0"/>
          <w:numId w:val="48"/>
        </w:numPr>
        <w:tabs>
          <w:tab w:val="left" w:pos="2160"/>
        </w:tabs>
        <w:ind w:firstLine="0"/>
        <w:rPr>
          <w:kern w:val="22"/>
          <w:lang w:val="fr-CA"/>
        </w:rPr>
      </w:pPr>
      <w:r w:rsidRPr="00827B06">
        <w:rPr>
          <w:kern w:val="22"/>
          <w:lang w:val="fr-CA"/>
        </w:rPr>
        <w:t xml:space="preserve">Ayant le potentiel de s’étendre </w:t>
      </w:r>
      <w:r w:rsidRPr="00827B06">
        <w:rPr>
          <w:noProof/>
          <w:kern w:val="22"/>
          <w:lang w:val="fr-CA"/>
        </w:rPr>
        <w:t>au</w:t>
      </w:r>
      <w:r w:rsidR="00F6046B">
        <w:rPr>
          <w:noProof/>
          <w:kern w:val="22"/>
          <w:lang w:val="fr-CA"/>
        </w:rPr>
        <w:noBreakHyphen/>
      </w:r>
      <w:r w:rsidRPr="00827B06">
        <w:rPr>
          <w:noProof/>
          <w:kern w:val="22"/>
          <w:lang w:val="fr-CA"/>
        </w:rPr>
        <w:t>delà des frontières</w:t>
      </w:r>
      <w:r w:rsidRPr="00827B06">
        <w:rPr>
          <w:kern w:val="22"/>
          <w:lang w:val="fr-CA"/>
        </w:rPr>
        <w:t xml:space="preserve"> territoriales</w:t>
      </w:r>
      <w:r w:rsidR="00174832" w:rsidRPr="00827B06">
        <w:rPr>
          <w:kern w:val="22"/>
          <w:lang w:val="fr-CA"/>
        </w:rPr>
        <w:t>;</w:t>
      </w:r>
    </w:p>
    <w:p w:rsidR="00174832" w:rsidRPr="00827B06" w:rsidRDefault="00BC6E53" w:rsidP="00133476">
      <w:pPr>
        <w:pStyle w:val="Para1"/>
        <w:numPr>
          <w:ilvl w:val="0"/>
          <w:numId w:val="48"/>
        </w:numPr>
        <w:tabs>
          <w:tab w:val="left" w:pos="2160"/>
        </w:tabs>
        <w:ind w:firstLine="0"/>
        <w:rPr>
          <w:b/>
          <w:kern w:val="22"/>
          <w:lang w:val="fr-CA"/>
        </w:rPr>
      </w:pPr>
      <w:r w:rsidRPr="00827B06">
        <w:rPr>
          <w:kern w:val="22"/>
          <w:lang w:val="fr-CA"/>
        </w:rPr>
        <w:t>Étant</w:t>
      </w:r>
      <w:r w:rsidR="004F737F" w:rsidRPr="00827B06">
        <w:rPr>
          <w:kern w:val="22"/>
          <w:lang w:val="fr-CA"/>
        </w:rPr>
        <w:t xml:space="preserve"> déjà ou susceptibles d’être commercialisées ou utilisées quelque part dans le monde</w:t>
      </w:r>
      <w:r w:rsidR="00174832" w:rsidRPr="00827B06">
        <w:rPr>
          <w:kern w:val="22"/>
          <w:lang w:val="fr-CA"/>
        </w:rPr>
        <w:t>.</w:t>
      </w:r>
    </w:p>
    <w:p w:rsidR="00E3156A" w:rsidRPr="00827B06" w:rsidRDefault="004F737F" w:rsidP="00E10A2E">
      <w:pPr>
        <w:pStyle w:val="Para1"/>
        <w:tabs>
          <w:tab w:val="clear" w:pos="360"/>
          <w:tab w:val="left" w:pos="720"/>
        </w:tabs>
        <w:snapToGrid w:val="0"/>
        <w:rPr>
          <w:kern w:val="22"/>
          <w:lang w:val="fr-CA"/>
        </w:rPr>
      </w:pPr>
      <w:r w:rsidRPr="00827B06">
        <w:rPr>
          <w:kern w:val="22"/>
          <w:lang w:val="fr-CA"/>
        </w:rPr>
        <w:t xml:space="preserve">Les discussions ont aussi porté sur un autre sujet important, à savoir </w:t>
      </w:r>
      <w:r w:rsidR="00CE0125" w:rsidRPr="00827B06">
        <w:rPr>
          <w:kern w:val="22"/>
          <w:lang w:val="fr-CA"/>
        </w:rPr>
        <w:t>si</w:t>
      </w:r>
      <w:r w:rsidR="00A629A9" w:rsidRPr="00827B06">
        <w:rPr>
          <w:kern w:val="22"/>
          <w:lang w:val="fr-CA"/>
        </w:rPr>
        <w:t xml:space="preserve"> l’évaluation des risques</w:t>
      </w:r>
      <w:r w:rsidR="00CE0125" w:rsidRPr="00827B06">
        <w:rPr>
          <w:kern w:val="22"/>
          <w:lang w:val="fr-CA"/>
        </w:rPr>
        <w:t xml:space="preserve"> doit comprendre une analyse des bienfaits</w:t>
      </w:r>
      <w:r w:rsidR="00A629A9" w:rsidRPr="00827B06">
        <w:rPr>
          <w:kern w:val="22"/>
          <w:lang w:val="fr-CA"/>
        </w:rPr>
        <w:t xml:space="preserve">. Les opinions étaient partagées entre ceux qui soutiennent ce point de vue et les autres qui estiment que l’analyse des bienfaits devrait être indépendante de l’évaluation des risques. </w:t>
      </w:r>
      <w:r w:rsidR="00AA2A2F" w:rsidRPr="00827B06">
        <w:rPr>
          <w:kern w:val="22"/>
          <w:lang w:val="fr-CA"/>
        </w:rPr>
        <w:t>Certains participants ont aussi précisé que l’analyse des bienfaits ne relève pas du Protocole de Cartagena.</w:t>
      </w:r>
    </w:p>
    <w:p w:rsidR="00E3156A" w:rsidRPr="00827B06" w:rsidRDefault="00AA2A2F" w:rsidP="00F534D4">
      <w:pPr>
        <w:pStyle w:val="ListParagraph"/>
        <w:keepNext/>
        <w:numPr>
          <w:ilvl w:val="0"/>
          <w:numId w:val="37"/>
        </w:numPr>
        <w:spacing w:before="120" w:after="120"/>
        <w:contextualSpacing w:val="0"/>
        <w:jc w:val="center"/>
        <w:rPr>
          <w:b/>
          <w:kern w:val="22"/>
          <w:lang w:val="fr-CA"/>
        </w:rPr>
      </w:pPr>
      <w:r w:rsidRPr="00827B06">
        <w:rPr>
          <w:b/>
          <w:kern w:val="22"/>
          <w:lang w:val="fr-CA"/>
        </w:rPr>
        <w:t xml:space="preserve">RECOMMANDATIONS </w:t>
      </w:r>
      <w:r w:rsidR="00BC6E53" w:rsidRPr="00827B06">
        <w:rPr>
          <w:b/>
          <w:kern w:val="22"/>
          <w:lang w:val="fr-CA"/>
        </w:rPr>
        <w:t>PROPOSÉES</w:t>
      </w:r>
    </w:p>
    <w:p w:rsidR="00E05F17" w:rsidRPr="00827B06" w:rsidRDefault="00AA2A2F" w:rsidP="00756593">
      <w:pPr>
        <w:pStyle w:val="Para1"/>
        <w:tabs>
          <w:tab w:val="clear" w:pos="360"/>
        </w:tabs>
        <w:rPr>
          <w:lang w:val="fr-CA"/>
        </w:rPr>
      </w:pPr>
      <w:r w:rsidRPr="00827B06">
        <w:rPr>
          <w:lang w:val="fr-CA"/>
        </w:rPr>
        <w:t xml:space="preserve">L’Organe subsidiaire chargé de fournir des avis scientifiques, techniques et technologiques  pourrait souhaiter recommander que la Conférence des Parties siégeant en tant que réunion des Parties au Protocole de Cartagena adopte une décision qui ressemble à ce qui suit </w:t>
      </w:r>
      <w:r w:rsidR="00E05F17" w:rsidRPr="00827B06">
        <w:rPr>
          <w:lang w:val="fr-CA"/>
        </w:rPr>
        <w:t>:</w:t>
      </w:r>
    </w:p>
    <w:p w:rsidR="00E05F17" w:rsidRPr="00827B06" w:rsidRDefault="00AA2A2F" w:rsidP="00A960DB">
      <w:pPr>
        <w:pStyle w:val="Para1"/>
        <w:numPr>
          <w:ilvl w:val="0"/>
          <w:numId w:val="0"/>
        </w:numPr>
        <w:snapToGrid w:val="0"/>
        <w:ind w:firstLine="720"/>
        <w:rPr>
          <w:i/>
          <w:kern w:val="22"/>
          <w:lang w:val="fr-CA"/>
        </w:rPr>
      </w:pPr>
      <w:r w:rsidRPr="00827B06">
        <w:rPr>
          <w:i/>
          <w:kern w:val="22"/>
          <w:lang w:val="fr-CA"/>
        </w:rPr>
        <w:t>La Conférence des Parties siégeant en tant que réunion des Parties au Protocole de Cartagena sur la prévention des risques biotechnologiques</w:t>
      </w:r>
      <w:r w:rsidR="00E05F17" w:rsidRPr="00827B06">
        <w:rPr>
          <w:i/>
          <w:kern w:val="22"/>
          <w:lang w:val="fr-CA"/>
        </w:rPr>
        <w:t>,</w:t>
      </w:r>
    </w:p>
    <w:p w:rsidR="00E3156A" w:rsidRPr="00827B06" w:rsidRDefault="00AA2A2F" w:rsidP="00827B06">
      <w:pPr>
        <w:pStyle w:val="Para1"/>
        <w:numPr>
          <w:ilvl w:val="0"/>
          <w:numId w:val="0"/>
        </w:numPr>
        <w:tabs>
          <w:tab w:val="left" w:pos="720"/>
        </w:tabs>
        <w:snapToGrid w:val="0"/>
        <w:ind w:firstLine="720"/>
        <w:rPr>
          <w:kern w:val="22"/>
          <w:lang w:val="fr-CA"/>
        </w:rPr>
      </w:pPr>
      <w:r w:rsidRPr="00827B06">
        <w:rPr>
          <w:i/>
          <w:kern w:val="22"/>
          <w:lang w:val="fr-CA"/>
        </w:rPr>
        <w:t>Rappelant</w:t>
      </w:r>
      <w:r w:rsidR="00E3156A" w:rsidRPr="00827B06">
        <w:rPr>
          <w:kern w:val="22"/>
          <w:lang w:val="fr-CA"/>
        </w:rPr>
        <w:t xml:space="preserve"> </w:t>
      </w:r>
      <w:r w:rsidRPr="00827B06">
        <w:rPr>
          <w:kern w:val="22"/>
          <w:lang w:val="fr-CA"/>
        </w:rPr>
        <w:t xml:space="preserve">les décisions </w:t>
      </w:r>
      <w:hyperlink r:id="rId13" w:history="1">
        <w:r w:rsidR="00827B06" w:rsidRPr="00827B06">
          <w:rPr>
            <w:rStyle w:val="Hyperlink"/>
            <w:kern w:val="22"/>
            <w:szCs w:val="22"/>
            <w:lang w:val="fr-CA"/>
          </w:rPr>
          <w:t>BS</w:t>
        </w:r>
        <w:r w:rsidR="00F6046B">
          <w:rPr>
            <w:rStyle w:val="Hyperlink"/>
            <w:kern w:val="22"/>
            <w:szCs w:val="22"/>
            <w:lang w:val="fr-CA"/>
          </w:rPr>
          <w:noBreakHyphen/>
        </w:r>
        <w:r w:rsidR="00827B06" w:rsidRPr="00827B06">
          <w:rPr>
            <w:rStyle w:val="Hyperlink"/>
            <w:kern w:val="22"/>
            <w:szCs w:val="22"/>
            <w:lang w:val="fr-CA"/>
          </w:rPr>
          <w:t>V</w:t>
        </w:r>
        <w:r w:rsidR="00827B06" w:rsidRPr="00827B06">
          <w:rPr>
            <w:rStyle w:val="Hyperlink"/>
            <w:kern w:val="22"/>
            <w:szCs w:val="22"/>
            <w:lang w:val="fr-CA"/>
          </w:rPr>
          <w:t>I</w:t>
        </w:r>
        <w:r w:rsidR="00827B06" w:rsidRPr="00827B06">
          <w:rPr>
            <w:rStyle w:val="Hyperlink"/>
            <w:kern w:val="22"/>
            <w:szCs w:val="22"/>
            <w:lang w:val="fr-CA"/>
          </w:rPr>
          <w:t>I/12</w:t>
        </w:r>
      </w:hyperlink>
      <w:r w:rsidR="00810109" w:rsidRPr="00827B06">
        <w:rPr>
          <w:kern w:val="22"/>
          <w:lang w:val="fr-CA"/>
        </w:rPr>
        <w:t xml:space="preserve"> </w:t>
      </w:r>
      <w:r w:rsidRPr="00827B06">
        <w:rPr>
          <w:kern w:val="22"/>
          <w:lang w:val="fr-CA"/>
        </w:rPr>
        <w:t>et</w:t>
      </w:r>
      <w:r w:rsidR="00810109" w:rsidRPr="00827B06">
        <w:rPr>
          <w:kern w:val="22"/>
          <w:lang w:val="fr-CA"/>
        </w:rPr>
        <w:t xml:space="preserve"> </w:t>
      </w:r>
      <w:hyperlink r:id="rId14" w:history="1">
        <w:r w:rsidR="00810109" w:rsidRPr="00827B06">
          <w:rPr>
            <w:rStyle w:val="Hyperlink"/>
            <w:lang w:val="fr-CA"/>
          </w:rPr>
          <w:t>XII/24</w:t>
        </w:r>
      </w:hyperlink>
      <w:r w:rsidR="00810109" w:rsidRPr="00827B06">
        <w:rPr>
          <w:kern w:val="22"/>
          <w:szCs w:val="22"/>
          <w:lang w:val="fr-CA"/>
        </w:rPr>
        <w:t xml:space="preserve"> </w:t>
      </w:r>
      <w:r w:rsidRPr="00827B06">
        <w:rPr>
          <w:kern w:val="22"/>
          <w:lang w:val="fr-CA"/>
        </w:rPr>
        <w:t>qui recommandent une approche coordonnée en matière de biologie synthétique</w:t>
      </w:r>
      <w:r w:rsidR="00E10A2E" w:rsidRPr="00827B06">
        <w:rPr>
          <w:kern w:val="22"/>
          <w:lang w:val="fr-CA"/>
        </w:rPr>
        <w:t>,</w:t>
      </w:r>
    </w:p>
    <w:p w:rsidR="002910D1" w:rsidRPr="00827B06" w:rsidRDefault="00742DA3" w:rsidP="00A960DB">
      <w:pPr>
        <w:pStyle w:val="Para1"/>
        <w:numPr>
          <w:ilvl w:val="0"/>
          <w:numId w:val="46"/>
        </w:numPr>
        <w:tabs>
          <w:tab w:val="left" w:pos="720"/>
        </w:tabs>
        <w:snapToGrid w:val="0"/>
        <w:ind w:left="0" w:firstLine="720"/>
        <w:rPr>
          <w:kern w:val="22"/>
          <w:lang w:val="fr-CA"/>
        </w:rPr>
      </w:pPr>
      <w:r w:rsidRPr="00827B06">
        <w:rPr>
          <w:i/>
          <w:kern w:val="22"/>
          <w:lang w:val="fr-CA"/>
        </w:rPr>
        <w:t>Prend note</w:t>
      </w:r>
      <w:r w:rsidR="002910D1" w:rsidRPr="00827B06">
        <w:rPr>
          <w:kern w:val="22"/>
          <w:lang w:val="fr-CA"/>
        </w:rPr>
        <w:t xml:space="preserve"> </w:t>
      </w:r>
      <w:r w:rsidRPr="00827B06">
        <w:rPr>
          <w:kern w:val="22"/>
          <w:lang w:val="fr-CA"/>
        </w:rPr>
        <w:t xml:space="preserve">de l’existence </w:t>
      </w:r>
      <w:r w:rsidR="002F10BB" w:rsidRPr="00827B06">
        <w:rPr>
          <w:kern w:val="22"/>
          <w:lang w:val="fr-CA"/>
        </w:rPr>
        <w:t xml:space="preserve">de nombreux documents d’orientation et autres ressources qui soutiennent le processus d’évaluation des risques, </w:t>
      </w:r>
      <w:r w:rsidR="00BC6E53" w:rsidRPr="00827B06">
        <w:rPr>
          <w:kern w:val="22"/>
          <w:lang w:val="fr-CA"/>
        </w:rPr>
        <w:t xml:space="preserve">tout en </w:t>
      </w:r>
      <w:r w:rsidR="00BC6E53" w:rsidRPr="00827B06">
        <w:rPr>
          <w:i/>
          <w:kern w:val="22"/>
          <w:lang w:val="fr-CA"/>
        </w:rPr>
        <w:t>reconnaissant</w:t>
      </w:r>
      <w:r w:rsidR="002F10BB" w:rsidRPr="00827B06">
        <w:rPr>
          <w:kern w:val="22"/>
          <w:lang w:val="fr-CA"/>
        </w:rPr>
        <w:t xml:space="preserve"> les lacunes et les besoins </w:t>
      </w:r>
      <w:r w:rsidR="00BC6E53" w:rsidRPr="00827B06">
        <w:rPr>
          <w:kern w:val="22"/>
          <w:lang w:val="fr-CA"/>
        </w:rPr>
        <w:t>mentionné</w:t>
      </w:r>
      <w:r w:rsidR="003374B3" w:rsidRPr="00827B06">
        <w:rPr>
          <w:kern w:val="22"/>
          <w:lang w:val="fr-CA"/>
        </w:rPr>
        <w:t>s</w:t>
      </w:r>
      <w:r w:rsidR="002F10BB" w:rsidRPr="00827B06">
        <w:rPr>
          <w:kern w:val="22"/>
          <w:lang w:val="fr-CA"/>
        </w:rPr>
        <w:t xml:space="preserve"> par certaines Parties</w:t>
      </w:r>
      <w:r w:rsidR="00C5728C" w:rsidRPr="00827B06">
        <w:rPr>
          <w:kern w:val="22"/>
          <w:lang w:val="fr-CA"/>
        </w:rPr>
        <w:t>;</w:t>
      </w:r>
    </w:p>
    <w:p w:rsidR="002910D1" w:rsidRPr="00827B06" w:rsidRDefault="002F10BB" w:rsidP="00A960DB">
      <w:pPr>
        <w:pStyle w:val="Para1"/>
        <w:numPr>
          <w:ilvl w:val="0"/>
          <w:numId w:val="46"/>
        </w:numPr>
        <w:tabs>
          <w:tab w:val="left" w:pos="720"/>
        </w:tabs>
        <w:snapToGrid w:val="0"/>
        <w:ind w:left="0" w:firstLine="720"/>
        <w:rPr>
          <w:kern w:val="22"/>
          <w:lang w:val="fr-CA"/>
        </w:rPr>
      </w:pPr>
      <w:r w:rsidRPr="00827B06">
        <w:rPr>
          <w:i/>
          <w:kern w:val="22"/>
          <w:lang w:val="fr-CA"/>
        </w:rPr>
        <w:t xml:space="preserve">Reconnaît </w:t>
      </w:r>
      <w:r w:rsidRPr="00827B06">
        <w:rPr>
          <w:kern w:val="22"/>
          <w:lang w:val="fr-CA"/>
        </w:rPr>
        <w:t>les divergences de points de vue entre les Parties concer</w:t>
      </w:r>
      <w:r w:rsidR="003374B3" w:rsidRPr="00827B06">
        <w:rPr>
          <w:kern w:val="22"/>
          <w:lang w:val="fr-CA"/>
        </w:rPr>
        <w:t xml:space="preserve">nant la nécessité de développer ou non </w:t>
      </w:r>
      <w:r w:rsidRPr="00827B06">
        <w:rPr>
          <w:kern w:val="22"/>
          <w:lang w:val="fr-CA"/>
        </w:rPr>
        <w:t>une orientation supplémentaire sur certains thèmes de l’évaluation des risques</w:t>
      </w:r>
      <w:r w:rsidR="00C5728C" w:rsidRPr="00827B06">
        <w:rPr>
          <w:kern w:val="22"/>
          <w:lang w:val="fr-CA"/>
        </w:rPr>
        <w:t>;</w:t>
      </w:r>
    </w:p>
    <w:p w:rsidR="00E3156A" w:rsidRPr="00827B06" w:rsidRDefault="002F10BB" w:rsidP="00A960DB">
      <w:pPr>
        <w:pStyle w:val="Para1"/>
        <w:numPr>
          <w:ilvl w:val="0"/>
          <w:numId w:val="46"/>
        </w:numPr>
        <w:tabs>
          <w:tab w:val="left" w:pos="720"/>
        </w:tabs>
        <w:snapToGrid w:val="0"/>
        <w:ind w:left="0" w:firstLine="720"/>
        <w:rPr>
          <w:kern w:val="22"/>
          <w:lang w:val="fr-CA"/>
        </w:rPr>
      </w:pPr>
      <w:r w:rsidRPr="00827B06">
        <w:rPr>
          <w:i/>
          <w:kern w:val="22"/>
          <w:lang w:val="fr-CA"/>
        </w:rPr>
        <w:t xml:space="preserve">Prend note </w:t>
      </w:r>
      <w:r w:rsidRPr="00827B06">
        <w:rPr>
          <w:kern w:val="22"/>
          <w:lang w:val="fr-CA"/>
        </w:rPr>
        <w:t xml:space="preserve">des travaux du Groupe spécial d’experts techniques sur la biologie synthétique et </w:t>
      </w:r>
      <w:r w:rsidR="00230847" w:rsidRPr="00827B06">
        <w:rPr>
          <w:i/>
          <w:kern w:val="22"/>
          <w:lang w:val="fr-CA"/>
        </w:rPr>
        <w:t>prend note</w:t>
      </w:r>
      <w:r w:rsidR="00230847" w:rsidRPr="00827B06">
        <w:rPr>
          <w:kern w:val="22"/>
          <w:lang w:val="fr-CA"/>
        </w:rPr>
        <w:t xml:space="preserve"> </w:t>
      </w:r>
      <w:r w:rsidR="003374B3" w:rsidRPr="00827B06">
        <w:rPr>
          <w:kern w:val="22"/>
          <w:lang w:val="fr-CA"/>
        </w:rPr>
        <w:t>en particulier</w:t>
      </w:r>
      <w:r w:rsidR="00230847" w:rsidRPr="00827B06">
        <w:rPr>
          <w:kern w:val="22"/>
          <w:lang w:val="fr-CA"/>
        </w:rPr>
        <w:t xml:space="preserve"> du fait que malgré les bienfaits potentiels </w:t>
      </w:r>
      <w:r w:rsidR="003374B3" w:rsidRPr="00827B06">
        <w:rPr>
          <w:kern w:val="22"/>
          <w:lang w:val="fr-CA"/>
        </w:rPr>
        <w:t>qu’apportent l</w:t>
      </w:r>
      <w:r w:rsidR="00230847" w:rsidRPr="00827B06">
        <w:rPr>
          <w:kern w:val="22"/>
          <w:lang w:val="fr-CA"/>
        </w:rPr>
        <w:t xml:space="preserve">es organismes ayant fait l’objet d’un forçage génétique, des recherches et des orientations supplémentaires </w:t>
      </w:r>
      <w:r w:rsidR="003374B3" w:rsidRPr="00827B06">
        <w:rPr>
          <w:kern w:val="22"/>
          <w:lang w:val="fr-CA"/>
        </w:rPr>
        <w:t>sont nécessaires</w:t>
      </w:r>
      <w:r w:rsidR="00230847" w:rsidRPr="00827B06">
        <w:rPr>
          <w:kern w:val="22"/>
          <w:lang w:val="fr-CA"/>
        </w:rPr>
        <w:t xml:space="preserve"> avant qu’il </w:t>
      </w:r>
      <w:r w:rsidR="003374B3" w:rsidRPr="00827B06">
        <w:rPr>
          <w:kern w:val="22"/>
          <w:lang w:val="fr-CA"/>
        </w:rPr>
        <w:t>puisse être</w:t>
      </w:r>
      <w:r w:rsidR="00230847" w:rsidRPr="00827B06">
        <w:rPr>
          <w:kern w:val="22"/>
          <w:lang w:val="fr-CA"/>
        </w:rPr>
        <w:t xml:space="preserve"> envisagé de libérer </w:t>
      </w:r>
      <w:r w:rsidR="003374B3" w:rsidRPr="00827B06">
        <w:rPr>
          <w:kern w:val="22"/>
          <w:lang w:val="fr-CA"/>
        </w:rPr>
        <w:t>de</w:t>
      </w:r>
      <w:r w:rsidR="00230847" w:rsidRPr="00827B06">
        <w:rPr>
          <w:kern w:val="22"/>
          <w:lang w:val="fr-CA"/>
        </w:rPr>
        <w:t xml:space="preserve"> tel</w:t>
      </w:r>
      <w:r w:rsidR="003374B3" w:rsidRPr="00827B06">
        <w:rPr>
          <w:kern w:val="22"/>
          <w:lang w:val="fr-CA"/>
        </w:rPr>
        <w:t>s</w:t>
      </w:r>
      <w:r w:rsidR="00230847" w:rsidRPr="00827B06">
        <w:rPr>
          <w:kern w:val="22"/>
          <w:lang w:val="fr-CA"/>
        </w:rPr>
        <w:t xml:space="preserve"> organisme</w:t>
      </w:r>
      <w:r w:rsidR="003374B3" w:rsidRPr="00827B06">
        <w:rPr>
          <w:kern w:val="22"/>
          <w:lang w:val="fr-CA"/>
        </w:rPr>
        <w:t>s</w:t>
      </w:r>
      <w:r w:rsidR="00230847" w:rsidRPr="00827B06">
        <w:rPr>
          <w:kern w:val="22"/>
          <w:lang w:val="fr-CA"/>
        </w:rPr>
        <w:t xml:space="preserve"> dans l’environnement, notamment sur les terres et les territoires des peuples autochtones et des communautés locales</w:t>
      </w:r>
      <w:r w:rsidR="00C5728C" w:rsidRPr="00827B06">
        <w:rPr>
          <w:kern w:val="22"/>
          <w:lang w:val="fr-CA"/>
        </w:rPr>
        <w:t>;</w:t>
      </w:r>
    </w:p>
    <w:p w:rsidR="00E3156A" w:rsidRPr="00827B06" w:rsidRDefault="00230847" w:rsidP="00A960DB">
      <w:pPr>
        <w:pStyle w:val="Para1"/>
        <w:numPr>
          <w:ilvl w:val="0"/>
          <w:numId w:val="46"/>
        </w:numPr>
        <w:snapToGrid w:val="0"/>
        <w:ind w:left="0" w:firstLine="720"/>
        <w:rPr>
          <w:kern w:val="22"/>
          <w:lang w:val="fr-CA"/>
        </w:rPr>
      </w:pPr>
      <w:r w:rsidRPr="00827B06">
        <w:rPr>
          <w:i/>
          <w:kern w:val="22"/>
          <w:lang w:val="fr-CA"/>
        </w:rPr>
        <w:t xml:space="preserve">Lance un appel </w:t>
      </w:r>
      <w:r w:rsidRPr="00827B06">
        <w:rPr>
          <w:kern w:val="22"/>
          <w:lang w:val="fr-CA"/>
        </w:rPr>
        <w:t xml:space="preserve">à une </w:t>
      </w:r>
      <w:r w:rsidR="00607902" w:rsidRPr="00827B06">
        <w:rPr>
          <w:kern w:val="22"/>
          <w:lang w:val="fr-CA"/>
        </w:rPr>
        <w:t>v</w:t>
      </w:r>
      <w:r w:rsidRPr="00827B06">
        <w:rPr>
          <w:kern w:val="22"/>
          <w:lang w:val="fr-CA"/>
        </w:rPr>
        <w:t xml:space="preserve">aste coopération internationale afin d’évaluer les conséquences néfastes possibles </w:t>
      </w:r>
      <w:r w:rsidR="003374B3" w:rsidRPr="00827B06">
        <w:rPr>
          <w:kern w:val="22"/>
          <w:lang w:val="fr-CA"/>
        </w:rPr>
        <w:t>des organismes issus de l’édition d</w:t>
      </w:r>
      <w:r w:rsidR="006B52D0" w:rsidRPr="00827B06">
        <w:rPr>
          <w:kern w:val="22"/>
          <w:lang w:val="fr-CA"/>
        </w:rPr>
        <w:t>es</w:t>
      </w:r>
      <w:r w:rsidR="003374B3" w:rsidRPr="00827B06">
        <w:rPr>
          <w:kern w:val="22"/>
          <w:lang w:val="fr-CA"/>
        </w:rPr>
        <w:t xml:space="preserve"> génome</w:t>
      </w:r>
      <w:r w:rsidR="006B52D0" w:rsidRPr="00827B06">
        <w:rPr>
          <w:kern w:val="22"/>
          <w:lang w:val="fr-CA"/>
        </w:rPr>
        <w:t>s</w:t>
      </w:r>
      <w:r w:rsidR="003374B3" w:rsidRPr="00827B06">
        <w:rPr>
          <w:kern w:val="22"/>
          <w:lang w:val="fr-CA"/>
        </w:rPr>
        <w:t xml:space="preserve"> et du forçage génétique, et des poissons vivants modifiés</w:t>
      </w:r>
      <w:r w:rsidR="006B52D0" w:rsidRPr="00827B06">
        <w:rPr>
          <w:kern w:val="22"/>
          <w:lang w:val="fr-CA"/>
        </w:rPr>
        <w:t>,</w:t>
      </w:r>
      <w:r w:rsidR="003374B3" w:rsidRPr="00827B06">
        <w:rPr>
          <w:kern w:val="22"/>
          <w:lang w:val="fr-CA"/>
        </w:rPr>
        <w:t xml:space="preserve"> </w:t>
      </w:r>
      <w:r w:rsidR="006B52D0" w:rsidRPr="00827B06">
        <w:rPr>
          <w:kern w:val="22"/>
          <w:lang w:val="fr-CA"/>
        </w:rPr>
        <w:t>sur</w:t>
      </w:r>
      <w:r w:rsidRPr="00827B06">
        <w:rPr>
          <w:kern w:val="22"/>
          <w:lang w:val="fr-CA"/>
        </w:rPr>
        <w:t xml:space="preserve"> la conservation et l’utilisation </w:t>
      </w:r>
      <w:r w:rsidR="00607902" w:rsidRPr="00827B06">
        <w:rPr>
          <w:kern w:val="22"/>
          <w:lang w:val="fr-CA"/>
        </w:rPr>
        <w:t>durable de la diversit</w:t>
      </w:r>
      <w:r w:rsidRPr="00827B06">
        <w:rPr>
          <w:kern w:val="22"/>
          <w:lang w:val="fr-CA"/>
        </w:rPr>
        <w:t>é biologique en te</w:t>
      </w:r>
      <w:r w:rsidR="006B52D0" w:rsidRPr="00827B06">
        <w:rPr>
          <w:kern w:val="22"/>
          <w:lang w:val="fr-CA"/>
        </w:rPr>
        <w:t>nant compte de la santé humaine</w:t>
      </w:r>
      <w:r w:rsidRPr="00827B06">
        <w:rPr>
          <w:kern w:val="22"/>
          <w:lang w:val="fr-CA"/>
        </w:rPr>
        <w:t xml:space="preserve"> </w:t>
      </w:r>
      <w:r w:rsidR="00C5728C" w:rsidRPr="00827B06">
        <w:rPr>
          <w:kern w:val="22"/>
          <w:lang w:val="fr-CA"/>
        </w:rPr>
        <w:t>;</w:t>
      </w:r>
    </w:p>
    <w:p w:rsidR="00C07A5B" w:rsidRPr="00827B06" w:rsidRDefault="00DD21C8" w:rsidP="0088631D">
      <w:pPr>
        <w:pStyle w:val="Para1"/>
        <w:numPr>
          <w:ilvl w:val="0"/>
          <w:numId w:val="46"/>
        </w:numPr>
        <w:tabs>
          <w:tab w:val="left" w:pos="720"/>
        </w:tabs>
        <w:snapToGrid w:val="0"/>
        <w:ind w:left="0" w:firstLine="720"/>
        <w:rPr>
          <w:kern w:val="22"/>
          <w:lang w:val="fr-CA"/>
        </w:rPr>
      </w:pPr>
      <w:r w:rsidRPr="00827B06">
        <w:rPr>
          <w:i/>
          <w:kern w:val="22"/>
          <w:lang w:val="fr-CA"/>
        </w:rPr>
        <w:t>Décide</w:t>
      </w:r>
      <w:r w:rsidR="00607902" w:rsidRPr="00827B06">
        <w:rPr>
          <w:kern w:val="22"/>
          <w:lang w:val="fr-CA"/>
        </w:rPr>
        <w:t xml:space="preserve"> de mener une étude exhaustive sur les conséquences néfastes possibles</w:t>
      </w:r>
      <w:r w:rsidR="00AC15D8" w:rsidRPr="00827B06">
        <w:rPr>
          <w:kern w:val="22"/>
          <w:lang w:val="fr-CA"/>
        </w:rPr>
        <w:t xml:space="preserve"> : a) des organismes issus de l’édition des </w:t>
      </w:r>
      <w:r w:rsidR="001A00D4" w:rsidRPr="00827B06">
        <w:rPr>
          <w:kern w:val="22"/>
          <w:lang w:val="fr-CA"/>
        </w:rPr>
        <w:t>génomes</w:t>
      </w:r>
      <w:r w:rsidR="00AC15D8" w:rsidRPr="00827B06">
        <w:rPr>
          <w:kern w:val="22"/>
          <w:lang w:val="fr-CA"/>
        </w:rPr>
        <w:t xml:space="preserve"> et du forçage génétique et b</w:t>
      </w:r>
      <w:r w:rsidR="006B52D0" w:rsidRPr="00827B06">
        <w:rPr>
          <w:kern w:val="22"/>
          <w:lang w:val="fr-CA"/>
        </w:rPr>
        <w:t>) des poissons vivants modifiés</w:t>
      </w:r>
      <w:r w:rsidR="00AC15D8" w:rsidRPr="00827B06">
        <w:rPr>
          <w:kern w:val="22"/>
          <w:lang w:val="fr-CA"/>
        </w:rPr>
        <w:t xml:space="preserve"> </w:t>
      </w:r>
      <w:r w:rsidR="006B52D0" w:rsidRPr="00827B06">
        <w:rPr>
          <w:kern w:val="22"/>
          <w:lang w:val="fr-CA"/>
        </w:rPr>
        <w:t xml:space="preserve">sur la conservation et l’utilisation durable de la diversité biologique, en tenant compte de la santé humaine et aussi des facteurs pertinents à l’évaluation des risques, </w:t>
      </w:r>
      <w:r w:rsidR="00AC15D8" w:rsidRPr="00827B06">
        <w:rPr>
          <w:kern w:val="22"/>
          <w:lang w:val="fr-CA"/>
        </w:rPr>
        <w:t>afin de recueillir de l’</w:t>
      </w:r>
      <w:r w:rsidR="001A00D4" w:rsidRPr="00827B06">
        <w:rPr>
          <w:kern w:val="22"/>
          <w:lang w:val="fr-CA"/>
        </w:rPr>
        <w:t>informati</w:t>
      </w:r>
      <w:r w:rsidR="00AC15D8" w:rsidRPr="00827B06">
        <w:rPr>
          <w:kern w:val="22"/>
          <w:lang w:val="fr-CA"/>
        </w:rPr>
        <w:t xml:space="preserve">on qui permettra de </w:t>
      </w:r>
      <w:r w:rsidR="00AC15D8" w:rsidRPr="00827B06">
        <w:rPr>
          <w:kern w:val="22"/>
          <w:lang w:val="fr-CA"/>
        </w:rPr>
        <w:lastRenderedPageBreak/>
        <w:t xml:space="preserve">décider </w:t>
      </w:r>
      <w:r w:rsidR="001A00D4" w:rsidRPr="00827B06">
        <w:rPr>
          <w:kern w:val="22"/>
          <w:lang w:val="fr-CA"/>
        </w:rPr>
        <w:t xml:space="preserve">s’il faut développer du matériel d’orientation supplémentaire sur la gestion </w:t>
      </w:r>
      <w:r w:rsidR="006B52D0" w:rsidRPr="00827B06">
        <w:rPr>
          <w:kern w:val="22"/>
          <w:lang w:val="fr-CA"/>
        </w:rPr>
        <w:t xml:space="preserve">des risques que </w:t>
      </w:r>
      <w:r w:rsidR="001A00D4" w:rsidRPr="00827B06">
        <w:rPr>
          <w:kern w:val="22"/>
          <w:lang w:val="fr-CA"/>
        </w:rPr>
        <w:t>présentent ces organismes</w:t>
      </w:r>
      <w:r w:rsidR="00C5728C" w:rsidRPr="00827B06">
        <w:rPr>
          <w:kern w:val="22"/>
          <w:lang w:val="fr-CA"/>
        </w:rPr>
        <w:t>;</w:t>
      </w:r>
      <w:r w:rsidR="00E3156A" w:rsidRPr="00827B06">
        <w:rPr>
          <w:kern w:val="22"/>
          <w:lang w:val="fr-CA"/>
        </w:rPr>
        <w:t xml:space="preserve"> </w:t>
      </w:r>
    </w:p>
    <w:p w:rsidR="00E3156A" w:rsidRPr="00827B06" w:rsidRDefault="00DD21C8" w:rsidP="00C07A5B">
      <w:pPr>
        <w:pStyle w:val="Para1"/>
        <w:numPr>
          <w:ilvl w:val="0"/>
          <w:numId w:val="46"/>
        </w:numPr>
        <w:tabs>
          <w:tab w:val="left" w:pos="720"/>
        </w:tabs>
        <w:snapToGrid w:val="0"/>
        <w:ind w:left="0" w:firstLine="720"/>
        <w:rPr>
          <w:kern w:val="22"/>
          <w:lang w:val="fr-CA"/>
        </w:rPr>
      </w:pPr>
      <w:r w:rsidRPr="00827B06">
        <w:rPr>
          <w:i/>
          <w:kern w:val="22"/>
          <w:lang w:val="fr-CA"/>
        </w:rPr>
        <w:t>Décide également</w:t>
      </w:r>
      <w:r w:rsidR="00607902" w:rsidRPr="00827B06">
        <w:rPr>
          <w:i/>
          <w:kern w:val="22"/>
          <w:lang w:val="fr-CA"/>
        </w:rPr>
        <w:t xml:space="preserve"> </w:t>
      </w:r>
      <w:r w:rsidR="00607902" w:rsidRPr="00827B06">
        <w:rPr>
          <w:kern w:val="22"/>
          <w:lang w:val="fr-CA"/>
        </w:rPr>
        <w:t>de créer un proces</w:t>
      </w:r>
      <w:r w:rsidR="00012931" w:rsidRPr="00827B06">
        <w:rPr>
          <w:kern w:val="22"/>
          <w:lang w:val="fr-CA"/>
        </w:rPr>
        <w:t>sus pour recenser et prioriser l</w:t>
      </w:r>
      <w:r w:rsidR="00607902" w:rsidRPr="00827B06">
        <w:rPr>
          <w:kern w:val="22"/>
          <w:lang w:val="fr-CA"/>
        </w:rPr>
        <w:t xml:space="preserve">es </w:t>
      </w:r>
      <w:r w:rsidR="00012931" w:rsidRPr="00827B06">
        <w:rPr>
          <w:kern w:val="22"/>
          <w:lang w:val="fr-CA"/>
        </w:rPr>
        <w:t>problèmes</w:t>
      </w:r>
      <w:r w:rsidR="00607902" w:rsidRPr="00827B06">
        <w:rPr>
          <w:kern w:val="22"/>
          <w:lang w:val="fr-CA"/>
        </w:rPr>
        <w:t xml:space="preserve"> </w:t>
      </w:r>
      <w:r w:rsidR="00012931" w:rsidRPr="00827B06">
        <w:rPr>
          <w:kern w:val="22"/>
          <w:lang w:val="fr-CA"/>
        </w:rPr>
        <w:t>précis</w:t>
      </w:r>
      <w:r w:rsidR="00607902" w:rsidRPr="00827B06">
        <w:rPr>
          <w:kern w:val="22"/>
          <w:lang w:val="fr-CA"/>
        </w:rPr>
        <w:t xml:space="preserve"> de l’évaluation des risques que posent les organismes vivants modifiés méritant d’être examinés par la Conférence des Parties siégeant en tant que réunion des Parties au Protocole de Cartagena, en tenant compte des éléments </w:t>
      </w:r>
      <w:r w:rsidR="00756593" w:rsidRPr="00827B06">
        <w:rPr>
          <w:kern w:val="22"/>
          <w:lang w:val="fr-CA"/>
        </w:rPr>
        <w:t>figurant à</w:t>
      </w:r>
      <w:r w:rsidR="00607902" w:rsidRPr="00827B06">
        <w:rPr>
          <w:kern w:val="22"/>
          <w:lang w:val="fr-CA"/>
        </w:rPr>
        <w:t xml:space="preserve"> l’annexe</w:t>
      </w:r>
      <w:r w:rsidR="00756593" w:rsidRPr="00827B06">
        <w:rPr>
          <w:kern w:val="22"/>
          <w:lang w:val="fr-CA"/>
        </w:rPr>
        <w:t xml:space="preserve"> à la présente décision </w:t>
      </w:r>
      <w:r w:rsidR="0088631D" w:rsidRPr="00827B06">
        <w:rPr>
          <w:kern w:val="22"/>
          <w:lang w:val="fr-CA"/>
        </w:rPr>
        <w:t>;</w:t>
      </w:r>
    </w:p>
    <w:p w:rsidR="00E3156A" w:rsidRPr="00827B06" w:rsidRDefault="00DD21C8" w:rsidP="00A960DB">
      <w:pPr>
        <w:pStyle w:val="Para1"/>
        <w:numPr>
          <w:ilvl w:val="0"/>
          <w:numId w:val="46"/>
        </w:numPr>
        <w:tabs>
          <w:tab w:val="left" w:pos="720"/>
        </w:tabs>
        <w:snapToGrid w:val="0"/>
        <w:ind w:left="0" w:firstLine="720"/>
        <w:rPr>
          <w:kern w:val="22"/>
          <w:lang w:val="fr-CA"/>
        </w:rPr>
      </w:pPr>
      <w:r w:rsidRPr="00827B06">
        <w:rPr>
          <w:i/>
          <w:kern w:val="22"/>
          <w:lang w:val="fr-CA"/>
        </w:rPr>
        <w:t>Décide en outre</w:t>
      </w:r>
      <w:r w:rsidR="00756593" w:rsidRPr="00827B06">
        <w:rPr>
          <w:i/>
          <w:kern w:val="22"/>
          <w:lang w:val="fr-CA"/>
        </w:rPr>
        <w:t xml:space="preserve"> </w:t>
      </w:r>
      <w:r w:rsidR="00756593" w:rsidRPr="00827B06">
        <w:rPr>
          <w:kern w:val="22"/>
          <w:lang w:val="fr-CA"/>
        </w:rPr>
        <w:t>d’établir</w:t>
      </w:r>
      <w:r w:rsidR="001A00D4" w:rsidRPr="00827B06">
        <w:rPr>
          <w:kern w:val="22"/>
          <w:lang w:val="fr-CA"/>
        </w:rPr>
        <w:t xml:space="preserve"> un groupe spécial d’experts techniques sur l’évaluation des risques composé d’experts choisis en fonction d</w:t>
      </w:r>
      <w:r w:rsidR="00320D75" w:rsidRPr="00827B06">
        <w:rPr>
          <w:kern w:val="22"/>
          <w:lang w:val="fr-CA"/>
        </w:rPr>
        <w:t>u mode de foncti</w:t>
      </w:r>
      <w:r w:rsidR="001A00D4" w:rsidRPr="00827B06">
        <w:rPr>
          <w:kern w:val="22"/>
          <w:lang w:val="fr-CA"/>
        </w:rPr>
        <w:t xml:space="preserve">onnement général </w:t>
      </w:r>
      <w:r w:rsidR="003367F7" w:rsidRPr="00827B06">
        <w:rPr>
          <w:kern w:val="22"/>
          <w:lang w:val="fr-CA"/>
        </w:rPr>
        <w:t>de l’Organe subsidiaire chargé de fournir des avis scientifiques, techniques et technologiques</w:t>
      </w:r>
      <w:r w:rsidR="00012931" w:rsidRPr="00827B06">
        <w:rPr>
          <w:kern w:val="22"/>
          <w:lang w:val="fr-CA"/>
        </w:rPr>
        <w:t>,</w:t>
      </w:r>
      <w:r w:rsidR="005A2FEA" w:rsidRPr="00827B06">
        <w:rPr>
          <w:rStyle w:val="FootnoteReference"/>
          <w:kern w:val="22"/>
          <w:sz w:val="22"/>
          <w:szCs w:val="22"/>
          <w:u w:val="none"/>
          <w:vertAlign w:val="superscript"/>
          <w:lang w:val="fr-CA"/>
        </w:rPr>
        <w:footnoteReference w:id="7"/>
      </w:r>
      <w:r w:rsidR="00012931" w:rsidRPr="00827B06">
        <w:rPr>
          <w:kern w:val="22"/>
          <w:lang w:val="fr-CA"/>
        </w:rPr>
        <w:t xml:space="preserve"> qui aura pour mandat de travailler sur les </w:t>
      </w:r>
      <w:r w:rsidR="003367F7" w:rsidRPr="00827B06">
        <w:rPr>
          <w:kern w:val="22"/>
          <w:lang w:val="fr-CA"/>
        </w:rPr>
        <w:t>activités mentionnées aux</w:t>
      </w:r>
      <w:r w:rsidR="00012931" w:rsidRPr="00827B06">
        <w:rPr>
          <w:kern w:val="22"/>
          <w:lang w:val="fr-CA"/>
        </w:rPr>
        <w:t xml:space="preserve"> paragraphes 5 et 6 </w:t>
      </w:r>
      <w:proofErr w:type="spellStart"/>
      <w:r w:rsidR="00012931" w:rsidRPr="00827B06">
        <w:rPr>
          <w:kern w:val="22"/>
          <w:lang w:val="fr-CA"/>
        </w:rPr>
        <w:t>ci</w:t>
      </w:r>
      <w:r w:rsidR="00F6046B">
        <w:rPr>
          <w:kern w:val="22"/>
          <w:lang w:val="fr-CA"/>
        </w:rPr>
        <w:noBreakHyphen/>
      </w:r>
      <w:r w:rsidR="00012931" w:rsidRPr="00827B06">
        <w:rPr>
          <w:kern w:val="22"/>
          <w:lang w:val="fr-CA"/>
        </w:rPr>
        <w:t>dessus</w:t>
      </w:r>
      <w:proofErr w:type="spellEnd"/>
      <w:r w:rsidR="00012931" w:rsidRPr="00827B06">
        <w:rPr>
          <w:kern w:val="22"/>
          <w:lang w:val="fr-CA"/>
        </w:rPr>
        <w:t>, et de préparer un rapp</w:t>
      </w:r>
      <w:r w:rsidR="003367F7" w:rsidRPr="00827B06">
        <w:rPr>
          <w:kern w:val="22"/>
          <w:lang w:val="fr-CA"/>
        </w:rPr>
        <w:t>o</w:t>
      </w:r>
      <w:r w:rsidR="00012931" w:rsidRPr="00827B06">
        <w:rPr>
          <w:kern w:val="22"/>
          <w:lang w:val="fr-CA"/>
        </w:rPr>
        <w:t>rt pour examen par l’</w:t>
      </w:r>
      <w:r w:rsidR="003367F7" w:rsidRPr="00827B06">
        <w:rPr>
          <w:kern w:val="22"/>
          <w:lang w:val="fr-CA"/>
        </w:rPr>
        <w:t>Organe subsidiaire chargé de fournir des avis scientifiques, techniques et technologiques, a</w:t>
      </w:r>
      <w:r w:rsidR="00012931" w:rsidRPr="00827B06">
        <w:rPr>
          <w:kern w:val="22"/>
          <w:lang w:val="fr-CA"/>
        </w:rPr>
        <w:t xml:space="preserve">fin que </w:t>
      </w:r>
      <w:proofErr w:type="spellStart"/>
      <w:r w:rsidR="00012931" w:rsidRPr="00827B06">
        <w:rPr>
          <w:kern w:val="22"/>
          <w:lang w:val="fr-CA"/>
        </w:rPr>
        <w:t>celui</w:t>
      </w:r>
      <w:r w:rsidR="00F6046B">
        <w:rPr>
          <w:kern w:val="22"/>
          <w:lang w:val="fr-CA"/>
        </w:rPr>
        <w:noBreakHyphen/>
      </w:r>
      <w:r w:rsidR="00012931" w:rsidRPr="00827B06">
        <w:rPr>
          <w:kern w:val="22"/>
          <w:lang w:val="fr-CA"/>
        </w:rPr>
        <w:t>ci</w:t>
      </w:r>
      <w:proofErr w:type="spellEnd"/>
      <w:r w:rsidR="00012931" w:rsidRPr="00827B06">
        <w:rPr>
          <w:kern w:val="22"/>
          <w:lang w:val="fr-CA"/>
        </w:rPr>
        <w:t xml:space="preserve"> puisse prép</w:t>
      </w:r>
      <w:r w:rsidR="003367F7" w:rsidRPr="00827B06">
        <w:rPr>
          <w:kern w:val="22"/>
          <w:lang w:val="fr-CA"/>
        </w:rPr>
        <w:t>a</w:t>
      </w:r>
      <w:r w:rsidR="00012931" w:rsidRPr="00827B06">
        <w:rPr>
          <w:kern w:val="22"/>
          <w:lang w:val="fr-CA"/>
        </w:rPr>
        <w:t xml:space="preserve">rer </w:t>
      </w:r>
      <w:r w:rsidR="003367F7" w:rsidRPr="00827B06">
        <w:rPr>
          <w:kern w:val="22"/>
          <w:lang w:val="fr-CA"/>
        </w:rPr>
        <w:t>une</w:t>
      </w:r>
      <w:r w:rsidR="00012931" w:rsidRPr="00827B06">
        <w:rPr>
          <w:kern w:val="22"/>
          <w:lang w:val="fr-CA"/>
        </w:rPr>
        <w:t xml:space="preserve"> recommandation pour </w:t>
      </w:r>
      <w:r w:rsidR="003367F7" w:rsidRPr="00827B06">
        <w:rPr>
          <w:kern w:val="22"/>
          <w:lang w:val="fr-CA"/>
        </w:rPr>
        <w:t>examen</w:t>
      </w:r>
      <w:r w:rsidR="00012931" w:rsidRPr="00827B06">
        <w:rPr>
          <w:kern w:val="22"/>
          <w:lang w:val="fr-CA"/>
        </w:rPr>
        <w:t xml:space="preserve"> par la Conférence des Parties siégeant en tant que réunion des Parties au Protocole de Cartagena à sa dixième réunion</w:t>
      </w:r>
      <w:r w:rsidR="00E3156A" w:rsidRPr="00827B06">
        <w:rPr>
          <w:kern w:val="22"/>
          <w:lang w:val="fr-CA"/>
        </w:rPr>
        <w:t xml:space="preserve">. </w:t>
      </w:r>
    </w:p>
    <w:p w:rsidR="00E3156A" w:rsidRPr="00827B06" w:rsidRDefault="00DD21C8" w:rsidP="00A960DB">
      <w:pPr>
        <w:pStyle w:val="Para1"/>
        <w:numPr>
          <w:ilvl w:val="0"/>
          <w:numId w:val="46"/>
        </w:numPr>
        <w:tabs>
          <w:tab w:val="left" w:pos="720"/>
        </w:tabs>
        <w:snapToGrid w:val="0"/>
        <w:ind w:left="0" w:firstLine="720"/>
        <w:rPr>
          <w:kern w:val="22"/>
          <w:lang w:val="fr-CA"/>
        </w:rPr>
      </w:pPr>
      <w:r w:rsidRPr="00827B06">
        <w:rPr>
          <w:i/>
          <w:kern w:val="22"/>
          <w:lang w:val="fr-CA"/>
        </w:rPr>
        <w:t>Décide</w:t>
      </w:r>
      <w:r w:rsidR="001A00D4" w:rsidRPr="00827B06">
        <w:rPr>
          <w:i/>
          <w:kern w:val="22"/>
          <w:lang w:val="fr-CA"/>
        </w:rPr>
        <w:t xml:space="preserve"> </w:t>
      </w:r>
      <w:r w:rsidR="00756593" w:rsidRPr="00827B06">
        <w:rPr>
          <w:kern w:val="22"/>
          <w:lang w:val="fr-CA"/>
        </w:rPr>
        <w:t>d’étendre l</w:t>
      </w:r>
      <w:r w:rsidR="00320D75" w:rsidRPr="00827B06">
        <w:rPr>
          <w:kern w:val="22"/>
          <w:lang w:val="fr-CA"/>
        </w:rPr>
        <w:t xml:space="preserve">e forum en ligne sur l’évaluation et la gestion des risques, afin </w:t>
      </w:r>
      <w:r w:rsidR="005A2FEA" w:rsidRPr="00827B06">
        <w:rPr>
          <w:kern w:val="22"/>
          <w:lang w:val="fr-CA"/>
        </w:rPr>
        <w:t xml:space="preserve">qu’il puisse </w:t>
      </w:r>
      <w:r w:rsidR="00320D75" w:rsidRPr="00827B06">
        <w:rPr>
          <w:kern w:val="22"/>
          <w:lang w:val="fr-CA"/>
        </w:rPr>
        <w:t>aider le groupe spécial d’experts techniques sur l’évaluation des risques</w:t>
      </w:r>
      <w:r w:rsidR="00C5728C" w:rsidRPr="00827B06">
        <w:rPr>
          <w:kern w:val="22"/>
          <w:lang w:val="fr-CA"/>
        </w:rPr>
        <w:t>;</w:t>
      </w:r>
    </w:p>
    <w:p w:rsidR="00E3156A" w:rsidRPr="00827B06" w:rsidRDefault="00320D75" w:rsidP="00A960DB">
      <w:pPr>
        <w:pStyle w:val="Para1"/>
        <w:numPr>
          <w:ilvl w:val="0"/>
          <w:numId w:val="46"/>
        </w:numPr>
        <w:tabs>
          <w:tab w:val="left" w:pos="720"/>
        </w:tabs>
        <w:snapToGrid w:val="0"/>
        <w:ind w:left="0" w:firstLine="720"/>
        <w:rPr>
          <w:kern w:val="22"/>
          <w:lang w:val="fr-CA"/>
        </w:rPr>
      </w:pPr>
      <w:r w:rsidRPr="00827B06">
        <w:rPr>
          <w:i/>
          <w:kern w:val="22"/>
          <w:lang w:val="fr-CA"/>
        </w:rPr>
        <w:t xml:space="preserve">Demande </w:t>
      </w:r>
      <w:r w:rsidRPr="00827B06">
        <w:rPr>
          <w:kern w:val="22"/>
          <w:lang w:val="fr-CA"/>
        </w:rPr>
        <w:t>à la Secrétaire exécutive</w:t>
      </w:r>
      <w:r w:rsidRPr="00827B06">
        <w:rPr>
          <w:i/>
          <w:kern w:val="22"/>
          <w:lang w:val="fr-CA"/>
        </w:rPr>
        <w:t xml:space="preserve"> </w:t>
      </w:r>
      <w:r w:rsidR="00E3156A" w:rsidRPr="00827B06">
        <w:rPr>
          <w:kern w:val="22"/>
          <w:lang w:val="fr-CA"/>
        </w:rPr>
        <w:t>:</w:t>
      </w:r>
      <w:r w:rsidR="00E3156A" w:rsidRPr="00827B06" w:rsidDel="006A2C44">
        <w:rPr>
          <w:kern w:val="22"/>
          <w:lang w:val="fr-CA"/>
        </w:rPr>
        <w:t xml:space="preserve"> </w:t>
      </w:r>
    </w:p>
    <w:p w:rsidR="00B332A1" w:rsidRPr="00827B06" w:rsidRDefault="00320D75" w:rsidP="00320D75">
      <w:pPr>
        <w:pStyle w:val="ListParagraph"/>
        <w:numPr>
          <w:ilvl w:val="0"/>
          <w:numId w:val="56"/>
        </w:numPr>
        <w:suppressLineNumbers/>
        <w:tabs>
          <w:tab w:val="left" w:pos="1440"/>
        </w:tabs>
        <w:suppressAutoHyphens/>
        <w:spacing w:before="120" w:after="120"/>
        <w:ind w:left="0" w:firstLine="720"/>
        <w:contextualSpacing w:val="0"/>
        <w:rPr>
          <w:kern w:val="22"/>
          <w:lang w:val="fr-CA"/>
        </w:rPr>
      </w:pPr>
      <w:r w:rsidRPr="00827B06">
        <w:rPr>
          <w:kern w:val="22"/>
          <w:lang w:val="fr-CA"/>
        </w:rPr>
        <w:t>De recueillir et de résumer l’information pertinente</w:t>
      </w:r>
      <w:r w:rsidR="0005302C" w:rsidRPr="00827B06">
        <w:rPr>
          <w:kern w:val="22"/>
          <w:lang w:val="fr-CA"/>
        </w:rPr>
        <w:t>,</w:t>
      </w:r>
      <w:r w:rsidRPr="00827B06">
        <w:rPr>
          <w:kern w:val="22"/>
          <w:lang w:val="fr-CA"/>
        </w:rPr>
        <w:t xml:space="preserve"> afin de faciliter les travaux du forum en ligne et du groupe d’experts spéciaux</w:t>
      </w:r>
      <w:r w:rsidR="000A2915" w:rsidRPr="00827B06">
        <w:rPr>
          <w:kern w:val="22"/>
          <w:lang w:val="fr-CA"/>
        </w:rPr>
        <w:t>;</w:t>
      </w:r>
    </w:p>
    <w:p w:rsidR="00E3156A" w:rsidRPr="00827B06" w:rsidRDefault="00320D75" w:rsidP="00FD5C7D">
      <w:pPr>
        <w:pStyle w:val="ListParagraph"/>
        <w:numPr>
          <w:ilvl w:val="0"/>
          <w:numId w:val="56"/>
        </w:numPr>
        <w:suppressLineNumbers/>
        <w:tabs>
          <w:tab w:val="left" w:pos="1440"/>
        </w:tabs>
        <w:suppressAutoHyphens/>
        <w:spacing w:before="120" w:after="120"/>
        <w:ind w:left="0" w:firstLine="720"/>
        <w:contextualSpacing w:val="0"/>
        <w:rPr>
          <w:snapToGrid w:val="0"/>
          <w:color w:val="000000"/>
          <w:kern w:val="22"/>
          <w:szCs w:val="22"/>
          <w:lang w:val="fr-CA"/>
        </w:rPr>
      </w:pPr>
      <w:r w:rsidRPr="00827B06">
        <w:rPr>
          <w:snapToGrid w:val="0"/>
          <w:color w:val="000000"/>
          <w:kern w:val="22"/>
          <w:szCs w:val="22"/>
          <w:lang w:val="fr-CA"/>
        </w:rPr>
        <w:t>D’aider l’animateur principal du forum en ligne à organiser les discussions et le rapport sur les conclusions des discussions</w:t>
      </w:r>
      <w:r w:rsidR="00B332A1" w:rsidRPr="00827B06">
        <w:rPr>
          <w:snapToGrid w:val="0"/>
          <w:color w:val="000000"/>
          <w:kern w:val="22"/>
          <w:szCs w:val="22"/>
          <w:lang w:val="fr-CA"/>
        </w:rPr>
        <w:t>;</w:t>
      </w:r>
    </w:p>
    <w:p w:rsidR="00E3156A" w:rsidRPr="00827B06" w:rsidRDefault="00320D75" w:rsidP="00FD5C7D">
      <w:pPr>
        <w:pStyle w:val="ListParagraph"/>
        <w:numPr>
          <w:ilvl w:val="0"/>
          <w:numId w:val="56"/>
        </w:numPr>
        <w:suppressLineNumbers/>
        <w:tabs>
          <w:tab w:val="left" w:pos="1440"/>
        </w:tabs>
        <w:suppressAutoHyphens/>
        <w:spacing w:before="120" w:after="120"/>
        <w:ind w:left="0" w:firstLine="720"/>
        <w:contextualSpacing w:val="0"/>
        <w:rPr>
          <w:kern w:val="22"/>
          <w:lang w:val="fr-CA"/>
        </w:rPr>
      </w:pPr>
      <w:r w:rsidRPr="00827B06">
        <w:rPr>
          <w:kern w:val="22"/>
          <w:lang w:val="fr-CA"/>
        </w:rPr>
        <w:t>D’organiser, dans la limite des ressources disponibles, une réunion en personne du groupe spécial d’experts techniques sur l’évaluation des risques</w:t>
      </w:r>
      <w:r w:rsidR="00E3156A" w:rsidRPr="00827B06">
        <w:rPr>
          <w:kern w:val="22"/>
          <w:lang w:val="fr-CA"/>
        </w:rPr>
        <w:t>.</w:t>
      </w:r>
    </w:p>
    <w:p w:rsidR="00E3156A" w:rsidRPr="00827B06" w:rsidRDefault="00E3156A" w:rsidP="00E10A2E">
      <w:pPr>
        <w:spacing w:before="120" w:after="120"/>
        <w:jc w:val="left"/>
        <w:rPr>
          <w:i/>
          <w:strike/>
          <w:kern w:val="22"/>
          <w:lang w:val="fr-CA"/>
        </w:rPr>
      </w:pPr>
    </w:p>
    <w:p w:rsidR="00C3342C" w:rsidRPr="00827B06" w:rsidRDefault="00C3342C" w:rsidP="00E10A2E">
      <w:pPr>
        <w:spacing w:before="120" w:after="120"/>
        <w:jc w:val="center"/>
        <w:rPr>
          <w:i/>
          <w:snapToGrid w:val="0"/>
          <w:kern w:val="22"/>
          <w:szCs w:val="22"/>
          <w:lang w:val="fr-CA"/>
        </w:rPr>
      </w:pPr>
      <w:r w:rsidRPr="00827B06">
        <w:rPr>
          <w:i/>
          <w:snapToGrid w:val="0"/>
          <w:kern w:val="22"/>
          <w:szCs w:val="22"/>
          <w:lang w:val="fr-CA"/>
        </w:rPr>
        <w:t>Annex</w:t>
      </w:r>
      <w:r w:rsidR="00320D75" w:rsidRPr="00827B06">
        <w:rPr>
          <w:i/>
          <w:snapToGrid w:val="0"/>
          <w:kern w:val="22"/>
          <w:szCs w:val="22"/>
          <w:lang w:val="fr-CA"/>
        </w:rPr>
        <w:t>e</w:t>
      </w:r>
    </w:p>
    <w:p w:rsidR="00C3342C" w:rsidRPr="00827B06" w:rsidRDefault="00320D75" w:rsidP="00E10A2E">
      <w:pPr>
        <w:spacing w:before="120" w:after="120"/>
        <w:jc w:val="center"/>
        <w:rPr>
          <w:b/>
          <w:snapToGrid w:val="0"/>
          <w:kern w:val="22"/>
          <w:szCs w:val="22"/>
          <w:lang w:val="fr-CA"/>
        </w:rPr>
      </w:pPr>
      <w:r w:rsidRPr="00827B06">
        <w:rPr>
          <w:b/>
          <w:snapToGrid w:val="0"/>
          <w:kern w:val="22"/>
          <w:szCs w:val="22"/>
          <w:lang w:val="fr-CA"/>
        </w:rPr>
        <w:t xml:space="preserve">Recensement et priorisation des </w:t>
      </w:r>
      <w:r w:rsidR="00DB79A2" w:rsidRPr="00827B06">
        <w:rPr>
          <w:b/>
          <w:snapToGrid w:val="0"/>
          <w:kern w:val="22"/>
          <w:szCs w:val="22"/>
          <w:lang w:val="fr-CA"/>
        </w:rPr>
        <w:t>thèmes précis de l’évaluation des risques qui pourraient mériter un examen plus approfondi</w:t>
      </w:r>
    </w:p>
    <w:p w:rsidR="00C3342C" w:rsidRPr="00827B06" w:rsidRDefault="00DB79A2" w:rsidP="00C3342C">
      <w:pPr>
        <w:spacing w:before="120" w:after="120"/>
        <w:rPr>
          <w:snapToGrid w:val="0"/>
          <w:kern w:val="22"/>
          <w:szCs w:val="22"/>
          <w:lang w:val="fr-CA"/>
        </w:rPr>
      </w:pPr>
      <w:r w:rsidRPr="00827B06">
        <w:rPr>
          <w:snapToGrid w:val="0"/>
          <w:kern w:val="22"/>
          <w:szCs w:val="22"/>
          <w:lang w:val="fr-CA"/>
        </w:rPr>
        <w:t xml:space="preserve">Le processus de recommander des thèmes précis </w:t>
      </w:r>
      <w:r w:rsidR="00CC63B4" w:rsidRPr="00827B06">
        <w:rPr>
          <w:snapToGrid w:val="0"/>
          <w:kern w:val="22"/>
          <w:szCs w:val="22"/>
          <w:lang w:val="fr-CA"/>
        </w:rPr>
        <w:t>de</w:t>
      </w:r>
      <w:r w:rsidRPr="00827B06">
        <w:rPr>
          <w:snapToGrid w:val="0"/>
          <w:kern w:val="22"/>
          <w:szCs w:val="22"/>
          <w:lang w:val="fr-CA"/>
        </w:rPr>
        <w:t xml:space="preserve"> l’évaluation des risques pour examen par les Parties au Protocole de Cartagena doit inclure un exercice de bilan, afin de déterminer si les organes nationaux, régionaux e</w:t>
      </w:r>
      <w:r w:rsidR="00CC63B4" w:rsidRPr="00827B06">
        <w:rPr>
          <w:snapToGrid w:val="0"/>
          <w:kern w:val="22"/>
          <w:szCs w:val="22"/>
          <w:lang w:val="fr-CA"/>
        </w:rPr>
        <w:t>t internationaux ont développé des ressources sembla</w:t>
      </w:r>
      <w:r w:rsidRPr="00827B06">
        <w:rPr>
          <w:snapToGrid w:val="0"/>
          <w:kern w:val="22"/>
          <w:szCs w:val="22"/>
          <w:lang w:val="fr-CA"/>
        </w:rPr>
        <w:t>b</w:t>
      </w:r>
      <w:r w:rsidR="00CC63B4" w:rsidRPr="00827B06">
        <w:rPr>
          <w:snapToGrid w:val="0"/>
          <w:kern w:val="22"/>
          <w:szCs w:val="22"/>
          <w:lang w:val="fr-CA"/>
        </w:rPr>
        <w:t>l</w:t>
      </w:r>
      <w:r w:rsidRPr="00827B06">
        <w:rPr>
          <w:snapToGrid w:val="0"/>
          <w:kern w:val="22"/>
          <w:szCs w:val="22"/>
          <w:lang w:val="fr-CA"/>
        </w:rPr>
        <w:t xml:space="preserve">es et, le cas échéant, si ces ressources peuvent </w:t>
      </w:r>
      <w:r w:rsidR="00CC63B4" w:rsidRPr="00827B06">
        <w:rPr>
          <w:snapToGrid w:val="0"/>
          <w:kern w:val="22"/>
          <w:szCs w:val="22"/>
          <w:lang w:val="fr-CA"/>
        </w:rPr>
        <w:t xml:space="preserve">être révisées ou adaptées </w:t>
      </w:r>
      <w:r w:rsidR="00420695" w:rsidRPr="00827B06">
        <w:rPr>
          <w:snapToGrid w:val="0"/>
          <w:kern w:val="22"/>
          <w:szCs w:val="22"/>
          <w:lang w:val="fr-CA"/>
        </w:rPr>
        <w:t>en fonction de</w:t>
      </w:r>
      <w:r w:rsidR="00CC63B4" w:rsidRPr="00827B06">
        <w:rPr>
          <w:snapToGrid w:val="0"/>
          <w:kern w:val="22"/>
          <w:szCs w:val="22"/>
          <w:lang w:val="fr-CA"/>
        </w:rPr>
        <w:t xml:space="preserve"> l’objectif du Protocole de Cartagena, selon qu’il convient, et une analyse structurée, afin d’évaluer la mesure dans laquelle ces thèmes </w:t>
      </w:r>
      <w:r w:rsidR="00C3342C" w:rsidRPr="00827B06">
        <w:rPr>
          <w:snapToGrid w:val="0"/>
          <w:kern w:val="22"/>
          <w:szCs w:val="22"/>
          <w:lang w:val="fr-CA"/>
        </w:rPr>
        <w:t>:</w:t>
      </w:r>
    </w:p>
    <w:p w:rsidR="00FF5EE5" w:rsidRPr="00827B06" w:rsidRDefault="00FF5EE5" w:rsidP="00FF5EE5">
      <w:pPr>
        <w:pStyle w:val="Para1"/>
        <w:numPr>
          <w:ilvl w:val="0"/>
          <w:numId w:val="61"/>
        </w:numPr>
        <w:ind w:left="90" w:firstLine="630"/>
        <w:rPr>
          <w:kern w:val="22"/>
          <w:lang w:val="fr-CA"/>
        </w:rPr>
      </w:pPr>
      <w:r w:rsidRPr="00827B06">
        <w:rPr>
          <w:kern w:val="22"/>
          <w:lang w:val="fr-CA"/>
        </w:rPr>
        <w:t>Respectent le champ d’application et l’objectif du Protocole de Cartagena;</w:t>
      </w:r>
    </w:p>
    <w:p w:rsidR="00FF5EE5" w:rsidRPr="00827B06" w:rsidRDefault="00FF5EE5" w:rsidP="00FF5EE5">
      <w:pPr>
        <w:pStyle w:val="Para1"/>
        <w:numPr>
          <w:ilvl w:val="0"/>
          <w:numId w:val="61"/>
        </w:numPr>
        <w:ind w:left="90" w:firstLine="630"/>
        <w:rPr>
          <w:kern w:val="22"/>
          <w:lang w:val="fr-CA"/>
        </w:rPr>
      </w:pPr>
      <w:r w:rsidRPr="00827B06">
        <w:rPr>
          <w:kern w:val="22"/>
          <w:lang w:val="fr-CA"/>
        </w:rPr>
        <w:t>Représentent des difficultés pour les cadres d’évaluation et les méthodes d’évaluation des risques actuels;</w:t>
      </w:r>
    </w:p>
    <w:p w:rsidR="00FF5EE5" w:rsidRPr="00827B06" w:rsidRDefault="00FF5EE5" w:rsidP="00FF5EE5">
      <w:pPr>
        <w:pStyle w:val="Para1"/>
        <w:numPr>
          <w:ilvl w:val="0"/>
          <w:numId w:val="61"/>
        </w:numPr>
        <w:ind w:left="90" w:firstLine="630"/>
        <w:rPr>
          <w:kern w:val="22"/>
          <w:lang w:val="fr-CA"/>
        </w:rPr>
      </w:pPr>
      <w:r w:rsidRPr="00827B06">
        <w:rPr>
          <w:kern w:val="22"/>
          <w:lang w:val="fr-CA"/>
        </w:rPr>
        <w:t>Reposent sur les connaissances et l’expertise technique que possède la grande communauté scientifique;</w:t>
      </w:r>
    </w:p>
    <w:p w:rsidR="00FF5EE5" w:rsidRPr="00827B06" w:rsidRDefault="00FF5EE5" w:rsidP="00FF5EE5">
      <w:pPr>
        <w:pStyle w:val="Para1"/>
        <w:numPr>
          <w:ilvl w:val="0"/>
          <w:numId w:val="61"/>
        </w:numPr>
        <w:tabs>
          <w:tab w:val="left" w:pos="1440"/>
        </w:tabs>
        <w:ind w:left="90" w:firstLine="630"/>
        <w:rPr>
          <w:kern w:val="22"/>
          <w:lang w:val="fr-CA"/>
        </w:rPr>
      </w:pPr>
      <w:r w:rsidRPr="00827B06">
        <w:rPr>
          <w:kern w:val="22"/>
          <w:lang w:val="fr-CA"/>
        </w:rPr>
        <w:t>Portent sur des techniques connaissant des avancées scientifiques et technologiques rapides;</w:t>
      </w:r>
    </w:p>
    <w:p w:rsidR="00FF5EE5" w:rsidRPr="00827B06" w:rsidRDefault="00FF5EE5" w:rsidP="00FF5EE5">
      <w:pPr>
        <w:pStyle w:val="Para1"/>
        <w:numPr>
          <w:ilvl w:val="0"/>
          <w:numId w:val="61"/>
        </w:numPr>
        <w:tabs>
          <w:tab w:val="left" w:pos="1440"/>
        </w:tabs>
        <w:ind w:left="90" w:firstLine="630"/>
        <w:rPr>
          <w:kern w:val="22"/>
          <w:lang w:val="fr-CA"/>
        </w:rPr>
      </w:pPr>
      <w:r w:rsidRPr="00827B06">
        <w:rPr>
          <w:kern w:val="22"/>
          <w:lang w:val="fr-CA"/>
        </w:rPr>
        <w:t>Portent sur des organismes vivants modifiés :</w:t>
      </w:r>
    </w:p>
    <w:p w:rsidR="00BC6E53" w:rsidRPr="00827B06" w:rsidRDefault="00693E2C" w:rsidP="009A2C11">
      <w:pPr>
        <w:pStyle w:val="Para1"/>
        <w:numPr>
          <w:ilvl w:val="0"/>
          <w:numId w:val="62"/>
        </w:numPr>
        <w:tabs>
          <w:tab w:val="left" w:pos="1440"/>
        </w:tabs>
        <w:rPr>
          <w:kern w:val="22"/>
          <w:lang w:val="fr-CA"/>
        </w:rPr>
      </w:pPr>
      <w:r w:rsidRPr="00827B06">
        <w:rPr>
          <w:kern w:val="22"/>
          <w:lang w:val="fr-CA"/>
        </w:rPr>
        <w:t>Pouvant avoir des</w:t>
      </w:r>
      <w:r w:rsidR="00BC6E53" w:rsidRPr="00827B06">
        <w:rPr>
          <w:kern w:val="22"/>
          <w:lang w:val="fr-CA"/>
        </w:rPr>
        <w:t xml:space="preserve"> conséquences néfastes graves ou irréversibles sur la diversité biologique, compte tenu de l’urgence de protéger certains aspects de la diversité biologique tels que les espèces endémiques/rares ou un habitat ou un écosystème unique; </w:t>
      </w:r>
    </w:p>
    <w:p w:rsidR="009A2C11" w:rsidRPr="00827B06" w:rsidRDefault="00BC6E53" w:rsidP="00BC6E53">
      <w:pPr>
        <w:pStyle w:val="Para1"/>
        <w:numPr>
          <w:ilvl w:val="0"/>
          <w:numId w:val="60"/>
        </w:numPr>
        <w:tabs>
          <w:tab w:val="left" w:pos="2160"/>
        </w:tabs>
        <w:ind w:left="2160"/>
        <w:rPr>
          <w:b/>
          <w:kern w:val="22"/>
          <w:lang w:val="fr-CA"/>
        </w:rPr>
      </w:pPr>
      <w:r w:rsidRPr="00827B06">
        <w:rPr>
          <w:kern w:val="22"/>
          <w:lang w:val="fr-CA"/>
        </w:rPr>
        <w:lastRenderedPageBreak/>
        <w:t>Pouvant être introduits dans l’environnement volontairement ou accidentellement;</w:t>
      </w:r>
    </w:p>
    <w:p w:rsidR="009A2C11" w:rsidRPr="00827B06" w:rsidRDefault="00BC6E53" w:rsidP="00BC6E53">
      <w:pPr>
        <w:pStyle w:val="Para1"/>
        <w:numPr>
          <w:ilvl w:val="0"/>
          <w:numId w:val="60"/>
        </w:numPr>
        <w:tabs>
          <w:tab w:val="left" w:pos="2160"/>
        </w:tabs>
        <w:ind w:left="2160"/>
        <w:rPr>
          <w:b/>
          <w:kern w:val="22"/>
          <w:lang w:val="fr-CA"/>
        </w:rPr>
      </w:pPr>
      <w:bookmarkStart w:id="1" w:name="_GoBack"/>
      <w:bookmarkEnd w:id="1"/>
      <w:r w:rsidRPr="00827B06">
        <w:rPr>
          <w:kern w:val="22"/>
          <w:lang w:val="fr-CA"/>
        </w:rPr>
        <w:t xml:space="preserve">Ayant le potentiel de s’étendre </w:t>
      </w:r>
      <w:proofErr w:type="spellStart"/>
      <w:r w:rsidRPr="00827B06">
        <w:rPr>
          <w:kern w:val="22"/>
          <w:lang w:val="fr-CA"/>
        </w:rPr>
        <w:t>au</w:t>
      </w:r>
      <w:r w:rsidR="00F6046B">
        <w:rPr>
          <w:kern w:val="22"/>
          <w:lang w:val="fr-CA"/>
        </w:rPr>
        <w:noBreakHyphen/>
      </w:r>
      <w:r w:rsidRPr="00827B06">
        <w:rPr>
          <w:kern w:val="22"/>
          <w:lang w:val="fr-CA"/>
        </w:rPr>
        <w:t>delà</w:t>
      </w:r>
      <w:proofErr w:type="spellEnd"/>
      <w:r w:rsidRPr="00827B06">
        <w:rPr>
          <w:kern w:val="22"/>
          <w:lang w:val="fr-CA"/>
        </w:rPr>
        <w:t xml:space="preserve"> des frontières territoriales;</w:t>
      </w:r>
    </w:p>
    <w:p w:rsidR="00FF5EE5" w:rsidRPr="00827B06" w:rsidRDefault="00BC6E53" w:rsidP="00BC6E53">
      <w:pPr>
        <w:pStyle w:val="Para1"/>
        <w:numPr>
          <w:ilvl w:val="0"/>
          <w:numId w:val="60"/>
        </w:numPr>
        <w:tabs>
          <w:tab w:val="left" w:pos="2160"/>
        </w:tabs>
        <w:ind w:left="2160"/>
        <w:rPr>
          <w:b/>
          <w:kern w:val="22"/>
          <w:lang w:val="fr-CA"/>
        </w:rPr>
      </w:pPr>
      <w:r w:rsidRPr="00827B06">
        <w:rPr>
          <w:kern w:val="22"/>
          <w:lang w:val="fr-CA"/>
        </w:rPr>
        <w:t>Étant déjà ou susceptibles d’être commercialisées ou utilisées quelque part dans le monde</w:t>
      </w:r>
      <w:r w:rsidR="00FF5EE5" w:rsidRPr="00827B06">
        <w:rPr>
          <w:kern w:val="22"/>
          <w:lang w:val="fr-CA"/>
        </w:rPr>
        <w:t>.</w:t>
      </w:r>
    </w:p>
    <w:p w:rsidR="00D15589" w:rsidRPr="00827B06" w:rsidRDefault="00CA6B87" w:rsidP="00420695">
      <w:pPr>
        <w:spacing w:before="120" w:after="120"/>
        <w:ind w:firstLine="720"/>
        <w:jc w:val="center"/>
        <w:rPr>
          <w:snapToGrid w:val="0"/>
          <w:kern w:val="22"/>
          <w:szCs w:val="22"/>
          <w:lang w:val="fr-CA"/>
        </w:rPr>
      </w:pPr>
      <w:r w:rsidRPr="00827B06">
        <w:rPr>
          <w:snapToGrid w:val="0"/>
          <w:kern w:val="22"/>
          <w:szCs w:val="22"/>
          <w:lang w:val="fr-CA"/>
        </w:rPr>
        <w:t>__________</w:t>
      </w:r>
    </w:p>
    <w:p w:rsidR="00736BC2" w:rsidRPr="00827B06" w:rsidRDefault="00736BC2" w:rsidP="00E10A2E">
      <w:pPr>
        <w:spacing w:before="120" w:after="120"/>
        <w:jc w:val="center"/>
        <w:rPr>
          <w:snapToGrid w:val="0"/>
          <w:kern w:val="22"/>
          <w:szCs w:val="22"/>
          <w:lang w:val="fr-CA"/>
        </w:rPr>
      </w:pPr>
    </w:p>
    <w:sectPr w:rsidR="00736BC2" w:rsidRPr="00827B06" w:rsidSect="00CA1572">
      <w:headerReference w:type="even" r:id="rId15"/>
      <w:headerReference w:type="default" r:id="rId16"/>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2E" w:rsidRDefault="0086152E">
      <w:r>
        <w:separator/>
      </w:r>
    </w:p>
  </w:endnote>
  <w:endnote w:type="continuationSeparator" w:id="0">
    <w:p w:rsidR="0086152E" w:rsidRDefault="008615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2E" w:rsidRDefault="0086152E">
      <w:r>
        <w:separator/>
      </w:r>
    </w:p>
  </w:footnote>
  <w:footnote w:type="continuationSeparator" w:id="0">
    <w:p w:rsidR="0086152E" w:rsidRDefault="0086152E">
      <w:r>
        <w:continuationSeparator/>
      </w:r>
    </w:p>
  </w:footnote>
  <w:footnote w:id="1">
    <w:p w:rsidR="00131DD8" w:rsidRPr="00CB7D69" w:rsidRDefault="00131DD8" w:rsidP="00131DD8">
      <w:pPr>
        <w:pStyle w:val="FootnoteText"/>
        <w:ind w:firstLine="0"/>
        <w:rPr>
          <w:lang w:val="en-CA"/>
        </w:rPr>
      </w:pPr>
      <w:r w:rsidRPr="00CB7D69">
        <w:rPr>
          <w:rStyle w:val="FootnoteReference"/>
          <w:u w:val="none"/>
        </w:rPr>
        <w:t>*</w:t>
      </w:r>
      <w:r>
        <w:t xml:space="preserve"> </w:t>
      </w:r>
      <w:r>
        <w:rPr>
          <w:kern w:val="18"/>
          <w:szCs w:val="18"/>
          <w:lang w:val="fr-CA"/>
        </w:rPr>
        <w:t>Nouveau tirage pour raisons techniques le 27 mai 2018.</w:t>
      </w:r>
    </w:p>
  </w:footnote>
  <w:footnote w:id="2">
    <w:p w:rsidR="00827B06" w:rsidRPr="00827B06" w:rsidRDefault="00827B06" w:rsidP="00827B06">
      <w:pPr>
        <w:pStyle w:val="FootnoteText"/>
        <w:kinsoku w:val="0"/>
        <w:overflowPunct w:val="0"/>
        <w:autoSpaceDE w:val="0"/>
        <w:autoSpaceDN w:val="0"/>
        <w:ind w:firstLine="0"/>
        <w:jc w:val="left"/>
        <w:rPr>
          <w:kern w:val="18"/>
          <w:szCs w:val="18"/>
          <w:lang w:val="fr-CA"/>
        </w:rPr>
      </w:pPr>
      <w:r w:rsidRPr="00827B06">
        <w:rPr>
          <w:kern w:val="18"/>
          <w:szCs w:val="18"/>
          <w:lang w:val="fr-CA"/>
        </w:rPr>
        <w:t>*</w:t>
      </w:r>
      <w:r w:rsidRPr="00827B06">
        <w:rPr>
          <w:rStyle w:val="FootnoteReference"/>
          <w:kern w:val="18"/>
          <w:szCs w:val="18"/>
          <w:u w:val="none"/>
          <w:lang w:val="fr-CA"/>
        </w:rPr>
        <w:t>*</w:t>
      </w:r>
      <w:r w:rsidRPr="00827B06">
        <w:rPr>
          <w:kern w:val="18"/>
          <w:szCs w:val="18"/>
          <w:lang w:val="fr-CA"/>
        </w:rPr>
        <w:t xml:space="preserve"> </w:t>
      </w:r>
      <w:hyperlink r:id="rId1" w:history="1">
        <w:r w:rsidRPr="00827B06">
          <w:rPr>
            <w:rStyle w:val="Hyperlink"/>
            <w:kern w:val="18"/>
            <w:szCs w:val="18"/>
            <w:lang w:val="fr-CA"/>
          </w:rPr>
          <w:t>CBD/SBSTTA/22/1</w:t>
        </w:r>
      </w:hyperlink>
      <w:r w:rsidRPr="00827B06">
        <w:rPr>
          <w:kern w:val="18"/>
          <w:szCs w:val="18"/>
          <w:lang w:val="fr-CA"/>
        </w:rPr>
        <w:t>.</w:t>
      </w:r>
    </w:p>
  </w:footnote>
  <w:footnote w:id="3">
    <w:p w:rsidR="00EE27CC" w:rsidRPr="00827B06" w:rsidRDefault="00EE27CC" w:rsidP="00FD5C7D">
      <w:pPr>
        <w:pStyle w:val="FootnoteText"/>
        <w:ind w:firstLine="0"/>
        <w:rPr>
          <w:lang w:val="fr-CA"/>
        </w:rPr>
      </w:pPr>
      <w:r w:rsidRPr="00827B06">
        <w:rPr>
          <w:rStyle w:val="FootnoteReference"/>
          <w:u w:val="none"/>
          <w:vertAlign w:val="superscript"/>
          <w:lang w:val="fr-CA"/>
        </w:rPr>
        <w:footnoteRef/>
      </w:r>
      <w:r w:rsidRPr="00827B06">
        <w:rPr>
          <w:lang w:val="fr-CA"/>
        </w:rPr>
        <w:t xml:space="preserve"> SCBD/SPS/DC/MPM/MW/86376. </w:t>
      </w:r>
    </w:p>
  </w:footnote>
  <w:footnote w:id="4">
    <w:p w:rsidR="00174832" w:rsidRPr="00827B06" w:rsidRDefault="00174832" w:rsidP="00174832">
      <w:pPr>
        <w:pStyle w:val="FootnoteText"/>
        <w:ind w:firstLine="0"/>
        <w:rPr>
          <w:lang w:val="fr-CA"/>
        </w:rPr>
      </w:pPr>
      <w:r w:rsidRPr="00827B06">
        <w:rPr>
          <w:rStyle w:val="FootnoteReference"/>
          <w:u w:val="none"/>
          <w:vertAlign w:val="superscript"/>
          <w:lang w:val="fr-CA"/>
        </w:rPr>
        <w:footnoteRef/>
      </w:r>
      <w:r w:rsidRPr="00827B06">
        <w:rPr>
          <w:lang w:val="fr-CA"/>
        </w:rPr>
        <w:t xml:space="preserve"> </w:t>
      </w:r>
      <w:r w:rsidR="000A7ABD" w:rsidRPr="00827B06">
        <w:rPr>
          <w:lang w:val="fr-CA"/>
        </w:rPr>
        <w:t>Les discussions sont publiées sur le site</w:t>
      </w:r>
      <w:r w:rsidRPr="00827B06">
        <w:rPr>
          <w:lang w:val="fr-CA"/>
        </w:rPr>
        <w:t xml:space="preserve"> </w:t>
      </w:r>
      <w:hyperlink r:id="rId2" w:history="1">
        <w:r w:rsidRPr="00827B06">
          <w:rPr>
            <w:rStyle w:val="Hyperlink"/>
            <w:lang w:val="fr-CA"/>
          </w:rPr>
          <w:t>https://bch.cbd.int/onlineconferences/forum_ra/discussion.shtml</w:t>
        </w:r>
      </w:hyperlink>
      <w:r w:rsidRPr="00827B06">
        <w:rPr>
          <w:lang w:val="fr-CA"/>
        </w:rPr>
        <w:t xml:space="preserve">. </w:t>
      </w:r>
    </w:p>
  </w:footnote>
  <w:footnote w:id="5">
    <w:p w:rsidR="00174832" w:rsidRPr="00827B06" w:rsidRDefault="00174832" w:rsidP="00174832">
      <w:pPr>
        <w:rPr>
          <w:sz w:val="18"/>
          <w:szCs w:val="18"/>
          <w:lang w:val="fr-CA"/>
        </w:rPr>
      </w:pPr>
      <w:r w:rsidRPr="00827B06">
        <w:rPr>
          <w:rStyle w:val="FootnoteReference"/>
          <w:u w:val="none"/>
          <w:vertAlign w:val="superscript"/>
          <w:lang w:val="fr-CA"/>
        </w:rPr>
        <w:footnoteRef/>
      </w:r>
      <w:r w:rsidRPr="00827B06">
        <w:rPr>
          <w:lang w:val="fr-CA"/>
        </w:rPr>
        <w:t xml:space="preserve"> </w:t>
      </w:r>
      <w:hyperlink r:id="rId3" w:history="1">
        <w:r w:rsidRPr="00827B06">
          <w:rPr>
            <w:rStyle w:val="Hyperlink"/>
            <w:sz w:val="18"/>
            <w:szCs w:val="18"/>
            <w:lang w:val="fr-CA"/>
          </w:rPr>
          <w:t>https://bch.cbd.int/onlineconferences/forum_ra/peer</w:t>
        </w:r>
        <w:r w:rsidR="00F6046B">
          <w:rPr>
            <w:rStyle w:val="Hyperlink"/>
            <w:sz w:val="18"/>
            <w:szCs w:val="18"/>
            <w:lang w:val="fr-CA"/>
          </w:rPr>
          <w:noBreakHyphen/>
        </w:r>
        <w:r w:rsidRPr="00827B06">
          <w:rPr>
            <w:rStyle w:val="Hyperlink"/>
            <w:sz w:val="18"/>
            <w:szCs w:val="18"/>
            <w:lang w:val="fr-CA"/>
          </w:rPr>
          <w:t>review.shtml</w:t>
        </w:r>
      </w:hyperlink>
      <w:r w:rsidR="00133476" w:rsidRPr="00827B06">
        <w:rPr>
          <w:rStyle w:val="Hyperlink"/>
          <w:color w:val="auto"/>
          <w:sz w:val="18"/>
          <w:szCs w:val="18"/>
          <w:u w:val="none"/>
          <w:lang w:val="fr-CA"/>
        </w:rPr>
        <w:t>.</w:t>
      </w:r>
    </w:p>
    <w:p w:rsidR="00174832" w:rsidRPr="00827B06" w:rsidRDefault="00174832" w:rsidP="00174832">
      <w:pPr>
        <w:pStyle w:val="FootnoteText"/>
        <w:ind w:firstLine="0"/>
        <w:rPr>
          <w:lang w:val="fr-CA"/>
        </w:rPr>
      </w:pPr>
    </w:p>
  </w:footnote>
  <w:footnote w:id="6">
    <w:p w:rsidR="00767B3E" w:rsidRPr="00827B06" w:rsidRDefault="00767B3E" w:rsidP="00767B3E">
      <w:pPr>
        <w:pStyle w:val="FootnoteText"/>
        <w:ind w:firstLine="0"/>
        <w:rPr>
          <w:lang w:val="fr-CA"/>
        </w:rPr>
      </w:pPr>
      <w:r w:rsidRPr="00827B06">
        <w:rPr>
          <w:rStyle w:val="FootnoteReference"/>
          <w:sz w:val="22"/>
          <w:szCs w:val="22"/>
          <w:u w:val="none"/>
          <w:vertAlign w:val="superscript"/>
          <w:lang w:val="fr-CA"/>
        </w:rPr>
        <w:footnoteRef/>
      </w:r>
      <w:r w:rsidRPr="00827B06">
        <w:rPr>
          <w:lang w:val="fr-CA"/>
        </w:rPr>
        <w:t xml:space="preserve"> </w:t>
      </w:r>
      <w:r w:rsidR="00BA24E0" w:rsidRPr="00827B06">
        <w:rPr>
          <w:kern w:val="22"/>
          <w:lang w:val="fr-CA"/>
        </w:rPr>
        <w:t>Voir</w:t>
      </w:r>
      <w:r w:rsidRPr="00827B06">
        <w:rPr>
          <w:kern w:val="22"/>
          <w:lang w:val="fr-CA"/>
        </w:rPr>
        <w:t xml:space="preserve"> CBD/SBSTTA/22/4.</w:t>
      </w:r>
    </w:p>
  </w:footnote>
  <w:footnote w:id="7">
    <w:p w:rsidR="005A2FEA" w:rsidRPr="00827B06" w:rsidRDefault="005A2FEA" w:rsidP="005A2FEA">
      <w:pPr>
        <w:pStyle w:val="FootnoteText"/>
        <w:kinsoku w:val="0"/>
        <w:overflowPunct w:val="0"/>
        <w:autoSpaceDE w:val="0"/>
        <w:autoSpaceDN w:val="0"/>
        <w:ind w:firstLine="0"/>
        <w:jc w:val="left"/>
        <w:rPr>
          <w:kern w:val="18"/>
          <w:lang w:val="fr-CA"/>
        </w:rPr>
      </w:pPr>
      <w:r w:rsidRPr="00827B06">
        <w:rPr>
          <w:rStyle w:val="FootnoteReference"/>
          <w:kern w:val="18"/>
          <w:u w:val="none"/>
          <w:vertAlign w:val="superscript"/>
          <w:lang w:val="fr-CA"/>
        </w:rPr>
        <w:footnoteRef/>
      </w:r>
      <w:r w:rsidRPr="00827B06">
        <w:rPr>
          <w:kern w:val="18"/>
          <w:lang w:val="fr-CA"/>
        </w:rPr>
        <w:t xml:space="preserve"> Annexe III à la </w:t>
      </w:r>
      <w:hyperlink r:id="rId4" w:history="1">
        <w:r w:rsidRPr="00827B06">
          <w:rPr>
            <w:rStyle w:val="Hyperlink"/>
            <w:kern w:val="18"/>
            <w:lang w:val="fr-CA"/>
          </w:rPr>
          <w:t>décision VIII/10</w:t>
        </w:r>
      </w:hyperlink>
      <w:r w:rsidRPr="00827B06">
        <w:rPr>
          <w:kern w:val="18"/>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napToGrid w:val="0"/>
        <w:kern w:val="22"/>
        <w:szCs w:val="22"/>
        <w:lang w:val="en-US"/>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EE27CC" w:rsidRDefault="00E10A2E" w:rsidP="005440A6">
        <w:pPr>
          <w:pStyle w:val="Header"/>
          <w:tabs>
            <w:tab w:val="clear" w:pos="4320"/>
            <w:tab w:val="clear" w:pos="8640"/>
          </w:tabs>
          <w:jc w:val="left"/>
          <w:rPr>
            <w:noProof/>
            <w:kern w:val="22"/>
          </w:rPr>
        </w:pPr>
        <w:r w:rsidRPr="00E10A2E">
          <w:rPr>
            <w:snapToGrid w:val="0"/>
            <w:kern w:val="22"/>
            <w:szCs w:val="22"/>
            <w:lang w:val="en-US"/>
          </w:rPr>
          <w:t>CBD/SBSTTA/22/</w:t>
        </w:r>
        <w:r>
          <w:rPr>
            <w:snapToGrid w:val="0"/>
            <w:kern w:val="22"/>
            <w:szCs w:val="22"/>
            <w:lang w:val="en-US"/>
          </w:rPr>
          <w:t>3</w:t>
        </w:r>
      </w:p>
    </w:sdtContent>
  </w:sdt>
  <w:p w:rsidR="00EE27CC" w:rsidRPr="005440A6" w:rsidRDefault="00EE27CC" w:rsidP="005440A6">
    <w:pPr>
      <w:pStyle w:val="Header"/>
      <w:tabs>
        <w:tab w:val="clear" w:pos="4320"/>
        <w:tab w:val="clear" w:pos="8640"/>
      </w:tabs>
      <w:jc w:val="left"/>
      <w:rPr>
        <w:noProof/>
        <w:kern w:val="22"/>
      </w:rPr>
    </w:pPr>
    <w:r w:rsidRPr="005440A6">
      <w:rPr>
        <w:noProof/>
        <w:kern w:val="22"/>
      </w:rPr>
      <w:t xml:space="preserve">Page </w:t>
    </w:r>
    <w:r w:rsidR="00233A21" w:rsidRPr="005440A6">
      <w:rPr>
        <w:noProof/>
        <w:kern w:val="22"/>
      </w:rPr>
      <w:fldChar w:fldCharType="begin"/>
    </w:r>
    <w:r w:rsidRPr="005440A6">
      <w:rPr>
        <w:noProof/>
        <w:kern w:val="22"/>
      </w:rPr>
      <w:instrText xml:space="preserve"> PAGE   \* MERGEFORMAT </w:instrText>
    </w:r>
    <w:r w:rsidR="00233A21" w:rsidRPr="005440A6">
      <w:rPr>
        <w:noProof/>
        <w:kern w:val="22"/>
      </w:rPr>
      <w:fldChar w:fldCharType="separate"/>
    </w:r>
    <w:r w:rsidR="00F67FA3">
      <w:rPr>
        <w:noProof/>
        <w:kern w:val="22"/>
      </w:rPr>
      <w:t>6</w:t>
    </w:r>
    <w:r w:rsidR="00233A21" w:rsidRPr="005440A6">
      <w:rPr>
        <w:noProof/>
        <w:kern w:val="22"/>
      </w:rPr>
      <w:fldChar w:fldCharType="end"/>
    </w:r>
  </w:p>
  <w:p w:rsidR="00EE27CC" w:rsidRPr="005440A6" w:rsidRDefault="00EE27CC" w:rsidP="005440A6">
    <w:pPr>
      <w:pStyle w:val="Header"/>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rsidR="00EE27CC" w:rsidRPr="005440A6" w:rsidRDefault="00E10A2E" w:rsidP="00BE45DE">
        <w:pPr>
          <w:pStyle w:val="Header"/>
          <w:tabs>
            <w:tab w:val="clear" w:pos="4320"/>
            <w:tab w:val="clear" w:pos="8640"/>
          </w:tabs>
          <w:jc w:val="right"/>
          <w:rPr>
            <w:noProof/>
            <w:kern w:val="22"/>
          </w:rPr>
        </w:pPr>
        <w:r>
          <w:rPr>
            <w:noProof/>
            <w:kern w:val="22"/>
            <w:lang w:val="en-US"/>
          </w:rPr>
          <w:t>CBD/SBSTTA/22/3</w:t>
        </w:r>
      </w:p>
    </w:sdtContent>
  </w:sdt>
  <w:p w:rsidR="00EE27CC" w:rsidRPr="005440A6" w:rsidRDefault="00EE27CC" w:rsidP="005440A6">
    <w:pPr>
      <w:pStyle w:val="Header"/>
      <w:tabs>
        <w:tab w:val="clear" w:pos="4320"/>
        <w:tab w:val="clear" w:pos="8640"/>
      </w:tabs>
      <w:jc w:val="right"/>
      <w:rPr>
        <w:noProof/>
        <w:kern w:val="22"/>
      </w:rPr>
    </w:pPr>
    <w:r w:rsidRPr="005440A6">
      <w:rPr>
        <w:noProof/>
        <w:kern w:val="22"/>
      </w:rPr>
      <w:t xml:space="preserve">Page </w:t>
    </w:r>
    <w:r w:rsidR="00233A21" w:rsidRPr="005440A6">
      <w:rPr>
        <w:noProof/>
        <w:kern w:val="22"/>
      </w:rPr>
      <w:fldChar w:fldCharType="begin"/>
    </w:r>
    <w:r w:rsidRPr="005440A6">
      <w:rPr>
        <w:noProof/>
        <w:kern w:val="22"/>
      </w:rPr>
      <w:instrText xml:space="preserve"> PAGE   \* MERGEFORMAT </w:instrText>
    </w:r>
    <w:r w:rsidR="00233A21" w:rsidRPr="005440A6">
      <w:rPr>
        <w:noProof/>
        <w:kern w:val="22"/>
      </w:rPr>
      <w:fldChar w:fldCharType="separate"/>
    </w:r>
    <w:r w:rsidR="00F67FA3">
      <w:rPr>
        <w:noProof/>
        <w:kern w:val="22"/>
      </w:rPr>
      <w:t>5</w:t>
    </w:r>
    <w:r w:rsidR="00233A21" w:rsidRPr="005440A6">
      <w:rPr>
        <w:noProof/>
        <w:kern w:val="22"/>
      </w:rPr>
      <w:fldChar w:fldCharType="end"/>
    </w:r>
  </w:p>
  <w:p w:rsidR="00EE27CC" w:rsidRPr="005440A6" w:rsidRDefault="00EE27CC" w:rsidP="005440A6">
    <w:pPr>
      <w:pStyle w:val="Header"/>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1.6pt;height:408.8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30701"/>
    <w:multiLevelType w:val="hybridMultilevel"/>
    <w:tmpl w:val="D3527F5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0C6F3588"/>
    <w:multiLevelType w:val="hybridMultilevel"/>
    <w:tmpl w:val="7A36E048"/>
    <w:lvl w:ilvl="0" w:tplc="B71AD2A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2C56"/>
    <w:multiLevelType w:val="hybridMultilevel"/>
    <w:tmpl w:val="39942C16"/>
    <w:lvl w:ilvl="0" w:tplc="43E8948E">
      <w:start w:val="1"/>
      <w:numFmt w:val="decimal"/>
      <w:lvlText w:val="%1."/>
      <w:lvlJc w:val="left"/>
      <w:pPr>
        <w:ind w:left="0" w:hanging="360"/>
      </w:pPr>
      <w:rPr>
        <w:rFonts w:hint="default"/>
      </w:rPr>
    </w:lvl>
    <w:lvl w:ilvl="1" w:tplc="E3526AD2">
      <w:start w:val="1"/>
      <w:numFmt w:val="lowerLetter"/>
      <w:lvlText w:val="(%2)"/>
      <w:lvlJc w:val="left"/>
      <w:pPr>
        <w:ind w:left="153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D5C3974"/>
    <w:multiLevelType w:val="hybridMultilevel"/>
    <w:tmpl w:val="EDA0C968"/>
    <w:lvl w:ilvl="0" w:tplc="1AD2708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E7E4B"/>
    <w:multiLevelType w:val="hybridMultilevel"/>
    <w:tmpl w:val="B3A428E0"/>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52FE6"/>
    <w:multiLevelType w:val="hybridMultilevel"/>
    <w:tmpl w:val="8B70BD72"/>
    <w:lvl w:ilvl="0" w:tplc="558C4D0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110EF6"/>
    <w:multiLevelType w:val="hybridMultilevel"/>
    <w:tmpl w:val="C2FA709A"/>
    <w:lvl w:ilvl="0" w:tplc="2D9AB3A2">
      <w:start w:val="2"/>
      <w:numFmt w:val="lowerRoman"/>
      <w:lvlText w:val="%1)"/>
      <w:lvlJc w:val="left"/>
      <w:pPr>
        <w:ind w:left="1440" w:hanging="72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39174DC"/>
    <w:multiLevelType w:val="hybridMultilevel"/>
    <w:tmpl w:val="C8CE1B64"/>
    <w:lvl w:ilvl="0" w:tplc="1409000F">
      <w:start w:val="1"/>
      <w:numFmt w:val="decimal"/>
      <w:lvlText w:val="%1."/>
      <w:lvlJc w:val="left"/>
      <w:pPr>
        <w:ind w:left="720" w:hanging="360"/>
      </w:pPr>
      <w:rPr>
        <w:rFonts w:hint="default"/>
      </w:rPr>
    </w:lvl>
    <w:lvl w:ilvl="1" w:tplc="A574C79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72B26B9"/>
    <w:multiLevelType w:val="hybridMultilevel"/>
    <w:tmpl w:val="9CB2D1D4"/>
    <w:lvl w:ilvl="0" w:tplc="A4D89AC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2">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E43C91"/>
    <w:multiLevelType w:val="singleLevel"/>
    <w:tmpl w:val="7174E9C0"/>
    <w:lvl w:ilvl="0">
      <w:start w:val="1"/>
      <w:numFmt w:val="decimal"/>
      <w:lvlText w:val="%1."/>
      <w:lvlJc w:val="left"/>
      <w:pPr>
        <w:tabs>
          <w:tab w:val="num" w:pos="360"/>
        </w:tabs>
        <w:ind w:left="0" w:firstLine="0"/>
      </w:pPr>
    </w:lvl>
  </w:abstractNum>
  <w:abstractNum w:abstractNumId="24">
    <w:nsid w:val="3F514AC8"/>
    <w:multiLevelType w:val="hybridMultilevel"/>
    <w:tmpl w:val="BC4894D0"/>
    <w:lvl w:ilvl="0" w:tplc="6BFAC296">
      <w:start w:val="1"/>
      <w:numFmt w:val="lowerRoman"/>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E33121"/>
    <w:multiLevelType w:val="hybridMultilevel"/>
    <w:tmpl w:val="6FE4E62C"/>
    <w:lvl w:ilvl="0" w:tplc="139A6684">
      <w:start w:val="2"/>
      <w:numFmt w:val="low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3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1AB46B2"/>
    <w:multiLevelType w:val="hybridMultilevel"/>
    <w:tmpl w:val="BD029A54"/>
    <w:lvl w:ilvl="0" w:tplc="38266998">
      <w:start w:val="1"/>
      <w:numFmt w:val="lowerLetter"/>
      <w:lvlText w:val="%1)"/>
      <w:lvlJc w:val="left"/>
      <w:pPr>
        <w:ind w:left="720" w:hanging="360"/>
      </w:pPr>
      <w:rPr>
        <w:rFonts w:ascii="Times New Roman" w:eastAsia="Times New Roman" w:hAnsi="Times New Roman" w:cs="Times New Roman"/>
      </w:rPr>
    </w:lvl>
    <w:lvl w:ilvl="1" w:tplc="EEAA9C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B516B6E"/>
    <w:multiLevelType w:val="hybridMultilevel"/>
    <w:tmpl w:val="420E825E"/>
    <w:lvl w:ilvl="0" w:tplc="9D460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7">
    <w:nsid w:val="5FFE687C"/>
    <w:multiLevelType w:val="hybridMultilevel"/>
    <w:tmpl w:val="69FEBEB2"/>
    <w:lvl w:ilvl="0" w:tplc="358483CE">
      <w:start w:val="1"/>
      <w:numFmt w:val="decimal"/>
      <w:lvlText w:val="%1."/>
      <w:lvlJc w:val="left"/>
      <w:pPr>
        <w:ind w:left="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8152D7"/>
    <w:multiLevelType w:val="hybridMultilevel"/>
    <w:tmpl w:val="ABC89BF0"/>
    <w:lvl w:ilvl="0" w:tplc="55365902">
      <w:start w:val="1"/>
      <w:numFmt w:val="lowerRoman"/>
      <w:lvlText w:val="%1)"/>
      <w:lvlJc w:val="left"/>
      <w:pPr>
        <w:ind w:left="2160" w:hanging="72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1">
    <w:nsid w:val="6DF406B6"/>
    <w:multiLevelType w:val="hybridMultilevel"/>
    <w:tmpl w:val="1E8084FE"/>
    <w:lvl w:ilvl="0" w:tplc="BD806D2E">
      <w:start w:val="1"/>
      <w:numFmt w:val="lowerLetter"/>
      <w:lvlText w:val="%1)"/>
      <w:lvlJc w:val="left"/>
      <w:pPr>
        <w:ind w:left="2160" w:hanging="72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2">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A41DE5"/>
    <w:multiLevelType w:val="hybridMultilevel"/>
    <w:tmpl w:val="C10ECDE6"/>
    <w:lvl w:ilvl="0" w:tplc="9AE86712">
      <w:start w:val="1"/>
      <w:numFmt w:val="decimal"/>
      <w:lvlText w:val="%1."/>
      <w:lvlJc w:val="left"/>
      <w:pPr>
        <w:ind w:left="720" w:hanging="360"/>
      </w:pPr>
      <w:rPr>
        <w:rFonts w:hint="default"/>
        <w:b w:val="0"/>
      </w:rPr>
    </w:lvl>
    <w:lvl w:ilvl="1" w:tplc="A574C79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44719D8"/>
    <w:multiLevelType w:val="hybridMultilevel"/>
    <w:tmpl w:val="0A12D83C"/>
    <w:lvl w:ilvl="0" w:tplc="F9D04BA0">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5076A08"/>
    <w:multiLevelType w:val="hybridMultilevel"/>
    <w:tmpl w:val="16E6F396"/>
    <w:lvl w:ilvl="0" w:tplc="0AE0994E">
      <w:start w:val="7"/>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C6744"/>
    <w:multiLevelType w:val="hybridMultilevel"/>
    <w:tmpl w:val="EDCC3E8C"/>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42"/>
  </w:num>
  <w:num w:numId="5">
    <w:abstractNumId w:val="19"/>
  </w:num>
  <w:num w:numId="6">
    <w:abstractNumId w:val="30"/>
  </w:num>
  <w:num w:numId="7">
    <w:abstractNumId w:val="25"/>
  </w:num>
  <w:num w:numId="8">
    <w:abstractNumId w:val="22"/>
  </w:num>
  <w:num w:numId="9">
    <w:abstractNumId w:val="30"/>
  </w:num>
  <w:num w:numId="10">
    <w:abstractNumId w:val="28"/>
  </w:num>
  <w:num w:numId="11">
    <w:abstractNumId w:val="23"/>
  </w:num>
  <w:num w:numId="12">
    <w:abstractNumId w:val="13"/>
  </w:num>
  <w:num w:numId="13">
    <w:abstractNumId w:val="27"/>
  </w:num>
  <w:num w:numId="14">
    <w:abstractNumId w:val="1"/>
  </w:num>
  <w:num w:numId="15">
    <w:abstractNumId w:val="46"/>
  </w:num>
  <w:num w:numId="16">
    <w:abstractNumId w:val="34"/>
  </w:num>
  <w:num w:numId="17">
    <w:abstractNumId w:val="12"/>
  </w:num>
  <w:num w:numId="18">
    <w:abstractNumId w:val="30"/>
    <w:lvlOverride w:ilvl="0">
      <w:startOverride w:val="1"/>
    </w:lvlOverride>
    <w:lvlOverride w:ilvl="1">
      <w:startOverride w:val="1"/>
    </w:lvlOverride>
    <w:lvlOverride w:ilvl="2">
      <w:startOverride w:val="2"/>
    </w:lvlOverride>
  </w:num>
  <w:num w:numId="19">
    <w:abstractNumId w:val="30"/>
    <w:lvlOverride w:ilvl="0">
      <w:startOverride w:val="1"/>
    </w:lvlOverride>
    <w:lvlOverride w:ilvl="1">
      <w:startOverride w:val="1"/>
    </w:lvlOverride>
    <w:lvlOverride w:ilvl="2">
      <w:startOverride w:val="3"/>
    </w:lvlOverride>
  </w:num>
  <w:num w:numId="20">
    <w:abstractNumId w:val="11"/>
  </w:num>
  <w:num w:numId="21">
    <w:abstractNumId w:val="35"/>
  </w:num>
  <w:num w:numId="22">
    <w:abstractNumId w:val="32"/>
  </w:num>
  <w:num w:numId="23">
    <w:abstractNumId w:val="14"/>
  </w:num>
  <w:num w:numId="24">
    <w:abstractNumId w:val="38"/>
  </w:num>
  <w:num w:numId="25">
    <w:abstractNumId w:val="39"/>
  </w:num>
  <w:num w:numId="26">
    <w:abstractNumId w:val="26"/>
  </w:num>
  <w:num w:numId="27">
    <w:abstractNumId w:val="30"/>
  </w:num>
  <w:num w:numId="28">
    <w:abstractNumId w:val="30"/>
  </w:num>
  <w:num w:numId="29">
    <w:abstractNumId w:val="30"/>
  </w:num>
  <w:num w:numId="30">
    <w:abstractNumId w:val="30"/>
  </w:num>
  <w:num w:numId="31">
    <w:abstractNumId w:val="2"/>
  </w:num>
  <w:num w:numId="32">
    <w:abstractNumId w:val="7"/>
  </w:num>
  <w:num w:numId="33">
    <w:abstractNumId w:val="9"/>
  </w:num>
  <w:num w:numId="34">
    <w:abstractNumId w:val="0"/>
  </w:num>
  <w:num w:numId="35">
    <w:abstractNumId w:val="36"/>
  </w:num>
  <w:num w:numId="36">
    <w:abstractNumId w:val="30"/>
  </w:num>
  <w:num w:numId="37">
    <w:abstractNumId w:val="44"/>
  </w:num>
  <w:num w:numId="38">
    <w:abstractNumId w:val="4"/>
  </w:num>
  <w:num w:numId="39">
    <w:abstractNumId w:val="3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43"/>
  </w:num>
  <w:num w:numId="43">
    <w:abstractNumId w:val="45"/>
  </w:num>
  <w:num w:numId="44">
    <w:abstractNumId w:val="20"/>
  </w:num>
  <w:num w:numId="45">
    <w:abstractNumId w:val="30"/>
  </w:num>
  <w:num w:numId="46">
    <w:abstractNumId w:val="33"/>
  </w:num>
  <w:num w:numId="47">
    <w:abstractNumId w:val="30"/>
  </w:num>
  <w:num w:numId="48">
    <w:abstractNumId w:val="24"/>
  </w:num>
  <w:num w:numId="49">
    <w:abstractNumId w:val="37"/>
  </w:num>
  <w:num w:numId="50">
    <w:abstractNumId w:val="5"/>
  </w:num>
  <w:num w:numId="51">
    <w:abstractNumId w:val="30"/>
  </w:num>
  <w:num w:numId="52">
    <w:abstractNumId w:val="30"/>
  </w:num>
  <w:num w:numId="53">
    <w:abstractNumId w:val="10"/>
  </w:num>
  <w:num w:numId="54">
    <w:abstractNumId w:val="47"/>
  </w:num>
  <w:num w:numId="55">
    <w:abstractNumId w:val="8"/>
  </w:num>
  <w:num w:numId="56">
    <w:abstractNumId w:val="6"/>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9"/>
  </w:num>
  <w:num w:numId="60">
    <w:abstractNumId w:val="17"/>
  </w:num>
  <w:num w:numId="61">
    <w:abstractNumId w:val="41"/>
  </w:num>
  <w:num w:numId="62">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5B3B"/>
    <w:rsid w:val="000051E4"/>
    <w:rsid w:val="00012931"/>
    <w:rsid w:val="000204C0"/>
    <w:rsid w:val="000219AC"/>
    <w:rsid w:val="00021F65"/>
    <w:rsid w:val="000251D4"/>
    <w:rsid w:val="00031D24"/>
    <w:rsid w:val="00034E35"/>
    <w:rsid w:val="00035949"/>
    <w:rsid w:val="00037873"/>
    <w:rsid w:val="00051A90"/>
    <w:rsid w:val="0005302C"/>
    <w:rsid w:val="00054381"/>
    <w:rsid w:val="00057C2B"/>
    <w:rsid w:val="000711E1"/>
    <w:rsid w:val="00072A44"/>
    <w:rsid w:val="00073708"/>
    <w:rsid w:val="00074334"/>
    <w:rsid w:val="000828C3"/>
    <w:rsid w:val="00093DDC"/>
    <w:rsid w:val="000A2915"/>
    <w:rsid w:val="000A58D7"/>
    <w:rsid w:val="000A7ABD"/>
    <w:rsid w:val="000C748E"/>
    <w:rsid w:val="000D06B5"/>
    <w:rsid w:val="000D31C8"/>
    <w:rsid w:val="000E637D"/>
    <w:rsid w:val="000E7E6A"/>
    <w:rsid w:val="000F63AB"/>
    <w:rsid w:val="000F76D7"/>
    <w:rsid w:val="00102D5A"/>
    <w:rsid w:val="001032B6"/>
    <w:rsid w:val="001041E5"/>
    <w:rsid w:val="0011127D"/>
    <w:rsid w:val="0012214B"/>
    <w:rsid w:val="00124F5C"/>
    <w:rsid w:val="00131DD8"/>
    <w:rsid w:val="00133476"/>
    <w:rsid w:val="00136DC4"/>
    <w:rsid w:val="001424AE"/>
    <w:rsid w:val="00153E4C"/>
    <w:rsid w:val="00166367"/>
    <w:rsid w:val="00166A3C"/>
    <w:rsid w:val="00174832"/>
    <w:rsid w:val="00177EF9"/>
    <w:rsid w:val="00192E06"/>
    <w:rsid w:val="001A00D4"/>
    <w:rsid w:val="001A5072"/>
    <w:rsid w:val="001A7D25"/>
    <w:rsid w:val="001E6C3B"/>
    <w:rsid w:val="001F6379"/>
    <w:rsid w:val="001F6A19"/>
    <w:rsid w:val="00203791"/>
    <w:rsid w:val="00204415"/>
    <w:rsid w:val="002047AE"/>
    <w:rsid w:val="00207A6E"/>
    <w:rsid w:val="00224B92"/>
    <w:rsid w:val="00230847"/>
    <w:rsid w:val="00233A21"/>
    <w:rsid w:val="002357E1"/>
    <w:rsid w:val="00252897"/>
    <w:rsid w:val="00262C97"/>
    <w:rsid w:val="0027430E"/>
    <w:rsid w:val="002910D1"/>
    <w:rsid w:val="002B0942"/>
    <w:rsid w:val="002C213F"/>
    <w:rsid w:val="002F10BB"/>
    <w:rsid w:val="00320D75"/>
    <w:rsid w:val="003210FF"/>
    <w:rsid w:val="00325A4D"/>
    <w:rsid w:val="00325DE3"/>
    <w:rsid w:val="00336766"/>
    <w:rsid w:val="003367F7"/>
    <w:rsid w:val="003374B3"/>
    <w:rsid w:val="00341A86"/>
    <w:rsid w:val="00342B90"/>
    <w:rsid w:val="00353B65"/>
    <w:rsid w:val="00383A0A"/>
    <w:rsid w:val="00386C54"/>
    <w:rsid w:val="003A1852"/>
    <w:rsid w:val="003A7F48"/>
    <w:rsid w:val="003B10B9"/>
    <w:rsid w:val="003B4E98"/>
    <w:rsid w:val="003C113F"/>
    <w:rsid w:val="003E2DAE"/>
    <w:rsid w:val="003F6E44"/>
    <w:rsid w:val="00406BC6"/>
    <w:rsid w:val="00420695"/>
    <w:rsid w:val="004437F4"/>
    <w:rsid w:val="0044424E"/>
    <w:rsid w:val="0044496E"/>
    <w:rsid w:val="0044787F"/>
    <w:rsid w:val="0045320B"/>
    <w:rsid w:val="00487046"/>
    <w:rsid w:val="00493615"/>
    <w:rsid w:val="004B597A"/>
    <w:rsid w:val="004C5DA7"/>
    <w:rsid w:val="004E10F2"/>
    <w:rsid w:val="004F737F"/>
    <w:rsid w:val="00500530"/>
    <w:rsid w:val="005032C9"/>
    <w:rsid w:val="00504475"/>
    <w:rsid w:val="00516C26"/>
    <w:rsid w:val="00536DC2"/>
    <w:rsid w:val="005440A6"/>
    <w:rsid w:val="00552B22"/>
    <w:rsid w:val="005947F1"/>
    <w:rsid w:val="005955D2"/>
    <w:rsid w:val="00596B10"/>
    <w:rsid w:val="005A2FEA"/>
    <w:rsid w:val="005A4284"/>
    <w:rsid w:val="005A544F"/>
    <w:rsid w:val="005B1067"/>
    <w:rsid w:val="005D139C"/>
    <w:rsid w:val="005D1B59"/>
    <w:rsid w:val="005D4DA1"/>
    <w:rsid w:val="005F4C74"/>
    <w:rsid w:val="00607902"/>
    <w:rsid w:val="00624268"/>
    <w:rsid w:val="006260D5"/>
    <w:rsid w:val="00642DA0"/>
    <w:rsid w:val="006507F2"/>
    <w:rsid w:val="00680DC0"/>
    <w:rsid w:val="00690847"/>
    <w:rsid w:val="00692CFA"/>
    <w:rsid w:val="00693E2C"/>
    <w:rsid w:val="006B074E"/>
    <w:rsid w:val="006B23B9"/>
    <w:rsid w:val="006B2BD5"/>
    <w:rsid w:val="006B52D0"/>
    <w:rsid w:val="006D0E3D"/>
    <w:rsid w:val="006F284C"/>
    <w:rsid w:val="006F7227"/>
    <w:rsid w:val="00702366"/>
    <w:rsid w:val="007163BC"/>
    <w:rsid w:val="00730AE3"/>
    <w:rsid w:val="00735B2A"/>
    <w:rsid w:val="00736BC2"/>
    <w:rsid w:val="00742DA3"/>
    <w:rsid w:val="00747F9F"/>
    <w:rsid w:val="00756593"/>
    <w:rsid w:val="00767B3E"/>
    <w:rsid w:val="00772243"/>
    <w:rsid w:val="0079325E"/>
    <w:rsid w:val="007A5441"/>
    <w:rsid w:val="007B1587"/>
    <w:rsid w:val="007C5285"/>
    <w:rsid w:val="007C633B"/>
    <w:rsid w:val="007D3182"/>
    <w:rsid w:val="00800161"/>
    <w:rsid w:val="00810109"/>
    <w:rsid w:val="00816B8E"/>
    <w:rsid w:val="00825524"/>
    <w:rsid w:val="00827B06"/>
    <w:rsid w:val="00831B32"/>
    <w:rsid w:val="0083211E"/>
    <w:rsid w:val="00860584"/>
    <w:rsid w:val="0086152E"/>
    <w:rsid w:val="008618AC"/>
    <w:rsid w:val="00870D40"/>
    <w:rsid w:val="0087598C"/>
    <w:rsid w:val="0088631D"/>
    <w:rsid w:val="00892040"/>
    <w:rsid w:val="008C013C"/>
    <w:rsid w:val="008C015E"/>
    <w:rsid w:val="008C1E35"/>
    <w:rsid w:val="008C7148"/>
    <w:rsid w:val="008D5AA2"/>
    <w:rsid w:val="008E5F84"/>
    <w:rsid w:val="008E7500"/>
    <w:rsid w:val="008F0AE7"/>
    <w:rsid w:val="009067F8"/>
    <w:rsid w:val="009216C0"/>
    <w:rsid w:val="00922EAD"/>
    <w:rsid w:val="0092794B"/>
    <w:rsid w:val="00953856"/>
    <w:rsid w:val="00954E9B"/>
    <w:rsid w:val="009554D5"/>
    <w:rsid w:val="00966FED"/>
    <w:rsid w:val="009A2C11"/>
    <w:rsid w:val="009A5927"/>
    <w:rsid w:val="009B5E1D"/>
    <w:rsid w:val="009B60BA"/>
    <w:rsid w:val="009B77D3"/>
    <w:rsid w:val="009D2123"/>
    <w:rsid w:val="009D2F92"/>
    <w:rsid w:val="009D5377"/>
    <w:rsid w:val="009D7E10"/>
    <w:rsid w:val="009E2B79"/>
    <w:rsid w:val="009F0B35"/>
    <w:rsid w:val="009F2D5A"/>
    <w:rsid w:val="00A0083E"/>
    <w:rsid w:val="00A10051"/>
    <w:rsid w:val="00A205BA"/>
    <w:rsid w:val="00A20F36"/>
    <w:rsid w:val="00A2407B"/>
    <w:rsid w:val="00A27A1D"/>
    <w:rsid w:val="00A30C97"/>
    <w:rsid w:val="00A30DAD"/>
    <w:rsid w:val="00A47B46"/>
    <w:rsid w:val="00A629A9"/>
    <w:rsid w:val="00A649CF"/>
    <w:rsid w:val="00A902BC"/>
    <w:rsid w:val="00A92FA6"/>
    <w:rsid w:val="00A960DB"/>
    <w:rsid w:val="00AA014E"/>
    <w:rsid w:val="00AA2A2F"/>
    <w:rsid w:val="00AB26C2"/>
    <w:rsid w:val="00AC15D8"/>
    <w:rsid w:val="00AC1E69"/>
    <w:rsid w:val="00B271A0"/>
    <w:rsid w:val="00B3299A"/>
    <w:rsid w:val="00B332A1"/>
    <w:rsid w:val="00B46FB5"/>
    <w:rsid w:val="00B56B11"/>
    <w:rsid w:val="00B61004"/>
    <w:rsid w:val="00B85F9B"/>
    <w:rsid w:val="00BA1498"/>
    <w:rsid w:val="00BA24E0"/>
    <w:rsid w:val="00BA3233"/>
    <w:rsid w:val="00BC6E53"/>
    <w:rsid w:val="00BE37A4"/>
    <w:rsid w:val="00BE45DE"/>
    <w:rsid w:val="00BE6D76"/>
    <w:rsid w:val="00C02A85"/>
    <w:rsid w:val="00C05456"/>
    <w:rsid w:val="00C076A9"/>
    <w:rsid w:val="00C07A5B"/>
    <w:rsid w:val="00C15BBB"/>
    <w:rsid w:val="00C31FC0"/>
    <w:rsid w:val="00C3342C"/>
    <w:rsid w:val="00C37FF1"/>
    <w:rsid w:val="00C42C5E"/>
    <w:rsid w:val="00C507CD"/>
    <w:rsid w:val="00C5728C"/>
    <w:rsid w:val="00C75054"/>
    <w:rsid w:val="00C85EA4"/>
    <w:rsid w:val="00C91039"/>
    <w:rsid w:val="00C912FE"/>
    <w:rsid w:val="00C95358"/>
    <w:rsid w:val="00CA02E5"/>
    <w:rsid w:val="00CA1572"/>
    <w:rsid w:val="00CA17A0"/>
    <w:rsid w:val="00CA542C"/>
    <w:rsid w:val="00CA6B87"/>
    <w:rsid w:val="00CB71B6"/>
    <w:rsid w:val="00CC2031"/>
    <w:rsid w:val="00CC63B4"/>
    <w:rsid w:val="00CC7D00"/>
    <w:rsid w:val="00CE0125"/>
    <w:rsid w:val="00CE51C3"/>
    <w:rsid w:val="00CF4F69"/>
    <w:rsid w:val="00D15589"/>
    <w:rsid w:val="00D22AE8"/>
    <w:rsid w:val="00D432AD"/>
    <w:rsid w:val="00D51069"/>
    <w:rsid w:val="00D56271"/>
    <w:rsid w:val="00D72557"/>
    <w:rsid w:val="00D72A27"/>
    <w:rsid w:val="00D9537D"/>
    <w:rsid w:val="00DB79A2"/>
    <w:rsid w:val="00DC53A1"/>
    <w:rsid w:val="00DD21C8"/>
    <w:rsid w:val="00DD52CC"/>
    <w:rsid w:val="00DD7CF4"/>
    <w:rsid w:val="00DE308B"/>
    <w:rsid w:val="00DE4B24"/>
    <w:rsid w:val="00E05F17"/>
    <w:rsid w:val="00E10A2E"/>
    <w:rsid w:val="00E26EB5"/>
    <w:rsid w:val="00E27832"/>
    <w:rsid w:val="00E3156A"/>
    <w:rsid w:val="00E37A7A"/>
    <w:rsid w:val="00E47630"/>
    <w:rsid w:val="00E55B3B"/>
    <w:rsid w:val="00E55E91"/>
    <w:rsid w:val="00E8337D"/>
    <w:rsid w:val="00E9202C"/>
    <w:rsid w:val="00EA7525"/>
    <w:rsid w:val="00EB3628"/>
    <w:rsid w:val="00EC0891"/>
    <w:rsid w:val="00EC20CE"/>
    <w:rsid w:val="00EE27CC"/>
    <w:rsid w:val="00EE3B62"/>
    <w:rsid w:val="00EE51DB"/>
    <w:rsid w:val="00F01040"/>
    <w:rsid w:val="00F11A05"/>
    <w:rsid w:val="00F13DC0"/>
    <w:rsid w:val="00F14485"/>
    <w:rsid w:val="00F16F02"/>
    <w:rsid w:val="00F26A60"/>
    <w:rsid w:val="00F465B6"/>
    <w:rsid w:val="00F534D4"/>
    <w:rsid w:val="00F6046B"/>
    <w:rsid w:val="00F64CB9"/>
    <w:rsid w:val="00F67181"/>
    <w:rsid w:val="00F67FA3"/>
    <w:rsid w:val="00F77628"/>
    <w:rsid w:val="00F838DD"/>
    <w:rsid w:val="00F97FDA"/>
    <w:rsid w:val="00FB3B70"/>
    <w:rsid w:val="00FC1B32"/>
    <w:rsid w:val="00FC6159"/>
    <w:rsid w:val="00FD061C"/>
    <w:rsid w:val="00FD5C7D"/>
    <w:rsid w:val="00FD6646"/>
    <w:rsid w:val="00FF5EE5"/>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233A21"/>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233A21"/>
    <w:pPr>
      <w:keepNext/>
      <w:tabs>
        <w:tab w:val="left" w:pos="567"/>
      </w:tabs>
      <w:spacing w:before="120" w:after="120"/>
      <w:jc w:val="center"/>
      <w:outlineLvl w:val="2"/>
    </w:pPr>
    <w:rPr>
      <w:i/>
      <w:iCs/>
    </w:rPr>
  </w:style>
  <w:style w:type="paragraph" w:styleId="Heading4">
    <w:name w:val="heading 4"/>
    <w:basedOn w:val="Normal"/>
    <w:qFormat/>
    <w:rsid w:val="00233A2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233A21"/>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233A21"/>
    <w:pPr>
      <w:keepNext/>
      <w:spacing w:after="240" w:line="240" w:lineRule="exact"/>
      <w:ind w:left="720"/>
      <w:outlineLvl w:val="5"/>
    </w:pPr>
    <w:rPr>
      <w:u w:val="single"/>
    </w:rPr>
  </w:style>
  <w:style w:type="paragraph" w:styleId="Heading7">
    <w:name w:val="heading 7"/>
    <w:basedOn w:val="Normal"/>
    <w:next w:val="Normal"/>
    <w:qFormat/>
    <w:rsid w:val="00233A21"/>
    <w:pPr>
      <w:keepNext/>
      <w:jc w:val="right"/>
      <w:outlineLvl w:val="6"/>
    </w:pPr>
    <w:rPr>
      <w:rFonts w:ascii="Univers" w:hAnsi="Univers"/>
      <w:b/>
      <w:sz w:val="28"/>
    </w:rPr>
  </w:style>
  <w:style w:type="paragraph" w:styleId="Heading8">
    <w:name w:val="heading 8"/>
    <w:basedOn w:val="Normal"/>
    <w:next w:val="Normal"/>
    <w:qFormat/>
    <w:rsid w:val="00233A21"/>
    <w:pPr>
      <w:keepNext/>
      <w:jc w:val="right"/>
      <w:outlineLvl w:val="7"/>
    </w:pPr>
    <w:rPr>
      <w:rFonts w:ascii="Univers" w:hAnsi="Univers"/>
      <w:b/>
      <w:sz w:val="32"/>
    </w:rPr>
  </w:style>
  <w:style w:type="paragraph" w:styleId="Heading9">
    <w:name w:val="heading 9"/>
    <w:basedOn w:val="Normal"/>
    <w:next w:val="Normal"/>
    <w:qFormat/>
    <w:rsid w:val="00233A2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A21"/>
    <w:pPr>
      <w:tabs>
        <w:tab w:val="center" w:pos="4320"/>
        <w:tab w:val="right" w:pos="8640"/>
      </w:tabs>
    </w:pPr>
  </w:style>
  <w:style w:type="paragraph" w:styleId="Footer">
    <w:name w:val="footer"/>
    <w:basedOn w:val="Normal"/>
    <w:rsid w:val="00233A21"/>
    <w:pPr>
      <w:tabs>
        <w:tab w:val="center" w:pos="4320"/>
        <w:tab w:val="right" w:pos="8640"/>
      </w:tabs>
      <w:ind w:firstLine="720"/>
      <w:jc w:val="right"/>
    </w:pPr>
  </w:style>
  <w:style w:type="paragraph" w:customStyle="1" w:styleId="Para1">
    <w:name w:val="Para1"/>
    <w:basedOn w:val="Normal"/>
    <w:link w:val="Para1Char"/>
    <w:rsid w:val="00F13DC0"/>
    <w:pPr>
      <w:numPr>
        <w:numId w:val="3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233A21"/>
    <w:pPr>
      <w:keepLines/>
      <w:spacing w:after="60"/>
      <w:ind w:firstLine="720"/>
    </w:pPr>
    <w:rPr>
      <w:sz w:val="18"/>
    </w:rPr>
  </w:style>
  <w:style w:type="paragraph" w:styleId="BodyText">
    <w:name w:val="Body Text"/>
    <w:basedOn w:val="Normal"/>
    <w:rsid w:val="00233A21"/>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233A21"/>
    <w:rPr>
      <w:sz w:val="16"/>
    </w:rPr>
  </w:style>
  <w:style w:type="paragraph" w:styleId="CommentText">
    <w:name w:val="annotation text"/>
    <w:basedOn w:val="Normal"/>
    <w:link w:val="CommentTextChar"/>
    <w:uiPriority w:val="99"/>
    <w:semiHidden/>
    <w:rsid w:val="00233A21"/>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233A21"/>
    <w:rPr>
      <w:sz w:val="18"/>
      <w:u w:val="single"/>
      <w:vertAlign w:val="baseline"/>
    </w:rPr>
  </w:style>
  <w:style w:type="paragraph" w:styleId="BodyTextIndent">
    <w:name w:val="Body Text Indent"/>
    <w:basedOn w:val="Normal"/>
    <w:rsid w:val="00233A21"/>
    <w:pPr>
      <w:spacing w:before="120" w:after="120"/>
      <w:ind w:left="1440" w:hanging="720"/>
      <w:jc w:val="left"/>
    </w:pPr>
  </w:style>
  <w:style w:type="character" w:styleId="PageNumber">
    <w:name w:val="page number"/>
    <w:rsid w:val="00233A21"/>
    <w:rPr>
      <w:rFonts w:ascii="Times New Roman" w:hAnsi="Times New Roman"/>
      <w:sz w:val="22"/>
    </w:rPr>
  </w:style>
  <w:style w:type="paragraph" w:customStyle="1" w:styleId="HEADING">
    <w:name w:val="HEADING"/>
    <w:basedOn w:val="Normal"/>
    <w:rsid w:val="00233A21"/>
    <w:pPr>
      <w:keepNext/>
      <w:spacing w:before="240" w:after="120"/>
      <w:jc w:val="center"/>
    </w:pPr>
    <w:rPr>
      <w:b/>
      <w:bCs/>
      <w:caps/>
    </w:rPr>
  </w:style>
  <w:style w:type="paragraph" w:customStyle="1" w:styleId="para4">
    <w:name w:val="para4"/>
    <w:basedOn w:val="Normal"/>
    <w:rsid w:val="00233A21"/>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233A21"/>
    <w:pPr>
      <w:ind w:left="170" w:right="3119" w:hanging="170"/>
      <w:jc w:val="left"/>
    </w:pPr>
  </w:style>
  <w:style w:type="paragraph" w:customStyle="1" w:styleId="Para3">
    <w:name w:val="Para3"/>
    <w:basedOn w:val="Normal"/>
    <w:rsid w:val="00233A21"/>
    <w:pPr>
      <w:numPr>
        <w:ilvl w:val="2"/>
        <w:numId w:val="3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233A21"/>
    <w:pPr>
      <w:spacing w:before="120"/>
    </w:pPr>
    <w:rPr>
      <w:rFonts w:cs="Arial"/>
      <w:b/>
      <w:bCs/>
      <w:sz w:val="24"/>
    </w:rPr>
  </w:style>
  <w:style w:type="paragraph" w:styleId="TOC9">
    <w:name w:val="toc 9"/>
    <w:basedOn w:val="Normal"/>
    <w:next w:val="Normal"/>
    <w:autoRedefine/>
    <w:semiHidden/>
    <w:rsid w:val="00233A21"/>
    <w:pPr>
      <w:spacing w:before="120" w:after="120"/>
      <w:ind w:left="1760"/>
      <w:jc w:val="left"/>
    </w:pPr>
  </w:style>
  <w:style w:type="paragraph" w:styleId="TOC1">
    <w:name w:val="toc 1"/>
    <w:basedOn w:val="Normal"/>
    <w:next w:val="Normal"/>
    <w:autoRedefine/>
    <w:semiHidden/>
    <w:rsid w:val="00233A21"/>
    <w:pPr>
      <w:ind w:left="720" w:hanging="720"/>
    </w:pPr>
    <w:rPr>
      <w:caps/>
    </w:rPr>
  </w:style>
  <w:style w:type="paragraph" w:styleId="TOC2">
    <w:name w:val="toc 2"/>
    <w:basedOn w:val="Normal"/>
    <w:next w:val="Normal"/>
    <w:autoRedefine/>
    <w:semiHidden/>
    <w:rsid w:val="00233A21"/>
    <w:pPr>
      <w:tabs>
        <w:tab w:val="right" w:leader="dot" w:pos="9356"/>
      </w:tabs>
      <w:ind w:left="1440" w:hanging="720"/>
    </w:pPr>
    <w:rPr>
      <w:noProof/>
      <w:szCs w:val="22"/>
    </w:rPr>
  </w:style>
  <w:style w:type="paragraph" w:styleId="TOC3">
    <w:name w:val="toc 3"/>
    <w:basedOn w:val="Normal"/>
    <w:next w:val="Normal"/>
    <w:autoRedefine/>
    <w:semiHidden/>
    <w:rsid w:val="00233A21"/>
    <w:pPr>
      <w:ind w:left="2160" w:hanging="720"/>
    </w:pPr>
  </w:style>
  <w:style w:type="paragraph" w:styleId="TOC4">
    <w:name w:val="toc 4"/>
    <w:basedOn w:val="Normal"/>
    <w:next w:val="Normal"/>
    <w:autoRedefine/>
    <w:semiHidden/>
    <w:rsid w:val="00233A21"/>
    <w:pPr>
      <w:spacing w:before="120" w:after="120"/>
      <w:ind w:left="660"/>
      <w:jc w:val="left"/>
    </w:pPr>
  </w:style>
  <w:style w:type="paragraph" w:styleId="TOC5">
    <w:name w:val="toc 5"/>
    <w:basedOn w:val="Normal"/>
    <w:next w:val="Normal"/>
    <w:autoRedefine/>
    <w:semiHidden/>
    <w:rsid w:val="00233A21"/>
    <w:pPr>
      <w:spacing w:before="120" w:after="120"/>
      <w:ind w:left="880"/>
      <w:jc w:val="left"/>
    </w:pPr>
  </w:style>
  <w:style w:type="paragraph" w:styleId="TOC6">
    <w:name w:val="toc 6"/>
    <w:basedOn w:val="Normal"/>
    <w:next w:val="Normal"/>
    <w:autoRedefine/>
    <w:semiHidden/>
    <w:rsid w:val="00233A21"/>
    <w:pPr>
      <w:spacing w:before="120" w:after="120"/>
      <w:ind w:left="1100"/>
      <w:jc w:val="left"/>
    </w:pPr>
  </w:style>
  <w:style w:type="paragraph" w:styleId="TOC7">
    <w:name w:val="toc 7"/>
    <w:basedOn w:val="Normal"/>
    <w:next w:val="Normal"/>
    <w:autoRedefine/>
    <w:semiHidden/>
    <w:rsid w:val="00233A21"/>
    <w:pPr>
      <w:spacing w:before="120" w:after="120"/>
      <w:ind w:left="1320"/>
      <w:jc w:val="left"/>
    </w:pPr>
  </w:style>
  <w:style w:type="paragraph" w:styleId="TOC8">
    <w:name w:val="toc 8"/>
    <w:basedOn w:val="Normal"/>
    <w:next w:val="Normal"/>
    <w:autoRedefine/>
    <w:semiHidden/>
    <w:rsid w:val="00233A21"/>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233A21"/>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233A2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233A21"/>
    <w:rPr>
      <w:vertAlign w:val="superscript"/>
    </w:rPr>
  </w:style>
  <w:style w:type="paragraph" w:styleId="EndnoteText">
    <w:name w:val="endnote text"/>
    <w:basedOn w:val="Normal"/>
    <w:semiHidden/>
    <w:rsid w:val="00233A21"/>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233A21"/>
    <w:pPr>
      <w:ind w:left="1843" w:hanging="1134"/>
      <w:jc w:val="left"/>
    </w:pPr>
  </w:style>
  <w:style w:type="paragraph" w:customStyle="1" w:styleId="Heading1multiline">
    <w:name w:val="Heading 1 (multiline)"/>
    <w:basedOn w:val="Heading1"/>
    <w:rsid w:val="00233A21"/>
    <w:pPr>
      <w:ind w:left="1843" w:right="996" w:hanging="567"/>
      <w:jc w:val="left"/>
    </w:pPr>
  </w:style>
  <w:style w:type="paragraph" w:customStyle="1" w:styleId="Heading2multiline">
    <w:name w:val="Heading 2 (multiline)"/>
    <w:basedOn w:val="Heading1"/>
    <w:next w:val="Para1"/>
    <w:rsid w:val="00233A2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233A2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E3156A"/>
    <w:rPr>
      <w:snapToGrid w:val="0"/>
      <w:sz w:val="22"/>
      <w:szCs w:val="18"/>
      <w:lang w:val="en-GB"/>
    </w:rPr>
  </w:style>
  <w:style w:type="paragraph" w:customStyle="1" w:styleId="Para40">
    <w:name w:val="Para4"/>
    <w:basedOn w:val="Para3"/>
    <w:rsid w:val="00E3156A"/>
    <w:pPr>
      <w:numPr>
        <w:ilvl w:val="0"/>
        <w:numId w:val="0"/>
      </w:numPr>
      <w:tabs>
        <w:tab w:val="clear" w:pos="1980"/>
        <w:tab w:val="left" w:pos="2552"/>
        <w:tab w:val="num" w:pos="2880"/>
      </w:tabs>
      <w:ind w:left="2880" w:hanging="360"/>
    </w:pPr>
  </w:style>
  <w:style w:type="character" w:customStyle="1" w:styleId="st">
    <w:name w:val="st"/>
    <w:rsid w:val="00B332A1"/>
  </w:style>
  <w:style w:type="character" w:customStyle="1" w:styleId="UnresolvedMention1">
    <w:name w:val="Unresolved Mention1"/>
    <w:basedOn w:val="DefaultParagraphFont"/>
    <w:uiPriority w:val="99"/>
    <w:semiHidden/>
    <w:unhideWhenUsed/>
    <w:rsid w:val="00CB71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E3156A"/>
    <w:rPr>
      <w:snapToGrid w:val="0"/>
      <w:sz w:val="22"/>
      <w:szCs w:val="18"/>
      <w:lang w:val="en-GB"/>
    </w:rPr>
  </w:style>
  <w:style w:type="paragraph" w:customStyle="1" w:styleId="Para40">
    <w:name w:val="Para4"/>
    <w:basedOn w:val="Para3"/>
    <w:rsid w:val="00E3156A"/>
    <w:pPr>
      <w:numPr>
        <w:ilvl w:val="0"/>
        <w:numId w:val="0"/>
      </w:numPr>
      <w:tabs>
        <w:tab w:val="clear" w:pos="1980"/>
        <w:tab w:val="left" w:pos="2552"/>
        <w:tab w:val="num" w:pos="2880"/>
      </w:tabs>
      <w:ind w:left="2880" w:hanging="360"/>
    </w:pPr>
  </w:style>
  <w:style w:type="character" w:customStyle="1" w:styleId="st">
    <w:name w:val="st"/>
    <w:rsid w:val="00B332A1"/>
  </w:style>
  <w:style w:type="character" w:customStyle="1" w:styleId="UnresolvedMention1">
    <w:name w:val="Unresolved Mention1"/>
    <w:basedOn w:val="DefaultParagraphFont"/>
    <w:uiPriority w:val="99"/>
    <w:semiHidden/>
    <w:unhideWhenUsed/>
    <w:rsid w:val="00CB71B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4115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ecision/mop/default.shtml?id=1335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ch.cbd.int/protocol/cpb_art15_sub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8/mop-08-dec-12-f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cbd.int/doc/decisions/cop-12/cop-12-dec-24-f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ch.cbd.int/onlineconferences/forum_ra/peer-review.shtml" TargetMode="External"/><Relationship Id="rId2" Type="http://schemas.openxmlformats.org/officeDocument/2006/relationships/hyperlink" Target="https://bch.cbd.int/onlineconferences/forum_ra/discussion.shtml" TargetMode="External"/><Relationship Id="rId1" Type="http://schemas.openxmlformats.org/officeDocument/2006/relationships/hyperlink" Target="https://www.cbd.int/doc/meetings/sbstta/sbstta-22/official/sbstta-22-01-en.pdf" TargetMode="External"/><Relationship Id="rId4" Type="http://schemas.openxmlformats.org/officeDocument/2006/relationships/hyperlink" Target="https://www.cbd.int/doc/decisions/cop-08/cop-08-dec-10-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205AA3135F934211871EEA5DF7C407EA"/>
        <w:category>
          <w:name w:val="General"/>
          <w:gallery w:val="placeholder"/>
        </w:category>
        <w:types>
          <w:type w:val="bbPlcHdr"/>
        </w:types>
        <w:behaviors>
          <w:behavior w:val="content"/>
        </w:behaviors>
        <w:guid w:val="{B65C447C-48C4-4E7F-A7AD-604D2921C37F}"/>
      </w:docPartPr>
      <w:docPartBody>
        <w:p w:rsidR="00FA0F11" w:rsidRDefault="00EF62C7" w:rsidP="00EF62C7">
          <w:pPr>
            <w:pStyle w:val="205AA3135F934211871EEA5DF7C407EA"/>
          </w:pPr>
          <w:r w:rsidRPr="00B903A7">
            <w:rPr>
              <w:rStyle w:val="PlaceholderText"/>
            </w:rPr>
            <w:t>[Subject]</w:t>
          </w:r>
        </w:p>
      </w:docPartBody>
    </w:docPart>
    <w:docPart>
      <w:docPartPr>
        <w:name w:val="D9CF4C37DFA949DB8105977C8D14D79A"/>
        <w:category>
          <w:name w:val="General"/>
          <w:gallery w:val="placeholder"/>
        </w:category>
        <w:types>
          <w:type w:val="bbPlcHdr"/>
        </w:types>
        <w:behaviors>
          <w:behavior w:val="content"/>
        </w:behaviors>
        <w:guid w:val="{50910421-A67F-4882-B833-1288285C6B4E}"/>
      </w:docPartPr>
      <w:docPartBody>
        <w:p w:rsidR="003B53C3" w:rsidRDefault="00954926">
          <w:r w:rsidRPr="00C22442">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182F40"/>
    <w:rsid w:val="001B29AF"/>
    <w:rsid w:val="00201918"/>
    <w:rsid w:val="002242F5"/>
    <w:rsid w:val="002246BB"/>
    <w:rsid w:val="002C1CD0"/>
    <w:rsid w:val="002E479E"/>
    <w:rsid w:val="0037757D"/>
    <w:rsid w:val="003B53C3"/>
    <w:rsid w:val="003C1093"/>
    <w:rsid w:val="004A69EC"/>
    <w:rsid w:val="0058098E"/>
    <w:rsid w:val="00687ED4"/>
    <w:rsid w:val="006E4E53"/>
    <w:rsid w:val="00700327"/>
    <w:rsid w:val="007E501A"/>
    <w:rsid w:val="0083264A"/>
    <w:rsid w:val="00935B4A"/>
    <w:rsid w:val="00950F37"/>
    <w:rsid w:val="00954926"/>
    <w:rsid w:val="009B58BD"/>
    <w:rsid w:val="009C46F3"/>
    <w:rsid w:val="00A27574"/>
    <w:rsid w:val="00A55A7C"/>
    <w:rsid w:val="00B36C7B"/>
    <w:rsid w:val="00BB2CFE"/>
    <w:rsid w:val="00C64387"/>
    <w:rsid w:val="00CB6E6C"/>
    <w:rsid w:val="00D5481D"/>
    <w:rsid w:val="00DC5239"/>
    <w:rsid w:val="00E465DC"/>
    <w:rsid w:val="00EC17B5"/>
    <w:rsid w:val="00EF62C7"/>
    <w:rsid w:val="00FA0F11"/>
    <w:rsid w:val="00FC532D"/>
    <w:rsid w:val="00FD13D1"/>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5492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FC4FBF60CD04269A744DD084108F626">
    <w:name w:val="8FC4FBF60CD04269A744DD084108F626"/>
    <w:rsid w:val="00DC5239"/>
  </w:style>
  <w:style w:type="paragraph" w:customStyle="1" w:styleId="BC53B5986169450C83E2234BD8A62903">
    <w:name w:val="BC53B5986169450C83E2234BD8A62903"/>
    <w:rsid w:val="00DC5239"/>
  </w:style>
  <w:style w:type="paragraph" w:customStyle="1" w:styleId="205AA3135F934211871EEA5DF7C407EA">
    <w:name w:val="205AA3135F934211871EEA5DF7C407EA"/>
    <w:rsid w:val="00EF62C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2398-1BC4-4E3D-B0EA-AFD5A990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6</Pages>
  <Words>2583</Words>
  <Characters>14209</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ÉVALUATION ET GESTION DES RISQUES LIÉS AUX ORGANISMES VIVANTS MODIFIÉS</vt:lpstr>
      <vt:lpstr>ÉVALUATION ET GESTION DES RISQUES LIÉS AUX ORGANISMES VIVANTS MODIFIÉS</vt:lpstr>
    </vt:vector>
  </TitlesOfParts>
  <Company>Biodiversity</Company>
  <LinksUpToDate>false</LinksUpToDate>
  <CharactersWithSpaces>16759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ET GESTION DES RISQUES LIÉS AUX ORGANISMES VIVANTS MODIFIÉS</dc:title>
  <dc:subject>CBD/SBSTTA/22/3</dc:subject>
  <dc:creator>SCBD</dc:creator>
  <cp:lastModifiedBy>User</cp:lastModifiedBy>
  <cp:revision>9</cp:revision>
  <cp:lastPrinted>2018-04-12T15:26:00Z</cp:lastPrinted>
  <dcterms:created xsi:type="dcterms:W3CDTF">2018-05-28T18:22:00Z</dcterms:created>
  <dcterms:modified xsi:type="dcterms:W3CDTF">2018-05-28T18:39:00Z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vt:lpwstr>
  </property>
</Properties>
</file>