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FE65A3" w:rsidRPr="00094684" w14:paraId="009705B8" w14:textId="77777777" w:rsidTr="003941A8">
        <w:trPr>
          <w:trHeight w:val="851"/>
        </w:trPr>
        <w:tc>
          <w:tcPr>
            <w:tcW w:w="454" w:type="pct"/>
            <w:tcBorders>
              <w:bottom w:val="single" w:sz="8" w:space="0" w:color="auto"/>
            </w:tcBorders>
            <w:vAlign w:val="bottom"/>
          </w:tcPr>
          <w:p w14:paraId="326E79EB" w14:textId="77777777" w:rsidR="00FE65A3" w:rsidRPr="00094684" w:rsidRDefault="00FE65A3" w:rsidP="003941A8">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3DF4380C" wp14:editId="5D16F38F">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347ECBC" w14:textId="77777777" w:rsidR="00FE65A3" w:rsidRPr="00094684" w:rsidRDefault="00FE65A3" w:rsidP="003941A8">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548A8E90" wp14:editId="628C0D7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0951C343" w14:textId="77777777" w:rsidR="00FE65A3" w:rsidRPr="00094684" w:rsidRDefault="00FE65A3" w:rsidP="003941A8">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20BCA873" w14:textId="3192AA6E" w:rsidR="00FE65A3" w:rsidRPr="00FE65A3" w:rsidRDefault="00FE65A3" w:rsidP="003941A8">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NP/MOP/5/1</w:t>
            </w:r>
            <w:r>
              <w:rPr>
                <w:rFonts w:eastAsiaTheme="minorEastAsia" w:hint="eastAsia"/>
                <w:sz w:val="24"/>
                <w:szCs w:val="22"/>
                <w:lang w:eastAsia="zh-CN"/>
              </w:rPr>
              <w:t>0</w:t>
            </w:r>
          </w:p>
        </w:tc>
      </w:tr>
      <w:tr w:rsidR="00FE65A3" w:rsidRPr="00094684" w14:paraId="13119A5B" w14:textId="77777777" w:rsidTr="003941A8">
        <w:tc>
          <w:tcPr>
            <w:tcW w:w="2308" w:type="pct"/>
            <w:gridSpan w:val="2"/>
            <w:tcBorders>
              <w:top w:val="single" w:sz="8" w:space="0" w:color="auto"/>
              <w:bottom w:val="single" w:sz="12" w:space="0" w:color="auto"/>
            </w:tcBorders>
          </w:tcPr>
          <w:p w14:paraId="3CC31153" w14:textId="77777777" w:rsidR="00FE65A3" w:rsidRPr="00094684" w:rsidRDefault="00FE65A3" w:rsidP="003941A8">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1EC8DCE" wp14:editId="5B08E4F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227C80CF" w14:textId="77777777" w:rsidR="00FE65A3" w:rsidRPr="00094684" w:rsidRDefault="00FE65A3" w:rsidP="003941A8">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D665A78" w14:textId="703A0593" w:rsidR="00FE65A3" w:rsidRPr="00094684" w:rsidRDefault="00FE65A3" w:rsidP="003941A8">
            <w:pPr>
              <w:tabs>
                <w:tab w:val="clear" w:pos="567"/>
                <w:tab w:val="clear" w:pos="1134"/>
                <w:tab w:val="clear" w:pos="1701"/>
                <w:tab w:val="clear" w:pos="2268"/>
              </w:tabs>
              <w:ind w:left="2021"/>
              <w:rPr>
                <w:rFonts w:eastAsia="Times New Roman"/>
                <w:sz w:val="24"/>
                <w:lang w:val="en-GB"/>
              </w:rPr>
            </w:pPr>
            <w:r w:rsidRPr="00FE65A3">
              <w:rPr>
                <w:rFonts w:eastAsia="Times New Roman"/>
                <w:sz w:val="24"/>
              </w:rPr>
              <w:t>26 July 2024</w:t>
            </w:r>
          </w:p>
          <w:p w14:paraId="7AA97C31" w14:textId="77777777" w:rsidR="00FE65A3" w:rsidRPr="00094684" w:rsidRDefault="00FE65A3" w:rsidP="003941A8">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530E5265" w14:textId="77777777" w:rsidR="00FE65A3" w:rsidRPr="00094684" w:rsidRDefault="00FE65A3" w:rsidP="003941A8">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77BCA6D" w14:textId="77777777" w:rsidR="00FE65A3" w:rsidRPr="00094684" w:rsidRDefault="00FE65A3" w:rsidP="003941A8">
            <w:pPr>
              <w:tabs>
                <w:tab w:val="clear" w:pos="567"/>
                <w:tab w:val="clear" w:pos="1134"/>
                <w:tab w:val="clear" w:pos="1701"/>
                <w:tab w:val="clear" w:pos="2268"/>
              </w:tabs>
              <w:rPr>
                <w:rFonts w:eastAsia="Times New Roman"/>
                <w:sz w:val="24"/>
                <w:szCs w:val="24"/>
                <w:lang w:val="en-GB"/>
              </w:rPr>
            </w:pPr>
          </w:p>
        </w:tc>
      </w:tr>
    </w:tbl>
    <w:bookmarkEnd w:id="1"/>
    <w:bookmarkEnd w:id="2"/>
    <w:p w14:paraId="255B57F9" w14:textId="77777777" w:rsidR="00FE65A3" w:rsidRPr="00582A40" w:rsidRDefault="00FE65A3" w:rsidP="00FE65A3">
      <w:pPr>
        <w:pStyle w:val="AFCorNot12Bold"/>
        <w:spacing w:before="120"/>
        <w:ind w:right="3960"/>
        <w:rPr>
          <w:szCs w:val="24"/>
          <w:lang w:eastAsia="zh-CN"/>
        </w:rPr>
      </w:pPr>
      <w:r w:rsidRPr="00582A40">
        <w:rPr>
          <w:rFonts w:hint="eastAsia"/>
          <w:bCs/>
          <w:iCs/>
          <w:szCs w:val="24"/>
          <w:lang w:val="en-US" w:eastAsia="zh-CN"/>
        </w:rPr>
        <w:t>作为</w:t>
      </w:r>
      <w:bookmarkStart w:id="3" w:name="_Hlk175931590"/>
      <w:r w:rsidRPr="00582A40">
        <w:rPr>
          <w:rFonts w:hint="eastAsia"/>
          <w:bCs/>
          <w:iCs/>
          <w:szCs w:val="24"/>
          <w:lang w:val="en-US" w:eastAsia="zh-CN"/>
        </w:rPr>
        <w:t>关于获取遗传资源和公正和公平分享其利用所产生惠益的名古屋议定书</w:t>
      </w:r>
      <w:bookmarkEnd w:id="3"/>
      <w:r w:rsidRPr="00582A40">
        <w:rPr>
          <w:rFonts w:hint="eastAsia"/>
          <w:bCs/>
          <w:iCs/>
          <w:szCs w:val="24"/>
          <w:lang w:val="en-US" w:eastAsia="zh-CN"/>
        </w:rPr>
        <w:t>缔约方会议的生物多样性公约缔约方大会</w:t>
      </w:r>
    </w:p>
    <w:p w14:paraId="3C4AA6CD" w14:textId="77777777" w:rsidR="00FE65A3" w:rsidRPr="00582A40" w:rsidRDefault="00FE65A3" w:rsidP="00FE65A3">
      <w:pPr>
        <w:pStyle w:val="Cornernotation"/>
        <w:rPr>
          <w:bCs/>
          <w:szCs w:val="24"/>
          <w:lang w:eastAsia="zh-CN"/>
        </w:rPr>
      </w:pPr>
      <w:r w:rsidRPr="00582A40">
        <w:rPr>
          <w:rFonts w:hint="eastAsia"/>
          <w:bCs/>
          <w:szCs w:val="24"/>
          <w:lang w:eastAsia="zh-CN"/>
        </w:rPr>
        <w:t>第五次会议</w:t>
      </w:r>
    </w:p>
    <w:p w14:paraId="16EDDAEB" w14:textId="77777777" w:rsidR="00FE65A3" w:rsidRDefault="00FE65A3" w:rsidP="00FE65A3">
      <w:pPr>
        <w:pStyle w:val="AFCorNotNormal"/>
        <w:rPr>
          <w:sz w:val="24"/>
          <w:szCs w:val="24"/>
          <w:lang w:val="en-US" w:eastAsia="zh-CN"/>
        </w:rPr>
      </w:pPr>
      <w:r w:rsidRPr="00582A40">
        <w:rPr>
          <w:rFonts w:hint="eastAsia"/>
          <w:sz w:val="24"/>
          <w:szCs w:val="24"/>
          <w:lang w:val="en-US" w:eastAsia="zh-CN"/>
        </w:rPr>
        <w:t>2024</w:t>
      </w:r>
      <w:r w:rsidRPr="00582A40">
        <w:rPr>
          <w:rFonts w:hint="eastAsia"/>
          <w:sz w:val="24"/>
          <w:szCs w:val="24"/>
          <w:lang w:val="en-US" w:eastAsia="zh-CN"/>
        </w:rPr>
        <w:t>年</w:t>
      </w:r>
      <w:r w:rsidRPr="00582A40">
        <w:rPr>
          <w:rFonts w:hint="eastAsia"/>
          <w:sz w:val="24"/>
          <w:szCs w:val="24"/>
          <w:lang w:val="en-US" w:eastAsia="zh-CN"/>
        </w:rPr>
        <w:t>10</w:t>
      </w:r>
      <w:r w:rsidRPr="00582A40">
        <w:rPr>
          <w:rFonts w:hint="eastAsia"/>
          <w:sz w:val="24"/>
          <w:szCs w:val="24"/>
          <w:lang w:val="en-US" w:eastAsia="zh-CN"/>
        </w:rPr>
        <w:t>月</w:t>
      </w:r>
      <w:r w:rsidRPr="00582A40">
        <w:rPr>
          <w:rFonts w:hint="eastAsia"/>
          <w:sz w:val="24"/>
          <w:szCs w:val="24"/>
          <w:lang w:val="en-US" w:eastAsia="zh-CN"/>
        </w:rPr>
        <w:t>21</w:t>
      </w:r>
      <w:r w:rsidRPr="00582A40">
        <w:rPr>
          <w:rFonts w:hint="eastAsia"/>
          <w:sz w:val="24"/>
          <w:szCs w:val="24"/>
          <w:lang w:val="en-US" w:eastAsia="zh-CN"/>
        </w:rPr>
        <w:t>日至</w:t>
      </w:r>
      <w:r w:rsidRPr="00582A40">
        <w:rPr>
          <w:rFonts w:hint="eastAsia"/>
          <w:sz w:val="24"/>
          <w:szCs w:val="24"/>
          <w:lang w:val="en-US" w:eastAsia="zh-CN"/>
        </w:rPr>
        <w:t>11</w:t>
      </w:r>
      <w:r w:rsidRPr="00582A40">
        <w:rPr>
          <w:rFonts w:hint="eastAsia"/>
          <w:sz w:val="24"/>
          <w:szCs w:val="24"/>
          <w:lang w:val="en-US" w:eastAsia="zh-CN"/>
        </w:rPr>
        <w:t>月</w:t>
      </w:r>
      <w:r w:rsidRPr="00582A40">
        <w:rPr>
          <w:rFonts w:hint="eastAsia"/>
          <w:sz w:val="24"/>
          <w:szCs w:val="24"/>
          <w:lang w:val="en-US" w:eastAsia="zh-CN"/>
        </w:rPr>
        <w:t>1</w:t>
      </w:r>
      <w:r w:rsidRPr="00582A40">
        <w:rPr>
          <w:rFonts w:hint="eastAsia"/>
          <w:sz w:val="24"/>
          <w:szCs w:val="24"/>
          <w:lang w:val="en-US" w:eastAsia="zh-CN"/>
        </w:rPr>
        <w:t>日，哥伦比亚卡利</w:t>
      </w:r>
    </w:p>
    <w:p w14:paraId="7AC9E756" w14:textId="5172D914" w:rsidR="00FE65A3" w:rsidRDefault="00FE65A3" w:rsidP="00FE65A3">
      <w:pPr>
        <w:pStyle w:val="AFCorNotNormal"/>
        <w:rPr>
          <w:sz w:val="24"/>
          <w:szCs w:val="24"/>
          <w:lang w:val="en-US" w:eastAsia="zh-CN"/>
        </w:rPr>
      </w:pPr>
      <w:r>
        <w:rPr>
          <w:rFonts w:hint="eastAsia"/>
          <w:sz w:val="24"/>
          <w:szCs w:val="24"/>
          <w:lang w:val="en-US" w:eastAsia="zh-CN"/>
        </w:rPr>
        <w:t>临时议程</w:t>
      </w:r>
      <w:r w:rsidRPr="00FE65A3">
        <w:rPr>
          <w:sz w:val="24"/>
          <w:szCs w:val="24"/>
          <w:vertAlign w:val="superscript"/>
          <w:lang w:val="en-US" w:eastAsia="zh-CN"/>
        </w:rPr>
        <w:footnoteReference w:customMarkFollows="1" w:id="1"/>
        <w:t>*</w:t>
      </w:r>
      <w:r>
        <w:rPr>
          <w:rFonts w:hint="eastAsia"/>
          <w:sz w:val="24"/>
          <w:szCs w:val="24"/>
          <w:lang w:val="en-US" w:eastAsia="zh-CN"/>
        </w:rPr>
        <w:t>项目</w:t>
      </w:r>
      <w:r>
        <w:rPr>
          <w:rFonts w:hint="eastAsia"/>
          <w:sz w:val="24"/>
          <w:szCs w:val="24"/>
          <w:lang w:val="en-US" w:eastAsia="zh-CN"/>
        </w:rPr>
        <w:t>16</w:t>
      </w:r>
    </w:p>
    <w:p w14:paraId="2F29E271" w14:textId="74E0CD3C" w:rsidR="00FE65A3" w:rsidRPr="00FE65A3" w:rsidRDefault="00FE65A3" w:rsidP="00FE65A3">
      <w:pPr>
        <w:pStyle w:val="AFCorNotNormal"/>
        <w:rPr>
          <w:b/>
          <w:bCs/>
          <w:sz w:val="24"/>
          <w:szCs w:val="24"/>
          <w:lang w:eastAsia="zh-CN"/>
        </w:rPr>
      </w:pPr>
      <w:bookmarkStart w:id="4" w:name="_Hlk175931058"/>
      <w:r w:rsidRPr="00FE65A3">
        <w:rPr>
          <w:rFonts w:hint="eastAsia"/>
          <w:b/>
          <w:bCs/>
          <w:sz w:val="24"/>
          <w:szCs w:val="24"/>
          <w:lang w:val="en-US" w:eastAsia="zh-CN"/>
        </w:rPr>
        <w:t>全球多边惠益分享机制</w:t>
      </w:r>
      <w:bookmarkEnd w:id="4"/>
    </w:p>
    <w:p w14:paraId="4F909E32" w14:textId="77777777" w:rsidR="00FE65A3" w:rsidRPr="00FE65A3" w:rsidRDefault="00FE65A3">
      <w:pPr>
        <w:rPr>
          <w:lang w:val="en-GB" w:eastAsia="zh-CN"/>
        </w:rPr>
      </w:pPr>
    </w:p>
    <w:p w14:paraId="16E3B054" w14:textId="77777777" w:rsidR="00FE65A3" w:rsidRDefault="00FE65A3">
      <w:pPr>
        <w:rPr>
          <w:lang w:eastAsia="zh-CN"/>
        </w:rPr>
      </w:pPr>
    </w:p>
    <w:p w14:paraId="70A4C0FA" w14:textId="4AE3A6D3" w:rsidR="00A96B21" w:rsidRPr="00B32150" w:rsidRDefault="00000000" w:rsidP="00FE65A3">
      <w:pPr>
        <w:pStyle w:val="CBDTitle"/>
        <w:tabs>
          <w:tab w:val="clear" w:pos="567"/>
          <w:tab w:val="clear" w:pos="1134"/>
          <w:tab w:val="clear" w:pos="1701"/>
          <w:tab w:val="clear" w:pos="2268"/>
          <w:tab w:val="clear" w:pos="2835"/>
          <w:tab w:val="clear" w:pos="3402"/>
        </w:tabs>
        <w:ind w:left="490"/>
        <w:rPr>
          <w:lang w:eastAsia="zh-CN"/>
        </w:rPr>
      </w:pPr>
      <w:sdt>
        <w:sdtPr>
          <w:rPr>
            <w:lang w:eastAsia="zh-CN"/>
          </w:rPr>
          <w:alias w:val="Title"/>
          <w:tag w:val=""/>
          <w:id w:val="-1975355689"/>
          <w:placeholder>
            <w:docPart w:val="046DCBF202724AC5A7A2EF473D1B72FC"/>
          </w:placeholder>
          <w:dataBinding w:prefixMappings="xmlns:ns0='http://purl.org/dc/elements/1.1/' xmlns:ns1='http://schemas.openxmlformats.org/package/2006/metadata/core-properties' " w:xpath="/ns1:coreProperties[1]/ns0:title[1]" w:storeItemID="{6C3C8BC8-F283-45AE-878A-BAB7291924A1}"/>
          <w:text/>
        </w:sdtPr>
        <w:sdtContent>
          <w:r w:rsidR="00FE65A3" w:rsidRPr="00FE65A3">
            <w:rPr>
              <w:rFonts w:hint="eastAsia"/>
              <w:lang w:eastAsia="zh-CN"/>
            </w:rPr>
            <w:t>全球多边惠益分享机制</w:t>
          </w:r>
        </w:sdtContent>
      </w:sdt>
      <w:r w:rsidR="00BB7DC5">
        <w:rPr>
          <w:lang w:eastAsia="zh-CN"/>
        </w:rPr>
        <w:t xml:space="preserve"> </w:t>
      </w:r>
    </w:p>
    <w:p w14:paraId="7B8C38AB" w14:textId="67A73B8F" w:rsidR="00A96B21" w:rsidRPr="00FE65A3" w:rsidRDefault="00FE65A3" w:rsidP="00FE65A3">
      <w:pPr>
        <w:pStyle w:val="Subtitle"/>
        <w:tabs>
          <w:tab w:val="clear" w:pos="567"/>
          <w:tab w:val="clear" w:pos="1134"/>
          <w:tab w:val="clear" w:pos="1701"/>
          <w:tab w:val="clear" w:pos="2268"/>
        </w:tabs>
        <w:spacing w:before="120" w:after="120"/>
        <w:ind w:left="490"/>
        <w:jc w:val="left"/>
        <w:rPr>
          <w:rFonts w:ascii="Times New Roman" w:eastAsia="宋体" w:hAnsi="Times New Roman" w:cs="Times New Roman"/>
          <w:color w:val="auto"/>
          <w:sz w:val="24"/>
        </w:rPr>
      </w:pPr>
      <w:r w:rsidRPr="00FE65A3">
        <w:rPr>
          <w:rFonts w:ascii="Times New Roman" w:eastAsia="宋体" w:hAnsi="Times New Roman" w:cs="Times New Roman"/>
          <w:color w:val="auto"/>
          <w:sz w:val="24"/>
          <w:lang w:eastAsia="zh-CN"/>
        </w:rPr>
        <w:t>秘书处的说明</w:t>
      </w:r>
    </w:p>
    <w:p w14:paraId="4D66F015" w14:textId="709752E2" w:rsidR="00FA18C9" w:rsidRPr="00B32150" w:rsidRDefault="00FE65A3" w:rsidP="00FE65A3">
      <w:pPr>
        <w:pStyle w:val="CBDH1"/>
        <w:tabs>
          <w:tab w:val="clear" w:pos="567"/>
          <w:tab w:val="clear" w:pos="1134"/>
          <w:tab w:val="clear" w:pos="1701"/>
          <w:tab w:val="clear" w:pos="2268"/>
          <w:tab w:val="clear" w:pos="2835"/>
          <w:tab w:val="clear" w:pos="3402"/>
        </w:tabs>
        <w:ind w:left="490"/>
      </w:pPr>
      <w:r>
        <w:rPr>
          <w:rFonts w:hint="eastAsia"/>
          <w:lang w:eastAsia="zh-CN"/>
        </w:rPr>
        <w:t>一</w:t>
      </w:r>
      <w:r w:rsidR="00890339" w:rsidRPr="00B32150">
        <w:t>.</w:t>
      </w:r>
      <w:r w:rsidR="00890339" w:rsidRPr="00B32150">
        <w:tab/>
      </w:r>
      <w:r>
        <w:rPr>
          <w:rFonts w:hint="eastAsia"/>
          <w:lang w:eastAsia="zh-CN"/>
        </w:rPr>
        <w:t>背景</w:t>
      </w:r>
    </w:p>
    <w:p w14:paraId="7FE662BF" w14:textId="2B465816" w:rsidR="004C39B7" w:rsidRPr="00FE65A3" w:rsidRDefault="008C467B" w:rsidP="00FE65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C467B">
        <w:rPr>
          <w:rFonts w:hint="eastAsia"/>
          <w:sz w:val="24"/>
          <w:lang w:val="en-US" w:eastAsia="zh-CN"/>
        </w:rPr>
        <w:t>对《</w:t>
      </w:r>
      <w:r w:rsidRPr="008C467B">
        <w:rPr>
          <w:rFonts w:hint="eastAsia"/>
          <w:bCs/>
          <w:iCs/>
          <w:sz w:val="24"/>
          <w:lang w:val="en-US" w:eastAsia="zh-CN"/>
        </w:rPr>
        <w:t>关于获取遗传资源和公正和公平分享其利用所产生惠益的名古屋议定书</w:t>
      </w:r>
      <w:r w:rsidRPr="008C467B">
        <w:rPr>
          <w:rFonts w:hint="eastAsia"/>
          <w:sz w:val="24"/>
          <w:lang w:val="en-US" w:eastAsia="zh-CN"/>
        </w:rPr>
        <w:t>》第</w:t>
      </w:r>
      <w:r w:rsidRPr="008C467B">
        <w:rPr>
          <w:rFonts w:hint="eastAsia"/>
          <w:sz w:val="24"/>
          <w:lang w:val="en-US" w:eastAsia="zh-CN"/>
        </w:rPr>
        <w:t xml:space="preserve"> 10 </w:t>
      </w:r>
      <w:r w:rsidRPr="008C467B">
        <w:rPr>
          <w:rFonts w:hint="eastAsia"/>
          <w:sz w:val="24"/>
          <w:lang w:val="en-US" w:eastAsia="zh-CN"/>
        </w:rPr>
        <w:t>条的审议自《议定书》通过后不久就已开始。多年来的工作包括提交意见、进行在线讨论、举行专家会议和委托进行研究。</w:t>
      </w:r>
      <w:r w:rsidRPr="008C467B">
        <w:rPr>
          <w:sz w:val="24"/>
          <w:vertAlign w:val="superscript"/>
          <w:lang w:val="en-US"/>
        </w:rPr>
        <w:footnoteReference w:id="2"/>
      </w:r>
      <w:r w:rsidR="005F3F65" w:rsidRPr="00FE65A3">
        <w:rPr>
          <w:sz w:val="24"/>
          <w:lang w:eastAsia="zh-CN"/>
        </w:rPr>
        <w:t xml:space="preserve"> </w:t>
      </w:r>
    </w:p>
    <w:p w14:paraId="23B12CF1" w14:textId="58EF1D38" w:rsidR="00D3059B" w:rsidRPr="00FE65A3" w:rsidRDefault="008C467B" w:rsidP="00FE65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C467B">
        <w:rPr>
          <w:rFonts w:hint="eastAsia"/>
          <w:sz w:val="24"/>
          <w:lang w:val="en-US" w:eastAsia="zh-CN"/>
        </w:rPr>
        <w:t>最近，作为名古屋议定书缔约方会议的缔约方大会第四次会议根据执行问题附属机构的一项建议，审议了全球多边惠益分享机制问题，并决定在第五次会议上再次审议《议定书》第</w:t>
      </w:r>
      <w:r w:rsidRPr="008C467B">
        <w:rPr>
          <w:rFonts w:hint="eastAsia"/>
          <w:sz w:val="24"/>
          <w:lang w:val="en-US" w:eastAsia="zh-CN"/>
        </w:rPr>
        <w:t xml:space="preserve"> 10 </w:t>
      </w:r>
      <w:r w:rsidRPr="008C467B">
        <w:rPr>
          <w:rFonts w:hint="eastAsia"/>
          <w:sz w:val="24"/>
          <w:lang w:val="en-US" w:eastAsia="zh-CN"/>
        </w:rPr>
        <w:t>条规定的这样一个机制的必要性和模式（第</w:t>
      </w:r>
      <w:r w:rsidRPr="008C467B">
        <w:rPr>
          <w:rFonts w:hint="eastAsia"/>
          <w:sz w:val="24"/>
          <w:lang w:val="en-US" w:eastAsia="zh-CN"/>
        </w:rPr>
        <w:t xml:space="preserve"> </w:t>
      </w:r>
      <w:hyperlink r:id="rId14" w:history="1">
        <w:r w:rsidRPr="008C467B">
          <w:rPr>
            <w:rStyle w:val="Hyperlink"/>
            <w:rFonts w:hint="eastAsia"/>
            <w:sz w:val="24"/>
            <w:lang w:val="en-US" w:eastAsia="zh-CN"/>
          </w:rPr>
          <w:t>NP-4/10</w:t>
        </w:r>
      </w:hyperlink>
      <w:r w:rsidRPr="008C467B">
        <w:rPr>
          <w:rFonts w:hint="eastAsia"/>
          <w:sz w:val="24"/>
          <w:lang w:val="en-US" w:eastAsia="zh-CN"/>
        </w:rPr>
        <w:t xml:space="preserve"> </w:t>
      </w:r>
      <w:r w:rsidRPr="008C467B">
        <w:rPr>
          <w:rFonts w:hint="eastAsia"/>
          <w:sz w:val="24"/>
          <w:lang w:val="en-US" w:eastAsia="zh-CN"/>
        </w:rPr>
        <w:t>号决定）。</w:t>
      </w:r>
    </w:p>
    <w:p w14:paraId="655E4093" w14:textId="3B4E5F42" w:rsidR="00323F22" w:rsidRPr="00B32150" w:rsidRDefault="00D9574D" w:rsidP="00FE65A3">
      <w:pPr>
        <w:pStyle w:val="CBDH1"/>
        <w:tabs>
          <w:tab w:val="clear" w:pos="567"/>
          <w:tab w:val="clear" w:pos="1134"/>
          <w:tab w:val="clear" w:pos="1701"/>
          <w:tab w:val="clear" w:pos="2268"/>
          <w:tab w:val="clear" w:pos="2835"/>
          <w:tab w:val="clear" w:pos="3402"/>
        </w:tabs>
        <w:ind w:left="490"/>
        <w:rPr>
          <w:lang w:eastAsia="zh-CN"/>
        </w:rPr>
      </w:pPr>
      <w:r>
        <w:rPr>
          <w:rFonts w:hint="eastAsia"/>
          <w:lang w:eastAsia="zh-CN"/>
        </w:rPr>
        <w:t>二</w:t>
      </w:r>
      <w:r w:rsidR="00890339" w:rsidRPr="0073744A">
        <w:t>.</w:t>
      </w:r>
      <w:r w:rsidR="00890339" w:rsidRPr="0073744A">
        <w:tab/>
      </w:r>
      <w:r>
        <w:rPr>
          <w:rFonts w:hint="eastAsia"/>
          <w:lang w:eastAsia="zh-CN"/>
        </w:rPr>
        <w:t>相关发展</w:t>
      </w:r>
    </w:p>
    <w:p w14:paraId="570A5820" w14:textId="4F73B38F" w:rsidR="00D918AD" w:rsidRPr="00FE65A3" w:rsidRDefault="00D9574D" w:rsidP="00FE65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9574D">
        <w:rPr>
          <w:rFonts w:hint="eastAsia"/>
          <w:sz w:val="24"/>
          <w:lang w:val="en-US" w:eastAsia="zh-CN"/>
        </w:rPr>
        <w:t>作为名古屋议定书缔约方会议的缔约方大会第</w:t>
      </w:r>
      <w:r w:rsidRPr="00D9574D">
        <w:rPr>
          <w:rFonts w:hint="eastAsia"/>
          <w:sz w:val="24"/>
          <w:lang w:val="en-US" w:eastAsia="zh-CN"/>
        </w:rPr>
        <w:t xml:space="preserve"> </w:t>
      </w:r>
      <w:hyperlink r:id="rId15" w:history="1">
        <w:r w:rsidRPr="00D9574D">
          <w:rPr>
            <w:rStyle w:val="Hyperlink"/>
            <w:rFonts w:hint="eastAsia"/>
            <w:sz w:val="24"/>
            <w:lang w:val="en-US" w:eastAsia="zh-CN"/>
          </w:rPr>
          <w:t>NP-3/1 A</w:t>
        </w:r>
      </w:hyperlink>
      <w:r w:rsidRPr="00D9574D">
        <w:rPr>
          <w:rFonts w:hint="eastAsia"/>
          <w:sz w:val="24"/>
          <w:lang w:val="en-US" w:eastAsia="zh-CN"/>
        </w:rPr>
        <w:t xml:space="preserve"> </w:t>
      </w:r>
      <w:r w:rsidRPr="00D9574D">
        <w:rPr>
          <w:rFonts w:hint="eastAsia"/>
          <w:sz w:val="24"/>
          <w:lang w:val="en-US" w:eastAsia="zh-CN"/>
        </w:rPr>
        <w:t>号决定第</w:t>
      </w:r>
      <w:r w:rsidRPr="00D9574D">
        <w:rPr>
          <w:rFonts w:hint="eastAsia"/>
          <w:sz w:val="24"/>
          <w:lang w:val="en-US" w:eastAsia="zh-CN"/>
        </w:rPr>
        <w:t xml:space="preserve"> 17 </w:t>
      </w:r>
      <w:r w:rsidRPr="00D9574D">
        <w:rPr>
          <w:rFonts w:hint="eastAsia"/>
          <w:sz w:val="24"/>
          <w:lang w:val="en-US" w:eastAsia="zh-CN"/>
        </w:rPr>
        <w:t>段决定，在《议定书》的第二次评估和审查时评估与执行《议定书》有关的所有要素，包括第</w:t>
      </w:r>
      <w:r w:rsidRPr="00D9574D">
        <w:rPr>
          <w:rFonts w:hint="eastAsia"/>
          <w:sz w:val="24"/>
          <w:lang w:val="en-US" w:eastAsia="zh-CN"/>
        </w:rPr>
        <w:t xml:space="preserve"> 10 </w:t>
      </w:r>
      <w:r w:rsidRPr="00D9574D">
        <w:rPr>
          <w:rFonts w:hint="eastAsia"/>
          <w:sz w:val="24"/>
          <w:lang w:val="en-US" w:eastAsia="zh-CN"/>
        </w:rPr>
        <w:t>条的执行进度。因此，把第</w:t>
      </w:r>
      <w:r w:rsidRPr="00D9574D">
        <w:rPr>
          <w:rFonts w:hint="eastAsia"/>
          <w:sz w:val="24"/>
          <w:lang w:val="en-US" w:eastAsia="zh-CN"/>
        </w:rPr>
        <w:t xml:space="preserve"> 10 </w:t>
      </w:r>
      <w:r w:rsidRPr="00D9574D">
        <w:rPr>
          <w:rFonts w:hint="eastAsia"/>
          <w:sz w:val="24"/>
          <w:lang w:val="en-US" w:eastAsia="zh-CN"/>
        </w:rPr>
        <w:t>条的执行情况纳入了为第二次评估和审查制定的方法草案（见执行问题附属机构第</w:t>
      </w:r>
      <w:r w:rsidRPr="00D9574D">
        <w:rPr>
          <w:rFonts w:hint="eastAsia"/>
          <w:sz w:val="24"/>
          <w:lang w:val="en-US" w:eastAsia="zh-CN"/>
        </w:rPr>
        <w:t xml:space="preserve"> </w:t>
      </w:r>
      <w:hyperlink r:id="rId16" w:history="1">
        <w:r w:rsidRPr="00D9574D">
          <w:rPr>
            <w:rStyle w:val="Hyperlink"/>
            <w:rFonts w:hint="eastAsia"/>
            <w:sz w:val="24"/>
            <w:lang w:val="en-US" w:eastAsia="zh-CN"/>
          </w:rPr>
          <w:t>4/11</w:t>
        </w:r>
      </w:hyperlink>
      <w:r w:rsidRPr="00D9574D">
        <w:rPr>
          <w:rFonts w:hint="eastAsia"/>
          <w:sz w:val="24"/>
          <w:lang w:val="en-US" w:eastAsia="zh-CN"/>
        </w:rPr>
        <w:t xml:space="preserve"> </w:t>
      </w:r>
      <w:r w:rsidRPr="00D9574D">
        <w:rPr>
          <w:rFonts w:hint="eastAsia"/>
          <w:sz w:val="24"/>
          <w:lang w:val="en-US" w:eastAsia="zh-CN"/>
        </w:rPr>
        <w:t>号建议），安排在本次会议议程项目</w:t>
      </w:r>
      <w:r w:rsidRPr="00D9574D">
        <w:rPr>
          <w:rFonts w:hint="eastAsia"/>
          <w:sz w:val="24"/>
          <w:lang w:val="en-US" w:eastAsia="zh-CN"/>
        </w:rPr>
        <w:t xml:space="preserve"> 10</w:t>
      </w:r>
      <w:r w:rsidRPr="00D9574D">
        <w:rPr>
          <w:rFonts w:hint="eastAsia"/>
          <w:sz w:val="24"/>
          <w:lang w:val="en-US" w:eastAsia="zh-CN"/>
        </w:rPr>
        <w:t>下审议。《议定书》的第二次评估和审查将由作为议定书缔约方会议的缔约方大会第六次会议进行。</w:t>
      </w:r>
    </w:p>
    <w:p w14:paraId="332B0ADC" w14:textId="326AA09F" w:rsidR="00152DB0" w:rsidRPr="00B32150" w:rsidRDefault="00D9574D" w:rsidP="00E66B38">
      <w:pPr>
        <w:pStyle w:val="CBDH1"/>
        <w:tabs>
          <w:tab w:val="clear" w:pos="567"/>
          <w:tab w:val="clear" w:pos="1134"/>
          <w:tab w:val="clear" w:pos="1701"/>
          <w:tab w:val="clear" w:pos="2268"/>
          <w:tab w:val="clear" w:pos="2835"/>
          <w:tab w:val="clear" w:pos="3402"/>
        </w:tabs>
        <w:ind w:left="490" w:hanging="562"/>
      </w:pPr>
      <w:r>
        <w:rPr>
          <w:rFonts w:hint="eastAsia"/>
          <w:lang w:eastAsia="zh-CN"/>
        </w:rPr>
        <w:lastRenderedPageBreak/>
        <w:t>三</w:t>
      </w:r>
      <w:r w:rsidR="00890339" w:rsidRPr="00B32150">
        <w:t>.</w:t>
      </w:r>
      <w:r w:rsidR="00890339" w:rsidRPr="00B32150">
        <w:tab/>
      </w:r>
      <w:r>
        <w:rPr>
          <w:rFonts w:hint="eastAsia"/>
          <w:lang w:eastAsia="zh-CN"/>
        </w:rPr>
        <w:t>建议的下一步行动</w:t>
      </w:r>
    </w:p>
    <w:p w14:paraId="6BE0219D" w14:textId="2B14A19B" w:rsidR="004701EE" w:rsidRPr="00FE65A3" w:rsidRDefault="00E66B38" w:rsidP="00FE65A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6B38">
        <w:rPr>
          <w:rFonts w:hint="eastAsia"/>
          <w:sz w:val="24"/>
          <w:lang w:val="en-US" w:eastAsia="zh-CN"/>
        </w:rPr>
        <w:t>鉴于上述情况，建议将对第</w:t>
      </w:r>
      <w:r w:rsidRPr="00E66B38">
        <w:rPr>
          <w:rFonts w:hint="eastAsia"/>
          <w:sz w:val="24"/>
          <w:lang w:val="en-US" w:eastAsia="zh-CN"/>
        </w:rPr>
        <w:t xml:space="preserve"> 10 </w:t>
      </w:r>
      <w:r w:rsidRPr="00E66B38">
        <w:rPr>
          <w:rFonts w:hint="eastAsia"/>
          <w:sz w:val="24"/>
          <w:lang w:val="en-US" w:eastAsia="zh-CN"/>
        </w:rPr>
        <w:t>条的任何进一步审议推迟到作为名古屋议定书缔约方会议的缔约方大会第六次会议。</w:t>
      </w:r>
    </w:p>
    <w:p w14:paraId="3CE930C9" w14:textId="77777777" w:rsidR="002B559C" w:rsidRPr="00FE65A3" w:rsidRDefault="00ED3849" w:rsidP="00721E55">
      <w:pPr>
        <w:pStyle w:val="Para1"/>
        <w:numPr>
          <w:ilvl w:val="0"/>
          <w:numId w:val="0"/>
        </w:numPr>
        <w:ind w:left="567"/>
        <w:jc w:val="center"/>
        <w:rPr>
          <w:sz w:val="24"/>
        </w:rPr>
      </w:pPr>
      <w:r w:rsidRPr="00FE65A3">
        <w:rPr>
          <w:sz w:val="24"/>
        </w:rPr>
        <w:t>__________</w:t>
      </w:r>
    </w:p>
    <w:sectPr w:rsidR="002B559C" w:rsidRPr="00FE65A3" w:rsidSect="00FD1A00">
      <w:headerReference w:type="even" r:id="rId17"/>
      <w:headerReference w:type="default" r:id="rId18"/>
      <w:footerReference w:type="even" r:id="rId19"/>
      <w:footerReference w:type="default" r:id="rId20"/>
      <w:headerReference w:type="first" r:id="rId21"/>
      <w:pgSz w:w="12240" w:h="15840"/>
      <w:pgMar w:top="567" w:right="1440" w:bottom="1134" w:left="1440"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D44D09" w14:textId="77777777" w:rsidR="006535B0" w:rsidRDefault="006535B0" w:rsidP="00A96B21">
      <w:r>
        <w:separator/>
      </w:r>
    </w:p>
  </w:endnote>
  <w:endnote w:type="continuationSeparator" w:id="0">
    <w:p w14:paraId="430FABED" w14:textId="77777777" w:rsidR="006535B0" w:rsidRDefault="006535B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191D187"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184C64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2696B7" w14:textId="77777777" w:rsidR="006535B0" w:rsidRDefault="006535B0" w:rsidP="00A96B21">
      <w:r>
        <w:separator/>
      </w:r>
    </w:p>
  </w:footnote>
  <w:footnote w:type="continuationSeparator" w:id="0">
    <w:p w14:paraId="4B5B5F18" w14:textId="77777777" w:rsidR="006535B0" w:rsidRDefault="006535B0" w:rsidP="00A96B21">
      <w:r>
        <w:continuationSeparator/>
      </w:r>
    </w:p>
  </w:footnote>
  <w:footnote w:id="1">
    <w:p w14:paraId="3DFEA50A" w14:textId="1AE66810" w:rsidR="00FE65A3" w:rsidRPr="00FB2F75" w:rsidRDefault="00FE65A3" w:rsidP="00FE65A3">
      <w:pPr>
        <w:pStyle w:val="Footnote"/>
      </w:pPr>
      <w:r w:rsidRPr="00FB2F75">
        <w:rPr>
          <w:rStyle w:val="FootnoteReference"/>
        </w:rPr>
        <w:t>*</w:t>
      </w:r>
      <w:r w:rsidRPr="00FB2F75">
        <w:t xml:space="preserve"> </w:t>
      </w:r>
      <w:r w:rsidRPr="00373797">
        <w:t>CBD</w:t>
      </w:r>
      <w:r w:rsidRPr="00FB2F75">
        <w:t>/</w:t>
      </w:r>
      <w:r w:rsidRPr="00373797">
        <w:t>NP</w:t>
      </w:r>
      <w:r w:rsidRPr="00FB2F75">
        <w:t>/</w:t>
      </w:r>
      <w:r w:rsidRPr="00373797">
        <w:t>MOP</w:t>
      </w:r>
      <w:r w:rsidRPr="00FB2F75">
        <w:t>/5/1</w:t>
      </w:r>
      <w:r w:rsidR="00E66B38">
        <w:rPr>
          <w:rFonts w:hint="eastAsia"/>
          <w:lang w:eastAsia="zh-CN"/>
        </w:rPr>
        <w:t>。</w:t>
      </w:r>
    </w:p>
  </w:footnote>
  <w:footnote w:id="2">
    <w:p w14:paraId="44AE1DC2" w14:textId="77777777" w:rsidR="008C467B" w:rsidRPr="00863F26" w:rsidRDefault="008C467B" w:rsidP="008C467B">
      <w:pPr>
        <w:pStyle w:val="FootnoteText"/>
      </w:pPr>
      <w:r w:rsidRPr="00FB2F75">
        <w:rPr>
          <w:rStyle w:val="FootnoteReference"/>
        </w:rPr>
        <w:footnoteRef/>
      </w:r>
      <w:r w:rsidRPr="00FB2F75">
        <w:t xml:space="preserve"> </w:t>
      </w:r>
      <w:r w:rsidRPr="005F4BA4">
        <w:t>关于自《议定书》通过</w:t>
      </w:r>
      <w:r w:rsidRPr="005F4BA4">
        <w:rPr>
          <w:rFonts w:hint="eastAsia"/>
        </w:rPr>
        <w:t>以来就这个事项</w:t>
      </w:r>
      <w:r>
        <w:rPr>
          <w:rFonts w:hint="eastAsia"/>
        </w:rPr>
        <w:t>所</w:t>
      </w:r>
      <w:r w:rsidRPr="005F4BA4">
        <w:rPr>
          <w:rFonts w:hint="eastAsia"/>
        </w:rPr>
        <w:t>进行工作的</w:t>
      </w:r>
      <w:r w:rsidRPr="005F4BA4">
        <w:t>概述</w:t>
      </w:r>
      <w:r>
        <w:rPr>
          <w:rFonts w:hint="eastAsia"/>
        </w:rPr>
        <w:t>，见</w:t>
      </w:r>
      <w:hyperlink r:id="rId1" w:history="1">
        <w:r w:rsidRPr="00C80193">
          <w:rPr>
            <w:rStyle w:val="Hyperlink"/>
          </w:rPr>
          <w:t>www.cbd.int/abs/art10.shtml</w:t>
        </w:r>
      </w:hyperlink>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699E2457" w14:textId="17BEDACD"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5"/>
    <w:bookmarkEnd w:id="6"/>
    <w:r w:rsidR="00D23F1E">
      <w:rPr>
        <w:szCs w:val="20"/>
        <w:lang w:val="fr-FR"/>
      </w:rPr>
      <w:t>NP/MOP/</w:t>
    </w:r>
    <w:r w:rsidR="00D23F1E" w:rsidRPr="000B54B7">
      <w:rPr>
        <w:szCs w:val="20"/>
        <w:lang w:val="fr-FR"/>
      </w:rPr>
      <w:t>5/</w:t>
    </w:r>
    <w:r w:rsidR="000B54B7" w:rsidRPr="00373797">
      <w:rPr>
        <w:szCs w:val="20"/>
        <w:lang w:val="fr-FR"/>
      </w:rPr>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6DAE9D"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6888B" w14:textId="77777777" w:rsidR="008A1977" w:rsidRDefault="008A1977" w:rsidP="0037379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E34948"/>
    <w:multiLevelType w:val="hybridMultilevel"/>
    <w:tmpl w:val="197283DC"/>
    <w:lvl w:ilvl="0" w:tplc="534877C4">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FAD8B65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EE76EF22"/>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61A6967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2E8E6B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1BCCADF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583539140">
    <w:abstractNumId w:val="3"/>
  </w:num>
  <w:num w:numId="22" w16cid:durableId="1104686639">
    <w:abstractNumId w:val="9"/>
  </w:num>
  <w:num w:numId="23" w16cid:durableId="182958847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4" w16cid:durableId="700669167">
    <w:abstractNumId w:val="14"/>
  </w:num>
  <w:num w:numId="25" w16cid:durableId="2118940346">
    <w:abstractNumId w:val="14"/>
  </w:num>
  <w:num w:numId="26" w16cid:durableId="126970878">
    <w:abstractNumId w:val="14"/>
  </w:num>
  <w:num w:numId="27" w16cid:durableId="877618980">
    <w:abstractNumId w:val="14"/>
  </w:num>
  <w:num w:numId="28" w16cid:durableId="266547781">
    <w:abstractNumId w:val="14"/>
  </w:num>
  <w:num w:numId="29" w16cid:durableId="1239629540">
    <w:abstractNumId w:val="14"/>
  </w:num>
  <w:num w:numId="30" w16cid:durableId="2118602414">
    <w:abstractNumId w:val="15"/>
  </w:num>
  <w:num w:numId="31" w16cid:durableId="473259908">
    <w:abstractNumId w:val="15"/>
  </w:num>
  <w:num w:numId="32" w16cid:durableId="366637702">
    <w:abstractNumId w:val="15"/>
  </w:num>
  <w:num w:numId="33" w16cid:durableId="431635469">
    <w:abstractNumId w:val="15"/>
  </w:num>
  <w:num w:numId="34" w16cid:durableId="17765107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AB5"/>
    <w:rsid w:val="00040598"/>
    <w:rsid w:val="00044176"/>
    <w:rsid w:val="000612A9"/>
    <w:rsid w:val="00065CF1"/>
    <w:rsid w:val="00071C9C"/>
    <w:rsid w:val="00095BD5"/>
    <w:rsid w:val="000A3B75"/>
    <w:rsid w:val="000B54B7"/>
    <w:rsid w:val="000C04BB"/>
    <w:rsid w:val="000C0D5F"/>
    <w:rsid w:val="0011293B"/>
    <w:rsid w:val="00132024"/>
    <w:rsid w:val="00132581"/>
    <w:rsid w:val="00137B6E"/>
    <w:rsid w:val="00152DB0"/>
    <w:rsid w:val="00170BAA"/>
    <w:rsid w:val="00173C53"/>
    <w:rsid w:val="001812C0"/>
    <w:rsid w:val="00184909"/>
    <w:rsid w:val="0019725E"/>
    <w:rsid w:val="001D7501"/>
    <w:rsid w:val="001F649C"/>
    <w:rsid w:val="002170C2"/>
    <w:rsid w:val="002500D3"/>
    <w:rsid w:val="0028646E"/>
    <w:rsid w:val="002916E1"/>
    <w:rsid w:val="002A29E3"/>
    <w:rsid w:val="002B00CA"/>
    <w:rsid w:val="002B559C"/>
    <w:rsid w:val="002D2BB2"/>
    <w:rsid w:val="002E0120"/>
    <w:rsid w:val="002F521D"/>
    <w:rsid w:val="00310608"/>
    <w:rsid w:val="003238C4"/>
    <w:rsid w:val="00323F22"/>
    <w:rsid w:val="00334B67"/>
    <w:rsid w:val="003476A9"/>
    <w:rsid w:val="00350C5D"/>
    <w:rsid w:val="003620A4"/>
    <w:rsid w:val="0037086A"/>
    <w:rsid w:val="00373797"/>
    <w:rsid w:val="00383B63"/>
    <w:rsid w:val="00390E3E"/>
    <w:rsid w:val="003A3A1F"/>
    <w:rsid w:val="003A4F65"/>
    <w:rsid w:val="003B5E2C"/>
    <w:rsid w:val="003C6F10"/>
    <w:rsid w:val="003E03B1"/>
    <w:rsid w:val="00415897"/>
    <w:rsid w:val="004220B7"/>
    <w:rsid w:val="00422169"/>
    <w:rsid w:val="00441498"/>
    <w:rsid w:val="00461373"/>
    <w:rsid w:val="00463A79"/>
    <w:rsid w:val="0046527A"/>
    <w:rsid w:val="004701EE"/>
    <w:rsid w:val="00480A8D"/>
    <w:rsid w:val="0049481A"/>
    <w:rsid w:val="004A2A02"/>
    <w:rsid w:val="004A2A2D"/>
    <w:rsid w:val="004A2A4A"/>
    <w:rsid w:val="004B45B9"/>
    <w:rsid w:val="004B6EB0"/>
    <w:rsid w:val="004C0410"/>
    <w:rsid w:val="004C39B7"/>
    <w:rsid w:val="004D21F4"/>
    <w:rsid w:val="004E2920"/>
    <w:rsid w:val="00505181"/>
    <w:rsid w:val="005071D2"/>
    <w:rsid w:val="0053488D"/>
    <w:rsid w:val="00537248"/>
    <w:rsid w:val="005432A1"/>
    <w:rsid w:val="005A115F"/>
    <w:rsid w:val="005A206E"/>
    <w:rsid w:val="005B6283"/>
    <w:rsid w:val="005C0058"/>
    <w:rsid w:val="005C0346"/>
    <w:rsid w:val="005D7F14"/>
    <w:rsid w:val="005E2605"/>
    <w:rsid w:val="005E29B6"/>
    <w:rsid w:val="005F1336"/>
    <w:rsid w:val="005F3F65"/>
    <w:rsid w:val="00623D40"/>
    <w:rsid w:val="00626AED"/>
    <w:rsid w:val="00652EC6"/>
    <w:rsid w:val="006535B0"/>
    <w:rsid w:val="006549A4"/>
    <w:rsid w:val="00657ED6"/>
    <w:rsid w:val="0069631E"/>
    <w:rsid w:val="006B293D"/>
    <w:rsid w:val="006F2D0F"/>
    <w:rsid w:val="007074BC"/>
    <w:rsid w:val="0072032D"/>
    <w:rsid w:val="00721E55"/>
    <w:rsid w:val="00722D66"/>
    <w:rsid w:val="0073744A"/>
    <w:rsid w:val="00746248"/>
    <w:rsid w:val="007534F3"/>
    <w:rsid w:val="00757F12"/>
    <w:rsid w:val="00760BF0"/>
    <w:rsid w:val="00765361"/>
    <w:rsid w:val="0076622F"/>
    <w:rsid w:val="0078423C"/>
    <w:rsid w:val="007C77BC"/>
    <w:rsid w:val="00810381"/>
    <w:rsid w:val="00820095"/>
    <w:rsid w:val="00863F26"/>
    <w:rsid w:val="00874541"/>
    <w:rsid w:val="008767D4"/>
    <w:rsid w:val="00890339"/>
    <w:rsid w:val="008A1977"/>
    <w:rsid w:val="008C36F0"/>
    <w:rsid w:val="008C467B"/>
    <w:rsid w:val="008E0581"/>
    <w:rsid w:val="008E69F8"/>
    <w:rsid w:val="009028BF"/>
    <w:rsid w:val="009200CB"/>
    <w:rsid w:val="00935461"/>
    <w:rsid w:val="00940C5B"/>
    <w:rsid w:val="009459E3"/>
    <w:rsid w:val="00945BF7"/>
    <w:rsid w:val="00957377"/>
    <w:rsid w:val="00995DDC"/>
    <w:rsid w:val="00997170"/>
    <w:rsid w:val="009C1114"/>
    <w:rsid w:val="009D2682"/>
    <w:rsid w:val="00A055D3"/>
    <w:rsid w:val="00A15FAD"/>
    <w:rsid w:val="00A20144"/>
    <w:rsid w:val="00A274F7"/>
    <w:rsid w:val="00A54FA0"/>
    <w:rsid w:val="00A96B21"/>
    <w:rsid w:val="00A96B83"/>
    <w:rsid w:val="00AB7390"/>
    <w:rsid w:val="00AE1A95"/>
    <w:rsid w:val="00AE3B15"/>
    <w:rsid w:val="00AE4538"/>
    <w:rsid w:val="00B00198"/>
    <w:rsid w:val="00B01052"/>
    <w:rsid w:val="00B32150"/>
    <w:rsid w:val="00B36EA9"/>
    <w:rsid w:val="00B5008F"/>
    <w:rsid w:val="00B65AB5"/>
    <w:rsid w:val="00B9508E"/>
    <w:rsid w:val="00B972A9"/>
    <w:rsid w:val="00BA7D9B"/>
    <w:rsid w:val="00BB6AF4"/>
    <w:rsid w:val="00BB7DC5"/>
    <w:rsid w:val="00C10A5B"/>
    <w:rsid w:val="00C11461"/>
    <w:rsid w:val="00C2354A"/>
    <w:rsid w:val="00C46D75"/>
    <w:rsid w:val="00C537D8"/>
    <w:rsid w:val="00C616C8"/>
    <w:rsid w:val="00C86C76"/>
    <w:rsid w:val="00C95D81"/>
    <w:rsid w:val="00CD5213"/>
    <w:rsid w:val="00CE08C3"/>
    <w:rsid w:val="00CE39C6"/>
    <w:rsid w:val="00CF70AB"/>
    <w:rsid w:val="00D162B8"/>
    <w:rsid w:val="00D221D8"/>
    <w:rsid w:val="00D23F1E"/>
    <w:rsid w:val="00D3059B"/>
    <w:rsid w:val="00D31F58"/>
    <w:rsid w:val="00D32408"/>
    <w:rsid w:val="00D42059"/>
    <w:rsid w:val="00D47854"/>
    <w:rsid w:val="00D60046"/>
    <w:rsid w:val="00D71FFB"/>
    <w:rsid w:val="00D81932"/>
    <w:rsid w:val="00D918AD"/>
    <w:rsid w:val="00D9574D"/>
    <w:rsid w:val="00DA5026"/>
    <w:rsid w:val="00DA716B"/>
    <w:rsid w:val="00DB2F80"/>
    <w:rsid w:val="00DB5CB0"/>
    <w:rsid w:val="00DC6340"/>
    <w:rsid w:val="00DD3949"/>
    <w:rsid w:val="00DD5FEC"/>
    <w:rsid w:val="00DD74C2"/>
    <w:rsid w:val="00DE1B53"/>
    <w:rsid w:val="00DF21EE"/>
    <w:rsid w:val="00E1597C"/>
    <w:rsid w:val="00E64F0E"/>
    <w:rsid w:val="00E66B38"/>
    <w:rsid w:val="00EC481E"/>
    <w:rsid w:val="00ED3849"/>
    <w:rsid w:val="00EE4702"/>
    <w:rsid w:val="00F1683A"/>
    <w:rsid w:val="00F23253"/>
    <w:rsid w:val="00F258FB"/>
    <w:rsid w:val="00F37B1F"/>
    <w:rsid w:val="00F42096"/>
    <w:rsid w:val="00F6680A"/>
    <w:rsid w:val="00F66CF5"/>
    <w:rsid w:val="00F72A69"/>
    <w:rsid w:val="00F75F90"/>
    <w:rsid w:val="00F9502E"/>
    <w:rsid w:val="00FA18C9"/>
    <w:rsid w:val="00FB2F75"/>
    <w:rsid w:val="00FB40C9"/>
    <w:rsid w:val="00FD1A00"/>
    <w:rsid w:val="00FE65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98573"/>
  <w15:chartTrackingRefBased/>
  <w15:docId w15:val="{5D8A6AF0-45E0-4CC5-8479-F61660F4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D0F"/>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6F2D0F"/>
    <w:pPr>
      <w:keepNext/>
      <w:keepLines/>
      <w:numPr>
        <w:numId w:val="2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F2D0F"/>
    <w:pPr>
      <w:keepNext/>
      <w:keepLines/>
      <w:numPr>
        <w:ilvl w:val="1"/>
        <w:numId w:val="2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F2D0F"/>
    <w:pPr>
      <w:keepNext/>
      <w:keepLines/>
      <w:numPr>
        <w:ilvl w:val="2"/>
        <w:numId w:val="2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F2D0F"/>
    <w:pPr>
      <w:keepNext/>
      <w:numPr>
        <w:ilvl w:val="3"/>
        <w:numId w:val="2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F2D0F"/>
    <w:pPr>
      <w:keepNext/>
      <w:numPr>
        <w:ilvl w:val="4"/>
        <w:numId w:val="29"/>
      </w:numPr>
      <w:spacing w:before="120" w:after="120"/>
      <w:jc w:val="left"/>
      <w:outlineLvl w:val="4"/>
    </w:pPr>
    <w:rPr>
      <w:rFonts w:eastAsiaTheme="majorEastAsia"/>
      <w:i/>
      <w:iCs/>
    </w:rPr>
  </w:style>
  <w:style w:type="paragraph" w:styleId="Heading6">
    <w:name w:val="heading 6"/>
    <w:basedOn w:val="Normal"/>
    <w:next w:val="Normal"/>
    <w:link w:val="Heading6Char"/>
    <w:semiHidden/>
    <w:rsid w:val="006F2D0F"/>
    <w:pPr>
      <w:keepNext/>
      <w:keepLines/>
      <w:numPr>
        <w:ilvl w:val="5"/>
        <w:numId w:val="3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F2D0F"/>
    <w:pPr>
      <w:keepNext/>
      <w:keepLines/>
      <w:widowControl w:val="0"/>
      <w:numPr>
        <w:ilvl w:val="6"/>
        <w:numId w:val="3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F2D0F"/>
    <w:pPr>
      <w:keepNext/>
      <w:keepLines/>
      <w:widowControl w:val="0"/>
      <w:numPr>
        <w:ilvl w:val="7"/>
        <w:numId w:val="3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F2D0F"/>
    <w:pPr>
      <w:keepNext/>
      <w:widowControl w:val="0"/>
      <w:numPr>
        <w:ilvl w:val="8"/>
        <w:numId w:val="3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F2D0F"/>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F2D0F"/>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F2D0F"/>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F2D0F"/>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F2D0F"/>
    <w:pPr>
      <w:jc w:val="left"/>
    </w:pPr>
    <w:rPr>
      <w:sz w:val="18"/>
      <w:szCs w:val="20"/>
    </w:rPr>
  </w:style>
  <w:style w:type="character" w:customStyle="1" w:styleId="FootnoteTextChar">
    <w:name w:val="Footnote Text Char"/>
    <w:basedOn w:val="DefaultParagraphFont"/>
    <w:link w:val="FootnoteText"/>
    <w:uiPriority w:val="99"/>
    <w:semiHidden/>
    <w:rsid w:val="006F2D0F"/>
    <w:rPr>
      <w:rFonts w:ascii="Times New Roman" w:eastAsia="宋体"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6F2D0F"/>
    <w:rPr>
      <w:vertAlign w:val="superscript"/>
    </w:rPr>
  </w:style>
  <w:style w:type="paragraph" w:customStyle="1" w:styleId="Footnote">
    <w:name w:val="Footnote"/>
    <w:basedOn w:val="FootnoteText"/>
    <w:qFormat/>
    <w:rsid w:val="006F2D0F"/>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6F2D0F"/>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F2D0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F2D0F"/>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6F2D0F"/>
    <w:pPr>
      <w:tabs>
        <w:tab w:val="center" w:pos="4680"/>
        <w:tab w:val="right" w:pos="9360"/>
      </w:tabs>
    </w:pPr>
    <w:rPr>
      <w:sz w:val="20"/>
    </w:rPr>
  </w:style>
  <w:style w:type="character" w:customStyle="1" w:styleId="FooterChar">
    <w:name w:val="Footer Char"/>
    <w:basedOn w:val="DefaultParagraphFont"/>
    <w:link w:val="Footer"/>
    <w:uiPriority w:val="99"/>
    <w:rsid w:val="006F2D0F"/>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F2D0F"/>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F2D0F"/>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6F2D0F"/>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F2D0F"/>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F2D0F"/>
    <w:rPr>
      <w:sz w:val="16"/>
      <w:szCs w:val="16"/>
    </w:rPr>
  </w:style>
  <w:style w:type="paragraph" w:styleId="CommentText">
    <w:name w:val="annotation text"/>
    <w:basedOn w:val="Normal"/>
    <w:link w:val="CommentTextChar"/>
    <w:uiPriority w:val="99"/>
    <w:rsid w:val="006F2D0F"/>
    <w:rPr>
      <w:sz w:val="20"/>
      <w:szCs w:val="20"/>
    </w:rPr>
  </w:style>
  <w:style w:type="character" w:customStyle="1" w:styleId="CommentTextChar">
    <w:name w:val="Comment Text Char"/>
    <w:basedOn w:val="DefaultParagraphFont"/>
    <w:link w:val="CommentText"/>
    <w:uiPriority w:val="99"/>
    <w:rsid w:val="006F2D0F"/>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F2D0F"/>
    <w:rPr>
      <w:b/>
      <w:bCs/>
    </w:rPr>
  </w:style>
  <w:style w:type="character" w:customStyle="1" w:styleId="CommentSubjectChar">
    <w:name w:val="Comment Subject Char"/>
    <w:basedOn w:val="CommentTextChar"/>
    <w:link w:val="CommentSubject"/>
    <w:uiPriority w:val="99"/>
    <w:semiHidden/>
    <w:rsid w:val="006F2D0F"/>
    <w:rPr>
      <w:rFonts w:ascii="Times New Roman" w:eastAsia="宋体" w:hAnsi="Times New Roman" w:cs="Times New Roman"/>
      <w:b/>
      <w:bCs/>
      <w:kern w:val="0"/>
      <w:sz w:val="20"/>
      <w:szCs w:val="20"/>
      <w:lang w:val="en-US"/>
      <w14:ligatures w14:val="none"/>
    </w:rPr>
  </w:style>
  <w:style w:type="character" w:styleId="Hyperlink">
    <w:name w:val="Hyperlink"/>
    <w:basedOn w:val="DefaultParagraphFont"/>
    <w:uiPriority w:val="99"/>
    <w:unhideWhenUsed/>
    <w:rsid w:val="006F2D0F"/>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E29B6"/>
    <w:rPr>
      <w:color w:val="605E5C"/>
      <w:shd w:val="clear" w:color="auto" w:fill="E1DFDD"/>
    </w:rPr>
  </w:style>
  <w:style w:type="character" w:styleId="FollowedHyperlink">
    <w:name w:val="FollowedHyperlink"/>
    <w:basedOn w:val="DefaultParagraphFont"/>
    <w:uiPriority w:val="99"/>
    <w:semiHidden/>
    <w:unhideWhenUsed/>
    <w:rsid w:val="00997170"/>
    <w:rPr>
      <w:color w:val="954F72" w:themeColor="followedHyperlink"/>
      <w:u w:val="single"/>
    </w:rPr>
  </w:style>
  <w:style w:type="paragraph" w:styleId="Revision">
    <w:name w:val="Revision"/>
    <w:hidden/>
    <w:uiPriority w:val="99"/>
    <w:semiHidden/>
    <w:rsid w:val="001812C0"/>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F2D0F"/>
    <w:pPr>
      <w:jc w:val="left"/>
    </w:pPr>
    <w:rPr>
      <w:lang w:val="en-GB"/>
    </w:rPr>
  </w:style>
  <w:style w:type="paragraph" w:customStyle="1" w:styleId="AASmallLogo">
    <w:name w:val="AA_SmallLogo"/>
    <w:basedOn w:val="AEDistrNormal"/>
    <w:unhideWhenUsed/>
    <w:rsid w:val="006F2D0F"/>
    <w:pPr>
      <w:spacing w:before="40"/>
    </w:pPr>
    <w:rPr>
      <w:sz w:val="4"/>
    </w:rPr>
  </w:style>
  <w:style w:type="paragraph" w:customStyle="1" w:styleId="ABSymbol">
    <w:name w:val="AB_Symbol"/>
    <w:basedOn w:val="Normal"/>
    <w:qFormat/>
    <w:rsid w:val="006F2D0F"/>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F2D0F"/>
    <w:rPr>
      <w:lang w:val="en-GB"/>
    </w:rPr>
  </w:style>
  <w:style w:type="paragraph" w:customStyle="1" w:styleId="ACLargeLogo">
    <w:name w:val="AC_LargeLogo"/>
    <w:basedOn w:val="AFCorNotNormal"/>
    <w:next w:val="Normal"/>
    <w:unhideWhenUsed/>
    <w:rsid w:val="006F2D0F"/>
    <w:pPr>
      <w:spacing w:before="120"/>
      <w:contextualSpacing/>
      <w:jc w:val="left"/>
    </w:pPr>
    <w:rPr>
      <w:sz w:val="8"/>
    </w:rPr>
  </w:style>
  <w:style w:type="paragraph" w:customStyle="1" w:styleId="AEDistrNormal6pt">
    <w:name w:val="AE_DistrNormal6pt"/>
    <w:basedOn w:val="AEDistrNormal"/>
    <w:next w:val="AFCorNotNormal"/>
    <w:unhideWhenUsed/>
    <w:qFormat/>
    <w:rsid w:val="006F2D0F"/>
    <w:pPr>
      <w:spacing w:before="120"/>
    </w:pPr>
  </w:style>
  <w:style w:type="paragraph" w:customStyle="1" w:styleId="AENormal">
    <w:name w:val="AE_Normal"/>
    <w:basedOn w:val="Normal"/>
    <w:rsid w:val="006F2D0F"/>
    <w:rPr>
      <w:lang w:val="en-GB"/>
    </w:rPr>
  </w:style>
  <w:style w:type="paragraph" w:customStyle="1" w:styleId="AFCorNot12Bold">
    <w:name w:val="AF_CorNot12Bold"/>
    <w:basedOn w:val="AFCorNotNormal"/>
    <w:next w:val="AFCorNotNormal"/>
    <w:unhideWhenUsed/>
    <w:qFormat/>
    <w:rsid w:val="006F2D0F"/>
    <w:pPr>
      <w:jc w:val="left"/>
    </w:pPr>
    <w:rPr>
      <w:b/>
      <w:sz w:val="24"/>
    </w:rPr>
  </w:style>
  <w:style w:type="paragraph" w:customStyle="1" w:styleId="AFCorNotBold">
    <w:name w:val="AF_CorNotBold"/>
    <w:basedOn w:val="AFCorNotNormal"/>
    <w:next w:val="AFCorNotNormal"/>
    <w:unhideWhenUsed/>
    <w:qFormat/>
    <w:rsid w:val="006F2D0F"/>
    <w:rPr>
      <w:b/>
    </w:rPr>
  </w:style>
  <w:style w:type="paragraph" w:customStyle="1" w:styleId="AISpacer">
    <w:name w:val="AI_Spacer"/>
    <w:next w:val="Normal"/>
    <w:unhideWhenUsed/>
    <w:qFormat/>
    <w:rsid w:val="006F2D0F"/>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6F2D0F"/>
    <w:pPr>
      <w:keepNext/>
      <w:keepLines/>
      <w:spacing w:before="240" w:after="120"/>
      <w:jc w:val="left"/>
    </w:pPr>
    <w:rPr>
      <w:b/>
      <w:sz w:val="24"/>
    </w:rPr>
  </w:style>
  <w:style w:type="paragraph" w:customStyle="1" w:styleId="CBDNormal">
    <w:name w:val="CBD_Normal"/>
    <w:unhideWhenUsed/>
    <w:qFormat/>
    <w:rsid w:val="006F2D0F"/>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6F2D0F"/>
    <w:pPr>
      <w:keepNext/>
      <w:keepLines/>
      <w:spacing w:after="240"/>
      <w:jc w:val="left"/>
    </w:pPr>
    <w:rPr>
      <w:b/>
      <w:sz w:val="28"/>
      <w:lang w:val="en-GB" w:bidi="ar-SY"/>
    </w:rPr>
  </w:style>
  <w:style w:type="paragraph" w:customStyle="1" w:styleId="CBDDesicionAnnex">
    <w:name w:val="CBD_DesicionAnnex"/>
    <w:basedOn w:val="CBDNormal"/>
    <w:next w:val="Normal"/>
    <w:qFormat/>
    <w:rsid w:val="006F2D0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F2D0F"/>
    <w:pPr>
      <w:spacing w:after="120"/>
      <w:ind w:left="567"/>
    </w:pPr>
  </w:style>
  <w:style w:type="paragraph" w:customStyle="1" w:styleId="CBDFigureTitle">
    <w:name w:val="CBD_FigureTitle"/>
    <w:basedOn w:val="CBDNormal"/>
    <w:next w:val="Normal"/>
    <w:qFormat/>
    <w:rsid w:val="006F2D0F"/>
    <w:pPr>
      <w:keepNext/>
      <w:keepLines/>
      <w:spacing w:before="120" w:after="60"/>
      <w:ind w:left="567"/>
      <w:jc w:val="left"/>
    </w:pPr>
    <w:rPr>
      <w:b/>
    </w:rPr>
  </w:style>
  <w:style w:type="paragraph" w:customStyle="1" w:styleId="CBDFooter">
    <w:name w:val="CBD_Footer"/>
    <w:basedOn w:val="CBDNormal"/>
    <w:qFormat/>
    <w:rsid w:val="006F2D0F"/>
    <w:rPr>
      <w:sz w:val="20"/>
    </w:rPr>
  </w:style>
  <w:style w:type="paragraph" w:customStyle="1" w:styleId="CBDFootnoteText">
    <w:name w:val="CBD_Footnote_Text"/>
    <w:basedOn w:val="CBDNormal"/>
    <w:qFormat/>
    <w:rsid w:val="006F2D0F"/>
    <w:pPr>
      <w:jc w:val="left"/>
    </w:pPr>
    <w:rPr>
      <w:sz w:val="18"/>
    </w:rPr>
  </w:style>
  <w:style w:type="paragraph" w:customStyle="1" w:styleId="CBDH1">
    <w:name w:val="CBD_H1"/>
    <w:basedOn w:val="CBDNormal"/>
    <w:qFormat/>
    <w:rsid w:val="006F2D0F"/>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F2D0F"/>
    <w:pPr>
      <w:numPr>
        <w:numId w:val="23"/>
      </w:numPr>
      <w:tabs>
        <w:tab w:val="left" w:pos="3969"/>
      </w:tabs>
      <w:spacing w:before="120" w:after="120"/>
    </w:pPr>
    <w:rPr>
      <w:lang w:val="en-GB"/>
    </w:rPr>
  </w:style>
  <w:style w:type="paragraph" w:customStyle="1" w:styleId="CBDH2">
    <w:name w:val="CBD_H2"/>
    <w:basedOn w:val="CBDNormalNumber"/>
    <w:qFormat/>
    <w:rsid w:val="006F2D0F"/>
    <w:pPr>
      <w:keepNext/>
      <w:keepLines/>
      <w:numPr>
        <w:numId w:val="0"/>
      </w:numPr>
      <w:ind w:left="567" w:hanging="567"/>
    </w:pPr>
    <w:rPr>
      <w:b/>
      <w:sz w:val="24"/>
    </w:rPr>
  </w:style>
  <w:style w:type="paragraph" w:customStyle="1" w:styleId="CBDH3">
    <w:name w:val="CBD_H3"/>
    <w:basedOn w:val="CBDNormal"/>
    <w:qFormat/>
    <w:rsid w:val="006F2D0F"/>
    <w:pPr>
      <w:keepNext/>
      <w:keepLines/>
      <w:spacing w:before="120" w:after="120"/>
      <w:ind w:left="567" w:hanging="567"/>
      <w:jc w:val="left"/>
    </w:pPr>
    <w:rPr>
      <w:b/>
    </w:rPr>
  </w:style>
  <w:style w:type="paragraph" w:customStyle="1" w:styleId="CBDH4">
    <w:name w:val="CBD_H4"/>
    <w:basedOn w:val="CBDNormal"/>
    <w:rsid w:val="006F2D0F"/>
    <w:pPr>
      <w:keepNext/>
      <w:keepLines/>
      <w:spacing w:before="120" w:after="120"/>
      <w:ind w:left="567" w:hanging="567"/>
      <w:jc w:val="left"/>
    </w:pPr>
    <w:rPr>
      <w:b/>
    </w:rPr>
  </w:style>
  <w:style w:type="paragraph" w:customStyle="1" w:styleId="CBDH5">
    <w:name w:val="CBD_H5"/>
    <w:basedOn w:val="CBDNormal"/>
    <w:qFormat/>
    <w:rsid w:val="006F2D0F"/>
    <w:pPr>
      <w:keepNext/>
      <w:keepLines/>
      <w:spacing w:before="120" w:after="120"/>
      <w:ind w:left="567" w:hanging="567"/>
      <w:jc w:val="left"/>
    </w:pPr>
    <w:rPr>
      <w:i/>
    </w:rPr>
  </w:style>
  <w:style w:type="paragraph" w:customStyle="1" w:styleId="CBDHeader">
    <w:name w:val="CBD_Header"/>
    <w:basedOn w:val="CBDNormal"/>
    <w:next w:val="CBDFooter"/>
    <w:qFormat/>
    <w:rsid w:val="006F2D0F"/>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F2D0F"/>
    <w:pPr>
      <w:numPr>
        <w:numId w:val="34"/>
      </w:numPr>
    </w:pPr>
  </w:style>
  <w:style w:type="numbering" w:customStyle="1" w:styleId="CBDHeadings">
    <w:name w:val="CBD_Headings"/>
    <w:basedOn w:val="ListCBD"/>
    <w:uiPriority w:val="99"/>
    <w:rsid w:val="006F2D0F"/>
    <w:pPr>
      <w:numPr>
        <w:numId w:val="24"/>
      </w:numPr>
    </w:pPr>
  </w:style>
  <w:style w:type="paragraph" w:customStyle="1" w:styleId="CBDNormalNoNumber">
    <w:name w:val="CBD_Normal_NoNumber"/>
    <w:basedOn w:val="CBDNormal"/>
    <w:qFormat/>
    <w:rsid w:val="006F2D0F"/>
    <w:pPr>
      <w:spacing w:after="120"/>
      <w:ind w:left="567"/>
    </w:pPr>
  </w:style>
  <w:style w:type="paragraph" w:customStyle="1" w:styleId="CBDSubTitle">
    <w:name w:val="CBD_SubTitle"/>
    <w:basedOn w:val="CBDNormal"/>
    <w:qFormat/>
    <w:rsid w:val="006F2D0F"/>
    <w:pPr>
      <w:keepNext/>
      <w:keepLines/>
      <w:spacing w:before="240" w:after="240"/>
      <w:ind w:left="567"/>
      <w:jc w:val="left"/>
    </w:pPr>
    <w:rPr>
      <w:b/>
      <w:lang w:val="en-GB"/>
    </w:rPr>
  </w:style>
  <w:style w:type="paragraph" w:customStyle="1" w:styleId="CBDTableNormal">
    <w:name w:val="CBD_TableNormal"/>
    <w:basedOn w:val="CBDNormal"/>
    <w:qFormat/>
    <w:rsid w:val="006F2D0F"/>
    <w:pPr>
      <w:spacing w:before="40" w:after="80"/>
      <w:jc w:val="left"/>
    </w:pPr>
    <w:rPr>
      <w:sz w:val="20"/>
    </w:rPr>
  </w:style>
  <w:style w:type="paragraph" w:customStyle="1" w:styleId="CBDTableTitle">
    <w:name w:val="CBD_TableTitle"/>
    <w:basedOn w:val="CBDNormal"/>
    <w:qFormat/>
    <w:rsid w:val="006F2D0F"/>
    <w:pPr>
      <w:keepNext/>
      <w:keepLines/>
      <w:spacing w:before="120" w:after="60"/>
      <w:ind w:left="567"/>
      <w:jc w:val="left"/>
    </w:pPr>
    <w:rPr>
      <w:b/>
    </w:rPr>
  </w:style>
  <w:style w:type="paragraph" w:customStyle="1" w:styleId="CBDTitle">
    <w:name w:val="CBD_Title"/>
    <w:basedOn w:val="CBDNormal"/>
    <w:next w:val="CBDSubTitle"/>
    <w:qFormat/>
    <w:rsid w:val="006F2D0F"/>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F2D0F"/>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F2D0F"/>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F2D0F"/>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F2D0F"/>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6F2D0F"/>
    <w:pPr>
      <w:contextualSpacing/>
    </w:pPr>
  </w:style>
  <w:style w:type="paragraph" w:styleId="ListParagraph">
    <w:name w:val="List Paragraph"/>
    <w:basedOn w:val="Normal"/>
    <w:uiPriority w:val="34"/>
    <w:qFormat/>
    <w:rsid w:val="006F2D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recommendations/sbi-04/sbi-04-rec-11-zh.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3/np-mop-03-dec-01-zh.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10-zh.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abs/art10.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46DCBF202724AC5A7A2EF473D1B72FC"/>
        <w:category>
          <w:name w:val="General"/>
          <w:gallery w:val="placeholder"/>
        </w:category>
        <w:types>
          <w:type w:val="bbPlcHdr"/>
        </w:types>
        <w:behaviors>
          <w:behavior w:val="content"/>
        </w:behaviors>
        <w:guid w:val="{ED3BC86E-808F-4E60-95F6-84902B71D773}"/>
      </w:docPartPr>
      <w:docPartBody>
        <w:p w:rsidR="00065098" w:rsidRDefault="00755479">
          <w:pPr>
            <w:pStyle w:val="046DCBF202724AC5A7A2EF473D1B72F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16E"/>
    <w:rsid w:val="00065098"/>
    <w:rsid w:val="00071C9C"/>
    <w:rsid w:val="00132024"/>
    <w:rsid w:val="001F216E"/>
    <w:rsid w:val="002170C2"/>
    <w:rsid w:val="0028646E"/>
    <w:rsid w:val="003B5E2C"/>
    <w:rsid w:val="004D7C72"/>
    <w:rsid w:val="005B6283"/>
    <w:rsid w:val="00614CB5"/>
    <w:rsid w:val="00623D40"/>
    <w:rsid w:val="00633E14"/>
    <w:rsid w:val="00755479"/>
    <w:rsid w:val="0089583E"/>
    <w:rsid w:val="00944345"/>
    <w:rsid w:val="00960C27"/>
    <w:rsid w:val="00AE4538"/>
    <w:rsid w:val="00B01052"/>
    <w:rsid w:val="00C53EDC"/>
    <w:rsid w:val="00C616C8"/>
    <w:rsid w:val="00C86C76"/>
    <w:rsid w:val="00D3548C"/>
    <w:rsid w:val="00D42059"/>
    <w:rsid w:val="00D431E1"/>
    <w:rsid w:val="00DA5771"/>
    <w:rsid w:val="00DD3949"/>
    <w:rsid w:val="00DF21EE"/>
    <w:rsid w:val="00E5193B"/>
    <w:rsid w:val="00E902D6"/>
    <w:rsid w:val="00F23253"/>
    <w:rsid w:val="00F72A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46DCBF202724AC5A7A2EF473D1B72FC">
    <w:name w:val="046DCBF202724AC5A7A2EF473D1B72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5B7E42-7B91-4687-89C8-B28A6A709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035EAFCD-F822-469F-BB8C-FBC5828DBD8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14</TotalTime>
  <Pages>2</Pages>
  <Words>145</Words>
  <Characters>829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Global multilateral benefit-sharing mechanism</vt:lpstr>
    </vt:vector>
  </TitlesOfParts>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全球多边惠益分享机制</dc:title>
  <dc:subject>CBD/</dc:subject>
  <dc:creator>Secretariat of the Convention on Biological Diversity</dc:creator>
  <cp:keywords>Conference of the Parties to the Convention serving as the meeting of the Parties to the Nagoya Protocol</cp:keywords>
  <dc:description/>
  <cp:lastModifiedBy>Steve Pei</cp:lastModifiedBy>
  <cp:revision>5</cp:revision>
  <cp:lastPrinted>2024-09-02T13:39:00Z</cp:lastPrinted>
  <dcterms:created xsi:type="dcterms:W3CDTF">2024-08-30T21:21:00Z</dcterms:created>
  <dcterms:modified xsi:type="dcterms:W3CDTF">2024-09-02T13:39:00Z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