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lledutableau"/>
        <w:tblW w:w="1020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
        <w:gridCol w:w="5141"/>
        <w:gridCol w:w="4090"/>
      </w:tblGrid>
      <w:tr w:rsidR="00C9161D" w:rsidRPr="004C2446" w14:paraId="07F6750D" w14:textId="77777777" w:rsidTr="009C2DE6">
        <w:trPr>
          <w:trHeight w:val="851"/>
        </w:trPr>
        <w:tc>
          <w:tcPr>
            <w:tcW w:w="976" w:type="dxa"/>
            <w:tcBorders>
              <w:bottom w:val="single" w:sz="12" w:space="0" w:color="auto"/>
            </w:tcBorders>
          </w:tcPr>
          <w:p w14:paraId="1DEFF495" w14:textId="77777777" w:rsidR="00C9161D" w:rsidRPr="004C2446" w:rsidRDefault="00C9161D" w:rsidP="00B00053">
            <w:pPr>
              <w:suppressLineNumbers/>
              <w:suppressAutoHyphens/>
              <w:kinsoku w:val="0"/>
              <w:overflowPunct w:val="0"/>
              <w:autoSpaceDE w:val="0"/>
              <w:autoSpaceDN w:val="0"/>
              <w:adjustRightInd w:val="0"/>
              <w:snapToGrid w:val="0"/>
              <w:rPr>
                <w:snapToGrid w:val="0"/>
                <w:kern w:val="22"/>
              </w:rPr>
            </w:pPr>
            <w:r>
              <w:rPr>
                <w:noProof/>
                <w:snapToGrid w:val="0"/>
              </w:rPr>
              <w:drawing>
                <wp:inline distT="0" distB="0" distL="0" distR="0" wp14:anchorId="33099486" wp14:editId="1193B5AB">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5141" w:type="dxa"/>
            <w:tcBorders>
              <w:bottom w:val="single" w:sz="12" w:space="0" w:color="auto"/>
            </w:tcBorders>
            <w:shd w:val="clear" w:color="auto" w:fill="auto"/>
            <w:tcFitText/>
          </w:tcPr>
          <w:p w14:paraId="1986B63F" w14:textId="231C6CE1" w:rsidR="00FA663B" w:rsidRPr="004C2446" w:rsidRDefault="005D33F0" w:rsidP="00B00053">
            <w:pPr>
              <w:suppressLineNumbers/>
              <w:suppressAutoHyphens/>
              <w:kinsoku w:val="0"/>
              <w:overflowPunct w:val="0"/>
              <w:autoSpaceDE w:val="0"/>
              <w:autoSpaceDN w:val="0"/>
              <w:adjustRightInd w:val="0"/>
              <w:snapToGrid w:val="0"/>
              <w:rPr>
                <w:snapToGrid w:val="0"/>
                <w:kern w:val="22"/>
              </w:rPr>
            </w:pPr>
            <w:r w:rsidRPr="005D33F0">
              <w:rPr>
                <w:noProof/>
                <w:snapToGrid w:val="0"/>
                <w:lang w:eastAsia="fr-CA"/>
              </w:rPr>
              <w:drawing>
                <wp:inline distT="0" distB="0" distL="0" distR="0" wp14:anchorId="1489C171" wp14:editId="03CECD64">
                  <wp:extent cx="593725" cy="340995"/>
                  <wp:effectExtent l="0" t="0" r="0" b="1905"/>
                  <wp:docPr id="2"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8072305" name="Picture 7"/>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593725" cy="340995"/>
                          </a:xfrm>
                          <a:prstGeom prst="rect">
                            <a:avLst/>
                          </a:prstGeom>
                          <a:noFill/>
                          <a:ln>
                            <a:noFill/>
                          </a:ln>
                        </pic:spPr>
                      </pic:pic>
                    </a:graphicData>
                  </a:graphic>
                </wp:inline>
              </w:drawing>
            </w:r>
          </w:p>
        </w:tc>
        <w:tc>
          <w:tcPr>
            <w:tcW w:w="4090" w:type="dxa"/>
            <w:tcBorders>
              <w:bottom w:val="single" w:sz="12" w:space="0" w:color="auto"/>
            </w:tcBorders>
          </w:tcPr>
          <w:p w14:paraId="600A589D" w14:textId="41512B1B" w:rsidR="00247810" w:rsidRPr="004C2446" w:rsidRDefault="00C9161D" w:rsidP="00302CD2">
            <w:pPr>
              <w:suppressLineNumbers/>
              <w:suppressAutoHyphens/>
              <w:kinsoku w:val="0"/>
              <w:overflowPunct w:val="0"/>
              <w:autoSpaceDE w:val="0"/>
              <w:autoSpaceDN w:val="0"/>
              <w:adjustRightInd w:val="0"/>
              <w:snapToGrid w:val="0"/>
              <w:jc w:val="right"/>
              <w:rPr>
                <w:rFonts w:ascii="Arial" w:hAnsi="Arial" w:cs="Arial"/>
                <w:b/>
                <w:snapToGrid w:val="0"/>
                <w:kern w:val="22"/>
                <w:sz w:val="32"/>
                <w:szCs w:val="32"/>
              </w:rPr>
            </w:pPr>
            <w:r>
              <w:rPr>
                <w:rFonts w:ascii="Arial" w:hAnsi="Arial"/>
                <w:b/>
                <w:snapToGrid w:val="0"/>
                <w:sz w:val="32"/>
                <w:szCs w:val="32"/>
              </w:rPr>
              <w:t>C</w:t>
            </w:r>
            <w:r w:rsidR="00B541D6">
              <w:rPr>
                <w:rFonts w:ascii="Arial" w:hAnsi="Arial"/>
                <w:b/>
                <w:snapToGrid w:val="0"/>
                <w:sz w:val="32"/>
                <w:szCs w:val="32"/>
              </w:rPr>
              <w:t>BD</w:t>
            </w:r>
          </w:p>
        </w:tc>
      </w:tr>
      <w:tr w:rsidR="00C9161D" w:rsidRPr="004C2446" w14:paraId="6F751905" w14:textId="77777777" w:rsidTr="00CF1848">
        <w:tc>
          <w:tcPr>
            <w:tcW w:w="6117" w:type="dxa"/>
            <w:gridSpan w:val="2"/>
            <w:tcBorders>
              <w:top w:val="single" w:sz="12" w:space="0" w:color="auto"/>
              <w:bottom w:val="single" w:sz="36" w:space="0" w:color="auto"/>
            </w:tcBorders>
            <w:vAlign w:val="center"/>
          </w:tcPr>
          <w:p w14:paraId="14F52A6C" w14:textId="4D0FACBD" w:rsidR="00C9161D" w:rsidRPr="004C2446" w:rsidRDefault="005D33F0" w:rsidP="00B00053">
            <w:pPr>
              <w:suppressLineNumbers/>
              <w:suppressAutoHyphens/>
              <w:kinsoku w:val="0"/>
              <w:overflowPunct w:val="0"/>
              <w:autoSpaceDE w:val="0"/>
              <w:autoSpaceDN w:val="0"/>
              <w:adjustRightInd w:val="0"/>
              <w:snapToGrid w:val="0"/>
              <w:rPr>
                <w:snapToGrid w:val="0"/>
                <w:kern w:val="22"/>
              </w:rPr>
            </w:pPr>
            <w:r>
              <w:rPr>
                <w:noProof/>
              </w:rPr>
              <w:drawing>
                <wp:inline distT="0" distB="0" distL="0" distR="0" wp14:anchorId="6D62B96E" wp14:editId="7F70AAF1">
                  <wp:extent cx="3055620" cy="1198125"/>
                  <wp:effectExtent l="0" t="0" r="0" b="254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067214" cy="1202671"/>
                          </a:xfrm>
                          <a:prstGeom prst="rect">
                            <a:avLst/>
                          </a:prstGeom>
                        </pic:spPr>
                      </pic:pic>
                    </a:graphicData>
                  </a:graphic>
                </wp:inline>
              </w:drawing>
            </w:r>
          </w:p>
        </w:tc>
        <w:tc>
          <w:tcPr>
            <w:tcW w:w="4090" w:type="dxa"/>
            <w:tcBorders>
              <w:top w:val="single" w:sz="12" w:space="0" w:color="auto"/>
              <w:bottom w:val="single" w:sz="36" w:space="0" w:color="auto"/>
            </w:tcBorders>
          </w:tcPr>
          <w:p w14:paraId="1C693BA4" w14:textId="77777777" w:rsidR="00C9161D" w:rsidRPr="004C2446" w:rsidRDefault="00C9161D" w:rsidP="00B00053">
            <w:pPr>
              <w:suppressLineNumbers/>
              <w:suppressAutoHyphens/>
              <w:kinsoku w:val="0"/>
              <w:overflowPunct w:val="0"/>
              <w:autoSpaceDE w:val="0"/>
              <w:autoSpaceDN w:val="0"/>
              <w:adjustRightInd w:val="0"/>
              <w:snapToGrid w:val="0"/>
              <w:ind w:left="1215"/>
              <w:rPr>
                <w:snapToGrid w:val="0"/>
                <w:kern w:val="22"/>
                <w:szCs w:val="22"/>
              </w:rPr>
            </w:pPr>
            <w:r>
              <w:rPr>
                <w:snapToGrid w:val="0"/>
                <w:szCs w:val="22"/>
              </w:rPr>
              <w:t>Distr.</w:t>
            </w:r>
          </w:p>
          <w:p w14:paraId="0C21C438" w14:textId="6958AE23" w:rsidR="00C9161D" w:rsidRPr="004C2446" w:rsidRDefault="00B541D6" w:rsidP="00B00053">
            <w:pPr>
              <w:suppressLineNumbers/>
              <w:suppressAutoHyphens/>
              <w:kinsoku w:val="0"/>
              <w:overflowPunct w:val="0"/>
              <w:autoSpaceDE w:val="0"/>
              <w:autoSpaceDN w:val="0"/>
              <w:adjustRightInd w:val="0"/>
              <w:snapToGrid w:val="0"/>
              <w:ind w:left="1215"/>
              <w:rPr>
                <w:snapToGrid w:val="0"/>
                <w:kern w:val="22"/>
                <w:szCs w:val="22"/>
              </w:rPr>
            </w:pPr>
            <w:r>
              <w:rPr>
                <w:caps/>
                <w:snapToGrid w:val="0"/>
                <w:szCs w:val="22"/>
              </w:rPr>
              <w:t>LIMITÉE</w:t>
            </w:r>
          </w:p>
          <w:p w14:paraId="06715052" w14:textId="77777777" w:rsidR="00C9161D" w:rsidRPr="004C2446" w:rsidRDefault="00C9161D" w:rsidP="00B00053">
            <w:pPr>
              <w:suppressLineNumbers/>
              <w:suppressAutoHyphens/>
              <w:kinsoku w:val="0"/>
              <w:overflowPunct w:val="0"/>
              <w:autoSpaceDE w:val="0"/>
              <w:autoSpaceDN w:val="0"/>
              <w:adjustRightInd w:val="0"/>
              <w:snapToGrid w:val="0"/>
              <w:ind w:left="1215"/>
              <w:rPr>
                <w:snapToGrid w:val="0"/>
                <w:kern w:val="22"/>
                <w:szCs w:val="22"/>
              </w:rPr>
            </w:pPr>
          </w:p>
          <w:p w14:paraId="44230134" w14:textId="271D0CD0" w:rsidR="00C9161D" w:rsidRPr="004C2446" w:rsidRDefault="00000000" w:rsidP="00B00053">
            <w:pPr>
              <w:suppressLineNumbers/>
              <w:suppressAutoHyphens/>
              <w:kinsoku w:val="0"/>
              <w:overflowPunct w:val="0"/>
              <w:autoSpaceDE w:val="0"/>
              <w:autoSpaceDN w:val="0"/>
              <w:adjustRightInd w:val="0"/>
              <w:snapToGrid w:val="0"/>
              <w:ind w:left="1215"/>
              <w:rPr>
                <w:snapToGrid w:val="0"/>
                <w:kern w:val="22"/>
                <w:szCs w:val="22"/>
              </w:rPr>
            </w:pPr>
            <w:sdt>
              <w:sdtPr>
                <w:rPr>
                  <w:snapToGrid w:val="0"/>
                  <w:kern w:val="22"/>
                </w:rPr>
                <w:alias w:val="Objet"/>
                <w:tag w:val=""/>
                <w:id w:val="2137136483"/>
                <w:placeholder>
                  <w:docPart w:val="5F1646299CFC497FBD0DBE10082E0C77"/>
                </w:placeholder>
                <w:dataBinding w:prefixMappings="xmlns:ns0='http://purl.org/dc/elements/1.1/' xmlns:ns1='http://schemas.openxmlformats.org/package/2006/metadata/core-properties' " w:xpath="/ns1:coreProperties[1]/ns0:subject[1]" w:storeItemID="{6C3C8BC8-F283-45AE-878A-BAB7291924A1}"/>
                <w:text/>
              </w:sdtPr>
              <w:sdtContent>
                <w:r w:rsidR="000E10DC" w:rsidRPr="004C2446">
                  <w:rPr>
                    <w:snapToGrid w:val="0"/>
                    <w:kern w:val="22"/>
                  </w:rPr>
                  <w:t>CBD/COP/15/</w:t>
                </w:r>
                <w:r w:rsidR="00B541D6">
                  <w:rPr>
                    <w:snapToGrid w:val="0"/>
                    <w:kern w:val="22"/>
                  </w:rPr>
                  <w:t>L.1</w:t>
                </w:r>
                <w:r w:rsidR="000E10DC" w:rsidRPr="004C2446">
                  <w:rPr>
                    <w:snapToGrid w:val="0"/>
                    <w:kern w:val="22"/>
                  </w:rPr>
                  <w:t>/</w:t>
                </w:r>
                <w:r w:rsidR="00B541D6">
                  <w:rPr>
                    <w:snapToGrid w:val="0"/>
                    <w:kern w:val="22"/>
                  </w:rPr>
                  <w:t>Add.1</w:t>
                </w:r>
              </w:sdtContent>
            </w:sdt>
          </w:p>
          <w:p w14:paraId="0DF1F033" w14:textId="113ED180" w:rsidR="00C9161D" w:rsidRPr="004C2446" w:rsidRDefault="0047362F" w:rsidP="00B00053">
            <w:pPr>
              <w:suppressLineNumbers/>
              <w:suppressAutoHyphens/>
              <w:kinsoku w:val="0"/>
              <w:overflowPunct w:val="0"/>
              <w:autoSpaceDE w:val="0"/>
              <w:autoSpaceDN w:val="0"/>
              <w:adjustRightInd w:val="0"/>
              <w:snapToGrid w:val="0"/>
              <w:ind w:left="1215"/>
              <w:rPr>
                <w:snapToGrid w:val="0"/>
                <w:kern w:val="22"/>
                <w:szCs w:val="22"/>
              </w:rPr>
            </w:pPr>
            <w:r>
              <w:rPr>
                <w:snapToGrid w:val="0"/>
                <w:szCs w:val="22"/>
              </w:rPr>
              <w:t>1</w:t>
            </w:r>
            <w:r w:rsidR="00B541D6">
              <w:rPr>
                <w:snapToGrid w:val="0"/>
                <w:szCs w:val="22"/>
              </w:rPr>
              <w:t>9</w:t>
            </w:r>
            <w:r w:rsidR="00121438">
              <w:rPr>
                <w:snapToGrid w:val="0"/>
                <w:szCs w:val="22"/>
              </w:rPr>
              <w:t> </w:t>
            </w:r>
            <w:r>
              <w:rPr>
                <w:snapToGrid w:val="0"/>
                <w:szCs w:val="22"/>
              </w:rPr>
              <w:t>décembre 2022</w:t>
            </w:r>
          </w:p>
          <w:p w14:paraId="159892DF" w14:textId="77777777" w:rsidR="00C9161D" w:rsidRPr="004C2446" w:rsidRDefault="00C9161D" w:rsidP="00B00053">
            <w:pPr>
              <w:suppressLineNumbers/>
              <w:suppressAutoHyphens/>
              <w:kinsoku w:val="0"/>
              <w:overflowPunct w:val="0"/>
              <w:autoSpaceDE w:val="0"/>
              <w:autoSpaceDN w:val="0"/>
              <w:adjustRightInd w:val="0"/>
              <w:snapToGrid w:val="0"/>
              <w:ind w:left="1215"/>
              <w:rPr>
                <w:snapToGrid w:val="0"/>
                <w:kern w:val="22"/>
                <w:szCs w:val="22"/>
              </w:rPr>
            </w:pPr>
          </w:p>
          <w:p w14:paraId="19472D49" w14:textId="1D7E0BBD" w:rsidR="00C9161D" w:rsidRPr="004C2446" w:rsidRDefault="005D33F0" w:rsidP="00B00053">
            <w:pPr>
              <w:suppressLineNumbers/>
              <w:suppressAutoHyphens/>
              <w:kinsoku w:val="0"/>
              <w:overflowPunct w:val="0"/>
              <w:autoSpaceDE w:val="0"/>
              <w:autoSpaceDN w:val="0"/>
              <w:adjustRightInd w:val="0"/>
              <w:snapToGrid w:val="0"/>
              <w:ind w:left="1215"/>
              <w:rPr>
                <w:snapToGrid w:val="0"/>
                <w:kern w:val="22"/>
                <w:szCs w:val="22"/>
              </w:rPr>
            </w:pPr>
            <w:r>
              <w:rPr>
                <w:snapToGrid w:val="0"/>
                <w:szCs w:val="22"/>
              </w:rPr>
              <w:t>FRANÇAIS</w:t>
            </w:r>
            <w:r>
              <w:rPr>
                <w:snapToGrid w:val="0"/>
                <w:szCs w:val="22"/>
              </w:rPr>
              <w:br/>
            </w:r>
            <w:r w:rsidR="006B2290">
              <w:rPr>
                <w:snapToGrid w:val="0"/>
                <w:szCs w:val="22"/>
              </w:rPr>
              <w:t>ORIGINAL</w:t>
            </w:r>
            <w:r w:rsidR="00121438">
              <w:rPr>
                <w:snapToGrid w:val="0"/>
                <w:szCs w:val="22"/>
              </w:rPr>
              <w:t> </w:t>
            </w:r>
            <w:r w:rsidR="006B2290">
              <w:rPr>
                <w:snapToGrid w:val="0"/>
                <w:szCs w:val="22"/>
              </w:rPr>
              <w:t>: ANGLAIS</w:t>
            </w:r>
          </w:p>
          <w:p w14:paraId="5AA10CCE" w14:textId="77777777" w:rsidR="00C9161D" w:rsidRPr="004C2446" w:rsidRDefault="00C9161D" w:rsidP="00B00053">
            <w:pPr>
              <w:suppressLineNumbers/>
              <w:suppressAutoHyphens/>
              <w:kinsoku w:val="0"/>
              <w:overflowPunct w:val="0"/>
              <w:autoSpaceDE w:val="0"/>
              <w:autoSpaceDN w:val="0"/>
              <w:adjustRightInd w:val="0"/>
              <w:snapToGrid w:val="0"/>
              <w:rPr>
                <w:snapToGrid w:val="0"/>
                <w:kern w:val="22"/>
              </w:rPr>
            </w:pPr>
          </w:p>
        </w:tc>
      </w:tr>
    </w:tbl>
    <w:p w14:paraId="0BCF9223" w14:textId="77777777" w:rsidR="005E78B0" w:rsidRPr="004C2446" w:rsidRDefault="005E78B0" w:rsidP="00B00053">
      <w:pPr>
        <w:pStyle w:val="Cornernotation"/>
        <w:suppressLineNumbers/>
        <w:suppressAutoHyphens/>
        <w:kinsoku w:val="0"/>
        <w:overflowPunct w:val="0"/>
        <w:autoSpaceDE w:val="0"/>
        <w:autoSpaceDN w:val="0"/>
        <w:adjustRightInd w:val="0"/>
        <w:snapToGrid w:val="0"/>
        <w:spacing w:before="60"/>
        <w:ind w:left="180" w:right="4642" w:hanging="180"/>
        <w:rPr>
          <w:snapToGrid w:val="0"/>
          <w:kern w:val="22"/>
        </w:rPr>
      </w:pPr>
    </w:p>
    <w:tbl>
      <w:tblPr>
        <w:tblW w:w="9930" w:type="dxa"/>
        <w:tblInd w:w="-176" w:type="dxa"/>
        <w:tblLayout w:type="fixed"/>
        <w:tblLook w:val="04A0" w:firstRow="1" w:lastRow="0" w:firstColumn="1" w:lastColumn="0" w:noHBand="0" w:noVBand="1"/>
      </w:tblPr>
      <w:tblGrid>
        <w:gridCol w:w="2978"/>
        <w:gridCol w:w="3261"/>
        <w:gridCol w:w="3691"/>
      </w:tblGrid>
      <w:tr w:rsidR="005E78B0" w:rsidRPr="004C2446" w14:paraId="648F0D67" w14:textId="77777777" w:rsidTr="000139CA">
        <w:trPr>
          <w:trHeight w:val="2919"/>
        </w:trPr>
        <w:tc>
          <w:tcPr>
            <w:tcW w:w="2978" w:type="dxa"/>
            <w:hideMark/>
          </w:tcPr>
          <w:p w14:paraId="28425B20" w14:textId="77777777" w:rsidR="005E78B0" w:rsidRPr="004C2446" w:rsidRDefault="005E78B0" w:rsidP="00363998">
            <w:pPr>
              <w:suppressLineNumbers/>
              <w:shd w:val="clear" w:color="auto" w:fill="D6E3BC" w:themeFill="accent3" w:themeFillTint="66"/>
              <w:suppressAutoHyphens/>
              <w:ind w:left="173" w:hanging="173"/>
              <w:jc w:val="left"/>
              <w:rPr>
                <w:snapToGrid w:val="0"/>
                <w:kern w:val="22"/>
              </w:rPr>
            </w:pPr>
            <w:r>
              <w:rPr>
                <w:snapToGrid w:val="0"/>
              </w:rPr>
              <w:t>CONFÉRENCE DES PARTIES À LA CONVENTION SUR LA DIVERSITÉ BIOLOGIQUE</w:t>
            </w:r>
          </w:p>
          <w:p w14:paraId="14AEA1E3" w14:textId="29E6E457" w:rsidR="005E78B0" w:rsidRPr="004C2446" w:rsidRDefault="00CB4F2A" w:rsidP="00305284">
            <w:pPr>
              <w:suppressLineNumbers/>
              <w:suppressAutoHyphens/>
              <w:ind w:left="173" w:hanging="173"/>
              <w:jc w:val="left"/>
              <w:rPr>
                <w:snapToGrid w:val="0"/>
                <w:kern w:val="22"/>
              </w:rPr>
            </w:pPr>
            <w:r>
              <w:rPr>
                <w:snapToGrid w:val="0"/>
              </w:rPr>
              <w:t>Quinzième réunion</w:t>
            </w:r>
          </w:p>
          <w:p w14:paraId="0A852AFB" w14:textId="65392535" w:rsidR="005E78B0" w:rsidRPr="004C2446" w:rsidRDefault="005E78B0" w:rsidP="00305284">
            <w:pPr>
              <w:suppressLineNumbers/>
              <w:tabs>
                <w:tab w:val="left" w:pos="1247"/>
                <w:tab w:val="left" w:pos="1814"/>
                <w:tab w:val="left" w:pos="2381"/>
                <w:tab w:val="left" w:pos="2948"/>
                <w:tab w:val="left" w:pos="3515"/>
                <w:tab w:val="left" w:pos="4082"/>
              </w:tabs>
              <w:suppressAutoHyphens/>
              <w:ind w:left="176" w:right="80" w:hanging="176"/>
              <w:jc w:val="left"/>
              <w:rPr>
                <w:snapToGrid w:val="0"/>
                <w:kern w:val="22"/>
              </w:rPr>
            </w:pPr>
          </w:p>
        </w:tc>
        <w:tc>
          <w:tcPr>
            <w:tcW w:w="3261" w:type="dxa"/>
            <w:hideMark/>
          </w:tcPr>
          <w:p w14:paraId="31CE846D" w14:textId="39BD3B3C" w:rsidR="005E78B0" w:rsidRPr="004C2446" w:rsidRDefault="005E78B0" w:rsidP="00363998">
            <w:pPr>
              <w:suppressLineNumbers/>
              <w:shd w:val="clear" w:color="auto" w:fill="FDE9D9" w:themeFill="accent6" w:themeFillTint="33"/>
              <w:tabs>
                <w:tab w:val="left" w:pos="1814"/>
                <w:tab w:val="left" w:pos="2948"/>
                <w:tab w:val="left" w:pos="3515"/>
                <w:tab w:val="left" w:pos="4014"/>
              </w:tabs>
              <w:suppressAutoHyphens/>
              <w:ind w:left="175" w:right="176" w:hanging="142"/>
              <w:jc w:val="left"/>
              <w:rPr>
                <w:snapToGrid w:val="0"/>
                <w:kern w:val="22"/>
              </w:rPr>
            </w:pPr>
            <w:r>
              <w:rPr>
                <w:snapToGrid w:val="0"/>
              </w:rPr>
              <w:t>CONFÉRENCE DES PARTIES SIÉGEANT EN TANT QUE RÉUNION DES PARTIES AU PROTOCOLE DE CARTAGENA SUR LA PRÉVENTION DES RISQUES BIOTECHNOLOGIQUES</w:t>
            </w:r>
          </w:p>
          <w:p w14:paraId="5ABB07A3" w14:textId="6352EC6D" w:rsidR="005E78B0" w:rsidRPr="004C2446" w:rsidRDefault="007438CD" w:rsidP="00305284">
            <w:pPr>
              <w:suppressLineNumbers/>
              <w:tabs>
                <w:tab w:val="left" w:pos="1814"/>
                <w:tab w:val="left" w:pos="2948"/>
                <w:tab w:val="left" w:pos="3515"/>
                <w:tab w:val="left" w:pos="4014"/>
              </w:tabs>
              <w:suppressAutoHyphens/>
              <w:ind w:right="176"/>
              <w:jc w:val="left"/>
              <w:rPr>
                <w:snapToGrid w:val="0"/>
                <w:kern w:val="22"/>
              </w:rPr>
            </w:pPr>
            <w:r>
              <w:rPr>
                <w:snapToGrid w:val="0"/>
              </w:rPr>
              <w:t>Dixième réunion</w:t>
            </w:r>
          </w:p>
          <w:p w14:paraId="5420E157" w14:textId="51C61EA6" w:rsidR="005E78B0" w:rsidRPr="004C2446" w:rsidRDefault="005E78B0" w:rsidP="00305284">
            <w:pPr>
              <w:suppressLineNumbers/>
              <w:tabs>
                <w:tab w:val="left" w:pos="4014"/>
              </w:tabs>
              <w:suppressAutoHyphens/>
              <w:jc w:val="left"/>
              <w:rPr>
                <w:snapToGrid w:val="0"/>
                <w:kern w:val="22"/>
              </w:rPr>
            </w:pPr>
          </w:p>
        </w:tc>
        <w:tc>
          <w:tcPr>
            <w:tcW w:w="3691" w:type="dxa"/>
            <w:hideMark/>
          </w:tcPr>
          <w:p w14:paraId="0C719A61" w14:textId="77777777" w:rsidR="005E78B0" w:rsidRPr="004C2446" w:rsidRDefault="005E78B0" w:rsidP="00363998">
            <w:pPr>
              <w:suppressLineNumbers/>
              <w:shd w:val="clear" w:color="auto" w:fill="DBE5F1" w:themeFill="accent1" w:themeFillTint="33"/>
              <w:tabs>
                <w:tab w:val="left" w:pos="1247"/>
                <w:tab w:val="left" w:pos="1814"/>
                <w:tab w:val="left" w:pos="2381"/>
                <w:tab w:val="left" w:pos="2948"/>
                <w:tab w:val="left" w:pos="3515"/>
              </w:tabs>
              <w:suppressAutoHyphens/>
              <w:ind w:left="234" w:right="176" w:hanging="234"/>
              <w:jc w:val="left"/>
              <w:rPr>
                <w:snapToGrid w:val="0"/>
                <w:kern w:val="22"/>
              </w:rPr>
            </w:pPr>
            <w:r>
              <w:rPr>
                <w:snapToGrid w:val="0"/>
              </w:rPr>
              <w:t>CONFÉRENCE DES PARTIES SIÉGEANT EN TANT QUE RÉUNION DES PARTIES AU PROTOCOLE DE NAGOYA SUR L’ACCÈS AUX RESSOURCES GÉNÉTIQUES ET LE PARTAGE JUSTE ET ÉQUITABLE DES AVANTAGES DÉCOULANT DE LEUR UTILISATION</w:t>
            </w:r>
          </w:p>
          <w:p w14:paraId="7D3C318F" w14:textId="5557C813" w:rsidR="005E78B0" w:rsidRPr="004C2446" w:rsidRDefault="007438CD" w:rsidP="00305284">
            <w:pPr>
              <w:suppressLineNumbers/>
              <w:tabs>
                <w:tab w:val="left" w:pos="1247"/>
                <w:tab w:val="left" w:pos="1814"/>
                <w:tab w:val="left" w:pos="2381"/>
                <w:tab w:val="left" w:pos="3515"/>
                <w:tab w:val="left" w:pos="4082"/>
              </w:tabs>
              <w:suppressAutoHyphens/>
              <w:ind w:left="238" w:right="147" w:hanging="234"/>
              <w:jc w:val="left"/>
              <w:rPr>
                <w:snapToGrid w:val="0"/>
                <w:kern w:val="22"/>
              </w:rPr>
            </w:pPr>
            <w:r>
              <w:rPr>
                <w:snapToGrid w:val="0"/>
              </w:rPr>
              <w:t>Quatrième réunion</w:t>
            </w:r>
          </w:p>
          <w:p w14:paraId="09462F3E" w14:textId="700D2F75" w:rsidR="005E78B0" w:rsidRPr="004C2446" w:rsidRDefault="005E78B0" w:rsidP="00305284">
            <w:pPr>
              <w:suppressLineNumbers/>
              <w:tabs>
                <w:tab w:val="left" w:pos="1247"/>
                <w:tab w:val="left" w:pos="1814"/>
                <w:tab w:val="left" w:pos="2381"/>
                <w:tab w:val="left" w:pos="3515"/>
                <w:tab w:val="left" w:pos="4082"/>
              </w:tabs>
              <w:suppressAutoHyphens/>
              <w:ind w:left="238" w:right="147" w:hanging="234"/>
              <w:jc w:val="left"/>
              <w:rPr>
                <w:snapToGrid w:val="0"/>
                <w:kern w:val="22"/>
              </w:rPr>
            </w:pPr>
          </w:p>
        </w:tc>
      </w:tr>
    </w:tbl>
    <w:p w14:paraId="66113E66" w14:textId="3AD5DE48" w:rsidR="003B44F9" w:rsidRPr="004C2446" w:rsidRDefault="005D33F0" w:rsidP="00056FA9">
      <w:pPr>
        <w:pStyle w:val="Cornernotation"/>
        <w:suppressLineNumbers/>
        <w:suppressAutoHyphens/>
        <w:kinsoku w:val="0"/>
        <w:overflowPunct w:val="0"/>
        <w:autoSpaceDE w:val="0"/>
        <w:autoSpaceDN w:val="0"/>
        <w:adjustRightInd w:val="0"/>
        <w:snapToGrid w:val="0"/>
        <w:ind w:right="4116"/>
        <w:rPr>
          <w:snapToGrid w:val="0"/>
          <w:kern w:val="22"/>
        </w:rPr>
      </w:pPr>
      <w:bookmarkStart w:id="0" w:name="OLE_LINK1"/>
      <w:bookmarkStart w:id="1" w:name="OLE_LINK2"/>
      <w:r>
        <w:rPr>
          <w:snapToGrid w:val="0"/>
        </w:rPr>
        <w:br/>
      </w:r>
      <w:r w:rsidR="00F40783">
        <w:rPr>
          <w:snapToGrid w:val="0"/>
        </w:rPr>
        <w:t>Montréal</w:t>
      </w:r>
      <w:r w:rsidR="00807D15">
        <w:rPr>
          <w:snapToGrid w:val="0"/>
        </w:rPr>
        <w:t xml:space="preserve">, </w:t>
      </w:r>
      <w:r w:rsidR="00F40783">
        <w:rPr>
          <w:snapToGrid w:val="0"/>
        </w:rPr>
        <w:t xml:space="preserve">Canada, </w:t>
      </w:r>
      <w:bookmarkEnd w:id="0"/>
      <w:bookmarkEnd w:id="1"/>
      <w:r w:rsidR="00F40783">
        <w:rPr>
          <w:snapToGrid w:val="0"/>
        </w:rPr>
        <w:t>7-19</w:t>
      </w:r>
      <w:r w:rsidR="00121438">
        <w:rPr>
          <w:snapToGrid w:val="0"/>
        </w:rPr>
        <w:t> </w:t>
      </w:r>
      <w:r w:rsidR="00F40783">
        <w:rPr>
          <w:snapToGrid w:val="0"/>
        </w:rPr>
        <w:t xml:space="preserve">décembre 2022 </w:t>
      </w:r>
    </w:p>
    <w:sdt>
      <w:sdtPr>
        <w:rPr>
          <w:rFonts w:ascii="Times New Roman Bold" w:hAnsi="Times New Roman Bold" w:cs="Times New Roman Bold"/>
          <w:b/>
          <w:bCs/>
          <w:caps/>
          <w:snapToGrid w:val="0"/>
          <w:kern w:val="22"/>
        </w:rPr>
        <w:alias w:val="Titre"/>
        <w:tag w:val=""/>
        <w:id w:val="726039545"/>
        <w:placeholder>
          <w:docPart w:val="5F4EB1BA065E4622B88E069470FC3560"/>
        </w:placeholder>
        <w:dataBinding w:prefixMappings="xmlns:ns0='http://purl.org/dc/elements/1.1/' xmlns:ns1='http://schemas.openxmlformats.org/package/2006/metadata/core-properties' " w:xpath="/ns1:coreProperties[1]/ns0:title[1]" w:storeItemID="{6C3C8BC8-F283-45AE-878A-BAB7291924A1}"/>
        <w:text/>
      </w:sdtPr>
      <w:sdtContent>
        <w:p w14:paraId="57F6B7A1" w14:textId="6C54CE3A" w:rsidR="00C9161D" w:rsidRPr="005D33F0" w:rsidRDefault="005D33F0" w:rsidP="00B00053">
          <w:pPr>
            <w:suppressLineNumbers/>
            <w:suppressAutoHyphens/>
            <w:kinsoku w:val="0"/>
            <w:overflowPunct w:val="0"/>
            <w:autoSpaceDE w:val="0"/>
            <w:autoSpaceDN w:val="0"/>
            <w:adjustRightInd w:val="0"/>
            <w:snapToGrid w:val="0"/>
            <w:spacing w:before="240" w:after="120"/>
            <w:jc w:val="center"/>
            <w:rPr>
              <w:rFonts w:cs="Times New Roman Bold"/>
              <w:b/>
              <w:caps/>
              <w:snapToGrid w:val="0"/>
              <w:kern w:val="22"/>
            </w:rPr>
          </w:pPr>
          <w:r w:rsidRPr="005D33F0">
            <w:rPr>
              <w:rFonts w:ascii="Times New Roman Bold" w:hAnsi="Times New Roman Bold" w:cs="Times New Roman Bold"/>
              <w:b/>
              <w:bCs/>
              <w:caps/>
              <w:snapToGrid w:val="0"/>
              <w:kern w:val="22"/>
            </w:rPr>
            <w:t>PROJET DE RAPPORT DU GROUPE DE TRAVAIL</w:t>
          </w:r>
          <w:r w:rsidR="00832B82" w:rsidRPr="005D33F0">
            <w:rPr>
              <w:rFonts w:ascii="Times New Roman Bold" w:hAnsi="Times New Roman Bold" w:cs="Times New Roman Bold"/>
              <w:b/>
              <w:bCs/>
              <w:caps/>
              <w:snapToGrid w:val="0"/>
              <w:kern w:val="22"/>
            </w:rPr>
            <w:t xml:space="preserve"> I</w:t>
          </w:r>
        </w:p>
      </w:sdtContent>
    </w:sdt>
    <w:p w14:paraId="20B2AB07" w14:textId="6310E134" w:rsidR="00CD63F9" w:rsidRPr="004C2446" w:rsidRDefault="00CD63F9" w:rsidP="0034236F">
      <w:pPr>
        <w:pStyle w:val="Para1"/>
        <w:numPr>
          <w:ilvl w:val="0"/>
          <w:numId w:val="22"/>
        </w:numPr>
      </w:pPr>
      <w:r>
        <w:t>Le groupe de travail I, présidé par M</w:t>
      </w:r>
      <w:r>
        <w:rPr>
          <w:vertAlign w:val="superscript"/>
        </w:rPr>
        <w:t>me</w:t>
      </w:r>
      <w:r w:rsidR="00121438">
        <w:t> </w:t>
      </w:r>
      <w:r>
        <w:t>Rosemary Paterson (Nouvelle-Zélande), s’est réuni pour examiner les points 8</w:t>
      </w:r>
      <w:r w:rsidR="006B1DAD">
        <w:t xml:space="preserve"> à </w:t>
      </w:r>
      <w:r>
        <w:t>14, 15B et</w:t>
      </w:r>
      <w:r w:rsidR="008E7FEE">
        <w:t xml:space="preserve"> </w:t>
      </w:r>
      <w:r>
        <w:t xml:space="preserve">16 de l’ordre du jour de la quinzième réunion de la Conférence des Parties, ainsi que les points 13 et 14 de l’ordre du jour de la quatrième réunion de la Conférence des Parties siégeant en tant que réunion des Parties au Protocole de Nagoya sur l’accès aux ressources génétiques et le partage juste et équitable des avantages découlant de leur utilisation. </w:t>
      </w:r>
    </w:p>
    <w:p w14:paraId="749FBFCB" w14:textId="4AC1E780" w:rsidR="00E45173" w:rsidRPr="004C2446" w:rsidRDefault="00D83A7D" w:rsidP="0034236F">
      <w:pPr>
        <w:pStyle w:val="Para1"/>
        <w:numPr>
          <w:ilvl w:val="0"/>
          <w:numId w:val="22"/>
        </w:numPr>
      </w:pPr>
      <w:r>
        <w:t xml:space="preserve">Le groupe de travail I a tenu [XX] réunions, du 7 au [XX] décembre, et a adopté le présent rapport lors de sa [XX] réunion le [XX] décembre 2022. </w:t>
      </w:r>
    </w:p>
    <w:p w14:paraId="0C610910" w14:textId="15EE9B12" w:rsidR="0061275F" w:rsidRPr="004C2446" w:rsidRDefault="00832B82" w:rsidP="00E157AD">
      <w:pPr>
        <w:keepNext/>
        <w:suppressLineNumbers/>
        <w:shd w:val="clear" w:color="auto" w:fill="C2D69B" w:themeFill="accent3" w:themeFillTint="99"/>
        <w:tabs>
          <w:tab w:val="left" w:pos="810"/>
        </w:tabs>
        <w:suppressAutoHyphens/>
        <w:kinsoku w:val="0"/>
        <w:overflowPunct w:val="0"/>
        <w:autoSpaceDE w:val="0"/>
        <w:autoSpaceDN w:val="0"/>
        <w:adjustRightInd w:val="0"/>
        <w:snapToGrid w:val="0"/>
        <w:spacing w:before="240" w:after="120"/>
        <w:jc w:val="center"/>
        <w:outlineLvl w:val="1"/>
        <w:rPr>
          <w:b/>
          <w:bCs/>
          <w:i/>
          <w:iCs/>
          <w:szCs w:val="22"/>
        </w:rPr>
      </w:pPr>
      <w:r>
        <w:rPr>
          <w:b/>
          <w:bCs/>
        </w:rPr>
        <w:t>COP-Point</w:t>
      </w:r>
      <w:r w:rsidR="00121438">
        <w:rPr>
          <w:b/>
          <w:bCs/>
        </w:rPr>
        <w:t> </w:t>
      </w:r>
      <w:r>
        <w:rPr>
          <w:b/>
          <w:bCs/>
        </w:rPr>
        <w:t>8.</w:t>
      </w:r>
      <w:r>
        <w:rPr>
          <w:b/>
          <w:bCs/>
          <w:szCs w:val="22"/>
        </w:rPr>
        <w:tab/>
        <w:t xml:space="preserve">Examen des progrès réalisés dans la </w:t>
      </w:r>
      <w:r>
        <w:rPr>
          <w:b/>
          <w:bCs/>
          <w:iCs/>
          <w:snapToGrid w:val="0"/>
          <w:szCs w:val="22"/>
        </w:rPr>
        <w:t xml:space="preserve">mise en </w:t>
      </w:r>
      <w:r w:rsidR="00121438">
        <w:rPr>
          <w:b/>
          <w:bCs/>
          <w:iCs/>
          <w:snapToGrid w:val="0"/>
          <w:szCs w:val="22"/>
        </w:rPr>
        <w:t>œuvre</w:t>
      </w:r>
      <w:r>
        <w:rPr>
          <w:b/>
          <w:bCs/>
          <w:szCs w:val="22"/>
        </w:rPr>
        <w:t xml:space="preserve"> de la Convention et du Plan stratégique 2011-2020 pour la diversité biologique et dans l’atteinte des Objectifs d’Aichi pour la biodiversité</w:t>
      </w:r>
      <w:r>
        <w:rPr>
          <w:b/>
          <w:bCs/>
          <w:i/>
          <w:iCs/>
          <w:szCs w:val="22"/>
        </w:rPr>
        <w:t xml:space="preserve"> </w:t>
      </w:r>
    </w:p>
    <w:p w14:paraId="7313BA5B" w14:textId="31AF3F3D" w:rsidR="009B2D64" w:rsidRPr="004C2446" w:rsidRDefault="009B2D64" w:rsidP="00C135CC">
      <w:pPr>
        <w:shd w:val="clear" w:color="auto" w:fill="C2D69B" w:themeFill="accent3" w:themeFillTint="99"/>
        <w:spacing w:before="120" w:after="120"/>
        <w:ind w:left="1276" w:hanging="850"/>
        <w:jc w:val="left"/>
        <w:rPr>
          <w:i/>
          <w:iCs/>
          <w:szCs w:val="22"/>
        </w:rPr>
      </w:pPr>
      <w:r>
        <w:rPr>
          <w:i/>
          <w:iCs/>
          <w:szCs w:val="22"/>
        </w:rPr>
        <w:t>8A.</w:t>
      </w:r>
      <w:r>
        <w:rPr>
          <w:i/>
          <w:iCs/>
          <w:szCs w:val="22"/>
        </w:rPr>
        <w:tab/>
        <w:t>Éclairer les données de base scientifiques et techniques du cadre mondial de la biodiversité pour l’après-2020</w:t>
      </w:r>
    </w:p>
    <w:p w14:paraId="79936693" w14:textId="3E3FAFBF" w:rsidR="00A52829" w:rsidRPr="004C2446" w:rsidRDefault="00D83A7D" w:rsidP="00545BE8">
      <w:pPr>
        <w:numPr>
          <w:ilvl w:val="0"/>
          <w:numId w:val="21"/>
        </w:numPr>
        <w:spacing w:after="120"/>
        <w:rPr>
          <w:szCs w:val="22"/>
        </w:rPr>
      </w:pPr>
      <w:r>
        <w:t>Le groupe de travail I s’est penché sur le sous-point COP-8 A lors de sa première réunion, le 7 décembre.</w:t>
      </w:r>
      <w:r>
        <w:rPr>
          <w:color w:val="000000"/>
        </w:rPr>
        <w:t xml:space="preserve"> </w:t>
      </w:r>
      <w:r>
        <w:t>Dans le cadre de l’étude de ce point, le groupe de travail était saisi d’un projet de décision sur les données de base scientifiques et techniques du cadre mondial de la biodiversité pour l’après-2020, fondé sur les recommandations</w:t>
      </w:r>
      <w:r w:rsidR="00121438">
        <w:t> </w:t>
      </w:r>
      <w:r>
        <w:t>23/1 et 24/1 de l’Organe subsidiaire chargé de fournir des avis scientifiques, techniques et technologiques et défini dans la compilation des projets de décision (CBD/COP/15/2).</w:t>
      </w:r>
    </w:p>
    <w:p w14:paraId="11B6F943" w14:textId="7B2AF070" w:rsidR="00A52829" w:rsidRPr="004C2446" w:rsidRDefault="00A52829" w:rsidP="00A52829">
      <w:pPr>
        <w:numPr>
          <w:ilvl w:val="0"/>
          <w:numId w:val="21"/>
        </w:numPr>
        <w:spacing w:after="120"/>
        <w:rPr>
          <w:szCs w:val="22"/>
        </w:rPr>
      </w:pPr>
      <w:r>
        <w:t xml:space="preserve">Le groupe de travail a convenu que le président mènerait des consultations informelles au sujet des quelques enjeux restants et préparerait un projet de décision révisé pour examen par le groupe de travail. </w:t>
      </w:r>
    </w:p>
    <w:p w14:paraId="71EAAE50" w14:textId="6B944ADC" w:rsidR="008E40F5" w:rsidRPr="00E438BF" w:rsidRDefault="008E40F5" w:rsidP="008E40F5">
      <w:pPr>
        <w:numPr>
          <w:ilvl w:val="0"/>
          <w:numId w:val="21"/>
        </w:numPr>
        <w:spacing w:after="120"/>
        <w:rPr>
          <w:szCs w:val="22"/>
        </w:rPr>
      </w:pPr>
      <w:r>
        <w:t>Lors de sa deuxième réunion, le 9 décembre 2022, le groupe de travail a examiné le projet de décision révisé proposé par le président et l’a approuvé à des fins de transmission à la séance plénière au titre du projet de décision CBD/COP/15/L.3.</w:t>
      </w:r>
    </w:p>
    <w:p w14:paraId="5CF9ECD9" w14:textId="5AA52AAD" w:rsidR="009B2D64" w:rsidRPr="004C2446" w:rsidRDefault="009B2D64" w:rsidP="00435078">
      <w:pPr>
        <w:keepNext/>
        <w:shd w:val="clear" w:color="auto" w:fill="C2D69B" w:themeFill="accent3" w:themeFillTint="99"/>
        <w:spacing w:before="120" w:after="120"/>
        <w:ind w:left="1134" w:hanging="709"/>
        <w:jc w:val="left"/>
        <w:rPr>
          <w:i/>
          <w:iCs/>
          <w:szCs w:val="22"/>
        </w:rPr>
      </w:pPr>
      <w:r>
        <w:rPr>
          <w:i/>
          <w:iCs/>
          <w:szCs w:val="22"/>
        </w:rPr>
        <w:lastRenderedPageBreak/>
        <w:t>8B.</w:t>
      </w:r>
      <w:r>
        <w:rPr>
          <w:i/>
          <w:iCs/>
          <w:szCs w:val="22"/>
        </w:rPr>
        <w:tab/>
      </w:r>
      <w:bookmarkStart w:id="2" w:name="_Hlk121748818"/>
      <w:r>
        <w:rPr>
          <w:i/>
          <w:iCs/>
          <w:szCs w:val="22"/>
        </w:rPr>
        <w:t xml:space="preserve">Examen des progrès réalisés dans la mise en </w:t>
      </w:r>
      <w:r w:rsidR="00121438">
        <w:rPr>
          <w:i/>
          <w:iCs/>
          <w:szCs w:val="22"/>
        </w:rPr>
        <w:t>œuvre</w:t>
      </w:r>
      <w:r>
        <w:rPr>
          <w:i/>
          <w:iCs/>
          <w:szCs w:val="22"/>
        </w:rPr>
        <w:t xml:space="preserve"> de la Convention et du Plan stratégique 2011</w:t>
      </w:r>
      <w:r w:rsidR="00536EC8">
        <w:rPr>
          <w:i/>
          <w:iCs/>
          <w:szCs w:val="22"/>
        </w:rPr>
        <w:t>-</w:t>
      </w:r>
      <w:r>
        <w:rPr>
          <w:i/>
          <w:iCs/>
          <w:szCs w:val="22"/>
        </w:rPr>
        <w:t>2020 pour la diversité biologique</w:t>
      </w:r>
      <w:bookmarkEnd w:id="2"/>
    </w:p>
    <w:p w14:paraId="2578DD76" w14:textId="2EA11376" w:rsidR="0061275F" w:rsidRPr="004C2446" w:rsidRDefault="00D83A7D" w:rsidP="0007234B">
      <w:pPr>
        <w:numPr>
          <w:ilvl w:val="0"/>
          <w:numId w:val="21"/>
        </w:numPr>
        <w:spacing w:after="120"/>
        <w:rPr>
          <w:szCs w:val="22"/>
        </w:rPr>
      </w:pPr>
      <w:r>
        <w:t>Le groupe de travail I s’est penché sur le sous-point</w:t>
      </w:r>
      <w:r w:rsidR="00121438">
        <w:t> </w:t>
      </w:r>
      <w:r>
        <w:t>COP-8 B lors de sa première réunion, le 7</w:t>
      </w:r>
      <w:r w:rsidR="00121438">
        <w:t> </w:t>
      </w:r>
      <w:r>
        <w:t>décembre.</w:t>
      </w:r>
      <w:r>
        <w:rPr>
          <w:color w:val="000000"/>
        </w:rPr>
        <w:t xml:space="preserve"> Dans le cadre de l’examen de ce point, le groupe de travail était saisi d’</w:t>
      </w:r>
      <w:bookmarkStart w:id="3" w:name="Item11"/>
      <w:r w:rsidR="00121438">
        <w:rPr>
          <w:color w:val="000000"/>
        </w:rPr>
        <w:t>un</w:t>
      </w:r>
      <w:r w:rsidR="00121438">
        <w:t xml:space="preserve"> projet</w:t>
      </w:r>
      <w:r>
        <w:t xml:space="preserve"> de décision sur l’examen des progrès réalisés dans la mise en œuvre de la Convention et du Plan stratégique 2011</w:t>
      </w:r>
      <w:r w:rsidR="00536EC8">
        <w:t>-</w:t>
      </w:r>
      <w:r>
        <w:t xml:space="preserve">2020 pour la diversité biologique, préparé sur la base de la recommandation 3/1 par l’Organe subsidiaire chargé de l’application et défini dans la compilation des projets de décision (CBD/COP/15/2) ; et </w:t>
      </w:r>
      <w:r w:rsidR="008E7FEE">
        <w:t>d’</w:t>
      </w:r>
      <w:r>
        <w:t xml:space="preserve">une note de la Secrétaire exécutive sur l’examen des progrès réalisés dans la mise en œuvre de la Convention et du Plan stratégique 2011-2020 pour la diversité biologique (CBD/COP/15/9 et addenda). </w:t>
      </w:r>
    </w:p>
    <w:p w14:paraId="27846D0D" w14:textId="586076F5" w:rsidR="00A52829" w:rsidRPr="004C2446" w:rsidRDefault="00A52829" w:rsidP="000B60AC">
      <w:pPr>
        <w:numPr>
          <w:ilvl w:val="0"/>
          <w:numId w:val="21"/>
        </w:numPr>
        <w:spacing w:after="120"/>
        <w:rPr>
          <w:szCs w:val="22"/>
        </w:rPr>
      </w:pPr>
      <w:r>
        <w:t>Le groupe de travail a convenu que le président mènerait des consultations informelles au sujet des quelques enjeux restants et préparerait un projet de décision révisé pour examen par le groupe de travail.</w:t>
      </w:r>
    </w:p>
    <w:bookmarkEnd w:id="3"/>
    <w:p w14:paraId="715CF741" w14:textId="6C8CBD9D" w:rsidR="00E15704" w:rsidRPr="00E438BF" w:rsidRDefault="00E15704" w:rsidP="00E15704">
      <w:pPr>
        <w:numPr>
          <w:ilvl w:val="0"/>
          <w:numId w:val="21"/>
        </w:numPr>
        <w:spacing w:after="120"/>
        <w:rPr>
          <w:szCs w:val="22"/>
        </w:rPr>
      </w:pPr>
      <w:r>
        <w:t>Lors de sa deuxième réunion, le 9 décembre 2022, le groupe de travail a examiné le projet de décision révisé proposé par le président et l’a approuvé, tel que modifié oralement, à des fins de transmission à la séance plénière au titre du projet de décision CBD/COP/15/L.4.</w:t>
      </w:r>
    </w:p>
    <w:p w14:paraId="24FAF4F3" w14:textId="22950667" w:rsidR="0061275F" w:rsidRPr="004C2446" w:rsidRDefault="0061275F" w:rsidP="00FF7C98">
      <w:pPr>
        <w:keepNext/>
        <w:tabs>
          <w:tab w:val="left" w:pos="720"/>
        </w:tabs>
        <w:spacing w:before="240" w:after="240"/>
        <w:ind w:left="1701" w:right="429" w:hanging="708"/>
        <w:jc w:val="left"/>
        <w:outlineLvl w:val="0"/>
        <w:rPr>
          <w:b/>
          <w:bCs/>
          <w:caps/>
        </w:rPr>
      </w:pPr>
      <w:r>
        <w:rPr>
          <w:b/>
          <w:bCs/>
          <w:caps/>
        </w:rPr>
        <w:t>V.</w:t>
      </w:r>
      <w:r>
        <w:rPr>
          <w:b/>
          <w:bCs/>
          <w:caps/>
        </w:rPr>
        <w:tab/>
      </w:r>
      <w:r>
        <w:rPr>
          <w:rFonts w:ascii="Times New Roman Bold" w:hAnsi="Times New Roman Bold"/>
          <w:b/>
          <w:bCs/>
        </w:rPr>
        <w:t xml:space="preserve">Cadre mondial de la biodiversité pour l’après-2020, questions connexes et mécanismes visant à favoriser la mise en </w:t>
      </w:r>
      <w:r w:rsidR="00121438">
        <w:rPr>
          <w:rFonts w:ascii="Times New Roman Bold" w:hAnsi="Times New Roman Bold"/>
          <w:b/>
          <w:bCs/>
        </w:rPr>
        <w:t>œuvre</w:t>
      </w:r>
    </w:p>
    <w:p w14:paraId="4A93E26C" w14:textId="164FDEBF" w:rsidR="0061275F" w:rsidRPr="004C2446" w:rsidRDefault="00E57D85" w:rsidP="001A10F2">
      <w:pPr>
        <w:keepNext/>
        <w:suppressLineNumbers/>
        <w:shd w:val="clear" w:color="auto" w:fill="C2D69B" w:themeFill="accent3" w:themeFillTint="99"/>
        <w:tabs>
          <w:tab w:val="left" w:pos="810"/>
        </w:tabs>
        <w:suppressAutoHyphens/>
        <w:kinsoku w:val="0"/>
        <w:overflowPunct w:val="0"/>
        <w:autoSpaceDE w:val="0"/>
        <w:autoSpaceDN w:val="0"/>
        <w:adjustRightInd w:val="0"/>
        <w:snapToGrid w:val="0"/>
        <w:spacing w:before="240" w:after="120"/>
        <w:jc w:val="center"/>
        <w:outlineLvl w:val="1"/>
        <w:rPr>
          <w:b/>
          <w:bCs/>
          <w:i/>
          <w:iCs/>
        </w:rPr>
      </w:pPr>
      <w:r>
        <w:rPr>
          <w:b/>
          <w:bCs/>
        </w:rPr>
        <w:t>COP-Point</w:t>
      </w:r>
      <w:r w:rsidR="00121438">
        <w:rPr>
          <w:b/>
          <w:bCs/>
        </w:rPr>
        <w:t> </w:t>
      </w:r>
      <w:r>
        <w:rPr>
          <w:b/>
          <w:bCs/>
        </w:rPr>
        <w:t>9.</w:t>
      </w:r>
      <w:r>
        <w:rPr>
          <w:b/>
          <w:bCs/>
        </w:rPr>
        <w:tab/>
        <w:t xml:space="preserve">Cadre mondial </w:t>
      </w:r>
      <w:r>
        <w:rPr>
          <w:b/>
          <w:bCs/>
          <w:iCs/>
          <w:snapToGrid w:val="0"/>
          <w:szCs w:val="22"/>
        </w:rPr>
        <w:t>de la biodiversité</w:t>
      </w:r>
      <w:r>
        <w:rPr>
          <w:b/>
          <w:bCs/>
        </w:rPr>
        <w:t xml:space="preserve"> pour l’après-2020</w:t>
      </w:r>
    </w:p>
    <w:p w14:paraId="167A64C7" w14:textId="747454CE" w:rsidR="0061275F" w:rsidRDefault="00E57D85" w:rsidP="001A10F2">
      <w:pPr>
        <w:shd w:val="clear" w:color="auto" w:fill="C2D69B" w:themeFill="accent3" w:themeFillTint="99"/>
        <w:tabs>
          <w:tab w:val="left" w:pos="567"/>
        </w:tabs>
        <w:spacing w:before="140" w:after="140"/>
        <w:ind w:hanging="11"/>
        <w:jc w:val="center"/>
        <w:rPr>
          <w:i/>
          <w:iCs/>
          <w:szCs w:val="22"/>
        </w:rPr>
      </w:pPr>
      <w:r>
        <w:rPr>
          <w:i/>
          <w:iCs/>
          <w:szCs w:val="22"/>
        </w:rPr>
        <w:t>COP-Point</w:t>
      </w:r>
      <w:r w:rsidR="00121438">
        <w:rPr>
          <w:i/>
          <w:iCs/>
          <w:szCs w:val="22"/>
        </w:rPr>
        <w:t> </w:t>
      </w:r>
      <w:r>
        <w:rPr>
          <w:i/>
          <w:iCs/>
          <w:szCs w:val="22"/>
        </w:rPr>
        <w:t>9 A.</w:t>
      </w:r>
      <w:r>
        <w:rPr>
          <w:i/>
          <w:iCs/>
          <w:szCs w:val="22"/>
        </w:rPr>
        <w:tab/>
      </w:r>
      <w:r w:rsidR="00536EC8">
        <w:rPr>
          <w:i/>
          <w:iCs/>
          <w:szCs w:val="22"/>
        </w:rPr>
        <w:t> </w:t>
      </w:r>
      <w:r>
        <w:rPr>
          <w:i/>
          <w:iCs/>
          <w:szCs w:val="22"/>
        </w:rPr>
        <w:t>Cadre mondial de la biodiversité pour l’après-2020</w:t>
      </w:r>
    </w:p>
    <w:p w14:paraId="5E847E90" w14:textId="536CAE31" w:rsidR="0034236F" w:rsidRPr="0034236F" w:rsidRDefault="0034236F" w:rsidP="0034236F">
      <w:pPr>
        <w:pStyle w:val="Para1"/>
      </w:pPr>
      <w:r>
        <w:t>Le groupe de travail I s’est penché sur le sous-point</w:t>
      </w:r>
      <w:r w:rsidR="00121438">
        <w:t> </w:t>
      </w:r>
      <w:r>
        <w:t>COP-9 A lors de sa première réunion, le 7</w:t>
      </w:r>
      <w:r w:rsidR="00121438">
        <w:t> </w:t>
      </w:r>
      <w:r>
        <w:t>décembre, parallèlement au point</w:t>
      </w:r>
      <w:r w:rsidR="00121438">
        <w:t> </w:t>
      </w:r>
      <w:r>
        <w:t xml:space="preserve">13 de l’ordre du jour de la quatrième réunion de la Conférence des parties </w:t>
      </w:r>
      <w:r w:rsidR="00121438">
        <w:t>siégeant</w:t>
      </w:r>
      <w:r>
        <w:t xml:space="preserve"> en tant que réunion des Parties au Protocole de Nagoya. Dans le cadre de l’examen de cette question, le groupe de travail était saisi d’un projet de décision sur le cadre mondial de la biodiversité pour l’après-2020, tiré de la recommandation 4/1 du Groupe de travail spécial à composition non limitée chargé d’examiner le cadre mondial de la biodiversité pour l’après-2020, et du projet de cadre mondial de la biodiversité pour l’après-2020 proprement dit, qui sera adopté par l’entremise du projet de décision et annexé à celui-ci. Le texte du projet de cadre a été défini à l’annexe de la recommandation</w:t>
      </w:r>
      <w:r w:rsidR="00121438">
        <w:t> </w:t>
      </w:r>
      <w:r>
        <w:t xml:space="preserve">5/1 du Groupe de travail à composition non limitée sur le cadre mondial de la biodiversité pour l’après-2020. </w:t>
      </w:r>
    </w:p>
    <w:p w14:paraId="1BF83700" w14:textId="6572E9E8" w:rsidR="0034236F" w:rsidRDefault="0034236F" w:rsidP="0034236F">
      <w:pPr>
        <w:numPr>
          <w:ilvl w:val="0"/>
          <w:numId w:val="21"/>
        </w:numPr>
        <w:spacing w:after="120"/>
        <w:rPr>
          <w:szCs w:val="22"/>
        </w:rPr>
      </w:pPr>
      <w:r>
        <w:rPr>
          <w:rStyle w:val="Para1Char"/>
        </w:rPr>
        <w:t xml:space="preserve">Le groupe de travail a convenu de mettre sur pied un groupe de contact, co-présidé par Francis Ogwal (Ouganda) et </w:t>
      </w:r>
      <w:r>
        <w:t xml:space="preserve">Basile van Havre (Canada), afin de continuer à discuter du cadre mondial de la biodiversité pour l’après-2020, avec l’objectif de le finaliser. </w:t>
      </w:r>
    </w:p>
    <w:p w14:paraId="6F0E6570" w14:textId="77777777" w:rsidR="0034236F" w:rsidRPr="004C2446" w:rsidRDefault="0034236F" w:rsidP="0034236F">
      <w:pPr>
        <w:numPr>
          <w:ilvl w:val="0"/>
          <w:numId w:val="21"/>
        </w:numPr>
        <w:spacing w:after="120"/>
        <w:rPr>
          <w:szCs w:val="22"/>
        </w:rPr>
      </w:pPr>
      <w:r>
        <w:t>[</w:t>
      </w:r>
      <w:r>
        <w:rPr>
          <w:i/>
          <w:iCs/>
          <w:szCs w:val="22"/>
        </w:rPr>
        <w:t>à terminer</w:t>
      </w:r>
      <w:r>
        <w:t>]</w:t>
      </w:r>
    </w:p>
    <w:p w14:paraId="32CA4784" w14:textId="7F92BCFE" w:rsidR="006C6DC9" w:rsidRPr="004C2446" w:rsidRDefault="006C6DC9" w:rsidP="006C6DC9">
      <w:pPr>
        <w:pStyle w:val="Titre2"/>
        <w:suppressLineNumbers/>
        <w:shd w:val="clear" w:color="auto" w:fill="C6D9F1" w:themeFill="text2" w:themeFillTint="33"/>
        <w:tabs>
          <w:tab w:val="left" w:pos="1080"/>
        </w:tabs>
        <w:suppressAutoHyphens/>
        <w:kinsoku w:val="0"/>
        <w:overflowPunct w:val="0"/>
        <w:autoSpaceDE w:val="0"/>
        <w:autoSpaceDN w:val="0"/>
        <w:spacing w:before="240"/>
        <w:rPr>
          <w:rFonts w:ascii="Times New Roman Bold" w:hAnsi="Times New Roman Bold"/>
          <w:iCs w:val="0"/>
          <w:caps/>
          <w:snapToGrid w:val="0"/>
          <w:kern w:val="22"/>
          <w:szCs w:val="22"/>
        </w:rPr>
      </w:pPr>
      <w:r>
        <w:rPr>
          <w:snapToGrid w:val="0"/>
          <w:szCs w:val="22"/>
        </w:rPr>
        <w:t>NP-Point</w:t>
      </w:r>
      <w:r w:rsidR="00121438">
        <w:rPr>
          <w:snapToGrid w:val="0"/>
          <w:szCs w:val="22"/>
        </w:rPr>
        <w:t> </w:t>
      </w:r>
      <w:r>
        <w:rPr>
          <w:snapToGrid w:val="0"/>
          <w:szCs w:val="22"/>
        </w:rPr>
        <w:t>13.</w:t>
      </w:r>
      <w:r>
        <w:rPr>
          <w:snapToGrid w:val="0"/>
          <w:szCs w:val="22"/>
        </w:rPr>
        <w:tab/>
      </w:r>
      <w:r>
        <w:rPr>
          <w:rFonts w:ascii="Times New Roman Bold" w:hAnsi="Times New Roman Bold"/>
          <w:snapToGrid w:val="0"/>
          <w:szCs w:val="22"/>
        </w:rPr>
        <w:t>Cadre mondial de la biodiversité pour l’après-2020</w:t>
      </w:r>
    </w:p>
    <w:p w14:paraId="490037EF" w14:textId="78056450" w:rsidR="0038722D" w:rsidRPr="0038722D" w:rsidRDefault="00D83A7D" w:rsidP="0038722D">
      <w:pPr>
        <w:numPr>
          <w:ilvl w:val="0"/>
          <w:numId w:val="20"/>
        </w:numPr>
        <w:spacing w:after="120"/>
        <w:rPr>
          <w:szCs w:val="22"/>
        </w:rPr>
      </w:pPr>
      <w:r>
        <w:t>Le groupe de travail I s’est penché sur le sous-point</w:t>
      </w:r>
      <w:r w:rsidR="00121438">
        <w:t> </w:t>
      </w:r>
      <w:r>
        <w:t>NP-13 lors de sa première réunion, le 7</w:t>
      </w:r>
      <w:r w:rsidR="00121438">
        <w:t> </w:t>
      </w:r>
      <w:r>
        <w:t>décembre, parallèlement au point 9</w:t>
      </w:r>
      <w:r w:rsidR="00121438">
        <w:t> </w:t>
      </w:r>
      <w:r>
        <w:t xml:space="preserve">A de l’ordre du jour de la quinzième réunion de la Conférence des parties à la Convention sur la diversité biologique. Lors de l’examen de cette question, le groupe de travail était saisi d’une note de la Secrétaire exécutive sur le renforcement de la mise en </w:t>
      </w:r>
      <w:r w:rsidR="00121438">
        <w:t>œuvre</w:t>
      </w:r>
      <w:r>
        <w:t xml:space="preserve"> du Protocole de Nagoya dans le contexte du </w:t>
      </w:r>
      <w:r w:rsidR="00536EC8">
        <w:t>c</w:t>
      </w:r>
      <w:r>
        <w:t>adre mondial de la biodiversité pour l’après-2020 (CBD/NP/MOP/4/9).</w:t>
      </w:r>
    </w:p>
    <w:p w14:paraId="286E9BA0" w14:textId="41FBF3E4" w:rsidR="0038722D" w:rsidRPr="003A03E8" w:rsidRDefault="0038722D" w:rsidP="0038722D">
      <w:pPr>
        <w:pStyle w:val="Para1"/>
      </w:pPr>
      <w:r>
        <w:t xml:space="preserve"> Le groupe de travail a convenu de poursuivre son examen du sous-point à un stade ultérieur de la réunion, une fois que les discussions sur la question en vertu du point 9</w:t>
      </w:r>
      <w:r w:rsidR="00121438">
        <w:t> </w:t>
      </w:r>
      <w:r>
        <w:t xml:space="preserve">A de l’ordre du jour de la quinzième réunion de la Conférence des Parties auront progressé. </w:t>
      </w:r>
    </w:p>
    <w:p w14:paraId="27729573" w14:textId="6180C081" w:rsidR="007438CD" w:rsidRPr="004C2446" w:rsidRDefault="007438CD" w:rsidP="00F22106">
      <w:pPr>
        <w:numPr>
          <w:ilvl w:val="0"/>
          <w:numId w:val="21"/>
        </w:numPr>
        <w:spacing w:after="120"/>
        <w:rPr>
          <w:szCs w:val="22"/>
        </w:rPr>
      </w:pPr>
      <w:r>
        <w:t>[</w:t>
      </w:r>
      <w:r>
        <w:rPr>
          <w:i/>
          <w:iCs/>
          <w:szCs w:val="22"/>
        </w:rPr>
        <w:t>à terminer</w:t>
      </w:r>
      <w:r>
        <w:t>]</w:t>
      </w:r>
    </w:p>
    <w:p w14:paraId="16C8EE4C" w14:textId="01E63938" w:rsidR="00B06710" w:rsidRPr="004C2446" w:rsidRDefault="001D04FC" w:rsidP="001D04FC">
      <w:pPr>
        <w:shd w:val="clear" w:color="auto" w:fill="C2D69B"/>
        <w:tabs>
          <w:tab w:val="left" w:pos="360"/>
        </w:tabs>
        <w:spacing w:before="120" w:after="120"/>
        <w:jc w:val="center"/>
        <w:rPr>
          <w:i/>
          <w:iCs/>
          <w:szCs w:val="22"/>
        </w:rPr>
      </w:pPr>
      <w:r>
        <w:rPr>
          <w:i/>
          <w:iCs/>
          <w:szCs w:val="22"/>
        </w:rPr>
        <w:t>COP-Point</w:t>
      </w:r>
      <w:r w:rsidR="00121438">
        <w:rPr>
          <w:i/>
          <w:iCs/>
          <w:szCs w:val="22"/>
        </w:rPr>
        <w:t> </w:t>
      </w:r>
      <w:r>
        <w:rPr>
          <w:i/>
          <w:iCs/>
          <w:szCs w:val="22"/>
        </w:rPr>
        <w:t>9 B.</w:t>
      </w:r>
      <w:r>
        <w:rPr>
          <w:i/>
          <w:iCs/>
          <w:szCs w:val="22"/>
        </w:rPr>
        <w:tab/>
      </w:r>
      <w:r w:rsidR="00536EC8">
        <w:rPr>
          <w:i/>
          <w:iCs/>
          <w:szCs w:val="22"/>
        </w:rPr>
        <w:t> </w:t>
      </w:r>
      <w:r>
        <w:rPr>
          <w:i/>
          <w:iCs/>
          <w:szCs w:val="22"/>
        </w:rPr>
        <w:t>Cadres de suivi pour le cadre mondial de la biodiversité pour l’après-2020</w:t>
      </w:r>
    </w:p>
    <w:p w14:paraId="108C05CA" w14:textId="63C94995" w:rsidR="00661094" w:rsidRPr="004C2446" w:rsidRDefault="00D83A7D" w:rsidP="003A593A">
      <w:pPr>
        <w:numPr>
          <w:ilvl w:val="0"/>
          <w:numId w:val="21"/>
        </w:numPr>
        <w:spacing w:after="120"/>
        <w:rPr>
          <w:szCs w:val="22"/>
        </w:rPr>
      </w:pPr>
      <w:r>
        <w:lastRenderedPageBreak/>
        <w:t>Le groupe de travail I s’est penché sur le sous-point</w:t>
      </w:r>
      <w:r w:rsidR="00121438">
        <w:t> </w:t>
      </w:r>
      <w:r>
        <w:t>COP-9 B lors de sa première réunion, le 7</w:t>
      </w:r>
      <w:r w:rsidR="00121438">
        <w:t> </w:t>
      </w:r>
      <w:r>
        <w:t>décembre.</w:t>
      </w:r>
      <w:r>
        <w:rPr>
          <w:color w:val="000000"/>
        </w:rPr>
        <w:t xml:space="preserve"> </w:t>
      </w:r>
      <w:r>
        <w:t>Dans le cadre de l’examen, le groupe de travail était saisi d’un projet de décision sur le suivi, qui comprenait une évaluation des indicateurs phares et des propositions d’indicateurs additionnels, ainsi qu’une composante et des indicateurs complémentaires pour le suivi du cadre mondial de la biodiversité pour l’après-2020. Le projet de décision, qui a été élaboré par la Secrétaire exécutive en fonction de la recommandation</w:t>
      </w:r>
      <w:r w:rsidR="00121438">
        <w:t> </w:t>
      </w:r>
      <w:r>
        <w:t xml:space="preserve">24/2 de l’Organe subsidiaire chargé de fournir des avis scientifiques, techniques et technologiques, a été présenté dans la compilation des projets de décisions (CBD/COP/15/2). En outre, le groupe de travail était saisi du rapport de l’atelier d’experts sur le cadre de suivi du cadre mondial de la biodiversité pour l’après-2020 (CBD/ID/OM/2022/1/2). </w:t>
      </w:r>
    </w:p>
    <w:p w14:paraId="28D1D767" w14:textId="5E5443E3" w:rsidR="00821415" w:rsidRPr="004C2446" w:rsidRDefault="00821415" w:rsidP="00E40A62">
      <w:pPr>
        <w:numPr>
          <w:ilvl w:val="0"/>
          <w:numId w:val="21"/>
        </w:numPr>
        <w:spacing w:after="120"/>
        <w:rPr>
          <w:szCs w:val="22"/>
        </w:rPr>
      </w:pPr>
      <w:r>
        <w:t>Le groupe de travail a convenu de demander au groupe de contact mis sur pied en vertu du sous-point COP-9 A de se pencher sur les indicateurs phares. Il a également convenu de créer un groupe des amis du président, dirigé par Hesiquio Benitez (Mexique) et ouvert à toutes les parties intéressées, qui examinera le projet de décision aux termes du sous-point et se penchera sur toutes les questions transversales découlant de l’examen des indicateurs phares par le groupe de contact.</w:t>
      </w:r>
    </w:p>
    <w:p w14:paraId="19CAEB70" w14:textId="77777777" w:rsidR="001D04FC" w:rsidRPr="004C2446" w:rsidRDefault="001D04FC" w:rsidP="001D04FC">
      <w:pPr>
        <w:numPr>
          <w:ilvl w:val="0"/>
          <w:numId w:val="21"/>
        </w:numPr>
        <w:spacing w:after="120"/>
        <w:rPr>
          <w:szCs w:val="22"/>
        </w:rPr>
      </w:pPr>
      <w:r>
        <w:t>[</w:t>
      </w:r>
      <w:r>
        <w:rPr>
          <w:i/>
          <w:iCs/>
          <w:szCs w:val="22"/>
        </w:rPr>
        <w:t>à terminer</w:t>
      </w:r>
      <w:r>
        <w:t>]</w:t>
      </w:r>
    </w:p>
    <w:p w14:paraId="0ABEE751" w14:textId="782DB909" w:rsidR="00B06710" w:rsidRPr="004C2446" w:rsidRDefault="001D04FC" w:rsidP="00B17F6C">
      <w:pPr>
        <w:keepNext/>
        <w:shd w:val="clear" w:color="auto" w:fill="C2D69B" w:themeFill="accent3" w:themeFillTint="99"/>
        <w:tabs>
          <w:tab w:val="left" w:pos="450"/>
        </w:tabs>
        <w:spacing w:after="120"/>
        <w:jc w:val="center"/>
        <w:rPr>
          <w:i/>
          <w:iCs/>
          <w:szCs w:val="22"/>
        </w:rPr>
      </w:pPr>
      <w:r>
        <w:rPr>
          <w:i/>
          <w:iCs/>
          <w:szCs w:val="22"/>
        </w:rPr>
        <w:t>COP-Point</w:t>
      </w:r>
      <w:r w:rsidR="00121438">
        <w:rPr>
          <w:i/>
          <w:iCs/>
          <w:szCs w:val="22"/>
        </w:rPr>
        <w:t> </w:t>
      </w:r>
      <w:r>
        <w:rPr>
          <w:i/>
          <w:iCs/>
          <w:szCs w:val="22"/>
        </w:rPr>
        <w:t>9 C.</w:t>
      </w:r>
      <w:r>
        <w:rPr>
          <w:i/>
          <w:iCs/>
          <w:szCs w:val="22"/>
        </w:rPr>
        <w:tab/>
      </w:r>
      <w:r w:rsidR="00536EC8">
        <w:rPr>
          <w:i/>
          <w:iCs/>
          <w:szCs w:val="22"/>
        </w:rPr>
        <w:t> </w:t>
      </w:r>
      <w:r>
        <w:rPr>
          <w:i/>
          <w:iCs/>
          <w:szCs w:val="22"/>
        </w:rPr>
        <w:t>Stratégie de communication</w:t>
      </w:r>
    </w:p>
    <w:p w14:paraId="60DD5458" w14:textId="1B5FDCB7" w:rsidR="00B17F6C" w:rsidRPr="004C2446" w:rsidRDefault="00D83A7D" w:rsidP="00745F6A">
      <w:pPr>
        <w:numPr>
          <w:ilvl w:val="0"/>
          <w:numId w:val="21"/>
        </w:numPr>
        <w:spacing w:after="120"/>
        <w:rPr>
          <w:szCs w:val="22"/>
        </w:rPr>
      </w:pPr>
      <w:r>
        <w:t>Le groupe de travail I s’est penché sur le sous-point</w:t>
      </w:r>
      <w:r w:rsidR="00121438">
        <w:t> </w:t>
      </w:r>
      <w:r>
        <w:t>COP-9 c) lors de sa première réunion, le 7</w:t>
      </w:r>
      <w:r w:rsidR="00121438">
        <w:t> </w:t>
      </w:r>
      <w:r>
        <w:t>décembre, conjointement au sous-point COP-13 C portant sur la communication.</w:t>
      </w:r>
      <w:r>
        <w:rPr>
          <w:color w:val="000000"/>
        </w:rPr>
        <w:t xml:space="preserve"> </w:t>
      </w:r>
      <w:r>
        <w:t xml:space="preserve">En conséquence, le groupe de travail était saisi d’un projet de décision sur la stratégie de communication relative au cadre mondial de la biodiversité pour l’après-2020 et d’un autre sur la communication, qui étaient fondés sur les recommandations 3/18 et 3/5 de l’Organe subsidiaire chargé de l’application, respectivement, et définis dans la compilation des projets de décision (CBD/COP/15/2). </w:t>
      </w:r>
    </w:p>
    <w:p w14:paraId="6A9E3803" w14:textId="7C944433" w:rsidR="00B17F6C" w:rsidRPr="004C2446" w:rsidRDefault="00B17F6C" w:rsidP="00B17F6C">
      <w:pPr>
        <w:numPr>
          <w:ilvl w:val="0"/>
          <w:numId w:val="21"/>
        </w:numPr>
        <w:spacing w:after="120"/>
        <w:rPr>
          <w:szCs w:val="22"/>
        </w:rPr>
      </w:pPr>
      <w:r>
        <w:t>Le groupe de travail a convenu que le président mènerait des consultations informelles au sujet des quelques enjeux restants et préparerait des projets de décision révisés pour examen par le groupe de travail.</w:t>
      </w:r>
    </w:p>
    <w:p w14:paraId="08B23279" w14:textId="197B9658" w:rsidR="00341587" w:rsidRPr="004B5989" w:rsidRDefault="00341587" w:rsidP="00341587">
      <w:pPr>
        <w:pStyle w:val="Para1"/>
      </w:pPr>
      <w:r>
        <w:t>Lors de sa</w:t>
      </w:r>
      <w:r w:rsidR="00536EC8">
        <w:t xml:space="preserve"> </w:t>
      </w:r>
      <w:r>
        <w:t>troisième</w:t>
      </w:r>
      <w:r w:rsidR="00536EC8">
        <w:t xml:space="preserve"> réunion</w:t>
      </w:r>
      <w:r>
        <w:t xml:space="preserve">, le 17 décembre 2022, le groupe de travail a examiné un projet de décision unique </w:t>
      </w:r>
      <w:r w:rsidR="00536EC8">
        <w:t xml:space="preserve">révisé et </w:t>
      </w:r>
      <w:r>
        <w:t>combiné</w:t>
      </w:r>
      <w:r w:rsidR="00536EC8">
        <w:t>,</w:t>
      </w:r>
      <w:r>
        <w:t xml:space="preserve"> proposé par le président</w:t>
      </w:r>
      <w:r w:rsidR="00536EC8">
        <w:t>,</w:t>
      </w:r>
      <w:r>
        <w:t xml:space="preserve"> au sujet de la communication et l’a approuvé, tel que modifié oralement, à des fins de transmission à la séance plénière au titre du projet de décision CBD/COP/15/L.</w:t>
      </w:r>
      <w:r w:rsidR="00B541D6">
        <w:t>23</w:t>
      </w:r>
      <w:r>
        <w:t>.</w:t>
      </w:r>
    </w:p>
    <w:p w14:paraId="00700584" w14:textId="0D20881C" w:rsidR="00967183" w:rsidRPr="004C2446" w:rsidRDefault="001D04FC" w:rsidP="00341587">
      <w:pPr>
        <w:pStyle w:val="Titre3"/>
        <w:shd w:val="clear" w:color="auto" w:fill="C2D69B" w:themeFill="accent3" w:themeFillTint="99"/>
      </w:pPr>
      <w:r>
        <w:t>COP-Point</w:t>
      </w:r>
      <w:r w:rsidR="00121438">
        <w:t> </w:t>
      </w:r>
      <w:r>
        <w:t>9 D.</w:t>
      </w:r>
      <w:r>
        <w:tab/>
      </w:r>
      <w:r w:rsidR="00536EC8">
        <w:t> </w:t>
      </w:r>
      <w:r>
        <w:t>Plan d’action pour l’égalité des sexes</w:t>
      </w:r>
    </w:p>
    <w:p w14:paraId="2FA06C9C" w14:textId="57C068A3" w:rsidR="00967183" w:rsidRPr="004C2446" w:rsidRDefault="00D83A7D" w:rsidP="00645759">
      <w:pPr>
        <w:numPr>
          <w:ilvl w:val="0"/>
          <w:numId w:val="21"/>
        </w:numPr>
        <w:spacing w:after="120"/>
        <w:rPr>
          <w:szCs w:val="22"/>
        </w:rPr>
      </w:pPr>
      <w:r>
        <w:t>Le groupe de travail I s’est penché sur le sous-point</w:t>
      </w:r>
      <w:r w:rsidR="00121438">
        <w:t> </w:t>
      </w:r>
      <w:r>
        <w:t xml:space="preserve">COP-9 D lors de sa première </w:t>
      </w:r>
      <w:r w:rsidR="00121438">
        <w:t>réunion</w:t>
      </w:r>
      <w:r>
        <w:t>, le 7</w:t>
      </w:r>
      <w:r w:rsidR="00121438">
        <w:t> </w:t>
      </w:r>
      <w:r>
        <w:t>décembre.</w:t>
      </w:r>
      <w:r>
        <w:rPr>
          <w:color w:val="000000"/>
        </w:rPr>
        <w:t xml:space="preserve"> </w:t>
      </w:r>
      <w:bookmarkStart w:id="4" w:name="_Hlk121415325"/>
      <w:r>
        <w:rPr>
          <w:color w:val="000000"/>
        </w:rPr>
        <w:t>Dans le cadre de l’examen de ce sous-point, le groupe de travail était saisi d’un projet de décision sur un plan d’action pour l’égalité des sexes, qui était fondé sur la</w:t>
      </w:r>
      <w:r>
        <w:t> recommandation 3/3 de l’Organe subsidiaire chargé de l’application et défini dans la compilation des projets de décision (CBD/COP/15/2)</w:t>
      </w:r>
      <w:bookmarkEnd w:id="4"/>
      <w:r>
        <w:t>.</w:t>
      </w:r>
    </w:p>
    <w:p w14:paraId="6FBD16B3" w14:textId="0108D8DD" w:rsidR="00B17F6C" w:rsidRPr="004C2446" w:rsidRDefault="00B17F6C" w:rsidP="00B17F6C">
      <w:pPr>
        <w:numPr>
          <w:ilvl w:val="0"/>
          <w:numId w:val="21"/>
        </w:numPr>
        <w:spacing w:after="120"/>
        <w:rPr>
          <w:szCs w:val="22"/>
        </w:rPr>
      </w:pPr>
      <w:r>
        <w:t xml:space="preserve">Le groupe de travail a convenu que le président mènerait des consultations informelles au sujet des quelques enjeux restants et préparerait un projet de décision révisé pour examen par le groupe de travail. </w:t>
      </w:r>
    </w:p>
    <w:p w14:paraId="15A030A0" w14:textId="150F9AE3" w:rsidR="00341587" w:rsidRPr="004B5989" w:rsidRDefault="00341587" w:rsidP="00341587">
      <w:pPr>
        <w:pStyle w:val="Para1"/>
      </w:pPr>
      <w:r>
        <w:t>Lors de sa troisième réunion, le 17 décembre 2022, le groupe de travail a examiné le projet de décision révisé proposé par le président et l’a approuvé, tel que modifié oralement, à des fins de transmission à la séance plénière au titre du projet de décision CBD/COP/15/L.</w:t>
      </w:r>
      <w:r w:rsidR="00B541D6">
        <w:t>24</w:t>
      </w:r>
      <w:r>
        <w:t>.</w:t>
      </w:r>
    </w:p>
    <w:p w14:paraId="6115F2C1" w14:textId="1E016955" w:rsidR="0061275F" w:rsidRPr="004C2446" w:rsidRDefault="00F67321" w:rsidP="009513B3">
      <w:pPr>
        <w:keepNext/>
        <w:suppressLineNumbers/>
        <w:shd w:val="clear" w:color="auto" w:fill="C2D69B" w:themeFill="accent3" w:themeFillTint="99"/>
        <w:tabs>
          <w:tab w:val="left" w:pos="810"/>
        </w:tabs>
        <w:suppressAutoHyphens/>
        <w:kinsoku w:val="0"/>
        <w:overflowPunct w:val="0"/>
        <w:autoSpaceDE w:val="0"/>
        <w:autoSpaceDN w:val="0"/>
        <w:adjustRightInd w:val="0"/>
        <w:snapToGrid w:val="0"/>
        <w:spacing w:before="240" w:after="120"/>
        <w:ind w:left="1701" w:hanging="1701"/>
        <w:jc w:val="left"/>
        <w:outlineLvl w:val="1"/>
        <w:rPr>
          <w:b/>
          <w:bCs/>
          <w:szCs w:val="22"/>
        </w:rPr>
      </w:pPr>
      <w:r>
        <w:rPr>
          <w:b/>
          <w:bCs/>
          <w:szCs w:val="22"/>
        </w:rPr>
        <w:t>COP-Point</w:t>
      </w:r>
      <w:r w:rsidR="00121438">
        <w:rPr>
          <w:b/>
          <w:bCs/>
          <w:szCs w:val="22"/>
        </w:rPr>
        <w:t> </w:t>
      </w:r>
      <w:r>
        <w:rPr>
          <w:b/>
          <w:bCs/>
          <w:szCs w:val="22"/>
        </w:rPr>
        <w:t>10.</w:t>
      </w:r>
      <w:r>
        <w:rPr>
          <w:b/>
          <w:bCs/>
          <w:szCs w:val="22"/>
        </w:rPr>
        <w:tab/>
        <w:t xml:space="preserve">Renforcer l’intégration </w:t>
      </w:r>
      <w:r>
        <w:rPr>
          <w:b/>
          <w:bCs/>
          <w:iCs/>
          <w:snapToGrid w:val="0"/>
          <w:szCs w:val="22"/>
        </w:rPr>
        <w:t xml:space="preserve">en ce </w:t>
      </w:r>
      <w:r w:rsidR="00121438">
        <w:rPr>
          <w:b/>
          <w:bCs/>
          <w:iCs/>
          <w:snapToGrid w:val="0"/>
          <w:szCs w:val="22"/>
        </w:rPr>
        <w:t>qui</w:t>
      </w:r>
      <w:r w:rsidR="00121438">
        <w:rPr>
          <w:b/>
          <w:bCs/>
          <w:szCs w:val="22"/>
        </w:rPr>
        <w:t xml:space="preserve"> a</w:t>
      </w:r>
      <w:r>
        <w:rPr>
          <w:b/>
          <w:bCs/>
          <w:szCs w:val="22"/>
        </w:rPr>
        <w:t xml:space="preserve"> trait aux dispositions liées à l’article</w:t>
      </w:r>
      <w:r w:rsidR="00121438">
        <w:rPr>
          <w:b/>
          <w:bCs/>
          <w:szCs w:val="22"/>
        </w:rPr>
        <w:t> </w:t>
      </w:r>
      <w:r>
        <w:rPr>
          <w:b/>
          <w:bCs/>
          <w:szCs w:val="22"/>
        </w:rPr>
        <w:t>8</w:t>
      </w:r>
      <w:r w:rsidR="00121438">
        <w:rPr>
          <w:b/>
          <w:bCs/>
          <w:szCs w:val="22"/>
        </w:rPr>
        <w:t> </w:t>
      </w:r>
      <w:r>
        <w:rPr>
          <w:b/>
          <w:bCs/>
          <w:szCs w:val="22"/>
        </w:rPr>
        <w:t>j) et aux dispositions connexes</w:t>
      </w:r>
    </w:p>
    <w:p w14:paraId="0C3DEFF9" w14:textId="6D89DDCC" w:rsidR="00CD6390" w:rsidRPr="004C2446" w:rsidRDefault="00103C86" w:rsidP="009513B3">
      <w:pPr>
        <w:keepNext/>
        <w:shd w:val="clear" w:color="auto" w:fill="C2D69B" w:themeFill="accent3" w:themeFillTint="99"/>
        <w:spacing w:after="120"/>
        <w:ind w:left="1134" w:right="49" w:hanging="1138"/>
        <w:jc w:val="left"/>
        <w:rPr>
          <w:i/>
          <w:iCs/>
        </w:rPr>
      </w:pPr>
      <w:r>
        <w:rPr>
          <w:i/>
          <w:iCs/>
          <w:szCs w:val="22"/>
        </w:rPr>
        <w:t xml:space="preserve">Point 10 A. </w:t>
      </w:r>
      <w:r>
        <w:rPr>
          <w:i/>
          <w:iCs/>
          <w:szCs w:val="22"/>
        </w:rPr>
        <w:tab/>
        <w:t xml:space="preserve">Élaboration d’un programme de travail et de mécanismes institutionnels sur l’article 8 j) et les dispositions connexes </w:t>
      </w:r>
    </w:p>
    <w:p w14:paraId="353FDEDA" w14:textId="0C2E100D" w:rsidR="00CD6390" w:rsidRPr="004C2446" w:rsidRDefault="00D83A7D" w:rsidP="0059634C">
      <w:pPr>
        <w:numPr>
          <w:ilvl w:val="0"/>
          <w:numId w:val="21"/>
        </w:numPr>
        <w:spacing w:after="120"/>
        <w:rPr>
          <w:kern w:val="22"/>
          <w:szCs w:val="22"/>
        </w:rPr>
      </w:pPr>
      <w:r>
        <w:t>Le groupe de travail I s’est penché sur le sous-point</w:t>
      </w:r>
      <w:r w:rsidR="00121438">
        <w:t> </w:t>
      </w:r>
      <w:r>
        <w:t>COP-10 A lors de sa première réunion, le 7</w:t>
      </w:r>
      <w:r w:rsidR="00121438">
        <w:t> </w:t>
      </w:r>
      <w:r>
        <w:t>décembre.</w:t>
      </w:r>
      <w:r>
        <w:rPr>
          <w:color w:val="000000"/>
        </w:rPr>
        <w:t xml:space="preserve"> </w:t>
      </w:r>
      <w:r>
        <w:t xml:space="preserve">Dans le cadre de l’examen de ce sous-point, le groupe de travail était saisi d’un projet de décision sur l’élaboration d’un nouveau programme de travail et de nouveaux mécanismes institutionnels </w:t>
      </w:r>
      <w:r>
        <w:lastRenderedPageBreak/>
        <w:t xml:space="preserve">sur l’article 8 j) et les dispositions connexes de la Convention relativement aux peuples autochtones et aux communautés locales, qui était fondé sur la recommandation 11/2 du Groupe de travail </w:t>
      </w:r>
      <w:r>
        <w:rPr>
          <w:i/>
          <w:iCs/>
        </w:rPr>
        <w:t>ad hoc</w:t>
      </w:r>
      <w:r>
        <w:t xml:space="preserve"> à composition non limitée sur l’article 8 j) et les dispositions connexes et défini dans la compilation des projets de décision (CBD/COP/15/2).</w:t>
      </w:r>
    </w:p>
    <w:p w14:paraId="304BF173" w14:textId="48B71E92" w:rsidR="008A3CFB" w:rsidRPr="004C2446" w:rsidRDefault="00D83A7D" w:rsidP="008A3CFB">
      <w:pPr>
        <w:numPr>
          <w:ilvl w:val="0"/>
          <w:numId w:val="21"/>
        </w:numPr>
        <w:spacing w:after="120"/>
        <w:rPr>
          <w:kern w:val="22"/>
          <w:szCs w:val="22"/>
        </w:rPr>
      </w:pPr>
      <w:r>
        <w:t xml:space="preserve">Le groupe de travail a convenu que le président mènerait des consultations informelles au sujet des quelques enjeux restants et préparerait un projet de décision révisé pour examen par le groupe de travail, étant entendu que les éléments entre crochets présentés à l’annexe II du projet de décision n’avaient pas besoin d’être résolus pendant la réunion actuelle, puisque le Groupe de travail </w:t>
      </w:r>
      <w:r>
        <w:rPr>
          <w:i/>
          <w:iCs/>
        </w:rPr>
        <w:t>ad hoc</w:t>
      </w:r>
      <w:r>
        <w:t xml:space="preserve"> à composition non limitée sur l’article 8 j) et les dispositions connexes se pencherait davantage sur le nouveau programme de travail sur l’article 8 j) lors de sa douzième réunion.</w:t>
      </w:r>
    </w:p>
    <w:p w14:paraId="1D121D24" w14:textId="48DFD9A3" w:rsidR="00E438BF" w:rsidRPr="00E438BF" w:rsidRDefault="00E438BF" w:rsidP="00E438BF">
      <w:pPr>
        <w:numPr>
          <w:ilvl w:val="0"/>
          <w:numId w:val="21"/>
        </w:numPr>
        <w:spacing w:after="120"/>
        <w:rPr>
          <w:szCs w:val="22"/>
        </w:rPr>
      </w:pPr>
      <w:bookmarkStart w:id="5" w:name="_Hlk121402901"/>
      <w:r>
        <w:t>Lors de sa deuxième réunion, le 9 décembre 2022, le groupe de travail a examiné le projet de décision révisé proposé par le président et l’a approuvé, tel que modifié oralement, à des fins de transmission à la séance plénière au titre du projet de décision CBD/COP/15/L.8.</w:t>
      </w:r>
    </w:p>
    <w:p w14:paraId="086A115A" w14:textId="7A66694E" w:rsidR="00BA693E" w:rsidRPr="004C2446" w:rsidRDefault="00D87A53" w:rsidP="001A10F2">
      <w:pPr>
        <w:shd w:val="clear" w:color="auto" w:fill="C2D69B" w:themeFill="accent3" w:themeFillTint="99"/>
        <w:spacing w:after="120"/>
        <w:ind w:left="1701" w:right="49" w:hanging="1275"/>
        <w:jc w:val="center"/>
        <w:rPr>
          <w:i/>
          <w:iCs/>
        </w:rPr>
      </w:pPr>
      <w:r>
        <w:rPr>
          <w:i/>
          <w:iCs/>
          <w:szCs w:val="22"/>
        </w:rPr>
        <w:t>COP-</w:t>
      </w:r>
      <w:bookmarkEnd w:id="5"/>
      <w:r>
        <w:rPr>
          <w:i/>
          <w:iCs/>
        </w:rPr>
        <w:t>Point</w:t>
      </w:r>
      <w:r w:rsidR="00121438">
        <w:t> </w:t>
      </w:r>
      <w:r>
        <w:rPr>
          <w:i/>
          <w:iCs/>
          <w:szCs w:val="22"/>
        </w:rPr>
        <w:t xml:space="preserve">10 B. </w:t>
      </w:r>
      <w:r>
        <w:rPr>
          <w:i/>
          <w:iCs/>
          <w:szCs w:val="22"/>
        </w:rPr>
        <w:tab/>
        <w:t>Dialogue approfondi au sujet de l’article</w:t>
      </w:r>
      <w:r w:rsidR="00121438">
        <w:rPr>
          <w:i/>
          <w:iCs/>
          <w:szCs w:val="22"/>
        </w:rPr>
        <w:t> </w:t>
      </w:r>
      <w:r>
        <w:rPr>
          <w:i/>
          <w:iCs/>
          <w:szCs w:val="22"/>
        </w:rPr>
        <w:t>8</w:t>
      </w:r>
      <w:r w:rsidR="00121438">
        <w:rPr>
          <w:i/>
          <w:iCs/>
          <w:szCs w:val="22"/>
        </w:rPr>
        <w:t> </w:t>
      </w:r>
      <w:r>
        <w:rPr>
          <w:i/>
          <w:iCs/>
          <w:szCs w:val="22"/>
        </w:rPr>
        <w:t>j) et des dispositions connexes</w:t>
      </w:r>
    </w:p>
    <w:p w14:paraId="396AD602" w14:textId="217AAC5E" w:rsidR="000D3660" w:rsidRPr="004C2446" w:rsidRDefault="00D83A7D" w:rsidP="00045B3E">
      <w:pPr>
        <w:numPr>
          <w:ilvl w:val="0"/>
          <w:numId w:val="21"/>
        </w:numPr>
        <w:spacing w:after="120"/>
        <w:rPr>
          <w:iCs/>
          <w:kern w:val="22"/>
          <w:szCs w:val="22"/>
        </w:rPr>
      </w:pPr>
      <w:r>
        <w:t>Le groupe de travail I s’est penché sur le sous-point</w:t>
      </w:r>
      <w:r w:rsidR="00121438">
        <w:t> </w:t>
      </w:r>
      <w:r>
        <w:t>COP-10 B lors de sa première réunion, le 7</w:t>
      </w:r>
      <w:r w:rsidR="00121438">
        <w:t> </w:t>
      </w:r>
      <w:r>
        <w:t>décembre.</w:t>
      </w:r>
      <w:r>
        <w:rPr>
          <w:color w:val="000000"/>
        </w:rPr>
        <w:t xml:space="preserve"> </w:t>
      </w:r>
      <w:r>
        <w:t>Dans le cadre de l’examen de ce sous-point, le groupe de travail était saisi d’un projet de décision sur les domaines thématiques et d’autres questions transversales, qui était fondé sur la recommandation</w:t>
      </w:r>
      <w:r w:rsidR="00121438">
        <w:t> </w:t>
      </w:r>
      <w:r>
        <w:t xml:space="preserve">11/1 du Groupe de travail </w:t>
      </w:r>
      <w:r>
        <w:rPr>
          <w:i/>
          <w:iCs/>
        </w:rPr>
        <w:t>ad hoc</w:t>
      </w:r>
      <w:r>
        <w:t xml:space="preserve"> à composition non limitée sur l</w:t>
      </w:r>
      <w:r w:rsidR="00121438">
        <w:t>’</w:t>
      </w:r>
      <w:r>
        <w:t>article</w:t>
      </w:r>
      <w:r w:rsidR="00121438">
        <w:t> </w:t>
      </w:r>
      <w:r>
        <w:t>8</w:t>
      </w:r>
      <w:r w:rsidR="00121438">
        <w:t> </w:t>
      </w:r>
      <w:r>
        <w:t>j) et les dispositions connexes et défini dans la compilation des projets de décision (CBD/COP/15/2).</w:t>
      </w:r>
    </w:p>
    <w:p w14:paraId="47F074D3" w14:textId="54FF3F06" w:rsidR="008A3CFB" w:rsidRPr="004C2446" w:rsidRDefault="008A3CFB" w:rsidP="008A3CFB">
      <w:pPr>
        <w:numPr>
          <w:ilvl w:val="0"/>
          <w:numId w:val="21"/>
        </w:numPr>
        <w:spacing w:after="120"/>
        <w:rPr>
          <w:iCs/>
          <w:kern w:val="22"/>
          <w:szCs w:val="22"/>
        </w:rPr>
      </w:pPr>
      <w:r>
        <w:t xml:space="preserve">Le groupe de travail a convenu que le président présenterait le projet de décision sous forme de document de séance à des fins d’examen par le groupe de travail. </w:t>
      </w:r>
    </w:p>
    <w:p w14:paraId="6ED1B717" w14:textId="3B556E09" w:rsidR="008E40F5" w:rsidRPr="00E438BF" w:rsidRDefault="008E40F5" w:rsidP="008E40F5">
      <w:pPr>
        <w:numPr>
          <w:ilvl w:val="0"/>
          <w:numId w:val="21"/>
        </w:numPr>
        <w:spacing w:after="120"/>
        <w:rPr>
          <w:szCs w:val="22"/>
        </w:rPr>
      </w:pPr>
      <w:r>
        <w:t>Lors de sa deuxième réunion, le 9 décembre 2022, le groupe de travail a examiné le projet de décision proposé par le président et l’a approuvé, tel que modifié oralement, à des fins de transmission à la séance plénière au titre du projet de décision CBD/COP/15/L.6.</w:t>
      </w:r>
    </w:p>
    <w:p w14:paraId="7DFF4D75" w14:textId="5C35FC4A" w:rsidR="000D3660" w:rsidRPr="004C2446" w:rsidRDefault="00FB7D33" w:rsidP="00F701DF">
      <w:pPr>
        <w:keepNext/>
        <w:shd w:val="clear" w:color="auto" w:fill="C2D69B" w:themeFill="accent3" w:themeFillTint="99"/>
        <w:spacing w:after="120"/>
        <w:ind w:left="1700" w:right="43" w:hanging="1138"/>
        <w:jc w:val="left"/>
        <w:rPr>
          <w:i/>
          <w:iCs/>
        </w:rPr>
      </w:pPr>
      <w:r>
        <w:rPr>
          <w:i/>
          <w:iCs/>
          <w:szCs w:val="22"/>
        </w:rPr>
        <w:t xml:space="preserve">Point 10 C. </w:t>
      </w:r>
      <w:r>
        <w:rPr>
          <w:i/>
          <w:iCs/>
          <w:szCs w:val="22"/>
        </w:rPr>
        <w:tab/>
      </w:r>
      <w:r>
        <w:rPr>
          <w:i/>
          <w:iCs/>
          <w:color w:val="212529"/>
          <w:szCs w:val="22"/>
        </w:rPr>
        <w:t>Recommandations relatives à l’Instance permanente sur les questions autochtones</w:t>
      </w:r>
      <w:r>
        <w:rPr>
          <w:i/>
          <w:iCs/>
          <w:szCs w:val="22"/>
        </w:rPr>
        <w:t xml:space="preserve"> </w:t>
      </w:r>
    </w:p>
    <w:p w14:paraId="594033FC" w14:textId="4BFE5341" w:rsidR="000D3660" w:rsidRPr="004C2446" w:rsidRDefault="00D83A7D" w:rsidP="00226095">
      <w:pPr>
        <w:numPr>
          <w:ilvl w:val="0"/>
          <w:numId w:val="21"/>
        </w:numPr>
        <w:spacing w:after="120"/>
        <w:rPr>
          <w:kern w:val="22"/>
          <w:szCs w:val="22"/>
        </w:rPr>
      </w:pPr>
      <w:r>
        <w:t>Le groupe de travail I s’est penché sur le sous-point</w:t>
      </w:r>
      <w:r w:rsidR="00121438">
        <w:t> </w:t>
      </w:r>
      <w:r>
        <w:t>COP-10 c) lors de sa première réunion, le 7</w:t>
      </w:r>
      <w:r w:rsidR="00121438">
        <w:t> </w:t>
      </w:r>
      <w:r>
        <w:t>décembre.</w:t>
      </w:r>
      <w:r>
        <w:rPr>
          <w:color w:val="000000"/>
        </w:rPr>
        <w:t xml:space="preserve"> </w:t>
      </w:r>
      <w:r>
        <w:t xml:space="preserve">Dans le cadre de l’examen de ce sous-point, le groupe de travail était saisi d’un projet de décision </w:t>
      </w:r>
      <w:r w:rsidR="008E7FEE">
        <w:t xml:space="preserve">au sujet </w:t>
      </w:r>
      <w:r>
        <w:t xml:space="preserve">des recommandations de l’Instance permanente sur les questions autochtones au titre de la Convention sur la diversité biologique, qui était fondé sur la recommandation 11/4 du Groupe de travail </w:t>
      </w:r>
      <w:r>
        <w:rPr>
          <w:i/>
          <w:iCs/>
        </w:rPr>
        <w:t>ad hoc</w:t>
      </w:r>
      <w:r>
        <w:t xml:space="preserve"> à composition non limitée sur l’article 8 j) et les dispositions connexes et défini dans la compilation des projets de décision (CBD/COP/15/2).</w:t>
      </w:r>
    </w:p>
    <w:p w14:paraId="234ED04E" w14:textId="049CAAA6" w:rsidR="00F701DF" w:rsidRPr="004C2446" w:rsidRDefault="00F701DF" w:rsidP="00F701DF">
      <w:pPr>
        <w:numPr>
          <w:ilvl w:val="0"/>
          <w:numId w:val="21"/>
        </w:numPr>
        <w:spacing w:after="120"/>
        <w:rPr>
          <w:iCs/>
          <w:kern w:val="22"/>
          <w:szCs w:val="22"/>
        </w:rPr>
      </w:pPr>
      <w:r>
        <w:t xml:space="preserve">Le groupe de travail a convenu que le président présenterait le projet de décision sous forme de document de séance à des fins d’examen par le groupe de travail. </w:t>
      </w:r>
    </w:p>
    <w:p w14:paraId="70D17550" w14:textId="298D1437" w:rsidR="008E40F5" w:rsidRPr="00E438BF" w:rsidRDefault="008E40F5" w:rsidP="008E40F5">
      <w:pPr>
        <w:numPr>
          <w:ilvl w:val="0"/>
          <w:numId w:val="21"/>
        </w:numPr>
        <w:spacing w:after="120"/>
        <w:rPr>
          <w:szCs w:val="22"/>
        </w:rPr>
      </w:pPr>
      <w:r>
        <w:t>Lors de sa deuxième réunion, le 9 décembre 2022, le groupe de travail a examiné le projet de décision proposé par le président et l’a approuvé, tel que modifié oralement, à des fins de transmission à la séance plénière au titre du projet de décision CBD/COP/15/L.7.</w:t>
      </w:r>
    </w:p>
    <w:p w14:paraId="1DEE93CE" w14:textId="2B386C80" w:rsidR="0061275F" w:rsidRDefault="00332020" w:rsidP="00CB20F9">
      <w:pPr>
        <w:keepNext/>
        <w:spacing w:before="240" w:after="140"/>
        <w:jc w:val="center"/>
        <w:outlineLvl w:val="1"/>
        <w:rPr>
          <w:b/>
          <w:bCs/>
          <w:szCs w:val="22"/>
          <w:shd w:val="clear" w:color="auto" w:fill="C2D69B"/>
        </w:rPr>
      </w:pPr>
      <w:r>
        <w:rPr>
          <w:b/>
          <w:bCs/>
          <w:szCs w:val="22"/>
          <w:shd w:val="clear" w:color="auto" w:fill="C2D69B"/>
        </w:rPr>
        <w:t>COP-Point</w:t>
      </w:r>
      <w:r w:rsidR="00121438">
        <w:rPr>
          <w:b/>
          <w:bCs/>
          <w:szCs w:val="22"/>
          <w:shd w:val="clear" w:color="auto" w:fill="C2D69B"/>
        </w:rPr>
        <w:t> </w:t>
      </w:r>
      <w:r>
        <w:rPr>
          <w:b/>
          <w:bCs/>
          <w:szCs w:val="22"/>
          <w:shd w:val="clear" w:color="auto" w:fill="C2D69B"/>
        </w:rPr>
        <w:t xml:space="preserve">11. </w:t>
      </w:r>
      <w:r>
        <w:rPr>
          <w:b/>
          <w:bCs/>
          <w:szCs w:val="22"/>
          <w:shd w:val="clear" w:color="auto" w:fill="C2D69B"/>
        </w:rPr>
        <w:tab/>
        <w:t>Information de séquençage numérique sur les ressources génétiques</w:t>
      </w:r>
    </w:p>
    <w:p w14:paraId="7795A394" w14:textId="4141A8E8" w:rsidR="0034236F" w:rsidRPr="004C2446" w:rsidRDefault="0034236F" w:rsidP="0034236F">
      <w:pPr>
        <w:numPr>
          <w:ilvl w:val="0"/>
          <w:numId w:val="21"/>
        </w:numPr>
        <w:spacing w:after="120"/>
        <w:rPr>
          <w:szCs w:val="22"/>
        </w:rPr>
      </w:pPr>
      <w:r>
        <w:t>Le groupe de travail I s’est penché sur le point</w:t>
      </w:r>
      <w:r w:rsidR="00121438">
        <w:t> </w:t>
      </w:r>
      <w:r>
        <w:t>COP-11 lors de sa première réunion, le 7</w:t>
      </w:r>
      <w:r w:rsidR="00121438">
        <w:t> </w:t>
      </w:r>
      <w:r>
        <w:t>décembre, parallèlement au point</w:t>
      </w:r>
      <w:r w:rsidR="00121438">
        <w:t> </w:t>
      </w:r>
      <w:r>
        <w:t xml:space="preserve">NP-14 de l’ordre du jour de la quatrième réunion de la Conférence des parties </w:t>
      </w:r>
      <w:r w:rsidR="00121438">
        <w:t>siégeant</w:t>
      </w:r>
      <w:r>
        <w:t xml:space="preserve"> en tant que réunion des Parties au Protocole de Nagoya.</w:t>
      </w:r>
      <w:r>
        <w:rPr>
          <w:color w:val="000000"/>
        </w:rPr>
        <w:t xml:space="preserve"> </w:t>
      </w:r>
      <w:r>
        <w:t>Dans le cadre de l’examen de ce point, le groupe de travail était saisi d’un projet de décision sous la forme de la recommandation 5/2, préparée par le Groupe de travail à composition non limitée sur le cadre mondial de la biodiversité pour l'après-2020, tenant compte de ses recommandations 3/2 et 4/2 et de l’information fournie dans la note de la Secrétaire exécutive au sujet de l’information de séquençage numérique sur les ressources génétiques (CBD/WG2020/5/3).</w:t>
      </w:r>
    </w:p>
    <w:p w14:paraId="42B155C2" w14:textId="77777777" w:rsidR="0034236F" w:rsidRPr="004C2446" w:rsidRDefault="0034236F" w:rsidP="0034236F">
      <w:pPr>
        <w:numPr>
          <w:ilvl w:val="0"/>
          <w:numId w:val="21"/>
        </w:numPr>
        <w:spacing w:after="120"/>
        <w:rPr>
          <w:szCs w:val="22"/>
        </w:rPr>
      </w:pPr>
      <w:r>
        <w:lastRenderedPageBreak/>
        <w:t xml:space="preserve">Le groupe de travail a convenu de mettre sur pied un groupe de contact, co-présidé par Gaute Voigt-Hanssen (Norvège) et Lacticia Tshitwamulomoni (Afrique du Sud), pour qu’il prépare un projet de décision révisé à des fins d’examen par le groupe de travail. </w:t>
      </w:r>
    </w:p>
    <w:p w14:paraId="10603C23" w14:textId="6B5237DB" w:rsidR="0047362F" w:rsidRPr="0034236F" w:rsidRDefault="0047362F" w:rsidP="0034236F">
      <w:pPr>
        <w:numPr>
          <w:ilvl w:val="0"/>
          <w:numId w:val="21"/>
        </w:numPr>
        <w:spacing w:after="120"/>
        <w:rPr>
          <w:bCs/>
          <w:szCs w:val="22"/>
        </w:rPr>
      </w:pPr>
      <w:r>
        <w:t>[</w:t>
      </w:r>
      <w:r>
        <w:rPr>
          <w:bCs/>
          <w:i/>
          <w:iCs/>
          <w:szCs w:val="22"/>
        </w:rPr>
        <w:t>à terminer</w:t>
      </w:r>
      <w:r>
        <w:t>]</w:t>
      </w:r>
    </w:p>
    <w:p w14:paraId="3987CF22" w14:textId="61549685" w:rsidR="00CB20F9" w:rsidRPr="004C2446" w:rsidRDefault="00CB20F9" w:rsidP="00CB20F9">
      <w:pPr>
        <w:pStyle w:val="Titre2"/>
        <w:suppressLineNumbers/>
        <w:shd w:val="clear" w:color="auto" w:fill="C6D9F1" w:themeFill="text2" w:themeFillTint="33"/>
        <w:tabs>
          <w:tab w:val="left" w:pos="1080"/>
        </w:tabs>
        <w:suppressAutoHyphens/>
        <w:kinsoku w:val="0"/>
        <w:overflowPunct w:val="0"/>
        <w:autoSpaceDE w:val="0"/>
        <w:autoSpaceDN w:val="0"/>
        <w:spacing w:before="240"/>
        <w:rPr>
          <w:i/>
          <w:iCs w:val="0"/>
          <w:snapToGrid w:val="0"/>
          <w:kern w:val="22"/>
        </w:rPr>
      </w:pPr>
      <w:r>
        <w:rPr>
          <w:iCs w:val="0"/>
          <w:snapToGrid w:val="0"/>
        </w:rPr>
        <w:t>NP-Point</w:t>
      </w:r>
      <w:r w:rsidR="00121438">
        <w:rPr>
          <w:iCs w:val="0"/>
          <w:snapToGrid w:val="0"/>
        </w:rPr>
        <w:t> </w:t>
      </w:r>
      <w:r>
        <w:rPr>
          <w:iCs w:val="0"/>
          <w:snapToGrid w:val="0"/>
        </w:rPr>
        <w:t>14.</w:t>
      </w:r>
      <w:r>
        <w:rPr>
          <w:snapToGrid w:val="0"/>
          <w:szCs w:val="22"/>
        </w:rPr>
        <w:tab/>
      </w:r>
      <w:r>
        <w:rPr>
          <w:iCs w:val="0"/>
          <w:snapToGrid w:val="0"/>
        </w:rPr>
        <w:t>Information de séquençage numérique sur les ressources génétiques</w:t>
      </w:r>
    </w:p>
    <w:p w14:paraId="4BDCA4B7" w14:textId="57095770" w:rsidR="00B3041F" w:rsidRPr="004C2446" w:rsidRDefault="00D83A7D" w:rsidP="00B3041F">
      <w:pPr>
        <w:numPr>
          <w:ilvl w:val="0"/>
          <w:numId w:val="21"/>
        </w:numPr>
        <w:spacing w:after="120"/>
        <w:rPr>
          <w:szCs w:val="22"/>
        </w:rPr>
      </w:pPr>
      <w:r>
        <w:t>Le groupe de travail I s’est penché sur le sous-point</w:t>
      </w:r>
      <w:r w:rsidR="00121438">
        <w:t> </w:t>
      </w:r>
      <w:r>
        <w:t>NP-14 lors de sa première réunion, le 7</w:t>
      </w:r>
      <w:r w:rsidR="00121438">
        <w:t> </w:t>
      </w:r>
      <w:r>
        <w:t>décembre, parallèlement au point</w:t>
      </w:r>
      <w:r w:rsidR="00121438">
        <w:t> </w:t>
      </w:r>
      <w:r>
        <w:t>COP-11 de l’ordre du jour de la quinzième réunion de la Conférence des parties à la Convention sur la diversité biologique.</w:t>
      </w:r>
      <w:r>
        <w:rPr>
          <w:color w:val="000000"/>
        </w:rPr>
        <w:t xml:space="preserve"> </w:t>
      </w:r>
    </w:p>
    <w:p w14:paraId="0A5EF6B5" w14:textId="1BD8FDF2" w:rsidR="00CB20F9" w:rsidRPr="004C2446" w:rsidRDefault="0038722D" w:rsidP="00CB20F9">
      <w:pPr>
        <w:numPr>
          <w:ilvl w:val="0"/>
          <w:numId w:val="21"/>
        </w:numPr>
        <w:spacing w:after="120"/>
        <w:rPr>
          <w:szCs w:val="22"/>
        </w:rPr>
      </w:pPr>
      <w:r>
        <w:t>Le groupe de travail a convenu de poursuivre son examen du sous-point à un stade ultérieur de la réunion, une fois que les discussions sur la question en vertu du point</w:t>
      </w:r>
      <w:r w:rsidR="00121438">
        <w:t> </w:t>
      </w:r>
      <w:r>
        <w:t>11 de l’ordre du jour de la quinzième réunion de la Conférence des Parties auront progressé.</w:t>
      </w:r>
    </w:p>
    <w:p w14:paraId="67C61A3F" w14:textId="77777777" w:rsidR="007C58D0" w:rsidRPr="004C2446" w:rsidRDefault="007C58D0" w:rsidP="007C58D0">
      <w:pPr>
        <w:numPr>
          <w:ilvl w:val="0"/>
          <w:numId w:val="21"/>
        </w:numPr>
        <w:spacing w:after="120"/>
        <w:rPr>
          <w:szCs w:val="22"/>
        </w:rPr>
      </w:pPr>
      <w:r>
        <w:t>[</w:t>
      </w:r>
      <w:r>
        <w:rPr>
          <w:i/>
          <w:iCs/>
          <w:szCs w:val="22"/>
        </w:rPr>
        <w:t>à terminer</w:t>
      </w:r>
      <w:r>
        <w:t>]</w:t>
      </w:r>
    </w:p>
    <w:p w14:paraId="443FE367" w14:textId="18297ACA" w:rsidR="0061275F" w:rsidRPr="004C2446" w:rsidRDefault="00645579" w:rsidP="00EE51E3">
      <w:pPr>
        <w:keepNext/>
        <w:spacing w:before="240" w:after="140"/>
        <w:ind w:left="720" w:hanging="720"/>
        <w:jc w:val="center"/>
        <w:outlineLvl w:val="1"/>
        <w:rPr>
          <w:szCs w:val="22"/>
        </w:rPr>
      </w:pPr>
      <w:r>
        <w:rPr>
          <w:b/>
          <w:bCs/>
          <w:szCs w:val="22"/>
          <w:shd w:val="clear" w:color="auto" w:fill="C2D69B"/>
        </w:rPr>
        <w:t>COP-Point</w:t>
      </w:r>
      <w:r w:rsidR="00121438">
        <w:rPr>
          <w:b/>
          <w:bCs/>
          <w:szCs w:val="22"/>
          <w:shd w:val="clear" w:color="auto" w:fill="C2D69B"/>
        </w:rPr>
        <w:t> </w:t>
      </w:r>
      <w:r>
        <w:rPr>
          <w:b/>
          <w:bCs/>
          <w:szCs w:val="22"/>
          <w:shd w:val="clear" w:color="auto" w:fill="C2D69B"/>
        </w:rPr>
        <w:t>12.</w:t>
      </w:r>
      <w:r>
        <w:rPr>
          <w:b/>
          <w:bCs/>
          <w:szCs w:val="22"/>
          <w:shd w:val="clear" w:color="auto" w:fill="C2D69B"/>
        </w:rPr>
        <w:tab/>
        <w:t>Mobilisation des ressources et mécanisme de financement</w:t>
      </w:r>
    </w:p>
    <w:p w14:paraId="32FE6EA0" w14:textId="7906430B" w:rsidR="00EE51E3" w:rsidRPr="004C2446" w:rsidRDefault="00EE51E3" w:rsidP="00EE51E3">
      <w:pPr>
        <w:pStyle w:val="Titre3"/>
        <w:shd w:val="clear" w:color="auto" w:fill="C2D69B" w:themeFill="accent3" w:themeFillTint="99"/>
        <w:rPr>
          <w:bCs/>
        </w:rPr>
      </w:pPr>
      <w:r>
        <w:t>Point 12 A.</w:t>
      </w:r>
      <w:r>
        <w:tab/>
        <w:t>Mobilisation des ressources</w:t>
      </w:r>
    </w:p>
    <w:p w14:paraId="7A89C040" w14:textId="03D1040F" w:rsidR="00B3041F" w:rsidRPr="004C2446" w:rsidRDefault="00D83A7D" w:rsidP="00B3041F">
      <w:pPr>
        <w:numPr>
          <w:ilvl w:val="0"/>
          <w:numId w:val="21"/>
        </w:numPr>
        <w:spacing w:after="120"/>
        <w:rPr>
          <w:szCs w:val="22"/>
        </w:rPr>
      </w:pPr>
      <w:r>
        <w:t>Le groupe de travail I s’est penché sur le sous-point</w:t>
      </w:r>
      <w:r w:rsidR="00121438">
        <w:t> </w:t>
      </w:r>
      <w:r>
        <w:t>COP-12 A lors de sa première réunion, le 7</w:t>
      </w:r>
      <w:r w:rsidR="00121438">
        <w:t> </w:t>
      </w:r>
      <w:r>
        <w:t>décembre.</w:t>
      </w:r>
      <w:r>
        <w:rPr>
          <w:color w:val="000000"/>
        </w:rPr>
        <w:t xml:space="preserve"> Dans le cadre de l’examen de ce sous-point, le groupe de travail était saisi d’un projet de </w:t>
      </w:r>
      <w:r w:rsidR="00121438">
        <w:rPr>
          <w:color w:val="000000"/>
        </w:rPr>
        <w:t>décision fondé</w:t>
      </w:r>
      <w:r>
        <w:rPr>
          <w:color w:val="000000"/>
        </w:rPr>
        <w:t xml:space="preserve"> sur la</w:t>
      </w:r>
      <w:r>
        <w:t xml:space="preserve"> recommandation 3/6 de l’Organe subsidiaire chargé de l’application et défini dans la compilation des projets de décision (CBD/COP/15/2). </w:t>
      </w:r>
    </w:p>
    <w:p w14:paraId="38307A19" w14:textId="3DA7718A" w:rsidR="002B10CF" w:rsidRPr="004C2446" w:rsidRDefault="002B10CF" w:rsidP="002B10CF">
      <w:pPr>
        <w:numPr>
          <w:ilvl w:val="0"/>
          <w:numId w:val="21"/>
        </w:numPr>
        <w:spacing w:after="120"/>
        <w:rPr>
          <w:szCs w:val="22"/>
        </w:rPr>
      </w:pPr>
      <w:r>
        <w:t xml:space="preserve">Le groupe de travail a convenu de mettre sur pied un groupe de contact, co-présidé </w:t>
      </w:r>
      <w:r w:rsidR="00121438">
        <w:t>par Ines</w:t>
      </w:r>
      <w:r>
        <w:t xml:space="preserve"> Verleye (Belgique) et Shonisani Munzhedzi (Afrique du Sud), pour qu’il prépare un projet de décision révisé à des fins d’examen par le groupe de travail.</w:t>
      </w:r>
    </w:p>
    <w:p w14:paraId="6378778D" w14:textId="77777777" w:rsidR="007C58D0" w:rsidRPr="004C2446" w:rsidRDefault="007C58D0" w:rsidP="007C58D0">
      <w:pPr>
        <w:numPr>
          <w:ilvl w:val="0"/>
          <w:numId w:val="21"/>
        </w:numPr>
        <w:spacing w:after="120"/>
        <w:rPr>
          <w:szCs w:val="22"/>
        </w:rPr>
      </w:pPr>
      <w:r>
        <w:t>[</w:t>
      </w:r>
      <w:r>
        <w:rPr>
          <w:i/>
          <w:iCs/>
          <w:szCs w:val="22"/>
        </w:rPr>
        <w:t>à terminer</w:t>
      </w:r>
      <w:r>
        <w:t>]</w:t>
      </w:r>
    </w:p>
    <w:p w14:paraId="060B2FBF" w14:textId="4277DD05" w:rsidR="0061275F" w:rsidRPr="004C2446" w:rsidRDefault="005E4CFE" w:rsidP="001A10F2">
      <w:pPr>
        <w:pStyle w:val="Titre3"/>
        <w:shd w:val="clear" w:color="auto" w:fill="C2D69B" w:themeFill="accent3" w:themeFillTint="99"/>
        <w:rPr>
          <w:bCs/>
        </w:rPr>
      </w:pPr>
      <w:r>
        <w:t>Point 12 B.</w:t>
      </w:r>
      <w:r>
        <w:tab/>
        <w:t>Mécanisme de financement</w:t>
      </w:r>
    </w:p>
    <w:p w14:paraId="1E6D2D40" w14:textId="71193519" w:rsidR="009E2533" w:rsidRPr="004C2446" w:rsidRDefault="00D83A7D" w:rsidP="009E2533">
      <w:pPr>
        <w:numPr>
          <w:ilvl w:val="0"/>
          <w:numId w:val="21"/>
        </w:numPr>
        <w:spacing w:after="120"/>
        <w:rPr>
          <w:szCs w:val="22"/>
        </w:rPr>
      </w:pPr>
      <w:r>
        <w:rPr>
          <w:color w:val="000000"/>
        </w:rPr>
        <w:t>Le groupe de travail I s’est penché sur le sous-point</w:t>
      </w:r>
      <w:r w:rsidR="00121438">
        <w:rPr>
          <w:color w:val="000000"/>
        </w:rPr>
        <w:t> </w:t>
      </w:r>
      <w:r>
        <w:rPr>
          <w:color w:val="000000"/>
        </w:rPr>
        <w:t>COP-12 B lors de sa première réunion, le 7</w:t>
      </w:r>
      <w:r w:rsidR="00121438">
        <w:rPr>
          <w:color w:val="000000"/>
        </w:rPr>
        <w:t> </w:t>
      </w:r>
      <w:r>
        <w:rPr>
          <w:color w:val="000000"/>
        </w:rPr>
        <w:t xml:space="preserve">décembre. </w:t>
      </w:r>
      <w:r>
        <w:t xml:space="preserve">Dans le cadre de l’examen de ce sous-point, le groupe de travail était saisi d’un projet de décision sur le mécanisme de financement, fondé sur la recommandation 3/7 de l’Organe subsidiaire chargé de l’application et défini dans la compilation des projets de décision (CBD/COP/15/2), ainsi que d’une note de la Secrétaire exécutive au sujet de questions relatives aux orientations au Fonds pour l’environnement mondial (CBD/COP/15/10).  </w:t>
      </w:r>
    </w:p>
    <w:p w14:paraId="5747ED87" w14:textId="25FE2B11" w:rsidR="009E2533" w:rsidRPr="004C2446" w:rsidRDefault="008D023E" w:rsidP="009E2533">
      <w:pPr>
        <w:numPr>
          <w:ilvl w:val="0"/>
          <w:numId w:val="21"/>
        </w:numPr>
        <w:spacing w:after="120"/>
        <w:rPr>
          <w:szCs w:val="22"/>
        </w:rPr>
      </w:pPr>
      <w:r>
        <w:t>Le représentant du Fonds pour l’environnement mondial a présenté le rapport au Conseil du Fonds pour l’environnement mondial à la Conférence des Parties lors de sa quinzième réunion, rapport faisant l’objet du document CBD/COP/15/8.</w:t>
      </w:r>
    </w:p>
    <w:p w14:paraId="76337931" w14:textId="04C32758" w:rsidR="0061275F" w:rsidRPr="004C2446" w:rsidRDefault="009E2533" w:rsidP="00B71EFF">
      <w:pPr>
        <w:numPr>
          <w:ilvl w:val="0"/>
          <w:numId w:val="21"/>
        </w:numPr>
        <w:spacing w:after="120"/>
      </w:pPr>
      <w:r>
        <w:t xml:space="preserve">Le groupe de travail a convenu de mettre sur pied un groupe de contact pour qu’il prépare un projet de décision révisé à des fins d’examen par le groupe de travail. </w:t>
      </w:r>
    </w:p>
    <w:p w14:paraId="1F8F401B" w14:textId="77777777" w:rsidR="007C58D0" w:rsidRPr="004C2446" w:rsidRDefault="007C58D0" w:rsidP="007C58D0">
      <w:pPr>
        <w:numPr>
          <w:ilvl w:val="0"/>
          <w:numId w:val="21"/>
        </w:numPr>
        <w:spacing w:after="120"/>
        <w:rPr>
          <w:szCs w:val="22"/>
        </w:rPr>
      </w:pPr>
      <w:r>
        <w:t>[</w:t>
      </w:r>
      <w:r>
        <w:rPr>
          <w:i/>
          <w:iCs/>
          <w:szCs w:val="22"/>
        </w:rPr>
        <w:t>à terminer</w:t>
      </w:r>
      <w:r>
        <w:t>]</w:t>
      </w:r>
    </w:p>
    <w:p w14:paraId="2FBD3F98" w14:textId="7AD78D96" w:rsidR="0061275F" w:rsidRPr="004C2446" w:rsidRDefault="00645579" w:rsidP="001A10F2">
      <w:pPr>
        <w:keepNext/>
        <w:shd w:val="clear" w:color="auto" w:fill="C2D69B" w:themeFill="accent3" w:themeFillTint="99"/>
        <w:spacing w:before="240" w:after="120"/>
        <w:ind w:left="1417" w:right="51" w:hanging="992"/>
        <w:jc w:val="left"/>
        <w:outlineLvl w:val="1"/>
        <w:rPr>
          <w:szCs w:val="22"/>
        </w:rPr>
      </w:pPr>
      <w:r>
        <w:rPr>
          <w:b/>
          <w:bCs/>
          <w:szCs w:val="22"/>
          <w:shd w:val="clear" w:color="auto" w:fill="C2D69B" w:themeFill="accent3" w:themeFillTint="99"/>
        </w:rPr>
        <w:t>COP-Point</w:t>
      </w:r>
      <w:r w:rsidR="00121438">
        <w:rPr>
          <w:b/>
          <w:bCs/>
          <w:szCs w:val="22"/>
          <w:shd w:val="clear" w:color="auto" w:fill="C2D69B" w:themeFill="accent3" w:themeFillTint="99"/>
        </w:rPr>
        <w:t> </w:t>
      </w:r>
      <w:r>
        <w:rPr>
          <w:b/>
          <w:bCs/>
          <w:szCs w:val="22"/>
          <w:shd w:val="clear" w:color="auto" w:fill="C2D69B" w:themeFill="accent3" w:themeFillTint="99"/>
        </w:rPr>
        <w:t>13.</w:t>
      </w:r>
      <w:r>
        <w:rPr>
          <w:b/>
          <w:bCs/>
          <w:szCs w:val="22"/>
          <w:shd w:val="clear" w:color="auto" w:fill="C2D69B" w:themeFill="accent3" w:themeFillTint="99"/>
        </w:rPr>
        <w:tab/>
        <w:t xml:space="preserve">Renforcement des capacités et coopération technique et scientifique, et gestion et communication </w:t>
      </w:r>
      <w:r w:rsidR="00121438">
        <w:rPr>
          <w:b/>
          <w:bCs/>
          <w:szCs w:val="22"/>
          <w:shd w:val="clear" w:color="auto" w:fill="C2D69B" w:themeFill="accent3" w:themeFillTint="99"/>
        </w:rPr>
        <w:t xml:space="preserve">des </w:t>
      </w:r>
      <w:r w:rsidR="00121438">
        <w:rPr>
          <w:b/>
          <w:bCs/>
          <w:szCs w:val="22"/>
        </w:rPr>
        <w:t>connaissances</w:t>
      </w:r>
    </w:p>
    <w:p w14:paraId="55D3BAA0" w14:textId="1E78DBF5" w:rsidR="00586637" w:rsidRPr="004C2446" w:rsidRDefault="00DB4BFE" w:rsidP="001A10F2">
      <w:pPr>
        <w:pStyle w:val="Titre3"/>
        <w:shd w:val="clear" w:color="auto" w:fill="C2D69B" w:themeFill="accent3" w:themeFillTint="99"/>
      </w:pPr>
      <w:r>
        <w:t>Point 13 A.</w:t>
      </w:r>
      <w:r>
        <w:tab/>
        <w:t>Renforcement des capacités et coopération technique et scientifique</w:t>
      </w:r>
    </w:p>
    <w:p w14:paraId="3C5B93F1" w14:textId="5CE66B22" w:rsidR="00C73271" w:rsidRPr="004C2446" w:rsidRDefault="00D83A7D" w:rsidP="00C73271">
      <w:pPr>
        <w:numPr>
          <w:ilvl w:val="0"/>
          <w:numId w:val="21"/>
        </w:numPr>
        <w:spacing w:after="120"/>
        <w:rPr>
          <w:szCs w:val="22"/>
        </w:rPr>
      </w:pPr>
      <w:r>
        <w:rPr>
          <w:color w:val="000000"/>
        </w:rPr>
        <w:t>Le groupe de travail I s’est penché sur le sous-point</w:t>
      </w:r>
      <w:r w:rsidR="00121438">
        <w:rPr>
          <w:color w:val="000000"/>
        </w:rPr>
        <w:t> </w:t>
      </w:r>
      <w:r>
        <w:rPr>
          <w:color w:val="000000"/>
        </w:rPr>
        <w:t>COP-13 A lors de sa première réunion, le 7</w:t>
      </w:r>
      <w:r w:rsidR="00121438">
        <w:rPr>
          <w:color w:val="000000"/>
        </w:rPr>
        <w:t> </w:t>
      </w:r>
      <w:r>
        <w:rPr>
          <w:color w:val="000000"/>
        </w:rPr>
        <w:t xml:space="preserve">décembre. </w:t>
      </w:r>
      <w:r>
        <w:t xml:space="preserve">Dans le cadre de l’examen de ce sous-point, le groupe de travail était saisi d’un projet de décision sur le renforcement des capacités et la coopération technique et scientifique, fondé sur la recommandation 3/8 de l’Organe subsidiaire chargé de l’application et défini dans la compilation des </w:t>
      </w:r>
      <w:r>
        <w:lastRenderedPageBreak/>
        <w:t>projets de décision (CBD/COP/15/2), ainsi que d’une note de la Secrétaire exécutive présentant un rapport de synthèse sur les programmes de coopération technique et scientifique (CBD/COP/15/12)</w:t>
      </w:r>
      <w:r>
        <w:rPr>
          <w:bCs/>
          <w:snapToGrid w:val="0"/>
          <w:szCs w:val="22"/>
        </w:rPr>
        <w:t>.</w:t>
      </w:r>
    </w:p>
    <w:p w14:paraId="17D62838" w14:textId="51EA4E7D" w:rsidR="00C73271" w:rsidRPr="004C2446" w:rsidRDefault="00C73271" w:rsidP="00130760">
      <w:pPr>
        <w:numPr>
          <w:ilvl w:val="0"/>
          <w:numId w:val="21"/>
        </w:numPr>
        <w:spacing w:after="120"/>
        <w:rPr>
          <w:szCs w:val="22"/>
        </w:rPr>
      </w:pPr>
      <w:r>
        <w:t>Le groupe de travail a convenu de mettre sur pied un groupe de contact, co-présidé par Laura Bermúdez (Colombie) et Hayo Haanstra (Pays-Bas), pour qu’il prépare un projet de décision révisé, y compris ses annexes, à des fins d’examen par le groupe de travail.</w:t>
      </w:r>
    </w:p>
    <w:p w14:paraId="0493107E" w14:textId="77777777" w:rsidR="007C58D0" w:rsidRPr="004C2446" w:rsidRDefault="007C58D0" w:rsidP="007C58D0">
      <w:pPr>
        <w:numPr>
          <w:ilvl w:val="0"/>
          <w:numId w:val="21"/>
        </w:numPr>
        <w:spacing w:after="120"/>
        <w:rPr>
          <w:szCs w:val="22"/>
        </w:rPr>
      </w:pPr>
      <w:r>
        <w:t>[</w:t>
      </w:r>
      <w:r>
        <w:rPr>
          <w:i/>
          <w:iCs/>
          <w:szCs w:val="22"/>
        </w:rPr>
        <w:t>à terminer</w:t>
      </w:r>
      <w:r>
        <w:t>]</w:t>
      </w:r>
    </w:p>
    <w:p w14:paraId="50296B96" w14:textId="128F25DC" w:rsidR="0061275F" w:rsidRPr="004C2446" w:rsidRDefault="00DB4BFE" w:rsidP="001A10F2">
      <w:pPr>
        <w:pStyle w:val="Titre3"/>
        <w:shd w:val="clear" w:color="auto" w:fill="C2D69B" w:themeFill="accent3" w:themeFillTint="99"/>
        <w:rPr>
          <w:snapToGrid w:val="0"/>
        </w:rPr>
      </w:pPr>
      <w:r>
        <w:rPr>
          <w:snapToGrid w:val="0"/>
        </w:rPr>
        <w:t>Point 13 B.</w:t>
      </w:r>
      <w:r>
        <w:rPr>
          <w:snapToGrid w:val="0"/>
        </w:rPr>
        <w:tab/>
        <w:t>Gestion des connaissances</w:t>
      </w:r>
    </w:p>
    <w:p w14:paraId="3B2788B1" w14:textId="7E1A8EB6" w:rsidR="00A35C6E" w:rsidRPr="004C2446" w:rsidRDefault="00D83A7D" w:rsidP="00A35C6E">
      <w:pPr>
        <w:numPr>
          <w:ilvl w:val="0"/>
          <w:numId w:val="21"/>
        </w:numPr>
        <w:spacing w:after="120"/>
        <w:rPr>
          <w:szCs w:val="22"/>
        </w:rPr>
      </w:pPr>
      <w:r>
        <w:rPr>
          <w:color w:val="000000"/>
        </w:rPr>
        <w:t>Le groupe de travail I s’est penché sur le sous-point</w:t>
      </w:r>
      <w:r w:rsidR="00121438">
        <w:rPr>
          <w:color w:val="000000"/>
        </w:rPr>
        <w:t> </w:t>
      </w:r>
      <w:r>
        <w:rPr>
          <w:color w:val="000000"/>
        </w:rPr>
        <w:t>COP-13 B lors de sa première réunion, le 7</w:t>
      </w:r>
      <w:r w:rsidR="00121438">
        <w:rPr>
          <w:color w:val="000000"/>
        </w:rPr>
        <w:t> </w:t>
      </w:r>
      <w:r>
        <w:rPr>
          <w:color w:val="000000"/>
        </w:rPr>
        <w:t xml:space="preserve">décembre. </w:t>
      </w:r>
      <w:r>
        <w:t>Dans le cadre de l’examen de ce sous-point, le groupe de travail était saisi d’un projet de décision sur la gestion des connaissances, fondé sur la recommandation 3/10 de l’Organe subsidiaire chargé de l’application et défini dans la compilation des projets de décision (CBD/COP/15/2), ainsi que d’une note de la Secrétaire exécutive présentant un état d’avancement sur la gestion des connaissances et du Centre d’échange (CBD/COP/15/INF/9).</w:t>
      </w:r>
    </w:p>
    <w:p w14:paraId="1A745B45" w14:textId="5A3B3C6D" w:rsidR="00A35C6E" w:rsidRPr="004C2446" w:rsidRDefault="00A35C6E" w:rsidP="000E3C01">
      <w:pPr>
        <w:numPr>
          <w:ilvl w:val="0"/>
          <w:numId w:val="21"/>
        </w:numPr>
        <w:spacing w:after="120"/>
        <w:rPr>
          <w:szCs w:val="22"/>
        </w:rPr>
      </w:pPr>
      <w:r>
        <w:t>Le groupe de travail a convenu de demander au groupe de contact mis sur pied en vertu du sous-point COP-13 A d’aborder également le sous-point COP-13 B, y compris le projet de décision proposé, pour veiller à déterminer la voie à suivre, une fois qu’il aura terminé ses travaux sur le renforcement des capacités.</w:t>
      </w:r>
    </w:p>
    <w:p w14:paraId="5FE8E481" w14:textId="77777777" w:rsidR="007C58D0" w:rsidRPr="004C2446" w:rsidRDefault="007C58D0" w:rsidP="007C58D0">
      <w:pPr>
        <w:numPr>
          <w:ilvl w:val="0"/>
          <w:numId w:val="21"/>
        </w:numPr>
        <w:spacing w:after="120"/>
        <w:rPr>
          <w:szCs w:val="22"/>
        </w:rPr>
      </w:pPr>
      <w:r>
        <w:t>[</w:t>
      </w:r>
      <w:r>
        <w:rPr>
          <w:i/>
          <w:iCs/>
          <w:szCs w:val="22"/>
        </w:rPr>
        <w:t>à terminer</w:t>
      </w:r>
      <w:r>
        <w:t>]</w:t>
      </w:r>
    </w:p>
    <w:p w14:paraId="2325574E" w14:textId="04DF4105" w:rsidR="0061275F" w:rsidRPr="004C2446" w:rsidRDefault="00DB4BFE" w:rsidP="001A10F2">
      <w:pPr>
        <w:pStyle w:val="Titre3"/>
        <w:shd w:val="clear" w:color="auto" w:fill="C2D69B" w:themeFill="accent3" w:themeFillTint="99"/>
        <w:rPr>
          <w:snapToGrid w:val="0"/>
        </w:rPr>
      </w:pPr>
      <w:r>
        <w:rPr>
          <w:snapToGrid w:val="0"/>
        </w:rPr>
        <w:t>COP-Point</w:t>
      </w:r>
      <w:r w:rsidR="00121438">
        <w:rPr>
          <w:snapToGrid w:val="0"/>
        </w:rPr>
        <w:t> </w:t>
      </w:r>
      <w:r>
        <w:rPr>
          <w:snapToGrid w:val="0"/>
        </w:rPr>
        <w:t>13 C.</w:t>
      </w:r>
      <w:r>
        <w:rPr>
          <w:snapToGrid w:val="0"/>
        </w:rPr>
        <w:tab/>
        <w:t>Communication</w:t>
      </w:r>
    </w:p>
    <w:p w14:paraId="5C497827" w14:textId="6FD1B3A5" w:rsidR="008D023E" w:rsidRPr="004C2446" w:rsidRDefault="00D83A7D" w:rsidP="007C58D0">
      <w:pPr>
        <w:numPr>
          <w:ilvl w:val="0"/>
          <w:numId w:val="21"/>
        </w:numPr>
        <w:spacing w:after="120"/>
        <w:rPr>
          <w:szCs w:val="22"/>
        </w:rPr>
      </w:pPr>
      <w:r>
        <w:t>Le groupe de travail I s’est penché sur le sous-point</w:t>
      </w:r>
      <w:r w:rsidR="00121438">
        <w:t> </w:t>
      </w:r>
      <w:r>
        <w:t>COP-13 C lors de sa première réunion, le 7</w:t>
      </w:r>
      <w:r w:rsidR="00121438">
        <w:t> </w:t>
      </w:r>
      <w:r>
        <w:t>décembre, conjointement au sous-point</w:t>
      </w:r>
      <w:r w:rsidR="00121438">
        <w:t> </w:t>
      </w:r>
      <w:r>
        <w:t>COP-9 C.</w:t>
      </w:r>
    </w:p>
    <w:p w14:paraId="750BC747" w14:textId="6E3AAE9C" w:rsidR="007C58D0" w:rsidRPr="004C2446" w:rsidRDefault="007C58D0" w:rsidP="007C58D0">
      <w:pPr>
        <w:numPr>
          <w:ilvl w:val="0"/>
          <w:numId w:val="21"/>
        </w:numPr>
        <w:spacing w:after="120"/>
        <w:rPr>
          <w:szCs w:val="22"/>
        </w:rPr>
      </w:pPr>
      <w:r>
        <w:t>[</w:t>
      </w:r>
      <w:r>
        <w:rPr>
          <w:i/>
          <w:iCs/>
          <w:szCs w:val="22"/>
        </w:rPr>
        <w:t>à terminer</w:t>
      </w:r>
      <w:r>
        <w:t>]</w:t>
      </w:r>
    </w:p>
    <w:p w14:paraId="379BC03A" w14:textId="2ADDA5F2" w:rsidR="0061275F" w:rsidRPr="004C2446" w:rsidRDefault="00645579" w:rsidP="001A10F2">
      <w:pPr>
        <w:pStyle w:val="Titre2"/>
        <w:shd w:val="clear" w:color="auto" w:fill="C2D69B" w:themeFill="accent3" w:themeFillTint="99"/>
        <w:spacing w:before="240"/>
        <w:rPr>
          <w:b w:val="0"/>
          <w:bCs w:val="0"/>
          <w:i/>
          <w:iCs w:val="0"/>
        </w:rPr>
      </w:pPr>
      <w:r>
        <w:t>COP-Point</w:t>
      </w:r>
      <w:r w:rsidR="00121438">
        <w:t> </w:t>
      </w:r>
      <w:r>
        <w:t xml:space="preserve">14. </w:t>
      </w:r>
      <w:r>
        <w:tab/>
      </w:r>
      <w:r w:rsidR="009D5A4B">
        <w:t> </w:t>
      </w:r>
      <w:r>
        <w:t>Mécanismes de planification, d’établissement de rapports et d’examen</w:t>
      </w:r>
    </w:p>
    <w:p w14:paraId="1F902BED" w14:textId="384CBB80" w:rsidR="000E3C01" w:rsidRPr="004C2446" w:rsidRDefault="00D83A7D" w:rsidP="000E3C01">
      <w:pPr>
        <w:numPr>
          <w:ilvl w:val="0"/>
          <w:numId w:val="21"/>
        </w:numPr>
        <w:spacing w:after="120"/>
        <w:rPr>
          <w:szCs w:val="22"/>
        </w:rPr>
      </w:pPr>
      <w:r>
        <w:rPr>
          <w:color w:val="000000"/>
        </w:rPr>
        <w:t>Le groupe de travail I s’est penché sur le sous-point</w:t>
      </w:r>
      <w:r w:rsidR="00121438">
        <w:rPr>
          <w:color w:val="000000"/>
        </w:rPr>
        <w:t> </w:t>
      </w:r>
      <w:r>
        <w:rPr>
          <w:color w:val="000000"/>
        </w:rPr>
        <w:t>COP-14 lors de sa première réunion, le 7</w:t>
      </w:r>
      <w:r w:rsidR="00121438">
        <w:rPr>
          <w:color w:val="000000"/>
        </w:rPr>
        <w:t> </w:t>
      </w:r>
      <w:r>
        <w:rPr>
          <w:color w:val="000000"/>
        </w:rPr>
        <w:t>décembre. Dans le cadre de l’examen de ce sous-point, le groupe de travail était saisi d’un projet de décision sur les mécanismes de planification, d’établissement de rapports et d’examen, qui était fondé sur la</w:t>
      </w:r>
      <w:r>
        <w:t> recommandation 3/11 de l’Organe subsidiaire chargé de l’application et défini dans la compilation des projets de décision (CBD/COP/15/2).</w:t>
      </w:r>
    </w:p>
    <w:p w14:paraId="31D0FFFE" w14:textId="6DDB31F4" w:rsidR="000E3C01" w:rsidRPr="004C2446" w:rsidRDefault="000E3C01" w:rsidP="00D157B8">
      <w:pPr>
        <w:numPr>
          <w:ilvl w:val="0"/>
          <w:numId w:val="21"/>
        </w:numPr>
        <w:spacing w:after="120"/>
        <w:rPr>
          <w:szCs w:val="22"/>
        </w:rPr>
      </w:pPr>
      <w:r>
        <w:t>Le groupe de travail a convenu de mettre sur pied un groupe de contact, co-présidé par Gillian Guthrie (Jamaïque) et Andrew Stott (Royaume-Uni de Grande-Bretagne et d</w:t>
      </w:r>
      <w:r w:rsidR="00121438">
        <w:t>’</w:t>
      </w:r>
      <w:r>
        <w:t xml:space="preserve">Irlande du Nord), pour qu’il prépare un projet de décision révisé à des fins d’examen par le groupe de travail. </w:t>
      </w:r>
    </w:p>
    <w:p w14:paraId="45309D35" w14:textId="77777777" w:rsidR="007C58D0" w:rsidRPr="004C2446" w:rsidRDefault="007C58D0" w:rsidP="007C58D0">
      <w:pPr>
        <w:numPr>
          <w:ilvl w:val="0"/>
          <w:numId w:val="21"/>
        </w:numPr>
        <w:spacing w:after="120"/>
        <w:rPr>
          <w:szCs w:val="22"/>
        </w:rPr>
      </w:pPr>
      <w:r>
        <w:t>[</w:t>
      </w:r>
      <w:r>
        <w:rPr>
          <w:i/>
          <w:iCs/>
          <w:szCs w:val="22"/>
        </w:rPr>
        <w:t>à terminer</w:t>
      </w:r>
      <w:r>
        <w:t>]</w:t>
      </w:r>
    </w:p>
    <w:p w14:paraId="0846D851" w14:textId="30B5006A" w:rsidR="0061275F" w:rsidRPr="004C2446" w:rsidRDefault="00AC7C52" w:rsidP="006A5104">
      <w:pPr>
        <w:keepNext/>
        <w:keepLines/>
        <w:shd w:val="clear" w:color="auto" w:fill="C2D69B" w:themeFill="accent3" w:themeFillTint="99"/>
        <w:spacing w:before="240" w:after="140"/>
        <w:jc w:val="center"/>
        <w:outlineLvl w:val="1"/>
        <w:rPr>
          <w:b/>
          <w:bCs/>
          <w:i/>
          <w:iCs/>
        </w:rPr>
      </w:pPr>
      <w:r>
        <w:rPr>
          <w:b/>
          <w:bCs/>
        </w:rPr>
        <w:t>COP-Point</w:t>
      </w:r>
      <w:r w:rsidR="00121438">
        <w:rPr>
          <w:b/>
          <w:bCs/>
        </w:rPr>
        <w:t> </w:t>
      </w:r>
      <w:r>
        <w:rPr>
          <w:b/>
          <w:bCs/>
        </w:rPr>
        <w:t>15.</w:t>
      </w:r>
      <w:r>
        <w:rPr>
          <w:b/>
          <w:bCs/>
        </w:rPr>
        <w:tab/>
      </w:r>
      <w:r w:rsidR="009D5A4B">
        <w:rPr>
          <w:b/>
          <w:bCs/>
        </w:rPr>
        <w:t> </w:t>
      </w:r>
      <w:r>
        <w:rPr>
          <w:b/>
          <w:bCs/>
          <w:szCs w:val="22"/>
        </w:rPr>
        <w:t>Coopération avec les autres conventions et les organisations internationales</w:t>
      </w:r>
    </w:p>
    <w:p w14:paraId="6196138E" w14:textId="486A45CC" w:rsidR="00FF79BE" w:rsidRPr="004C2446" w:rsidRDefault="00C41C95" w:rsidP="006A5104">
      <w:pPr>
        <w:pStyle w:val="Titre3"/>
        <w:shd w:val="clear" w:color="auto" w:fill="C2D69B" w:themeFill="accent3" w:themeFillTint="99"/>
        <w:rPr>
          <w:snapToGrid w:val="0"/>
        </w:rPr>
      </w:pPr>
      <w:r>
        <w:t>Point 15 B.</w:t>
      </w:r>
      <w:r>
        <w:tab/>
        <w:t>Coopération avec les autres conventions et les organisations internationales</w:t>
      </w:r>
    </w:p>
    <w:p w14:paraId="4481A589" w14:textId="15FE38FF" w:rsidR="000E3C01" w:rsidRPr="004C2446" w:rsidRDefault="00D83A7D" w:rsidP="000E3C01">
      <w:pPr>
        <w:numPr>
          <w:ilvl w:val="0"/>
          <w:numId w:val="21"/>
        </w:numPr>
        <w:spacing w:after="120"/>
        <w:rPr>
          <w:szCs w:val="22"/>
        </w:rPr>
      </w:pPr>
      <w:r>
        <w:rPr>
          <w:color w:val="000000"/>
        </w:rPr>
        <w:t>Le groupe de travail I s’est penché sur le sous-point</w:t>
      </w:r>
      <w:r w:rsidR="00121438">
        <w:rPr>
          <w:color w:val="000000"/>
        </w:rPr>
        <w:t> </w:t>
      </w:r>
      <w:r>
        <w:rPr>
          <w:color w:val="000000"/>
        </w:rPr>
        <w:t>COP-15 lors de sa première réunion, le 7</w:t>
      </w:r>
      <w:r w:rsidR="00121438">
        <w:rPr>
          <w:color w:val="000000"/>
        </w:rPr>
        <w:t> </w:t>
      </w:r>
      <w:r>
        <w:rPr>
          <w:color w:val="000000"/>
        </w:rPr>
        <w:t xml:space="preserve">décembre. </w:t>
      </w:r>
      <w:r>
        <w:t>Dans le cadre de l’examen de ce point, le groupe de travail était saisi d’un projet de décision fondé sur la recommandation 3/12 de l’Organe subsidiaire chargé de l’application et défini dans la compilation des projets de décision (CBD/COP/15/2), ainsi que d’une note de la Secrétaire exécutive sur les documents d’information soumis par les organisations partenaires (CBD/COP/15/14).</w:t>
      </w:r>
    </w:p>
    <w:p w14:paraId="05EFC03A" w14:textId="285840D2" w:rsidR="000E3C01" w:rsidRPr="004C2446" w:rsidRDefault="00D157B8" w:rsidP="000E3C01">
      <w:pPr>
        <w:numPr>
          <w:ilvl w:val="0"/>
          <w:numId w:val="21"/>
        </w:numPr>
        <w:spacing w:after="120"/>
        <w:rPr>
          <w:szCs w:val="22"/>
        </w:rPr>
      </w:pPr>
      <w:r>
        <w:t xml:space="preserve">Le groupe de travail a entendu de brefs exposés par des représentants de secrétariats de conventions et organisations dont les organes directeurs s’étaient récemment réunis et avaient abordé des questions présentant un intérêt pour leur coopération avec la Convention et pour le cadre mondial de la biodiversité pour l’après-2020, à savoir la Convention sur le commerce international des espèces de faune et de flore </w:t>
      </w:r>
      <w:r>
        <w:lastRenderedPageBreak/>
        <w:t>sauvages menacées d</w:t>
      </w:r>
      <w:r w:rsidR="00121438">
        <w:t>’</w:t>
      </w:r>
      <w:r>
        <w:t>extinction; la Convention relative aux zones humides d</w:t>
      </w:r>
      <w:r w:rsidR="00121438">
        <w:t>’</w:t>
      </w:r>
      <w:r>
        <w:t>importance internationale particulièrement comme habitats de la sauvagine; la Convention-cadre sur la protection et le développement durable des Carpates; le Traité international sur les ressources phytogénétiques pour l</w:t>
      </w:r>
      <w:r w:rsidR="00121438">
        <w:t>’</w:t>
      </w:r>
      <w:r>
        <w:t>alimentation et l</w:t>
      </w:r>
      <w:r w:rsidR="00121438">
        <w:t>’</w:t>
      </w:r>
      <w:r>
        <w:t>agriculture; la Commission Baleinière Internationale; et la Convention des Nations Unies sur la lutte contre la désertification dans les pays gravement touchés par la sécheresse et/ou la désertification, en particulier en Afrique.</w:t>
      </w:r>
    </w:p>
    <w:p w14:paraId="64853AF1" w14:textId="0E2D9716" w:rsidR="00D157B8" w:rsidRPr="004C2446" w:rsidRDefault="00D157B8" w:rsidP="00D157B8">
      <w:pPr>
        <w:numPr>
          <w:ilvl w:val="0"/>
          <w:numId w:val="21"/>
        </w:numPr>
        <w:spacing w:after="120"/>
        <w:rPr>
          <w:szCs w:val="22"/>
        </w:rPr>
      </w:pPr>
      <w:r>
        <w:t>Une déclaration a été faite par le représentant du Japon.</w:t>
      </w:r>
    </w:p>
    <w:p w14:paraId="49558C64" w14:textId="4CE205CE" w:rsidR="00CF6834" w:rsidRPr="004C2446" w:rsidRDefault="00CF6834" w:rsidP="00CF6834">
      <w:pPr>
        <w:numPr>
          <w:ilvl w:val="0"/>
          <w:numId w:val="21"/>
        </w:numPr>
        <w:spacing w:after="120"/>
        <w:rPr>
          <w:szCs w:val="22"/>
        </w:rPr>
      </w:pPr>
      <w:r>
        <w:t>Le groupe de travail a convenu que le président mènera des consultations informelles au sujet des quelques enjeux restants et préparera un projet de décision révisé pour examen par le groupe de travail.</w:t>
      </w:r>
    </w:p>
    <w:p w14:paraId="17DE8FA1" w14:textId="13C6CF25" w:rsidR="00341587" w:rsidRPr="004B5989" w:rsidRDefault="00341587" w:rsidP="00341587">
      <w:pPr>
        <w:pStyle w:val="Para1"/>
      </w:pPr>
      <w:r>
        <w:t>Lors de sa troisième réunion, le 17 décembre 2022, le groupe de travail a examiné le projet de décision révisé proposé par le président et l’a approuvé, tel que modifié oralement, à des fins de transmission à la séance plénière au titre du projet de décision CBD/COP/15/L.</w:t>
      </w:r>
      <w:r w:rsidR="00B541D6">
        <w:t>21</w:t>
      </w:r>
      <w:r>
        <w:t>.</w:t>
      </w:r>
    </w:p>
    <w:p w14:paraId="37300B0E" w14:textId="4D170C17" w:rsidR="004044AE" w:rsidRPr="004C2446" w:rsidRDefault="00832B82" w:rsidP="0034236F">
      <w:pPr>
        <w:keepNext/>
        <w:shd w:val="clear" w:color="auto" w:fill="C2D69B" w:themeFill="accent3" w:themeFillTint="99"/>
        <w:spacing w:before="240" w:after="140"/>
        <w:jc w:val="center"/>
        <w:outlineLvl w:val="1"/>
        <w:rPr>
          <w:b/>
          <w:bCs/>
          <w:szCs w:val="22"/>
        </w:rPr>
      </w:pPr>
      <w:r>
        <w:rPr>
          <w:b/>
          <w:bCs/>
          <w:szCs w:val="22"/>
        </w:rPr>
        <w:t>COP-Point</w:t>
      </w:r>
      <w:r w:rsidR="00121438">
        <w:rPr>
          <w:b/>
          <w:bCs/>
          <w:szCs w:val="22"/>
        </w:rPr>
        <w:t> </w:t>
      </w:r>
      <w:r>
        <w:rPr>
          <w:b/>
          <w:bCs/>
          <w:szCs w:val="22"/>
        </w:rPr>
        <w:t xml:space="preserve">16. </w:t>
      </w:r>
      <w:r>
        <w:rPr>
          <w:b/>
          <w:bCs/>
          <w:szCs w:val="22"/>
        </w:rPr>
        <w:tab/>
      </w:r>
      <w:r w:rsidR="009D5A4B">
        <w:rPr>
          <w:b/>
          <w:bCs/>
          <w:szCs w:val="22"/>
        </w:rPr>
        <w:t> </w:t>
      </w:r>
      <w:r>
        <w:rPr>
          <w:b/>
          <w:bCs/>
          <w:szCs w:val="22"/>
        </w:rPr>
        <w:t>Intégration de la biodiversité dans les secteurs et entre eux</w:t>
      </w:r>
    </w:p>
    <w:p w14:paraId="70344FFC" w14:textId="493B346D" w:rsidR="009450C5" w:rsidRPr="004C2446" w:rsidRDefault="00720771" w:rsidP="006A5104">
      <w:pPr>
        <w:pStyle w:val="Titre3"/>
        <w:shd w:val="clear" w:color="auto" w:fill="C2D69B" w:themeFill="accent3" w:themeFillTint="99"/>
        <w:ind w:left="1701" w:hanging="1275"/>
        <w:jc w:val="left"/>
        <w:rPr>
          <w:rFonts w:eastAsia="DengXian"/>
        </w:rPr>
      </w:pPr>
      <w:r>
        <w:t xml:space="preserve">Point 16 A. </w:t>
      </w:r>
      <w:r>
        <w:tab/>
        <w:t>Intégration de la biodiversité dans les secteurs et entre eux</w:t>
      </w:r>
      <w:r w:rsidR="008E7FEE">
        <w:t> : a</w:t>
      </w:r>
      <w:r>
        <w:t xml:space="preserve">pproche </w:t>
      </w:r>
      <w:r w:rsidR="00121438">
        <w:t>stratégique</w:t>
      </w:r>
      <w:r>
        <w:t xml:space="preserve"> à long terme de l’intégration de la biodiversité</w:t>
      </w:r>
    </w:p>
    <w:p w14:paraId="504C706A" w14:textId="48A853E9" w:rsidR="00CF6834" w:rsidRPr="004C2446" w:rsidRDefault="00D83A7D" w:rsidP="00A81C42">
      <w:pPr>
        <w:numPr>
          <w:ilvl w:val="0"/>
          <w:numId w:val="21"/>
        </w:numPr>
        <w:spacing w:after="120"/>
        <w:rPr>
          <w:szCs w:val="22"/>
        </w:rPr>
      </w:pPr>
      <w:r>
        <w:rPr>
          <w:color w:val="000000"/>
        </w:rPr>
        <w:t>Le groupe de travail I s’est penché sur le sous-point</w:t>
      </w:r>
      <w:r w:rsidR="00121438">
        <w:rPr>
          <w:color w:val="000000"/>
        </w:rPr>
        <w:t> </w:t>
      </w:r>
      <w:r>
        <w:rPr>
          <w:color w:val="000000"/>
        </w:rPr>
        <w:t>COP-16 A lors de sa première réunion, le 7</w:t>
      </w:r>
      <w:r w:rsidR="00121438">
        <w:rPr>
          <w:color w:val="000000"/>
        </w:rPr>
        <w:t> </w:t>
      </w:r>
      <w:r>
        <w:rPr>
          <w:color w:val="000000"/>
        </w:rPr>
        <w:t xml:space="preserve">décembre. </w:t>
      </w:r>
      <w:r>
        <w:t>Dans le cadre de l’examen de ce sous-point, le groupe de travail était saisi d’un projet de décision sur une approche stratégique à long terme de l’intégration de la biodiversité, fondé sur la recommandation 3/15 de l’Organe subsidiaire chargé de l’application et défini dans la compilation des projets de décision (CBD/COP/15/2), ainsi que de trois documents d’information présentant des compilations des communications reçues des Parties et des observateurs de l’approche stratégique à long terme de l’intégration de la biodiversité et du plan d’action facultatif pour compléter cette approche (CBD/COP/15/INF/10, CBD/COP/15/INF/11 et CBD/COP/15/INF/12).</w:t>
      </w:r>
    </w:p>
    <w:p w14:paraId="7099EC92" w14:textId="58739080" w:rsidR="00CF6834" w:rsidRPr="004C2446" w:rsidRDefault="00CF6834" w:rsidP="00CF6834">
      <w:pPr>
        <w:numPr>
          <w:ilvl w:val="0"/>
          <w:numId w:val="21"/>
        </w:numPr>
        <w:spacing w:after="120"/>
        <w:rPr>
          <w:szCs w:val="22"/>
        </w:rPr>
      </w:pPr>
      <w:r>
        <w:t>Le groupe de travail a convenu de mettre sur pied un groupe de contact</w:t>
      </w:r>
      <w:r w:rsidR="00BB0FA9">
        <w:t xml:space="preserve">, co-présidé par </w:t>
      </w:r>
      <w:r w:rsidR="00BB0FA9" w:rsidRPr="00BB0FA9">
        <w:rPr>
          <w:szCs w:val="22"/>
        </w:rPr>
        <w:t>Carlos Albuquerque (</w:t>
      </w:r>
      <w:r w:rsidR="00B541D6">
        <w:rPr>
          <w:szCs w:val="22"/>
        </w:rPr>
        <w:t>Portugal</w:t>
      </w:r>
      <w:r w:rsidR="00BB0FA9" w:rsidRPr="00BB0FA9">
        <w:rPr>
          <w:szCs w:val="22"/>
        </w:rPr>
        <w:t xml:space="preserve">) </w:t>
      </w:r>
      <w:r w:rsidR="00BB0FA9">
        <w:rPr>
          <w:szCs w:val="22"/>
        </w:rPr>
        <w:t>et</w:t>
      </w:r>
      <w:r w:rsidR="00BB0FA9" w:rsidRPr="00BB0FA9">
        <w:rPr>
          <w:szCs w:val="22"/>
        </w:rPr>
        <w:t xml:space="preserve"> Stanislas </w:t>
      </w:r>
      <w:proofErr w:type="spellStart"/>
      <w:r w:rsidR="00BB0FA9" w:rsidRPr="00BB0FA9">
        <w:rPr>
          <w:szCs w:val="22"/>
        </w:rPr>
        <w:t>Mouba</w:t>
      </w:r>
      <w:proofErr w:type="spellEnd"/>
      <w:r w:rsidR="00BB0FA9" w:rsidRPr="00BB0FA9">
        <w:rPr>
          <w:szCs w:val="22"/>
        </w:rPr>
        <w:t xml:space="preserve"> (Gabon)</w:t>
      </w:r>
      <w:r w:rsidR="00BB0FA9">
        <w:rPr>
          <w:szCs w:val="22"/>
        </w:rPr>
        <w:t>,</w:t>
      </w:r>
      <w:r>
        <w:t xml:space="preserve"> ayant pour mandat de discuter de cette question et de préparer une proposition sur la voie à suivre.</w:t>
      </w:r>
    </w:p>
    <w:p w14:paraId="36FB3CC9" w14:textId="77777777" w:rsidR="007C58D0" w:rsidRPr="004C2446" w:rsidRDefault="007C58D0" w:rsidP="007C58D0">
      <w:pPr>
        <w:numPr>
          <w:ilvl w:val="0"/>
          <w:numId w:val="21"/>
        </w:numPr>
        <w:spacing w:after="120"/>
        <w:rPr>
          <w:szCs w:val="22"/>
        </w:rPr>
      </w:pPr>
      <w:r>
        <w:t>[</w:t>
      </w:r>
      <w:r>
        <w:rPr>
          <w:i/>
          <w:iCs/>
          <w:szCs w:val="22"/>
        </w:rPr>
        <w:t>à terminer</w:t>
      </w:r>
      <w:r>
        <w:t>]</w:t>
      </w:r>
    </w:p>
    <w:p w14:paraId="3EA2BB26" w14:textId="1391F602" w:rsidR="00735756" w:rsidRPr="004C2446" w:rsidRDefault="00D8487C" w:rsidP="006A5104">
      <w:pPr>
        <w:pStyle w:val="Titre3"/>
        <w:shd w:val="clear" w:color="auto" w:fill="C2D69B" w:themeFill="accent3" w:themeFillTint="99"/>
        <w:ind w:left="1985" w:hanging="1418"/>
        <w:jc w:val="left"/>
        <w:rPr>
          <w:rFonts w:eastAsia="DengXian"/>
        </w:rPr>
      </w:pPr>
      <w:r>
        <w:t xml:space="preserve">Point 16 B. </w:t>
      </w:r>
      <w:bookmarkStart w:id="6" w:name="_Hlk103362762"/>
      <w:r>
        <w:tab/>
        <w:t>Collaboration avec les autorités infranationales, les municipalités et les autres autorités locales en vue de renforcer la mise en œuvre du Cadre mondial de la biodiversité pour l’après-2020</w:t>
      </w:r>
      <w:bookmarkEnd w:id="6"/>
    </w:p>
    <w:p w14:paraId="138EA4DE" w14:textId="539CA7B7" w:rsidR="00CF6834" w:rsidRPr="004C2446" w:rsidRDefault="00D83A7D" w:rsidP="005F76E5">
      <w:pPr>
        <w:numPr>
          <w:ilvl w:val="0"/>
          <w:numId w:val="21"/>
        </w:numPr>
        <w:spacing w:after="120"/>
        <w:rPr>
          <w:szCs w:val="22"/>
        </w:rPr>
      </w:pPr>
      <w:r>
        <w:rPr>
          <w:color w:val="000000"/>
        </w:rPr>
        <w:t>Le groupe de travail I s’est penché sur le sous-point</w:t>
      </w:r>
      <w:r w:rsidR="00121438">
        <w:rPr>
          <w:color w:val="000000"/>
        </w:rPr>
        <w:t> </w:t>
      </w:r>
      <w:r>
        <w:rPr>
          <w:color w:val="000000"/>
        </w:rPr>
        <w:t>COP-16 B lors de sa première réunion, le 7</w:t>
      </w:r>
      <w:r w:rsidR="00121438">
        <w:rPr>
          <w:color w:val="000000"/>
        </w:rPr>
        <w:t> </w:t>
      </w:r>
      <w:r>
        <w:rPr>
          <w:color w:val="000000"/>
        </w:rPr>
        <w:t>décembre. Dans le cadre de l’examen de ce sous-point, le groupe de travail était saisi d’un projet de décision sur la question, qui était fondé sur la</w:t>
      </w:r>
      <w:r>
        <w:t xml:space="preserve"> recommandation 3/14 de l’Organe subsidiaire chargé de l’application et défini dans la compilation des projets de décision (CBD/COP/15/2). </w:t>
      </w:r>
    </w:p>
    <w:p w14:paraId="29FF3175" w14:textId="52E3D263" w:rsidR="00CF6834" w:rsidRPr="004C2446" w:rsidRDefault="00CF6834" w:rsidP="000B60AC">
      <w:pPr>
        <w:numPr>
          <w:ilvl w:val="0"/>
          <w:numId w:val="21"/>
        </w:numPr>
        <w:spacing w:after="120"/>
        <w:rPr>
          <w:szCs w:val="22"/>
        </w:rPr>
      </w:pPr>
      <w:r>
        <w:t>Le groupe de travail a convenu que le président mènera des consultations informelles au sujet des quelques enjeux restants et préparera un projet de décision révisé pour examen par le groupe de travail.</w:t>
      </w:r>
    </w:p>
    <w:p w14:paraId="6203AD2A" w14:textId="1A9BC297" w:rsidR="00341587" w:rsidRPr="004B5989" w:rsidRDefault="00341587" w:rsidP="00341587">
      <w:pPr>
        <w:pStyle w:val="Para1"/>
      </w:pPr>
      <w:r>
        <w:t>Lors de sa troisième réunion, le 17 décembre 2022, le groupe de travail a examiné le projet de décision révisé proposé par le président et l’a approuvé, tel que modifié oralement, à des fins de transmission à la séance plénière au titre du projet de décision CBD/COP/15/L.</w:t>
      </w:r>
      <w:r w:rsidR="00B541D6">
        <w:t>22</w:t>
      </w:r>
      <w:r>
        <w:t>.</w:t>
      </w:r>
    </w:p>
    <w:p w14:paraId="62CE40C8" w14:textId="1AF1683B" w:rsidR="0076553E" w:rsidRPr="004C2446" w:rsidRDefault="00314FA7" w:rsidP="0076553E">
      <w:pPr>
        <w:tabs>
          <w:tab w:val="left" w:pos="360"/>
        </w:tabs>
        <w:spacing w:after="120"/>
        <w:rPr>
          <w:rFonts w:eastAsia="DengXian"/>
        </w:rPr>
      </w:pPr>
      <w:r>
        <w:rPr>
          <w:rFonts w:eastAsia="DengXian"/>
        </w:rPr>
        <w:t xml:space="preserve"> </w:t>
      </w:r>
      <w:r w:rsidR="00C147DE">
        <w:rPr>
          <w:rFonts w:eastAsia="DengXian"/>
        </w:rPr>
        <w:t xml:space="preserve"> </w:t>
      </w:r>
    </w:p>
    <w:sectPr w:rsidR="0076553E" w:rsidRPr="004C2446" w:rsidSect="0090075A">
      <w:headerReference w:type="even" r:id="rId15"/>
      <w:headerReference w:type="default" r:id="rId16"/>
      <w:pgSz w:w="12240" w:h="15840"/>
      <w:pgMar w:top="567"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DEA8B1" w14:textId="77777777" w:rsidR="00020B55" w:rsidRDefault="00020B55" w:rsidP="00CF1848">
      <w:r>
        <w:separator/>
      </w:r>
    </w:p>
  </w:endnote>
  <w:endnote w:type="continuationSeparator" w:id="0">
    <w:p w14:paraId="661B7A09" w14:textId="77777777" w:rsidR="00020B55" w:rsidRDefault="00020B55" w:rsidP="00CF1848">
      <w:r>
        <w:continuationSeparator/>
      </w:r>
    </w:p>
  </w:endnote>
  <w:endnote w:type="continuationNotice" w:id="1">
    <w:p w14:paraId="09362965" w14:textId="77777777" w:rsidR="00020B55" w:rsidRDefault="00020B5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Univers">
    <w:altName w:val="Univers"/>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02DFC5" w14:textId="77777777" w:rsidR="00020B55" w:rsidRDefault="00020B55" w:rsidP="00CF1848">
      <w:r>
        <w:separator/>
      </w:r>
    </w:p>
  </w:footnote>
  <w:footnote w:type="continuationSeparator" w:id="0">
    <w:p w14:paraId="388FBE26" w14:textId="77777777" w:rsidR="00020B55" w:rsidRDefault="00020B55" w:rsidP="00CF1848">
      <w:r>
        <w:continuationSeparator/>
      </w:r>
    </w:p>
  </w:footnote>
  <w:footnote w:type="continuationNotice" w:id="1">
    <w:p w14:paraId="79B4EEFC" w14:textId="77777777" w:rsidR="00020B55" w:rsidRDefault="00020B5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noProof/>
        <w:lang w:val="en-US"/>
      </w:rPr>
      <w:alias w:val="Objet"/>
      <w:tag w:val=""/>
      <w:id w:val="-1885015078"/>
      <w:placeholder>
        <w:docPart w:val="B91F815427754D9BA6571111AFF15602"/>
      </w:placeholder>
      <w:dataBinding w:prefixMappings="xmlns:ns0='http://purl.org/dc/elements/1.1/' xmlns:ns1='http://schemas.openxmlformats.org/package/2006/metadata/core-properties' " w:xpath="/ns1:coreProperties[1]/ns0:subject[1]" w:storeItemID="{6C3C8BC8-F283-45AE-878A-BAB7291924A1}"/>
      <w:text/>
    </w:sdtPr>
    <w:sdtContent>
      <w:p w14:paraId="3BC20A3F" w14:textId="1E1B02BF" w:rsidR="00534681" w:rsidRPr="00B541D6" w:rsidRDefault="00B541D6" w:rsidP="00B00053">
        <w:pPr>
          <w:pStyle w:val="En-tte"/>
          <w:tabs>
            <w:tab w:val="clear" w:pos="4320"/>
            <w:tab w:val="clear" w:pos="8640"/>
          </w:tabs>
          <w:kinsoku w:val="0"/>
          <w:overflowPunct w:val="0"/>
          <w:autoSpaceDE w:val="0"/>
          <w:autoSpaceDN w:val="0"/>
          <w:jc w:val="left"/>
          <w:rPr>
            <w:noProof/>
            <w:lang w:val="en-US"/>
          </w:rPr>
        </w:pPr>
        <w:r w:rsidRPr="00B541D6">
          <w:rPr>
            <w:noProof/>
            <w:lang w:val="en-US"/>
          </w:rPr>
          <w:t>CBD/COP/15/L.1/Add.1</w:t>
        </w:r>
      </w:p>
    </w:sdtContent>
  </w:sdt>
  <w:p w14:paraId="1E0FDE0B" w14:textId="77777777" w:rsidR="00534681" w:rsidRPr="00B541D6" w:rsidRDefault="00534681" w:rsidP="00B00053">
    <w:pPr>
      <w:pStyle w:val="En-tte"/>
      <w:tabs>
        <w:tab w:val="clear" w:pos="4320"/>
        <w:tab w:val="clear" w:pos="8640"/>
      </w:tabs>
      <w:kinsoku w:val="0"/>
      <w:overflowPunct w:val="0"/>
      <w:autoSpaceDE w:val="0"/>
      <w:autoSpaceDN w:val="0"/>
      <w:jc w:val="left"/>
      <w:rPr>
        <w:noProof/>
        <w:lang w:val="en-US"/>
      </w:rPr>
    </w:pPr>
    <w:r w:rsidRPr="00B541D6">
      <w:rPr>
        <w:lang w:val="en-US"/>
      </w:rPr>
      <w:t xml:space="preserve">Page </w:t>
    </w:r>
    <w:r w:rsidRPr="00B00053">
      <w:fldChar w:fldCharType="begin"/>
    </w:r>
    <w:r w:rsidRPr="00B541D6">
      <w:rPr>
        <w:lang w:val="en-US"/>
      </w:rPr>
      <w:instrText xml:space="preserve"> PAGE   \* MERGEFORMAT </w:instrText>
    </w:r>
    <w:r w:rsidRPr="00B00053">
      <w:fldChar w:fldCharType="separate"/>
    </w:r>
    <w:r w:rsidR="00F6586C" w:rsidRPr="00B541D6">
      <w:rPr>
        <w:lang w:val="en-US"/>
      </w:rPr>
      <w:t>2</w:t>
    </w:r>
    <w:r w:rsidRPr="00B00053">
      <w:fldChar w:fldCharType="end"/>
    </w:r>
  </w:p>
  <w:p w14:paraId="61C60697" w14:textId="77777777" w:rsidR="00534681" w:rsidRPr="00B541D6" w:rsidRDefault="00534681" w:rsidP="00B00053">
    <w:pPr>
      <w:pStyle w:val="En-tte"/>
      <w:tabs>
        <w:tab w:val="clear" w:pos="4320"/>
        <w:tab w:val="clear" w:pos="8640"/>
      </w:tabs>
      <w:kinsoku w:val="0"/>
      <w:overflowPunct w:val="0"/>
      <w:autoSpaceDE w:val="0"/>
      <w:autoSpaceDN w:val="0"/>
      <w:jc w:val="left"/>
      <w:rPr>
        <w:noProof/>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noProof/>
        <w:lang w:val="en-US"/>
      </w:rPr>
      <w:alias w:val="Objet"/>
      <w:tag w:val=""/>
      <w:id w:val="851227268"/>
      <w:placeholder>
        <w:docPart w:val="9E64A1B551BC4D48B19DB33F17A999C0"/>
      </w:placeholder>
      <w:dataBinding w:prefixMappings="xmlns:ns0='http://purl.org/dc/elements/1.1/' xmlns:ns1='http://schemas.openxmlformats.org/package/2006/metadata/core-properties' " w:xpath="/ns1:coreProperties[1]/ns0:subject[1]" w:storeItemID="{6C3C8BC8-F283-45AE-878A-BAB7291924A1}"/>
      <w:text/>
    </w:sdtPr>
    <w:sdtContent>
      <w:p w14:paraId="2C4EC37E" w14:textId="31F65350" w:rsidR="009505C9" w:rsidRPr="00B541D6" w:rsidRDefault="00B541D6" w:rsidP="00B00053">
        <w:pPr>
          <w:pStyle w:val="En-tte"/>
          <w:tabs>
            <w:tab w:val="clear" w:pos="4320"/>
            <w:tab w:val="clear" w:pos="8640"/>
          </w:tabs>
          <w:kinsoku w:val="0"/>
          <w:overflowPunct w:val="0"/>
          <w:autoSpaceDE w:val="0"/>
          <w:autoSpaceDN w:val="0"/>
          <w:jc w:val="right"/>
          <w:rPr>
            <w:noProof/>
            <w:lang w:val="en-US"/>
          </w:rPr>
        </w:pPr>
        <w:r w:rsidRPr="00B541D6">
          <w:rPr>
            <w:noProof/>
            <w:lang w:val="en-US"/>
          </w:rPr>
          <w:t>CBD/COP/15/L.1/Add.1</w:t>
        </w:r>
      </w:p>
    </w:sdtContent>
  </w:sdt>
  <w:p w14:paraId="64AE8439" w14:textId="7D41B07E" w:rsidR="009505C9" w:rsidRPr="00B541D6" w:rsidRDefault="009505C9" w:rsidP="00B00053">
    <w:pPr>
      <w:pStyle w:val="En-tte"/>
      <w:tabs>
        <w:tab w:val="clear" w:pos="4320"/>
        <w:tab w:val="clear" w:pos="8640"/>
      </w:tabs>
      <w:kinsoku w:val="0"/>
      <w:overflowPunct w:val="0"/>
      <w:autoSpaceDE w:val="0"/>
      <w:autoSpaceDN w:val="0"/>
      <w:jc w:val="right"/>
      <w:rPr>
        <w:noProof/>
        <w:lang w:val="en-US"/>
      </w:rPr>
    </w:pPr>
    <w:r w:rsidRPr="00B541D6">
      <w:rPr>
        <w:lang w:val="en-US"/>
      </w:rPr>
      <w:t>Page</w:t>
    </w:r>
    <w:r w:rsidR="00121438" w:rsidRPr="00B541D6">
      <w:rPr>
        <w:lang w:val="en-US"/>
      </w:rPr>
      <w:t> </w:t>
    </w:r>
    <w:r w:rsidRPr="00B00053">
      <w:fldChar w:fldCharType="begin"/>
    </w:r>
    <w:r w:rsidRPr="00B541D6">
      <w:rPr>
        <w:lang w:val="en-US"/>
      </w:rPr>
      <w:instrText xml:space="preserve"> PAGE   \* MERGEFORMAT </w:instrText>
    </w:r>
    <w:r w:rsidRPr="00B00053">
      <w:fldChar w:fldCharType="separate"/>
    </w:r>
    <w:r w:rsidR="00F6586C" w:rsidRPr="00B541D6">
      <w:rPr>
        <w:lang w:val="en-US"/>
      </w:rPr>
      <w:t>3</w:t>
    </w:r>
    <w:r w:rsidRPr="00B00053">
      <w:fldChar w:fldCharType="end"/>
    </w:r>
  </w:p>
  <w:p w14:paraId="16137B8A" w14:textId="77777777" w:rsidR="009505C9" w:rsidRPr="00B541D6" w:rsidRDefault="009505C9" w:rsidP="00B00053">
    <w:pPr>
      <w:pStyle w:val="En-tte"/>
      <w:tabs>
        <w:tab w:val="clear" w:pos="4320"/>
        <w:tab w:val="clear" w:pos="8640"/>
      </w:tabs>
      <w:kinsoku w:val="0"/>
      <w:overflowPunct w:val="0"/>
      <w:autoSpaceDE w:val="0"/>
      <w:autoSpaceDN w:val="0"/>
      <w:jc w:val="right"/>
      <w:rPr>
        <w:noProof/>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C29BB"/>
    <w:multiLevelType w:val="hybridMultilevel"/>
    <w:tmpl w:val="53A427DA"/>
    <w:lvl w:ilvl="0" w:tplc="A53C7FB8">
      <w:start w:val="1"/>
      <w:numFmt w:val="decimal"/>
      <w:lvlText w:val="%1."/>
      <w:lvlJc w:val="left"/>
      <w:pPr>
        <w:ind w:left="720" w:hanging="360"/>
      </w:pPr>
      <w:rPr>
        <w:i w:val="0"/>
        <w:iCs w:val="0"/>
      </w:rPr>
    </w:lvl>
    <w:lvl w:ilvl="1" w:tplc="069291EE">
      <w:start w:val="1"/>
      <w:numFmt w:val="lowerLetter"/>
      <w:lvlText w:val="(%2)"/>
      <w:lvlJc w:val="left"/>
      <w:pPr>
        <w:ind w:left="1440" w:hanging="360"/>
      </w:pPr>
      <w:rPr>
        <w:rFonts w:asciiTheme="majorBidi" w:eastAsia="Times New Roman" w:hAnsiTheme="majorBidi" w:cstheme="majorBidi" w:hint="default"/>
      </w:r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 w15:restartNumberingAfterBreak="0">
    <w:nsid w:val="07377E6A"/>
    <w:multiLevelType w:val="multilevel"/>
    <w:tmpl w:val="13D4FB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09C875DB"/>
    <w:multiLevelType w:val="hybridMultilevel"/>
    <w:tmpl w:val="6ABC0B52"/>
    <w:lvl w:ilvl="0" w:tplc="759A2078">
      <w:start w:val="1"/>
      <w:numFmt w:val="decimal"/>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9E26582"/>
    <w:multiLevelType w:val="hybridMultilevel"/>
    <w:tmpl w:val="BFC8DBAA"/>
    <w:lvl w:ilvl="0" w:tplc="AD9E164A">
      <w:start w:val="1"/>
      <w:numFmt w:val="decimal"/>
      <w:lvlText w:val="%1."/>
      <w:lvlJc w:val="left"/>
      <w:pPr>
        <w:ind w:left="720" w:hanging="360"/>
      </w:pPr>
      <w:rPr>
        <w:rFonts w:asciiTheme="majorBidi" w:hAnsiTheme="majorBidi" w:cstheme="majorBidi"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0B8510F5"/>
    <w:multiLevelType w:val="hybridMultilevel"/>
    <w:tmpl w:val="EA102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A54367"/>
    <w:multiLevelType w:val="hybridMultilevel"/>
    <w:tmpl w:val="EFBCB176"/>
    <w:lvl w:ilvl="0" w:tplc="51F0FC34">
      <w:start w:val="1"/>
      <w:numFmt w:val="upperLetter"/>
      <w:lvlText w:val="%1."/>
      <w:lvlJc w:val="left"/>
      <w:pPr>
        <w:ind w:left="785" w:hanging="360"/>
      </w:pPr>
      <w:rPr>
        <w:rFonts w:hint="default"/>
        <w:i w:val="0"/>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7" w15:restartNumberingAfterBreak="0">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20853FA3"/>
    <w:multiLevelType w:val="multilevel"/>
    <w:tmpl w:val="620D6AEB"/>
    <w:lvl w:ilvl="0">
      <w:start w:val="1"/>
      <w:numFmt w:val="decimal"/>
      <w:lvlText w:val="%1."/>
      <w:lvlJc w:val="left"/>
      <w:pPr>
        <w:tabs>
          <w:tab w:val="left" w:pos="360"/>
        </w:tabs>
        <w:ind w:left="0" w:firstLine="0"/>
      </w:pPr>
      <w:rPr>
        <w:rFonts w:ascii="Times New Roman" w:hAnsi="Times New Roman" w:cs="Times New Roman" w:hint="default"/>
        <w:b w:val="0"/>
        <w:i w:val="0"/>
        <w:color w:val="auto"/>
        <w:sz w:val="22"/>
      </w:rPr>
    </w:lvl>
    <w:lvl w:ilvl="1">
      <w:start w:val="1"/>
      <w:numFmt w:val="lowerLetter"/>
      <w:lvlText w:val="(%2)"/>
      <w:lvlJc w:val="left"/>
      <w:pPr>
        <w:tabs>
          <w:tab w:val="left" w:pos="1481"/>
        </w:tabs>
        <w:ind w:left="41" w:firstLine="720"/>
      </w:pPr>
      <w:rPr>
        <w:rFonts w:cs="Times New Roman" w:hint="default"/>
        <w:b w:val="0"/>
        <w:i w:val="0"/>
      </w:rPr>
    </w:lvl>
    <w:lvl w:ilvl="2">
      <w:start w:val="1"/>
      <w:numFmt w:val="lowerRoman"/>
      <w:lvlText w:val="(%3)"/>
      <w:lvlJc w:val="right"/>
      <w:pPr>
        <w:tabs>
          <w:tab w:val="left" w:pos="1350"/>
        </w:tabs>
        <w:ind w:left="1350" w:hanging="360"/>
      </w:pPr>
      <w:rPr>
        <w:rFonts w:cs="Times New Roman" w:hint="default"/>
      </w:rPr>
    </w:lvl>
    <w:lvl w:ilvl="3">
      <w:start w:val="1"/>
      <w:numFmt w:val="bullet"/>
      <w:lvlText w:val=""/>
      <w:lvlJc w:val="left"/>
      <w:pPr>
        <w:tabs>
          <w:tab w:val="left" w:pos="2070"/>
        </w:tabs>
        <w:ind w:left="2070" w:hanging="720"/>
      </w:pPr>
      <w:rPr>
        <w:rFonts w:ascii="Symbol" w:hAnsi="Symbol" w:hint="default"/>
        <w:color w:val="auto"/>
        <w:sz w:val="28"/>
      </w:rPr>
    </w:lvl>
    <w:lvl w:ilvl="4">
      <w:start w:val="1"/>
      <w:numFmt w:val="lowerLetter"/>
      <w:lvlText w:val="(%5)"/>
      <w:lvlJc w:val="left"/>
      <w:pPr>
        <w:tabs>
          <w:tab w:val="left" w:pos="1710"/>
        </w:tabs>
        <w:ind w:left="1710" w:hanging="360"/>
      </w:pPr>
      <w:rPr>
        <w:rFonts w:cs="Times New Roman" w:hint="default"/>
      </w:rPr>
    </w:lvl>
    <w:lvl w:ilvl="5">
      <w:start w:val="1"/>
      <w:numFmt w:val="lowerRoman"/>
      <w:lvlText w:val="(%6)"/>
      <w:lvlJc w:val="left"/>
      <w:pPr>
        <w:tabs>
          <w:tab w:val="left" w:pos="2070"/>
        </w:tabs>
        <w:ind w:left="2070" w:hanging="360"/>
      </w:pPr>
      <w:rPr>
        <w:rFonts w:cs="Times New Roman" w:hint="default"/>
      </w:rPr>
    </w:lvl>
    <w:lvl w:ilvl="6">
      <w:start w:val="1"/>
      <w:numFmt w:val="decimal"/>
      <w:lvlText w:val="%7."/>
      <w:lvlJc w:val="left"/>
      <w:pPr>
        <w:tabs>
          <w:tab w:val="left" w:pos="2430"/>
        </w:tabs>
        <w:ind w:left="2430" w:hanging="360"/>
      </w:pPr>
      <w:rPr>
        <w:rFonts w:cs="Times New Roman" w:hint="default"/>
      </w:rPr>
    </w:lvl>
    <w:lvl w:ilvl="7">
      <w:start w:val="1"/>
      <w:numFmt w:val="lowerLetter"/>
      <w:lvlText w:val="%8."/>
      <w:lvlJc w:val="left"/>
      <w:pPr>
        <w:tabs>
          <w:tab w:val="left" w:pos="2790"/>
        </w:tabs>
        <w:ind w:left="2790" w:hanging="360"/>
      </w:pPr>
      <w:rPr>
        <w:rFonts w:cs="Times New Roman" w:hint="default"/>
      </w:rPr>
    </w:lvl>
    <w:lvl w:ilvl="8">
      <w:start w:val="1"/>
      <w:numFmt w:val="lowerRoman"/>
      <w:lvlText w:val="%9."/>
      <w:lvlJc w:val="left"/>
      <w:pPr>
        <w:tabs>
          <w:tab w:val="left" w:pos="3150"/>
        </w:tabs>
        <w:ind w:left="3150" w:hanging="360"/>
      </w:pPr>
      <w:rPr>
        <w:rFonts w:cs="Times New Roman" w:hint="default"/>
      </w:rPr>
    </w:lvl>
  </w:abstractNum>
  <w:abstractNum w:abstractNumId="9" w15:restartNumberingAfterBreak="0">
    <w:nsid w:val="28FD26DF"/>
    <w:multiLevelType w:val="multilevel"/>
    <w:tmpl w:val="8902B9FE"/>
    <w:lvl w:ilvl="0">
      <w:start w:val="1"/>
      <w:numFmt w:val="decimal"/>
      <w:lvlText w:val="%1."/>
      <w:lvlJc w:val="left"/>
      <w:pPr>
        <w:tabs>
          <w:tab w:val="num" w:pos="450"/>
        </w:tabs>
        <w:ind w:left="90" w:firstLine="0"/>
      </w:pPr>
      <w:rPr>
        <w:rFonts w:ascii="Times New Roman" w:hAnsi="Times New Roman" w:cs="Times New Roman" w:hint="default"/>
        <w:b w:val="0"/>
        <w:i w:val="0"/>
        <w:color w:val="auto"/>
        <w:sz w:val="22"/>
      </w:rPr>
    </w:lvl>
    <w:lvl w:ilvl="1">
      <w:start w:val="1"/>
      <w:numFmt w:val="lowerLetter"/>
      <w:lvlText w:val="(%2)"/>
      <w:lvlJc w:val="left"/>
      <w:pPr>
        <w:tabs>
          <w:tab w:val="num" w:pos="1571"/>
        </w:tabs>
        <w:ind w:left="131" w:firstLine="720"/>
      </w:pPr>
      <w:rPr>
        <w:rFonts w:cs="Times New Roman"/>
        <w:b w:val="0"/>
        <w:i w:val="0"/>
      </w:rPr>
    </w:lvl>
    <w:lvl w:ilvl="2">
      <w:start w:val="1"/>
      <w:numFmt w:val="lowerRoman"/>
      <w:lvlText w:val="(%3)"/>
      <w:lvlJc w:val="right"/>
      <w:pPr>
        <w:tabs>
          <w:tab w:val="num" w:pos="1440"/>
        </w:tabs>
        <w:ind w:left="1440" w:hanging="360"/>
      </w:pPr>
      <w:rPr>
        <w:rFonts w:cs="Times New Roman"/>
      </w:rPr>
    </w:lvl>
    <w:lvl w:ilvl="3">
      <w:numFmt w:val="decimal"/>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0"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Titre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1" w15:restartNumberingAfterBreak="0">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2"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E0442B4"/>
    <w:multiLevelType w:val="multilevel"/>
    <w:tmpl w:val="4FF01174"/>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4E2821CF"/>
    <w:multiLevelType w:val="hybridMultilevel"/>
    <w:tmpl w:val="D1BC9C9C"/>
    <w:lvl w:ilvl="0" w:tplc="355C92E4">
      <w:numFmt w:val="bullet"/>
      <w:lvlText w:val="-"/>
      <w:lvlJc w:val="left"/>
      <w:pPr>
        <w:ind w:left="720" w:hanging="360"/>
      </w:pPr>
      <w:rPr>
        <w:rFonts w:ascii="Times New Roman" w:eastAsia="Times New Roman"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4F221F5E"/>
    <w:multiLevelType w:val="hybridMultilevel"/>
    <w:tmpl w:val="0744334C"/>
    <w:lvl w:ilvl="0" w:tplc="A53C7FB8">
      <w:start w:val="1"/>
      <w:numFmt w:val="decimal"/>
      <w:lvlText w:val="%1."/>
      <w:lvlJc w:val="left"/>
      <w:pPr>
        <w:ind w:left="720" w:hanging="360"/>
      </w:pPr>
      <w:rPr>
        <w:i w:val="0"/>
        <w:iCs w:val="0"/>
      </w:rPr>
    </w:lvl>
    <w:lvl w:ilvl="1" w:tplc="069291EE">
      <w:start w:val="1"/>
      <w:numFmt w:val="lowerLetter"/>
      <w:lvlText w:val="(%2)"/>
      <w:lvlJc w:val="left"/>
      <w:pPr>
        <w:ind w:left="1440" w:hanging="360"/>
      </w:pPr>
      <w:rPr>
        <w:rFonts w:asciiTheme="majorBidi" w:eastAsia="Times New Roman" w:hAnsiTheme="majorBidi" w:cstheme="majorBidi" w:hint="default"/>
      </w:r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6" w15:restartNumberingAfterBreak="0">
    <w:nsid w:val="511026E0"/>
    <w:multiLevelType w:val="hybridMultilevel"/>
    <w:tmpl w:val="126E825C"/>
    <w:lvl w:ilvl="0" w:tplc="A53C7FB8">
      <w:start w:val="1"/>
      <w:numFmt w:val="decimal"/>
      <w:lvlText w:val="%1."/>
      <w:lvlJc w:val="left"/>
      <w:pPr>
        <w:ind w:left="720" w:hanging="360"/>
      </w:pPr>
      <w:rPr>
        <w:i w:val="0"/>
        <w:iCs w:val="0"/>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7" w15:restartNumberingAfterBreak="0">
    <w:nsid w:val="581151E5"/>
    <w:multiLevelType w:val="hybridMultilevel"/>
    <w:tmpl w:val="05FA9C00"/>
    <w:lvl w:ilvl="0" w:tplc="72F6D3A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C975246"/>
    <w:multiLevelType w:val="hybridMultilevel"/>
    <w:tmpl w:val="8CC0468E"/>
    <w:lvl w:ilvl="0" w:tplc="4342AD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20D6AEB"/>
    <w:multiLevelType w:val="multilevel"/>
    <w:tmpl w:val="FB220578"/>
    <w:lvl w:ilvl="0">
      <w:start w:val="1"/>
      <w:numFmt w:val="decimal"/>
      <w:pStyle w:val="Para1"/>
      <w:lvlText w:val="%1."/>
      <w:lvlJc w:val="left"/>
      <w:pPr>
        <w:tabs>
          <w:tab w:val="num" w:pos="720"/>
        </w:tabs>
        <w:ind w:left="0" w:firstLine="0"/>
      </w:pPr>
      <w:rPr>
        <w:rFonts w:ascii="Times New Roman" w:hAnsi="Times New Roman" w:cs="Times New Roman" w:hint="default"/>
        <w:b w:val="0"/>
        <w:i w:val="0"/>
        <w:color w:val="auto"/>
        <w:sz w:val="22"/>
      </w:rPr>
    </w:lvl>
    <w:lvl w:ilvl="1">
      <w:start w:val="1"/>
      <w:numFmt w:val="lowerLetter"/>
      <w:lvlText w:val="(%2)"/>
      <w:lvlJc w:val="left"/>
      <w:pPr>
        <w:tabs>
          <w:tab w:val="num" w:pos="1481"/>
        </w:tabs>
        <w:ind w:left="41" w:firstLine="720"/>
      </w:pPr>
      <w:rPr>
        <w:rFonts w:cs="Times New Roman" w:hint="default"/>
        <w:b w:val="0"/>
        <w:i w:val="0"/>
      </w:rPr>
    </w:lvl>
    <w:lvl w:ilvl="2">
      <w:start w:val="1"/>
      <w:numFmt w:val="lowerRoman"/>
      <w:lvlText w:val="(%3)"/>
      <w:lvlJc w:val="right"/>
      <w:pPr>
        <w:tabs>
          <w:tab w:val="num" w:pos="1350"/>
        </w:tabs>
        <w:ind w:left="1350" w:hanging="360"/>
      </w:pPr>
      <w:rPr>
        <w:rFonts w:cs="Times New Roman" w:hint="default"/>
      </w:rPr>
    </w:lvl>
    <w:lvl w:ilvl="3">
      <w:start w:val="1"/>
      <w:numFmt w:val="bullet"/>
      <w:lvlText w:val=""/>
      <w:lvlJc w:val="left"/>
      <w:pPr>
        <w:tabs>
          <w:tab w:val="num" w:pos="2070"/>
        </w:tabs>
        <w:ind w:left="2070" w:hanging="720"/>
      </w:pPr>
      <w:rPr>
        <w:rFonts w:ascii="Symbol" w:hAnsi="Symbol" w:hint="default"/>
        <w:color w:val="auto"/>
        <w:sz w:val="28"/>
      </w:rPr>
    </w:lvl>
    <w:lvl w:ilvl="4">
      <w:start w:val="1"/>
      <w:numFmt w:val="lowerLetter"/>
      <w:lvlText w:val="(%5)"/>
      <w:lvlJc w:val="left"/>
      <w:pPr>
        <w:tabs>
          <w:tab w:val="num" w:pos="1710"/>
        </w:tabs>
        <w:ind w:left="1710" w:hanging="360"/>
      </w:pPr>
      <w:rPr>
        <w:rFonts w:cs="Times New Roman" w:hint="default"/>
      </w:rPr>
    </w:lvl>
    <w:lvl w:ilvl="5">
      <w:start w:val="1"/>
      <w:numFmt w:val="lowerRoman"/>
      <w:lvlText w:val="(%6)"/>
      <w:lvlJc w:val="left"/>
      <w:pPr>
        <w:tabs>
          <w:tab w:val="num" w:pos="2070"/>
        </w:tabs>
        <w:ind w:left="2070" w:hanging="360"/>
      </w:pPr>
      <w:rPr>
        <w:rFonts w:cs="Times New Roman" w:hint="default"/>
      </w:rPr>
    </w:lvl>
    <w:lvl w:ilvl="6">
      <w:start w:val="1"/>
      <w:numFmt w:val="decimal"/>
      <w:lvlText w:val="%7."/>
      <w:lvlJc w:val="left"/>
      <w:pPr>
        <w:tabs>
          <w:tab w:val="num" w:pos="2430"/>
        </w:tabs>
        <w:ind w:left="2430" w:hanging="360"/>
      </w:pPr>
      <w:rPr>
        <w:rFonts w:cs="Times New Roman" w:hint="default"/>
      </w:rPr>
    </w:lvl>
    <w:lvl w:ilvl="7">
      <w:start w:val="1"/>
      <w:numFmt w:val="lowerLetter"/>
      <w:lvlText w:val="%8."/>
      <w:lvlJc w:val="left"/>
      <w:pPr>
        <w:tabs>
          <w:tab w:val="num" w:pos="2790"/>
        </w:tabs>
        <w:ind w:left="2790" w:hanging="360"/>
      </w:pPr>
      <w:rPr>
        <w:rFonts w:cs="Times New Roman" w:hint="default"/>
      </w:rPr>
    </w:lvl>
    <w:lvl w:ilvl="8">
      <w:start w:val="1"/>
      <w:numFmt w:val="lowerRoman"/>
      <w:lvlText w:val="%9."/>
      <w:lvlJc w:val="left"/>
      <w:pPr>
        <w:tabs>
          <w:tab w:val="num" w:pos="3150"/>
        </w:tabs>
        <w:ind w:left="3150" w:hanging="360"/>
      </w:pPr>
      <w:rPr>
        <w:rFonts w:cs="Times New Roman" w:hint="default"/>
      </w:rPr>
    </w:lvl>
  </w:abstractNum>
  <w:abstractNum w:abstractNumId="20" w15:restartNumberingAfterBreak="0">
    <w:nsid w:val="646D7EAF"/>
    <w:multiLevelType w:val="multilevel"/>
    <w:tmpl w:val="8902B9FE"/>
    <w:lvl w:ilvl="0">
      <w:start w:val="1"/>
      <w:numFmt w:val="decimal"/>
      <w:lvlText w:val="%1."/>
      <w:lvlJc w:val="left"/>
      <w:pPr>
        <w:tabs>
          <w:tab w:val="num" w:pos="450"/>
        </w:tabs>
        <w:ind w:left="90" w:firstLine="0"/>
      </w:pPr>
      <w:rPr>
        <w:rFonts w:ascii="Times New Roman" w:hAnsi="Times New Roman" w:cs="Times New Roman" w:hint="default"/>
        <w:b w:val="0"/>
        <w:i w:val="0"/>
        <w:color w:val="auto"/>
        <w:sz w:val="22"/>
      </w:rPr>
    </w:lvl>
    <w:lvl w:ilvl="1">
      <w:start w:val="1"/>
      <w:numFmt w:val="lowerLetter"/>
      <w:lvlText w:val="(%2)"/>
      <w:lvlJc w:val="left"/>
      <w:pPr>
        <w:tabs>
          <w:tab w:val="num" w:pos="1571"/>
        </w:tabs>
        <w:ind w:left="131" w:firstLine="720"/>
      </w:pPr>
      <w:rPr>
        <w:rFonts w:cs="Times New Roman"/>
        <w:b w:val="0"/>
        <w:i w:val="0"/>
      </w:rPr>
    </w:lvl>
    <w:lvl w:ilvl="2">
      <w:start w:val="1"/>
      <w:numFmt w:val="lowerRoman"/>
      <w:lvlText w:val="(%3)"/>
      <w:lvlJc w:val="right"/>
      <w:pPr>
        <w:tabs>
          <w:tab w:val="num" w:pos="1440"/>
        </w:tabs>
        <w:ind w:left="1440" w:hanging="360"/>
      </w:pPr>
      <w:rPr>
        <w:rFonts w:cs="Times New Roman"/>
      </w:rPr>
    </w:lvl>
    <w:lvl w:ilvl="3">
      <w:numFmt w:val="decimal"/>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1" w15:restartNumberingAfterBreak="0">
    <w:nsid w:val="64EE46A3"/>
    <w:multiLevelType w:val="hybridMultilevel"/>
    <w:tmpl w:val="6DB40FB6"/>
    <w:lvl w:ilvl="0" w:tplc="5652EF34">
      <w:start w:val="1"/>
      <w:numFmt w:val="decimal"/>
      <w:lvlText w:val="%1."/>
      <w:lvlJc w:val="left"/>
      <w:pPr>
        <w:ind w:left="1260" w:hanging="360"/>
      </w:pPr>
      <w:rPr>
        <w:b w:val="0"/>
        <w:i w:val="0"/>
        <w:sz w:val="22"/>
      </w:rPr>
    </w:lvl>
    <w:lvl w:ilvl="1" w:tplc="4BFC5A32">
      <w:start w:val="1"/>
      <w:numFmt w:val="lowerLetter"/>
      <w:lvlText w:val="(%2)"/>
      <w:lvlJc w:val="left"/>
      <w:pPr>
        <w:ind w:left="1440" w:hanging="360"/>
      </w:pPr>
      <w:rPr>
        <w:rFonts w:hint="default"/>
      </w:rPr>
    </w:lvl>
    <w:lvl w:ilvl="2" w:tplc="330EFF7E">
      <w:start w:val="1"/>
      <w:numFmt w:val="upperLetter"/>
      <w:lvlText w:val="%3."/>
      <w:lvlJc w:val="left"/>
      <w:pPr>
        <w:ind w:left="2700" w:hanging="720"/>
      </w:pPr>
      <w:rPr>
        <w:rFonts w:hint="default"/>
        <w:i w:val="0"/>
        <w:iCs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C5D7EC2"/>
    <w:multiLevelType w:val="hybridMultilevel"/>
    <w:tmpl w:val="4426B32E"/>
    <w:lvl w:ilvl="0" w:tplc="10090015">
      <w:start w:val="1"/>
      <w:numFmt w:val="upperLetter"/>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23"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D802DE"/>
    <w:multiLevelType w:val="hybridMultilevel"/>
    <w:tmpl w:val="33140710"/>
    <w:lvl w:ilvl="0" w:tplc="D30ACC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86C25FC"/>
    <w:multiLevelType w:val="hybridMultilevel"/>
    <w:tmpl w:val="FEDA9954"/>
    <w:lvl w:ilvl="0" w:tplc="069291EE">
      <w:start w:val="1"/>
      <w:numFmt w:val="lowerLetter"/>
      <w:lvlText w:val="(%1)"/>
      <w:lvlJc w:val="left"/>
      <w:pPr>
        <w:ind w:left="720" w:hanging="360"/>
      </w:pPr>
      <w:rPr>
        <w:rFonts w:asciiTheme="majorBidi" w:eastAsia="Times New Roman" w:hAnsiTheme="majorBidi" w:cstheme="maj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7B617DFD"/>
    <w:multiLevelType w:val="hybridMultilevel"/>
    <w:tmpl w:val="0DFE4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4393539">
    <w:abstractNumId w:val="10"/>
  </w:num>
  <w:num w:numId="2" w16cid:durableId="435758945">
    <w:abstractNumId w:val="13"/>
  </w:num>
  <w:num w:numId="3" w16cid:durableId="276258208">
    <w:abstractNumId w:val="11"/>
  </w:num>
  <w:num w:numId="4" w16cid:durableId="2072918988">
    <w:abstractNumId w:val="13"/>
  </w:num>
  <w:num w:numId="5" w16cid:durableId="2073459629">
    <w:abstractNumId w:val="12"/>
  </w:num>
  <w:num w:numId="6" w16cid:durableId="566720482">
    <w:abstractNumId w:val="4"/>
  </w:num>
  <w:num w:numId="7" w16cid:durableId="1169908106">
    <w:abstractNumId w:val="7"/>
  </w:num>
  <w:num w:numId="8" w16cid:durableId="1705709098">
    <w:abstractNumId w:val="11"/>
    <w:lvlOverride w:ilvl="0">
      <w:startOverride w:val="1"/>
    </w:lvlOverride>
  </w:num>
  <w:num w:numId="9" w16cid:durableId="711883325">
    <w:abstractNumId w:val="23"/>
  </w:num>
  <w:num w:numId="10" w16cid:durableId="663750564">
    <w:abstractNumId w:val="11"/>
    <w:lvlOverride w:ilvl="0">
      <w:startOverride w:val="1"/>
    </w:lvlOverride>
  </w:num>
  <w:num w:numId="11" w16cid:durableId="1318336186">
    <w:abstractNumId w:val="11"/>
    <w:lvlOverride w:ilvl="0">
      <w:startOverride w:val="1"/>
    </w:lvlOverride>
  </w:num>
  <w:num w:numId="12" w16cid:durableId="723867814">
    <w:abstractNumId w:val="11"/>
    <w:lvlOverride w:ilvl="0">
      <w:startOverride w:val="1"/>
    </w:lvlOverride>
  </w:num>
  <w:num w:numId="13" w16cid:durableId="71900857">
    <w:abstractNumId w:val="11"/>
    <w:lvlOverride w:ilvl="0">
      <w:startOverride w:val="1"/>
    </w:lvlOverride>
  </w:num>
  <w:num w:numId="14" w16cid:durableId="126437552">
    <w:abstractNumId w:val="18"/>
  </w:num>
  <w:num w:numId="15" w16cid:durableId="312030959">
    <w:abstractNumId w:val="17"/>
  </w:num>
  <w:num w:numId="16" w16cid:durableId="836579539">
    <w:abstractNumId w:val="5"/>
  </w:num>
  <w:num w:numId="17" w16cid:durableId="72626216">
    <w:abstractNumId w:val="24"/>
  </w:num>
  <w:num w:numId="18" w16cid:durableId="1780179163">
    <w:abstractNumId w:val="26"/>
  </w:num>
  <w:num w:numId="19" w16cid:durableId="2010984661">
    <w:abstractNumId w:val="19"/>
    <w:lvlOverride w:ilvl="0">
      <w:startOverride w:val="1"/>
    </w:lvlOverride>
    <w:lvlOverride w:ilvl="1">
      <w:startOverride w:val="1"/>
    </w:lvlOverride>
    <w:lvlOverride w:ilvl="2">
      <w:startOverride w:val="1"/>
    </w:lvlOverride>
  </w:num>
  <w:num w:numId="20" w16cid:durableId="1155032078">
    <w:abstractNumId w:val="19"/>
  </w:num>
  <w:num w:numId="21" w16cid:durableId="1034112109">
    <w:abstractNumId w:val="19"/>
  </w:num>
  <w:num w:numId="22" w16cid:durableId="1152796605">
    <w:abstractNumId w:val="19"/>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0268187">
    <w:abstractNumId w:val="13"/>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47054090">
    <w:abstractNumId w:val="20"/>
  </w:num>
  <w:num w:numId="25" w16cid:durableId="89439505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6544346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021587174">
    <w:abstractNumId w:val="16"/>
  </w:num>
  <w:num w:numId="28" w16cid:durableId="1986155161">
    <w:abstractNumId w:val="9"/>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625112993">
    <w:abstractNumId w:val="1"/>
  </w:num>
  <w:num w:numId="30" w16cid:durableId="95948251">
    <w:abstractNumId w:val="14"/>
  </w:num>
  <w:num w:numId="31" w16cid:durableId="17133919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899558448">
    <w:abstractNumId w:val="2"/>
  </w:num>
  <w:num w:numId="33" w16cid:durableId="152531881">
    <w:abstractNumId w:val="25"/>
  </w:num>
  <w:num w:numId="34" w16cid:durableId="691615208">
    <w:abstractNumId w:val="0"/>
  </w:num>
  <w:num w:numId="35" w16cid:durableId="27416950">
    <w:abstractNumId w:val="15"/>
  </w:num>
  <w:num w:numId="36" w16cid:durableId="1384909933">
    <w:abstractNumId w:val="3"/>
  </w:num>
  <w:num w:numId="37" w16cid:durableId="1231843806">
    <w:abstractNumId w:val="6"/>
  </w:num>
  <w:num w:numId="38" w16cid:durableId="643659093">
    <w:abstractNumId w:val="21"/>
  </w:num>
  <w:num w:numId="39" w16cid:durableId="442653047">
    <w:abstractNumId w:val="8"/>
  </w:num>
  <w:num w:numId="40" w16cid:durableId="65576188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proofState w:spelling="clean" w:grammar="clean"/>
  <w:defaultTabStop w:val="720"/>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LU0NTUzNjYwMjExMzFS0lEKTi0uzszPAykwrAUAvHbIXiwAAAA="/>
  </w:docVars>
  <w:rsids>
    <w:rsidRoot w:val="00C9161D"/>
    <w:rsid w:val="00001305"/>
    <w:rsid w:val="0000296B"/>
    <w:rsid w:val="00002BAD"/>
    <w:rsid w:val="000037C4"/>
    <w:rsid w:val="00004584"/>
    <w:rsid w:val="00006D47"/>
    <w:rsid w:val="00006E4F"/>
    <w:rsid w:val="00010FE8"/>
    <w:rsid w:val="00011BF4"/>
    <w:rsid w:val="000127D7"/>
    <w:rsid w:val="00014B2D"/>
    <w:rsid w:val="00015D93"/>
    <w:rsid w:val="000176FD"/>
    <w:rsid w:val="00020B55"/>
    <w:rsid w:val="00020B77"/>
    <w:rsid w:val="00020D56"/>
    <w:rsid w:val="00023B77"/>
    <w:rsid w:val="00026BD0"/>
    <w:rsid w:val="0002734E"/>
    <w:rsid w:val="00030969"/>
    <w:rsid w:val="00031B78"/>
    <w:rsid w:val="00037C10"/>
    <w:rsid w:val="00041CFD"/>
    <w:rsid w:val="0004412C"/>
    <w:rsid w:val="000455AA"/>
    <w:rsid w:val="00047242"/>
    <w:rsid w:val="00054BA5"/>
    <w:rsid w:val="000561B0"/>
    <w:rsid w:val="000569B8"/>
    <w:rsid w:val="00056FA9"/>
    <w:rsid w:val="0007171B"/>
    <w:rsid w:val="0007234B"/>
    <w:rsid w:val="000735C6"/>
    <w:rsid w:val="00080354"/>
    <w:rsid w:val="00080A7A"/>
    <w:rsid w:val="00082188"/>
    <w:rsid w:val="000920E8"/>
    <w:rsid w:val="000921FE"/>
    <w:rsid w:val="000927CF"/>
    <w:rsid w:val="000935C2"/>
    <w:rsid w:val="00094739"/>
    <w:rsid w:val="000954AB"/>
    <w:rsid w:val="00095E1D"/>
    <w:rsid w:val="00097273"/>
    <w:rsid w:val="0009729E"/>
    <w:rsid w:val="00097C19"/>
    <w:rsid w:val="000A2175"/>
    <w:rsid w:val="000A2E96"/>
    <w:rsid w:val="000A6C61"/>
    <w:rsid w:val="000B0805"/>
    <w:rsid w:val="000B3BF1"/>
    <w:rsid w:val="000B60AC"/>
    <w:rsid w:val="000B67A5"/>
    <w:rsid w:val="000B7ABE"/>
    <w:rsid w:val="000C02F7"/>
    <w:rsid w:val="000C0F70"/>
    <w:rsid w:val="000C19B0"/>
    <w:rsid w:val="000C1C09"/>
    <w:rsid w:val="000C3EE9"/>
    <w:rsid w:val="000C7188"/>
    <w:rsid w:val="000D0863"/>
    <w:rsid w:val="000D2441"/>
    <w:rsid w:val="000D3319"/>
    <w:rsid w:val="000D3568"/>
    <w:rsid w:val="000D3660"/>
    <w:rsid w:val="000D6A86"/>
    <w:rsid w:val="000D7F8C"/>
    <w:rsid w:val="000E07BF"/>
    <w:rsid w:val="000E10DC"/>
    <w:rsid w:val="000E3C01"/>
    <w:rsid w:val="000E4E02"/>
    <w:rsid w:val="000E5D43"/>
    <w:rsid w:val="000E673A"/>
    <w:rsid w:val="000E7DCA"/>
    <w:rsid w:val="000F1571"/>
    <w:rsid w:val="000F2C8C"/>
    <w:rsid w:val="000F46CF"/>
    <w:rsid w:val="000F74F5"/>
    <w:rsid w:val="001034C2"/>
    <w:rsid w:val="00103C86"/>
    <w:rsid w:val="0010438A"/>
    <w:rsid w:val="00105372"/>
    <w:rsid w:val="0010669D"/>
    <w:rsid w:val="00107D96"/>
    <w:rsid w:val="001127E8"/>
    <w:rsid w:val="00112F45"/>
    <w:rsid w:val="00113E77"/>
    <w:rsid w:val="00120533"/>
    <w:rsid w:val="00121438"/>
    <w:rsid w:val="001227F1"/>
    <w:rsid w:val="00123765"/>
    <w:rsid w:val="00130760"/>
    <w:rsid w:val="001312AD"/>
    <w:rsid w:val="001318DD"/>
    <w:rsid w:val="00131E7A"/>
    <w:rsid w:val="0013356A"/>
    <w:rsid w:val="00134846"/>
    <w:rsid w:val="00135765"/>
    <w:rsid w:val="00135C09"/>
    <w:rsid w:val="0013785D"/>
    <w:rsid w:val="0014172A"/>
    <w:rsid w:val="00142423"/>
    <w:rsid w:val="00142DB4"/>
    <w:rsid w:val="00143EE5"/>
    <w:rsid w:val="00144E68"/>
    <w:rsid w:val="0014691A"/>
    <w:rsid w:val="0014770D"/>
    <w:rsid w:val="00154839"/>
    <w:rsid w:val="0015612D"/>
    <w:rsid w:val="0015739F"/>
    <w:rsid w:val="00157D17"/>
    <w:rsid w:val="001600A2"/>
    <w:rsid w:val="001605BC"/>
    <w:rsid w:val="001605D7"/>
    <w:rsid w:val="00160E08"/>
    <w:rsid w:val="001615C7"/>
    <w:rsid w:val="00161807"/>
    <w:rsid w:val="001631A9"/>
    <w:rsid w:val="00164F1D"/>
    <w:rsid w:val="0016599E"/>
    <w:rsid w:val="00172AF6"/>
    <w:rsid w:val="001749B6"/>
    <w:rsid w:val="001761E2"/>
    <w:rsid w:val="00176CEE"/>
    <w:rsid w:val="00184442"/>
    <w:rsid w:val="00184DB7"/>
    <w:rsid w:val="0018555F"/>
    <w:rsid w:val="00186DD8"/>
    <w:rsid w:val="001870C6"/>
    <w:rsid w:val="00192541"/>
    <w:rsid w:val="0019391A"/>
    <w:rsid w:val="00196232"/>
    <w:rsid w:val="001A10F2"/>
    <w:rsid w:val="001A14EB"/>
    <w:rsid w:val="001A5E0D"/>
    <w:rsid w:val="001A77EF"/>
    <w:rsid w:val="001B0221"/>
    <w:rsid w:val="001B0F28"/>
    <w:rsid w:val="001B13FE"/>
    <w:rsid w:val="001B1573"/>
    <w:rsid w:val="001B2417"/>
    <w:rsid w:val="001B2D36"/>
    <w:rsid w:val="001B36EC"/>
    <w:rsid w:val="001B4EE1"/>
    <w:rsid w:val="001C0C36"/>
    <w:rsid w:val="001C27D5"/>
    <w:rsid w:val="001C2B6F"/>
    <w:rsid w:val="001C326A"/>
    <w:rsid w:val="001C32A3"/>
    <w:rsid w:val="001C6079"/>
    <w:rsid w:val="001D04FC"/>
    <w:rsid w:val="001D11B6"/>
    <w:rsid w:val="001D2E2A"/>
    <w:rsid w:val="001D4FE1"/>
    <w:rsid w:val="001D75DC"/>
    <w:rsid w:val="001E01C7"/>
    <w:rsid w:val="001E195A"/>
    <w:rsid w:val="001E1ACD"/>
    <w:rsid w:val="001E3E77"/>
    <w:rsid w:val="001E54A6"/>
    <w:rsid w:val="001E7AF2"/>
    <w:rsid w:val="001F0A8A"/>
    <w:rsid w:val="001F12CF"/>
    <w:rsid w:val="001F130C"/>
    <w:rsid w:val="001F2B81"/>
    <w:rsid w:val="00200E8D"/>
    <w:rsid w:val="00205D80"/>
    <w:rsid w:val="00212E25"/>
    <w:rsid w:val="002142CC"/>
    <w:rsid w:val="00220268"/>
    <w:rsid w:val="00222395"/>
    <w:rsid w:val="00223FDC"/>
    <w:rsid w:val="002263BF"/>
    <w:rsid w:val="002301DA"/>
    <w:rsid w:val="00231494"/>
    <w:rsid w:val="00233EB0"/>
    <w:rsid w:val="00240AEE"/>
    <w:rsid w:val="00247810"/>
    <w:rsid w:val="00250071"/>
    <w:rsid w:val="002518B1"/>
    <w:rsid w:val="00251BC8"/>
    <w:rsid w:val="00252935"/>
    <w:rsid w:val="00254F05"/>
    <w:rsid w:val="0025508D"/>
    <w:rsid w:val="00256649"/>
    <w:rsid w:val="00261165"/>
    <w:rsid w:val="00264A71"/>
    <w:rsid w:val="00264C3A"/>
    <w:rsid w:val="00265106"/>
    <w:rsid w:val="00266E83"/>
    <w:rsid w:val="00280564"/>
    <w:rsid w:val="002809EA"/>
    <w:rsid w:val="00281772"/>
    <w:rsid w:val="00282582"/>
    <w:rsid w:val="0028367B"/>
    <w:rsid w:val="00285CDD"/>
    <w:rsid w:val="002901D8"/>
    <w:rsid w:val="0029069C"/>
    <w:rsid w:val="00294783"/>
    <w:rsid w:val="00295A5A"/>
    <w:rsid w:val="00295EAE"/>
    <w:rsid w:val="00296749"/>
    <w:rsid w:val="002977F7"/>
    <w:rsid w:val="002A06EE"/>
    <w:rsid w:val="002A17FC"/>
    <w:rsid w:val="002A441C"/>
    <w:rsid w:val="002A701D"/>
    <w:rsid w:val="002B0FE0"/>
    <w:rsid w:val="002B10CF"/>
    <w:rsid w:val="002B16C1"/>
    <w:rsid w:val="002C3049"/>
    <w:rsid w:val="002C607B"/>
    <w:rsid w:val="002C6649"/>
    <w:rsid w:val="002C6BBB"/>
    <w:rsid w:val="002C7C3F"/>
    <w:rsid w:val="002D3D84"/>
    <w:rsid w:val="002D433E"/>
    <w:rsid w:val="002D45BF"/>
    <w:rsid w:val="002D6101"/>
    <w:rsid w:val="002E2916"/>
    <w:rsid w:val="002E376B"/>
    <w:rsid w:val="002E4E4C"/>
    <w:rsid w:val="002F3FD3"/>
    <w:rsid w:val="002F6006"/>
    <w:rsid w:val="002F7C9C"/>
    <w:rsid w:val="00300F4B"/>
    <w:rsid w:val="0030169D"/>
    <w:rsid w:val="00301CB6"/>
    <w:rsid w:val="00301EF0"/>
    <w:rsid w:val="00302953"/>
    <w:rsid w:val="00302CD2"/>
    <w:rsid w:val="00304795"/>
    <w:rsid w:val="00305284"/>
    <w:rsid w:val="003060EB"/>
    <w:rsid w:val="003065BD"/>
    <w:rsid w:val="00310B05"/>
    <w:rsid w:val="00311741"/>
    <w:rsid w:val="003119EF"/>
    <w:rsid w:val="00313996"/>
    <w:rsid w:val="00314FA7"/>
    <w:rsid w:val="003153EB"/>
    <w:rsid w:val="00315A97"/>
    <w:rsid w:val="00316FF4"/>
    <w:rsid w:val="003179A1"/>
    <w:rsid w:val="00317CB8"/>
    <w:rsid w:val="00317D13"/>
    <w:rsid w:val="0032036A"/>
    <w:rsid w:val="00320379"/>
    <w:rsid w:val="00321985"/>
    <w:rsid w:val="003259E6"/>
    <w:rsid w:val="003262B9"/>
    <w:rsid w:val="003274C0"/>
    <w:rsid w:val="003318E9"/>
    <w:rsid w:val="00331A61"/>
    <w:rsid w:val="00331D40"/>
    <w:rsid w:val="00332020"/>
    <w:rsid w:val="0033387D"/>
    <w:rsid w:val="0033609A"/>
    <w:rsid w:val="00336DBB"/>
    <w:rsid w:val="00341587"/>
    <w:rsid w:val="0034225F"/>
    <w:rsid w:val="0034236F"/>
    <w:rsid w:val="00351205"/>
    <w:rsid w:val="00351875"/>
    <w:rsid w:val="00354668"/>
    <w:rsid w:val="00355AED"/>
    <w:rsid w:val="0035699C"/>
    <w:rsid w:val="003607F3"/>
    <w:rsid w:val="00361270"/>
    <w:rsid w:val="003616AD"/>
    <w:rsid w:val="00363998"/>
    <w:rsid w:val="003660CD"/>
    <w:rsid w:val="003665FB"/>
    <w:rsid w:val="003677F9"/>
    <w:rsid w:val="00370EE4"/>
    <w:rsid w:val="003723B2"/>
    <w:rsid w:val="00372846"/>
    <w:rsid w:val="00372F55"/>
    <w:rsid w:val="00372F74"/>
    <w:rsid w:val="00373BA2"/>
    <w:rsid w:val="003743D0"/>
    <w:rsid w:val="003744D1"/>
    <w:rsid w:val="0037732D"/>
    <w:rsid w:val="0037738D"/>
    <w:rsid w:val="003806F1"/>
    <w:rsid w:val="00380B8E"/>
    <w:rsid w:val="00381840"/>
    <w:rsid w:val="00382D7C"/>
    <w:rsid w:val="0038397E"/>
    <w:rsid w:val="00383BCF"/>
    <w:rsid w:val="003864F7"/>
    <w:rsid w:val="0038664D"/>
    <w:rsid w:val="0038722D"/>
    <w:rsid w:val="00387409"/>
    <w:rsid w:val="00387502"/>
    <w:rsid w:val="00387C7D"/>
    <w:rsid w:val="00391829"/>
    <w:rsid w:val="00392534"/>
    <w:rsid w:val="00392CD7"/>
    <w:rsid w:val="00393383"/>
    <w:rsid w:val="00396826"/>
    <w:rsid w:val="003A0B6D"/>
    <w:rsid w:val="003A0CC2"/>
    <w:rsid w:val="003A0DE8"/>
    <w:rsid w:val="003A6DCF"/>
    <w:rsid w:val="003B44F9"/>
    <w:rsid w:val="003B59E7"/>
    <w:rsid w:val="003B7C04"/>
    <w:rsid w:val="003C0645"/>
    <w:rsid w:val="003C08EE"/>
    <w:rsid w:val="003C1543"/>
    <w:rsid w:val="003C2B7A"/>
    <w:rsid w:val="003C31B5"/>
    <w:rsid w:val="003D16F4"/>
    <w:rsid w:val="003D1AB7"/>
    <w:rsid w:val="003D3D76"/>
    <w:rsid w:val="003D49BF"/>
    <w:rsid w:val="003D5516"/>
    <w:rsid w:val="003E3D67"/>
    <w:rsid w:val="003E5301"/>
    <w:rsid w:val="003E54D8"/>
    <w:rsid w:val="003E666E"/>
    <w:rsid w:val="003E69D9"/>
    <w:rsid w:val="003E7D82"/>
    <w:rsid w:val="003F264D"/>
    <w:rsid w:val="003F3370"/>
    <w:rsid w:val="003F393A"/>
    <w:rsid w:val="003F3D55"/>
    <w:rsid w:val="003F581B"/>
    <w:rsid w:val="003F6F74"/>
    <w:rsid w:val="003F7224"/>
    <w:rsid w:val="003F742C"/>
    <w:rsid w:val="003F7ABC"/>
    <w:rsid w:val="004003AE"/>
    <w:rsid w:val="004044AE"/>
    <w:rsid w:val="00411137"/>
    <w:rsid w:val="0041623B"/>
    <w:rsid w:val="00417435"/>
    <w:rsid w:val="00420210"/>
    <w:rsid w:val="004211DC"/>
    <w:rsid w:val="004245BB"/>
    <w:rsid w:val="00426D92"/>
    <w:rsid w:val="00427D21"/>
    <w:rsid w:val="00435078"/>
    <w:rsid w:val="0043707D"/>
    <w:rsid w:val="00437EB0"/>
    <w:rsid w:val="004423E1"/>
    <w:rsid w:val="00442939"/>
    <w:rsid w:val="00442C94"/>
    <w:rsid w:val="00442F09"/>
    <w:rsid w:val="004440CB"/>
    <w:rsid w:val="0044436A"/>
    <w:rsid w:val="00447124"/>
    <w:rsid w:val="004471D2"/>
    <w:rsid w:val="00447AE6"/>
    <w:rsid w:val="00450881"/>
    <w:rsid w:val="0045358C"/>
    <w:rsid w:val="004550C4"/>
    <w:rsid w:val="004559BE"/>
    <w:rsid w:val="00456038"/>
    <w:rsid w:val="004572BA"/>
    <w:rsid w:val="004573B1"/>
    <w:rsid w:val="004608CC"/>
    <w:rsid w:val="004608DF"/>
    <w:rsid w:val="00462B9D"/>
    <w:rsid w:val="004644C2"/>
    <w:rsid w:val="0046760A"/>
    <w:rsid w:val="00467F9C"/>
    <w:rsid w:val="00471C5B"/>
    <w:rsid w:val="0047362F"/>
    <w:rsid w:val="00475718"/>
    <w:rsid w:val="00475A41"/>
    <w:rsid w:val="00477270"/>
    <w:rsid w:val="00477F27"/>
    <w:rsid w:val="0048156B"/>
    <w:rsid w:val="004928C3"/>
    <w:rsid w:val="004A202D"/>
    <w:rsid w:val="004A3D84"/>
    <w:rsid w:val="004A632A"/>
    <w:rsid w:val="004B3A5F"/>
    <w:rsid w:val="004B4CE8"/>
    <w:rsid w:val="004B4D67"/>
    <w:rsid w:val="004B5647"/>
    <w:rsid w:val="004C0DAC"/>
    <w:rsid w:val="004C2446"/>
    <w:rsid w:val="004C478A"/>
    <w:rsid w:val="004C5B17"/>
    <w:rsid w:val="004C6DE0"/>
    <w:rsid w:val="004C7211"/>
    <w:rsid w:val="004C7DC2"/>
    <w:rsid w:val="004D13C9"/>
    <w:rsid w:val="004D7231"/>
    <w:rsid w:val="004D73F6"/>
    <w:rsid w:val="004D790E"/>
    <w:rsid w:val="004D7D08"/>
    <w:rsid w:val="004E0B8D"/>
    <w:rsid w:val="004E3DB0"/>
    <w:rsid w:val="004F129F"/>
    <w:rsid w:val="004F16E7"/>
    <w:rsid w:val="004F2821"/>
    <w:rsid w:val="004F3A42"/>
    <w:rsid w:val="004F5513"/>
    <w:rsid w:val="004F6914"/>
    <w:rsid w:val="004F70A8"/>
    <w:rsid w:val="00501C81"/>
    <w:rsid w:val="00507B89"/>
    <w:rsid w:val="00514254"/>
    <w:rsid w:val="00514C15"/>
    <w:rsid w:val="0052286D"/>
    <w:rsid w:val="0052368A"/>
    <w:rsid w:val="00524C27"/>
    <w:rsid w:val="005264F8"/>
    <w:rsid w:val="00527AC7"/>
    <w:rsid w:val="00530E1E"/>
    <w:rsid w:val="0053139E"/>
    <w:rsid w:val="00534681"/>
    <w:rsid w:val="00535DFC"/>
    <w:rsid w:val="00535FF5"/>
    <w:rsid w:val="00536EC8"/>
    <w:rsid w:val="00540496"/>
    <w:rsid w:val="0054114E"/>
    <w:rsid w:val="0054429B"/>
    <w:rsid w:val="00546A5B"/>
    <w:rsid w:val="00547135"/>
    <w:rsid w:val="00547207"/>
    <w:rsid w:val="0054779C"/>
    <w:rsid w:val="00547BEA"/>
    <w:rsid w:val="0055227A"/>
    <w:rsid w:val="00554206"/>
    <w:rsid w:val="005556A5"/>
    <w:rsid w:val="005600AC"/>
    <w:rsid w:val="005601BE"/>
    <w:rsid w:val="00562B2C"/>
    <w:rsid w:val="0056328A"/>
    <w:rsid w:val="00563442"/>
    <w:rsid w:val="00565B42"/>
    <w:rsid w:val="00566507"/>
    <w:rsid w:val="00571244"/>
    <w:rsid w:val="005719F3"/>
    <w:rsid w:val="00571B4A"/>
    <w:rsid w:val="00571DB7"/>
    <w:rsid w:val="00573D1D"/>
    <w:rsid w:val="00580FFB"/>
    <w:rsid w:val="00581BC5"/>
    <w:rsid w:val="00584A6C"/>
    <w:rsid w:val="0058579B"/>
    <w:rsid w:val="00586637"/>
    <w:rsid w:val="005910FD"/>
    <w:rsid w:val="005957E3"/>
    <w:rsid w:val="00597E6C"/>
    <w:rsid w:val="005A059D"/>
    <w:rsid w:val="005A07CA"/>
    <w:rsid w:val="005A0988"/>
    <w:rsid w:val="005A107A"/>
    <w:rsid w:val="005A177C"/>
    <w:rsid w:val="005A1D2E"/>
    <w:rsid w:val="005A7C3E"/>
    <w:rsid w:val="005A7E00"/>
    <w:rsid w:val="005B4401"/>
    <w:rsid w:val="005B7258"/>
    <w:rsid w:val="005C058B"/>
    <w:rsid w:val="005C1FD4"/>
    <w:rsid w:val="005C3A5A"/>
    <w:rsid w:val="005C4CE6"/>
    <w:rsid w:val="005D33F0"/>
    <w:rsid w:val="005D45D9"/>
    <w:rsid w:val="005D6EB7"/>
    <w:rsid w:val="005E0ED2"/>
    <w:rsid w:val="005E2309"/>
    <w:rsid w:val="005E30AD"/>
    <w:rsid w:val="005E3D69"/>
    <w:rsid w:val="005E4CFE"/>
    <w:rsid w:val="005E78B0"/>
    <w:rsid w:val="005F2933"/>
    <w:rsid w:val="005F4C92"/>
    <w:rsid w:val="005F56AE"/>
    <w:rsid w:val="005F76E5"/>
    <w:rsid w:val="005F7AF3"/>
    <w:rsid w:val="00602098"/>
    <w:rsid w:val="00602495"/>
    <w:rsid w:val="006039FB"/>
    <w:rsid w:val="00603FF3"/>
    <w:rsid w:val="00604C67"/>
    <w:rsid w:val="006054BB"/>
    <w:rsid w:val="00607055"/>
    <w:rsid w:val="006122BA"/>
    <w:rsid w:val="0061275F"/>
    <w:rsid w:val="00613496"/>
    <w:rsid w:val="00615288"/>
    <w:rsid w:val="006157F9"/>
    <w:rsid w:val="006179E6"/>
    <w:rsid w:val="00620FDE"/>
    <w:rsid w:val="00621EA1"/>
    <w:rsid w:val="006239F2"/>
    <w:rsid w:val="00627DEB"/>
    <w:rsid w:val="006312EF"/>
    <w:rsid w:val="00632E72"/>
    <w:rsid w:val="00633BA2"/>
    <w:rsid w:val="00637078"/>
    <w:rsid w:val="00637757"/>
    <w:rsid w:val="00640937"/>
    <w:rsid w:val="006412B3"/>
    <w:rsid w:val="00641CF8"/>
    <w:rsid w:val="00642EA7"/>
    <w:rsid w:val="00645579"/>
    <w:rsid w:val="00645759"/>
    <w:rsid w:val="00646638"/>
    <w:rsid w:val="00650665"/>
    <w:rsid w:val="00651927"/>
    <w:rsid w:val="00651A27"/>
    <w:rsid w:val="006569C8"/>
    <w:rsid w:val="00661094"/>
    <w:rsid w:val="006622B4"/>
    <w:rsid w:val="00662AA2"/>
    <w:rsid w:val="00663606"/>
    <w:rsid w:val="00664A9F"/>
    <w:rsid w:val="006654C6"/>
    <w:rsid w:val="00666B21"/>
    <w:rsid w:val="00667382"/>
    <w:rsid w:val="00671160"/>
    <w:rsid w:val="00671C6D"/>
    <w:rsid w:val="006739D0"/>
    <w:rsid w:val="00676129"/>
    <w:rsid w:val="0068012A"/>
    <w:rsid w:val="00680DFC"/>
    <w:rsid w:val="00682EBC"/>
    <w:rsid w:val="00683C43"/>
    <w:rsid w:val="00685244"/>
    <w:rsid w:val="00690988"/>
    <w:rsid w:val="00690DBC"/>
    <w:rsid w:val="006930D4"/>
    <w:rsid w:val="006943AE"/>
    <w:rsid w:val="00694DB6"/>
    <w:rsid w:val="0069525C"/>
    <w:rsid w:val="0069603A"/>
    <w:rsid w:val="00697C81"/>
    <w:rsid w:val="006A0AF6"/>
    <w:rsid w:val="006A0E5B"/>
    <w:rsid w:val="006A170B"/>
    <w:rsid w:val="006A393F"/>
    <w:rsid w:val="006A5104"/>
    <w:rsid w:val="006B1DAD"/>
    <w:rsid w:val="006B1FB4"/>
    <w:rsid w:val="006B21B9"/>
    <w:rsid w:val="006B2290"/>
    <w:rsid w:val="006B3178"/>
    <w:rsid w:val="006B4A0C"/>
    <w:rsid w:val="006B6A2D"/>
    <w:rsid w:val="006B76A8"/>
    <w:rsid w:val="006B7F14"/>
    <w:rsid w:val="006C01A8"/>
    <w:rsid w:val="006C16C8"/>
    <w:rsid w:val="006C1F1A"/>
    <w:rsid w:val="006C6DC9"/>
    <w:rsid w:val="006C777B"/>
    <w:rsid w:val="006D22E6"/>
    <w:rsid w:val="006D2A57"/>
    <w:rsid w:val="006D2FAF"/>
    <w:rsid w:val="006D34C8"/>
    <w:rsid w:val="006D36EA"/>
    <w:rsid w:val="006D44FF"/>
    <w:rsid w:val="006D63E5"/>
    <w:rsid w:val="006E18EC"/>
    <w:rsid w:val="006E3A75"/>
    <w:rsid w:val="006E5688"/>
    <w:rsid w:val="006E5A71"/>
    <w:rsid w:val="006E743F"/>
    <w:rsid w:val="006F3B7E"/>
    <w:rsid w:val="006F3F07"/>
    <w:rsid w:val="006F6AF2"/>
    <w:rsid w:val="006F7AA2"/>
    <w:rsid w:val="00700096"/>
    <w:rsid w:val="00700F04"/>
    <w:rsid w:val="00703A10"/>
    <w:rsid w:val="00704B75"/>
    <w:rsid w:val="00705C3D"/>
    <w:rsid w:val="00706339"/>
    <w:rsid w:val="00710269"/>
    <w:rsid w:val="007130D3"/>
    <w:rsid w:val="007137CD"/>
    <w:rsid w:val="007147E2"/>
    <w:rsid w:val="00717D88"/>
    <w:rsid w:val="00720771"/>
    <w:rsid w:val="00724DDF"/>
    <w:rsid w:val="00725E29"/>
    <w:rsid w:val="0073048B"/>
    <w:rsid w:val="00732E9E"/>
    <w:rsid w:val="00733FC4"/>
    <w:rsid w:val="00735756"/>
    <w:rsid w:val="00736A73"/>
    <w:rsid w:val="0073799D"/>
    <w:rsid w:val="007400AA"/>
    <w:rsid w:val="00740795"/>
    <w:rsid w:val="007429C1"/>
    <w:rsid w:val="007438CD"/>
    <w:rsid w:val="00743CD3"/>
    <w:rsid w:val="00745B42"/>
    <w:rsid w:val="00747098"/>
    <w:rsid w:val="00752F13"/>
    <w:rsid w:val="00755215"/>
    <w:rsid w:val="00755DEE"/>
    <w:rsid w:val="007600A1"/>
    <w:rsid w:val="007629C1"/>
    <w:rsid w:val="00764597"/>
    <w:rsid w:val="0076553E"/>
    <w:rsid w:val="00770FA9"/>
    <w:rsid w:val="00772B87"/>
    <w:rsid w:val="0077351F"/>
    <w:rsid w:val="00773F9A"/>
    <w:rsid w:val="00775A1C"/>
    <w:rsid w:val="0078442C"/>
    <w:rsid w:val="00786056"/>
    <w:rsid w:val="00791BAF"/>
    <w:rsid w:val="0079266A"/>
    <w:rsid w:val="007933A1"/>
    <w:rsid w:val="007942D3"/>
    <w:rsid w:val="007967EA"/>
    <w:rsid w:val="007A01A7"/>
    <w:rsid w:val="007A09CB"/>
    <w:rsid w:val="007A185D"/>
    <w:rsid w:val="007A21AD"/>
    <w:rsid w:val="007A2BB2"/>
    <w:rsid w:val="007A3FEE"/>
    <w:rsid w:val="007A69F0"/>
    <w:rsid w:val="007A707F"/>
    <w:rsid w:val="007B00CD"/>
    <w:rsid w:val="007B1ECB"/>
    <w:rsid w:val="007B2099"/>
    <w:rsid w:val="007B2531"/>
    <w:rsid w:val="007B341C"/>
    <w:rsid w:val="007B59C2"/>
    <w:rsid w:val="007B62D6"/>
    <w:rsid w:val="007B6C09"/>
    <w:rsid w:val="007B7741"/>
    <w:rsid w:val="007B789B"/>
    <w:rsid w:val="007B7EF2"/>
    <w:rsid w:val="007C1227"/>
    <w:rsid w:val="007C1268"/>
    <w:rsid w:val="007C3261"/>
    <w:rsid w:val="007C3366"/>
    <w:rsid w:val="007C4169"/>
    <w:rsid w:val="007C47FA"/>
    <w:rsid w:val="007C4DFD"/>
    <w:rsid w:val="007C58D0"/>
    <w:rsid w:val="007C79CF"/>
    <w:rsid w:val="007D00D9"/>
    <w:rsid w:val="007D0676"/>
    <w:rsid w:val="007D250F"/>
    <w:rsid w:val="007D4B87"/>
    <w:rsid w:val="007D5202"/>
    <w:rsid w:val="007D59F3"/>
    <w:rsid w:val="007D5E4F"/>
    <w:rsid w:val="007E09DA"/>
    <w:rsid w:val="007E3C65"/>
    <w:rsid w:val="007E3E5D"/>
    <w:rsid w:val="007E702F"/>
    <w:rsid w:val="007E7267"/>
    <w:rsid w:val="007F027C"/>
    <w:rsid w:val="007F0A7C"/>
    <w:rsid w:val="007F0CA8"/>
    <w:rsid w:val="007F0CE8"/>
    <w:rsid w:val="007F0D04"/>
    <w:rsid w:val="007F20F0"/>
    <w:rsid w:val="00800DA6"/>
    <w:rsid w:val="0080279B"/>
    <w:rsid w:val="00803E64"/>
    <w:rsid w:val="00803FCA"/>
    <w:rsid w:val="008043D9"/>
    <w:rsid w:val="008068EB"/>
    <w:rsid w:val="00806A02"/>
    <w:rsid w:val="00807192"/>
    <w:rsid w:val="00807D15"/>
    <w:rsid w:val="0081018E"/>
    <w:rsid w:val="00811965"/>
    <w:rsid w:val="008127F1"/>
    <w:rsid w:val="008178B6"/>
    <w:rsid w:val="008213B9"/>
    <w:rsid w:val="00821415"/>
    <w:rsid w:val="00821DE4"/>
    <w:rsid w:val="00822EE0"/>
    <w:rsid w:val="00824D43"/>
    <w:rsid w:val="00827FEE"/>
    <w:rsid w:val="00832B82"/>
    <w:rsid w:val="008331D8"/>
    <w:rsid w:val="00835078"/>
    <w:rsid w:val="00835E06"/>
    <w:rsid w:val="00836CC0"/>
    <w:rsid w:val="00844530"/>
    <w:rsid w:val="00846496"/>
    <w:rsid w:val="00846C5C"/>
    <w:rsid w:val="008514E7"/>
    <w:rsid w:val="00852F81"/>
    <w:rsid w:val="00853231"/>
    <w:rsid w:val="00855AFF"/>
    <w:rsid w:val="008561B7"/>
    <w:rsid w:val="00860236"/>
    <w:rsid w:val="00860832"/>
    <w:rsid w:val="008615BB"/>
    <w:rsid w:val="00862C6C"/>
    <w:rsid w:val="00864098"/>
    <w:rsid w:val="00864A31"/>
    <w:rsid w:val="0086569F"/>
    <w:rsid w:val="00865B05"/>
    <w:rsid w:val="00865B74"/>
    <w:rsid w:val="008703E8"/>
    <w:rsid w:val="00870557"/>
    <w:rsid w:val="00870B5E"/>
    <w:rsid w:val="00870DA1"/>
    <w:rsid w:val="00870FD9"/>
    <w:rsid w:val="008736E8"/>
    <w:rsid w:val="00873CDB"/>
    <w:rsid w:val="00875D3A"/>
    <w:rsid w:val="00877CD0"/>
    <w:rsid w:val="00877FF2"/>
    <w:rsid w:val="00880508"/>
    <w:rsid w:val="00880BFC"/>
    <w:rsid w:val="0088174B"/>
    <w:rsid w:val="008832EC"/>
    <w:rsid w:val="00883FB0"/>
    <w:rsid w:val="00884632"/>
    <w:rsid w:val="008870DF"/>
    <w:rsid w:val="008905BE"/>
    <w:rsid w:val="00891D4C"/>
    <w:rsid w:val="0089394D"/>
    <w:rsid w:val="00894EAA"/>
    <w:rsid w:val="008974F0"/>
    <w:rsid w:val="008A01F7"/>
    <w:rsid w:val="008A19E5"/>
    <w:rsid w:val="008A3533"/>
    <w:rsid w:val="008A3CFB"/>
    <w:rsid w:val="008A3F64"/>
    <w:rsid w:val="008B012A"/>
    <w:rsid w:val="008B2708"/>
    <w:rsid w:val="008B3CFD"/>
    <w:rsid w:val="008B740B"/>
    <w:rsid w:val="008C203D"/>
    <w:rsid w:val="008C25D7"/>
    <w:rsid w:val="008C378F"/>
    <w:rsid w:val="008D023E"/>
    <w:rsid w:val="008D3F88"/>
    <w:rsid w:val="008D4E5D"/>
    <w:rsid w:val="008D5232"/>
    <w:rsid w:val="008D5532"/>
    <w:rsid w:val="008E40F5"/>
    <w:rsid w:val="008E4707"/>
    <w:rsid w:val="008E564B"/>
    <w:rsid w:val="008E789F"/>
    <w:rsid w:val="008E7FEE"/>
    <w:rsid w:val="008F42EA"/>
    <w:rsid w:val="008F626F"/>
    <w:rsid w:val="0090075A"/>
    <w:rsid w:val="009033D3"/>
    <w:rsid w:val="009055B6"/>
    <w:rsid w:val="00906AF9"/>
    <w:rsid w:val="00906E17"/>
    <w:rsid w:val="00910AF6"/>
    <w:rsid w:val="00914008"/>
    <w:rsid w:val="00915A52"/>
    <w:rsid w:val="00917564"/>
    <w:rsid w:val="009219D6"/>
    <w:rsid w:val="00923A6F"/>
    <w:rsid w:val="00923CF8"/>
    <w:rsid w:val="009251DA"/>
    <w:rsid w:val="00925F15"/>
    <w:rsid w:val="00927B64"/>
    <w:rsid w:val="00930BA1"/>
    <w:rsid w:val="0093132A"/>
    <w:rsid w:val="0093157A"/>
    <w:rsid w:val="0093169E"/>
    <w:rsid w:val="009337CF"/>
    <w:rsid w:val="00933E3B"/>
    <w:rsid w:val="00933F2C"/>
    <w:rsid w:val="00934F5C"/>
    <w:rsid w:val="009403BC"/>
    <w:rsid w:val="00942CC3"/>
    <w:rsid w:val="0094458E"/>
    <w:rsid w:val="009450C5"/>
    <w:rsid w:val="009505C9"/>
    <w:rsid w:val="00950752"/>
    <w:rsid w:val="009513B3"/>
    <w:rsid w:val="00951B1F"/>
    <w:rsid w:val="0095385B"/>
    <w:rsid w:val="00961EDE"/>
    <w:rsid w:val="00966424"/>
    <w:rsid w:val="00967183"/>
    <w:rsid w:val="00970814"/>
    <w:rsid w:val="00971AFF"/>
    <w:rsid w:val="009722A4"/>
    <w:rsid w:val="00977913"/>
    <w:rsid w:val="0098098A"/>
    <w:rsid w:val="009811E5"/>
    <w:rsid w:val="00984CBA"/>
    <w:rsid w:val="009850A8"/>
    <w:rsid w:val="00987896"/>
    <w:rsid w:val="00993CF1"/>
    <w:rsid w:val="00993D71"/>
    <w:rsid w:val="00996828"/>
    <w:rsid w:val="00996B32"/>
    <w:rsid w:val="00997FFD"/>
    <w:rsid w:val="009A0A69"/>
    <w:rsid w:val="009A48E2"/>
    <w:rsid w:val="009B1493"/>
    <w:rsid w:val="009B1706"/>
    <w:rsid w:val="009B1A75"/>
    <w:rsid w:val="009B2D64"/>
    <w:rsid w:val="009B5F63"/>
    <w:rsid w:val="009B7C8F"/>
    <w:rsid w:val="009C042B"/>
    <w:rsid w:val="009C2DE6"/>
    <w:rsid w:val="009C3025"/>
    <w:rsid w:val="009C3F87"/>
    <w:rsid w:val="009C71E8"/>
    <w:rsid w:val="009D0451"/>
    <w:rsid w:val="009D1097"/>
    <w:rsid w:val="009D1DC6"/>
    <w:rsid w:val="009D476F"/>
    <w:rsid w:val="009D4FF8"/>
    <w:rsid w:val="009D54E8"/>
    <w:rsid w:val="009D5729"/>
    <w:rsid w:val="009D5A4B"/>
    <w:rsid w:val="009D5E7C"/>
    <w:rsid w:val="009D5FC6"/>
    <w:rsid w:val="009E2533"/>
    <w:rsid w:val="009E2B55"/>
    <w:rsid w:val="009E3373"/>
    <w:rsid w:val="009E3CF1"/>
    <w:rsid w:val="009E6273"/>
    <w:rsid w:val="009F0F54"/>
    <w:rsid w:val="009F501F"/>
    <w:rsid w:val="009F649B"/>
    <w:rsid w:val="00A0691E"/>
    <w:rsid w:val="00A069AB"/>
    <w:rsid w:val="00A077D8"/>
    <w:rsid w:val="00A12E3E"/>
    <w:rsid w:val="00A135B7"/>
    <w:rsid w:val="00A14FBF"/>
    <w:rsid w:val="00A17A97"/>
    <w:rsid w:val="00A2310E"/>
    <w:rsid w:val="00A247FB"/>
    <w:rsid w:val="00A2484C"/>
    <w:rsid w:val="00A276E1"/>
    <w:rsid w:val="00A301C7"/>
    <w:rsid w:val="00A30A64"/>
    <w:rsid w:val="00A324AA"/>
    <w:rsid w:val="00A3266B"/>
    <w:rsid w:val="00A32B76"/>
    <w:rsid w:val="00A3381A"/>
    <w:rsid w:val="00A34181"/>
    <w:rsid w:val="00A350C3"/>
    <w:rsid w:val="00A35C6E"/>
    <w:rsid w:val="00A36FC9"/>
    <w:rsid w:val="00A3724C"/>
    <w:rsid w:val="00A40223"/>
    <w:rsid w:val="00A41501"/>
    <w:rsid w:val="00A43F25"/>
    <w:rsid w:val="00A46A4B"/>
    <w:rsid w:val="00A50395"/>
    <w:rsid w:val="00A52829"/>
    <w:rsid w:val="00A5774A"/>
    <w:rsid w:val="00A668A6"/>
    <w:rsid w:val="00A66E41"/>
    <w:rsid w:val="00A730BC"/>
    <w:rsid w:val="00A74C55"/>
    <w:rsid w:val="00A75B2C"/>
    <w:rsid w:val="00A76686"/>
    <w:rsid w:val="00A81C42"/>
    <w:rsid w:val="00A86370"/>
    <w:rsid w:val="00A86545"/>
    <w:rsid w:val="00A8716D"/>
    <w:rsid w:val="00A93F76"/>
    <w:rsid w:val="00A95887"/>
    <w:rsid w:val="00AA107F"/>
    <w:rsid w:val="00AA1F6A"/>
    <w:rsid w:val="00AA2126"/>
    <w:rsid w:val="00AA2528"/>
    <w:rsid w:val="00AA588F"/>
    <w:rsid w:val="00AA6F92"/>
    <w:rsid w:val="00AA76BC"/>
    <w:rsid w:val="00AB4416"/>
    <w:rsid w:val="00AB4CF5"/>
    <w:rsid w:val="00AB6934"/>
    <w:rsid w:val="00AB7864"/>
    <w:rsid w:val="00AB7ECF"/>
    <w:rsid w:val="00AC2FD2"/>
    <w:rsid w:val="00AC3C36"/>
    <w:rsid w:val="00AC6BD3"/>
    <w:rsid w:val="00AC7C52"/>
    <w:rsid w:val="00AD6A97"/>
    <w:rsid w:val="00AD6BA0"/>
    <w:rsid w:val="00AE221C"/>
    <w:rsid w:val="00AE555C"/>
    <w:rsid w:val="00AF1AF7"/>
    <w:rsid w:val="00AF2A62"/>
    <w:rsid w:val="00AF3251"/>
    <w:rsid w:val="00AF42DE"/>
    <w:rsid w:val="00AF46F4"/>
    <w:rsid w:val="00AF5D9B"/>
    <w:rsid w:val="00AF77BA"/>
    <w:rsid w:val="00B00053"/>
    <w:rsid w:val="00B013C2"/>
    <w:rsid w:val="00B027F7"/>
    <w:rsid w:val="00B039D0"/>
    <w:rsid w:val="00B05642"/>
    <w:rsid w:val="00B0640B"/>
    <w:rsid w:val="00B06710"/>
    <w:rsid w:val="00B07CE5"/>
    <w:rsid w:val="00B1288E"/>
    <w:rsid w:val="00B12E91"/>
    <w:rsid w:val="00B17F6C"/>
    <w:rsid w:val="00B20E1C"/>
    <w:rsid w:val="00B26923"/>
    <w:rsid w:val="00B3041F"/>
    <w:rsid w:val="00B3369F"/>
    <w:rsid w:val="00B475E8"/>
    <w:rsid w:val="00B50E31"/>
    <w:rsid w:val="00B51A15"/>
    <w:rsid w:val="00B52017"/>
    <w:rsid w:val="00B52173"/>
    <w:rsid w:val="00B541D6"/>
    <w:rsid w:val="00B543AA"/>
    <w:rsid w:val="00B55FBC"/>
    <w:rsid w:val="00B57916"/>
    <w:rsid w:val="00B60D6B"/>
    <w:rsid w:val="00B668F0"/>
    <w:rsid w:val="00B71E32"/>
    <w:rsid w:val="00B7524B"/>
    <w:rsid w:val="00B75A56"/>
    <w:rsid w:val="00B75D01"/>
    <w:rsid w:val="00B768ED"/>
    <w:rsid w:val="00B77B3C"/>
    <w:rsid w:val="00B80B74"/>
    <w:rsid w:val="00B80FE8"/>
    <w:rsid w:val="00B82E53"/>
    <w:rsid w:val="00B86DB8"/>
    <w:rsid w:val="00B87290"/>
    <w:rsid w:val="00B90C26"/>
    <w:rsid w:val="00B91B4D"/>
    <w:rsid w:val="00B92687"/>
    <w:rsid w:val="00B92E83"/>
    <w:rsid w:val="00B93330"/>
    <w:rsid w:val="00B93D9F"/>
    <w:rsid w:val="00B94E6C"/>
    <w:rsid w:val="00B95308"/>
    <w:rsid w:val="00B9567C"/>
    <w:rsid w:val="00B96B20"/>
    <w:rsid w:val="00BA1062"/>
    <w:rsid w:val="00BA3B8D"/>
    <w:rsid w:val="00BA4C2E"/>
    <w:rsid w:val="00BA4FB1"/>
    <w:rsid w:val="00BA693E"/>
    <w:rsid w:val="00BA73FF"/>
    <w:rsid w:val="00BB0FA9"/>
    <w:rsid w:val="00BB1B67"/>
    <w:rsid w:val="00BB3F08"/>
    <w:rsid w:val="00BB4606"/>
    <w:rsid w:val="00BB533E"/>
    <w:rsid w:val="00BB6B8E"/>
    <w:rsid w:val="00BB6D1F"/>
    <w:rsid w:val="00BC11AD"/>
    <w:rsid w:val="00BC4984"/>
    <w:rsid w:val="00BC651B"/>
    <w:rsid w:val="00BD00B3"/>
    <w:rsid w:val="00BD0F35"/>
    <w:rsid w:val="00BD1E1F"/>
    <w:rsid w:val="00BD37D3"/>
    <w:rsid w:val="00BD4D97"/>
    <w:rsid w:val="00BD5469"/>
    <w:rsid w:val="00BE7D5E"/>
    <w:rsid w:val="00BF0005"/>
    <w:rsid w:val="00BF13B2"/>
    <w:rsid w:val="00BF29D2"/>
    <w:rsid w:val="00BF4C5D"/>
    <w:rsid w:val="00BF5A18"/>
    <w:rsid w:val="00C0061D"/>
    <w:rsid w:val="00C00703"/>
    <w:rsid w:val="00C10CD9"/>
    <w:rsid w:val="00C11485"/>
    <w:rsid w:val="00C13493"/>
    <w:rsid w:val="00C135CC"/>
    <w:rsid w:val="00C147DE"/>
    <w:rsid w:val="00C15D15"/>
    <w:rsid w:val="00C20D59"/>
    <w:rsid w:val="00C217DC"/>
    <w:rsid w:val="00C218F6"/>
    <w:rsid w:val="00C232CE"/>
    <w:rsid w:val="00C23D2F"/>
    <w:rsid w:val="00C254B5"/>
    <w:rsid w:val="00C255E4"/>
    <w:rsid w:val="00C2594C"/>
    <w:rsid w:val="00C26924"/>
    <w:rsid w:val="00C27396"/>
    <w:rsid w:val="00C304E6"/>
    <w:rsid w:val="00C3190F"/>
    <w:rsid w:val="00C31AC6"/>
    <w:rsid w:val="00C3306F"/>
    <w:rsid w:val="00C34B69"/>
    <w:rsid w:val="00C356E0"/>
    <w:rsid w:val="00C415DA"/>
    <w:rsid w:val="00C41A2E"/>
    <w:rsid w:val="00C41B1A"/>
    <w:rsid w:val="00C41C95"/>
    <w:rsid w:val="00C439A2"/>
    <w:rsid w:val="00C4417F"/>
    <w:rsid w:val="00C443BD"/>
    <w:rsid w:val="00C44475"/>
    <w:rsid w:val="00C451C5"/>
    <w:rsid w:val="00C45FA1"/>
    <w:rsid w:val="00C47142"/>
    <w:rsid w:val="00C47826"/>
    <w:rsid w:val="00C5073C"/>
    <w:rsid w:val="00C55B82"/>
    <w:rsid w:val="00C64049"/>
    <w:rsid w:val="00C651B2"/>
    <w:rsid w:val="00C6623C"/>
    <w:rsid w:val="00C6648D"/>
    <w:rsid w:val="00C6686B"/>
    <w:rsid w:val="00C673C5"/>
    <w:rsid w:val="00C67634"/>
    <w:rsid w:val="00C70CA4"/>
    <w:rsid w:val="00C73271"/>
    <w:rsid w:val="00C75062"/>
    <w:rsid w:val="00C75974"/>
    <w:rsid w:val="00C76584"/>
    <w:rsid w:val="00C8155C"/>
    <w:rsid w:val="00C8466B"/>
    <w:rsid w:val="00C85596"/>
    <w:rsid w:val="00C8784E"/>
    <w:rsid w:val="00C907FD"/>
    <w:rsid w:val="00C90A14"/>
    <w:rsid w:val="00C9161D"/>
    <w:rsid w:val="00C97C56"/>
    <w:rsid w:val="00CA0AB1"/>
    <w:rsid w:val="00CA0C1D"/>
    <w:rsid w:val="00CA312C"/>
    <w:rsid w:val="00CA3DF0"/>
    <w:rsid w:val="00CA4582"/>
    <w:rsid w:val="00CA56C3"/>
    <w:rsid w:val="00CA658B"/>
    <w:rsid w:val="00CA6C38"/>
    <w:rsid w:val="00CA7519"/>
    <w:rsid w:val="00CB1709"/>
    <w:rsid w:val="00CB20F9"/>
    <w:rsid w:val="00CB29E2"/>
    <w:rsid w:val="00CB2EBD"/>
    <w:rsid w:val="00CB4F2A"/>
    <w:rsid w:val="00CB5BBD"/>
    <w:rsid w:val="00CB62A9"/>
    <w:rsid w:val="00CB693D"/>
    <w:rsid w:val="00CB7A0B"/>
    <w:rsid w:val="00CB7FE9"/>
    <w:rsid w:val="00CC072B"/>
    <w:rsid w:val="00CC0C4B"/>
    <w:rsid w:val="00CC5BBA"/>
    <w:rsid w:val="00CD1654"/>
    <w:rsid w:val="00CD292B"/>
    <w:rsid w:val="00CD29C5"/>
    <w:rsid w:val="00CD2E99"/>
    <w:rsid w:val="00CD4022"/>
    <w:rsid w:val="00CD5462"/>
    <w:rsid w:val="00CD5A8E"/>
    <w:rsid w:val="00CD6275"/>
    <w:rsid w:val="00CD6390"/>
    <w:rsid w:val="00CD63F9"/>
    <w:rsid w:val="00CD69F3"/>
    <w:rsid w:val="00CD702A"/>
    <w:rsid w:val="00CE02A8"/>
    <w:rsid w:val="00CE2663"/>
    <w:rsid w:val="00CE4D10"/>
    <w:rsid w:val="00CE604B"/>
    <w:rsid w:val="00CE737B"/>
    <w:rsid w:val="00CF07CB"/>
    <w:rsid w:val="00CF08E3"/>
    <w:rsid w:val="00CF1848"/>
    <w:rsid w:val="00CF3FEB"/>
    <w:rsid w:val="00CF4DAC"/>
    <w:rsid w:val="00CF6834"/>
    <w:rsid w:val="00CF6D5A"/>
    <w:rsid w:val="00CF7A56"/>
    <w:rsid w:val="00D0241E"/>
    <w:rsid w:val="00D0307F"/>
    <w:rsid w:val="00D039D9"/>
    <w:rsid w:val="00D06F85"/>
    <w:rsid w:val="00D100F7"/>
    <w:rsid w:val="00D11FE2"/>
    <w:rsid w:val="00D12044"/>
    <w:rsid w:val="00D12EAF"/>
    <w:rsid w:val="00D13149"/>
    <w:rsid w:val="00D14E16"/>
    <w:rsid w:val="00D1520E"/>
    <w:rsid w:val="00D157B8"/>
    <w:rsid w:val="00D17E9D"/>
    <w:rsid w:val="00D21850"/>
    <w:rsid w:val="00D24F4C"/>
    <w:rsid w:val="00D33EFC"/>
    <w:rsid w:val="00D33FB0"/>
    <w:rsid w:val="00D3437E"/>
    <w:rsid w:val="00D34515"/>
    <w:rsid w:val="00D35227"/>
    <w:rsid w:val="00D36515"/>
    <w:rsid w:val="00D37C01"/>
    <w:rsid w:val="00D4071D"/>
    <w:rsid w:val="00D40DBC"/>
    <w:rsid w:val="00D41088"/>
    <w:rsid w:val="00D41C08"/>
    <w:rsid w:val="00D43907"/>
    <w:rsid w:val="00D4421E"/>
    <w:rsid w:val="00D443C5"/>
    <w:rsid w:val="00D464B1"/>
    <w:rsid w:val="00D5478E"/>
    <w:rsid w:val="00D55C26"/>
    <w:rsid w:val="00D56DC3"/>
    <w:rsid w:val="00D57B62"/>
    <w:rsid w:val="00D67730"/>
    <w:rsid w:val="00D765EE"/>
    <w:rsid w:val="00D76605"/>
    <w:rsid w:val="00D76A18"/>
    <w:rsid w:val="00D77560"/>
    <w:rsid w:val="00D77B46"/>
    <w:rsid w:val="00D8015F"/>
    <w:rsid w:val="00D80849"/>
    <w:rsid w:val="00D82E8F"/>
    <w:rsid w:val="00D83A7D"/>
    <w:rsid w:val="00D8487C"/>
    <w:rsid w:val="00D87A53"/>
    <w:rsid w:val="00D87EA2"/>
    <w:rsid w:val="00D91513"/>
    <w:rsid w:val="00D92850"/>
    <w:rsid w:val="00D92A35"/>
    <w:rsid w:val="00D92D2F"/>
    <w:rsid w:val="00D934B1"/>
    <w:rsid w:val="00D93531"/>
    <w:rsid w:val="00D94633"/>
    <w:rsid w:val="00D952A9"/>
    <w:rsid w:val="00D962BC"/>
    <w:rsid w:val="00D96B72"/>
    <w:rsid w:val="00D9786D"/>
    <w:rsid w:val="00DA1E51"/>
    <w:rsid w:val="00DA2529"/>
    <w:rsid w:val="00DA2738"/>
    <w:rsid w:val="00DA36D8"/>
    <w:rsid w:val="00DA4248"/>
    <w:rsid w:val="00DA4458"/>
    <w:rsid w:val="00DA5439"/>
    <w:rsid w:val="00DA56DD"/>
    <w:rsid w:val="00DB4BFE"/>
    <w:rsid w:val="00DB5BD2"/>
    <w:rsid w:val="00DC073B"/>
    <w:rsid w:val="00DC0B54"/>
    <w:rsid w:val="00DC12D8"/>
    <w:rsid w:val="00DC2CC8"/>
    <w:rsid w:val="00DC54A9"/>
    <w:rsid w:val="00DD0AA1"/>
    <w:rsid w:val="00DD118C"/>
    <w:rsid w:val="00DD32AF"/>
    <w:rsid w:val="00DD33CC"/>
    <w:rsid w:val="00DE0123"/>
    <w:rsid w:val="00DE04BF"/>
    <w:rsid w:val="00DE1768"/>
    <w:rsid w:val="00DE1F31"/>
    <w:rsid w:val="00DE4F53"/>
    <w:rsid w:val="00DE75A9"/>
    <w:rsid w:val="00DF0079"/>
    <w:rsid w:val="00DF1073"/>
    <w:rsid w:val="00DF4DEF"/>
    <w:rsid w:val="00DF5B33"/>
    <w:rsid w:val="00E053B9"/>
    <w:rsid w:val="00E05B97"/>
    <w:rsid w:val="00E105B6"/>
    <w:rsid w:val="00E11100"/>
    <w:rsid w:val="00E155BF"/>
    <w:rsid w:val="00E15704"/>
    <w:rsid w:val="00E157AD"/>
    <w:rsid w:val="00E15CF3"/>
    <w:rsid w:val="00E16637"/>
    <w:rsid w:val="00E17703"/>
    <w:rsid w:val="00E21C50"/>
    <w:rsid w:val="00E231FB"/>
    <w:rsid w:val="00E23E91"/>
    <w:rsid w:val="00E253DB"/>
    <w:rsid w:val="00E27936"/>
    <w:rsid w:val="00E30CE6"/>
    <w:rsid w:val="00E30F64"/>
    <w:rsid w:val="00E33655"/>
    <w:rsid w:val="00E3622B"/>
    <w:rsid w:val="00E40222"/>
    <w:rsid w:val="00E40A62"/>
    <w:rsid w:val="00E41240"/>
    <w:rsid w:val="00E4237E"/>
    <w:rsid w:val="00E42551"/>
    <w:rsid w:val="00E42FCC"/>
    <w:rsid w:val="00E438BF"/>
    <w:rsid w:val="00E45173"/>
    <w:rsid w:val="00E50824"/>
    <w:rsid w:val="00E509BA"/>
    <w:rsid w:val="00E53442"/>
    <w:rsid w:val="00E55CAD"/>
    <w:rsid w:val="00E56000"/>
    <w:rsid w:val="00E57609"/>
    <w:rsid w:val="00E57D85"/>
    <w:rsid w:val="00E6159A"/>
    <w:rsid w:val="00E62233"/>
    <w:rsid w:val="00E66235"/>
    <w:rsid w:val="00E663FD"/>
    <w:rsid w:val="00E66CB3"/>
    <w:rsid w:val="00E7060A"/>
    <w:rsid w:val="00E70A2D"/>
    <w:rsid w:val="00E721B5"/>
    <w:rsid w:val="00E745DD"/>
    <w:rsid w:val="00E74EED"/>
    <w:rsid w:val="00E82989"/>
    <w:rsid w:val="00E830DC"/>
    <w:rsid w:val="00E83C24"/>
    <w:rsid w:val="00E8409D"/>
    <w:rsid w:val="00E85BFD"/>
    <w:rsid w:val="00E869CB"/>
    <w:rsid w:val="00E86AB4"/>
    <w:rsid w:val="00E86DA3"/>
    <w:rsid w:val="00E90CF9"/>
    <w:rsid w:val="00E913E9"/>
    <w:rsid w:val="00E91804"/>
    <w:rsid w:val="00E9318D"/>
    <w:rsid w:val="00E940E5"/>
    <w:rsid w:val="00E969A8"/>
    <w:rsid w:val="00E97813"/>
    <w:rsid w:val="00EA087D"/>
    <w:rsid w:val="00EA551A"/>
    <w:rsid w:val="00EB179D"/>
    <w:rsid w:val="00EC10FF"/>
    <w:rsid w:val="00EC20FF"/>
    <w:rsid w:val="00EC2369"/>
    <w:rsid w:val="00EC4396"/>
    <w:rsid w:val="00EC4E33"/>
    <w:rsid w:val="00EC6295"/>
    <w:rsid w:val="00ED2FE1"/>
    <w:rsid w:val="00ED372C"/>
    <w:rsid w:val="00ED379A"/>
    <w:rsid w:val="00ED4F77"/>
    <w:rsid w:val="00EE370F"/>
    <w:rsid w:val="00EE51E3"/>
    <w:rsid w:val="00EE5647"/>
    <w:rsid w:val="00EE5F41"/>
    <w:rsid w:val="00EE67E6"/>
    <w:rsid w:val="00EE7F52"/>
    <w:rsid w:val="00EF0CB3"/>
    <w:rsid w:val="00EF1DCB"/>
    <w:rsid w:val="00EF3D85"/>
    <w:rsid w:val="00EF4248"/>
    <w:rsid w:val="00EF7577"/>
    <w:rsid w:val="00EF768C"/>
    <w:rsid w:val="00F04A06"/>
    <w:rsid w:val="00F04B98"/>
    <w:rsid w:val="00F078CF"/>
    <w:rsid w:val="00F14F8C"/>
    <w:rsid w:val="00F150F0"/>
    <w:rsid w:val="00F15BFC"/>
    <w:rsid w:val="00F2084A"/>
    <w:rsid w:val="00F22106"/>
    <w:rsid w:val="00F2503F"/>
    <w:rsid w:val="00F30A1E"/>
    <w:rsid w:val="00F312ED"/>
    <w:rsid w:val="00F33A28"/>
    <w:rsid w:val="00F354D2"/>
    <w:rsid w:val="00F35D1E"/>
    <w:rsid w:val="00F40369"/>
    <w:rsid w:val="00F40783"/>
    <w:rsid w:val="00F43E19"/>
    <w:rsid w:val="00F463E3"/>
    <w:rsid w:val="00F511FE"/>
    <w:rsid w:val="00F53193"/>
    <w:rsid w:val="00F5357E"/>
    <w:rsid w:val="00F601EC"/>
    <w:rsid w:val="00F61343"/>
    <w:rsid w:val="00F64AFC"/>
    <w:rsid w:val="00F6586C"/>
    <w:rsid w:val="00F66C62"/>
    <w:rsid w:val="00F67321"/>
    <w:rsid w:val="00F701DF"/>
    <w:rsid w:val="00F73120"/>
    <w:rsid w:val="00F73793"/>
    <w:rsid w:val="00F80396"/>
    <w:rsid w:val="00F827FA"/>
    <w:rsid w:val="00F84FE5"/>
    <w:rsid w:val="00F865A0"/>
    <w:rsid w:val="00F90649"/>
    <w:rsid w:val="00F91028"/>
    <w:rsid w:val="00F93285"/>
    <w:rsid w:val="00F94774"/>
    <w:rsid w:val="00F96B55"/>
    <w:rsid w:val="00F979E6"/>
    <w:rsid w:val="00F97D1F"/>
    <w:rsid w:val="00FA1661"/>
    <w:rsid w:val="00FA3F77"/>
    <w:rsid w:val="00FA4014"/>
    <w:rsid w:val="00FA5708"/>
    <w:rsid w:val="00FA5F4E"/>
    <w:rsid w:val="00FA663B"/>
    <w:rsid w:val="00FB0587"/>
    <w:rsid w:val="00FB120E"/>
    <w:rsid w:val="00FB45DB"/>
    <w:rsid w:val="00FB7D33"/>
    <w:rsid w:val="00FC3E8D"/>
    <w:rsid w:val="00FC4BA7"/>
    <w:rsid w:val="00FC53DB"/>
    <w:rsid w:val="00FD278A"/>
    <w:rsid w:val="00FD4A2D"/>
    <w:rsid w:val="00FD4CCD"/>
    <w:rsid w:val="00FD6070"/>
    <w:rsid w:val="00FD70AE"/>
    <w:rsid w:val="00FD761E"/>
    <w:rsid w:val="00FE2EAF"/>
    <w:rsid w:val="00FE50A2"/>
    <w:rsid w:val="00FE51DB"/>
    <w:rsid w:val="00FE6672"/>
    <w:rsid w:val="00FE79A5"/>
    <w:rsid w:val="00FF0394"/>
    <w:rsid w:val="00FF0FF6"/>
    <w:rsid w:val="00FF6442"/>
    <w:rsid w:val="00FF79BE"/>
    <w:rsid w:val="00FF7C98"/>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344B5DE"/>
  <w15:docId w15:val="{84E50E73-320E-422E-9A81-B563B3E24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7211"/>
    <w:pPr>
      <w:jc w:val="both"/>
    </w:pPr>
    <w:rPr>
      <w:rFonts w:ascii="Times New Roman" w:eastAsia="Times New Roman" w:hAnsi="Times New Roman" w:cs="Times New Roman"/>
      <w:sz w:val="22"/>
    </w:rPr>
  </w:style>
  <w:style w:type="paragraph" w:styleId="Titre1">
    <w:name w:val="heading 1"/>
    <w:basedOn w:val="Normal"/>
    <w:next w:val="Titre2"/>
    <w:link w:val="Titre1Car"/>
    <w:qFormat/>
    <w:rsid w:val="007E09DA"/>
    <w:pPr>
      <w:keepNext/>
      <w:tabs>
        <w:tab w:val="left" w:pos="720"/>
      </w:tabs>
      <w:spacing w:before="240" w:after="120"/>
      <w:jc w:val="center"/>
      <w:outlineLvl w:val="0"/>
    </w:pPr>
    <w:rPr>
      <w:b/>
      <w:caps/>
    </w:rPr>
  </w:style>
  <w:style w:type="paragraph" w:styleId="Titre2">
    <w:name w:val="heading 2"/>
    <w:basedOn w:val="Normal"/>
    <w:next w:val="Normal"/>
    <w:link w:val="Titre2Car"/>
    <w:qFormat/>
    <w:rsid w:val="006122BA"/>
    <w:pPr>
      <w:keepNext/>
      <w:tabs>
        <w:tab w:val="left" w:pos="720"/>
      </w:tabs>
      <w:spacing w:before="120" w:after="120"/>
      <w:jc w:val="center"/>
      <w:outlineLvl w:val="1"/>
    </w:pPr>
    <w:rPr>
      <w:b/>
      <w:bCs/>
      <w:iCs/>
    </w:rPr>
  </w:style>
  <w:style w:type="paragraph" w:styleId="Titre3">
    <w:name w:val="heading 3"/>
    <w:basedOn w:val="Normal"/>
    <w:next w:val="Normal"/>
    <w:link w:val="Titre3Car"/>
    <w:qFormat/>
    <w:rsid w:val="007E09DA"/>
    <w:pPr>
      <w:keepNext/>
      <w:tabs>
        <w:tab w:val="left" w:pos="567"/>
      </w:tabs>
      <w:spacing w:before="120" w:after="120"/>
      <w:jc w:val="center"/>
      <w:outlineLvl w:val="2"/>
    </w:pPr>
    <w:rPr>
      <w:i/>
      <w:iCs/>
    </w:rPr>
  </w:style>
  <w:style w:type="paragraph" w:styleId="Titre4">
    <w:name w:val="heading 4"/>
    <w:basedOn w:val="Normal"/>
    <w:link w:val="Titre4Car"/>
    <w:qFormat/>
    <w:rsid w:val="007E09DA"/>
    <w:pPr>
      <w:keepNext/>
      <w:spacing w:before="120" w:after="120"/>
      <w:outlineLvl w:val="3"/>
    </w:pPr>
    <w:rPr>
      <w:rFonts w:ascii="Times New Roman Bold" w:eastAsia="Arial Unicode MS" w:hAnsi="Times New Roman Bold" w:cs="Arial"/>
      <w:b/>
      <w:bCs/>
      <w:i/>
    </w:rPr>
  </w:style>
  <w:style w:type="paragraph" w:styleId="Titre5">
    <w:name w:val="heading 5"/>
    <w:basedOn w:val="Normal"/>
    <w:next w:val="Normal"/>
    <w:link w:val="Titre5Car"/>
    <w:qFormat/>
    <w:rsid w:val="007E09DA"/>
    <w:pPr>
      <w:keepNext/>
      <w:numPr>
        <w:ilvl w:val="4"/>
        <w:numId w:val="1"/>
      </w:numPr>
      <w:spacing w:before="120" w:after="120"/>
      <w:jc w:val="left"/>
      <w:outlineLvl w:val="4"/>
    </w:pPr>
    <w:rPr>
      <w:bCs/>
      <w:i/>
      <w:szCs w:val="26"/>
    </w:rPr>
  </w:style>
  <w:style w:type="paragraph" w:styleId="Titre6">
    <w:name w:val="heading 6"/>
    <w:basedOn w:val="Normal"/>
    <w:next w:val="Normal"/>
    <w:link w:val="Titre6Car"/>
    <w:qFormat/>
    <w:rsid w:val="007E09DA"/>
    <w:pPr>
      <w:keepNext/>
      <w:spacing w:after="240" w:line="240" w:lineRule="exact"/>
      <w:ind w:left="720"/>
      <w:outlineLvl w:val="5"/>
    </w:pPr>
    <w:rPr>
      <w:u w:val="single"/>
    </w:rPr>
  </w:style>
  <w:style w:type="paragraph" w:styleId="Titre7">
    <w:name w:val="heading 7"/>
    <w:basedOn w:val="Normal"/>
    <w:next w:val="Normal"/>
    <w:link w:val="Titre7Car"/>
    <w:rsid w:val="007E09DA"/>
    <w:pPr>
      <w:keepNext/>
      <w:jc w:val="right"/>
      <w:outlineLvl w:val="6"/>
    </w:pPr>
    <w:rPr>
      <w:rFonts w:ascii="Univers" w:hAnsi="Univers"/>
      <w:b/>
      <w:sz w:val="28"/>
    </w:rPr>
  </w:style>
  <w:style w:type="paragraph" w:styleId="Titre8">
    <w:name w:val="heading 8"/>
    <w:basedOn w:val="Normal"/>
    <w:next w:val="Normal"/>
    <w:link w:val="Titre8Car"/>
    <w:qFormat/>
    <w:rsid w:val="007E09DA"/>
    <w:pPr>
      <w:keepNext/>
      <w:jc w:val="right"/>
      <w:outlineLvl w:val="7"/>
    </w:pPr>
    <w:rPr>
      <w:rFonts w:ascii="Univers" w:hAnsi="Univers"/>
      <w:b/>
      <w:sz w:val="32"/>
    </w:rPr>
  </w:style>
  <w:style w:type="paragraph" w:styleId="Titre9">
    <w:name w:val="heading 9"/>
    <w:basedOn w:val="Normal"/>
    <w:next w:val="Normal"/>
    <w:link w:val="Titre9Car"/>
    <w:rsid w:val="007E09DA"/>
    <w:pPr>
      <w:keepNext/>
      <w:spacing w:before="100" w:beforeAutospacing="1" w:after="120"/>
      <w:outlineLvl w:val="8"/>
    </w:pPr>
    <w:rPr>
      <w:i/>
      <w:i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qFormat/>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C9161D"/>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C9161D"/>
    <w:rPr>
      <w:rFonts w:ascii="Lucida Grande" w:hAnsi="Lucida Grande" w:cs="Lucida Grande"/>
      <w:sz w:val="18"/>
      <w:szCs w:val="18"/>
      <w:lang w:val="fr-CA"/>
    </w:rPr>
  </w:style>
  <w:style w:type="character" w:styleId="Textedelespacerserv">
    <w:name w:val="Placeholder Text"/>
    <w:basedOn w:val="Policepardfaut"/>
    <w:uiPriority w:val="99"/>
    <w:semiHidden/>
    <w:rsid w:val="00105372"/>
    <w:rPr>
      <w:color w:val="808080"/>
    </w:rPr>
  </w:style>
  <w:style w:type="paragraph" w:styleId="En-tte">
    <w:name w:val="header"/>
    <w:basedOn w:val="Normal"/>
    <w:link w:val="En-tteCar"/>
    <w:rsid w:val="007E09DA"/>
    <w:pPr>
      <w:tabs>
        <w:tab w:val="center" w:pos="4320"/>
        <w:tab w:val="right" w:pos="8640"/>
      </w:tabs>
    </w:pPr>
  </w:style>
  <w:style w:type="character" w:customStyle="1" w:styleId="En-tteCar">
    <w:name w:val="En-tête Car"/>
    <w:basedOn w:val="Policepardfaut"/>
    <w:link w:val="En-tte"/>
    <w:rsid w:val="00CF1848"/>
    <w:rPr>
      <w:rFonts w:ascii="Times New Roman" w:eastAsia="Times New Roman" w:hAnsi="Times New Roman" w:cs="Times New Roman"/>
      <w:sz w:val="22"/>
      <w:lang w:val="fr-CA"/>
    </w:rPr>
  </w:style>
  <w:style w:type="paragraph" w:styleId="Pieddepage">
    <w:name w:val="footer"/>
    <w:basedOn w:val="Normal"/>
    <w:link w:val="PieddepageCar"/>
    <w:rsid w:val="007E09DA"/>
    <w:pPr>
      <w:tabs>
        <w:tab w:val="center" w:pos="4320"/>
        <w:tab w:val="right" w:pos="8640"/>
      </w:tabs>
      <w:ind w:firstLine="720"/>
      <w:jc w:val="right"/>
    </w:pPr>
  </w:style>
  <w:style w:type="character" w:customStyle="1" w:styleId="PieddepageCar">
    <w:name w:val="Pied de page Car"/>
    <w:basedOn w:val="Policepardfaut"/>
    <w:link w:val="Pieddepage"/>
    <w:rsid w:val="00CF1848"/>
    <w:rPr>
      <w:rFonts w:ascii="Times New Roman" w:eastAsia="Times New Roman" w:hAnsi="Times New Roman" w:cs="Times New Roman"/>
      <w:sz w:val="22"/>
      <w:lang w:val="fr-CA"/>
    </w:rPr>
  </w:style>
  <w:style w:type="paragraph" w:customStyle="1" w:styleId="meetingname">
    <w:name w:val="meeting name"/>
    <w:basedOn w:val="Normal"/>
    <w:qFormat/>
    <w:rsid w:val="00534681"/>
    <w:pPr>
      <w:ind w:left="142" w:right="4218" w:hanging="142"/>
    </w:pPr>
    <w:rPr>
      <w:caps/>
      <w:szCs w:val="22"/>
    </w:rPr>
  </w:style>
  <w:style w:type="paragraph" w:styleId="Titre">
    <w:name w:val="Title"/>
    <w:basedOn w:val="Normal"/>
    <w:next w:val="Normal"/>
    <w:link w:val="TitreC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7E09DA"/>
    <w:rPr>
      <w:rFonts w:asciiTheme="majorHAnsi" w:eastAsiaTheme="majorEastAsia" w:hAnsiTheme="majorHAnsi" w:cstheme="majorBidi"/>
      <w:color w:val="17365D" w:themeColor="text2" w:themeShade="BF"/>
      <w:spacing w:val="5"/>
      <w:kern w:val="28"/>
      <w:sz w:val="52"/>
      <w:szCs w:val="52"/>
      <w:lang w:val="fr-CA"/>
    </w:rPr>
  </w:style>
  <w:style w:type="paragraph" w:styleId="Sous-titre">
    <w:name w:val="Subtitle"/>
    <w:basedOn w:val="Normal"/>
    <w:next w:val="Normal"/>
    <w:link w:val="Sous-titreC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ous-titreCar">
    <w:name w:val="Sous-titre Car"/>
    <w:basedOn w:val="Policepardfaut"/>
    <w:link w:val="Sous-titre"/>
    <w:uiPriority w:val="11"/>
    <w:rsid w:val="007E09DA"/>
    <w:rPr>
      <w:rFonts w:asciiTheme="majorHAnsi" w:eastAsiaTheme="majorEastAsia" w:hAnsiTheme="majorHAnsi" w:cstheme="majorBidi"/>
      <w:i/>
      <w:iCs/>
      <w:color w:val="4F81BD" w:themeColor="accent1"/>
      <w:spacing w:val="15"/>
      <w:lang w:val="fr-CA"/>
    </w:rPr>
  </w:style>
  <w:style w:type="character" w:customStyle="1" w:styleId="Titre1Car">
    <w:name w:val="Titre 1 Car"/>
    <w:basedOn w:val="Policepardfaut"/>
    <w:link w:val="Titre1"/>
    <w:rsid w:val="007E09DA"/>
    <w:rPr>
      <w:rFonts w:ascii="Times New Roman" w:eastAsia="Times New Roman" w:hAnsi="Times New Roman" w:cs="Times New Roman"/>
      <w:b/>
      <w:caps/>
      <w:sz w:val="22"/>
      <w:lang w:val="fr-CA"/>
    </w:rPr>
  </w:style>
  <w:style w:type="paragraph" w:styleId="Corpsdetexte">
    <w:name w:val="Body Text"/>
    <w:basedOn w:val="Normal"/>
    <w:link w:val="CorpsdetexteCar"/>
    <w:rsid w:val="007E09DA"/>
    <w:pPr>
      <w:spacing w:before="120" w:after="120"/>
      <w:ind w:firstLine="720"/>
    </w:pPr>
    <w:rPr>
      <w:iCs/>
    </w:rPr>
  </w:style>
  <w:style w:type="character" w:customStyle="1" w:styleId="CorpsdetexteCar">
    <w:name w:val="Corps de texte Car"/>
    <w:basedOn w:val="Policepardfaut"/>
    <w:link w:val="Corpsdetexte"/>
    <w:rsid w:val="007E09DA"/>
    <w:rPr>
      <w:rFonts w:ascii="Times New Roman" w:eastAsia="Times New Roman" w:hAnsi="Times New Roman" w:cs="Times New Roman"/>
      <w:iCs/>
      <w:sz w:val="22"/>
      <w:lang w:val="fr-CA"/>
    </w:rPr>
  </w:style>
  <w:style w:type="paragraph" w:styleId="Retraitcorpsdetexte">
    <w:name w:val="Body Text Indent"/>
    <w:basedOn w:val="Normal"/>
    <w:link w:val="RetraitcorpsdetexteCar"/>
    <w:rsid w:val="007E09DA"/>
    <w:pPr>
      <w:spacing w:before="120" w:after="120"/>
      <w:ind w:left="1440" w:hanging="720"/>
      <w:jc w:val="left"/>
    </w:pPr>
  </w:style>
  <w:style w:type="character" w:customStyle="1" w:styleId="RetraitcorpsdetexteCar">
    <w:name w:val="Retrait corps de texte Car"/>
    <w:basedOn w:val="Policepardfaut"/>
    <w:link w:val="Retraitcorpsdetexte"/>
    <w:rsid w:val="007E09DA"/>
    <w:rPr>
      <w:rFonts w:ascii="Times New Roman" w:eastAsia="Times New Roman" w:hAnsi="Times New Roman" w:cs="Times New Roman"/>
      <w:sz w:val="22"/>
      <w:lang w:val="fr-CA"/>
    </w:rPr>
  </w:style>
  <w:style w:type="character" w:styleId="Marquedecommentaire">
    <w:name w:val="annotation reference"/>
    <w:rsid w:val="007E09DA"/>
    <w:rPr>
      <w:sz w:val="16"/>
    </w:rPr>
  </w:style>
  <w:style w:type="paragraph" w:styleId="Commentaire">
    <w:name w:val="annotation text"/>
    <w:basedOn w:val="Normal"/>
    <w:link w:val="CommentaireCar"/>
    <w:rsid w:val="007E09DA"/>
    <w:pPr>
      <w:spacing w:after="120" w:line="240" w:lineRule="exact"/>
    </w:pPr>
  </w:style>
  <w:style w:type="character" w:customStyle="1" w:styleId="CommentaireCar">
    <w:name w:val="Commentaire Car"/>
    <w:basedOn w:val="Policepardfaut"/>
    <w:link w:val="Commentaire"/>
    <w:rsid w:val="007E09DA"/>
    <w:rPr>
      <w:rFonts w:ascii="Times New Roman" w:eastAsia="Times New Roman" w:hAnsi="Times New Roman" w:cs="Times New Roman"/>
      <w:sz w:val="22"/>
      <w:lang w:val="fr-CA"/>
    </w:rPr>
  </w:style>
  <w:style w:type="paragraph" w:customStyle="1" w:styleId="Cornernotation">
    <w:name w:val="Corner notation"/>
    <w:basedOn w:val="Normal"/>
    <w:rsid w:val="007E09DA"/>
    <w:pPr>
      <w:ind w:left="170" w:right="3119" w:hanging="170"/>
      <w:jc w:val="left"/>
    </w:pPr>
  </w:style>
  <w:style w:type="character" w:styleId="Appeldenotedefin">
    <w:name w:val="endnote reference"/>
    <w:semiHidden/>
    <w:rsid w:val="007E09DA"/>
    <w:rPr>
      <w:vertAlign w:val="superscript"/>
    </w:rPr>
  </w:style>
  <w:style w:type="paragraph" w:styleId="Notedefin">
    <w:name w:val="endnote text"/>
    <w:basedOn w:val="Normal"/>
    <w:link w:val="NotedefinCar"/>
    <w:semiHidden/>
    <w:rsid w:val="007E09DA"/>
    <w:pPr>
      <w:widowControl w:val="0"/>
      <w:tabs>
        <w:tab w:val="left" w:pos="-720"/>
      </w:tabs>
      <w:suppressAutoHyphens/>
    </w:pPr>
    <w:rPr>
      <w:rFonts w:ascii="Courier New" w:hAnsi="Courier New"/>
    </w:rPr>
  </w:style>
  <w:style w:type="character" w:customStyle="1" w:styleId="NotedefinCar">
    <w:name w:val="Note de fin Car"/>
    <w:basedOn w:val="Policepardfaut"/>
    <w:link w:val="Notedefin"/>
    <w:semiHidden/>
    <w:rsid w:val="007E09DA"/>
    <w:rPr>
      <w:rFonts w:ascii="Courier New" w:eastAsia="Times New Roman" w:hAnsi="Courier New" w:cs="Times New Roman"/>
      <w:sz w:val="22"/>
      <w:lang w:val="fr-CA"/>
    </w:rPr>
  </w:style>
  <w:style w:type="character" w:styleId="Lienhypertextesuivivisit">
    <w:name w:val="FollowedHyperlink"/>
    <w:rsid w:val="007E09DA"/>
    <w:rPr>
      <w:color w:val="800080"/>
      <w:u w:val="single"/>
    </w:rPr>
  </w:style>
  <w:style w:type="character" w:styleId="Appelnotedebasdep">
    <w:name w:val="footnote reference"/>
    <w:aliases w:val="number,Footnote Reference Superscript,-E Fußnotenzeichen,(Diplomarbeit FZ),(Diplomarbeit FZ)1,(Diplomarbeit FZ)2,(Diplomarbeit FZ)3,(Diplomarbeit FZ)4,(Diplomarbeit FZ)5,(Diplomarbeit FZ)6,(Diplomarbeit FZ)7,(Diplomarbeit FZ)8"/>
    <w:link w:val="BVIfnrChar"/>
    <w:uiPriority w:val="99"/>
    <w:qFormat/>
    <w:rsid w:val="00427D21"/>
    <w:rPr>
      <w:sz w:val="22"/>
      <w:u w:val="none"/>
      <w:vertAlign w:val="superscript"/>
    </w:rPr>
  </w:style>
  <w:style w:type="paragraph" w:styleId="Notedebasdepage">
    <w:name w:val="footnote text"/>
    <w:aliases w:val="Geneva 9,Font: Geneva 9,Boston 10,f,ft,Fotnotstext Char,ft Char,single space,footnote text,FOOTNOTES,ADB,single space1,footnote text1,FOOTNOTES1,fn1,ADB1,single space2,footnote text2,FOOTNOTES2,fn2,ADB2,single space3,footnote text3"/>
    <w:basedOn w:val="Normal"/>
    <w:link w:val="NotedebasdepageCar"/>
    <w:uiPriority w:val="99"/>
    <w:qFormat/>
    <w:rsid w:val="007E09DA"/>
    <w:pPr>
      <w:keepLines/>
      <w:spacing w:after="60"/>
      <w:ind w:firstLine="720"/>
    </w:pPr>
    <w:rPr>
      <w:sz w:val="18"/>
    </w:rPr>
  </w:style>
  <w:style w:type="character" w:customStyle="1" w:styleId="NotedebasdepageCar">
    <w:name w:val="Note de bas de page Car"/>
    <w:aliases w:val="Geneva 9 Car,Font: Geneva 9 Car,Boston 10 Car,f Car,ft Car,Fotnotstext Char Car,ft Char Car,single space Car,footnote text Car,FOOTNOTES Car,ADB Car,single space1 Car,footnote text1 Car,FOOTNOTES1 Car,fn1 Car,ADB1 Car,fn2 Car"/>
    <w:basedOn w:val="Policepardfaut"/>
    <w:link w:val="Notedebasdepage"/>
    <w:uiPriority w:val="99"/>
    <w:qFormat/>
    <w:rsid w:val="007E09DA"/>
    <w:rPr>
      <w:rFonts w:ascii="Times New Roman" w:eastAsia="Times New Roman" w:hAnsi="Times New Roman" w:cs="Times New Roman"/>
      <w:sz w:val="18"/>
      <w:lang w:val="fr-CA"/>
    </w:rPr>
  </w:style>
  <w:style w:type="paragraph" w:customStyle="1" w:styleId="HEADING">
    <w:name w:val="HEADING"/>
    <w:basedOn w:val="Normal"/>
    <w:rsid w:val="007E09DA"/>
    <w:pPr>
      <w:keepNext/>
      <w:spacing w:before="240" w:after="120"/>
      <w:jc w:val="center"/>
    </w:pPr>
    <w:rPr>
      <w:b/>
      <w:bCs/>
      <w:caps/>
    </w:rPr>
  </w:style>
  <w:style w:type="character" w:customStyle="1" w:styleId="Titre2Car">
    <w:name w:val="Titre 2 Car"/>
    <w:basedOn w:val="Policepardfaut"/>
    <w:link w:val="Titre2"/>
    <w:rsid w:val="006122BA"/>
    <w:rPr>
      <w:rFonts w:ascii="Times New Roman" w:eastAsia="Times New Roman" w:hAnsi="Times New Roman" w:cs="Times New Roman"/>
      <w:b/>
      <w:bCs/>
      <w:iCs/>
      <w:sz w:val="22"/>
      <w:lang w:val="fr-CA"/>
    </w:rPr>
  </w:style>
  <w:style w:type="paragraph" w:customStyle="1" w:styleId="HEADINGNOTFORTOC">
    <w:name w:val="HEADING (NOT FOR TOC)"/>
    <w:basedOn w:val="Titre1"/>
    <w:next w:val="Titre2"/>
    <w:rsid w:val="007E09DA"/>
  </w:style>
  <w:style w:type="paragraph" w:customStyle="1" w:styleId="Heading1longmultiline">
    <w:name w:val="Heading 1 (long multiline)"/>
    <w:basedOn w:val="Titre1"/>
    <w:rsid w:val="007E09DA"/>
    <w:pPr>
      <w:ind w:left="1843" w:hanging="1134"/>
      <w:jc w:val="left"/>
    </w:pPr>
  </w:style>
  <w:style w:type="paragraph" w:customStyle="1" w:styleId="Heading1multiline">
    <w:name w:val="Heading 1 (multiline)"/>
    <w:basedOn w:val="Titre1"/>
    <w:rsid w:val="007E09DA"/>
    <w:pPr>
      <w:ind w:left="1843" w:right="996" w:hanging="567"/>
      <w:jc w:val="left"/>
    </w:pPr>
  </w:style>
  <w:style w:type="paragraph" w:customStyle="1" w:styleId="Heading2multiline">
    <w:name w:val="Heading 2 (multiline)"/>
    <w:basedOn w:val="Titre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Titre3Car">
    <w:name w:val="Titre 3 Car"/>
    <w:basedOn w:val="Policepardfaut"/>
    <w:link w:val="Titre3"/>
    <w:rsid w:val="007E09DA"/>
    <w:rPr>
      <w:rFonts w:ascii="Times New Roman" w:eastAsia="Times New Roman" w:hAnsi="Times New Roman" w:cs="Times New Roman"/>
      <w:i/>
      <w:iCs/>
      <w:sz w:val="22"/>
      <w:lang w:val="fr-CA"/>
    </w:rPr>
  </w:style>
  <w:style w:type="paragraph" w:customStyle="1" w:styleId="heading2notforTOC">
    <w:name w:val="heading 2 not for TOC"/>
    <w:basedOn w:val="Titre3"/>
    <w:rsid w:val="007E09DA"/>
  </w:style>
  <w:style w:type="paragraph" w:customStyle="1" w:styleId="Heading3multiline">
    <w:name w:val="Heading 3 (multiline)"/>
    <w:basedOn w:val="Titre3"/>
    <w:next w:val="Normal"/>
    <w:rsid w:val="007E09DA"/>
    <w:pPr>
      <w:ind w:left="1418" w:hanging="425"/>
      <w:jc w:val="left"/>
    </w:pPr>
  </w:style>
  <w:style w:type="character" w:customStyle="1" w:styleId="Titre4Car">
    <w:name w:val="Titre 4 Car"/>
    <w:basedOn w:val="Policepardfaut"/>
    <w:link w:val="Titre4"/>
    <w:rsid w:val="007E09DA"/>
    <w:rPr>
      <w:rFonts w:ascii="Times New Roman Bold" w:eastAsia="Arial Unicode MS" w:hAnsi="Times New Roman Bold" w:cs="Arial"/>
      <w:b/>
      <w:bCs/>
      <w:i/>
      <w:sz w:val="22"/>
      <w:lang w:val="fr-CA"/>
    </w:rPr>
  </w:style>
  <w:style w:type="paragraph" w:customStyle="1" w:styleId="Heading4indent">
    <w:name w:val="Heading 4 indent"/>
    <w:basedOn w:val="Titre4"/>
    <w:rsid w:val="007E09DA"/>
    <w:pPr>
      <w:ind w:left="720"/>
      <w:outlineLvl w:val="9"/>
    </w:pPr>
    <w:rPr>
      <w:rFonts w:ascii="Times New Roman" w:hAnsi="Times New Roman"/>
    </w:rPr>
  </w:style>
  <w:style w:type="character" w:customStyle="1" w:styleId="Titre5Car">
    <w:name w:val="Titre 5 Car"/>
    <w:basedOn w:val="Policepardfaut"/>
    <w:link w:val="Titre5"/>
    <w:rsid w:val="007E09DA"/>
    <w:rPr>
      <w:rFonts w:ascii="Times New Roman" w:eastAsia="Times New Roman" w:hAnsi="Times New Roman" w:cs="Times New Roman"/>
      <w:bCs/>
      <w:i/>
      <w:sz w:val="22"/>
      <w:szCs w:val="26"/>
      <w:lang w:val="fr-CA"/>
    </w:rPr>
  </w:style>
  <w:style w:type="character" w:customStyle="1" w:styleId="Titre6Car">
    <w:name w:val="Titre 6 Car"/>
    <w:basedOn w:val="Policepardfaut"/>
    <w:link w:val="Titre6"/>
    <w:rsid w:val="007E09DA"/>
    <w:rPr>
      <w:rFonts w:ascii="Times New Roman" w:eastAsia="Times New Roman" w:hAnsi="Times New Roman" w:cs="Times New Roman"/>
      <w:sz w:val="22"/>
      <w:u w:val="single"/>
      <w:lang w:val="fr-CA"/>
    </w:rPr>
  </w:style>
  <w:style w:type="character" w:customStyle="1" w:styleId="Titre7Car">
    <w:name w:val="Titre 7 Car"/>
    <w:basedOn w:val="Policepardfaut"/>
    <w:link w:val="Titre7"/>
    <w:rsid w:val="007E09DA"/>
    <w:rPr>
      <w:rFonts w:ascii="Univers" w:eastAsia="Times New Roman" w:hAnsi="Univers" w:cs="Times New Roman"/>
      <w:b/>
      <w:sz w:val="28"/>
      <w:lang w:val="fr-CA"/>
    </w:rPr>
  </w:style>
  <w:style w:type="character" w:customStyle="1" w:styleId="Titre8Car">
    <w:name w:val="Titre 8 Car"/>
    <w:basedOn w:val="Policepardfaut"/>
    <w:link w:val="Titre8"/>
    <w:rsid w:val="007E09DA"/>
    <w:rPr>
      <w:rFonts w:ascii="Univers" w:eastAsia="Times New Roman" w:hAnsi="Univers" w:cs="Times New Roman"/>
      <w:b/>
      <w:sz w:val="32"/>
      <w:lang w:val="fr-CA"/>
    </w:rPr>
  </w:style>
  <w:style w:type="character" w:customStyle="1" w:styleId="Titre9Car">
    <w:name w:val="Titre 9 Car"/>
    <w:basedOn w:val="Policepardfaut"/>
    <w:link w:val="Titre9"/>
    <w:rsid w:val="007E09DA"/>
    <w:rPr>
      <w:rFonts w:ascii="Times New Roman" w:eastAsia="Times New Roman" w:hAnsi="Times New Roman" w:cs="Times New Roman"/>
      <w:i/>
      <w:iCs/>
      <w:sz w:val="22"/>
      <w:lang w:val="fr-CA"/>
    </w:rPr>
  </w:style>
  <w:style w:type="character" w:styleId="Numrodepage">
    <w:name w:val="page number"/>
    <w:rsid w:val="007E09DA"/>
    <w:rPr>
      <w:rFonts w:ascii="Times New Roman" w:hAnsi="Times New Roman"/>
      <w:sz w:val="22"/>
    </w:rPr>
  </w:style>
  <w:style w:type="paragraph" w:customStyle="1" w:styleId="Para1">
    <w:name w:val="Para1"/>
    <w:basedOn w:val="Normal"/>
    <w:link w:val="Para1Char"/>
    <w:rsid w:val="0034236F"/>
    <w:pPr>
      <w:numPr>
        <w:numId w:val="21"/>
      </w:numPr>
      <w:spacing w:after="120"/>
    </w:pPr>
    <w:rPr>
      <w:bCs/>
      <w:kern w:val="22"/>
      <w:szCs w:val="22"/>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5"/>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Titre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Titre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Titre2"/>
    <w:qFormat/>
    <w:rsid w:val="0093169E"/>
    <w:pPr>
      <w:jc w:val="left"/>
      <w:outlineLvl w:val="9"/>
    </w:pPr>
    <w:rPr>
      <w:i/>
    </w:rPr>
  </w:style>
  <w:style w:type="paragraph" w:styleId="TitreTR">
    <w:name w:val="toa heading"/>
    <w:basedOn w:val="Normal"/>
    <w:next w:val="Normal"/>
    <w:semiHidden/>
    <w:rsid w:val="007E09DA"/>
    <w:pPr>
      <w:spacing w:before="120"/>
    </w:pPr>
    <w:rPr>
      <w:rFonts w:cs="Arial"/>
      <w:b/>
      <w:bCs/>
      <w:sz w:val="24"/>
    </w:rPr>
  </w:style>
  <w:style w:type="paragraph" w:styleId="TM1">
    <w:name w:val="toc 1"/>
    <w:basedOn w:val="Normal"/>
    <w:next w:val="Normal"/>
    <w:autoRedefine/>
    <w:semiHidden/>
    <w:rsid w:val="007E09DA"/>
    <w:pPr>
      <w:ind w:left="720" w:hanging="720"/>
    </w:pPr>
    <w:rPr>
      <w:caps/>
    </w:rPr>
  </w:style>
  <w:style w:type="paragraph" w:styleId="TM2">
    <w:name w:val="toc 2"/>
    <w:basedOn w:val="Normal"/>
    <w:next w:val="Normal"/>
    <w:autoRedefine/>
    <w:semiHidden/>
    <w:rsid w:val="007E09DA"/>
    <w:pPr>
      <w:tabs>
        <w:tab w:val="right" w:leader="dot" w:pos="9356"/>
      </w:tabs>
      <w:ind w:left="1440" w:hanging="720"/>
    </w:pPr>
    <w:rPr>
      <w:noProof/>
      <w:szCs w:val="22"/>
    </w:rPr>
  </w:style>
  <w:style w:type="paragraph" w:styleId="TM3">
    <w:name w:val="toc 3"/>
    <w:basedOn w:val="Normal"/>
    <w:next w:val="Normal"/>
    <w:autoRedefine/>
    <w:semiHidden/>
    <w:rsid w:val="007E09DA"/>
    <w:pPr>
      <w:ind w:left="2160" w:hanging="720"/>
    </w:pPr>
  </w:style>
  <w:style w:type="paragraph" w:styleId="TM4">
    <w:name w:val="toc 4"/>
    <w:basedOn w:val="Normal"/>
    <w:next w:val="Normal"/>
    <w:autoRedefine/>
    <w:semiHidden/>
    <w:rsid w:val="007E09DA"/>
    <w:pPr>
      <w:spacing w:before="120" w:after="120"/>
      <w:ind w:left="660"/>
      <w:jc w:val="left"/>
    </w:pPr>
  </w:style>
  <w:style w:type="paragraph" w:styleId="TM5">
    <w:name w:val="toc 5"/>
    <w:basedOn w:val="Normal"/>
    <w:next w:val="Normal"/>
    <w:autoRedefine/>
    <w:semiHidden/>
    <w:rsid w:val="007E09DA"/>
    <w:pPr>
      <w:spacing w:before="120" w:after="120"/>
      <w:ind w:left="880"/>
      <w:jc w:val="left"/>
    </w:pPr>
  </w:style>
  <w:style w:type="paragraph" w:styleId="TM6">
    <w:name w:val="toc 6"/>
    <w:basedOn w:val="Normal"/>
    <w:next w:val="Normal"/>
    <w:autoRedefine/>
    <w:semiHidden/>
    <w:rsid w:val="007E09DA"/>
    <w:pPr>
      <w:spacing w:before="120" w:after="120"/>
      <w:ind w:left="1100"/>
      <w:jc w:val="left"/>
    </w:pPr>
  </w:style>
  <w:style w:type="paragraph" w:styleId="TM7">
    <w:name w:val="toc 7"/>
    <w:basedOn w:val="Normal"/>
    <w:next w:val="Normal"/>
    <w:autoRedefine/>
    <w:semiHidden/>
    <w:rsid w:val="007E09DA"/>
    <w:pPr>
      <w:spacing w:before="120" w:after="120"/>
      <w:ind w:left="1320"/>
      <w:jc w:val="left"/>
    </w:pPr>
  </w:style>
  <w:style w:type="paragraph" w:styleId="TM8">
    <w:name w:val="toc 8"/>
    <w:basedOn w:val="Normal"/>
    <w:next w:val="Normal"/>
    <w:autoRedefine/>
    <w:semiHidden/>
    <w:rsid w:val="007E09DA"/>
    <w:pPr>
      <w:spacing w:before="120" w:after="120"/>
      <w:ind w:left="1540"/>
      <w:jc w:val="left"/>
    </w:pPr>
  </w:style>
  <w:style w:type="paragraph" w:styleId="TM9">
    <w:name w:val="toc 9"/>
    <w:basedOn w:val="Normal"/>
    <w:next w:val="Normal"/>
    <w:autoRedefine/>
    <w:semiHidden/>
    <w:rsid w:val="007E09DA"/>
    <w:pPr>
      <w:spacing w:before="120" w:after="120"/>
      <w:ind w:left="1760"/>
      <w:jc w:val="left"/>
    </w:pPr>
  </w:style>
  <w:style w:type="character" w:styleId="Lienhypertexte">
    <w:name w:val="Hyperlink"/>
    <w:rsid w:val="00172AF6"/>
    <w:rPr>
      <w:color w:val="0000FF"/>
      <w:sz w:val="18"/>
      <w:u w:val="single"/>
    </w:rPr>
  </w:style>
  <w:style w:type="character" w:customStyle="1" w:styleId="Para1Char">
    <w:name w:val="Para1 Char"/>
    <w:link w:val="Para1"/>
    <w:locked/>
    <w:rsid w:val="0034236F"/>
    <w:rPr>
      <w:rFonts w:ascii="Times New Roman" w:eastAsia="Times New Roman" w:hAnsi="Times New Roman" w:cs="Times New Roman"/>
      <w:bCs/>
      <w:kern w:val="22"/>
      <w:sz w:val="22"/>
      <w:szCs w:val="22"/>
      <w:lang w:val="fr-CA"/>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9"/>
      </w:numPr>
      <w:spacing w:after="120"/>
    </w:pPr>
    <w:rPr>
      <w:rFonts w:cs="Angsana New"/>
    </w:rPr>
  </w:style>
  <w:style w:type="paragraph" w:styleId="Paragraphedeliste">
    <w:name w:val="List Paragraph"/>
    <w:basedOn w:val="Normal"/>
    <w:uiPriority w:val="34"/>
    <w:qFormat/>
    <w:rsid w:val="0093169E"/>
    <w:pPr>
      <w:ind w:left="720"/>
      <w:contextualSpacing/>
    </w:pPr>
  </w:style>
  <w:style w:type="paragraph" w:styleId="Lgende">
    <w:name w:val="caption"/>
    <w:basedOn w:val="Normal"/>
    <w:next w:val="Normal"/>
    <w:uiPriority w:val="35"/>
    <w:unhideWhenUsed/>
    <w:qFormat/>
    <w:rsid w:val="00D12044"/>
    <w:pPr>
      <w:keepNext/>
      <w:keepLines/>
      <w:spacing w:after="200"/>
    </w:pPr>
    <w:rPr>
      <w:b/>
      <w:iCs/>
      <w:szCs w:val="18"/>
    </w:rPr>
  </w:style>
  <w:style w:type="paragraph" w:customStyle="1" w:styleId="Style1">
    <w:name w:val="Style1"/>
    <w:basedOn w:val="Titre2"/>
    <w:qFormat/>
    <w:rsid w:val="00F6586C"/>
    <w:rPr>
      <w:i/>
    </w:rPr>
  </w:style>
  <w:style w:type="paragraph" w:customStyle="1" w:styleId="BVIfnrChar">
    <w:name w:val="BVI fnr Char"/>
    <w:aliases w:val="BVI fnr Car Car Char,BVI fnr Car Char,BVI fnr Car Car Car Car Char Char,BVI fnr Car Car Car Car Char,BVI fnr Car Car Car Char,BVI fnr Car Car Car Car Car Char"/>
    <w:basedOn w:val="Normal"/>
    <w:link w:val="Appelnotedebasdep"/>
    <w:uiPriority w:val="99"/>
    <w:qFormat/>
    <w:rsid w:val="00D77560"/>
    <w:pPr>
      <w:spacing w:after="160" w:line="240" w:lineRule="exact"/>
    </w:pPr>
    <w:rPr>
      <w:rFonts w:asciiTheme="minorHAnsi" w:eastAsiaTheme="minorEastAsia" w:hAnsiTheme="minorHAnsi" w:cstheme="minorBidi"/>
      <w:vertAlign w:val="superscript"/>
    </w:rPr>
  </w:style>
  <w:style w:type="character" w:styleId="Mentionnonrsolue">
    <w:name w:val="Unresolved Mention"/>
    <w:basedOn w:val="Policepardfaut"/>
    <w:uiPriority w:val="99"/>
    <w:semiHidden/>
    <w:unhideWhenUsed/>
    <w:rsid w:val="00E86DA3"/>
    <w:rPr>
      <w:color w:val="605E5C"/>
      <w:shd w:val="clear" w:color="auto" w:fill="E1DFDD"/>
    </w:rPr>
  </w:style>
  <w:style w:type="character" w:customStyle="1" w:styleId="ng-binding">
    <w:name w:val="ng-binding"/>
    <w:basedOn w:val="Policepardfaut"/>
    <w:rsid w:val="00A3381A"/>
  </w:style>
  <w:style w:type="paragraph" w:styleId="Objetducommentaire">
    <w:name w:val="annotation subject"/>
    <w:basedOn w:val="Commentaire"/>
    <w:next w:val="Commentaire"/>
    <w:link w:val="ObjetducommentaireCar"/>
    <w:uiPriority w:val="99"/>
    <w:semiHidden/>
    <w:unhideWhenUsed/>
    <w:rsid w:val="00113E77"/>
    <w:pPr>
      <w:spacing w:after="0" w:line="240" w:lineRule="auto"/>
    </w:pPr>
    <w:rPr>
      <w:b/>
      <w:bCs/>
      <w:sz w:val="20"/>
      <w:szCs w:val="20"/>
    </w:rPr>
  </w:style>
  <w:style w:type="character" w:customStyle="1" w:styleId="ObjetducommentaireCar">
    <w:name w:val="Objet du commentaire Car"/>
    <w:basedOn w:val="CommentaireCar"/>
    <w:link w:val="Objetducommentaire"/>
    <w:uiPriority w:val="99"/>
    <w:semiHidden/>
    <w:rsid w:val="00113E77"/>
    <w:rPr>
      <w:rFonts w:ascii="Times New Roman" w:eastAsia="Times New Roman" w:hAnsi="Times New Roman" w:cs="Times New Roman"/>
      <w:b/>
      <w:bCs/>
      <w:sz w:val="20"/>
      <w:szCs w:val="20"/>
      <w:lang w:val="fr-CA"/>
    </w:rPr>
  </w:style>
  <w:style w:type="paragraph" w:styleId="Rvision">
    <w:name w:val="Revision"/>
    <w:hidden/>
    <w:uiPriority w:val="99"/>
    <w:semiHidden/>
    <w:rsid w:val="005A107A"/>
    <w:rPr>
      <w:rFonts w:ascii="Times New Roman" w:eastAsia="Times New Roman" w:hAnsi="Times New Roman" w:cs="Times New Roman"/>
      <w:sz w:val="22"/>
    </w:rPr>
  </w:style>
  <w:style w:type="paragraph" w:customStyle="1" w:styleId="paragraph">
    <w:name w:val="paragraph"/>
    <w:basedOn w:val="Normal"/>
    <w:rsid w:val="006A0AF6"/>
    <w:pPr>
      <w:spacing w:before="100" w:beforeAutospacing="1" w:after="100" w:afterAutospacing="1"/>
      <w:jc w:val="left"/>
    </w:pPr>
    <w:rPr>
      <w:sz w:val="24"/>
    </w:rPr>
  </w:style>
  <w:style w:type="character" w:customStyle="1" w:styleId="normaltextrun">
    <w:name w:val="normaltextrun"/>
    <w:rsid w:val="006A0AF6"/>
  </w:style>
  <w:style w:type="character" w:customStyle="1" w:styleId="findhit">
    <w:name w:val="findhit"/>
    <w:rsid w:val="006A0AF6"/>
  </w:style>
  <w:style w:type="paragraph" w:customStyle="1" w:styleId="Heading-plainbold">
    <w:name w:val="Heading-plain bold"/>
    <w:basedOn w:val="Corpsdetexte"/>
    <w:rsid w:val="001A77EF"/>
    <w:pPr>
      <w:ind w:firstLine="0"/>
      <w:jc w:val="center"/>
    </w:pPr>
    <w:rPr>
      <w:rFonts w:eastAsia="Malgun Gothic"/>
      <w:b/>
      <w:bCs/>
      <w:i/>
      <w:iCs w:val="0"/>
      <w:lang w:eastAsia="x-none"/>
    </w:rPr>
  </w:style>
  <w:style w:type="paragraph" w:styleId="NormalWeb">
    <w:name w:val="Normal (Web)"/>
    <w:basedOn w:val="Normal"/>
    <w:uiPriority w:val="99"/>
    <w:unhideWhenUsed/>
    <w:rsid w:val="006D22E6"/>
    <w:rPr>
      <w:sz w:val="24"/>
    </w:rPr>
  </w:style>
  <w:style w:type="paragraph" w:customStyle="1" w:styleId="Para40">
    <w:name w:val="Para4"/>
    <w:basedOn w:val="Para3"/>
    <w:rsid w:val="00CD63F9"/>
    <w:pPr>
      <w:numPr>
        <w:ilvl w:val="0"/>
        <w:numId w:val="0"/>
      </w:numPr>
      <w:tabs>
        <w:tab w:val="clear" w:pos="1980"/>
        <w:tab w:val="left" w:pos="2552"/>
        <w:tab w:val="num" w:pos="2880"/>
      </w:tabs>
      <w:ind w:left="2880" w:hanging="360"/>
    </w:pPr>
  </w:style>
  <w:style w:type="character" w:customStyle="1" w:styleId="break-word">
    <w:name w:val="break-word"/>
    <w:basedOn w:val="Policepardfaut"/>
    <w:rsid w:val="004736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68478">
      <w:bodyDiv w:val="1"/>
      <w:marLeft w:val="0"/>
      <w:marRight w:val="0"/>
      <w:marTop w:val="0"/>
      <w:marBottom w:val="0"/>
      <w:divBdr>
        <w:top w:val="none" w:sz="0" w:space="0" w:color="auto"/>
        <w:left w:val="none" w:sz="0" w:space="0" w:color="auto"/>
        <w:bottom w:val="none" w:sz="0" w:space="0" w:color="auto"/>
        <w:right w:val="none" w:sz="0" w:space="0" w:color="auto"/>
      </w:divBdr>
      <w:divsChild>
        <w:div w:id="132794360">
          <w:marLeft w:val="0"/>
          <w:marRight w:val="0"/>
          <w:marTop w:val="0"/>
          <w:marBottom w:val="0"/>
          <w:divBdr>
            <w:top w:val="none" w:sz="0" w:space="0" w:color="auto"/>
            <w:left w:val="none" w:sz="0" w:space="0" w:color="auto"/>
            <w:bottom w:val="none" w:sz="0" w:space="0" w:color="auto"/>
            <w:right w:val="none" w:sz="0" w:space="0" w:color="auto"/>
          </w:divBdr>
          <w:divsChild>
            <w:div w:id="1313867600">
              <w:marLeft w:val="0"/>
              <w:marRight w:val="0"/>
              <w:marTop w:val="0"/>
              <w:marBottom w:val="0"/>
              <w:divBdr>
                <w:top w:val="none" w:sz="0" w:space="0" w:color="auto"/>
                <w:left w:val="none" w:sz="0" w:space="0" w:color="auto"/>
                <w:bottom w:val="none" w:sz="0" w:space="0" w:color="auto"/>
                <w:right w:val="none" w:sz="0" w:space="0" w:color="auto"/>
              </w:divBdr>
              <w:divsChild>
                <w:div w:id="1403286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248503">
      <w:bodyDiv w:val="1"/>
      <w:marLeft w:val="0"/>
      <w:marRight w:val="0"/>
      <w:marTop w:val="0"/>
      <w:marBottom w:val="0"/>
      <w:divBdr>
        <w:top w:val="none" w:sz="0" w:space="0" w:color="auto"/>
        <w:left w:val="none" w:sz="0" w:space="0" w:color="auto"/>
        <w:bottom w:val="none" w:sz="0" w:space="0" w:color="auto"/>
        <w:right w:val="none" w:sz="0" w:space="0" w:color="auto"/>
      </w:divBdr>
    </w:div>
    <w:div w:id="681396443">
      <w:bodyDiv w:val="1"/>
      <w:marLeft w:val="0"/>
      <w:marRight w:val="0"/>
      <w:marTop w:val="0"/>
      <w:marBottom w:val="0"/>
      <w:divBdr>
        <w:top w:val="none" w:sz="0" w:space="0" w:color="auto"/>
        <w:left w:val="none" w:sz="0" w:space="0" w:color="auto"/>
        <w:bottom w:val="none" w:sz="0" w:space="0" w:color="auto"/>
        <w:right w:val="none" w:sz="0" w:space="0" w:color="auto"/>
      </w:divBdr>
    </w:div>
    <w:div w:id="827785706">
      <w:bodyDiv w:val="1"/>
      <w:marLeft w:val="0"/>
      <w:marRight w:val="0"/>
      <w:marTop w:val="0"/>
      <w:marBottom w:val="0"/>
      <w:divBdr>
        <w:top w:val="none" w:sz="0" w:space="0" w:color="auto"/>
        <w:left w:val="none" w:sz="0" w:space="0" w:color="auto"/>
        <w:bottom w:val="none" w:sz="0" w:space="0" w:color="auto"/>
        <w:right w:val="none" w:sz="0" w:space="0" w:color="auto"/>
      </w:divBdr>
    </w:div>
    <w:div w:id="1089886812">
      <w:bodyDiv w:val="1"/>
      <w:marLeft w:val="0"/>
      <w:marRight w:val="0"/>
      <w:marTop w:val="0"/>
      <w:marBottom w:val="0"/>
      <w:divBdr>
        <w:top w:val="none" w:sz="0" w:space="0" w:color="auto"/>
        <w:left w:val="none" w:sz="0" w:space="0" w:color="auto"/>
        <w:bottom w:val="none" w:sz="0" w:space="0" w:color="auto"/>
        <w:right w:val="none" w:sz="0" w:space="0" w:color="auto"/>
      </w:divBdr>
    </w:div>
    <w:div w:id="1112045410">
      <w:bodyDiv w:val="1"/>
      <w:marLeft w:val="0"/>
      <w:marRight w:val="0"/>
      <w:marTop w:val="0"/>
      <w:marBottom w:val="0"/>
      <w:divBdr>
        <w:top w:val="none" w:sz="0" w:space="0" w:color="auto"/>
        <w:left w:val="none" w:sz="0" w:space="0" w:color="auto"/>
        <w:bottom w:val="none" w:sz="0" w:space="0" w:color="auto"/>
        <w:right w:val="none" w:sz="0" w:space="0" w:color="auto"/>
      </w:divBdr>
    </w:div>
    <w:div w:id="1250696603">
      <w:bodyDiv w:val="1"/>
      <w:marLeft w:val="0"/>
      <w:marRight w:val="0"/>
      <w:marTop w:val="0"/>
      <w:marBottom w:val="0"/>
      <w:divBdr>
        <w:top w:val="none" w:sz="0" w:space="0" w:color="auto"/>
        <w:left w:val="none" w:sz="0" w:space="0" w:color="auto"/>
        <w:bottom w:val="none" w:sz="0" w:space="0" w:color="auto"/>
        <w:right w:val="none" w:sz="0" w:space="0" w:color="auto"/>
      </w:divBdr>
    </w:div>
    <w:div w:id="1555048321">
      <w:bodyDiv w:val="1"/>
      <w:marLeft w:val="0"/>
      <w:marRight w:val="0"/>
      <w:marTop w:val="0"/>
      <w:marBottom w:val="0"/>
      <w:divBdr>
        <w:top w:val="none" w:sz="0" w:space="0" w:color="auto"/>
        <w:left w:val="none" w:sz="0" w:space="0" w:color="auto"/>
        <w:bottom w:val="none" w:sz="0" w:space="0" w:color="auto"/>
        <w:right w:val="none" w:sz="0" w:space="0" w:color="auto"/>
      </w:divBdr>
      <w:divsChild>
        <w:div w:id="1762022939">
          <w:marLeft w:val="0"/>
          <w:marRight w:val="0"/>
          <w:marTop w:val="0"/>
          <w:marBottom w:val="0"/>
          <w:divBdr>
            <w:top w:val="none" w:sz="0" w:space="0" w:color="auto"/>
            <w:left w:val="none" w:sz="0" w:space="0" w:color="auto"/>
            <w:bottom w:val="none" w:sz="0" w:space="0" w:color="auto"/>
            <w:right w:val="none" w:sz="0" w:space="0" w:color="auto"/>
          </w:divBdr>
          <w:divsChild>
            <w:div w:id="402266647">
              <w:marLeft w:val="0"/>
              <w:marRight w:val="0"/>
              <w:marTop w:val="0"/>
              <w:marBottom w:val="0"/>
              <w:divBdr>
                <w:top w:val="none" w:sz="0" w:space="0" w:color="auto"/>
                <w:left w:val="none" w:sz="0" w:space="0" w:color="auto"/>
                <w:bottom w:val="none" w:sz="0" w:space="0" w:color="auto"/>
                <w:right w:val="none" w:sz="0" w:space="0" w:color="auto"/>
              </w:divBdr>
              <w:divsChild>
                <w:div w:id="722364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F1646299CFC497FBD0DBE10082E0C77"/>
        <w:category>
          <w:name w:val="General"/>
          <w:gallery w:val="placeholder"/>
        </w:category>
        <w:types>
          <w:type w:val="bbPlcHdr"/>
        </w:types>
        <w:behaviors>
          <w:behavior w:val="content"/>
        </w:behaviors>
        <w:guid w:val="{25B6E5DC-AA3F-4B97-9EEB-3DD0770F20AB}"/>
      </w:docPartPr>
      <w:docPartBody>
        <w:p w:rsidR="008D420E" w:rsidRDefault="00810A55">
          <w:r w:rsidRPr="007E02EB">
            <w:rPr>
              <w:rStyle w:val="Textedelespacerserv"/>
            </w:rPr>
            <w:t>[Subject]</w:t>
          </w:r>
        </w:p>
      </w:docPartBody>
    </w:docPart>
    <w:docPart>
      <w:docPartPr>
        <w:name w:val="B91F815427754D9BA6571111AFF15602"/>
        <w:category>
          <w:name w:val="General"/>
          <w:gallery w:val="placeholder"/>
        </w:category>
        <w:types>
          <w:type w:val="bbPlcHdr"/>
        </w:types>
        <w:behaviors>
          <w:behavior w:val="content"/>
        </w:behaviors>
        <w:guid w:val="{A232002E-BE82-445E-9ECF-0BE8B784A5C1}"/>
      </w:docPartPr>
      <w:docPartBody>
        <w:p w:rsidR="0098642F" w:rsidRDefault="008C6619">
          <w:r w:rsidRPr="006D0F48">
            <w:rPr>
              <w:rStyle w:val="Textedelespacerserv"/>
            </w:rPr>
            <w:t>[Subject]</w:t>
          </w:r>
        </w:p>
      </w:docPartBody>
    </w:docPart>
    <w:docPart>
      <w:docPartPr>
        <w:name w:val="9E64A1B551BC4D48B19DB33F17A999C0"/>
        <w:category>
          <w:name w:val="General"/>
          <w:gallery w:val="placeholder"/>
        </w:category>
        <w:types>
          <w:type w:val="bbPlcHdr"/>
        </w:types>
        <w:behaviors>
          <w:behavior w:val="content"/>
        </w:behaviors>
        <w:guid w:val="{A97503CA-196A-4545-A30F-592581E2E56B}"/>
      </w:docPartPr>
      <w:docPartBody>
        <w:p w:rsidR="0098642F" w:rsidRDefault="008C6619">
          <w:r w:rsidRPr="006D0F48">
            <w:rPr>
              <w:rStyle w:val="Textedelespacerserv"/>
            </w:rPr>
            <w:t>[Subject]</w:t>
          </w:r>
        </w:p>
      </w:docPartBody>
    </w:docPart>
    <w:docPart>
      <w:docPartPr>
        <w:name w:val="5F4EB1BA065E4622B88E069470FC3560"/>
        <w:category>
          <w:name w:val="General"/>
          <w:gallery w:val="placeholder"/>
        </w:category>
        <w:types>
          <w:type w:val="bbPlcHdr"/>
        </w:types>
        <w:behaviors>
          <w:behavior w:val="content"/>
        </w:behaviors>
        <w:guid w:val="{0F430EA7-FB6D-477E-89C4-A5DE53C4823B}"/>
      </w:docPartPr>
      <w:docPartBody>
        <w:p w:rsidR="00B83D53" w:rsidRDefault="00C6793D">
          <w:r w:rsidRPr="00D42FFD">
            <w:rPr>
              <w:rStyle w:val="Textedelespacerserv"/>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Univers">
    <w:altName w:val="Univers"/>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10A55"/>
    <w:rsid w:val="0001138B"/>
    <w:rsid w:val="000A22AD"/>
    <w:rsid w:val="00143D7B"/>
    <w:rsid w:val="00193D07"/>
    <w:rsid w:val="001D2274"/>
    <w:rsid w:val="00257CE3"/>
    <w:rsid w:val="002811B7"/>
    <w:rsid w:val="002E7079"/>
    <w:rsid w:val="00396406"/>
    <w:rsid w:val="00403167"/>
    <w:rsid w:val="00410AFC"/>
    <w:rsid w:val="0043436B"/>
    <w:rsid w:val="0046422C"/>
    <w:rsid w:val="004760CF"/>
    <w:rsid w:val="004B5B88"/>
    <w:rsid w:val="004C6B43"/>
    <w:rsid w:val="004E092F"/>
    <w:rsid w:val="00500A2B"/>
    <w:rsid w:val="00527A0B"/>
    <w:rsid w:val="0058288D"/>
    <w:rsid w:val="005E1749"/>
    <w:rsid w:val="005E2355"/>
    <w:rsid w:val="00600C6E"/>
    <w:rsid w:val="00636632"/>
    <w:rsid w:val="00665C6B"/>
    <w:rsid w:val="006801B3"/>
    <w:rsid w:val="006D6819"/>
    <w:rsid w:val="0072448C"/>
    <w:rsid w:val="00756E36"/>
    <w:rsid w:val="007A5C7F"/>
    <w:rsid w:val="00810A55"/>
    <w:rsid w:val="00825AB1"/>
    <w:rsid w:val="00867237"/>
    <w:rsid w:val="008C6619"/>
    <w:rsid w:val="008D420E"/>
    <w:rsid w:val="008F2D6B"/>
    <w:rsid w:val="00943997"/>
    <w:rsid w:val="00966705"/>
    <w:rsid w:val="00974DDE"/>
    <w:rsid w:val="0098642F"/>
    <w:rsid w:val="009A1D33"/>
    <w:rsid w:val="009C1FC1"/>
    <w:rsid w:val="00A01265"/>
    <w:rsid w:val="00A12AE2"/>
    <w:rsid w:val="00B06EB7"/>
    <w:rsid w:val="00B83D53"/>
    <w:rsid w:val="00B941B7"/>
    <w:rsid w:val="00C259ED"/>
    <w:rsid w:val="00C6793D"/>
    <w:rsid w:val="00C76B7C"/>
    <w:rsid w:val="00C8104B"/>
    <w:rsid w:val="00C8220E"/>
    <w:rsid w:val="00D31D12"/>
    <w:rsid w:val="00DC0CF7"/>
    <w:rsid w:val="00DC3CE5"/>
    <w:rsid w:val="00DD6423"/>
    <w:rsid w:val="00E77562"/>
    <w:rsid w:val="00E86380"/>
    <w:rsid w:val="00EA693C"/>
    <w:rsid w:val="00F163FF"/>
    <w:rsid w:val="00F635E4"/>
    <w:rsid w:val="00F930B5"/>
    <w:rsid w:val="00FE3711"/>
    <w:rsid w:val="00FF5ED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C6793D"/>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date xx 2019</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358298e0-1b7e-4ebe-8695-94439b74f0d1">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6" ma:contentTypeDescription="Create a new document." ma:contentTypeScope="" ma:versionID="c4c16e1197cbe4f6532fc82c1f1e71e6">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0ec9788a2d0b4eb663de8bd5a6a0cb9f"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2BAD42C-1DC6-49A0-8A77-BC87126E0AAE}">
  <ds:schemaRefs>
    <ds:schemaRef ds:uri="http://schemas.microsoft.com/office/2006/metadata/properties"/>
    <ds:schemaRef ds:uri="http://schemas.microsoft.com/office/infopath/2007/PartnerControls"/>
    <ds:schemaRef ds:uri="985ec44e-1bab-4c0b-9df0-6ba128686fc9"/>
    <ds:schemaRef ds:uri="358298e0-1b7e-4ebe-8695-94439b74f0d1"/>
  </ds:schemaRefs>
</ds:datastoreItem>
</file>

<file path=customXml/itemProps3.xml><?xml version="1.0" encoding="utf-8"?>
<ds:datastoreItem xmlns:ds="http://schemas.openxmlformats.org/officeDocument/2006/customXml" ds:itemID="{157C228B-262D-4418-9EAD-4DA8699E5020}">
  <ds:schemaRefs>
    <ds:schemaRef ds:uri="http://schemas.microsoft.com/sharepoint/v3/contenttype/forms"/>
  </ds:schemaRefs>
</ds:datastoreItem>
</file>

<file path=customXml/itemProps4.xml><?xml version="1.0" encoding="utf-8"?>
<ds:datastoreItem xmlns:ds="http://schemas.openxmlformats.org/officeDocument/2006/customXml" ds:itemID="{4838C645-944F-4045-BEC7-5E152856BE4D}">
  <ds:schemaRefs>
    <ds:schemaRef ds:uri="http://schemas.openxmlformats.org/officeDocument/2006/bibliography"/>
  </ds:schemaRefs>
</ds:datastoreItem>
</file>

<file path=customXml/itemProps5.xml><?xml version="1.0" encoding="utf-8"?>
<ds:datastoreItem xmlns:ds="http://schemas.openxmlformats.org/officeDocument/2006/customXml" ds:itemID="{6D0A672A-88DE-4ECF-8E1B-47D841989D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7</Pages>
  <Words>3775</Words>
  <Characters>20763</Characters>
  <Application>Microsoft Office Word</Application>
  <DocSecurity>0</DocSecurity>
  <Lines>173</Lines>
  <Paragraphs>48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DRAFT REPORT OF WORKING GROUP I</vt:lpstr>
      <vt:lpstr>DRAFT REPORT OF WORKING GROUP I</vt:lpstr>
    </vt:vector>
  </TitlesOfParts>
  <Company>United Nations</Company>
  <LinksUpToDate>false</LinksUpToDate>
  <CharactersWithSpaces>24490</CharactersWithSpaces>
  <SharedDoc>false</SharedDoc>
  <HyperlinkBase>https://www.cbd.int/cop/</HyperlinkBase>
  <HLinks>
    <vt:vector size="66" baseType="variant">
      <vt:variant>
        <vt:i4>7274593</vt:i4>
      </vt:variant>
      <vt:variant>
        <vt:i4>30</vt:i4>
      </vt:variant>
      <vt:variant>
        <vt:i4>0</vt:i4>
      </vt:variant>
      <vt:variant>
        <vt:i4>5</vt:i4>
      </vt:variant>
      <vt:variant>
        <vt:lpwstr>https://www.cbd.int/decisions/cop/?m=cop-04</vt:lpwstr>
      </vt:variant>
      <vt:variant>
        <vt:lpwstr/>
      </vt:variant>
      <vt:variant>
        <vt:i4>852046</vt:i4>
      </vt:variant>
      <vt:variant>
        <vt:i4>27</vt:i4>
      </vt:variant>
      <vt:variant>
        <vt:i4>0</vt:i4>
      </vt:variant>
      <vt:variant>
        <vt:i4>5</vt:i4>
      </vt:variant>
      <vt:variant>
        <vt:lpwstr>https://www.cbd.int/doc/decisions/cop-01/cop-01-dec-06-en.pdf</vt:lpwstr>
      </vt:variant>
      <vt:variant>
        <vt:lpwstr/>
      </vt:variant>
      <vt:variant>
        <vt:i4>655438</vt:i4>
      </vt:variant>
      <vt:variant>
        <vt:i4>24</vt:i4>
      </vt:variant>
      <vt:variant>
        <vt:i4>0</vt:i4>
      </vt:variant>
      <vt:variant>
        <vt:i4>5</vt:i4>
      </vt:variant>
      <vt:variant>
        <vt:lpwstr>https://www.cbd.int/doc/decisions/cop-01/cop-01-dec-01-en.pdf</vt:lpwstr>
      </vt:variant>
      <vt:variant>
        <vt:lpwstr/>
      </vt:variant>
      <vt:variant>
        <vt:i4>7733296</vt:i4>
      </vt:variant>
      <vt:variant>
        <vt:i4>21</vt:i4>
      </vt:variant>
      <vt:variant>
        <vt:i4>0</vt:i4>
      </vt:variant>
      <vt:variant>
        <vt:i4>5</vt:i4>
      </vt:variant>
      <vt:variant>
        <vt:lpwstr>https://www.cbd.int/doc/decisions/np-mop-01/np-mop-01-dec-12-en.pdf</vt:lpwstr>
      </vt:variant>
      <vt:variant>
        <vt:lpwstr/>
      </vt:variant>
      <vt:variant>
        <vt:i4>655430</vt:i4>
      </vt:variant>
      <vt:variant>
        <vt:i4>18</vt:i4>
      </vt:variant>
      <vt:variant>
        <vt:i4>0</vt:i4>
      </vt:variant>
      <vt:variant>
        <vt:i4>5</vt:i4>
      </vt:variant>
      <vt:variant>
        <vt:lpwstr>https://www.cbd.int/doc/decisions/mop-07/mop-07-dec-09-en.pdf</vt:lpwstr>
      </vt:variant>
      <vt:variant>
        <vt:lpwstr/>
      </vt:variant>
      <vt:variant>
        <vt:i4>917582</vt:i4>
      </vt:variant>
      <vt:variant>
        <vt:i4>15</vt:i4>
      </vt:variant>
      <vt:variant>
        <vt:i4>0</vt:i4>
      </vt:variant>
      <vt:variant>
        <vt:i4>5</vt:i4>
      </vt:variant>
      <vt:variant>
        <vt:lpwstr>https://www.cbd.int/doc/decisions/cop-12/cop-12-dec-27-en.pdf</vt:lpwstr>
      </vt:variant>
      <vt:variant>
        <vt:lpwstr/>
      </vt:variant>
      <vt:variant>
        <vt:i4>524367</vt:i4>
      </vt:variant>
      <vt:variant>
        <vt:i4>12</vt:i4>
      </vt:variant>
      <vt:variant>
        <vt:i4>0</vt:i4>
      </vt:variant>
      <vt:variant>
        <vt:i4>5</vt:i4>
      </vt:variant>
      <vt:variant>
        <vt:lpwstr>https://www.cbd.int/doc/decisions/cop-12/cop-12-dec-31-en.pdf</vt:lpwstr>
      </vt:variant>
      <vt:variant>
        <vt:lpwstr/>
      </vt:variant>
      <vt:variant>
        <vt:i4>655438</vt:i4>
      </vt:variant>
      <vt:variant>
        <vt:i4>9</vt:i4>
      </vt:variant>
      <vt:variant>
        <vt:i4>0</vt:i4>
      </vt:variant>
      <vt:variant>
        <vt:i4>5</vt:i4>
      </vt:variant>
      <vt:variant>
        <vt:lpwstr>https://www.cbd.int/doc/decisions/cop-01/cop-01-dec-01-en.pdf</vt:lpwstr>
      </vt:variant>
      <vt:variant>
        <vt:lpwstr/>
      </vt:variant>
      <vt:variant>
        <vt:i4>720969</vt:i4>
      </vt:variant>
      <vt:variant>
        <vt:i4>6</vt:i4>
      </vt:variant>
      <vt:variant>
        <vt:i4>0</vt:i4>
      </vt:variant>
      <vt:variant>
        <vt:i4>5</vt:i4>
      </vt:variant>
      <vt:variant>
        <vt:lpwstr>https://www.cbd.int/doc/decisions/cop-14/cop-14-dec-34-en.pdf</vt:lpwstr>
      </vt:variant>
      <vt:variant>
        <vt:lpwstr/>
      </vt:variant>
      <vt:variant>
        <vt:i4>524367</vt:i4>
      </vt:variant>
      <vt:variant>
        <vt:i4>3</vt:i4>
      </vt:variant>
      <vt:variant>
        <vt:i4>0</vt:i4>
      </vt:variant>
      <vt:variant>
        <vt:i4>5</vt:i4>
      </vt:variant>
      <vt:variant>
        <vt:lpwstr>https://www.cbd.int/doc/decisions/cop-12/cop-12-dec-31-en.pdf</vt:lpwstr>
      </vt:variant>
      <vt:variant>
        <vt:lpwstr/>
      </vt:variant>
      <vt:variant>
        <vt:i4>720974</vt:i4>
      </vt:variant>
      <vt:variant>
        <vt:i4>0</vt:i4>
      </vt:variant>
      <vt:variant>
        <vt:i4>0</vt:i4>
      </vt:variant>
      <vt:variant>
        <vt:i4>5</vt:i4>
      </vt:variant>
      <vt:variant>
        <vt:lpwstr>https://www.cbd.int/doc/decisions/cop-13/cop-13-dec-33-en.pdf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PROJET DE RAPPORT DU GROUPE DE TRAVAIL I</dc:title>
  <dc:subject>CBD/COP/15/L.1/Add.1</dc:subject>
  <dc:creator>SCBD</dc:creator>
  <cp:keywords>Convention on Biological Diversity, Conference of the Parties, fifteenth meeting, Kunming, China, 11-15 October 2021 and 25 April-8 May 2022</cp:keywords>
  <cp:lastModifiedBy>Helene Turgeon</cp:lastModifiedBy>
  <cp:revision>5</cp:revision>
  <cp:lastPrinted>2022-10-11T13:56:00Z</cp:lastPrinted>
  <dcterms:created xsi:type="dcterms:W3CDTF">2022-12-19T20:25:00Z</dcterms:created>
  <dcterms:modified xsi:type="dcterms:W3CDTF">2022-12-19T20:34:00Z</dcterms:modified>
  <cp:contentStatus>GENERAL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y fmtid="{D5CDD505-2E9C-101B-9397-08002B2CF9AE}" pid="3" name="MediaServiceImageTags">
    <vt:lpwstr/>
  </property>
</Properties>
</file>