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0C7F51" w:rsidRPr="00F941F1" w14:paraId="5D9D9F8C" w14:textId="77777777" w:rsidTr="00455A9A">
        <w:trPr>
          <w:trHeight w:val="851"/>
        </w:trPr>
        <w:tc>
          <w:tcPr>
            <w:tcW w:w="993" w:type="dxa"/>
            <w:tcBorders>
              <w:top w:val="nil"/>
              <w:bottom w:val="single" w:sz="12" w:space="0" w:color="000000"/>
              <w:right w:val="nil"/>
            </w:tcBorders>
            <w:shd w:val="clear" w:color="auto" w:fill="auto"/>
          </w:tcPr>
          <w:p w14:paraId="6CD68FB8" w14:textId="77777777" w:rsidR="000C7F51" w:rsidRPr="005C6B31" w:rsidRDefault="00B814C6" w:rsidP="005C6B31">
            <w:pPr>
              <w:pStyle w:val="BodyText2"/>
              <w:suppressLineNumbers/>
              <w:suppressAutoHyphens/>
              <w:kinsoku w:val="0"/>
              <w:overflowPunct w:val="0"/>
              <w:autoSpaceDE w:val="0"/>
              <w:autoSpaceDN w:val="0"/>
              <w:adjustRightInd w:val="0"/>
              <w:snapToGrid w:val="0"/>
              <w:rPr>
                <w:b/>
                <w:snapToGrid w:val="0"/>
                <w:kern w:val="22"/>
                <w:lang w:val="en-GB"/>
              </w:rPr>
            </w:pPr>
            <w:r w:rsidRPr="007C4C31">
              <w:rPr>
                <w:b/>
                <w:noProof/>
                <w:snapToGrid w:val="0"/>
                <w:kern w:val="22"/>
                <w:sz w:val="22"/>
                <w:lang w:val="en-GB" w:eastAsia="zh-CN"/>
              </w:rPr>
              <w:drawing>
                <wp:inline distT="0" distB="0" distL="0" distR="0" wp14:anchorId="567151F8" wp14:editId="54626E16">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14:paraId="7E547B8D" w14:textId="77777777" w:rsidR="000C7F51" w:rsidRPr="005C6B31" w:rsidRDefault="00B814C6" w:rsidP="005C6B31">
            <w:pPr>
              <w:suppressLineNumbers/>
              <w:suppressAutoHyphens/>
              <w:kinsoku w:val="0"/>
              <w:overflowPunct w:val="0"/>
              <w:autoSpaceDE w:val="0"/>
              <w:autoSpaceDN w:val="0"/>
              <w:adjustRightInd w:val="0"/>
              <w:snapToGrid w:val="0"/>
              <w:rPr>
                <w:snapToGrid w:val="0"/>
                <w:kern w:val="22"/>
                <w:sz w:val="22"/>
                <w:lang w:val="en-GB"/>
              </w:rPr>
            </w:pPr>
            <w:r w:rsidRPr="005C6B31">
              <w:rPr>
                <w:noProof/>
                <w:snapToGrid w:val="0"/>
                <w:kern w:val="22"/>
                <w:sz w:val="22"/>
                <w:lang w:val="en-GB" w:eastAsia="zh-CN"/>
              </w:rPr>
              <w:drawing>
                <wp:inline distT="0" distB="0" distL="0" distR="0" wp14:anchorId="5F261769" wp14:editId="535CF3AE">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0A14DE37" w14:textId="77777777" w:rsidR="000C7F51" w:rsidRPr="005C6B31" w:rsidRDefault="000C7F51" w:rsidP="005C6B31">
            <w:pPr>
              <w:suppressLineNumbers/>
              <w:suppressAutoHyphens/>
              <w:kinsoku w:val="0"/>
              <w:overflowPunct w:val="0"/>
              <w:autoSpaceDE w:val="0"/>
              <w:autoSpaceDN w:val="0"/>
              <w:adjustRightInd w:val="0"/>
              <w:snapToGrid w:val="0"/>
              <w:jc w:val="right"/>
              <w:rPr>
                <w:rFonts w:ascii="Univers" w:hAnsi="Univers"/>
                <w:b/>
                <w:snapToGrid w:val="0"/>
                <w:kern w:val="22"/>
                <w:sz w:val="32"/>
                <w:lang w:val="en-GB"/>
              </w:rPr>
            </w:pPr>
            <w:r w:rsidRPr="005C6B31">
              <w:rPr>
                <w:rFonts w:ascii="Univers" w:hAnsi="Univers"/>
                <w:b/>
                <w:snapToGrid w:val="0"/>
                <w:kern w:val="22"/>
                <w:sz w:val="32"/>
                <w:lang w:val="en-GB"/>
              </w:rPr>
              <w:t>CBD</w:t>
            </w:r>
          </w:p>
        </w:tc>
      </w:tr>
      <w:tr w:rsidR="000C7F51" w:rsidRPr="00F941F1" w14:paraId="1AF9FA2D" w14:textId="77777777" w:rsidTr="00455A9A">
        <w:trPr>
          <w:trHeight w:val="1693"/>
        </w:trPr>
        <w:tc>
          <w:tcPr>
            <w:tcW w:w="6227" w:type="dxa"/>
            <w:gridSpan w:val="3"/>
            <w:tcBorders>
              <w:top w:val="nil"/>
              <w:bottom w:val="single" w:sz="36" w:space="0" w:color="000000"/>
            </w:tcBorders>
          </w:tcPr>
          <w:p w14:paraId="02FEA736" w14:textId="77777777" w:rsidR="000C7F51" w:rsidRPr="005C6B31" w:rsidRDefault="000C7F51" w:rsidP="005C6B31">
            <w:pPr>
              <w:suppressLineNumbers/>
              <w:suppressAutoHyphens/>
              <w:kinsoku w:val="0"/>
              <w:overflowPunct w:val="0"/>
              <w:autoSpaceDE w:val="0"/>
              <w:autoSpaceDN w:val="0"/>
              <w:adjustRightInd w:val="0"/>
              <w:snapToGrid w:val="0"/>
              <w:rPr>
                <w:snapToGrid w:val="0"/>
                <w:kern w:val="22"/>
                <w:sz w:val="22"/>
                <w:lang w:val="en-GB"/>
              </w:rPr>
            </w:pPr>
          </w:p>
          <w:p w14:paraId="7E6184ED" w14:textId="77777777" w:rsidR="000C7F51" w:rsidRPr="005C6B31" w:rsidRDefault="00B814C6" w:rsidP="005C6B31">
            <w:pPr>
              <w:suppressLineNumbers/>
              <w:suppressAutoHyphens/>
              <w:kinsoku w:val="0"/>
              <w:overflowPunct w:val="0"/>
              <w:autoSpaceDE w:val="0"/>
              <w:autoSpaceDN w:val="0"/>
              <w:adjustRightInd w:val="0"/>
              <w:snapToGrid w:val="0"/>
              <w:rPr>
                <w:snapToGrid w:val="0"/>
                <w:kern w:val="22"/>
                <w:sz w:val="22"/>
                <w:lang w:val="en-GB"/>
              </w:rPr>
            </w:pPr>
            <w:r w:rsidRPr="005C6B31">
              <w:rPr>
                <w:noProof/>
                <w:snapToGrid w:val="0"/>
                <w:kern w:val="22"/>
                <w:sz w:val="22"/>
                <w:lang w:val="en-GB" w:eastAsia="zh-CN"/>
              </w:rPr>
              <w:drawing>
                <wp:inline distT="0" distB="0" distL="0" distR="0" wp14:anchorId="2FFD4090" wp14:editId="21A2B2CD">
                  <wp:extent cx="288607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7E356EC8" w14:textId="77777777" w:rsidR="000C7F51" w:rsidRPr="005C6B31" w:rsidRDefault="000C7F51" w:rsidP="005C6B31">
            <w:pPr>
              <w:suppressLineNumbers/>
              <w:suppressAutoHyphens/>
              <w:kinsoku w:val="0"/>
              <w:overflowPunct w:val="0"/>
              <w:autoSpaceDE w:val="0"/>
              <w:autoSpaceDN w:val="0"/>
              <w:adjustRightInd w:val="0"/>
              <w:snapToGrid w:val="0"/>
              <w:rPr>
                <w:rFonts w:ascii="Univers" w:hAnsi="Univers"/>
                <w:snapToGrid w:val="0"/>
                <w:kern w:val="22"/>
                <w:sz w:val="32"/>
                <w:lang w:val="en-GB"/>
              </w:rPr>
            </w:pPr>
          </w:p>
        </w:tc>
        <w:tc>
          <w:tcPr>
            <w:tcW w:w="1144" w:type="dxa"/>
            <w:tcBorders>
              <w:top w:val="nil"/>
              <w:bottom w:val="single" w:sz="36" w:space="0" w:color="000000"/>
            </w:tcBorders>
          </w:tcPr>
          <w:p w14:paraId="62E7FB25" w14:textId="77777777" w:rsidR="000C7F51" w:rsidRPr="005C6B31" w:rsidRDefault="000C7F51" w:rsidP="005C6B31">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 w:val="32"/>
                <w:szCs w:val="32"/>
                <w:lang w:val="en-GB"/>
              </w:rPr>
            </w:pPr>
          </w:p>
        </w:tc>
        <w:tc>
          <w:tcPr>
            <w:tcW w:w="2977" w:type="dxa"/>
            <w:tcBorders>
              <w:top w:val="nil"/>
              <w:bottom w:val="single" w:sz="36" w:space="0" w:color="000000"/>
            </w:tcBorders>
          </w:tcPr>
          <w:p w14:paraId="789AAA75" w14:textId="77777777" w:rsidR="000C7F51" w:rsidRPr="005C6B31"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n-GB"/>
              </w:rPr>
            </w:pPr>
            <w:r w:rsidRPr="005C6B31">
              <w:rPr>
                <w:snapToGrid w:val="0"/>
                <w:kern w:val="22"/>
                <w:sz w:val="22"/>
                <w:szCs w:val="22"/>
                <w:lang w:val="en-GB"/>
              </w:rPr>
              <w:t>Distr.</w:t>
            </w:r>
          </w:p>
          <w:p w14:paraId="608A398C" w14:textId="77777777" w:rsidR="000C7F51" w:rsidRPr="005C6B31"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n-GB"/>
              </w:rPr>
            </w:pPr>
            <w:r w:rsidRPr="005C6B31">
              <w:rPr>
                <w:snapToGrid w:val="0"/>
                <w:kern w:val="22"/>
                <w:sz w:val="22"/>
                <w:szCs w:val="22"/>
                <w:lang w:val="en-GB"/>
              </w:rPr>
              <w:t>GENERAL</w:t>
            </w:r>
          </w:p>
          <w:p w14:paraId="31CE9131" w14:textId="77777777" w:rsidR="000C7F51" w:rsidRPr="005C6B31"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n-GB"/>
              </w:rPr>
            </w:pPr>
          </w:p>
          <w:p w14:paraId="5CA4DCC4" w14:textId="77777777" w:rsidR="00916407" w:rsidRPr="005C6B31" w:rsidRDefault="008024E8" w:rsidP="005C6B31">
            <w:pPr>
              <w:suppressLineNumbers/>
              <w:suppressAutoHyphens/>
              <w:kinsoku w:val="0"/>
              <w:overflowPunct w:val="0"/>
              <w:autoSpaceDE w:val="0"/>
              <w:autoSpaceDN w:val="0"/>
              <w:adjustRightInd w:val="0"/>
              <w:snapToGrid w:val="0"/>
              <w:ind w:left="459"/>
              <w:rPr>
                <w:snapToGrid w:val="0"/>
                <w:kern w:val="22"/>
                <w:sz w:val="22"/>
                <w:szCs w:val="22"/>
                <w:lang w:val="en-GB"/>
              </w:rPr>
            </w:pPr>
            <w:sdt>
              <w:sdtPr>
                <w:rPr>
                  <w:snapToGrid w:val="0"/>
                  <w:kern w:val="22"/>
                  <w:sz w:val="22"/>
                  <w:szCs w:val="22"/>
                  <w:lang w:val="en-GB"/>
                </w:rPr>
                <w:alias w:val="Subject"/>
                <w:tag w:val=""/>
                <w:id w:val="1292402679"/>
                <w:placeholder>
                  <w:docPart w:val="73D26D25D9F5470EBE7E2A339D1FC1F6"/>
                </w:placeholder>
                <w:dataBinding w:prefixMappings="xmlns:ns0='http://purl.org/dc/elements/1.1/' xmlns:ns1='http://schemas.openxmlformats.org/package/2006/metadata/core-properties' " w:xpath="/ns1:coreProperties[1]/ns0:subject[1]" w:storeItemID="{6C3C8BC8-F283-45AE-878A-BAB7291924A1}"/>
                <w:text/>
              </w:sdtPr>
              <w:sdtEndPr/>
              <w:sdtContent>
                <w:r w:rsidR="005049F9" w:rsidRPr="005C6B31">
                  <w:rPr>
                    <w:snapToGrid w:val="0"/>
                    <w:kern w:val="22"/>
                    <w:sz w:val="22"/>
                    <w:szCs w:val="22"/>
                    <w:lang w:val="en-GB"/>
                  </w:rPr>
                  <w:t>CBD/SBI/2/12</w:t>
                </w:r>
              </w:sdtContent>
            </w:sdt>
          </w:p>
          <w:p w14:paraId="5722185F" w14:textId="333B0E6E" w:rsidR="000C7F51" w:rsidRPr="005C6B31" w:rsidRDefault="005049F9" w:rsidP="005C6B31">
            <w:pPr>
              <w:suppressLineNumbers/>
              <w:suppressAutoHyphens/>
              <w:kinsoku w:val="0"/>
              <w:overflowPunct w:val="0"/>
              <w:autoSpaceDE w:val="0"/>
              <w:autoSpaceDN w:val="0"/>
              <w:adjustRightInd w:val="0"/>
              <w:snapToGrid w:val="0"/>
              <w:ind w:left="459"/>
              <w:rPr>
                <w:snapToGrid w:val="0"/>
                <w:kern w:val="22"/>
                <w:sz w:val="22"/>
                <w:szCs w:val="22"/>
                <w:lang w:val="en-GB"/>
              </w:rPr>
            </w:pPr>
            <w:r w:rsidRPr="005C6B31">
              <w:rPr>
                <w:snapToGrid w:val="0"/>
                <w:kern w:val="22"/>
                <w:sz w:val="22"/>
                <w:szCs w:val="22"/>
                <w:lang w:val="en-GB"/>
              </w:rPr>
              <w:t xml:space="preserve">4 </w:t>
            </w:r>
            <w:r w:rsidR="000C7F51" w:rsidRPr="005C6B31">
              <w:rPr>
                <w:snapToGrid w:val="0"/>
                <w:kern w:val="22"/>
                <w:sz w:val="22"/>
                <w:szCs w:val="22"/>
                <w:lang w:val="en-GB"/>
              </w:rPr>
              <w:t>April 2018</w:t>
            </w:r>
          </w:p>
          <w:p w14:paraId="520DDFBC" w14:textId="77777777" w:rsidR="000C7F51" w:rsidRPr="005C6B31" w:rsidRDefault="000C7F51" w:rsidP="005C6B31">
            <w:pPr>
              <w:suppressLineNumbers/>
              <w:suppressAutoHyphens/>
              <w:kinsoku w:val="0"/>
              <w:overflowPunct w:val="0"/>
              <w:autoSpaceDE w:val="0"/>
              <w:autoSpaceDN w:val="0"/>
              <w:adjustRightInd w:val="0"/>
              <w:snapToGrid w:val="0"/>
              <w:ind w:left="459"/>
              <w:rPr>
                <w:snapToGrid w:val="0"/>
                <w:kern w:val="22"/>
                <w:sz w:val="22"/>
                <w:szCs w:val="22"/>
                <w:lang w:val="en-GB"/>
              </w:rPr>
            </w:pPr>
          </w:p>
          <w:p w14:paraId="794D065C" w14:textId="7BA55638" w:rsidR="000C7F51" w:rsidRPr="005C6B31" w:rsidRDefault="000C7F51" w:rsidP="005C6B31">
            <w:pPr>
              <w:suppressLineNumbers/>
              <w:suppressAutoHyphens/>
              <w:kinsoku w:val="0"/>
              <w:overflowPunct w:val="0"/>
              <w:autoSpaceDE w:val="0"/>
              <w:autoSpaceDN w:val="0"/>
              <w:adjustRightInd w:val="0"/>
              <w:snapToGrid w:val="0"/>
              <w:ind w:left="459"/>
              <w:rPr>
                <w:snapToGrid w:val="0"/>
                <w:kern w:val="22"/>
                <w:sz w:val="22"/>
                <w:szCs w:val="22"/>
                <w:u w:val="single"/>
                <w:lang w:val="en-GB"/>
              </w:rPr>
            </w:pPr>
            <w:r w:rsidRPr="005C6B31">
              <w:rPr>
                <w:snapToGrid w:val="0"/>
                <w:kern w:val="22"/>
                <w:sz w:val="22"/>
                <w:szCs w:val="22"/>
                <w:lang w:val="en-GB"/>
              </w:rPr>
              <w:t>ORIGINAL: ENGLISH</w:t>
            </w:r>
          </w:p>
        </w:tc>
      </w:tr>
    </w:tbl>
    <w:p w14:paraId="02FF427B" w14:textId="77777777" w:rsidR="000C7F51" w:rsidRPr="00AC635C" w:rsidRDefault="000C7F51" w:rsidP="005C6B31">
      <w:pPr>
        <w:pStyle w:val="meetingname"/>
        <w:suppressLineNumbers/>
        <w:suppressAutoHyphens/>
        <w:kinsoku w:val="0"/>
        <w:overflowPunct w:val="0"/>
        <w:autoSpaceDE w:val="0"/>
        <w:autoSpaceDN w:val="0"/>
        <w:adjustRightInd w:val="0"/>
        <w:snapToGrid w:val="0"/>
        <w:ind w:left="284" w:right="4398" w:hanging="284"/>
        <w:rPr>
          <w:kern w:val="22"/>
          <w:sz w:val="22"/>
          <w:szCs w:val="22"/>
          <w:lang w:val="en-GB"/>
        </w:rPr>
      </w:pPr>
      <w:bookmarkStart w:id="0" w:name="Meeting"/>
      <w:r w:rsidRPr="00AC635C">
        <w:rPr>
          <w:kern w:val="22"/>
          <w:sz w:val="22"/>
          <w:szCs w:val="22"/>
          <w:lang w:val="en-GB"/>
        </w:rPr>
        <w:t>SUBSIDIARY BODY ON IMPLEMENTATION</w:t>
      </w:r>
      <w:bookmarkEnd w:id="0"/>
    </w:p>
    <w:p w14:paraId="15A609A8" w14:textId="77777777" w:rsidR="000C7F51" w:rsidRPr="00AC635C" w:rsidRDefault="000C7F51" w:rsidP="008024E8">
      <w:pPr>
        <w:suppressLineNumbers/>
        <w:suppressAutoHyphens/>
        <w:kinsoku w:val="0"/>
        <w:overflowPunct w:val="0"/>
        <w:autoSpaceDE w:val="0"/>
        <w:autoSpaceDN w:val="0"/>
        <w:adjustRightInd w:val="0"/>
        <w:snapToGrid w:val="0"/>
        <w:rPr>
          <w:snapToGrid w:val="0"/>
          <w:kern w:val="22"/>
          <w:sz w:val="22"/>
          <w:szCs w:val="22"/>
          <w:lang w:val="en-GB" w:eastAsia="nb-NO"/>
        </w:rPr>
      </w:pPr>
      <w:r w:rsidRPr="00AC635C">
        <w:rPr>
          <w:snapToGrid w:val="0"/>
          <w:kern w:val="22"/>
          <w:sz w:val="22"/>
          <w:szCs w:val="22"/>
          <w:lang w:val="en-GB" w:eastAsia="nb-NO"/>
        </w:rPr>
        <w:t>Second meeting</w:t>
      </w:r>
    </w:p>
    <w:p w14:paraId="1DCD2284" w14:textId="77777777" w:rsidR="000C7F51" w:rsidRPr="00AC635C" w:rsidRDefault="000C7F51" w:rsidP="005C6B31">
      <w:pPr>
        <w:suppressLineNumbers/>
        <w:suppressAutoHyphens/>
        <w:kinsoku w:val="0"/>
        <w:overflowPunct w:val="0"/>
        <w:autoSpaceDE w:val="0"/>
        <w:autoSpaceDN w:val="0"/>
        <w:adjustRightInd w:val="0"/>
        <w:snapToGrid w:val="0"/>
        <w:rPr>
          <w:snapToGrid w:val="0"/>
          <w:kern w:val="22"/>
          <w:sz w:val="22"/>
          <w:szCs w:val="22"/>
          <w:lang w:val="en-GB" w:eastAsia="nb-NO"/>
        </w:rPr>
      </w:pPr>
      <w:r w:rsidRPr="00AC635C">
        <w:rPr>
          <w:snapToGrid w:val="0"/>
          <w:kern w:val="22"/>
          <w:sz w:val="22"/>
          <w:szCs w:val="22"/>
          <w:lang w:val="en-GB" w:eastAsia="nb-NO"/>
        </w:rPr>
        <w:t>Montreal, Canada, 9-13 July 2018</w:t>
      </w:r>
    </w:p>
    <w:p w14:paraId="61B1DA13" w14:textId="77777777" w:rsidR="000C7F51" w:rsidRPr="00AC635C" w:rsidRDefault="000C7F51" w:rsidP="005C6B31">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en-GB"/>
        </w:rPr>
      </w:pPr>
      <w:r w:rsidRPr="00AC635C">
        <w:rPr>
          <w:snapToGrid w:val="0"/>
          <w:kern w:val="22"/>
          <w:sz w:val="22"/>
          <w:szCs w:val="22"/>
          <w:lang w:val="en-GB"/>
        </w:rPr>
        <w:t>Item 13 of the provisional agenda</w:t>
      </w:r>
      <w:r w:rsidRPr="00AC635C">
        <w:rPr>
          <w:rStyle w:val="FootnoteReference"/>
          <w:snapToGrid w:val="0"/>
          <w:kern w:val="22"/>
          <w:sz w:val="22"/>
          <w:szCs w:val="22"/>
          <w:lang w:val="en-GB"/>
        </w:rPr>
        <w:footnoteReference w:customMarkFollows="1" w:id="1"/>
        <w:t>*</w:t>
      </w:r>
    </w:p>
    <w:p w14:paraId="7F07E69C" w14:textId="77777777" w:rsidR="004F7E0D" w:rsidRPr="00AC635C" w:rsidRDefault="004F7E0D" w:rsidP="005C6B31">
      <w:pPr>
        <w:suppressLineNumbers/>
        <w:suppressAutoHyphens/>
        <w:kinsoku w:val="0"/>
        <w:overflowPunct w:val="0"/>
        <w:autoSpaceDE w:val="0"/>
        <w:autoSpaceDN w:val="0"/>
        <w:adjustRightInd w:val="0"/>
        <w:snapToGrid w:val="0"/>
        <w:rPr>
          <w:snapToGrid w:val="0"/>
          <w:kern w:val="22"/>
          <w:sz w:val="22"/>
          <w:szCs w:val="22"/>
          <w:lang w:val="en-GB"/>
        </w:rPr>
      </w:pPr>
    </w:p>
    <w:p w14:paraId="6D26FB76" w14:textId="77777777" w:rsidR="005049F9" w:rsidRPr="00AC635C" w:rsidRDefault="008024E8" w:rsidP="005C6B31">
      <w:pPr>
        <w:pStyle w:val="HEADINGNOTFORTOC"/>
        <w:keepNext w:val="0"/>
        <w:suppressLineNumbers/>
        <w:tabs>
          <w:tab w:val="clear" w:pos="720"/>
        </w:tabs>
        <w:suppressAutoHyphens/>
        <w:kinsoku w:val="0"/>
        <w:overflowPunct w:val="0"/>
        <w:autoSpaceDE w:val="0"/>
        <w:autoSpaceDN w:val="0"/>
        <w:adjustRightInd w:val="0"/>
        <w:snapToGrid w:val="0"/>
        <w:spacing w:before="0" w:after="0"/>
        <w:rPr>
          <w:bCs/>
          <w:snapToGrid w:val="0"/>
          <w:kern w:val="22"/>
          <w:szCs w:val="22"/>
          <w:lang w:val="en-GB"/>
        </w:rPr>
      </w:pPr>
      <w:sdt>
        <w:sdtPr>
          <w:rPr>
            <w:bCs/>
            <w:snapToGrid w:val="0"/>
            <w:kern w:val="22"/>
            <w:szCs w:val="22"/>
            <w:lang w:val="en-GB"/>
          </w:rPr>
          <w:alias w:val="Title"/>
          <w:tag w:val=""/>
          <w:id w:val="883984550"/>
          <w:placeholder>
            <w:docPart w:val="A78B1D0D7C7E46EDA035700A530A384D"/>
          </w:placeholder>
          <w:dataBinding w:prefixMappings="xmlns:ns0='http://purl.org/dc/elements/1.1/' xmlns:ns1='http://schemas.openxmlformats.org/package/2006/metadata/core-properties' " w:xpath="/ns1:coreProperties[1]/ns0:title[1]" w:storeItemID="{6C3C8BC8-F283-45AE-878A-BAB7291924A1}"/>
          <w:text/>
        </w:sdtPr>
        <w:sdtEndPr/>
        <w:sdtContent>
          <w:r w:rsidR="005049F9" w:rsidRPr="00AC635C">
            <w:rPr>
              <w:bCs/>
              <w:snapToGrid w:val="0"/>
              <w:kern w:val="22"/>
              <w:szCs w:val="22"/>
              <w:lang w:val="en-GB"/>
            </w:rPr>
            <w:t>National reporting under the Convention and its Protocols</w:t>
          </w:r>
        </w:sdtContent>
      </w:sdt>
    </w:p>
    <w:p w14:paraId="0B89C366" w14:textId="77777777" w:rsidR="005049F9" w:rsidRPr="00AC635C" w:rsidRDefault="005049F9" w:rsidP="005C6B31">
      <w:pPr>
        <w:pStyle w:val="Heading2"/>
        <w:keepNext w:val="0"/>
        <w:suppressLineNumbers/>
        <w:suppressAutoHyphens/>
        <w:kinsoku w:val="0"/>
        <w:overflowPunct w:val="0"/>
        <w:autoSpaceDE w:val="0"/>
        <w:autoSpaceDN w:val="0"/>
        <w:adjustRightInd w:val="0"/>
        <w:snapToGrid w:val="0"/>
        <w:rPr>
          <w:b w:val="0"/>
          <w:snapToGrid w:val="0"/>
          <w:kern w:val="22"/>
          <w:sz w:val="22"/>
          <w:szCs w:val="22"/>
          <w:lang w:val="en-GB"/>
        </w:rPr>
      </w:pPr>
      <w:r w:rsidRPr="00AC635C">
        <w:rPr>
          <w:b w:val="0"/>
          <w:snapToGrid w:val="0"/>
          <w:kern w:val="22"/>
          <w:sz w:val="22"/>
          <w:szCs w:val="22"/>
          <w:lang w:val="en-GB"/>
        </w:rPr>
        <w:t>Note by the Executive Secretary</w:t>
      </w:r>
    </w:p>
    <w:p w14:paraId="3F19D854" w14:textId="77777777" w:rsidR="004F7E0D" w:rsidRPr="00AC635C" w:rsidRDefault="004F7E0D" w:rsidP="005C6B31">
      <w:pPr>
        <w:pStyle w:val="HEADINGNOTFORTOC"/>
        <w:keepNext w:val="0"/>
        <w:suppressLineNumbers/>
        <w:tabs>
          <w:tab w:val="clear" w:pos="720"/>
        </w:tabs>
        <w:suppressAutoHyphens/>
        <w:kinsoku w:val="0"/>
        <w:overflowPunct w:val="0"/>
        <w:autoSpaceDE w:val="0"/>
        <w:autoSpaceDN w:val="0"/>
        <w:adjustRightInd w:val="0"/>
        <w:snapToGrid w:val="0"/>
        <w:spacing w:before="0" w:after="0"/>
        <w:rPr>
          <w:caps w:val="0"/>
          <w:snapToGrid w:val="0"/>
          <w:kern w:val="22"/>
          <w:szCs w:val="22"/>
          <w:lang w:val="en-GB"/>
        </w:rPr>
      </w:pPr>
      <w:r w:rsidRPr="00AC635C">
        <w:rPr>
          <w:caps w:val="0"/>
          <w:snapToGrid w:val="0"/>
          <w:kern w:val="22"/>
          <w:szCs w:val="22"/>
          <w:lang w:val="en-GB"/>
        </w:rPr>
        <w:t>INTRODUCTION</w:t>
      </w:r>
    </w:p>
    <w:p w14:paraId="5D8CD1CD" w14:textId="3CBD4435"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rFonts w:eastAsia="Malgun Gothic"/>
          <w:kern w:val="22"/>
          <w:sz w:val="22"/>
          <w:szCs w:val="22"/>
          <w:lang w:val="en-GB"/>
        </w:rPr>
        <w:t xml:space="preserve">In paragraph 8 of decision </w:t>
      </w:r>
      <w:hyperlink r:id="rId11" w:history="1">
        <w:r w:rsidRPr="00AC635C">
          <w:rPr>
            <w:rStyle w:val="Hyperlink"/>
            <w:kern w:val="22"/>
            <w:sz w:val="22"/>
            <w:szCs w:val="22"/>
            <w:lang w:val="en-GB"/>
          </w:rPr>
          <w:t>XIII/27</w:t>
        </w:r>
      </w:hyperlink>
      <w:r w:rsidRPr="00AC635C">
        <w:rPr>
          <w:kern w:val="22"/>
          <w:sz w:val="22"/>
          <w:szCs w:val="22"/>
          <w:lang w:val="en-GB"/>
        </w:rPr>
        <w:t xml:space="preserve">, </w:t>
      </w:r>
      <w:r w:rsidRPr="00AC635C">
        <w:rPr>
          <w:rFonts w:eastAsia="Malgun Gothic"/>
          <w:kern w:val="22"/>
          <w:sz w:val="22"/>
          <w:szCs w:val="22"/>
          <w:lang w:val="en-GB"/>
        </w:rPr>
        <w:t xml:space="preserve">the Conference of the Parties </w:t>
      </w:r>
      <w:r w:rsidR="004C7DF8" w:rsidRPr="00AC635C">
        <w:rPr>
          <w:rFonts w:eastAsia="Malgun Gothic"/>
          <w:kern w:val="22"/>
          <w:sz w:val="22"/>
          <w:szCs w:val="22"/>
          <w:lang w:val="en-GB"/>
        </w:rPr>
        <w:t xml:space="preserve">to the Convention on Biodiversity </w:t>
      </w:r>
      <w:r w:rsidRPr="00AC635C">
        <w:rPr>
          <w:rFonts w:eastAsia="Malgun Gothic"/>
          <w:kern w:val="22"/>
          <w:sz w:val="22"/>
          <w:szCs w:val="22"/>
          <w:lang w:val="en-GB"/>
        </w:rPr>
        <w:t xml:space="preserve">requested </w:t>
      </w:r>
      <w:r w:rsidRPr="00AC635C">
        <w:rPr>
          <w:kern w:val="22"/>
          <w:sz w:val="22"/>
          <w:szCs w:val="22"/>
          <w:lang w:val="en-GB"/>
        </w:rPr>
        <w:t xml:space="preserve">the Executive Secretary, in consultation with the Bureau of the Conference of the Parties, to develop, subject to subsequent endorsement by the Conference of the Parties serving as the meetings of the Parties to the Cartagena </w:t>
      </w:r>
      <w:r w:rsidR="004C7DF8" w:rsidRPr="00AC635C">
        <w:rPr>
          <w:kern w:val="22"/>
          <w:sz w:val="22"/>
          <w:szCs w:val="22"/>
          <w:lang w:val="en-GB"/>
        </w:rPr>
        <w:t xml:space="preserve">Protocol on Biosafety </w:t>
      </w:r>
      <w:r w:rsidRPr="00AC635C">
        <w:rPr>
          <w:kern w:val="22"/>
          <w:sz w:val="22"/>
          <w:szCs w:val="22"/>
          <w:lang w:val="en-GB"/>
        </w:rPr>
        <w:t>and Nagoya Protocol</w:t>
      </w:r>
      <w:r w:rsidR="004C7DF8" w:rsidRPr="00AC635C">
        <w:rPr>
          <w:kern w:val="22"/>
          <w:sz w:val="22"/>
          <w:szCs w:val="22"/>
          <w:lang w:val="en-GB"/>
        </w:rPr>
        <w:t xml:space="preserve"> on Access and Benefit-sharing</w:t>
      </w:r>
      <w:r w:rsidRPr="00AC635C">
        <w:rPr>
          <w:kern w:val="22"/>
          <w:sz w:val="22"/>
          <w:szCs w:val="22"/>
          <w:lang w:val="en-GB"/>
        </w:rPr>
        <w:t>, proposals for the alignment of national reporting under the Convention and its Protocols, and to report on progress to the Subsidiary Body on Implementation at its second meeting.</w:t>
      </w:r>
    </w:p>
    <w:p w14:paraId="7E5983A7" w14:textId="54A3BE5E"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In paragraph 9 of the same decision, the </w:t>
      </w:r>
      <w:r w:rsidRPr="00AC635C">
        <w:rPr>
          <w:rFonts w:eastAsia="Malgun Gothic"/>
          <w:kern w:val="22"/>
          <w:sz w:val="22"/>
          <w:szCs w:val="22"/>
          <w:lang w:val="en-GB"/>
        </w:rPr>
        <w:t xml:space="preserve">Conference of the Parties also requested </w:t>
      </w:r>
      <w:r w:rsidRPr="00AC635C">
        <w:rPr>
          <w:kern w:val="22"/>
          <w:sz w:val="22"/>
          <w:szCs w:val="22"/>
          <w:lang w:val="en-GB"/>
        </w:rPr>
        <w:t xml:space="preserve">the Executive Secretary, in collaboration with the secretariats of the biodiversity-related </w:t>
      </w:r>
      <w:r w:rsidR="00914312" w:rsidRPr="00AC635C">
        <w:rPr>
          <w:kern w:val="22"/>
          <w:sz w:val="22"/>
          <w:szCs w:val="22"/>
          <w:lang w:val="en-GB"/>
        </w:rPr>
        <w:t>c</w:t>
      </w:r>
      <w:r w:rsidRPr="00AC635C">
        <w:rPr>
          <w:kern w:val="22"/>
          <w:sz w:val="22"/>
          <w:szCs w:val="22"/>
          <w:lang w:val="en-GB"/>
        </w:rPr>
        <w:t xml:space="preserve">onventions and </w:t>
      </w:r>
      <w:r w:rsidR="00914312" w:rsidRPr="00AC635C">
        <w:rPr>
          <w:kern w:val="22"/>
          <w:sz w:val="22"/>
          <w:szCs w:val="22"/>
          <w:lang w:val="en-GB"/>
        </w:rPr>
        <w:t xml:space="preserve">the </w:t>
      </w:r>
      <w:r w:rsidRPr="00AC635C">
        <w:rPr>
          <w:kern w:val="22"/>
          <w:sz w:val="22"/>
          <w:szCs w:val="22"/>
          <w:lang w:val="en-GB"/>
        </w:rPr>
        <w:t xml:space="preserve">Rio </w:t>
      </w:r>
      <w:r w:rsidR="00D43B96" w:rsidRPr="00AC635C">
        <w:rPr>
          <w:kern w:val="22"/>
          <w:sz w:val="22"/>
          <w:szCs w:val="22"/>
          <w:lang w:val="en-GB"/>
        </w:rPr>
        <w:t>c</w:t>
      </w:r>
      <w:r w:rsidRPr="00AC635C">
        <w:rPr>
          <w:kern w:val="22"/>
          <w:sz w:val="22"/>
          <w:szCs w:val="22"/>
          <w:lang w:val="en-GB"/>
        </w:rPr>
        <w:t xml:space="preserve">onventions, and the </w:t>
      </w:r>
      <w:hyperlink r:id="rId12" w:history="1">
        <w:r w:rsidRPr="00AC635C">
          <w:rPr>
            <w:rStyle w:val="Hyperlink"/>
            <w:sz w:val="22"/>
            <w:szCs w:val="22"/>
            <w:lang w:val="en-GB"/>
          </w:rPr>
          <w:t>United Nations Environment Programme</w:t>
        </w:r>
      </w:hyperlink>
      <w:r w:rsidRPr="00AC635C">
        <w:rPr>
          <w:kern w:val="22"/>
          <w:sz w:val="22"/>
          <w:szCs w:val="22"/>
          <w:lang w:val="en-GB"/>
        </w:rPr>
        <w:t xml:space="preserve">’s </w:t>
      </w:r>
      <w:hyperlink r:id="rId13" w:history="1">
        <w:r w:rsidRPr="00AC635C">
          <w:rPr>
            <w:rStyle w:val="Hyperlink"/>
            <w:sz w:val="22"/>
            <w:szCs w:val="22"/>
            <w:lang w:val="en-GB"/>
          </w:rPr>
          <w:t>World Conservation Monitoring Centre</w:t>
        </w:r>
      </w:hyperlink>
      <w:r w:rsidR="003360D1" w:rsidRPr="00AC635C">
        <w:rPr>
          <w:kern w:val="22"/>
          <w:sz w:val="22"/>
          <w:szCs w:val="22"/>
          <w:lang w:val="en-GB"/>
        </w:rPr>
        <w:t xml:space="preserve"> (UNEP-WCMC)</w:t>
      </w:r>
      <w:r w:rsidRPr="00AC635C">
        <w:rPr>
          <w:kern w:val="22"/>
          <w:sz w:val="22"/>
          <w:szCs w:val="22"/>
          <w:lang w:val="en-GB"/>
        </w:rPr>
        <w:t>, to explore options for enhancing synergy on national reporting among these conventions and to report to the Subsidiary Body on Implementation</w:t>
      </w:r>
      <w:r w:rsidR="007C4C31" w:rsidRPr="00AC635C">
        <w:rPr>
          <w:kern w:val="22"/>
          <w:sz w:val="22"/>
          <w:szCs w:val="22"/>
          <w:lang w:val="en-GB"/>
        </w:rPr>
        <w:t xml:space="preserve"> at its second meeting</w:t>
      </w:r>
      <w:r w:rsidRPr="00AC635C">
        <w:rPr>
          <w:kern w:val="22"/>
          <w:sz w:val="22"/>
          <w:szCs w:val="22"/>
          <w:lang w:val="en-GB"/>
        </w:rPr>
        <w:t>.</w:t>
      </w:r>
    </w:p>
    <w:p w14:paraId="4B1CAA3C" w14:textId="7D750EC6" w:rsidR="004337BE" w:rsidRPr="00AC635C" w:rsidRDefault="00CF7BC7"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present </w:t>
      </w:r>
      <w:r w:rsidR="00C06EEA" w:rsidRPr="00AC635C">
        <w:rPr>
          <w:rFonts w:eastAsia="Malgun Gothic"/>
          <w:kern w:val="22"/>
          <w:sz w:val="22"/>
          <w:szCs w:val="22"/>
          <w:lang w:val="en-GB"/>
        </w:rPr>
        <w:t>document</w:t>
      </w:r>
      <w:r w:rsidR="00ED11C9" w:rsidRPr="00AC635C">
        <w:rPr>
          <w:rStyle w:val="FootnoteReference"/>
          <w:rFonts w:eastAsia="Malgun Gothic"/>
          <w:kern w:val="22"/>
          <w:sz w:val="22"/>
          <w:szCs w:val="22"/>
          <w:lang w:val="en-GB"/>
        </w:rPr>
        <w:footnoteReference w:id="2"/>
      </w:r>
      <w:r w:rsidRPr="00AC635C">
        <w:rPr>
          <w:rFonts w:eastAsia="Malgun Gothic"/>
          <w:kern w:val="22"/>
          <w:sz w:val="22"/>
          <w:szCs w:val="22"/>
          <w:lang w:val="en-GB"/>
        </w:rPr>
        <w:t xml:space="preserve"> has been prepared in consultation with </w:t>
      </w:r>
      <w:r w:rsidRPr="00AC635C">
        <w:rPr>
          <w:kern w:val="22"/>
          <w:sz w:val="22"/>
          <w:szCs w:val="22"/>
          <w:lang w:val="en-GB"/>
        </w:rPr>
        <w:t>the Bureau of the Conference of the Parties</w:t>
      </w:r>
      <w:r w:rsidRPr="00AC635C">
        <w:rPr>
          <w:rFonts w:eastAsia="Malgun Gothic"/>
          <w:kern w:val="22"/>
          <w:sz w:val="22"/>
          <w:szCs w:val="22"/>
          <w:lang w:val="en-GB"/>
        </w:rPr>
        <w:t xml:space="preserve"> and in collaboration with the </w:t>
      </w:r>
      <w:r w:rsidR="003360D1" w:rsidRPr="00AC635C">
        <w:rPr>
          <w:kern w:val="22"/>
          <w:sz w:val="22"/>
          <w:szCs w:val="22"/>
          <w:lang w:val="en-GB"/>
        </w:rPr>
        <w:t>s</w:t>
      </w:r>
      <w:r w:rsidRPr="00AC635C">
        <w:rPr>
          <w:kern w:val="22"/>
          <w:sz w:val="22"/>
          <w:szCs w:val="22"/>
          <w:lang w:val="en-GB"/>
        </w:rPr>
        <w:t>ecretaria</w:t>
      </w:r>
      <w:r w:rsidR="00964580" w:rsidRPr="00AC635C">
        <w:rPr>
          <w:kern w:val="22"/>
          <w:sz w:val="22"/>
          <w:szCs w:val="22"/>
          <w:lang w:val="en-GB"/>
        </w:rPr>
        <w:t xml:space="preserve">ts of the biodiversity-related </w:t>
      </w:r>
      <w:r w:rsidR="003360D1" w:rsidRPr="00AC635C">
        <w:rPr>
          <w:kern w:val="22"/>
          <w:sz w:val="22"/>
          <w:szCs w:val="22"/>
          <w:lang w:val="en-GB"/>
        </w:rPr>
        <w:t>c</w:t>
      </w:r>
      <w:r w:rsidRPr="00AC635C">
        <w:rPr>
          <w:kern w:val="22"/>
          <w:sz w:val="22"/>
          <w:szCs w:val="22"/>
          <w:lang w:val="en-GB"/>
        </w:rPr>
        <w:t xml:space="preserve">onventions and Rio </w:t>
      </w:r>
      <w:r w:rsidR="00D43B96" w:rsidRPr="00AC635C">
        <w:rPr>
          <w:kern w:val="22"/>
          <w:sz w:val="22"/>
          <w:szCs w:val="22"/>
          <w:lang w:val="en-GB"/>
        </w:rPr>
        <w:t>c</w:t>
      </w:r>
      <w:r w:rsidRPr="00AC635C">
        <w:rPr>
          <w:kern w:val="22"/>
          <w:sz w:val="22"/>
          <w:szCs w:val="22"/>
          <w:lang w:val="en-GB"/>
        </w:rPr>
        <w:t xml:space="preserve">onventions, and </w:t>
      </w:r>
      <w:r w:rsidR="003360D1" w:rsidRPr="00AC635C">
        <w:rPr>
          <w:kern w:val="22"/>
          <w:sz w:val="22"/>
          <w:szCs w:val="22"/>
          <w:lang w:val="en-GB"/>
        </w:rPr>
        <w:t>UNEP-WCMC</w:t>
      </w:r>
      <w:r w:rsidRPr="00AC635C">
        <w:rPr>
          <w:kern w:val="22"/>
          <w:sz w:val="22"/>
          <w:szCs w:val="22"/>
          <w:lang w:val="en-GB"/>
        </w:rPr>
        <w:t>.</w:t>
      </w:r>
      <w:r w:rsidRPr="00AC635C">
        <w:rPr>
          <w:rFonts w:eastAsia="Malgun Gothic"/>
          <w:kern w:val="22"/>
          <w:sz w:val="22"/>
          <w:szCs w:val="22"/>
          <w:lang w:val="en-GB"/>
        </w:rPr>
        <w:t xml:space="preserve"> A</w:t>
      </w:r>
      <w:r w:rsidR="004F7E0D" w:rsidRPr="00AC635C">
        <w:rPr>
          <w:rFonts w:eastAsia="Malgun Gothic"/>
          <w:kern w:val="22"/>
          <w:sz w:val="22"/>
          <w:szCs w:val="22"/>
          <w:lang w:val="en-GB"/>
        </w:rPr>
        <w:t xml:space="preserve"> brief overview</w:t>
      </w:r>
      <w:r w:rsidR="0064653E" w:rsidRPr="00AC635C">
        <w:rPr>
          <w:rFonts w:eastAsia="Malgun Gothic"/>
          <w:kern w:val="22"/>
          <w:sz w:val="22"/>
          <w:szCs w:val="22"/>
          <w:lang w:val="en-GB"/>
        </w:rPr>
        <w:t xml:space="preserve"> </w:t>
      </w:r>
      <w:r w:rsidR="004F7E0D" w:rsidRPr="00AC635C">
        <w:rPr>
          <w:rFonts w:eastAsia="Malgun Gothic"/>
          <w:kern w:val="22"/>
          <w:sz w:val="22"/>
          <w:szCs w:val="22"/>
          <w:lang w:val="en-GB"/>
        </w:rPr>
        <w:t>of ongoing processes to further integrate the Convention and its Protocols</w:t>
      </w:r>
      <w:r w:rsidRPr="00AC635C">
        <w:rPr>
          <w:rFonts w:eastAsia="Malgun Gothic"/>
          <w:kern w:val="22"/>
          <w:sz w:val="22"/>
          <w:szCs w:val="22"/>
          <w:lang w:val="en-GB"/>
        </w:rPr>
        <w:t xml:space="preserve"> is </w:t>
      </w:r>
      <w:r w:rsidR="0064653E" w:rsidRPr="00AC635C">
        <w:rPr>
          <w:rFonts w:eastAsia="Malgun Gothic"/>
          <w:kern w:val="22"/>
          <w:sz w:val="22"/>
          <w:szCs w:val="22"/>
          <w:lang w:val="en-GB"/>
        </w:rPr>
        <w:t>provided,</w:t>
      </w:r>
      <w:bookmarkStart w:id="1" w:name="_GoBack"/>
      <w:bookmarkEnd w:id="1"/>
      <w:r w:rsidR="0064653E" w:rsidRPr="00AC635C">
        <w:rPr>
          <w:rFonts w:eastAsia="Malgun Gothic"/>
          <w:kern w:val="22"/>
          <w:sz w:val="22"/>
          <w:szCs w:val="22"/>
          <w:lang w:val="en-GB"/>
        </w:rPr>
        <w:t xml:space="preserve"> for context, in </w:t>
      </w:r>
      <w:r w:rsidR="004F7E0D" w:rsidRPr="00AC635C">
        <w:rPr>
          <w:rFonts w:eastAsia="Malgun Gothic"/>
          <w:kern w:val="22"/>
          <w:sz w:val="22"/>
          <w:szCs w:val="22"/>
          <w:lang w:val="en-GB"/>
        </w:rPr>
        <w:t>section</w:t>
      </w:r>
      <w:r w:rsidR="00916407" w:rsidRPr="00AC635C">
        <w:rPr>
          <w:rFonts w:eastAsia="Malgun Gothic"/>
          <w:kern w:val="22"/>
          <w:sz w:val="22"/>
          <w:szCs w:val="22"/>
          <w:lang w:val="en-GB"/>
        </w:rPr>
        <w:t> </w:t>
      </w:r>
      <w:r w:rsidR="004F7E0D" w:rsidRPr="00AC635C">
        <w:rPr>
          <w:rFonts w:eastAsia="Malgun Gothic"/>
          <w:kern w:val="22"/>
          <w:sz w:val="22"/>
          <w:szCs w:val="22"/>
          <w:lang w:val="en-GB"/>
        </w:rPr>
        <w:t>II</w:t>
      </w:r>
      <w:r w:rsidRPr="00AC635C">
        <w:rPr>
          <w:rFonts w:eastAsia="Malgun Gothic"/>
          <w:kern w:val="22"/>
          <w:sz w:val="22"/>
          <w:szCs w:val="22"/>
          <w:lang w:val="en-GB"/>
        </w:rPr>
        <w:t>.</w:t>
      </w:r>
      <w:r w:rsidR="0064653E" w:rsidRPr="00AC635C">
        <w:rPr>
          <w:rFonts w:eastAsia="Malgun Gothic"/>
          <w:kern w:val="22"/>
          <w:sz w:val="22"/>
          <w:szCs w:val="22"/>
          <w:lang w:val="en-GB"/>
        </w:rPr>
        <w:t xml:space="preserve"> </w:t>
      </w:r>
      <w:r w:rsidRPr="00AC635C">
        <w:rPr>
          <w:rFonts w:eastAsia="Malgun Gothic"/>
          <w:kern w:val="22"/>
          <w:sz w:val="22"/>
          <w:szCs w:val="22"/>
          <w:lang w:val="en-GB"/>
        </w:rPr>
        <w:t xml:space="preserve">Section III discusses the </w:t>
      </w:r>
      <w:r w:rsidRPr="00AC635C">
        <w:rPr>
          <w:kern w:val="22"/>
          <w:sz w:val="22"/>
          <w:szCs w:val="22"/>
          <w:lang w:val="en-GB"/>
        </w:rPr>
        <w:t xml:space="preserve">alignment of national reporting under the Convention and its Protocols, while section IV explores options for enhancing synergy on national reporting with the biodiversity-related </w:t>
      </w:r>
      <w:r w:rsidR="00CE52EE" w:rsidRPr="00AC635C">
        <w:rPr>
          <w:kern w:val="22"/>
          <w:sz w:val="22"/>
          <w:szCs w:val="22"/>
          <w:lang w:val="en-GB"/>
        </w:rPr>
        <w:t>c</w:t>
      </w:r>
      <w:r w:rsidRPr="00AC635C">
        <w:rPr>
          <w:kern w:val="22"/>
          <w:sz w:val="22"/>
          <w:szCs w:val="22"/>
          <w:lang w:val="en-GB"/>
        </w:rPr>
        <w:t xml:space="preserve">onventions and </w:t>
      </w:r>
      <w:r w:rsidR="00CE52EE" w:rsidRPr="00AC635C">
        <w:rPr>
          <w:kern w:val="22"/>
          <w:sz w:val="22"/>
          <w:szCs w:val="22"/>
          <w:lang w:val="en-GB"/>
        </w:rPr>
        <w:t xml:space="preserve">the </w:t>
      </w:r>
      <w:r w:rsidRPr="00AC635C">
        <w:rPr>
          <w:kern w:val="22"/>
          <w:sz w:val="22"/>
          <w:szCs w:val="22"/>
          <w:lang w:val="en-GB"/>
        </w:rPr>
        <w:t xml:space="preserve">Rio </w:t>
      </w:r>
      <w:r w:rsidR="00D43B96" w:rsidRPr="00AC635C">
        <w:rPr>
          <w:kern w:val="22"/>
          <w:sz w:val="22"/>
          <w:szCs w:val="22"/>
          <w:lang w:val="en-GB"/>
        </w:rPr>
        <w:t>c</w:t>
      </w:r>
      <w:r w:rsidRPr="00AC635C">
        <w:rPr>
          <w:kern w:val="22"/>
          <w:sz w:val="22"/>
          <w:szCs w:val="22"/>
          <w:lang w:val="en-GB"/>
        </w:rPr>
        <w:t xml:space="preserve">onventions. </w:t>
      </w:r>
      <w:r w:rsidR="00D41DF3" w:rsidRPr="00AC635C">
        <w:rPr>
          <w:kern w:val="22"/>
          <w:sz w:val="22"/>
          <w:szCs w:val="22"/>
          <w:lang w:val="en-GB"/>
        </w:rPr>
        <w:t xml:space="preserve">Section V briefly considers the funding implications of alignment and synergies in reporting. </w:t>
      </w:r>
      <w:r w:rsidR="004F7E0D" w:rsidRPr="00AC635C">
        <w:rPr>
          <w:kern w:val="22"/>
          <w:sz w:val="22"/>
          <w:szCs w:val="22"/>
          <w:lang w:val="en-GB"/>
        </w:rPr>
        <w:t xml:space="preserve">Suggested recommendations are </w:t>
      </w:r>
      <w:r w:rsidR="0064653E" w:rsidRPr="00AC635C">
        <w:rPr>
          <w:kern w:val="22"/>
          <w:sz w:val="22"/>
          <w:szCs w:val="22"/>
          <w:lang w:val="en-GB"/>
        </w:rPr>
        <w:t xml:space="preserve">provided </w:t>
      </w:r>
      <w:r w:rsidR="004F7E0D" w:rsidRPr="00AC635C">
        <w:rPr>
          <w:kern w:val="22"/>
          <w:sz w:val="22"/>
          <w:szCs w:val="22"/>
          <w:lang w:val="en-GB"/>
        </w:rPr>
        <w:t xml:space="preserve">in </w:t>
      </w:r>
      <w:r w:rsidR="00916407" w:rsidRPr="00AC635C">
        <w:rPr>
          <w:kern w:val="22"/>
          <w:sz w:val="22"/>
          <w:szCs w:val="22"/>
          <w:lang w:val="en-GB"/>
        </w:rPr>
        <w:t>s</w:t>
      </w:r>
      <w:r w:rsidR="004F7E0D" w:rsidRPr="00AC635C">
        <w:rPr>
          <w:kern w:val="22"/>
          <w:sz w:val="22"/>
          <w:szCs w:val="22"/>
          <w:lang w:val="en-GB"/>
        </w:rPr>
        <w:t>ection V</w:t>
      </w:r>
      <w:r w:rsidR="00D41DF3" w:rsidRPr="00AC635C">
        <w:rPr>
          <w:kern w:val="22"/>
          <w:sz w:val="22"/>
          <w:szCs w:val="22"/>
          <w:lang w:val="en-GB"/>
        </w:rPr>
        <w:t>I</w:t>
      </w:r>
      <w:r w:rsidR="004F7E0D" w:rsidRPr="00AC635C">
        <w:rPr>
          <w:kern w:val="22"/>
          <w:sz w:val="22"/>
          <w:szCs w:val="22"/>
          <w:lang w:val="en-GB"/>
        </w:rPr>
        <w:t>.</w:t>
      </w:r>
      <w:r w:rsidR="004337BE" w:rsidRPr="00AC635C">
        <w:rPr>
          <w:kern w:val="22"/>
          <w:sz w:val="22"/>
          <w:szCs w:val="22"/>
          <w:lang w:val="en-GB"/>
        </w:rPr>
        <w:t xml:space="preserve"> </w:t>
      </w:r>
      <w:r w:rsidR="004337BE" w:rsidRPr="00AC635C">
        <w:rPr>
          <w:rFonts w:eastAsia="Malgun Gothic"/>
          <w:kern w:val="22"/>
          <w:sz w:val="22"/>
          <w:szCs w:val="22"/>
          <w:lang w:val="en-GB"/>
        </w:rPr>
        <w:t>To facilitate coherent decisions across the three governing bodies under the Convention, relevant draft recommendations are addressed to all three bodies.</w:t>
      </w:r>
    </w:p>
    <w:p w14:paraId="25BB9059" w14:textId="77777777" w:rsidR="004F7E0D" w:rsidRPr="00AC635C" w:rsidRDefault="004F7E0D"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en-GB"/>
        </w:rPr>
      </w:pPr>
      <w:r w:rsidRPr="00AC635C">
        <w:rPr>
          <w:snapToGrid w:val="0"/>
          <w:kern w:val="22"/>
          <w:szCs w:val="22"/>
          <w:lang w:val="en-GB"/>
        </w:rPr>
        <w:t>INTEGRATION AMONG THE CONVENTION AND ITS PROTOCOLS</w:t>
      </w:r>
    </w:p>
    <w:p w14:paraId="279D63ED" w14:textId="55A2104D" w:rsidR="001873E4"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A gradual process is under</w:t>
      </w:r>
      <w:r w:rsidR="0013438A" w:rsidRPr="00AC635C">
        <w:rPr>
          <w:rFonts w:eastAsia="Malgun Gothic"/>
          <w:kern w:val="22"/>
          <w:sz w:val="22"/>
          <w:szCs w:val="22"/>
          <w:lang w:val="en-GB"/>
        </w:rPr>
        <w:t xml:space="preserve"> </w:t>
      </w:r>
      <w:r w:rsidRPr="00AC635C">
        <w:rPr>
          <w:rFonts w:eastAsia="Malgun Gothic"/>
          <w:kern w:val="22"/>
          <w:sz w:val="22"/>
          <w:szCs w:val="22"/>
          <w:lang w:val="en-GB"/>
        </w:rPr>
        <w:t xml:space="preserve">way to bring the Convention and </w:t>
      </w:r>
      <w:r w:rsidR="00ED11C9" w:rsidRPr="00AC635C">
        <w:rPr>
          <w:rFonts w:eastAsia="Malgun Gothic"/>
          <w:kern w:val="22"/>
          <w:sz w:val="22"/>
          <w:szCs w:val="22"/>
          <w:lang w:val="en-GB"/>
        </w:rPr>
        <w:t>the two</w:t>
      </w:r>
      <w:r w:rsidRPr="00AC635C">
        <w:rPr>
          <w:rFonts w:eastAsia="Malgun Gothic"/>
          <w:kern w:val="22"/>
          <w:sz w:val="22"/>
          <w:szCs w:val="22"/>
          <w:lang w:val="en-GB"/>
        </w:rPr>
        <w:t xml:space="preserve"> Protocols closer together </w:t>
      </w:r>
      <w:proofErr w:type="gramStart"/>
      <w:r w:rsidR="0013438A" w:rsidRPr="00AC635C">
        <w:rPr>
          <w:rFonts w:eastAsia="Malgun Gothic"/>
          <w:kern w:val="22"/>
          <w:sz w:val="22"/>
          <w:szCs w:val="22"/>
          <w:lang w:val="en-GB"/>
        </w:rPr>
        <w:t xml:space="preserve">in order </w:t>
      </w:r>
      <w:r w:rsidRPr="00AC635C">
        <w:rPr>
          <w:rFonts w:eastAsia="Malgun Gothic"/>
          <w:kern w:val="22"/>
          <w:sz w:val="22"/>
          <w:szCs w:val="22"/>
          <w:lang w:val="en-GB"/>
        </w:rPr>
        <w:t>to</w:t>
      </w:r>
      <w:proofErr w:type="gramEnd"/>
      <w:r w:rsidRPr="00AC635C">
        <w:rPr>
          <w:rFonts w:eastAsia="Malgun Gothic"/>
          <w:kern w:val="22"/>
          <w:sz w:val="22"/>
          <w:szCs w:val="22"/>
          <w:lang w:val="en-GB"/>
        </w:rPr>
        <w:t xml:space="preserve"> facilitate </w:t>
      </w:r>
      <w:r w:rsidR="00DF6971" w:rsidRPr="00AC635C">
        <w:rPr>
          <w:rFonts w:eastAsia="Malgun Gothic"/>
          <w:kern w:val="22"/>
          <w:sz w:val="22"/>
          <w:szCs w:val="22"/>
          <w:lang w:val="en-GB"/>
        </w:rPr>
        <w:t xml:space="preserve">integrated implementation by </w:t>
      </w:r>
      <w:r w:rsidRPr="00AC635C">
        <w:rPr>
          <w:rFonts w:eastAsia="Malgun Gothic"/>
          <w:kern w:val="22"/>
          <w:sz w:val="22"/>
          <w:szCs w:val="22"/>
          <w:lang w:val="en-GB"/>
        </w:rPr>
        <w:t>Parties and to maximize synergies</w:t>
      </w:r>
      <w:r w:rsidR="00155560" w:rsidRPr="00AC635C">
        <w:rPr>
          <w:rFonts w:eastAsia="Malgun Gothic"/>
          <w:kern w:val="22"/>
          <w:sz w:val="22"/>
          <w:szCs w:val="22"/>
          <w:lang w:val="en-GB"/>
        </w:rPr>
        <w:t xml:space="preserve"> among the three instruments</w:t>
      </w:r>
      <w:r w:rsidR="0064653E" w:rsidRPr="00AC635C">
        <w:rPr>
          <w:rFonts w:eastAsia="Malgun Gothic"/>
          <w:kern w:val="22"/>
          <w:sz w:val="22"/>
          <w:szCs w:val="22"/>
          <w:lang w:val="en-GB"/>
        </w:rPr>
        <w:t xml:space="preserve"> while respecting </w:t>
      </w:r>
      <w:r w:rsidR="00ED11C9" w:rsidRPr="00AC635C">
        <w:rPr>
          <w:rFonts w:eastAsia="Malgun Gothic"/>
          <w:kern w:val="22"/>
          <w:sz w:val="22"/>
          <w:szCs w:val="22"/>
          <w:lang w:val="en-GB"/>
        </w:rPr>
        <w:t>their</w:t>
      </w:r>
      <w:r w:rsidR="0064653E" w:rsidRPr="00AC635C">
        <w:rPr>
          <w:rFonts w:eastAsia="Malgun Gothic"/>
          <w:kern w:val="22"/>
          <w:sz w:val="22"/>
          <w:szCs w:val="22"/>
          <w:lang w:val="en-GB"/>
        </w:rPr>
        <w:t xml:space="preserve"> </w:t>
      </w:r>
      <w:r w:rsidR="0064653E" w:rsidRPr="00AC635C">
        <w:rPr>
          <w:kern w:val="22"/>
          <w:sz w:val="22"/>
          <w:szCs w:val="22"/>
          <w:lang w:val="en-GB"/>
        </w:rPr>
        <w:t xml:space="preserve">distinct </w:t>
      </w:r>
      <w:r w:rsidR="00ED11C9" w:rsidRPr="00AC635C">
        <w:rPr>
          <w:kern w:val="22"/>
          <w:sz w:val="22"/>
          <w:szCs w:val="22"/>
          <w:lang w:val="en-GB"/>
        </w:rPr>
        <w:t>standing</w:t>
      </w:r>
      <w:r w:rsidR="0064653E" w:rsidRPr="00AC635C">
        <w:rPr>
          <w:kern w:val="22"/>
          <w:sz w:val="22"/>
          <w:szCs w:val="22"/>
          <w:lang w:val="en-GB"/>
        </w:rPr>
        <w:t xml:space="preserve"> with specific obligations </w:t>
      </w:r>
      <w:r w:rsidR="0013438A" w:rsidRPr="00AC635C">
        <w:rPr>
          <w:kern w:val="22"/>
          <w:sz w:val="22"/>
          <w:szCs w:val="22"/>
          <w:lang w:val="en-GB"/>
        </w:rPr>
        <w:t xml:space="preserve">for </w:t>
      </w:r>
      <w:r w:rsidR="0064653E" w:rsidRPr="00AC635C">
        <w:rPr>
          <w:kern w:val="22"/>
          <w:sz w:val="22"/>
          <w:szCs w:val="22"/>
          <w:lang w:val="en-GB"/>
        </w:rPr>
        <w:t>their respective contracting Parties</w:t>
      </w:r>
      <w:r w:rsidRPr="00AC635C">
        <w:rPr>
          <w:rFonts w:eastAsia="Malgun Gothic"/>
          <w:kern w:val="22"/>
          <w:sz w:val="22"/>
          <w:szCs w:val="22"/>
          <w:lang w:val="en-GB"/>
        </w:rPr>
        <w:t>.</w:t>
      </w:r>
      <w:r w:rsidR="001873E4" w:rsidRPr="00AC635C">
        <w:rPr>
          <w:rFonts w:eastAsia="Malgun Gothic"/>
          <w:kern w:val="22"/>
          <w:sz w:val="22"/>
          <w:szCs w:val="22"/>
          <w:lang w:val="en-GB"/>
        </w:rPr>
        <w:t xml:space="preserve"> To further advance this integration</w:t>
      </w:r>
      <w:r w:rsidR="00DF6971" w:rsidRPr="00AC635C">
        <w:rPr>
          <w:rFonts w:eastAsia="Malgun Gothic"/>
          <w:kern w:val="22"/>
          <w:sz w:val="22"/>
          <w:szCs w:val="22"/>
          <w:lang w:val="en-GB"/>
        </w:rPr>
        <w:t>,</w:t>
      </w:r>
      <w:r w:rsidR="001873E4" w:rsidRPr="00AC635C">
        <w:rPr>
          <w:rFonts w:eastAsia="Malgun Gothic"/>
          <w:kern w:val="22"/>
          <w:sz w:val="22"/>
          <w:szCs w:val="22"/>
          <w:lang w:val="en-GB"/>
        </w:rPr>
        <w:t xml:space="preserve"> </w:t>
      </w:r>
      <w:r w:rsidR="001873E4" w:rsidRPr="00AC635C">
        <w:rPr>
          <w:iCs/>
          <w:kern w:val="22"/>
          <w:sz w:val="22"/>
          <w:szCs w:val="22"/>
          <w:lang w:val="en-GB"/>
        </w:rPr>
        <w:t xml:space="preserve">the </w:t>
      </w:r>
      <w:r w:rsidR="001873E4" w:rsidRPr="00AC635C">
        <w:rPr>
          <w:rFonts w:eastAsia="Malgun Gothic"/>
          <w:kern w:val="22"/>
          <w:sz w:val="22"/>
          <w:szCs w:val="22"/>
          <w:lang w:val="en-GB"/>
        </w:rPr>
        <w:t xml:space="preserve">Conference of the Parties, in paragraph 2 of decision </w:t>
      </w:r>
      <w:hyperlink r:id="rId14" w:history="1">
        <w:r w:rsidR="001873E4" w:rsidRPr="00AC635C">
          <w:rPr>
            <w:rStyle w:val="Hyperlink"/>
            <w:rFonts w:eastAsia="Malgun Gothic"/>
            <w:kern w:val="22"/>
            <w:sz w:val="22"/>
            <w:szCs w:val="22"/>
            <w:lang w:val="en-GB"/>
          </w:rPr>
          <w:t>XIII/26</w:t>
        </w:r>
      </w:hyperlink>
      <w:r w:rsidR="001873E4" w:rsidRPr="00AC635C">
        <w:rPr>
          <w:rFonts w:eastAsia="Malgun Gothic"/>
          <w:kern w:val="22"/>
          <w:sz w:val="22"/>
          <w:szCs w:val="22"/>
          <w:lang w:val="en-GB"/>
        </w:rPr>
        <w:t xml:space="preserve">, </w:t>
      </w:r>
      <w:r w:rsidR="001873E4" w:rsidRPr="00AC635C">
        <w:rPr>
          <w:iCs/>
          <w:kern w:val="22"/>
          <w:sz w:val="22"/>
          <w:szCs w:val="22"/>
          <w:lang w:val="en-GB"/>
        </w:rPr>
        <w:t xml:space="preserve">requested the Executive Secretary to continue using, where appropriate, integrated approaches in proposing agenda items and organizations of work, in the preparation of documents, and in </w:t>
      </w:r>
      <w:r w:rsidR="00831E30" w:rsidRPr="00AC635C">
        <w:rPr>
          <w:iCs/>
          <w:kern w:val="22"/>
          <w:sz w:val="22"/>
          <w:szCs w:val="22"/>
          <w:lang w:val="en-GB"/>
        </w:rPr>
        <w:lastRenderedPageBreak/>
        <w:t xml:space="preserve">the </w:t>
      </w:r>
      <w:r w:rsidR="001873E4" w:rsidRPr="00AC635C">
        <w:rPr>
          <w:iCs/>
          <w:kern w:val="22"/>
          <w:sz w:val="22"/>
          <w:szCs w:val="22"/>
          <w:lang w:val="en-GB"/>
        </w:rPr>
        <w:t>planning and implementation of intersessional activities, and especially in addressing common cross-cutting areas, such as capacity</w:t>
      </w:r>
      <w:r w:rsidR="00916407" w:rsidRPr="00AC635C">
        <w:rPr>
          <w:iCs/>
          <w:kern w:val="22"/>
          <w:sz w:val="22"/>
          <w:szCs w:val="22"/>
          <w:lang w:val="en-GB"/>
        </w:rPr>
        <w:noBreakHyphen/>
      </w:r>
      <w:r w:rsidR="001873E4" w:rsidRPr="00AC635C">
        <w:rPr>
          <w:iCs/>
          <w:kern w:val="22"/>
          <w:sz w:val="22"/>
          <w:szCs w:val="22"/>
          <w:lang w:val="en-GB"/>
        </w:rPr>
        <w:t>building, national reporting, the administration of clearing-house mechanisms, communication, education and public awareness, resource mobilization and financial mechanisms, with a view to achieving synergies in the consideration of issues and efficiency in processes related to these areas under the Convention and the Protocols.</w:t>
      </w:r>
    </w:p>
    <w:p w14:paraId="5C0F3A69" w14:textId="04FCA81F" w:rsidR="004F7E0D" w:rsidRPr="00AC635C" w:rsidRDefault="008A7FBC"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Apart from </w:t>
      </w:r>
      <w:r w:rsidR="002A1AB8" w:rsidRPr="00AC635C">
        <w:rPr>
          <w:rFonts w:eastAsia="Malgun Gothic"/>
          <w:kern w:val="22"/>
          <w:sz w:val="22"/>
          <w:szCs w:val="22"/>
          <w:lang w:val="en-GB"/>
        </w:rPr>
        <w:t>the integration of reporting processes considered in th</w:t>
      </w:r>
      <w:r w:rsidR="00916407" w:rsidRPr="00AC635C">
        <w:rPr>
          <w:rFonts w:eastAsia="Malgun Gothic"/>
          <w:kern w:val="22"/>
          <w:sz w:val="22"/>
          <w:szCs w:val="22"/>
          <w:lang w:val="en-GB"/>
        </w:rPr>
        <w:t>e present</w:t>
      </w:r>
      <w:r w:rsidR="002A1AB8" w:rsidRPr="00AC635C">
        <w:rPr>
          <w:rFonts w:eastAsia="Malgun Gothic"/>
          <w:kern w:val="22"/>
          <w:sz w:val="22"/>
          <w:szCs w:val="22"/>
          <w:lang w:val="en-GB"/>
        </w:rPr>
        <w:t xml:space="preserve"> </w:t>
      </w:r>
      <w:r w:rsidR="000F5828" w:rsidRPr="00AC635C">
        <w:rPr>
          <w:rFonts w:eastAsia="Malgun Gothic"/>
          <w:kern w:val="22"/>
          <w:sz w:val="22"/>
          <w:szCs w:val="22"/>
          <w:lang w:val="en-GB"/>
        </w:rPr>
        <w:t>document</w:t>
      </w:r>
      <w:r w:rsidR="002A1AB8" w:rsidRPr="00AC635C">
        <w:rPr>
          <w:rFonts w:eastAsia="Malgun Gothic"/>
          <w:kern w:val="22"/>
          <w:sz w:val="22"/>
          <w:szCs w:val="22"/>
          <w:lang w:val="en-GB"/>
        </w:rPr>
        <w:t>, p</w:t>
      </w:r>
      <w:r w:rsidR="001873E4" w:rsidRPr="00AC635C">
        <w:rPr>
          <w:rFonts w:eastAsia="Malgun Gothic"/>
          <w:kern w:val="22"/>
          <w:sz w:val="22"/>
          <w:szCs w:val="22"/>
          <w:lang w:val="en-GB"/>
        </w:rPr>
        <w:t xml:space="preserve">rogress in </w:t>
      </w:r>
      <w:r w:rsidR="00FE080F" w:rsidRPr="00AC635C">
        <w:rPr>
          <w:rFonts w:eastAsia="Malgun Gothic"/>
          <w:kern w:val="22"/>
          <w:sz w:val="22"/>
          <w:szCs w:val="22"/>
          <w:lang w:val="en-GB"/>
        </w:rPr>
        <w:t>integration between the Convention and its Protocols</w:t>
      </w:r>
      <w:r w:rsidR="001873E4" w:rsidRPr="00AC635C">
        <w:rPr>
          <w:rFonts w:eastAsia="Malgun Gothic"/>
          <w:kern w:val="22"/>
          <w:sz w:val="22"/>
          <w:szCs w:val="22"/>
          <w:lang w:val="en-GB"/>
        </w:rPr>
        <w:t xml:space="preserve"> is </w:t>
      </w:r>
      <w:r w:rsidR="00FE080F" w:rsidRPr="00AC635C">
        <w:rPr>
          <w:rFonts w:eastAsia="Malgun Gothic"/>
          <w:kern w:val="22"/>
          <w:sz w:val="22"/>
          <w:szCs w:val="22"/>
          <w:lang w:val="en-GB"/>
        </w:rPr>
        <w:t xml:space="preserve">also </w:t>
      </w:r>
      <w:r w:rsidR="001873E4" w:rsidRPr="00AC635C">
        <w:rPr>
          <w:rFonts w:eastAsia="Malgun Gothic"/>
          <w:kern w:val="22"/>
          <w:sz w:val="22"/>
          <w:szCs w:val="22"/>
          <w:lang w:val="en-GB"/>
        </w:rPr>
        <w:t xml:space="preserve">being </w:t>
      </w:r>
      <w:r w:rsidR="002A1AB8" w:rsidRPr="00AC635C">
        <w:rPr>
          <w:rFonts w:eastAsia="Malgun Gothic"/>
          <w:kern w:val="22"/>
          <w:sz w:val="22"/>
          <w:szCs w:val="22"/>
          <w:lang w:val="en-GB"/>
        </w:rPr>
        <w:t xml:space="preserve">considered </w:t>
      </w:r>
      <w:r w:rsidR="001873E4" w:rsidRPr="00AC635C">
        <w:rPr>
          <w:rFonts w:eastAsia="Malgun Gothic"/>
          <w:kern w:val="22"/>
          <w:sz w:val="22"/>
          <w:szCs w:val="22"/>
          <w:lang w:val="en-GB"/>
        </w:rPr>
        <w:t xml:space="preserve">under </w:t>
      </w:r>
      <w:r w:rsidR="002A1AB8" w:rsidRPr="00AC635C">
        <w:rPr>
          <w:rFonts w:eastAsia="Malgun Gothic"/>
          <w:kern w:val="22"/>
          <w:sz w:val="22"/>
          <w:szCs w:val="22"/>
          <w:lang w:val="en-GB"/>
        </w:rPr>
        <w:t>agenda items 8 (</w:t>
      </w:r>
      <w:r w:rsidR="000F5828" w:rsidRPr="00AC635C">
        <w:rPr>
          <w:rFonts w:eastAsia="Malgun Gothic"/>
          <w:kern w:val="22"/>
          <w:sz w:val="22"/>
          <w:szCs w:val="22"/>
          <w:lang w:val="en-GB"/>
        </w:rPr>
        <w:t>r</w:t>
      </w:r>
      <w:r w:rsidR="002A1AB8" w:rsidRPr="00AC635C">
        <w:rPr>
          <w:rFonts w:eastAsia="Malgun Gothic"/>
          <w:kern w:val="22"/>
          <w:sz w:val="22"/>
          <w:szCs w:val="22"/>
          <w:lang w:val="en-GB"/>
        </w:rPr>
        <w:t>esource mobilization), 10 (</w:t>
      </w:r>
      <w:r w:rsidR="000F5828" w:rsidRPr="00AC635C">
        <w:rPr>
          <w:kern w:val="22"/>
          <w:sz w:val="22"/>
          <w:szCs w:val="22"/>
          <w:lang w:val="en-GB"/>
        </w:rPr>
        <w:t>c</w:t>
      </w:r>
      <w:r w:rsidR="002A1AB8" w:rsidRPr="00AC635C">
        <w:rPr>
          <w:kern w:val="22"/>
          <w:sz w:val="22"/>
          <w:szCs w:val="22"/>
          <w:lang w:val="en-GB"/>
        </w:rPr>
        <w:t>apacity-building, technical and scientific cooperation and technology transfer</w:t>
      </w:r>
      <w:r w:rsidR="002A1AB8" w:rsidRPr="00AC635C">
        <w:rPr>
          <w:rFonts w:eastAsia="Malgun Gothic"/>
          <w:kern w:val="22"/>
          <w:sz w:val="22"/>
          <w:szCs w:val="22"/>
          <w:lang w:val="en-GB"/>
        </w:rPr>
        <w:t>),</w:t>
      </w:r>
      <w:r w:rsidR="001873E4" w:rsidRPr="00AC635C">
        <w:rPr>
          <w:rFonts w:eastAsia="Malgun Gothic"/>
          <w:kern w:val="22"/>
          <w:sz w:val="22"/>
          <w:szCs w:val="22"/>
          <w:lang w:val="en-GB"/>
        </w:rPr>
        <w:t xml:space="preserve"> 14 (</w:t>
      </w:r>
      <w:r w:rsidR="000F5828" w:rsidRPr="00AC635C">
        <w:rPr>
          <w:kern w:val="22"/>
          <w:sz w:val="22"/>
          <w:szCs w:val="22"/>
          <w:lang w:val="en-GB"/>
        </w:rPr>
        <w:t>e</w:t>
      </w:r>
      <w:r w:rsidR="001873E4" w:rsidRPr="00AC635C">
        <w:rPr>
          <w:kern w:val="22"/>
          <w:sz w:val="22"/>
          <w:szCs w:val="22"/>
          <w:lang w:val="en-GB"/>
        </w:rPr>
        <w:t xml:space="preserve">nhancing integration under the Convention and its Protocols with respect </w:t>
      </w:r>
      <w:r w:rsidR="000F5828" w:rsidRPr="00AC635C">
        <w:rPr>
          <w:kern w:val="22"/>
          <w:sz w:val="22"/>
          <w:szCs w:val="22"/>
          <w:lang w:val="en-GB"/>
        </w:rPr>
        <w:t xml:space="preserve">to </w:t>
      </w:r>
      <w:r w:rsidR="001873E4" w:rsidRPr="00AC635C">
        <w:rPr>
          <w:kern w:val="22"/>
          <w:sz w:val="22"/>
          <w:szCs w:val="22"/>
          <w:lang w:val="en-GB"/>
        </w:rPr>
        <w:t>provisions</w:t>
      </w:r>
      <w:r w:rsidR="00ED11C9" w:rsidRPr="00AC635C">
        <w:rPr>
          <w:kern w:val="22"/>
          <w:sz w:val="22"/>
          <w:szCs w:val="22"/>
          <w:lang w:val="en-GB"/>
        </w:rPr>
        <w:t xml:space="preserve"> related to access and benefit-sharing</w:t>
      </w:r>
      <w:r w:rsidR="001873E4" w:rsidRPr="00AC635C">
        <w:rPr>
          <w:kern w:val="22"/>
          <w:sz w:val="22"/>
          <w:szCs w:val="22"/>
          <w:lang w:val="en-GB"/>
        </w:rPr>
        <w:t xml:space="preserve">, </w:t>
      </w:r>
      <w:r w:rsidR="000F5828" w:rsidRPr="00AC635C">
        <w:rPr>
          <w:kern w:val="22"/>
          <w:sz w:val="22"/>
          <w:szCs w:val="22"/>
          <w:lang w:val="en-GB"/>
        </w:rPr>
        <w:t xml:space="preserve">provisions related to </w:t>
      </w:r>
      <w:r w:rsidR="00ED11C9" w:rsidRPr="00AC635C">
        <w:rPr>
          <w:kern w:val="22"/>
          <w:sz w:val="22"/>
          <w:szCs w:val="22"/>
          <w:lang w:val="en-GB"/>
        </w:rPr>
        <w:t>b</w:t>
      </w:r>
      <w:r w:rsidR="001873E4" w:rsidRPr="00AC635C">
        <w:rPr>
          <w:kern w:val="22"/>
          <w:sz w:val="22"/>
          <w:szCs w:val="22"/>
          <w:lang w:val="en-GB"/>
        </w:rPr>
        <w:t xml:space="preserve">iosafety, and </w:t>
      </w:r>
      <w:r w:rsidR="000F5828" w:rsidRPr="00AC635C">
        <w:rPr>
          <w:kern w:val="22"/>
          <w:sz w:val="22"/>
          <w:szCs w:val="22"/>
          <w:lang w:val="en-GB"/>
        </w:rPr>
        <w:t xml:space="preserve">provisions related to </w:t>
      </w:r>
      <w:r w:rsidR="001873E4" w:rsidRPr="00AC635C">
        <w:rPr>
          <w:kern w:val="22"/>
          <w:sz w:val="22"/>
          <w:szCs w:val="22"/>
          <w:lang w:val="en-GB"/>
        </w:rPr>
        <w:t>Article</w:t>
      </w:r>
      <w:r w:rsidR="006E37C6" w:rsidRPr="00AC635C">
        <w:rPr>
          <w:kern w:val="22"/>
          <w:sz w:val="22"/>
          <w:szCs w:val="22"/>
          <w:lang w:val="en-GB"/>
        </w:rPr>
        <w:t> </w:t>
      </w:r>
      <w:r w:rsidR="001873E4" w:rsidRPr="00AC635C">
        <w:rPr>
          <w:kern w:val="22"/>
          <w:sz w:val="22"/>
          <w:szCs w:val="22"/>
          <w:lang w:val="en-GB"/>
        </w:rPr>
        <w:t xml:space="preserve">8(j) and related provisions) </w:t>
      </w:r>
      <w:r w:rsidR="002A1AB8" w:rsidRPr="00AC635C">
        <w:rPr>
          <w:kern w:val="22"/>
          <w:sz w:val="22"/>
          <w:szCs w:val="22"/>
          <w:lang w:val="en-GB"/>
        </w:rPr>
        <w:t>and 15 (</w:t>
      </w:r>
      <w:r w:rsidR="009C6E5A" w:rsidRPr="00AC635C">
        <w:rPr>
          <w:kern w:val="22"/>
          <w:sz w:val="22"/>
          <w:szCs w:val="22"/>
          <w:lang w:val="en-GB"/>
        </w:rPr>
        <w:t>r</w:t>
      </w:r>
      <w:r w:rsidR="002A1AB8" w:rsidRPr="00AC635C">
        <w:rPr>
          <w:kern w:val="22"/>
          <w:sz w:val="22"/>
          <w:szCs w:val="22"/>
          <w:lang w:val="en-GB"/>
        </w:rPr>
        <w:t>eview of the effectiveness of the processes under the Convention and its Protocols).</w:t>
      </w:r>
    </w:p>
    <w:p w14:paraId="4F40BAA4" w14:textId="435429CB"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Furthermore, in </w:t>
      </w:r>
      <w:r w:rsidR="006249C1" w:rsidRPr="00AC635C">
        <w:rPr>
          <w:rFonts w:eastAsia="Malgun Gothic"/>
          <w:kern w:val="22"/>
          <w:sz w:val="22"/>
          <w:szCs w:val="22"/>
          <w:lang w:val="en-GB"/>
        </w:rPr>
        <w:t xml:space="preserve">decision </w:t>
      </w:r>
      <w:hyperlink r:id="rId15" w:history="1">
        <w:r w:rsidR="006249C1" w:rsidRPr="00AC635C">
          <w:rPr>
            <w:rStyle w:val="Hyperlink"/>
            <w:rFonts w:eastAsia="Malgun Gothic"/>
            <w:kern w:val="22"/>
            <w:sz w:val="22"/>
            <w:szCs w:val="22"/>
            <w:lang w:val="en-GB"/>
          </w:rPr>
          <w:t>XIII/1</w:t>
        </w:r>
      </w:hyperlink>
      <w:r w:rsidR="006249C1" w:rsidRPr="00AC635C">
        <w:rPr>
          <w:rFonts w:eastAsia="Malgun Gothic"/>
          <w:kern w:val="22"/>
          <w:sz w:val="22"/>
          <w:szCs w:val="22"/>
          <w:lang w:val="en-GB"/>
        </w:rPr>
        <w:t xml:space="preserve">, the Conference of the Parties </w:t>
      </w:r>
      <w:r w:rsidR="006249C1" w:rsidRPr="00AC635C">
        <w:rPr>
          <w:iCs/>
          <w:kern w:val="22"/>
          <w:sz w:val="22"/>
          <w:szCs w:val="22"/>
          <w:lang w:val="en-GB"/>
        </w:rPr>
        <w:t xml:space="preserve">requested </w:t>
      </w:r>
      <w:r w:rsidR="006249C1" w:rsidRPr="00AC635C">
        <w:rPr>
          <w:kern w:val="22"/>
          <w:sz w:val="22"/>
          <w:szCs w:val="22"/>
          <w:lang w:val="en-GB"/>
        </w:rPr>
        <w:t xml:space="preserve">the Executive Secretary to prepare, in consultation with the Bureau, a proposal for a comprehensive and participatory preparatory process and timetable for the follow-up to the </w:t>
      </w:r>
      <w:hyperlink r:id="rId16" w:history="1">
        <w:r w:rsidR="006249C1" w:rsidRPr="00AC635C">
          <w:rPr>
            <w:rStyle w:val="Hyperlink"/>
            <w:sz w:val="22"/>
            <w:szCs w:val="22"/>
            <w:lang w:val="en-GB"/>
          </w:rPr>
          <w:t>Strategic Plan for Biodiversity 2011-2020</w:t>
        </w:r>
      </w:hyperlink>
      <w:r w:rsidR="006249C1" w:rsidRPr="00AC635C">
        <w:rPr>
          <w:kern w:val="22"/>
          <w:sz w:val="22"/>
          <w:szCs w:val="22"/>
          <w:lang w:val="en-GB"/>
        </w:rPr>
        <w:t>, taking into consideration that th</w:t>
      </w:r>
      <w:r w:rsidR="00ED11C9" w:rsidRPr="00AC635C">
        <w:rPr>
          <w:kern w:val="22"/>
          <w:sz w:val="22"/>
          <w:szCs w:val="22"/>
          <w:lang w:val="en-GB"/>
        </w:rPr>
        <w:t>e</w:t>
      </w:r>
      <w:r w:rsidR="006249C1" w:rsidRPr="00AC635C">
        <w:rPr>
          <w:kern w:val="22"/>
          <w:sz w:val="22"/>
          <w:szCs w:val="22"/>
          <w:lang w:val="en-GB"/>
        </w:rPr>
        <w:t xml:space="preserve"> work must cover the Convention and its Protocols, as appropriate. This matter will be considered under agenda item 16 (</w:t>
      </w:r>
      <w:r w:rsidR="009C6E5A" w:rsidRPr="00AC635C">
        <w:rPr>
          <w:kern w:val="22"/>
          <w:sz w:val="22"/>
          <w:szCs w:val="22"/>
          <w:lang w:val="en-GB"/>
        </w:rPr>
        <w:t>p</w:t>
      </w:r>
      <w:r w:rsidR="006249C1" w:rsidRPr="00AC635C">
        <w:rPr>
          <w:kern w:val="22"/>
          <w:sz w:val="22"/>
          <w:szCs w:val="22"/>
          <w:lang w:val="en-GB"/>
        </w:rPr>
        <w:t>reparation for the follow</w:t>
      </w:r>
      <w:r w:rsidR="009C6E5A" w:rsidRPr="00AC635C">
        <w:rPr>
          <w:kern w:val="22"/>
          <w:sz w:val="22"/>
          <w:szCs w:val="22"/>
          <w:lang w:val="en-GB"/>
        </w:rPr>
        <w:t>-</w:t>
      </w:r>
      <w:r w:rsidR="006249C1" w:rsidRPr="00AC635C">
        <w:rPr>
          <w:kern w:val="22"/>
          <w:sz w:val="22"/>
          <w:szCs w:val="22"/>
          <w:lang w:val="en-GB"/>
        </w:rPr>
        <w:t>up to the Strategic Plan for Biodiversity 2011-2020).</w:t>
      </w:r>
    </w:p>
    <w:p w14:paraId="01450005" w14:textId="0ED41E3A" w:rsidR="004F7E0D" w:rsidRPr="00AC635C" w:rsidRDefault="004F7E0D" w:rsidP="005C6B31">
      <w:pPr>
        <w:pStyle w:val="Heading1longmultiline"/>
        <w:numPr>
          <w:ilvl w:val="0"/>
          <w:numId w:val="32"/>
        </w:numPr>
        <w:suppressLineNumbers/>
        <w:tabs>
          <w:tab w:val="clear" w:pos="720"/>
        </w:tabs>
        <w:suppressAutoHyphens/>
        <w:kinsoku w:val="0"/>
        <w:overflowPunct w:val="0"/>
        <w:autoSpaceDE w:val="0"/>
        <w:autoSpaceDN w:val="0"/>
        <w:adjustRightInd w:val="0"/>
        <w:snapToGrid w:val="0"/>
        <w:spacing w:before="0" w:after="0"/>
        <w:ind w:left="1267" w:hanging="547"/>
        <w:rPr>
          <w:snapToGrid w:val="0"/>
          <w:kern w:val="22"/>
          <w:szCs w:val="22"/>
          <w:lang w:val="en-GB"/>
        </w:rPr>
      </w:pPr>
      <w:r w:rsidRPr="00AC635C">
        <w:rPr>
          <w:snapToGrid w:val="0"/>
          <w:kern w:val="22"/>
          <w:szCs w:val="22"/>
          <w:lang w:val="en-GB"/>
        </w:rPr>
        <w:t>ALIGNING OF NATIONAL REPORTING UNDER THE CONVENTION AND ITS</w:t>
      </w:r>
      <w:r w:rsidR="0095773B" w:rsidRPr="00AC635C">
        <w:rPr>
          <w:snapToGrid w:val="0"/>
          <w:kern w:val="22"/>
          <w:szCs w:val="22"/>
          <w:lang w:val="en-GB"/>
        </w:rPr>
        <w:t> </w:t>
      </w:r>
      <w:r w:rsidRPr="00AC635C">
        <w:rPr>
          <w:snapToGrid w:val="0"/>
          <w:kern w:val="22"/>
          <w:szCs w:val="22"/>
          <w:lang w:val="en-GB"/>
        </w:rPr>
        <w:t>PROTOCOLS</w:t>
      </w:r>
    </w:p>
    <w:p w14:paraId="4F1E7C82" w14:textId="7A984380"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In decision </w:t>
      </w:r>
      <w:r w:rsidR="006249C1" w:rsidRPr="00AC635C">
        <w:rPr>
          <w:kern w:val="22"/>
          <w:sz w:val="22"/>
          <w:szCs w:val="22"/>
          <w:lang w:val="en-GB"/>
        </w:rPr>
        <w:t>XIII/27</w:t>
      </w:r>
      <w:r w:rsidRPr="00AC635C">
        <w:rPr>
          <w:rFonts w:eastAsia="Malgun Gothic"/>
          <w:kern w:val="22"/>
          <w:sz w:val="22"/>
          <w:szCs w:val="22"/>
          <w:lang w:val="en-GB"/>
        </w:rPr>
        <w:t xml:space="preserve">, </w:t>
      </w:r>
      <w:r w:rsidR="00C84606" w:rsidRPr="00AC635C">
        <w:rPr>
          <w:rFonts w:eastAsia="Malgun Gothic"/>
          <w:kern w:val="22"/>
          <w:sz w:val="22"/>
          <w:szCs w:val="22"/>
          <w:lang w:val="en-GB"/>
        </w:rPr>
        <w:t xml:space="preserve">paragraph </w:t>
      </w:r>
      <w:r w:rsidR="00E07316" w:rsidRPr="00AC635C">
        <w:rPr>
          <w:rFonts w:eastAsia="Malgun Gothic"/>
          <w:kern w:val="22"/>
          <w:sz w:val="22"/>
          <w:szCs w:val="22"/>
          <w:lang w:val="en-GB"/>
        </w:rPr>
        <w:t>8</w:t>
      </w:r>
      <w:r w:rsidR="00C84606" w:rsidRPr="00AC635C">
        <w:rPr>
          <w:rFonts w:eastAsia="Malgun Gothic"/>
          <w:kern w:val="22"/>
          <w:sz w:val="22"/>
          <w:szCs w:val="22"/>
          <w:lang w:val="en-GB"/>
        </w:rPr>
        <w:t xml:space="preserve">, </w:t>
      </w:r>
      <w:r w:rsidR="006249C1" w:rsidRPr="00AC635C">
        <w:rPr>
          <w:rFonts w:eastAsia="Malgun Gothic"/>
          <w:kern w:val="22"/>
          <w:sz w:val="22"/>
          <w:szCs w:val="22"/>
          <w:lang w:val="en-GB"/>
        </w:rPr>
        <w:t xml:space="preserve">the Conference of the Parties </w:t>
      </w:r>
      <w:r w:rsidR="006249C1" w:rsidRPr="00AC635C">
        <w:rPr>
          <w:iCs/>
          <w:kern w:val="22"/>
          <w:sz w:val="22"/>
          <w:szCs w:val="22"/>
          <w:lang w:val="en-GB"/>
        </w:rPr>
        <w:t xml:space="preserve">requested </w:t>
      </w:r>
      <w:r w:rsidR="006249C1" w:rsidRPr="00AC635C">
        <w:rPr>
          <w:kern w:val="22"/>
          <w:sz w:val="22"/>
          <w:szCs w:val="22"/>
          <w:lang w:val="en-GB"/>
        </w:rPr>
        <w:t xml:space="preserve">the Executive Secretary </w:t>
      </w:r>
      <w:r w:rsidRPr="00AC635C">
        <w:rPr>
          <w:rFonts w:eastAsia="Malgun Gothic"/>
          <w:kern w:val="22"/>
          <w:sz w:val="22"/>
          <w:szCs w:val="22"/>
          <w:lang w:val="en-GB"/>
        </w:rPr>
        <w:t xml:space="preserve">to </w:t>
      </w:r>
      <w:proofErr w:type="gramStart"/>
      <w:r w:rsidRPr="00AC635C">
        <w:rPr>
          <w:rFonts w:eastAsia="Malgun Gothic"/>
          <w:kern w:val="22"/>
          <w:sz w:val="22"/>
          <w:szCs w:val="22"/>
          <w:lang w:val="en-GB"/>
        </w:rPr>
        <w:t>take into account</w:t>
      </w:r>
      <w:proofErr w:type="gramEnd"/>
      <w:r w:rsidRPr="00AC635C">
        <w:rPr>
          <w:rFonts w:eastAsia="Malgun Gothic"/>
          <w:kern w:val="22"/>
          <w:sz w:val="22"/>
          <w:szCs w:val="22"/>
          <w:lang w:val="en-GB"/>
        </w:rPr>
        <w:t xml:space="preserve"> the following elements when preparing </w:t>
      </w:r>
      <w:r w:rsidRPr="00AC635C">
        <w:rPr>
          <w:kern w:val="22"/>
          <w:sz w:val="22"/>
          <w:szCs w:val="22"/>
          <w:lang w:val="en-GB"/>
        </w:rPr>
        <w:t>proposals for the alignment of national reporting under the Convention and its Protocols</w:t>
      </w:r>
      <w:r w:rsidRPr="00AC635C">
        <w:rPr>
          <w:rFonts w:eastAsia="Malgun Gothic"/>
          <w:kern w:val="22"/>
          <w:sz w:val="22"/>
          <w:szCs w:val="22"/>
          <w:lang w:val="en-GB"/>
        </w:rPr>
        <w:t>:</w:t>
      </w:r>
    </w:p>
    <w:p w14:paraId="5F9B6603" w14:textId="77777777" w:rsidR="004F7E0D" w:rsidRPr="00AC635C"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
          <w:kern w:val="22"/>
          <w:sz w:val="22"/>
          <w:szCs w:val="22"/>
          <w:lang w:val="en-GB"/>
        </w:rPr>
      </w:pPr>
      <w:r w:rsidRPr="00AC635C">
        <w:rPr>
          <w:kern w:val="22"/>
          <w:sz w:val="22"/>
          <w:szCs w:val="22"/>
          <w:lang w:val="en-GB"/>
        </w:rPr>
        <w:t>Synchronized reporting cycles for the Convention, the Cartagena Protocol and the Nagoya Protocol, with common deadlines for submission of the reports after 2020;</w:t>
      </w:r>
    </w:p>
    <w:p w14:paraId="67A55DC6" w14:textId="77777777" w:rsidR="004F7E0D" w:rsidRPr="00AC635C"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
          <w:kern w:val="22"/>
          <w:sz w:val="22"/>
          <w:szCs w:val="22"/>
          <w:lang w:val="en-GB"/>
        </w:rPr>
      </w:pPr>
      <w:r w:rsidRPr="00AC635C">
        <w:rPr>
          <w:kern w:val="22"/>
          <w:sz w:val="22"/>
          <w:szCs w:val="22"/>
          <w:lang w:val="en-GB"/>
        </w:rPr>
        <w:t>A common approach to the format of the national reports under the Convention and its Protocols;</w:t>
      </w:r>
    </w:p>
    <w:p w14:paraId="4E0B6938" w14:textId="3E627AB0" w:rsidR="004F7E0D" w:rsidRPr="00AC635C"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kern w:val="22"/>
          <w:sz w:val="22"/>
          <w:szCs w:val="22"/>
          <w:lang w:val="en-GB"/>
        </w:rPr>
        <w:t xml:space="preserve">Gradual integration of the reporting facilities available in the </w:t>
      </w:r>
      <w:hyperlink r:id="rId17" w:history="1">
        <w:r w:rsidRPr="00AC635C">
          <w:rPr>
            <w:rStyle w:val="Hyperlink"/>
            <w:sz w:val="22"/>
            <w:szCs w:val="22"/>
            <w:lang w:val="en-GB"/>
          </w:rPr>
          <w:t>clearing-house mechanism</w:t>
        </w:r>
      </w:hyperlink>
      <w:r w:rsidRPr="00AC635C">
        <w:rPr>
          <w:kern w:val="22"/>
          <w:sz w:val="22"/>
          <w:szCs w:val="22"/>
          <w:lang w:val="en-GB"/>
        </w:rPr>
        <w:t xml:space="preserve">, the </w:t>
      </w:r>
      <w:hyperlink r:id="rId18" w:history="1">
        <w:r w:rsidRPr="00AC635C">
          <w:rPr>
            <w:rStyle w:val="Hyperlink"/>
            <w:sz w:val="22"/>
            <w:szCs w:val="22"/>
            <w:lang w:val="en-GB"/>
          </w:rPr>
          <w:t>Biosafety Clearing</w:t>
        </w:r>
        <w:r w:rsidRPr="00AC635C">
          <w:rPr>
            <w:rStyle w:val="Hyperlink"/>
            <w:sz w:val="22"/>
            <w:szCs w:val="22"/>
            <w:lang w:val="en-GB"/>
          </w:rPr>
          <w:noBreakHyphen/>
          <w:t>House</w:t>
        </w:r>
      </w:hyperlink>
      <w:r w:rsidRPr="00AC635C">
        <w:rPr>
          <w:kern w:val="22"/>
          <w:sz w:val="22"/>
          <w:szCs w:val="22"/>
          <w:lang w:val="en-GB"/>
        </w:rPr>
        <w:t xml:space="preserve"> and the </w:t>
      </w:r>
      <w:hyperlink r:id="rId19" w:history="1">
        <w:r w:rsidRPr="00AC635C">
          <w:rPr>
            <w:rStyle w:val="Hyperlink"/>
            <w:sz w:val="22"/>
            <w:szCs w:val="22"/>
            <w:lang w:val="en-GB"/>
          </w:rPr>
          <w:t>Access and Benefit-Sharing Clearing-House</w:t>
        </w:r>
      </w:hyperlink>
      <w:r w:rsidRPr="00AC635C">
        <w:rPr>
          <w:kern w:val="22"/>
          <w:sz w:val="22"/>
          <w:szCs w:val="22"/>
          <w:lang w:val="en-GB"/>
        </w:rPr>
        <w:t>;</w:t>
      </w:r>
    </w:p>
    <w:p w14:paraId="26D05F97" w14:textId="63098F12" w:rsidR="004F7E0D" w:rsidRPr="00AC635C"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kern w:val="22"/>
          <w:sz w:val="22"/>
          <w:szCs w:val="22"/>
          <w:lang w:val="en-GB"/>
        </w:rPr>
        <w:t>Appropriate cross-linkages between future strategic plans of the Convention and its Protocols with a view to facilitating alignment in reporting to the Convention and its Protocols;</w:t>
      </w:r>
    </w:p>
    <w:p w14:paraId="22EFD9F5" w14:textId="64DD9427" w:rsidR="004F7E0D" w:rsidRPr="00AC635C" w:rsidRDefault="0064653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These elements are each addressed</w:t>
      </w:r>
      <w:r w:rsidR="00E620C2" w:rsidRPr="00AC635C">
        <w:rPr>
          <w:rFonts w:eastAsia="Malgun Gothic"/>
          <w:kern w:val="22"/>
          <w:sz w:val="22"/>
          <w:szCs w:val="22"/>
          <w:lang w:val="en-GB"/>
        </w:rPr>
        <w:t>,</w:t>
      </w:r>
      <w:r w:rsidRPr="00AC635C">
        <w:rPr>
          <w:rFonts w:eastAsia="Malgun Gothic"/>
          <w:kern w:val="22"/>
          <w:sz w:val="22"/>
          <w:szCs w:val="22"/>
          <w:lang w:val="en-GB"/>
        </w:rPr>
        <w:t xml:space="preserve"> in turn</w:t>
      </w:r>
      <w:r w:rsidR="00E620C2" w:rsidRPr="00AC635C">
        <w:rPr>
          <w:rFonts w:eastAsia="Malgun Gothic"/>
          <w:kern w:val="22"/>
          <w:sz w:val="22"/>
          <w:szCs w:val="22"/>
          <w:lang w:val="en-GB"/>
        </w:rPr>
        <w:t>,</w:t>
      </w:r>
      <w:r w:rsidRPr="00AC635C">
        <w:rPr>
          <w:rFonts w:eastAsia="Malgun Gothic"/>
          <w:kern w:val="22"/>
          <w:sz w:val="22"/>
          <w:szCs w:val="22"/>
          <w:lang w:val="en-GB"/>
        </w:rPr>
        <w:t xml:space="preserve"> in t</w:t>
      </w:r>
      <w:r w:rsidR="004F7E0D" w:rsidRPr="00AC635C">
        <w:rPr>
          <w:rFonts w:eastAsia="Malgun Gothic"/>
          <w:kern w:val="22"/>
          <w:sz w:val="22"/>
          <w:szCs w:val="22"/>
          <w:lang w:val="en-GB"/>
        </w:rPr>
        <w:t>his section</w:t>
      </w:r>
      <w:r w:rsidR="00E620C2" w:rsidRPr="00AC635C">
        <w:rPr>
          <w:rFonts w:eastAsia="Malgun Gothic"/>
          <w:kern w:val="22"/>
          <w:sz w:val="22"/>
          <w:szCs w:val="22"/>
          <w:lang w:val="en-GB"/>
        </w:rPr>
        <w:t>,</w:t>
      </w:r>
      <w:r w:rsidR="004F7E0D" w:rsidRPr="00AC635C">
        <w:rPr>
          <w:rFonts w:eastAsia="Malgun Gothic"/>
          <w:kern w:val="22"/>
          <w:sz w:val="22"/>
          <w:szCs w:val="22"/>
          <w:lang w:val="en-GB"/>
        </w:rPr>
        <w:t xml:space="preserve"> </w:t>
      </w:r>
      <w:r w:rsidRPr="00AC635C">
        <w:rPr>
          <w:rFonts w:eastAsia="Malgun Gothic"/>
          <w:kern w:val="22"/>
          <w:sz w:val="22"/>
          <w:szCs w:val="22"/>
          <w:lang w:val="en-GB"/>
        </w:rPr>
        <w:t xml:space="preserve">which </w:t>
      </w:r>
      <w:r w:rsidR="004F7E0D" w:rsidRPr="00AC635C">
        <w:rPr>
          <w:rFonts w:eastAsia="Malgun Gothic"/>
          <w:kern w:val="22"/>
          <w:sz w:val="22"/>
          <w:szCs w:val="22"/>
          <w:lang w:val="en-GB"/>
        </w:rPr>
        <w:t xml:space="preserve">focuses on opportunities for a gradual alignment of national reporting processes and explores options arising from the elements listed in the decision, while </w:t>
      </w:r>
      <w:proofErr w:type="gramStart"/>
      <w:r w:rsidR="004F7E0D" w:rsidRPr="00AC635C">
        <w:rPr>
          <w:rFonts w:eastAsia="Malgun Gothic"/>
          <w:kern w:val="22"/>
          <w:sz w:val="22"/>
          <w:szCs w:val="22"/>
          <w:lang w:val="en-GB"/>
        </w:rPr>
        <w:t>taking into account</w:t>
      </w:r>
      <w:proofErr w:type="gramEnd"/>
      <w:r w:rsidR="004F7E0D" w:rsidRPr="00AC635C">
        <w:rPr>
          <w:rFonts w:eastAsia="Malgun Gothic"/>
          <w:kern w:val="22"/>
          <w:sz w:val="22"/>
          <w:szCs w:val="22"/>
          <w:lang w:val="en-GB"/>
        </w:rPr>
        <w:t xml:space="preserve"> the following considerations:</w:t>
      </w:r>
    </w:p>
    <w:p w14:paraId="66894506" w14:textId="00C29D47" w:rsidR="004F7E0D" w:rsidRPr="00AC635C"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 xml:space="preserve">The Convention and its Protocols are distinct legal instruments with specific obligations </w:t>
      </w:r>
      <w:r w:rsidR="004828BD" w:rsidRPr="00AC635C">
        <w:rPr>
          <w:kern w:val="22"/>
          <w:sz w:val="22"/>
          <w:szCs w:val="22"/>
          <w:lang w:val="en-GB"/>
        </w:rPr>
        <w:t xml:space="preserve">for </w:t>
      </w:r>
      <w:r w:rsidR="002D5ED8" w:rsidRPr="00AC635C">
        <w:rPr>
          <w:kern w:val="22"/>
          <w:sz w:val="22"/>
          <w:szCs w:val="22"/>
          <w:lang w:val="en-GB"/>
        </w:rPr>
        <w:t>their</w:t>
      </w:r>
      <w:r w:rsidRPr="00AC635C">
        <w:rPr>
          <w:kern w:val="22"/>
          <w:sz w:val="22"/>
          <w:szCs w:val="22"/>
          <w:lang w:val="en-GB"/>
        </w:rPr>
        <w:t xml:space="preserve"> contracting Parties;</w:t>
      </w:r>
    </w:p>
    <w:p w14:paraId="3B29D9C9" w14:textId="77777777" w:rsidR="00403843" w:rsidRPr="00AC635C" w:rsidRDefault="00403843"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 xml:space="preserve">National reports provide essential information </w:t>
      </w:r>
      <w:r w:rsidR="005E46F3" w:rsidRPr="00AC635C">
        <w:rPr>
          <w:kern w:val="22"/>
          <w:sz w:val="22"/>
          <w:szCs w:val="22"/>
          <w:lang w:val="en-GB"/>
        </w:rPr>
        <w:t xml:space="preserve">at a specified point in time </w:t>
      </w:r>
      <w:r w:rsidRPr="00AC635C">
        <w:rPr>
          <w:kern w:val="22"/>
          <w:sz w:val="22"/>
          <w:szCs w:val="22"/>
          <w:lang w:val="en-GB"/>
        </w:rPr>
        <w:t>to enable the respective governing bodies to keep implementation of the instrument under review and to make decisions on future direction;</w:t>
      </w:r>
    </w:p>
    <w:p w14:paraId="4F94CF5B" w14:textId="77777777" w:rsidR="004F7E0D" w:rsidRPr="00AC635C" w:rsidRDefault="004F7E0D"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 xml:space="preserve">Information requirements </w:t>
      </w:r>
      <w:r w:rsidR="004C37A4" w:rsidRPr="00AC635C">
        <w:rPr>
          <w:kern w:val="22"/>
          <w:sz w:val="22"/>
          <w:szCs w:val="22"/>
          <w:lang w:val="en-GB"/>
        </w:rPr>
        <w:t xml:space="preserve">in the reporting format </w:t>
      </w:r>
      <w:r w:rsidRPr="00AC635C">
        <w:rPr>
          <w:kern w:val="22"/>
          <w:sz w:val="22"/>
          <w:szCs w:val="22"/>
          <w:lang w:val="en-GB"/>
        </w:rPr>
        <w:t xml:space="preserve">depend on the </w:t>
      </w:r>
      <w:r w:rsidR="004C37A4" w:rsidRPr="00AC635C">
        <w:rPr>
          <w:kern w:val="22"/>
          <w:sz w:val="22"/>
          <w:szCs w:val="22"/>
          <w:lang w:val="en-GB"/>
        </w:rPr>
        <w:t>focus and goals of implementation strategies adopted under each</w:t>
      </w:r>
      <w:r w:rsidRPr="00AC635C">
        <w:rPr>
          <w:kern w:val="22"/>
          <w:sz w:val="22"/>
          <w:szCs w:val="22"/>
          <w:lang w:val="en-GB"/>
        </w:rPr>
        <w:t xml:space="preserve"> instrument at a given time;</w:t>
      </w:r>
    </w:p>
    <w:p w14:paraId="1AE3C003" w14:textId="77777777" w:rsidR="002D5ED8" w:rsidRPr="00AC635C" w:rsidRDefault="002D5ED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Consequently, distinct reporting formats have been developed under each instrument to fulfil need for specific information requirements;</w:t>
      </w:r>
    </w:p>
    <w:p w14:paraId="2E49E06C" w14:textId="77777777" w:rsidR="002D5ED8" w:rsidRPr="00AC635C" w:rsidRDefault="002D5ED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In addition, the following considerations have been </w:t>
      </w:r>
      <w:proofErr w:type="gramStart"/>
      <w:r w:rsidRPr="00AC635C">
        <w:rPr>
          <w:kern w:val="22"/>
          <w:sz w:val="22"/>
          <w:szCs w:val="22"/>
          <w:lang w:val="en-GB"/>
        </w:rPr>
        <w:t>taken into account</w:t>
      </w:r>
      <w:proofErr w:type="gramEnd"/>
      <w:r w:rsidRPr="00AC635C">
        <w:rPr>
          <w:kern w:val="22"/>
          <w:sz w:val="22"/>
          <w:szCs w:val="22"/>
          <w:lang w:val="en-GB"/>
        </w:rPr>
        <w:t xml:space="preserve"> with respect to online reporting tools and clearing-houses. Online reporting tools:</w:t>
      </w:r>
    </w:p>
    <w:p w14:paraId="633364F3" w14:textId="7A618CDC" w:rsidR="002D5ED8" w:rsidRPr="00AC635C"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lastRenderedPageBreak/>
        <w:t>H</w:t>
      </w:r>
      <w:r w:rsidR="002D5ED8" w:rsidRPr="00AC635C">
        <w:rPr>
          <w:kern w:val="22"/>
          <w:sz w:val="22"/>
          <w:szCs w:val="22"/>
          <w:lang w:val="en-GB"/>
        </w:rPr>
        <w:t xml:space="preserve">ave the potential to streamline </w:t>
      </w:r>
      <w:r w:rsidR="00FE129C" w:rsidRPr="00AC635C">
        <w:rPr>
          <w:kern w:val="22"/>
          <w:sz w:val="22"/>
          <w:szCs w:val="22"/>
          <w:lang w:val="en-GB"/>
        </w:rPr>
        <w:t xml:space="preserve">the </w:t>
      </w:r>
      <w:r w:rsidR="002D5ED8" w:rsidRPr="00AC635C">
        <w:rPr>
          <w:kern w:val="22"/>
          <w:sz w:val="22"/>
          <w:szCs w:val="22"/>
          <w:lang w:val="en-GB"/>
        </w:rPr>
        <w:t xml:space="preserve">submission of information to the </w:t>
      </w:r>
      <w:r w:rsidR="00511D67" w:rsidRPr="00AC635C">
        <w:rPr>
          <w:kern w:val="22"/>
          <w:sz w:val="22"/>
          <w:szCs w:val="22"/>
          <w:lang w:val="en-GB"/>
        </w:rPr>
        <w:t>S</w:t>
      </w:r>
      <w:r w:rsidR="002D5ED8" w:rsidRPr="00AC635C">
        <w:rPr>
          <w:kern w:val="22"/>
          <w:sz w:val="22"/>
          <w:szCs w:val="22"/>
          <w:lang w:val="en-GB"/>
        </w:rPr>
        <w:t>ecretariat while at the same time ensuring Party ownership of information and reports</w:t>
      </w:r>
      <w:r w:rsidR="00FE129C" w:rsidRPr="00AC635C">
        <w:rPr>
          <w:kern w:val="22"/>
          <w:sz w:val="22"/>
          <w:szCs w:val="22"/>
          <w:lang w:val="en-GB"/>
        </w:rPr>
        <w:t xml:space="preserve"> submitted</w:t>
      </w:r>
      <w:r w:rsidR="002D5ED8" w:rsidRPr="00AC635C">
        <w:rPr>
          <w:kern w:val="22"/>
          <w:sz w:val="22"/>
          <w:szCs w:val="22"/>
          <w:lang w:val="en-GB"/>
        </w:rPr>
        <w:t>;</w:t>
      </w:r>
    </w:p>
    <w:p w14:paraId="45B4B6B0" w14:textId="5B5CAED2" w:rsidR="002D5ED8" w:rsidRPr="00AC635C"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F</w:t>
      </w:r>
      <w:r w:rsidR="002D5ED8" w:rsidRPr="00AC635C">
        <w:rPr>
          <w:kern w:val="22"/>
          <w:sz w:val="22"/>
          <w:szCs w:val="22"/>
          <w:lang w:val="en-GB"/>
        </w:rPr>
        <w:t>acilitate the sharing of information through the clearing-house</w:t>
      </w:r>
      <w:r w:rsidR="00511D67" w:rsidRPr="00AC635C">
        <w:rPr>
          <w:kern w:val="22"/>
          <w:sz w:val="22"/>
          <w:szCs w:val="22"/>
          <w:lang w:val="en-GB"/>
        </w:rPr>
        <w:t xml:space="preserve"> mechanisms</w:t>
      </w:r>
      <w:r w:rsidR="002D5ED8" w:rsidRPr="00AC635C">
        <w:rPr>
          <w:kern w:val="22"/>
          <w:sz w:val="22"/>
          <w:szCs w:val="22"/>
          <w:lang w:val="en-GB"/>
        </w:rPr>
        <w:t xml:space="preserve"> of the Convention and its Protocols and the opportunity to keep this information up-to-date;</w:t>
      </w:r>
    </w:p>
    <w:p w14:paraId="40D153CE" w14:textId="01B6F238" w:rsidR="002D5ED8" w:rsidRPr="00AC635C"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E</w:t>
      </w:r>
      <w:r w:rsidR="002D5ED8" w:rsidRPr="00AC635C">
        <w:rPr>
          <w:kern w:val="22"/>
          <w:sz w:val="22"/>
          <w:szCs w:val="22"/>
          <w:lang w:val="en-GB"/>
        </w:rPr>
        <w:t xml:space="preserve">nable pre-filling portions of the report </w:t>
      </w:r>
      <w:r w:rsidR="00622324" w:rsidRPr="00AC635C">
        <w:rPr>
          <w:kern w:val="22"/>
          <w:sz w:val="22"/>
          <w:szCs w:val="22"/>
          <w:lang w:val="en-GB"/>
        </w:rPr>
        <w:t xml:space="preserve">for which </w:t>
      </w:r>
      <w:r w:rsidR="002D5ED8" w:rsidRPr="00AC635C">
        <w:rPr>
          <w:kern w:val="22"/>
          <w:sz w:val="22"/>
          <w:szCs w:val="22"/>
          <w:lang w:val="en-GB"/>
        </w:rPr>
        <w:t xml:space="preserve">information </w:t>
      </w:r>
      <w:r w:rsidR="00622324" w:rsidRPr="00AC635C">
        <w:rPr>
          <w:kern w:val="22"/>
          <w:sz w:val="22"/>
          <w:szCs w:val="22"/>
          <w:lang w:val="en-GB"/>
        </w:rPr>
        <w:t xml:space="preserve">already </w:t>
      </w:r>
      <w:r w:rsidR="002D5ED8" w:rsidRPr="00AC635C">
        <w:rPr>
          <w:kern w:val="22"/>
          <w:sz w:val="22"/>
          <w:szCs w:val="22"/>
          <w:lang w:val="en-GB"/>
        </w:rPr>
        <w:t xml:space="preserve">exists elsewhere, </w:t>
      </w:r>
      <w:proofErr w:type="gramStart"/>
      <w:r w:rsidR="002D5ED8" w:rsidRPr="00AC635C">
        <w:rPr>
          <w:kern w:val="22"/>
          <w:sz w:val="22"/>
          <w:szCs w:val="22"/>
          <w:lang w:val="en-GB"/>
        </w:rPr>
        <w:t xml:space="preserve">in particular </w:t>
      </w:r>
      <w:r w:rsidR="00622324" w:rsidRPr="00AC635C">
        <w:rPr>
          <w:kern w:val="22"/>
          <w:sz w:val="22"/>
          <w:szCs w:val="22"/>
          <w:lang w:val="en-GB"/>
        </w:rPr>
        <w:t>in</w:t>
      </w:r>
      <w:proofErr w:type="gramEnd"/>
      <w:r w:rsidR="00622324" w:rsidRPr="00AC635C">
        <w:rPr>
          <w:kern w:val="22"/>
          <w:sz w:val="22"/>
          <w:szCs w:val="22"/>
          <w:lang w:val="en-GB"/>
        </w:rPr>
        <w:t xml:space="preserve"> </w:t>
      </w:r>
      <w:r w:rsidR="002D5ED8" w:rsidRPr="00AC635C">
        <w:rPr>
          <w:kern w:val="22"/>
          <w:sz w:val="22"/>
          <w:szCs w:val="22"/>
          <w:lang w:val="en-GB"/>
        </w:rPr>
        <w:t xml:space="preserve">earlier reports </w:t>
      </w:r>
      <w:r w:rsidR="00DC4FAF" w:rsidRPr="00AC635C">
        <w:rPr>
          <w:kern w:val="22"/>
          <w:sz w:val="22"/>
          <w:szCs w:val="22"/>
          <w:lang w:val="en-GB"/>
        </w:rPr>
        <w:t xml:space="preserve">under </w:t>
      </w:r>
      <w:r w:rsidR="002D5ED8" w:rsidRPr="00AC635C">
        <w:rPr>
          <w:kern w:val="22"/>
          <w:sz w:val="22"/>
          <w:szCs w:val="22"/>
          <w:lang w:val="en-GB"/>
        </w:rPr>
        <w:t xml:space="preserve">the </w:t>
      </w:r>
      <w:r w:rsidR="00511D67" w:rsidRPr="00AC635C">
        <w:rPr>
          <w:kern w:val="22"/>
          <w:sz w:val="22"/>
          <w:szCs w:val="22"/>
          <w:lang w:val="en-GB"/>
        </w:rPr>
        <w:t>C</w:t>
      </w:r>
      <w:r w:rsidR="002D5ED8" w:rsidRPr="00AC635C">
        <w:rPr>
          <w:kern w:val="22"/>
          <w:sz w:val="22"/>
          <w:szCs w:val="22"/>
          <w:lang w:val="en-GB"/>
        </w:rPr>
        <w:t xml:space="preserve">onvention and its </w:t>
      </w:r>
      <w:r w:rsidR="00511D67" w:rsidRPr="00AC635C">
        <w:rPr>
          <w:kern w:val="22"/>
          <w:sz w:val="22"/>
          <w:szCs w:val="22"/>
          <w:lang w:val="en-GB"/>
        </w:rPr>
        <w:t>P</w:t>
      </w:r>
      <w:r w:rsidR="002D5ED8" w:rsidRPr="00AC635C">
        <w:rPr>
          <w:kern w:val="22"/>
          <w:sz w:val="22"/>
          <w:szCs w:val="22"/>
          <w:lang w:val="en-GB"/>
        </w:rPr>
        <w:t>rotocols;</w:t>
      </w:r>
    </w:p>
    <w:p w14:paraId="3988E5D2" w14:textId="08827E81" w:rsidR="002D5ED8" w:rsidRPr="00AC635C"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E</w:t>
      </w:r>
      <w:r w:rsidR="002D5ED8" w:rsidRPr="00AC635C">
        <w:rPr>
          <w:kern w:val="22"/>
          <w:sz w:val="22"/>
          <w:szCs w:val="22"/>
          <w:lang w:val="en-GB"/>
        </w:rPr>
        <w:t xml:space="preserve">nable harvesting </w:t>
      </w:r>
      <w:r w:rsidR="000A0D1B" w:rsidRPr="00AC635C">
        <w:rPr>
          <w:kern w:val="22"/>
          <w:sz w:val="22"/>
          <w:szCs w:val="22"/>
          <w:lang w:val="en-GB"/>
        </w:rPr>
        <w:t xml:space="preserve">of </w:t>
      </w:r>
      <w:r w:rsidR="002D5ED8" w:rsidRPr="00AC635C">
        <w:rPr>
          <w:kern w:val="22"/>
          <w:sz w:val="22"/>
          <w:szCs w:val="22"/>
          <w:lang w:val="en-GB"/>
        </w:rPr>
        <w:t>the information provided by countries through their reports to populate other relevant sections of the clearing-house</w:t>
      </w:r>
      <w:r w:rsidR="00511D67" w:rsidRPr="00AC635C">
        <w:rPr>
          <w:kern w:val="22"/>
          <w:sz w:val="22"/>
          <w:szCs w:val="22"/>
          <w:lang w:val="en-GB"/>
        </w:rPr>
        <w:t xml:space="preserve"> mechani</w:t>
      </w:r>
      <w:r w:rsidR="00CB7D39" w:rsidRPr="00AC635C">
        <w:rPr>
          <w:kern w:val="22"/>
          <w:sz w:val="22"/>
          <w:szCs w:val="22"/>
          <w:lang w:val="en-GB"/>
        </w:rPr>
        <w:t>s</w:t>
      </w:r>
      <w:r w:rsidR="00511D67" w:rsidRPr="00AC635C">
        <w:rPr>
          <w:kern w:val="22"/>
          <w:sz w:val="22"/>
          <w:szCs w:val="22"/>
          <w:lang w:val="en-GB"/>
        </w:rPr>
        <w:t>ms</w:t>
      </w:r>
      <w:r w:rsidR="002D5ED8" w:rsidRPr="00AC635C">
        <w:rPr>
          <w:kern w:val="22"/>
          <w:sz w:val="22"/>
          <w:szCs w:val="22"/>
          <w:lang w:val="en-GB"/>
        </w:rPr>
        <w:t>;</w:t>
      </w:r>
    </w:p>
    <w:p w14:paraId="53E576EA" w14:textId="113BD3AA" w:rsidR="002D5ED8" w:rsidRPr="00AC635C" w:rsidRDefault="00CB01BC"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F</w:t>
      </w:r>
      <w:r w:rsidR="002D5ED8" w:rsidRPr="00AC635C">
        <w:rPr>
          <w:kern w:val="22"/>
          <w:sz w:val="22"/>
          <w:szCs w:val="22"/>
          <w:lang w:val="en-GB"/>
        </w:rPr>
        <w:t>acilitate the wider sharing of reported information with other conventions and processes, where this is relevant and appropriate.</w:t>
      </w:r>
    </w:p>
    <w:p w14:paraId="250FCFBE" w14:textId="3388C6FA" w:rsidR="004F7E0D" w:rsidRPr="00AC635C" w:rsidRDefault="007F00AD"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n-GB"/>
        </w:rPr>
      </w:pPr>
      <w:r w:rsidRPr="00AC635C">
        <w:rPr>
          <w:b/>
          <w:bCs/>
          <w:iCs/>
          <w:kern w:val="22"/>
          <w:sz w:val="22"/>
          <w:szCs w:val="22"/>
          <w:lang w:val="en-GB"/>
        </w:rPr>
        <w:t>A.</w:t>
      </w:r>
      <w:r w:rsidRPr="00AC635C">
        <w:rPr>
          <w:b/>
          <w:bCs/>
          <w:iCs/>
          <w:kern w:val="22"/>
          <w:sz w:val="22"/>
          <w:szCs w:val="22"/>
          <w:lang w:val="en-GB"/>
        </w:rPr>
        <w:tab/>
      </w:r>
      <w:r w:rsidR="004F7E0D" w:rsidRPr="00AC635C">
        <w:rPr>
          <w:b/>
          <w:bCs/>
          <w:iCs/>
          <w:kern w:val="22"/>
          <w:sz w:val="22"/>
          <w:szCs w:val="22"/>
          <w:lang w:val="en-GB"/>
        </w:rPr>
        <w:t>Synchronized reporting cycles with common deadlines after 2020</w:t>
      </w:r>
    </w:p>
    <w:p w14:paraId="6AA1729B" w14:textId="0AC872EA"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To date, national reports under the Convention and the Cartagena Protocol have been scheduled </w:t>
      </w:r>
      <w:r w:rsidR="00215833" w:rsidRPr="00AC635C">
        <w:rPr>
          <w:rFonts w:eastAsia="Malgun Gothic"/>
          <w:kern w:val="22"/>
          <w:sz w:val="22"/>
          <w:szCs w:val="22"/>
          <w:lang w:val="en-GB"/>
        </w:rPr>
        <w:t xml:space="preserve">at </w:t>
      </w:r>
      <w:r w:rsidRPr="00AC635C">
        <w:rPr>
          <w:rFonts w:eastAsia="Malgun Gothic"/>
          <w:kern w:val="22"/>
          <w:sz w:val="22"/>
          <w:szCs w:val="22"/>
          <w:lang w:val="en-GB"/>
        </w:rPr>
        <w:t xml:space="preserve">intervals of </w:t>
      </w:r>
      <w:r w:rsidR="00511D67" w:rsidRPr="00AC635C">
        <w:rPr>
          <w:rFonts w:eastAsia="Malgun Gothic"/>
          <w:kern w:val="22"/>
          <w:sz w:val="22"/>
          <w:szCs w:val="22"/>
          <w:lang w:val="en-GB"/>
        </w:rPr>
        <w:t xml:space="preserve">approximately </w:t>
      </w:r>
      <w:r w:rsidRPr="00AC635C">
        <w:rPr>
          <w:rFonts w:eastAsia="Malgun Gothic"/>
          <w:kern w:val="22"/>
          <w:sz w:val="22"/>
          <w:szCs w:val="22"/>
          <w:lang w:val="en-GB"/>
        </w:rPr>
        <w:t xml:space="preserve">four years, enabling the respective governing bodies to review </w:t>
      </w:r>
      <w:r w:rsidR="00F609D8" w:rsidRPr="00AC635C">
        <w:rPr>
          <w:rFonts w:eastAsia="Malgun Gothic"/>
          <w:kern w:val="22"/>
          <w:sz w:val="22"/>
          <w:szCs w:val="22"/>
          <w:lang w:val="en-GB"/>
        </w:rPr>
        <w:t xml:space="preserve">at </w:t>
      </w:r>
      <w:r w:rsidR="00215833" w:rsidRPr="00AC635C">
        <w:rPr>
          <w:rFonts w:eastAsia="Malgun Gothic"/>
          <w:kern w:val="22"/>
          <w:sz w:val="22"/>
          <w:szCs w:val="22"/>
          <w:lang w:val="en-GB"/>
        </w:rPr>
        <w:t xml:space="preserve">every second meeting </w:t>
      </w:r>
      <w:r w:rsidRPr="00AC635C">
        <w:rPr>
          <w:rFonts w:eastAsia="Malgun Gothic"/>
          <w:kern w:val="22"/>
          <w:sz w:val="22"/>
          <w:szCs w:val="22"/>
          <w:lang w:val="en-GB"/>
        </w:rPr>
        <w:t xml:space="preserve">progress in </w:t>
      </w:r>
      <w:r w:rsidR="00215833" w:rsidRPr="00AC635C">
        <w:rPr>
          <w:rFonts w:eastAsia="Malgun Gothic"/>
          <w:kern w:val="22"/>
          <w:sz w:val="22"/>
          <w:szCs w:val="22"/>
          <w:lang w:val="en-GB"/>
        </w:rPr>
        <w:t xml:space="preserve">the </w:t>
      </w:r>
      <w:r w:rsidRPr="00AC635C">
        <w:rPr>
          <w:rFonts w:eastAsia="Malgun Gothic"/>
          <w:kern w:val="22"/>
          <w:sz w:val="22"/>
          <w:szCs w:val="22"/>
          <w:lang w:val="en-GB"/>
        </w:rPr>
        <w:t xml:space="preserve">implementation </w:t>
      </w:r>
      <w:proofErr w:type="gramStart"/>
      <w:r w:rsidRPr="00AC635C">
        <w:rPr>
          <w:rFonts w:eastAsia="Malgun Gothic"/>
          <w:kern w:val="22"/>
          <w:sz w:val="22"/>
          <w:szCs w:val="22"/>
          <w:lang w:val="en-GB"/>
        </w:rPr>
        <w:t>on the basis of</w:t>
      </w:r>
      <w:proofErr w:type="gramEnd"/>
      <w:r w:rsidRPr="00AC635C">
        <w:rPr>
          <w:rFonts w:eastAsia="Malgun Gothic"/>
          <w:kern w:val="22"/>
          <w:sz w:val="22"/>
          <w:szCs w:val="22"/>
          <w:lang w:val="en-GB"/>
        </w:rPr>
        <w:t xml:space="preserve"> information</w:t>
      </w:r>
      <w:r w:rsidR="002D5ED8" w:rsidRPr="00AC635C">
        <w:rPr>
          <w:rFonts w:eastAsia="Malgun Gothic"/>
          <w:kern w:val="22"/>
          <w:sz w:val="22"/>
          <w:szCs w:val="22"/>
          <w:lang w:val="en-GB"/>
        </w:rPr>
        <w:t xml:space="preserve"> provided by Parties</w:t>
      </w:r>
      <w:r w:rsidRPr="00AC635C">
        <w:rPr>
          <w:rFonts w:eastAsia="Malgun Gothic"/>
          <w:kern w:val="22"/>
          <w:sz w:val="22"/>
          <w:szCs w:val="22"/>
          <w:lang w:val="en-GB"/>
        </w:rPr>
        <w:t xml:space="preserve">. National reports </w:t>
      </w:r>
      <w:r w:rsidR="00EA5357" w:rsidRPr="00AC635C">
        <w:rPr>
          <w:rFonts w:eastAsia="Malgun Gothic"/>
          <w:kern w:val="22"/>
          <w:sz w:val="22"/>
          <w:szCs w:val="22"/>
          <w:lang w:val="en-GB"/>
        </w:rPr>
        <w:t xml:space="preserve">under </w:t>
      </w:r>
      <w:r w:rsidRPr="00AC635C">
        <w:rPr>
          <w:rFonts w:eastAsia="Malgun Gothic"/>
          <w:kern w:val="22"/>
          <w:sz w:val="22"/>
          <w:szCs w:val="22"/>
          <w:lang w:val="en-GB"/>
        </w:rPr>
        <w:t xml:space="preserve">the Convention had deadlines in 1997, 2001, 2005, 2009, 2014 and 2018. National reports </w:t>
      </w:r>
      <w:r w:rsidR="00EA5357" w:rsidRPr="00AC635C">
        <w:rPr>
          <w:rFonts w:eastAsia="Malgun Gothic"/>
          <w:kern w:val="22"/>
          <w:sz w:val="22"/>
          <w:szCs w:val="22"/>
          <w:lang w:val="en-GB"/>
        </w:rPr>
        <w:t xml:space="preserve">under </w:t>
      </w:r>
      <w:r w:rsidRPr="00AC635C">
        <w:rPr>
          <w:rFonts w:eastAsia="Malgun Gothic"/>
          <w:kern w:val="22"/>
          <w:sz w:val="22"/>
          <w:szCs w:val="22"/>
          <w:lang w:val="en-GB"/>
        </w:rPr>
        <w:t>the Cartagena Protocol had deadlines in 2007, 2011 and 2015</w:t>
      </w:r>
      <w:r w:rsidR="002D5ED8" w:rsidRPr="00AC635C">
        <w:rPr>
          <w:rFonts w:eastAsia="Malgun Gothic"/>
          <w:kern w:val="22"/>
          <w:sz w:val="22"/>
          <w:szCs w:val="22"/>
          <w:lang w:val="en-GB"/>
        </w:rPr>
        <w:t xml:space="preserve"> (with</w:t>
      </w:r>
      <w:r w:rsidRPr="00AC635C">
        <w:rPr>
          <w:rFonts w:eastAsia="Malgun Gothic"/>
          <w:kern w:val="22"/>
          <w:sz w:val="22"/>
          <w:szCs w:val="22"/>
          <w:lang w:val="en-GB"/>
        </w:rPr>
        <w:t xml:space="preserve"> an interim report in 2005</w:t>
      </w:r>
      <w:r w:rsidR="002D5ED8" w:rsidRPr="00AC635C">
        <w:rPr>
          <w:rFonts w:eastAsia="Malgun Gothic"/>
          <w:kern w:val="22"/>
          <w:sz w:val="22"/>
          <w:szCs w:val="22"/>
          <w:lang w:val="en-GB"/>
        </w:rPr>
        <w:t xml:space="preserve"> prior to </w:t>
      </w:r>
      <w:r w:rsidR="00E1702F" w:rsidRPr="00AC635C">
        <w:rPr>
          <w:rFonts w:eastAsia="Malgun Gothic"/>
          <w:kern w:val="22"/>
          <w:sz w:val="22"/>
          <w:szCs w:val="22"/>
          <w:lang w:val="en-GB"/>
        </w:rPr>
        <w:t xml:space="preserve">the </w:t>
      </w:r>
      <w:r w:rsidR="002D5ED8" w:rsidRPr="00AC635C">
        <w:rPr>
          <w:rFonts w:eastAsia="Malgun Gothic"/>
          <w:kern w:val="22"/>
          <w:sz w:val="22"/>
          <w:szCs w:val="22"/>
          <w:lang w:val="en-GB"/>
        </w:rPr>
        <w:t>first national report)</w:t>
      </w:r>
      <w:r w:rsidRPr="00AC635C">
        <w:rPr>
          <w:rFonts w:eastAsia="Malgun Gothic"/>
          <w:kern w:val="22"/>
          <w:sz w:val="22"/>
          <w:szCs w:val="22"/>
          <w:lang w:val="en-GB"/>
        </w:rPr>
        <w:t xml:space="preserve">. In accordance with decision </w:t>
      </w:r>
      <w:hyperlink r:id="rId20" w:history="1">
        <w:r w:rsidRPr="00AC635C">
          <w:rPr>
            <w:rStyle w:val="Hyperlink"/>
            <w:rFonts w:eastAsia="Malgun Gothic"/>
            <w:kern w:val="22"/>
            <w:sz w:val="22"/>
            <w:szCs w:val="22"/>
            <w:lang w:val="en-GB"/>
          </w:rPr>
          <w:t>CP VIII/</w:t>
        </w:r>
        <w:r w:rsidR="006A53FD" w:rsidRPr="00AC635C">
          <w:rPr>
            <w:rStyle w:val="Hyperlink"/>
            <w:rFonts w:eastAsia="Malgun Gothic"/>
            <w:kern w:val="22"/>
            <w:sz w:val="22"/>
            <w:szCs w:val="22"/>
            <w:lang w:val="en-GB"/>
          </w:rPr>
          <w:t>10</w:t>
        </w:r>
      </w:hyperlink>
      <w:r w:rsidRPr="00AC635C">
        <w:rPr>
          <w:rFonts w:eastAsia="Malgun Gothic"/>
          <w:kern w:val="22"/>
          <w:sz w:val="22"/>
          <w:szCs w:val="22"/>
          <w:lang w:val="en-GB"/>
        </w:rPr>
        <w:t xml:space="preserve">, the Conference of the Parties serving as the meeting of the Parties to the Cartagena Protocol </w:t>
      </w:r>
      <w:r w:rsidR="00432AED" w:rsidRPr="00AC635C">
        <w:rPr>
          <w:rFonts w:eastAsia="Malgun Gothic"/>
          <w:kern w:val="22"/>
          <w:sz w:val="22"/>
          <w:szCs w:val="22"/>
          <w:lang w:val="en-GB"/>
        </w:rPr>
        <w:t>at its</w:t>
      </w:r>
      <w:r w:rsidR="002864B4" w:rsidRPr="00AC635C">
        <w:rPr>
          <w:rFonts w:eastAsia="Malgun Gothic"/>
          <w:kern w:val="22"/>
          <w:sz w:val="22"/>
          <w:szCs w:val="22"/>
          <w:lang w:val="en-GB"/>
        </w:rPr>
        <w:t xml:space="preserve"> ninth meeting</w:t>
      </w:r>
      <w:r w:rsidR="002864B4" w:rsidRPr="00AC635C" w:rsidDel="00E532D4">
        <w:rPr>
          <w:rFonts w:eastAsia="Malgun Gothic"/>
          <w:kern w:val="22"/>
          <w:sz w:val="22"/>
          <w:szCs w:val="22"/>
          <w:lang w:val="en-GB"/>
        </w:rPr>
        <w:t xml:space="preserve"> </w:t>
      </w:r>
      <w:r w:rsidRPr="00AC635C">
        <w:rPr>
          <w:kern w:val="22"/>
          <w:sz w:val="22"/>
          <w:szCs w:val="22"/>
          <w:lang w:val="en-GB"/>
        </w:rPr>
        <w:t xml:space="preserve">is expected to consider the reporting format for </w:t>
      </w:r>
      <w:r w:rsidR="00D75124" w:rsidRPr="00AC635C">
        <w:rPr>
          <w:kern w:val="22"/>
          <w:sz w:val="22"/>
          <w:szCs w:val="22"/>
          <w:lang w:val="en-GB"/>
        </w:rPr>
        <w:t xml:space="preserve">the </w:t>
      </w:r>
      <w:r w:rsidRPr="00AC635C">
        <w:rPr>
          <w:kern w:val="22"/>
          <w:sz w:val="22"/>
          <w:szCs w:val="22"/>
          <w:lang w:val="en-GB"/>
        </w:rPr>
        <w:t>fourth national report</w:t>
      </w:r>
      <w:r w:rsidRPr="00AC635C">
        <w:rPr>
          <w:rFonts w:eastAsia="Malgun Gothic"/>
          <w:kern w:val="22"/>
          <w:sz w:val="22"/>
          <w:szCs w:val="22"/>
          <w:lang w:val="en-GB"/>
        </w:rPr>
        <w:t xml:space="preserve"> on the basis of documentation prepared for the second meeting of the Subsidiary Body on Implementation.</w:t>
      </w:r>
      <w:r w:rsidRPr="00AC635C">
        <w:rPr>
          <w:rStyle w:val="FootnoteReference"/>
          <w:rFonts w:eastAsia="Malgun Gothic"/>
          <w:kern w:val="22"/>
          <w:sz w:val="22"/>
          <w:szCs w:val="22"/>
          <w:lang w:val="en-GB"/>
        </w:rPr>
        <w:footnoteReference w:id="3"/>
      </w:r>
      <w:r w:rsidRPr="00AC635C">
        <w:rPr>
          <w:rFonts w:eastAsia="Malgun Gothic"/>
          <w:kern w:val="22"/>
          <w:sz w:val="22"/>
          <w:szCs w:val="22"/>
          <w:lang w:val="en-GB"/>
        </w:rPr>
        <w:t xml:space="preserve"> The interim national report </w:t>
      </w:r>
      <w:r w:rsidR="0031455F" w:rsidRPr="00AC635C">
        <w:rPr>
          <w:rFonts w:eastAsia="Malgun Gothic"/>
          <w:kern w:val="22"/>
          <w:sz w:val="22"/>
          <w:szCs w:val="22"/>
          <w:lang w:val="en-GB"/>
        </w:rPr>
        <w:t xml:space="preserve">under </w:t>
      </w:r>
      <w:r w:rsidRPr="00AC635C">
        <w:rPr>
          <w:rFonts w:eastAsia="Malgun Gothic"/>
          <w:kern w:val="22"/>
          <w:sz w:val="22"/>
          <w:szCs w:val="22"/>
          <w:lang w:val="en-GB"/>
        </w:rPr>
        <w:t xml:space="preserve">the Nagoya Protocol had a deadline </w:t>
      </w:r>
      <w:r w:rsidR="00511D67" w:rsidRPr="00AC635C">
        <w:rPr>
          <w:rFonts w:eastAsia="Malgun Gothic"/>
          <w:kern w:val="22"/>
          <w:sz w:val="22"/>
          <w:szCs w:val="22"/>
          <w:lang w:val="en-GB"/>
        </w:rPr>
        <w:t xml:space="preserve">of </w:t>
      </w:r>
      <w:r w:rsidR="00D413DE" w:rsidRPr="00AC635C">
        <w:rPr>
          <w:rFonts w:eastAsia="Malgun Gothic"/>
          <w:kern w:val="22"/>
          <w:sz w:val="22"/>
          <w:szCs w:val="22"/>
          <w:lang w:val="en-GB"/>
        </w:rPr>
        <w:t xml:space="preserve">November </w:t>
      </w:r>
      <w:r w:rsidRPr="00AC635C">
        <w:rPr>
          <w:rFonts w:eastAsia="Malgun Gothic"/>
          <w:kern w:val="22"/>
          <w:sz w:val="22"/>
          <w:szCs w:val="22"/>
          <w:lang w:val="en-GB"/>
        </w:rPr>
        <w:t>2017</w:t>
      </w:r>
      <w:r w:rsidR="0031455F" w:rsidRPr="00AC635C">
        <w:rPr>
          <w:rFonts w:eastAsia="Malgun Gothic"/>
          <w:kern w:val="22"/>
          <w:sz w:val="22"/>
          <w:szCs w:val="22"/>
          <w:lang w:val="en-GB"/>
        </w:rPr>
        <w:t>,</w:t>
      </w:r>
      <w:r w:rsidR="002B414F" w:rsidRPr="00AC635C">
        <w:rPr>
          <w:rFonts w:eastAsia="Malgun Gothic"/>
          <w:kern w:val="22"/>
          <w:sz w:val="22"/>
          <w:szCs w:val="22"/>
          <w:lang w:val="en-GB"/>
        </w:rPr>
        <w:t xml:space="preserve"> </w:t>
      </w:r>
      <w:r w:rsidRPr="00AC635C">
        <w:rPr>
          <w:rFonts w:eastAsia="Malgun Gothic"/>
          <w:kern w:val="22"/>
          <w:sz w:val="22"/>
          <w:szCs w:val="22"/>
          <w:lang w:val="en-GB"/>
        </w:rPr>
        <w:t xml:space="preserve">and </w:t>
      </w:r>
      <w:r w:rsidR="005A4427" w:rsidRPr="00AC635C">
        <w:rPr>
          <w:rFonts w:eastAsia="Malgun Gothic"/>
          <w:kern w:val="22"/>
          <w:sz w:val="22"/>
          <w:szCs w:val="22"/>
          <w:lang w:val="en-GB"/>
        </w:rPr>
        <w:t xml:space="preserve">the Conference of the Parties serving as the meeting of the Parties </w:t>
      </w:r>
      <w:r w:rsidR="0031455F" w:rsidRPr="00AC635C">
        <w:rPr>
          <w:rFonts w:eastAsia="Malgun Gothic"/>
          <w:kern w:val="22"/>
          <w:sz w:val="22"/>
          <w:szCs w:val="22"/>
          <w:lang w:val="en-GB"/>
        </w:rPr>
        <w:t xml:space="preserve">to the Nagoya Protocol </w:t>
      </w:r>
      <w:r w:rsidRPr="00AC635C">
        <w:rPr>
          <w:rFonts w:eastAsia="Malgun Gothic"/>
          <w:kern w:val="22"/>
          <w:sz w:val="22"/>
          <w:szCs w:val="22"/>
          <w:lang w:val="en-GB"/>
        </w:rPr>
        <w:t xml:space="preserve">is </w:t>
      </w:r>
      <w:r w:rsidR="005A4427" w:rsidRPr="00AC635C">
        <w:rPr>
          <w:rFonts w:eastAsia="Malgun Gothic"/>
          <w:kern w:val="22"/>
          <w:sz w:val="22"/>
          <w:szCs w:val="22"/>
          <w:lang w:val="en-GB"/>
        </w:rPr>
        <w:t xml:space="preserve">also </w:t>
      </w:r>
      <w:r w:rsidR="006B4E49" w:rsidRPr="00AC635C">
        <w:rPr>
          <w:rFonts w:eastAsia="Malgun Gothic"/>
          <w:kern w:val="22"/>
          <w:sz w:val="22"/>
          <w:szCs w:val="22"/>
          <w:lang w:val="en-GB"/>
        </w:rPr>
        <w:t xml:space="preserve">expected to </w:t>
      </w:r>
      <w:r w:rsidRPr="00AC635C">
        <w:rPr>
          <w:rFonts w:eastAsia="Malgun Gothic"/>
          <w:kern w:val="22"/>
          <w:sz w:val="22"/>
          <w:szCs w:val="22"/>
          <w:lang w:val="en-GB"/>
        </w:rPr>
        <w:t xml:space="preserve">consider the intervals for reporting at </w:t>
      </w:r>
      <w:r w:rsidR="005A4427" w:rsidRPr="00AC635C">
        <w:rPr>
          <w:rFonts w:eastAsia="Malgun Gothic"/>
          <w:kern w:val="22"/>
          <w:sz w:val="22"/>
          <w:szCs w:val="22"/>
          <w:lang w:val="en-GB"/>
        </w:rPr>
        <w:t>its third</w:t>
      </w:r>
      <w:r w:rsidRPr="00AC635C">
        <w:rPr>
          <w:rFonts w:eastAsia="Malgun Gothic"/>
          <w:kern w:val="22"/>
          <w:sz w:val="22"/>
          <w:szCs w:val="22"/>
          <w:lang w:val="en-GB"/>
        </w:rPr>
        <w:t xml:space="preserve"> meeting</w:t>
      </w:r>
      <w:r w:rsidR="007342B8" w:rsidRPr="00AC635C">
        <w:rPr>
          <w:rFonts w:eastAsia="Malgun Gothic"/>
          <w:kern w:val="22"/>
          <w:sz w:val="22"/>
          <w:szCs w:val="22"/>
          <w:lang w:val="en-GB"/>
        </w:rPr>
        <w:t>,</w:t>
      </w:r>
      <w:r w:rsidR="00DF6971" w:rsidRPr="00AC635C">
        <w:rPr>
          <w:rFonts w:eastAsia="Malgun Gothic"/>
          <w:kern w:val="22"/>
          <w:sz w:val="22"/>
          <w:szCs w:val="22"/>
          <w:lang w:val="en-GB"/>
        </w:rPr>
        <w:t xml:space="preserve"> in November 2018</w:t>
      </w:r>
      <w:r w:rsidRPr="00AC635C">
        <w:rPr>
          <w:rFonts w:eastAsia="Malgun Gothic"/>
          <w:kern w:val="22"/>
          <w:sz w:val="22"/>
          <w:szCs w:val="22"/>
          <w:lang w:val="en-GB"/>
        </w:rPr>
        <w:t>.</w:t>
      </w:r>
    </w:p>
    <w:p w14:paraId="4EB68231" w14:textId="147BF874"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Synchronized reporting cycles for the Convention, the Cartagena Protocol and the Nagoya Protocol would imply the preparation in parallel of these reports by countries, thereby facilitating coordination of the preparation process and potentially bringing together any support activities such as capacity-building and the mobilization of financial resources. </w:t>
      </w:r>
      <w:r w:rsidR="002B414F" w:rsidRPr="00AC635C">
        <w:rPr>
          <w:rFonts w:eastAsia="Malgun Gothic"/>
          <w:kern w:val="22"/>
          <w:sz w:val="22"/>
          <w:szCs w:val="22"/>
          <w:lang w:val="en-GB"/>
        </w:rPr>
        <w:t>At the national level, s</w:t>
      </w:r>
      <w:r w:rsidR="00D413DE" w:rsidRPr="00AC635C">
        <w:rPr>
          <w:rFonts w:eastAsia="Malgun Gothic"/>
          <w:kern w:val="22"/>
          <w:sz w:val="22"/>
          <w:szCs w:val="22"/>
          <w:lang w:val="en-GB"/>
        </w:rPr>
        <w:t xml:space="preserve">ynchronized reporting </w:t>
      </w:r>
      <w:r w:rsidR="002B414F" w:rsidRPr="00AC635C">
        <w:rPr>
          <w:rFonts w:eastAsia="Malgun Gothic"/>
          <w:kern w:val="22"/>
          <w:sz w:val="22"/>
          <w:szCs w:val="22"/>
          <w:lang w:val="en-GB"/>
        </w:rPr>
        <w:t>could facilitate</w:t>
      </w:r>
      <w:r w:rsidR="00D413DE" w:rsidRPr="00AC635C">
        <w:rPr>
          <w:rFonts w:eastAsia="Malgun Gothic"/>
          <w:kern w:val="22"/>
          <w:sz w:val="22"/>
          <w:szCs w:val="22"/>
          <w:lang w:val="en-GB"/>
        </w:rPr>
        <w:t xml:space="preserve"> </w:t>
      </w:r>
      <w:r w:rsidR="002B414F" w:rsidRPr="00AC635C">
        <w:rPr>
          <w:rFonts w:eastAsia="Malgun Gothic"/>
          <w:kern w:val="22"/>
          <w:sz w:val="22"/>
          <w:szCs w:val="22"/>
          <w:lang w:val="en-GB"/>
        </w:rPr>
        <w:t>a more</w:t>
      </w:r>
      <w:r w:rsidR="00D413DE" w:rsidRPr="00AC635C">
        <w:rPr>
          <w:rFonts w:eastAsia="Malgun Gothic"/>
          <w:kern w:val="22"/>
          <w:sz w:val="22"/>
          <w:szCs w:val="22"/>
          <w:lang w:val="en-GB"/>
        </w:rPr>
        <w:t xml:space="preserve"> </w:t>
      </w:r>
      <w:r w:rsidR="002B414F" w:rsidRPr="00AC635C">
        <w:rPr>
          <w:rFonts w:eastAsia="Malgun Gothic"/>
          <w:kern w:val="22"/>
          <w:sz w:val="22"/>
          <w:szCs w:val="22"/>
          <w:lang w:val="en-GB"/>
        </w:rPr>
        <w:t>integrated</w:t>
      </w:r>
      <w:r w:rsidR="00D413DE" w:rsidRPr="00AC635C">
        <w:rPr>
          <w:rFonts w:eastAsia="Malgun Gothic"/>
          <w:kern w:val="22"/>
          <w:sz w:val="22"/>
          <w:szCs w:val="22"/>
          <w:lang w:val="en-GB"/>
        </w:rPr>
        <w:t xml:space="preserve"> implementation</w:t>
      </w:r>
      <w:r w:rsidR="002B414F" w:rsidRPr="00AC635C">
        <w:rPr>
          <w:rFonts w:eastAsia="Malgun Gothic"/>
          <w:kern w:val="22"/>
          <w:sz w:val="22"/>
          <w:szCs w:val="22"/>
          <w:lang w:val="en-GB"/>
        </w:rPr>
        <w:t xml:space="preserve"> of the three instruments</w:t>
      </w:r>
      <w:r w:rsidR="00D413DE" w:rsidRPr="00AC635C">
        <w:rPr>
          <w:rFonts w:eastAsia="Malgun Gothic"/>
          <w:kern w:val="22"/>
          <w:sz w:val="22"/>
          <w:szCs w:val="22"/>
          <w:lang w:val="en-GB"/>
        </w:rPr>
        <w:t xml:space="preserve">, </w:t>
      </w:r>
      <w:r w:rsidR="002B414F" w:rsidRPr="00AC635C">
        <w:rPr>
          <w:rFonts w:eastAsia="Malgun Gothic"/>
          <w:kern w:val="22"/>
          <w:sz w:val="22"/>
          <w:szCs w:val="22"/>
          <w:lang w:val="en-GB"/>
        </w:rPr>
        <w:t xml:space="preserve">for example </w:t>
      </w:r>
      <w:r w:rsidR="00D413DE" w:rsidRPr="00AC635C">
        <w:rPr>
          <w:rFonts w:eastAsia="Malgun Gothic"/>
          <w:kern w:val="22"/>
          <w:sz w:val="22"/>
          <w:szCs w:val="22"/>
          <w:lang w:val="en-GB"/>
        </w:rPr>
        <w:t xml:space="preserve">through joint </w:t>
      </w:r>
      <w:r w:rsidR="002B414F" w:rsidRPr="00AC635C">
        <w:rPr>
          <w:rFonts w:eastAsia="Malgun Gothic"/>
          <w:kern w:val="22"/>
          <w:sz w:val="22"/>
          <w:szCs w:val="22"/>
          <w:lang w:val="en-GB"/>
        </w:rPr>
        <w:t xml:space="preserve">planning and </w:t>
      </w:r>
      <w:r w:rsidR="00D413DE" w:rsidRPr="00AC635C">
        <w:rPr>
          <w:rFonts w:eastAsia="Malgun Gothic"/>
          <w:kern w:val="22"/>
          <w:sz w:val="22"/>
          <w:szCs w:val="22"/>
          <w:lang w:val="en-GB"/>
        </w:rPr>
        <w:t>review</w:t>
      </w:r>
      <w:r w:rsidR="002B414F" w:rsidRPr="00AC635C">
        <w:rPr>
          <w:rFonts w:eastAsia="Malgun Gothic"/>
          <w:kern w:val="22"/>
          <w:sz w:val="22"/>
          <w:szCs w:val="22"/>
          <w:lang w:val="en-GB"/>
        </w:rPr>
        <w:t xml:space="preserve"> processes</w:t>
      </w:r>
      <w:r w:rsidR="00F05154" w:rsidRPr="00AC635C">
        <w:rPr>
          <w:rFonts w:eastAsia="Malgun Gothic"/>
          <w:kern w:val="22"/>
          <w:sz w:val="22"/>
          <w:szCs w:val="22"/>
          <w:lang w:val="en-GB"/>
        </w:rPr>
        <w:t xml:space="preserve"> and a more cross-cutting consideration of related issues</w:t>
      </w:r>
      <w:r w:rsidR="00D413DE" w:rsidRPr="00AC635C">
        <w:rPr>
          <w:rFonts w:eastAsia="Malgun Gothic"/>
          <w:kern w:val="22"/>
          <w:sz w:val="22"/>
          <w:szCs w:val="22"/>
          <w:lang w:val="en-GB"/>
        </w:rPr>
        <w:t xml:space="preserve">. </w:t>
      </w:r>
      <w:r w:rsidR="00F05154" w:rsidRPr="00AC635C">
        <w:rPr>
          <w:rFonts w:eastAsia="Malgun Gothic"/>
          <w:kern w:val="22"/>
          <w:sz w:val="22"/>
          <w:szCs w:val="22"/>
          <w:lang w:val="en-GB"/>
        </w:rPr>
        <w:t>It could</w:t>
      </w:r>
      <w:r w:rsidR="00D413DE" w:rsidRPr="00AC635C">
        <w:rPr>
          <w:rFonts w:eastAsia="Malgun Gothic"/>
          <w:kern w:val="22"/>
          <w:sz w:val="22"/>
          <w:szCs w:val="22"/>
          <w:lang w:val="en-GB"/>
        </w:rPr>
        <w:t xml:space="preserve"> also contribute to the effective use of resources for the preparation of these reports</w:t>
      </w:r>
      <w:r w:rsidR="00F05154" w:rsidRPr="00AC635C">
        <w:rPr>
          <w:rFonts w:eastAsia="Malgun Gothic"/>
          <w:kern w:val="22"/>
          <w:sz w:val="22"/>
          <w:szCs w:val="22"/>
          <w:lang w:val="en-GB"/>
        </w:rPr>
        <w:t>, for example through joint</w:t>
      </w:r>
      <w:r w:rsidR="00724E04" w:rsidRPr="00AC635C">
        <w:rPr>
          <w:rFonts w:eastAsia="Malgun Gothic"/>
          <w:kern w:val="22"/>
          <w:sz w:val="22"/>
          <w:szCs w:val="22"/>
          <w:lang w:val="en-GB"/>
        </w:rPr>
        <w:t xml:space="preserve"> stakeholder consultations</w:t>
      </w:r>
      <w:r w:rsidR="00D413DE" w:rsidRPr="00AC635C">
        <w:rPr>
          <w:rFonts w:eastAsia="Malgun Gothic"/>
          <w:kern w:val="22"/>
          <w:sz w:val="22"/>
          <w:szCs w:val="22"/>
          <w:lang w:val="en-GB"/>
        </w:rPr>
        <w:t xml:space="preserve">. </w:t>
      </w:r>
      <w:r w:rsidR="00F05154" w:rsidRPr="00AC635C">
        <w:rPr>
          <w:rFonts w:eastAsia="Malgun Gothic"/>
          <w:kern w:val="22"/>
          <w:sz w:val="22"/>
          <w:szCs w:val="22"/>
          <w:lang w:val="en-GB"/>
        </w:rPr>
        <w:t>At the level of governing bodies, c</w:t>
      </w:r>
      <w:r w:rsidRPr="00AC635C">
        <w:rPr>
          <w:rFonts w:eastAsia="Malgun Gothic"/>
          <w:kern w:val="22"/>
          <w:sz w:val="22"/>
          <w:szCs w:val="22"/>
          <w:lang w:val="en-GB"/>
        </w:rPr>
        <w:t>ommon deadlines for the submission of the reports would ensure that the review of implementation of the three instruments could be done in a more integrated manner during the concurrent meetings of the governing bodies of the Convention and its Protocols</w:t>
      </w:r>
      <w:r w:rsidR="0064653E" w:rsidRPr="00AC635C">
        <w:rPr>
          <w:rFonts w:eastAsia="Malgun Gothic"/>
          <w:kern w:val="22"/>
          <w:sz w:val="22"/>
          <w:szCs w:val="22"/>
          <w:lang w:val="en-GB"/>
        </w:rPr>
        <w:t>, and, as appropriate</w:t>
      </w:r>
      <w:r w:rsidR="00860C2A" w:rsidRPr="00AC635C">
        <w:rPr>
          <w:rFonts w:eastAsia="Malgun Gothic"/>
          <w:kern w:val="22"/>
          <w:sz w:val="22"/>
          <w:szCs w:val="22"/>
          <w:lang w:val="en-GB"/>
        </w:rPr>
        <w:t>,</w:t>
      </w:r>
      <w:r w:rsidR="0064653E" w:rsidRPr="00AC635C">
        <w:rPr>
          <w:rFonts w:eastAsia="Malgun Gothic"/>
          <w:kern w:val="22"/>
          <w:sz w:val="22"/>
          <w:szCs w:val="22"/>
          <w:lang w:val="en-GB"/>
        </w:rPr>
        <w:t xml:space="preserve"> by the Subsidiary Body on Implementation in preparation for these meetings</w:t>
      </w:r>
      <w:r w:rsidRPr="00AC635C">
        <w:rPr>
          <w:rFonts w:eastAsia="Malgun Gothic"/>
          <w:kern w:val="22"/>
          <w:sz w:val="22"/>
          <w:szCs w:val="22"/>
          <w:lang w:val="en-GB"/>
        </w:rPr>
        <w:t>.</w:t>
      </w:r>
    </w:p>
    <w:p w14:paraId="4AAD827E" w14:textId="092E2A10" w:rsidR="00F33CFC"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deadline for the three reports </w:t>
      </w:r>
      <w:r w:rsidR="00F33CFC" w:rsidRPr="00AC635C">
        <w:rPr>
          <w:rFonts w:eastAsia="Malgun Gothic"/>
          <w:kern w:val="22"/>
          <w:sz w:val="22"/>
          <w:szCs w:val="22"/>
          <w:lang w:val="en-GB"/>
        </w:rPr>
        <w:t>should</w:t>
      </w:r>
      <w:r w:rsidR="005A28DE" w:rsidRPr="00AC635C">
        <w:rPr>
          <w:rFonts w:eastAsia="Malgun Gothic"/>
          <w:kern w:val="22"/>
          <w:sz w:val="22"/>
          <w:szCs w:val="22"/>
          <w:lang w:val="en-GB"/>
        </w:rPr>
        <w:t xml:space="preserve"> </w:t>
      </w:r>
      <w:r w:rsidRPr="00AC635C">
        <w:rPr>
          <w:rFonts w:eastAsia="Malgun Gothic"/>
          <w:kern w:val="22"/>
          <w:sz w:val="22"/>
          <w:szCs w:val="22"/>
          <w:lang w:val="en-GB"/>
        </w:rPr>
        <w:t xml:space="preserve">be </w:t>
      </w:r>
      <w:r w:rsidR="00F40121" w:rsidRPr="00AC635C">
        <w:rPr>
          <w:rFonts w:eastAsia="Malgun Gothic"/>
          <w:kern w:val="22"/>
          <w:sz w:val="22"/>
          <w:szCs w:val="22"/>
          <w:lang w:val="en-GB"/>
        </w:rPr>
        <w:t xml:space="preserve">set </w:t>
      </w:r>
      <w:r w:rsidR="008F0B6F" w:rsidRPr="00AC635C">
        <w:rPr>
          <w:rFonts w:eastAsia="Malgun Gothic"/>
          <w:kern w:val="22"/>
          <w:sz w:val="22"/>
          <w:szCs w:val="22"/>
          <w:lang w:val="en-GB"/>
        </w:rPr>
        <w:t xml:space="preserve">in such a way </w:t>
      </w:r>
      <w:r w:rsidRPr="00AC635C">
        <w:rPr>
          <w:rFonts w:eastAsia="Malgun Gothic"/>
          <w:kern w:val="22"/>
          <w:sz w:val="22"/>
          <w:szCs w:val="22"/>
          <w:lang w:val="en-GB"/>
        </w:rPr>
        <w:t xml:space="preserve">as to inform a timely review of </w:t>
      </w:r>
      <w:r w:rsidR="007241DB" w:rsidRPr="00AC635C">
        <w:rPr>
          <w:rFonts w:eastAsia="Malgun Gothic"/>
          <w:kern w:val="22"/>
          <w:sz w:val="22"/>
          <w:szCs w:val="22"/>
          <w:lang w:val="en-GB"/>
        </w:rPr>
        <w:t xml:space="preserve">the </w:t>
      </w:r>
      <w:r w:rsidRPr="00AC635C">
        <w:rPr>
          <w:rFonts w:eastAsia="Malgun Gothic"/>
          <w:kern w:val="22"/>
          <w:sz w:val="22"/>
          <w:szCs w:val="22"/>
          <w:lang w:val="en-GB"/>
        </w:rPr>
        <w:t xml:space="preserve">implementation, possibly at mid-term, of </w:t>
      </w:r>
      <w:r w:rsidR="007241DB" w:rsidRPr="00AC635C">
        <w:rPr>
          <w:rFonts w:eastAsia="Malgun Gothic"/>
          <w:kern w:val="22"/>
          <w:sz w:val="22"/>
          <w:szCs w:val="22"/>
          <w:lang w:val="en-GB"/>
        </w:rPr>
        <w:t>the</w:t>
      </w:r>
      <w:r w:rsidRPr="00AC635C">
        <w:rPr>
          <w:rFonts w:eastAsia="Malgun Gothic"/>
          <w:kern w:val="22"/>
          <w:sz w:val="22"/>
          <w:szCs w:val="22"/>
          <w:lang w:val="en-GB"/>
        </w:rPr>
        <w:t xml:space="preserve"> </w:t>
      </w:r>
      <w:hyperlink r:id="rId21" w:history="1">
        <w:r w:rsidRPr="00AC635C">
          <w:rPr>
            <w:rStyle w:val="Hyperlink"/>
            <w:rFonts w:eastAsia="Malgun Gothic"/>
            <w:sz w:val="22"/>
            <w:szCs w:val="22"/>
            <w:lang w:val="en-GB"/>
          </w:rPr>
          <w:t xml:space="preserve">post-2020 </w:t>
        </w:r>
        <w:r w:rsidR="00892ADE" w:rsidRPr="00AC635C">
          <w:rPr>
            <w:rStyle w:val="Hyperlink"/>
            <w:rFonts w:eastAsia="Malgun Gothic"/>
            <w:sz w:val="22"/>
            <w:szCs w:val="22"/>
            <w:lang w:val="en-GB"/>
          </w:rPr>
          <w:t xml:space="preserve">global </w:t>
        </w:r>
        <w:r w:rsidRPr="00AC635C">
          <w:rPr>
            <w:rStyle w:val="Hyperlink"/>
            <w:rFonts w:eastAsia="Malgun Gothic"/>
            <w:sz w:val="22"/>
            <w:szCs w:val="22"/>
            <w:lang w:val="en-GB"/>
          </w:rPr>
          <w:t>biodiversity framework</w:t>
        </w:r>
      </w:hyperlink>
      <w:r w:rsidRPr="00AC635C">
        <w:rPr>
          <w:rFonts w:eastAsia="Malgun Gothic"/>
          <w:kern w:val="22"/>
          <w:sz w:val="22"/>
          <w:szCs w:val="22"/>
          <w:lang w:val="en-GB"/>
        </w:rPr>
        <w:t xml:space="preserve"> while providing sufficient time for the full analysis of the information contained in the reports. A possible way forward would be to synchronize the reporting cycles under the Convention and its Protocols after 2020 by setting </w:t>
      </w:r>
      <w:r w:rsidR="00F33CFC" w:rsidRPr="00AC635C">
        <w:rPr>
          <w:rFonts w:eastAsia="Malgun Gothic"/>
          <w:kern w:val="22"/>
          <w:sz w:val="22"/>
          <w:szCs w:val="22"/>
          <w:lang w:val="en-GB"/>
        </w:rPr>
        <w:t>a</w:t>
      </w:r>
      <w:r w:rsidRPr="00AC635C">
        <w:rPr>
          <w:rFonts w:eastAsia="Malgun Gothic"/>
          <w:kern w:val="22"/>
          <w:sz w:val="22"/>
          <w:szCs w:val="22"/>
          <w:lang w:val="en-GB"/>
        </w:rPr>
        <w:t xml:space="preserve"> common deadline for the submission of the national reports</w:t>
      </w:r>
      <w:r w:rsidR="00F33CFC" w:rsidRPr="00AC635C">
        <w:rPr>
          <w:rFonts w:eastAsia="Malgun Gothic"/>
          <w:kern w:val="22"/>
          <w:sz w:val="22"/>
          <w:szCs w:val="22"/>
          <w:lang w:val="en-GB"/>
        </w:rPr>
        <w:t>, for example</w:t>
      </w:r>
      <w:r w:rsidRPr="00AC635C">
        <w:rPr>
          <w:rFonts w:eastAsia="Malgun Gothic"/>
          <w:kern w:val="22"/>
          <w:sz w:val="22"/>
          <w:szCs w:val="22"/>
          <w:lang w:val="en-GB"/>
        </w:rPr>
        <w:t xml:space="preserve"> in 2023</w:t>
      </w:r>
      <w:r w:rsidR="00F33CFC" w:rsidRPr="00AC635C">
        <w:rPr>
          <w:rFonts w:eastAsia="Malgun Gothic"/>
          <w:kern w:val="22"/>
          <w:sz w:val="22"/>
          <w:szCs w:val="22"/>
          <w:lang w:val="en-GB"/>
        </w:rPr>
        <w:t>,</w:t>
      </w:r>
      <w:r w:rsidRPr="00AC635C">
        <w:rPr>
          <w:rFonts w:eastAsia="Malgun Gothic"/>
          <w:kern w:val="22"/>
          <w:sz w:val="22"/>
          <w:szCs w:val="22"/>
          <w:lang w:val="en-GB"/>
        </w:rPr>
        <w:t xml:space="preserve"> with </w:t>
      </w:r>
      <w:r w:rsidR="00F33CFC" w:rsidRPr="00AC635C">
        <w:rPr>
          <w:rFonts w:eastAsia="Malgun Gothic"/>
          <w:kern w:val="22"/>
          <w:sz w:val="22"/>
          <w:szCs w:val="22"/>
          <w:lang w:val="en-GB"/>
        </w:rPr>
        <w:t xml:space="preserve">approximately </w:t>
      </w:r>
      <w:r w:rsidRPr="00AC635C">
        <w:rPr>
          <w:rFonts w:eastAsia="Malgun Gothic"/>
          <w:kern w:val="22"/>
          <w:sz w:val="22"/>
          <w:szCs w:val="22"/>
          <w:lang w:val="en-GB"/>
        </w:rPr>
        <w:t xml:space="preserve">four-year </w:t>
      </w:r>
      <w:r w:rsidR="00F33CFC" w:rsidRPr="00AC635C">
        <w:rPr>
          <w:rFonts w:eastAsia="Malgun Gothic"/>
          <w:kern w:val="22"/>
          <w:sz w:val="22"/>
          <w:szCs w:val="22"/>
          <w:lang w:val="en-GB"/>
        </w:rPr>
        <w:t xml:space="preserve">reporting </w:t>
      </w:r>
      <w:r w:rsidRPr="00AC635C">
        <w:rPr>
          <w:rFonts w:eastAsia="Malgun Gothic"/>
          <w:kern w:val="22"/>
          <w:sz w:val="22"/>
          <w:szCs w:val="22"/>
          <w:lang w:val="en-GB"/>
        </w:rPr>
        <w:t>intervals thereafter. Such a deadline would enable the Conference of the Parties to the Convention</w:t>
      </w:r>
      <w:r w:rsidR="00C26F20" w:rsidRPr="00AC635C">
        <w:rPr>
          <w:rFonts w:eastAsia="Malgun Gothic"/>
          <w:kern w:val="22"/>
          <w:sz w:val="22"/>
          <w:szCs w:val="22"/>
          <w:lang w:val="en-GB"/>
        </w:rPr>
        <w:t xml:space="preserve"> at its seventeenth meeting</w:t>
      </w:r>
      <w:r w:rsidRPr="00AC635C">
        <w:rPr>
          <w:rFonts w:eastAsia="Malgun Gothic"/>
          <w:kern w:val="22"/>
          <w:sz w:val="22"/>
          <w:szCs w:val="22"/>
          <w:lang w:val="en-GB"/>
        </w:rPr>
        <w:t xml:space="preserve">, the Conference of the Parties serving as the meeting of the Parties to the Cartagena Protocol </w:t>
      </w:r>
      <w:r w:rsidR="00C26F20" w:rsidRPr="00AC635C">
        <w:rPr>
          <w:rFonts w:eastAsia="Malgun Gothic"/>
          <w:kern w:val="22"/>
          <w:sz w:val="22"/>
          <w:szCs w:val="22"/>
          <w:lang w:val="en-GB"/>
        </w:rPr>
        <w:t>at its twelfth meeting,</w:t>
      </w:r>
      <w:r w:rsidRPr="00AC635C">
        <w:rPr>
          <w:rFonts w:eastAsia="Malgun Gothic"/>
          <w:kern w:val="22"/>
          <w:sz w:val="22"/>
          <w:szCs w:val="22"/>
          <w:lang w:val="en-GB"/>
        </w:rPr>
        <w:t xml:space="preserve"> and the Conference of the Parties serving as the meeting of the Parties to the Nagoya Protocol </w:t>
      </w:r>
      <w:r w:rsidR="00C26F20" w:rsidRPr="00AC635C">
        <w:rPr>
          <w:rFonts w:eastAsia="Malgun Gothic"/>
          <w:kern w:val="22"/>
          <w:sz w:val="22"/>
          <w:szCs w:val="22"/>
          <w:lang w:val="en-GB"/>
        </w:rPr>
        <w:t>at its sixth meeting</w:t>
      </w:r>
      <w:r w:rsidRPr="00AC635C">
        <w:rPr>
          <w:rFonts w:eastAsia="Malgun Gothic"/>
          <w:kern w:val="22"/>
          <w:sz w:val="22"/>
          <w:szCs w:val="22"/>
          <w:lang w:val="en-GB"/>
        </w:rPr>
        <w:t xml:space="preserve"> to draw on the national reports </w:t>
      </w:r>
      <w:r w:rsidR="00ED08B2" w:rsidRPr="00AC635C">
        <w:rPr>
          <w:rFonts w:eastAsia="Malgun Gothic"/>
          <w:kern w:val="22"/>
          <w:sz w:val="22"/>
          <w:szCs w:val="22"/>
          <w:lang w:val="en-GB"/>
        </w:rPr>
        <w:t xml:space="preserve">in order </w:t>
      </w:r>
      <w:r w:rsidRPr="00AC635C">
        <w:rPr>
          <w:rFonts w:eastAsia="Malgun Gothic"/>
          <w:kern w:val="22"/>
          <w:sz w:val="22"/>
          <w:szCs w:val="22"/>
          <w:lang w:val="en-GB"/>
        </w:rPr>
        <w:t xml:space="preserve">to provide guidance on </w:t>
      </w:r>
      <w:r w:rsidR="00085F6F" w:rsidRPr="00AC635C">
        <w:rPr>
          <w:rFonts w:eastAsia="Malgun Gothic"/>
          <w:kern w:val="22"/>
          <w:sz w:val="22"/>
          <w:szCs w:val="22"/>
          <w:lang w:val="en-GB"/>
        </w:rPr>
        <w:t xml:space="preserve">the </w:t>
      </w:r>
      <w:r w:rsidRPr="00AC635C">
        <w:rPr>
          <w:rFonts w:eastAsia="Malgun Gothic"/>
          <w:kern w:val="22"/>
          <w:sz w:val="22"/>
          <w:szCs w:val="22"/>
          <w:lang w:val="en-GB"/>
        </w:rPr>
        <w:t xml:space="preserve">further implementation of the three instruments in the context of </w:t>
      </w:r>
      <w:r w:rsidR="00085F6F" w:rsidRPr="00AC635C">
        <w:rPr>
          <w:rFonts w:eastAsia="Malgun Gothic"/>
          <w:kern w:val="22"/>
          <w:sz w:val="22"/>
          <w:szCs w:val="22"/>
          <w:lang w:val="en-GB"/>
        </w:rPr>
        <w:t>the</w:t>
      </w:r>
      <w:r w:rsidRPr="00AC635C">
        <w:rPr>
          <w:rFonts w:eastAsia="Malgun Gothic"/>
          <w:kern w:val="22"/>
          <w:sz w:val="22"/>
          <w:szCs w:val="22"/>
          <w:lang w:val="en-GB"/>
        </w:rPr>
        <w:t xml:space="preserve"> post-2020 </w:t>
      </w:r>
      <w:r w:rsidR="00892ADE" w:rsidRPr="00AC635C">
        <w:rPr>
          <w:rFonts w:eastAsia="Malgun Gothic"/>
          <w:kern w:val="22"/>
          <w:sz w:val="22"/>
          <w:szCs w:val="22"/>
          <w:lang w:val="en-GB"/>
        </w:rPr>
        <w:t xml:space="preserve">global </w:t>
      </w:r>
      <w:r w:rsidRPr="00AC635C">
        <w:rPr>
          <w:rFonts w:eastAsia="Malgun Gothic"/>
          <w:kern w:val="22"/>
          <w:sz w:val="22"/>
          <w:szCs w:val="22"/>
          <w:lang w:val="en-GB"/>
        </w:rPr>
        <w:t>biodiversity framework.</w:t>
      </w:r>
    </w:p>
    <w:p w14:paraId="7D73FCCD" w14:textId="4F1D6573"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lastRenderedPageBreak/>
        <w:t xml:space="preserve">Furthermore, </w:t>
      </w:r>
      <w:r w:rsidR="00F33CFC" w:rsidRPr="00AC635C">
        <w:rPr>
          <w:rFonts w:eastAsia="Malgun Gothic"/>
          <w:kern w:val="22"/>
          <w:sz w:val="22"/>
          <w:szCs w:val="22"/>
          <w:lang w:val="en-GB"/>
        </w:rPr>
        <w:t>a</w:t>
      </w:r>
      <w:r w:rsidRPr="00AC635C">
        <w:rPr>
          <w:rFonts w:eastAsia="Malgun Gothic"/>
          <w:kern w:val="22"/>
          <w:sz w:val="22"/>
          <w:szCs w:val="22"/>
          <w:lang w:val="en-GB"/>
        </w:rPr>
        <w:t xml:space="preserve"> deadline </w:t>
      </w:r>
      <w:r w:rsidR="00F33CFC" w:rsidRPr="00AC635C">
        <w:rPr>
          <w:rFonts w:eastAsia="Malgun Gothic"/>
          <w:kern w:val="22"/>
          <w:sz w:val="22"/>
          <w:szCs w:val="22"/>
          <w:lang w:val="en-GB"/>
        </w:rPr>
        <w:t xml:space="preserve">in 2023 </w:t>
      </w:r>
      <w:r w:rsidRPr="00AC635C">
        <w:rPr>
          <w:rFonts w:eastAsia="Malgun Gothic"/>
          <w:kern w:val="22"/>
          <w:sz w:val="22"/>
          <w:szCs w:val="22"/>
          <w:lang w:val="en-GB"/>
        </w:rPr>
        <w:t xml:space="preserve">would </w:t>
      </w:r>
      <w:r w:rsidR="00C62644" w:rsidRPr="00AC635C">
        <w:rPr>
          <w:rFonts w:eastAsia="Malgun Gothic"/>
          <w:kern w:val="22"/>
          <w:sz w:val="22"/>
          <w:szCs w:val="22"/>
          <w:lang w:val="en-GB"/>
        </w:rPr>
        <w:t>align well with</w:t>
      </w:r>
      <w:r w:rsidRPr="00AC635C">
        <w:rPr>
          <w:rFonts w:eastAsia="Malgun Gothic"/>
          <w:kern w:val="22"/>
          <w:sz w:val="22"/>
          <w:szCs w:val="22"/>
          <w:lang w:val="en-GB"/>
        </w:rPr>
        <w:t xml:space="preserve"> the reporting cycle under the Convention and the Cartagena Protocol</w:t>
      </w:r>
      <w:r w:rsidR="00F33CFC" w:rsidRPr="00AC635C">
        <w:rPr>
          <w:rFonts w:eastAsia="Malgun Gothic"/>
          <w:kern w:val="22"/>
          <w:sz w:val="22"/>
          <w:szCs w:val="22"/>
          <w:lang w:val="en-GB"/>
        </w:rPr>
        <w:t>.</w:t>
      </w:r>
      <w:r w:rsidRPr="00AC635C">
        <w:rPr>
          <w:rFonts w:eastAsia="Malgun Gothic"/>
          <w:kern w:val="22"/>
          <w:sz w:val="22"/>
          <w:szCs w:val="22"/>
          <w:lang w:val="en-GB"/>
        </w:rPr>
        <w:t xml:space="preserve"> </w:t>
      </w:r>
      <w:r w:rsidR="00C62644" w:rsidRPr="00AC635C">
        <w:rPr>
          <w:rFonts w:eastAsia="Malgun Gothic"/>
          <w:kern w:val="22"/>
          <w:sz w:val="22"/>
          <w:szCs w:val="22"/>
          <w:lang w:val="en-GB"/>
        </w:rPr>
        <w:t>I</w:t>
      </w:r>
      <w:r w:rsidRPr="00AC635C">
        <w:rPr>
          <w:rFonts w:eastAsia="Malgun Gothic"/>
          <w:kern w:val="22"/>
          <w:sz w:val="22"/>
          <w:szCs w:val="22"/>
          <w:lang w:val="en-GB"/>
        </w:rPr>
        <w:t>t would</w:t>
      </w:r>
      <w:r w:rsidR="00C62644" w:rsidRPr="00AC635C">
        <w:rPr>
          <w:rFonts w:eastAsia="Malgun Gothic"/>
          <w:kern w:val="22"/>
          <w:sz w:val="22"/>
          <w:szCs w:val="22"/>
          <w:lang w:val="en-GB"/>
        </w:rPr>
        <w:t>, however,</w:t>
      </w:r>
      <w:r w:rsidRPr="00AC635C">
        <w:rPr>
          <w:rFonts w:eastAsia="Malgun Gothic"/>
          <w:kern w:val="22"/>
          <w:sz w:val="22"/>
          <w:szCs w:val="22"/>
          <w:lang w:val="en-GB"/>
        </w:rPr>
        <w:t xml:space="preserve"> represent a long gap from the 2017 interim national report on the Nagoya Protocol. If a deadline for the synchronized report </w:t>
      </w:r>
      <w:r w:rsidR="00C62644" w:rsidRPr="00AC635C">
        <w:rPr>
          <w:rFonts w:eastAsia="Malgun Gothic"/>
          <w:kern w:val="22"/>
          <w:sz w:val="22"/>
          <w:szCs w:val="22"/>
          <w:lang w:val="en-GB"/>
        </w:rPr>
        <w:t>of</w:t>
      </w:r>
      <w:r w:rsidRPr="00AC635C">
        <w:rPr>
          <w:rFonts w:eastAsia="Malgun Gothic"/>
          <w:kern w:val="22"/>
          <w:sz w:val="22"/>
          <w:szCs w:val="22"/>
          <w:lang w:val="en-GB"/>
        </w:rPr>
        <w:t xml:space="preserve"> 2023</w:t>
      </w:r>
      <w:r w:rsidR="00C62644" w:rsidRPr="00AC635C">
        <w:rPr>
          <w:rFonts w:eastAsia="Malgun Gothic"/>
          <w:kern w:val="22"/>
          <w:sz w:val="22"/>
          <w:szCs w:val="22"/>
          <w:lang w:val="en-GB"/>
        </w:rPr>
        <w:t xml:space="preserve"> </w:t>
      </w:r>
      <w:r w:rsidR="007430C9" w:rsidRPr="00AC635C">
        <w:rPr>
          <w:rFonts w:eastAsia="Malgun Gothic"/>
          <w:kern w:val="22"/>
          <w:sz w:val="22"/>
          <w:szCs w:val="22"/>
          <w:lang w:val="en-GB"/>
        </w:rPr>
        <w:t xml:space="preserve">were to be </w:t>
      </w:r>
      <w:r w:rsidR="00C62644" w:rsidRPr="00AC635C">
        <w:rPr>
          <w:rFonts w:eastAsia="Malgun Gothic"/>
          <w:kern w:val="22"/>
          <w:sz w:val="22"/>
          <w:szCs w:val="22"/>
          <w:lang w:val="en-GB"/>
        </w:rPr>
        <w:t>agreed by all three governing bodies</w:t>
      </w:r>
      <w:r w:rsidRPr="00AC635C">
        <w:rPr>
          <w:rFonts w:eastAsia="Malgun Gothic"/>
          <w:kern w:val="22"/>
          <w:sz w:val="22"/>
          <w:szCs w:val="22"/>
          <w:lang w:val="en-GB"/>
        </w:rPr>
        <w:t xml:space="preserve">, the Conference of the Parties serving as the meeting of the Parties to the Nagoya Protocol </w:t>
      </w:r>
      <w:r w:rsidR="00DC4871" w:rsidRPr="00AC635C">
        <w:rPr>
          <w:rFonts w:eastAsia="Malgun Gothic"/>
          <w:kern w:val="22"/>
          <w:sz w:val="22"/>
          <w:szCs w:val="22"/>
          <w:lang w:val="en-GB"/>
        </w:rPr>
        <w:t xml:space="preserve">at its third meeting </w:t>
      </w:r>
      <w:r w:rsidRPr="00AC635C">
        <w:rPr>
          <w:rFonts w:eastAsia="Malgun Gothic"/>
          <w:kern w:val="22"/>
          <w:sz w:val="22"/>
          <w:szCs w:val="22"/>
          <w:lang w:val="en-GB"/>
        </w:rPr>
        <w:t>m</w:t>
      </w:r>
      <w:r w:rsidR="00F33CFC" w:rsidRPr="00AC635C">
        <w:rPr>
          <w:rFonts w:eastAsia="Malgun Gothic"/>
          <w:kern w:val="22"/>
          <w:sz w:val="22"/>
          <w:szCs w:val="22"/>
          <w:lang w:val="en-GB"/>
        </w:rPr>
        <w:t>ight</w:t>
      </w:r>
      <w:r w:rsidRPr="00AC635C">
        <w:rPr>
          <w:rFonts w:eastAsia="Malgun Gothic"/>
          <w:kern w:val="22"/>
          <w:sz w:val="22"/>
          <w:szCs w:val="22"/>
          <w:lang w:val="en-GB"/>
        </w:rPr>
        <w:t xml:space="preserve"> wish to </w:t>
      </w:r>
      <w:r w:rsidR="00C62644" w:rsidRPr="00AC635C">
        <w:rPr>
          <w:rFonts w:eastAsia="Malgun Gothic"/>
          <w:kern w:val="22"/>
          <w:sz w:val="22"/>
          <w:szCs w:val="22"/>
          <w:lang w:val="en-GB"/>
        </w:rPr>
        <w:t xml:space="preserve">also </w:t>
      </w:r>
      <w:r w:rsidRPr="00AC635C">
        <w:rPr>
          <w:rFonts w:eastAsia="Malgun Gothic"/>
          <w:kern w:val="22"/>
          <w:sz w:val="22"/>
          <w:szCs w:val="22"/>
          <w:lang w:val="en-GB"/>
        </w:rPr>
        <w:t xml:space="preserve">consider possible ways of addressing this gap, including the possibility of inviting Parties to update the information provided in their interim national reports in 2019, as appropriate, and to request </w:t>
      </w:r>
      <w:r w:rsidR="0064653E" w:rsidRPr="00AC635C">
        <w:rPr>
          <w:rFonts w:eastAsia="Malgun Gothic"/>
          <w:kern w:val="22"/>
          <w:sz w:val="22"/>
          <w:szCs w:val="22"/>
          <w:lang w:val="en-GB"/>
        </w:rPr>
        <w:t xml:space="preserve">any new Parties (as well as any </w:t>
      </w:r>
      <w:r w:rsidRPr="00AC635C">
        <w:rPr>
          <w:rFonts w:eastAsia="Malgun Gothic"/>
          <w:kern w:val="22"/>
          <w:sz w:val="22"/>
          <w:szCs w:val="22"/>
          <w:lang w:val="en-GB"/>
        </w:rPr>
        <w:t xml:space="preserve">Parties that have not </w:t>
      </w:r>
      <w:r w:rsidR="0064653E" w:rsidRPr="00AC635C">
        <w:rPr>
          <w:rFonts w:eastAsia="Malgun Gothic"/>
          <w:kern w:val="22"/>
          <w:sz w:val="22"/>
          <w:szCs w:val="22"/>
          <w:lang w:val="en-GB"/>
        </w:rPr>
        <w:t xml:space="preserve">already </w:t>
      </w:r>
      <w:r w:rsidRPr="00AC635C">
        <w:rPr>
          <w:rFonts w:eastAsia="Malgun Gothic"/>
          <w:kern w:val="22"/>
          <w:sz w:val="22"/>
          <w:szCs w:val="22"/>
          <w:lang w:val="en-GB"/>
        </w:rPr>
        <w:t xml:space="preserve">submitted </w:t>
      </w:r>
      <w:r w:rsidR="0064653E" w:rsidRPr="00AC635C">
        <w:rPr>
          <w:rFonts w:eastAsia="Malgun Gothic"/>
          <w:kern w:val="22"/>
          <w:sz w:val="22"/>
          <w:szCs w:val="22"/>
          <w:lang w:val="en-GB"/>
        </w:rPr>
        <w:t xml:space="preserve">their </w:t>
      </w:r>
      <w:r w:rsidRPr="00AC635C">
        <w:rPr>
          <w:rFonts w:eastAsia="Malgun Gothic"/>
          <w:kern w:val="22"/>
          <w:sz w:val="22"/>
          <w:szCs w:val="22"/>
          <w:lang w:val="en-GB"/>
        </w:rPr>
        <w:t>interim national reports</w:t>
      </w:r>
      <w:r w:rsidR="0064653E" w:rsidRPr="00AC635C">
        <w:rPr>
          <w:rFonts w:eastAsia="Malgun Gothic"/>
          <w:kern w:val="22"/>
          <w:sz w:val="22"/>
          <w:szCs w:val="22"/>
          <w:lang w:val="en-GB"/>
        </w:rPr>
        <w:t xml:space="preserve">) </w:t>
      </w:r>
      <w:r w:rsidRPr="00AC635C">
        <w:rPr>
          <w:rFonts w:eastAsia="Malgun Gothic"/>
          <w:kern w:val="22"/>
          <w:sz w:val="22"/>
          <w:szCs w:val="22"/>
          <w:lang w:val="en-GB"/>
        </w:rPr>
        <w:t>to submit a national report by 2019.</w:t>
      </w:r>
      <w:r w:rsidR="00C62644" w:rsidRPr="00AC635C">
        <w:rPr>
          <w:rStyle w:val="FootnoteReference"/>
          <w:rFonts w:eastAsia="Malgun Gothic"/>
          <w:kern w:val="22"/>
          <w:sz w:val="22"/>
          <w:szCs w:val="22"/>
          <w:lang w:val="en-GB"/>
        </w:rPr>
        <w:footnoteReference w:id="4"/>
      </w:r>
    </w:p>
    <w:p w14:paraId="65B64D4A" w14:textId="44E1BEEB" w:rsidR="004F7E0D" w:rsidRPr="00AC635C" w:rsidRDefault="00DF49DA" w:rsidP="005C6B31">
      <w:pPr>
        <w:pStyle w:val="Para1"/>
        <w:keepNext/>
        <w:suppressLineNumbers/>
        <w:tabs>
          <w:tab w:val="num" w:pos="360"/>
        </w:tabs>
        <w:suppressAutoHyphens/>
        <w:kinsoku w:val="0"/>
        <w:overflowPunct w:val="0"/>
        <w:autoSpaceDE w:val="0"/>
        <w:autoSpaceDN w:val="0"/>
        <w:adjustRightInd w:val="0"/>
        <w:snapToGrid w:val="0"/>
        <w:spacing w:after="0"/>
        <w:jc w:val="center"/>
        <w:rPr>
          <w:rFonts w:eastAsia="Malgun Gothic"/>
          <w:b/>
          <w:bCs/>
          <w:iCs/>
          <w:kern w:val="22"/>
          <w:sz w:val="22"/>
          <w:szCs w:val="22"/>
          <w:lang w:val="en-GB"/>
        </w:rPr>
      </w:pPr>
      <w:r w:rsidRPr="00AC635C">
        <w:rPr>
          <w:b/>
          <w:bCs/>
          <w:iCs/>
          <w:kern w:val="22"/>
          <w:sz w:val="22"/>
          <w:szCs w:val="22"/>
          <w:lang w:val="en-GB"/>
        </w:rPr>
        <w:t>B.</w:t>
      </w:r>
      <w:r w:rsidRPr="00AC635C">
        <w:rPr>
          <w:b/>
          <w:bCs/>
          <w:iCs/>
          <w:kern w:val="22"/>
          <w:sz w:val="22"/>
          <w:szCs w:val="22"/>
          <w:lang w:val="en-GB"/>
        </w:rPr>
        <w:tab/>
      </w:r>
      <w:r w:rsidR="004F7E0D" w:rsidRPr="00AC635C">
        <w:rPr>
          <w:b/>
          <w:bCs/>
          <w:iCs/>
          <w:kern w:val="22"/>
          <w:sz w:val="22"/>
          <w:szCs w:val="22"/>
          <w:lang w:val="en-GB"/>
        </w:rPr>
        <w:t>Common approach to the format</w:t>
      </w:r>
    </w:p>
    <w:p w14:paraId="1DC003CD" w14:textId="4CC3676A" w:rsidR="004F7E0D" w:rsidRPr="00AC635C" w:rsidRDefault="004F7E0D"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formats for the national reports </w:t>
      </w:r>
      <w:r w:rsidR="005A7E84" w:rsidRPr="00AC635C">
        <w:rPr>
          <w:rFonts w:eastAsia="Malgun Gothic"/>
          <w:kern w:val="22"/>
          <w:sz w:val="22"/>
          <w:szCs w:val="22"/>
          <w:lang w:val="en-GB"/>
        </w:rPr>
        <w:t xml:space="preserve">under </w:t>
      </w:r>
      <w:r w:rsidRPr="00AC635C">
        <w:rPr>
          <w:rFonts w:eastAsia="Malgun Gothic"/>
          <w:kern w:val="22"/>
          <w:sz w:val="22"/>
          <w:szCs w:val="22"/>
          <w:lang w:val="en-GB"/>
        </w:rPr>
        <w:t xml:space="preserve">the Convention and the Protocols need to be designed in such a way </w:t>
      </w:r>
      <w:r w:rsidR="005A7E84" w:rsidRPr="00AC635C">
        <w:rPr>
          <w:rFonts w:eastAsia="Malgun Gothic"/>
          <w:kern w:val="22"/>
          <w:sz w:val="22"/>
          <w:szCs w:val="22"/>
          <w:lang w:val="en-GB"/>
        </w:rPr>
        <w:t>as to</w:t>
      </w:r>
      <w:r w:rsidRPr="00AC635C">
        <w:rPr>
          <w:rFonts w:eastAsia="Malgun Gothic"/>
          <w:kern w:val="22"/>
          <w:sz w:val="22"/>
          <w:szCs w:val="22"/>
          <w:lang w:val="en-GB"/>
        </w:rPr>
        <w:t xml:space="preserve"> facilitate the transmission of information and its analysis according to the requirements of the respective instrument at the </w:t>
      </w:r>
      <w:proofErr w:type="gramStart"/>
      <w:r w:rsidRPr="00AC635C">
        <w:rPr>
          <w:rFonts w:eastAsia="Malgun Gothic"/>
          <w:kern w:val="22"/>
          <w:sz w:val="22"/>
          <w:szCs w:val="22"/>
          <w:lang w:val="en-GB"/>
        </w:rPr>
        <w:t>particular time</w:t>
      </w:r>
      <w:proofErr w:type="gramEnd"/>
      <w:r w:rsidRPr="00AC635C">
        <w:rPr>
          <w:rFonts w:eastAsia="Malgun Gothic"/>
          <w:kern w:val="22"/>
          <w:sz w:val="22"/>
          <w:szCs w:val="22"/>
          <w:lang w:val="en-GB"/>
        </w:rPr>
        <w:t xml:space="preserve">. </w:t>
      </w:r>
      <w:r w:rsidR="00892ADE" w:rsidRPr="00AC635C">
        <w:rPr>
          <w:rFonts w:eastAsia="Malgun Gothic"/>
          <w:kern w:val="22"/>
          <w:sz w:val="22"/>
          <w:szCs w:val="22"/>
          <w:lang w:val="en-GB"/>
        </w:rPr>
        <w:t xml:space="preserve">Largely </w:t>
      </w:r>
      <w:proofErr w:type="gramStart"/>
      <w:r w:rsidR="00892ADE" w:rsidRPr="00AC635C">
        <w:rPr>
          <w:rFonts w:eastAsia="Malgun Gothic"/>
          <w:kern w:val="22"/>
          <w:sz w:val="22"/>
          <w:szCs w:val="22"/>
          <w:lang w:val="en-GB"/>
        </w:rPr>
        <w:t>as a result of</w:t>
      </w:r>
      <w:proofErr w:type="gramEnd"/>
      <w:r w:rsidR="00892ADE" w:rsidRPr="00AC635C">
        <w:rPr>
          <w:rFonts w:eastAsia="Malgun Gothic"/>
          <w:kern w:val="22"/>
          <w:sz w:val="22"/>
          <w:szCs w:val="22"/>
          <w:lang w:val="en-GB"/>
        </w:rPr>
        <w:t xml:space="preserve"> this, the formats under the Convention and the Cartagena Protocol have evolved over time. Among other things, </w:t>
      </w:r>
      <w:r w:rsidRPr="00AC635C">
        <w:rPr>
          <w:rFonts w:eastAsia="Malgun Gothic"/>
          <w:kern w:val="22"/>
          <w:sz w:val="22"/>
          <w:szCs w:val="22"/>
          <w:lang w:val="en-GB"/>
        </w:rPr>
        <w:t>this has had implications for the use of automated analytical tools and the ability to aggregate information across individual reports.</w:t>
      </w:r>
    </w:p>
    <w:p w14:paraId="6A5E82DF" w14:textId="75E249A8" w:rsidR="004F7E0D" w:rsidRPr="00AC635C" w:rsidRDefault="00D45A36"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Consideration of</w:t>
      </w:r>
      <w:r w:rsidR="004F7E0D" w:rsidRPr="00AC635C">
        <w:rPr>
          <w:rFonts w:eastAsia="Malgun Gothic"/>
          <w:kern w:val="22"/>
          <w:sz w:val="22"/>
          <w:szCs w:val="22"/>
          <w:lang w:val="en-GB"/>
        </w:rPr>
        <w:t xml:space="preserve"> common approaches to the reporting formats might focus on:</w:t>
      </w:r>
    </w:p>
    <w:p w14:paraId="46CF9614" w14:textId="5886B17B" w:rsidR="004F7E0D" w:rsidRPr="00AC635C"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rFonts w:eastAsia="Malgun Gothic"/>
          <w:kern w:val="22"/>
          <w:sz w:val="22"/>
          <w:szCs w:val="22"/>
          <w:lang w:val="en-GB"/>
        </w:rPr>
        <w:t xml:space="preserve">Favouring questions with binary, numerical, multiple-choice or otherwise quantifiable responses to facilitate the analysis of disaggregated data (for example, by gender, geographic region, </w:t>
      </w:r>
      <w:r w:rsidR="009F0177" w:rsidRPr="00AC635C">
        <w:rPr>
          <w:rFonts w:eastAsia="Malgun Gothic"/>
          <w:kern w:val="22"/>
          <w:sz w:val="22"/>
          <w:szCs w:val="22"/>
          <w:lang w:val="en-GB"/>
        </w:rPr>
        <w:t>or</w:t>
      </w:r>
      <w:r w:rsidR="00CC0929" w:rsidRPr="00AC635C">
        <w:rPr>
          <w:rFonts w:eastAsia="Malgun Gothic"/>
          <w:kern w:val="22"/>
          <w:sz w:val="22"/>
          <w:szCs w:val="22"/>
          <w:lang w:val="en-GB"/>
        </w:rPr>
        <w:t xml:space="preserve"> </w:t>
      </w:r>
      <w:r w:rsidRPr="00AC635C">
        <w:rPr>
          <w:rFonts w:eastAsia="Malgun Gothic"/>
          <w:kern w:val="22"/>
          <w:sz w:val="22"/>
          <w:szCs w:val="22"/>
          <w:lang w:val="en-GB"/>
        </w:rPr>
        <w:t>economic integration area), identification of trends over time, and the use of graphic tools to display results;</w:t>
      </w:r>
    </w:p>
    <w:p w14:paraId="24BD5AC7" w14:textId="77777777" w:rsidR="004F7E0D" w:rsidRPr="00AC635C"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rFonts w:eastAsia="Malgun Gothic"/>
          <w:kern w:val="22"/>
          <w:sz w:val="22"/>
          <w:szCs w:val="22"/>
          <w:lang w:val="en-GB"/>
        </w:rPr>
        <w:t>Providing appropriate space for entries in narrative format which can contextualize the quantitative information;</w:t>
      </w:r>
    </w:p>
    <w:p w14:paraId="0F505226" w14:textId="77777777" w:rsidR="004F7E0D" w:rsidRPr="00AC635C"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rFonts w:eastAsia="Malgun Gothic"/>
          <w:kern w:val="22"/>
          <w:sz w:val="22"/>
          <w:szCs w:val="22"/>
          <w:lang w:val="en-GB"/>
        </w:rPr>
        <w:t>Pre-filling fields with the latest information available elsewhere in the clearing-house</w:t>
      </w:r>
      <w:r w:rsidR="00955E58" w:rsidRPr="00AC635C">
        <w:rPr>
          <w:rFonts w:eastAsia="Malgun Gothic"/>
          <w:kern w:val="22"/>
          <w:sz w:val="22"/>
          <w:szCs w:val="22"/>
          <w:lang w:val="en-GB"/>
        </w:rPr>
        <w:t xml:space="preserve"> mechanisms</w:t>
      </w:r>
      <w:r w:rsidRPr="00AC635C">
        <w:rPr>
          <w:rFonts w:eastAsia="Malgun Gothic"/>
          <w:kern w:val="22"/>
          <w:sz w:val="22"/>
          <w:szCs w:val="22"/>
          <w:lang w:val="en-GB"/>
        </w:rPr>
        <w:t xml:space="preserve"> of the Convention and its Protocols and/or with information provided in previous reports, as appropriate, and allowing the users to verify or revise such entries;</w:t>
      </w:r>
    </w:p>
    <w:p w14:paraId="176C24B8" w14:textId="1D2B9561" w:rsidR="00892ADE" w:rsidRPr="00AC635C" w:rsidRDefault="004F7E0D"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rFonts w:eastAsia="Malgun Gothic"/>
          <w:kern w:val="22"/>
          <w:sz w:val="22"/>
          <w:szCs w:val="22"/>
          <w:lang w:val="en-GB"/>
        </w:rPr>
        <w:t xml:space="preserve">Favouring the use of cross-references </w:t>
      </w:r>
      <w:r w:rsidR="00600CEB" w:rsidRPr="00AC635C">
        <w:rPr>
          <w:rFonts w:eastAsia="Malgun Gothic"/>
          <w:kern w:val="22"/>
          <w:sz w:val="22"/>
          <w:szCs w:val="22"/>
          <w:lang w:val="en-GB"/>
        </w:rPr>
        <w:t xml:space="preserve">— </w:t>
      </w:r>
      <w:r w:rsidRPr="00AC635C">
        <w:rPr>
          <w:rFonts w:eastAsia="Malgun Gothic"/>
          <w:kern w:val="22"/>
          <w:sz w:val="22"/>
          <w:szCs w:val="22"/>
          <w:lang w:val="en-GB"/>
        </w:rPr>
        <w:t>through</w:t>
      </w:r>
      <w:r w:rsidR="00600CEB" w:rsidRPr="00AC635C">
        <w:rPr>
          <w:rFonts w:eastAsia="Malgun Gothic"/>
          <w:kern w:val="22"/>
          <w:sz w:val="22"/>
          <w:szCs w:val="22"/>
          <w:lang w:val="en-GB"/>
        </w:rPr>
        <w:t>, among other things,</w:t>
      </w:r>
      <w:r w:rsidRPr="00AC635C">
        <w:rPr>
          <w:rFonts w:eastAsia="Malgun Gothic"/>
          <w:kern w:val="22"/>
          <w:sz w:val="22"/>
          <w:szCs w:val="22"/>
          <w:lang w:val="en-GB"/>
        </w:rPr>
        <w:t xml:space="preserve"> hyperlinks and document uploading</w:t>
      </w:r>
      <w:r w:rsidR="00600CEB" w:rsidRPr="00AC635C">
        <w:rPr>
          <w:rFonts w:eastAsia="Malgun Gothic"/>
          <w:kern w:val="22"/>
          <w:sz w:val="22"/>
          <w:szCs w:val="22"/>
          <w:lang w:val="en-GB"/>
        </w:rPr>
        <w:t xml:space="preserve"> —</w:t>
      </w:r>
      <w:r w:rsidRPr="00AC635C">
        <w:rPr>
          <w:rFonts w:eastAsia="Malgun Gothic"/>
          <w:kern w:val="22"/>
          <w:sz w:val="22"/>
          <w:szCs w:val="22"/>
          <w:lang w:val="en-GB"/>
        </w:rPr>
        <w:t xml:space="preserve"> to relevant information stored elsewhere</w:t>
      </w:r>
      <w:r w:rsidR="00600CEB" w:rsidRPr="00AC635C">
        <w:rPr>
          <w:rFonts w:eastAsia="Malgun Gothic"/>
          <w:kern w:val="22"/>
          <w:sz w:val="22"/>
          <w:szCs w:val="22"/>
          <w:lang w:val="en-GB"/>
        </w:rPr>
        <w:t>,</w:t>
      </w:r>
      <w:r w:rsidRPr="00AC635C">
        <w:rPr>
          <w:rFonts w:eastAsia="Malgun Gothic"/>
          <w:kern w:val="22"/>
          <w:sz w:val="22"/>
          <w:szCs w:val="22"/>
          <w:lang w:val="en-GB"/>
        </w:rPr>
        <w:t xml:space="preserve"> such as national websites, publications and reports su</w:t>
      </w:r>
      <w:r w:rsidR="00DF6971" w:rsidRPr="00AC635C">
        <w:rPr>
          <w:rFonts w:eastAsia="Malgun Gothic"/>
          <w:kern w:val="22"/>
          <w:sz w:val="22"/>
          <w:szCs w:val="22"/>
          <w:lang w:val="en-GB"/>
        </w:rPr>
        <w:t>bmitted under other instruments</w:t>
      </w:r>
      <w:r w:rsidR="00892ADE" w:rsidRPr="00AC635C">
        <w:rPr>
          <w:rFonts w:eastAsia="Malgun Gothic"/>
          <w:kern w:val="22"/>
          <w:sz w:val="22"/>
          <w:szCs w:val="22"/>
          <w:lang w:val="en-GB"/>
        </w:rPr>
        <w:t>;</w:t>
      </w:r>
    </w:p>
    <w:p w14:paraId="2AC96111" w14:textId="2C0E5FE3" w:rsidR="002E4C98" w:rsidRPr="00AC635C" w:rsidRDefault="00892ADE" w:rsidP="005C6B31">
      <w:pPr>
        <w:pStyle w:val="Para1"/>
        <w:numPr>
          <w:ilvl w:val="0"/>
          <w:numId w:val="18"/>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rFonts w:eastAsia="Malgun Gothic"/>
          <w:kern w:val="22"/>
          <w:sz w:val="22"/>
          <w:szCs w:val="22"/>
          <w:lang w:val="en-GB"/>
        </w:rPr>
        <w:t xml:space="preserve">Coordinated questions across the convention and its protocols relating to implementation of the post-2020 global biodiversity framework, recognizing that this is expected to address the Convention and its </w:t>
      </w:r>
      <w:r w:rsidR="004E3DD2" w:rsidRPr="00AC635C">
        <w:rPr>
          <w:rFonts w:eastAsia="Malgun Gothic"/>
          <w:kern w:val="22"/>
          <w:sz w:val="22"/>
          <w:szCs w:val="22"/>
          <w:lang w:val="en-GB"/>
        </w:rPr>
        <w:t>P</w:t>
      </w:r>
      <w:r w:rsidRPr="00AC635C">
        <w:rPr>
          <w:rFonts w:eastAsia="Malgun Gothic"/>
          <w:kern w:val="22"/>
          <w:sz w:val="22"/>
          <w:szCs w:val="22"/>
          <w:lang w:val="en-GB"/>
        </w:rPr>
        <w:t>rotocols.</w:t>
      </w:r>
    </w:p>
    <w:p w14:paraId="0A9D81D3" w14:textId="04CF3B64" w:rsidR="002E4C98" w:rsidRPr="00AC635C" w:rsidRDefault="002E4C9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At the same time</w:t>
      </w:r>
      <w:r w:rsidR="00D90137" w:rsidRPr="00AC635C">
        <w:rPr>
          <w:rFonts w:eastAsia="Malgun Gothic"/>
          <w:kern w:val="22"/>
          <w:sz w:val="22"/>
          <w:szCs w:val="22"/>
          <w:lang w:val="en-GB"/>
        </w:rPr>
        <w:t>,</w:t>
      </w:r>
      <w:r w:rsidRPr="00AC635C">
        <w:rPr>
          <w:rFonts w:eastAsia="Malgun Gothic"/>
          <w:kern w:val="22"/>
          <w:sz w:val="22"/>
          <w:szCs w:val="22"/>
          <w:lang w:val="en-GB"/>
        </w:rPr>
        <w:t xml:space="preserve"> it may be noted that the </w:t>
      </w:r>
      <w:r w:rsidR="00085303" w:rsidRPr="00AC635C">
        <w:rPr>
          <w:rFonts w:eastAsia="Malgun Gothic"/>
          <w:kern w:val="22"/>
          <w:sz w:val="22"/>
          <w:szCs w:val="22"/>
          <w:lang w:val="en-GB"/>
        </w:rPr>
        <w:t>P</w:t>
      </w:r>
      <w:r w:rsidRPr="00AC635C">
        <w:rPr>
          <w:rFonts w:eastAsia="Malgun Gothic"/>
          <w:kern w:val="22"/>
          <w:sz w:val="22"/>
          <w:szCs w:val="22"/>
          <w:lang w:val="en-GB"/>
        </w:rPr>
        <w:t>rotocols, in contrast to the Convention, include provisions with specific procedural obligations, and that</w:t>
      </w:r>
      <w:r w:rsidR="00EE0840" w:rsidRPr="00AC635C">
        <w:rPr>
          <w:rFonts w:eastAsia="Malgun Gothic"/>
          <w:kern w:val="22"/>
          <w:sz w:val="22"/>
          <w:szCs w:val="22"/>
          <w:lang w:val="en-GB"/>
        </w:rPr>
        <w:t>,</w:t>
      </w:r>
      <w:r w:rsidRPr="00AC635C">
        <w:rPr>
          <w:rFonts w:eastAsia="Malgun Gothic"/>
          <w:kern w:val="22"/>
          <w:sz w:val="22"/>
          <w:szCs w:val="22"/>
          <w:lang w:val="en-GB"/>
        </w:rPr>
        <w:t xml:space="preserve"> </w:t>
      </w:r>
      <w:r w:rsidR="00BA26DD" w:rsidRPr="00AC635C">
        <w:rPr>
          <w:rFonts w:eastAsia="Malgun Gothic"/>
          <w:kern w:val="22"/>
          <w:sz w:val="22"/>
          <w:szCs w:val="22"/>
          <w:lang w:val="en-GB"/>
        </w:rPr>
        <w:t>for this reason</w:t>
      </w:r>
      <w:r w:rsidR="00EE0840" w:rsidRPr="00AC635C">
        <w:rPr>
          <w:rFonts w:eastAsia="Malgun Gothic"/>
          <w:kern w:val="22"/>
          <w:sz w:val="22"/>
          <w:szCs w:val="22"/>
          <w:lang w:val="en-GB"/>
        </w:rPr>
        <w:t>,</w:t>
      </w:r>
      <w:r w:rsidRPr="00AC635C">
        <w:rPr>
          <w:rFonts w:eastAsia="Malgun Gothic"/>
          <w:kern w:val="22"/>
          <w:sz w:val="22"/>
          <w:szCs w:val="22"/>
          <w:lang w:val="en-GB"/>
        </w:rPr>
        <w:t xml:space="preserve"> some differences in the reporting formats will need to be maintained.</w:t>
      </w:r>
    </w:p>
    <w:p w14:paraId="578A3B6A" w14:textId="37FA4037" w:rsidR="002E4C98" w:rsidRPr="00AC635C" w:rsidRDefault="005E37F7" w:rsidP="005C6B31">
      <w:pPr>
        <w:pStyle w:val="Para1"/>
        <w:keepNext/>
        <w:suppressLineNumbers/>
        <w:tabs>
          <w:tab w:val="left" w:pos="360"/>
        </w:tabs>
        <w:suppressAutoHyphens/>
        <w:kinsoku w:val="0"/>
        <w:overflowPunct w:val="0"/>
        <w:autoSpaceDE w:val="0"/>
        <w:autoSpaceDN w:val="0"/>
        <w:adjustRightInd w:val="0"/>
        <w:snapToGrid w:val="0"/>
        <w:spacing w:after="0"/>
        <w:jc w:val="center"/>
        <w:rPr>
          <w:rFonts w:eastAsia="Malgun Gothic"/>
          <w:b/>
          <w:bCs/>
          <w:iCs/>
          <w:kern w:val="22"/>
          <w:sz w:val="22"/>
          <w:szCs w:val="22"/>
          <w:lang w:val="en-GB"/>
        </w:rPr>
      </w:pPr>
      <w:r w:rsidRPr="00AC635C">
        <w:rPr>
          <w:b/>
          <w:bCs/>
          <w:iCs/>
          <w:kern w:val="22"/>
          <w:sz w:val="22"/>
          <w:szCs w:val="22"/>
          <w:lang w:val="en-GB"/>
        </w:rPr>
        <w:t>C.</w:t>
      </w:r>
      <w:r w:rsidRPr="00AC635C">
        <w:rPr>
          <w:b/>
          <w:bCs/>
          <w:iCs/>
          <w:kern w:val="22"/>
          <w:sz w:val="22"/>
          <w:szCs w:val="22"/>
          <w:lang w:val="en-GB"/>
        </w:rPr>
        <w:tab/>
      </w:r>
      <w:r w:rsidR="002E4C98" w:rsidRPr="00AC635C">
        <w:rPr>
          <w:b/>
          <w:bCs/>
          <w:iCs/>
          <w:kern w:val="22"/>
          <w:sz w:val="22"/>
          <w:szCs w:val="22"/>
          <w:lang w:val="en-GB"/>
        </w:rPr>
        <w:t>Gradual integration of the reporting facilities</w:t>
      </w:r>
    </w:p>
    <w:p w14:paraId="6D164173" w14:textId="3C08D16F"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w:t>
      </w:r>
      <w:r w:rsidR="00D90137" w:rsidRPr="00AC635C">
        <w:rPr>
          <w:rFonts w:eastAsia="Malgun Gothic"/>
          <w:kern w:val="22"/>
          <w:sz w:val="22"/>
          <w:szCs w:val="22"/>
          <w:lang w:val="en-GB"/>
        </w:rPr>
        <w:t>c</w:t>
      </w:r>
      <w:r w:rsidRPr="00AC635C">
        <w:rPr>
          <w:rFonts w:eastAsia="Malgun Gothic"/>
          <w:kern w:val="22"/>
          <w:sz w:val="22"/>
          <w:szCs w:val="22"/>
          <w:lang w:val="en-GB"/>
        </w:rPr>
        <w:t xml:space="preserve">learing-house </w:t>
      </w:r>
      <w:r w:rsidR="00D90137" w:rsidRPr="00AC635C">
        <w:rPr>
          <w:rFonts w:eastAsia="Malgun Gothic"/>
          <w:kern w:val="22"/>
          <w:sz w:val="22"/>
          <w:szCs w:val="22"/>
          <w:lang w:val="en-GB"/>
        </w:rPr>
        <w:t>m</w:t>
      </w:r>
      <w:r w:rsidRPr="00AC635C">
        <w:rPr>
          <w:rFonts w:eastAsia="Malgun Gothic"/>
          <w:kern w:val="22"/>
          <w:sz w:val="22"/>
          <w:szCs w:val="22"/>
          <w:lang w:val="en-GB"/>
        </w:rPr>
        <w:t xml:space="preserve">echanism of the Convention, the Biosafety Clearing-House and the </w:t>
      </w:r>
      <w:r w:rsidR="00D90137" w:rsidRPr="00AC635C">
        <w:rPr>
          <w:rFonts w:eastAsia="Malgun Gothic"/>
          <w:kern w:val="22"/>
          <w:sz w:val="22"/>
          <w:szCs w:val="22"/>
          <w:lang w:val="en-GB"/>
        </w:rPr>
        <w:t xml:space="preserve">Access and </w:t>
      </w:r>
      <w:r w:rsidRPr="00AC635C">
        <w:rPr>
          <w:rFonts w:eastAsia="Malgun Gothic"/>
          <w:kern w:val="22"/>
          <w:sz w:val="22"/>
          <w:szCs w:val="22"/>
          <w:lang w:val="en-GB"/>
        </w:rPr>
        <w:t>B</w:t>
      </w:r>
      <w:r w:rsidR="00D90137" w:rsidRPr="00AC635C">
        <w:rPr>
          <w:rFonts w:eastAsia="Malgun Gothic"/>
          <w:kern w:val="22"/>
          <w:sz w:val="22"/>
          <w:szCs w:val="22"/>
          <w:lang w:val="en-GB"/>
        </w:rPr>
        <w:t>enefit-sharing</w:t>
      </w:r>
      <w:r w:rsidRPr="00AC635C">
        <w:rPr>
          <w:rFonts w:eastAsia="Malgun Gothic"/>
          <w:kern w:val="22"/>
          <w:sz w:val="22"/>
          <w:szCs w:val="22"/>
          <w:lang w:val="en-GB"/>
        </w:rPr>
        <w:t xml:space="preserve"> Clearing-House represent essential tools for technical and scientific cooperation </w:t>
      </w:r>
      <w:r w:rsidR="00892ADE" w:rsidRPr="00AC635C">
        <w:rPr>
          <w:rFonts w:eastAsia="Malgun Gothic"/>
          <w:kern w:val="22"/>
          <w:sz w:val="22"/>
          <w:szCs w:val="22"/>
          <w:lang w:val="en-GB"/>
        </w:rPr>
        <w:t xml:space="preserve">and </w:t>
      </w:r>
      <w:r w:rsidRPr="00AC635C">
        <w:rPr>
          <w:rFonts w:eastAsia="Malgun Gothic"/>
          <w:kern w:val="22"/>
          <w:sz w:val="22"/>
          <w:szCs w:val="22"/>
          <w:lang w:val="en-GB"/>
        </w:rPr>
        <w:t>the exchange of information a</w:t>
      </w:r>
      <w:r w:rsidR="00892ADE" w:rsidRPr="00AC635C">
        <w:rPr>
          <w:rFonts w:eastAsia="Malgun Gothic"/>
          <w:kern w:val="22"/>
          <w:sz w:val="22"/>
          <w:szCs w:val="22"/>
          <w:lang w:val="en-GB"/>
        </w:rPr>
        <w:t>s well as</w:t>
      </w:r>
      <w:r w:rsidRPr="00AC635C">
        <w:rPr>
          <w:rFonts w:eastAsia="Malgun Gothic"/>
          <w:kern w:val="22"/>
          <w:sz w:val="22"/>
          <w:szCs w:val="22"/>
          <w:lang w:val="en-GB"/>
        </w:rPr>
        <w:t xml:space="preserve"> enabl</w:t>
      </w:r>
      <w:r w:rsidR="008C46C9" w:rsidRPr="00AC635C">
        <w:rPr>
          <w:rFonts w:eastAsia="Malgun Gothic"/>
          <w:kern w:val="22"/>
          <w:sz w:val="22"/>
          <w:szCs w:val="22"/>
          <w:lang w:val="en-GB"/>
        </w:rPr>
        <w:t>ing</w:t>
      </w:r>
      <w:r w:rsidRPr="00AC635C">
        <w:rPr>
          <w:rFonts w:eastAsia="Malgun Gothic"/>
          <w:kern w:val="22"/>
          <w:sz w:val="22"/>
          <w:szCs w:val="22"/>
          <w:lang w:val="en-GB"/>
        </w:rPr>
        <w:t xml:space="preserve"> the review of </w:t>
      </w:r>
      <w:r w:rsidR="008C46C9" w:rsidRPr="00AC635C">
        <w:rPr>
          <w:rFonts w:eastAsia="Malgun Gothic"/>
          <w:kern w:val="22"/>
          <w:sz w:val="22"/>
          <w:szCs w:val="22"/>
          <w:lang w:val="en-GB"/>
        </w:rPr>
        <w:t xml:space="preserve">the </w:t>
      </w:r>
      <w:r w:rsidR="002D10A7" w:rsidRPr="00AC635C">
        <w:rPr>
          <w:rFonts w:eastAsia="Malgun Gothic"/>
          <w:kern w:val="22"/>
          <w:sz w:val="22"/>
          <w:szCs w:val="22"/>
          <w:lang w:val="en-GB"/>
        </w:rPr>
        <w:t>implementation of the Convention</w:t>
      </w:r>
      <w:r w:rsidR="008473FB" w:rsidRPr="00AC635C">
        <w:rPr>
          <w:rFonts w:eastAsia="Malgun Gothic"/>
          <w:kern w:val="22"/>
          <w:sz w:val="22"/>
          <w:szCs w:val="22"/>
          <w:lang w:val="en-GB"/>
        </w:rPr>
        <w:t xml:space="preserve"> and its Protocols, </w:t>
      </w:r>
      <w:r w:rsidR="00D90137" w:rsidRPr="00AC635C">
        <w:rPr>
          <w:rFonts w:eastAsia="Malgun Gothic"/>
          <w:kern w:val="22"/>
          <w:sz w:val="22"/>
          <w:szCs w:val="22"/>
          <w:lang w:val="en-GB"/>
        </w:rPr>
        <w:t>and</w:t>
      </w:r>
      <w:r w:rsidR="002D10A7" w:rsidRPr="00AC635C">
        <w:rPr>
          <w:rFonts w:eastAsia="Malgun Gothic"/>
          <w:kern w:val="22"/>
          <w:sz w:val="22"/>
          <w:szCs w:val="22"/>
          <w:lang w:val="en-GB"/>
        </w:rPr>
        <w:t xml:space="preserve"> </w:t>
      </w:r>
      <w:r w:rsidRPr="00AC635C">
        <w:rPr>
          <w:rFonts w:eastAsia="Malgun Gothic"/>
          <w:kern w:val="22"/>
          <w:sz w:val="22"/>
          <w:szCs w:val="22"/>
          <w:lang w:val="en-GB"/>
        </w:rPr>
        <w:t xml:space="preserve">compliance </w:t>
      </w:r>
      <w:r w:rsidR="00ED11C9" w:rsidRPr="00AC635C">
        <w:rPr>
          <w:rFonts w:eastAsia="Malgun Gothic"/>
          <w:kern w:val="22"/>
          <w:sz w:val="22"/>
          <w:szCs w:val="22"/>
          <w:lang w:val="en-GB"/>
        </w:rPr>
        <w:t xml:space="preserve">with obligations </w:t>
      </w:r>
      <w:r w:rsidRPr="00AC635C">
        <w:rPr>
          <w:rFonts w:eastAsia="Malgun Gothic"/>
          <w:kern w:val="22"/>
          <w:sz w:val="22"/>
          <w:szCs w:val="22"/>
          <w:lang w:val="en-GB"/>
        </w:rPr>
        <w:t xml:space="preserve">under the Protocols. Significant efforts </w:t>
      </w:r>
      <w:r w:rsidR="00892ADE" w:rsidRPr="00AC635C">
        <w:rPr>
          <w:rFonts w:eastAsia="Malgun Gothic"/>
          <w:kern w:val="22"/>
          <w:sz w:val="22"/>
          <w:szCs w:val="22"/>
          <w:lang w:val="en-GB"/>
        </w:rPr>
        <w:t xml:space="preserve">are being undertaken to </w:t>
      </w:r>
      <w:r w:rsidRPr="00AC635C">
        <w:rPr>
          <w:rFonts w:eastAsia="Malgun Gothic"/>
          <w:kern w:val="22"/>
          <w:sz w:val="22"/>
          <w:szCs w:val="22"/>
          <w:lang w:val="en-GB"/>
        </w:rPr>
        <w:t xml:space="preserve">develop a common infrastructure for the three </w:t>
      </w:r>
      <w:r w:rsidRPr="00AC635C">
        <w:rPr>
          <w:kern w:val="22"/>
          <w:sz w:val="22"/>
          <w:szCs w:val="22"/>
          <w:lang w:val="en-GB"/>
        </w:rPr>
        <w:t>clearing-houses</w:t>
      </w:r>
      <w:r w:rsidR="00FB3C00" w:rsidRPr="00AC635C">
        <w:rPr>
          <w:kern w:val="22"/>
          <w:sz w:val="22"/>
          <w:szCs w:val="22"/>
          <w:lang w:val="en-GB"/>
        </w:rPr>
        <w:t xml:space="preserve"> as part of </w:t>
      </w:r>
      <w:r w:rsidR="0020144B" w:rsidRPr="00AC635C">
        <w:rPr>
          <w:kern w:val="22"/>
          <w:sz w:val="22"/>
          <w:szCs w:val="22"/>
          <w:lang w:val="en-GB"/>
        </w:rPr>
        <w:t xml:space="preserve">the </w:t>
      </w:r>
      <w:r w:rsidR="00FB3C00" w:rsidRPr="00AC635C">
        <w:rPr>
          <w:kern w:val="22"/>
          <w:sz w:val="22"/>
          <w:szCs w:val="22"/>
          <w:lang w:val="en-GB"/>
        </w:rPr>
        <w:t xml:space="preserve">implementation of the web strategy for the Convention and its Protocols in line with the </w:t>
      </w:r>
      <w:r w:rsidR="00EF3A68" w:rsidRPr="00AC635C">
        <w:rPr>
          <w:kern w:val="22"/>
          <w:sz w:val="22"/>
          <w:szCs w:val="22"/>
          <w:lang w:val="en-GB"/>
        </w:rPr>
        <w:t>f</w:t>
      </w:r>
      <w:r w:rsidR="00FB3C00" w:rsidRPr="00AC635C">
        <w:rPr>
          <w:kern w:val="22"/>
          <w:sz w:val="22"/>
          <w:szCs w:val="22"/>
          <w:lang w:val="en-GB"/>
        </w:rPr>
        <w:t xml:space="preserve">ramework for a </w:t>
      </w:r>
      <w:r w:rsidR="00EF3A68" w:rsidRPr="00AC635C">
        <w:rPr>
          <w:kern w:val="22"/>
          <w:sz w:val="22"/>
          <w:szCs w:val="22"/>
          <w:lang w:val="en-GB"/>
        </w:rPr>
        <w:t>c</w:t>
      </w:r>
      <w:r w:rsidR="00FB3C00" w:rsidRPr="00AC635C">
        <w:rPr>
          <w:kern w:val="22"/>
          <w:sz w:val="22"/>
          <w:szCs w:val="22"/>
          <w:lang w:val="en-GB"/>
        </w:rPr>
        <w:t xml:space="preserve">ommunications </w:t>
      </w:r>
      <w:r w:rsidR="00EF3A68" w:rsidRPr="00AC635C">
        <w:rPr>
          <w:kern w:val="22"/>
          <w:sz w:val="22"/>
          <w:szCs w:val="22"/>
          <w:lang w:val="en-GB"/>
        </w:rPr>
        <w:t>s</w:t>
      </w:r>
      <w:r w:rsidR="00FB3C00" w:rsidRPr="00AC635C">
        <w:rPr>
          <w:kern w:val="22"/>
          <w:sz w:val="22"/>
          <w:szCs w:val="22"/>
          <w:lang w:val="en-GB"/>
        </w:rPr>
        <w:t>trategy, as requested in paragraph 15(</w:t>
      </w:r>
      <w:proofErr w:type="spellStart"/>
      <w:r w:rsidR="00FB3C00" w:rsidRPr="00AC635C">
        <w:rPr>
          <w:kern w:val="22"/>
          <w:sz w:val="22"/>
          <w:szCs w:val="22"/>
          <w:lang w:val="en-GB"/>
        </w:rPr>
        <w:t>i</w:t>
      </w:r>
      <w:proofErr w:type="spellEnd"/>
      <w:r w:rsidR="00FB3C00" w:rsidRPr="00AC635C">
        <w:rPr>
          <w:kern w:val="22"/>
          <w:sz w:val="22"/>
          <w:szCs w:val="22"/>
          <w:lang w:val="en-GB"/>
        </w:rPr>
        <w:t xml:space="preserve">) of decision </w:t>
      </w:r>
      <w:hyperlink r:id="rId22" w:history="1">
        <w:r w:rsidR="00FB3C00" w:rsidRPr="00AC635C">
          <w:rPr>
            <w:rStyle w:val="Hyperlink"/>
            <w:kern w:val="22"/>
            <w:sz w:val="22"/>
            <w:szCs w:val="22"/>
            <w:lang w:val="en-GB"/>
          </w:rPr>
          <w:t>XIII/23</w:t>
        </w:r>
      </w:hyperlink>
      <w:r w:rsidRPr="00AC635C">
        <w:rPr>
          <w:kern w:val="22"/>
          <w:sz w:val="22"/>
          <w:szCs w:val="22"/>
          <w:lang w:val="en-GB"/>
        </w:rPr>
        <w:t>.</w:t>
      </w:r>
    </w:p>
    <w:p w14:paraId="09D9C0DB" w14:textId="52BBA5D5" w:rsidR="0064653E"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lastRenderedPageBreak/>
        <w:t>The online reporting tools for the sixth national report under the Convention, the financial reporting framework</w:t>
      </w:r>
      <w:r w:rsidR="00FB3C00" w:rsidRPr="00AC635C">
        <w:rPr>
          <w:rFonts w:eastAsia="Malgun Gothic"/>
          <w:kern w:val="22"/>
          <w:sz w:val="22"/>
          <w:szCs w:val="22"/>
          <w:lang w:val="en-GB"/>
        </w:rPr>
        <w:t xml:space="preserve">, and the interim report on the implementation of the Nagoya Protocol are </w:t>
      </w:r>
      <w:r w:rsidR="002E4C98" w:rsidRPr="00AC635C">
        <w:rPr>
          <w:rFonts w:eastAsia="Malgun Gothic"/>
          <w:kern w:val="22"/>
          <w:sz w:val="22"/>
          <w:szCs w:val="22"/>
          <w:lang w:val="en-GB"/>
        </w:rPr>
        <w:t xml:space="preserve">already </w:t>
      </w:r>
      <w:r w:rsidR="00FB3C00" w:rsidRPr="00AC635C">
        <w:rPr>
          <w:rFonts w:eastAsia="Malgun Gothic"/>
          <w:kern w:val="22"/>
          <w:sz w:val="22"/>
          <w:szCs w:val="22"/>
          <w:lang w:val="en-GB"/>
        </w:rPr>
        <w:t>part</w:t>
      </w:r>
      <w:r w:rsidR="00170EB3" w:rsidRPr="00AC635C">
        <w:rPr>
          <w:rFonts w:eastAsia="Malgun Gothic"/>
          <w:kern w:val="22"/>
          <w:sz w:val="22"/>
          <w:szCs w:val="22"/>
          <w:lang w:val="en-GB"/>
        </w:rPr>
        <w:t>s</w:t>
      </w:r>
      <w:r w:rsidR="00FB3C00" w:rsidRPr="00AC635C">
        <w:rPr>
          <w:rFonts w:eastAsia="Malgun Gothic"/>
          <w:kern w:val="22"/>
          <w:sz w:val="22"/>
          <w:szCs w:val="22"/>
          <w:lang w:val="en-GB"/>
        </w:rPr>
        <w:t xml:space="preserve"> of the </w:t>
      </w:r>
      <w:r w:rsidR="00170EB3" w:rsidRPr="00AC635C">
        <w:rPr>
          <w:rFonts w:eastAsia="Malgun Gothic"/>
          <w:kern w:val="22"/>
          <w:sz w:val="22"/>
          <w:szCs w:val="22"/>
          <w:lang w:val="en-GB"/>
        </w:rPr>
        <w:t>clearing-house mechanism’s i</w:t>
      </w:r>
      <w:r w:rsidR="00FB3C00" w:rsidRPr="00AC635C">
        <w:rPr>
          <w:rFonts w:eastAsia="Malgun Gothic"/>
          <w:kern w:val="22"/>
          <w:sz w:val="22"/>
          <w:szCs w:val="22"/>
          <w:lang w:val="en-GB"/>
        </w:rPr>
        <w:t xml:space="preserve">nformation </w:t>
      </w:r>
      <w:r w:rsidR="00170EB3" w:rsidRPr="00AC635C">
        <w:rPr>
          <w:rFonts w:eastAsia="Malgun Gothic"/>
          <w:kern w:val="22"/>
          <w:sz w:val="22"/>
          <w:szCs w:val="22"/>
          <w:lang w:val="en-GB"/>
        </w:rPr>
        <w:t>s</w:t>
      </w:r>
      <w:r w:rsidR="00FB3C00" w:rsidRPr="00AC635C">
        <w:rPr>
          <w:rFonts w:eastAsia="Malgun Gothic"/>
          <w:kern w:val="22"/>
          <w:sz w:val="22"/>
          <w:szCs w:val="22"/>
          <w:lang w:val="en-GB"/>
        </w:rPr>
        <w:t xml:space="preserve">ubmission </w:t>
      </w:r>
      <w:r w:rsidR="00170EB3" w:rsidRPr="00AC635C">
        <w:rPr>
          <w:rFonts w:eastAsia="Malgun Gothic"/>
          <w:kern w:val="22"/>
          <w:sz w:val="22"/>
          <w:szCs w:val="22"/>
          <w:lang w:val="en-GB"/>
        </w:rPr>
        <w:t>s</w:t>
      </w:r>
      <w:r w:rsidR="00FB3C00" w:rsidRPr="00AC635C">
        <w:rPr>
          <w:rFonts w:eastAsia="Malgun Gothic"/>
          <w:kern w:val="22"/>
          <w:sz w:val="22"/>
          <w:szCs w:val="22"/>
          <w:lang w:val="en-GB"/>
        </w:rPr>
        <w:t xml:space="preserve">ervice that use the new infrastructure, while other parts of the </w:t>
      </w:r>
      <w:r w:rsidR="00170EB3" w:rsidRPr="00AC635C">
        <w:rPr>
          <w:rFonts w:eastAsia="Malgun Gothic"/>
          <w:kern w:val="22"/>
          <w:sz w:val="22"/>
          <w:szCs w:val="22"/>
          <w:lang w:val="en-GB"/>
        </w:rPr>
        <w:t>clearing-house mechanism</w:t>
      </w:r>
      <w:r w:rsidR="00FB3C00" w:rsidRPr="00AC635C">
        <w:rPr>
          <w:rFonts w:eastAsia="Malgun Gothic"/>
          <w:kern w:val="22"/>
          <w:sz w:val="22"/>
          <w:szCs w:val="22"/>
          <w:lang w:val="en-GB"/>
        </w:rPr>
        <w:t xml:space="preserve">, the </w:t>
      </w:r>
      <w:hyperlink r:id="rId23" w:history="1">
        <w:r w:rsidR="00FA391C" w:rsidRPr="00AC635C">
          <w:rPr>
            <w:rStyle w:val="Hyperlink"/>
            <w:rFonts w:eastAsia="Malgun Gothic"/>
            <w:kern w:val="22"/>
            <w:sz w:val="22"/>
            <w:szCs w:val="22"/>
            <w:lang w:val="en-GB"/>
          </w:rPr>
          <w:t xml:space="preserve">Convention’s </w:t>
        </w:r>
        <w:r w:rsidR="00FB3C00" w:rsidRPr="00AC635C">
          <w:rPr>
            <w:rStyle w:val="Hyperlink"/>
            <w:rFonts w:eastAsia="Malgun Gothic"/>
            <w:sz w:val="22"/>
            <w:szCs w:val="22"/>
            <w:lang w:val="en-GB"/>
          </w:rPr>
          <w:t>website</w:t>
        </w:r>
      </w:hyperlink>
      <w:r w:rsidR="00FB3C00" w:rsidRPr="00AC635C">
        <w:rPr>
          <w:rFonts w:eastAsia="Malgun Gothic"/>
          <w:kern w:val="22"/>
          <w:sz w:val="22"/>
          <w:szCs w:val="22"/>
          <w:lang w:val="en-GB"/>
        </w:rPr>
        <w:t xml:space="preserve"> and the entire Biosafety Clearing-House are gradually being migrated</w:t>
      </w:r>
      <w:r w:rsidR="002E4C98" w:rsidRPr="00AC635C">
        <w:rPr>
          <w:rFonts w:eastAsia="Malgun Gothic"/>
          <w:kern w:val="22"/>
          <w:sz w:val="22"/>
          <w:szCs w:val="22"/>
          <w:lang w:val="en-GB"/>
        </w:rPr>
        <w:t xml:space="preserve"> to this new infrastructure</w:t>
      </w:r>
      <w:r w:rsidR="00FB3C00" w:rsidRPr="00AC635C">
        <w:rPr>
          <w:rFonts w:eastAsia="Malgun Gothic"/>
          <w:kern w:val="22"/>
          <w:sz w:val="22"/>
          <w:szCs w:val="22"/>
          <w:lang w:val="en-GB"/>
        </w:rPr>
        <w:t>. Technical details, including on common portal accounts, design and access are available in the updated web strategy</w:t>
      </w:r>
      <w:r w:rsidR="00FB3C00" w:rsidRPr="00AC635C">
        <w:rPr>
          <w:rStyle w:val="FootnoteReference"/>
          <w:rFonts w:eastAsia="Malgun Gothic"/>
          <w:kern w:val="22"/>
          <w:sz w:val="22"/>
          <w:szCs w:val="22"/>
          <w:lang w:val="en-GB"/>
        </w:rPr>
        <w:footnoteReference w:id="5"/>
      </w:r>
      <w:r w:rsidR="00FB3C00" w:rsidRPr="00AC635C">
        <w:rPr>
          <w:rFonts w:eastAsia="Malgun Gothic"/>
          <w:kern w:val="22"/>
          <w:sz w:val="22"/>
          <w:szCs w:val="22"/>
          <w:lang w:val="en-GB"/>
        </w:rPr>
        <w:t xml:space="preserve"> requested in paragraph 15(j) of decision XIII/23</w:t>
      </w:r>
      <w:r w:rsidR="00892ADE" w:rsidRPr="00AC635C">
        <w:rPr>
          <w:rFonts w:eastAsia="Malgun Gothic"/>
          <w:kern w:val="22"/>
          <w:sz w:val="22"/>
          <w:szCs w:val="22"/>
          <w:lang w:val="en-GB"/>
        </w:rPr>
        <w:t xml:space="preserve"> and supporting technical documentation on its implementation</w:t>
      </w:r>
      <w:r w:rsidR="00FB3C00" w:rsidRPr="00AC635C">
        <w:rPr>
          <w:rFonts w:eastAsia="Malgun Gothic"/>
          <w:kern w:val="22"/>
          <w:sz w:val="22"/>
          <w:szCs w:val="22"/>
          <w:lang w:val="en-GB"/>
        </w:rPr>
        <w:t>.</w:t>
      </w:r>
    </w:p>
    <w:p w14:paraId="01C85094" w14:textId="03D5BF37" w:rsidR="004F7E0D" w:rsidRPr="00AC635C" w:rsidRDefault="0064653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Efforts are being pursued to apply the most advanced and appropriate analytical tools across all instruments and to display information in ways that are more user-friendly, interactive and suitable for communication across </w:t>
      </w:r>
      <w:r w:rsidR="00E45D21" w:rsidRPr="00AC635C">
        <w:rPr>
          <w:rFonts w:eastAsia="Malgun Gothic"/>
          <w:kern w:val="22"/>
          <w:sz w:val="22"/>
          <w:szCs w:val="22"/>
          <w:lang w:val="en-GB"/>
        </w:rPr>
        <w:t xml:space="preserve">the </w:t>
      </w:r>
      <w:r w:rsidRPr="00AC635C">
        <w:rPr>
          <w:rFonts w:eastAsia="Malgun Gothic"/>
          <w:kern w:val="22"/>
          <w:sz w:val="22"/>
          <w:szCs w:val="22"/>
          <w:lang w:val="en-GB"/>
        </w:rPr>
        <w:t>various web</w:t>
      </w:r>
      <w:r w:rsidR="00E45D21" w:rsidRPr="00AC635C">
        <w:rPr>
          <w:rFonts w:eastAsia="Malgun Gothic"/>
          <w:kern w:val="22"/>
          <w:sz w:val="22"/>
          <w:szCs w:val="22"/>
          <w:lang w:val="en-GB"/>
        </w:rPr>
        <w:t xml:space="preserve"> pages</w:t>
      </w:r>
      <w:r w:rsidRPr="00AC635C">
        <w:rPr>
          <w:rFonts w:eastAsia="Malgun Gothic"/>
          <w:kern w:val="22"/>
          <w:sz w:val="22"/>
          <w:szCs w:val="22"/>
          <w:lang w:val="en-GB"/>
        </w:rPr>
        <w:t xml:space="preserve"> of the Convention and its Protocols as well as other relevant web pages and portals. To date, a</w:t>
      </w:r>
      <w:r w:rsidR="004F7E0D" w:rsidRPr="00AC635C">
        <w:rPr>
          <w:rFonts w:eastAsia="Malgun Gothic"/>
          <w:kern w:val="22"/>
          <w:sz w:val="22"/>
          <w:szCs w:val="22"/>
          <w:lang w:val="en-GB"/>
        </w:rPr>
        <w:t>s part of this integration:</w:t>
      </w:r>
    </w:p>
    <w:p w14:paraId="7CC7E806" w14:textId="5E06239F" w:rsidR="004F7E0D" w:rsidRPr="00AC635C" w:rsidRDefault="004F7E0D" w:rsidP="005C6B31">
      <w:pPr>
        <w:pStyle w:val="Para1"/>
        <w:numPr>
          <w:ilvl w:val="0"/>
          <w:numId w:val="19"/>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rFonts w:eastAsia="Malgun Gothic"/>
          <w:kern w:val="22"/>
          <w:sz w:val="22"/>
          <w:szCs w:val="22"/>
          <w:lang w:val="en-GB"/>
        </w:rPr>
        <w:t xml:space="preserve">The </w:t>
      </w:r>
      <w:r w:rsidR="004C37A4" w:rsidRPr="00AC635C">
        <w:rPr>
          <w:rFonts w:eastAsia="Malgun Gothic"/>
          <w:kern w:val="22"/>
          <w:sz w:val="22"/>
          <w:szCs w:val="22"/>
          <w:lang w:val="en-GB"/>
        </w:rPr>
        <w:t xml:space="preserve">Biosafety Clearing-House and </w:t>
      </w:r>
      <w:r w:rsidRPr="00AC635C">
        <w:rPr>
          <w:rFonts w:eastAsia="Malgun Gothic"/>
          <w:kern w:val="22"/>
          <w:sz w:val="22"/>
          <w:szCs w:val="22"/>
          <w:lang w:val="en-GB"/>
        </w:rPr>
        <w:t>ABS Clearing-</w:t>
      </w:r>
      <w:r w:rsidR="00F907C5" w:rsidRPr="00AC635C">
        <w:rPr>
          <w:rFonts w:eastAsia="Malgun Gothic"/>
          <w:kern w:val="22"/>
          <w:sz w:val="22"/>
          <w:szCs w:val="22"/>
          <w:lang w:val="en-GB"/>
        </w:rPr>
        <w:t>H</w:t>
      </w:r>
      <w:r w:rsidRPr="00AC635C">
        <w:rPr>
          <w:rFonts w:eastAsia="Malgun Gothic"/>
          <w:kern w:val="22"/>
          <w:sz w:val="22"/>
          <w:szCs w:val="22"/>
          <w:lang w:val="en-GB"/>
        </w:rPr>
        <w:t xml:space="preserve">ouse offer </w:t>
      </w:r>
      <w:r w:rsidR="00F907C5" w:rsidRPr="00AC635C">
        <w:rPr>
          <w:rFonts w:eastAsia="Malgun Gothic"/>
          <w:kern w:val="22"/>
          <w:sz w:val="22"/>
          <w:szCs w:val="22"/>
          <w:lang w:val="en-GB"/>
        </w:rPr>
        <w:t xml:space="preserve">a </w:t>
      </w:r>
      <w:r w:rsidRPr="00AC635C">
        <w:rPr>
          <w:rFonts w:eastAsia="Malgun Gothic"/>
          <w:kern w:val="22"/>
          <w:sz w:val="22"/>
          <w:szCs w:val="22"/>
          <w:lang w:val="en-GB"/>
        </w:rPr>
        <w:t>report analyser</w:t>
      </w:r>
      <w:r w:rsidR="00F907C5" w:rsidRPr="00AC635C">
        <w:rPr>
          <w:rFonts w:eastAsia="Malgun Gothic"/>
          <w:kern w:val="22"/>
          <w:sz w:val="22"/>
          <w:szCs w:val="22"/>
          <w:lang w:val="en-GB"/>
        </w:rPr>
        <w:t xml:space="preserve"> tool which</w:t>
      </w:r>
      <w:r w:rsidRPr="00AC635C">
        <w:rPr>
          <w:rFonts w:eastAsia="Malgun Gothic"/>
          <w:kern w:val="22"/>
          <w:sz w:val="22"/>
          <w:szCs w:val="22"/>
          <w:lang w:val="en-GB"/>
        </w:rPr>
        <w:t xml:space="preserve"> allows users to select sections or questions of interest, compare results by region or country and visualize the number of responses and averages. </w:t>
      </w:r>
      <w:r w:rsidR="004C37A4" w:rsidRPr="00AC635C">
        <w:rPr>
          <w:rFonts w:eastAsia="Malgun Gothic"/>
          <w:kern w:val="22"/>
          <w:sz w:val="22"/>
          <w:szCs w:val="22"/>
          <w:lang w:val="en-GB"/>
        </w:rPr>
        <w:t xml:space="preserve">The analyser </w:t>
      </w:r>
      <w:r w:rsidR="007B4F64" w:rsidRPr="00AC635C">
        <w:rPr>
          <w:rFonts w:eastAsia="Malgun Gothic"/>
          <w:kern w:val="22"/>
          <w:sz w:val="22"/>
          <w:szCs w:val="22"/>
          <w:lang w:val="en-GB"/>
        </w:rPr>
        <w:t>was</w:t>
      </w:r>
      <w:r w:rsidR="004C37A4" w:rsidRPr="00AC635C">
        <w:rPr>
          <w:rFonts w:eastAsia="Malgun Gothic"/>
          <w:kern w:val="22"/>
          <w:sz w:val="22"/>
          <w:szCs w:val="22"/>
          <w:lang w:val="en-GB"/>
        </w:rPr>
        <w:t xml:space="preserve"> used in the third assessment and review of the Cartagena Protocol to compare information between the latest national reports against baseline information submitted four years prior. </w:t>
      </w:r>
      <w:r w:rsidRPr="00AC635C">
        <w:rPr>
          <w:rFonts w:eastAsia="Malgun Gothic"/>
          <w:kern w:val="22"/>
          <w:sz w:val="22"/>
          <w:szCs w:val="22"/>
          <w:lang w:val="en-GB"/>
        </w:rPr>
        <w:t xml:space="preserve">The analyser will also allow </w:t>
      </w:r>
      <w:r w:rsidR="0064653E" w:rsidRPr="00AC635C">
        <w:rPr>
          <w:rFonts w:eastAsia="Malgun Gothic"/>
          <w:kern w:val="22"/>
          <w:sz w:val="22"/>
          <w:szCs w:val="22"/>
          <w:lang w:val="en-GB"/>
        </w:rPr>
        <w:t xml:space="preserve">future national reports on the implementation of the Nagoya Protocol </w:t>
      </w:r>
      <w:r w:rsidRPr="00AC635C">
        <w:rPr>
          <w:rFonts w:eastAsia="Malgun Gothic"/>
          <w:kern w:val="22"/>
          <w:sz w:val="22"/>
          <w:szCs w:val="22"/>
          <w:lang w:val="en-GB"/>
        </w:rPr>
        <w:t xml:space="preserve">to be compared </w:t>
      </w:r>
      <w:r w:rsidR="008B01B6" w:rsidRPr="00AC635C">
        <w:rPr>
          <w:rFonts w:eastAsia="Malgun Gothic"/>
          <w:kern w:val="22"/>
          <w:sz w:val="22"/>
          <w:szCs w:val="22"/>
          <w:lang w:val="en-GB"/>
        </w:rPr>
        <w:t xml:space="preserve">with </w:t>
      </w:r>
      <w:r w:rsidR="0064653E" w:rsidRPr="00AC635C">
        <w:rPr>
          <w:rFonts w:eastAsia="Malgun Gothic"/>
          <w:kern w:val="22"/>
          <w:sz w:val="22"/>
          <w:szCs w:val="22"/>
          <w:lang w:val="en-GB"/>
        </w:rPr>
        <w:t xml:space="preserve">the interim national report </w:t>
      </w:r>
      <w:proofErr w:type="gramStart"/>
      <w:r w:rsidRPr="00AC635C">
        <w:rPr>
          <w:rFonts w:eastAsia="Malgun Gothic"/>
          <w:kern w:val="22"/>
          <w:sz w:val="22"/>
          <w:szCs w:val="22"/>
          <w:lang w:val="en-GB"/>
        </w:rPr>
        <w:t>in order to</w:t>
      </w:r>
      <w:proofErr w:type="gramEnd"/>
      <w:r w:rsidRPr="00AC635C">
        <w:rPr>
          <w:rFonts w:eastAsia="Malgun Gothic"/>
          <w:kern w:val="22"/>
          <w:sz w:val="22"/>
          <w:szCs w:val="22"/>
          <w:lang w:val="en-GB"/>
        </w:rPr>
        <w:t xml:space="preserve"> gauge and visualize progress. The analyser tool </w:t>
      </w:r>
      <w:r w:rsidR="0000456C" w:rsidRPr="00AC635C">
        <w:rPr>
          <w:rFonts w:eastAsia="Malgun Gothic"/>
          <w:kern w:val="22"/>
          <w:sz w:val="22"/>
          <w:szCs w:val="22"/>
          <w:lang w:val="en-GB"/>
        </w:rPr>
        <w:t xml:space="preserve">can </w:t>
      </w:r>
      <w:r w:rsidRPr="00AC635C">
        <w:rPr>
          <w:rFonts w:eastAsia="Malgun Gothic"/>
          <w:kern w:val="22"/>
          <w:sz w:val="22"/>
          <w:szCs w:val="22"/>
          <w:lang w:val="en-GB"/>
        </w:rPr>
        <w:t>be applied to information that is provided in binary, numerical, multiple-choice or otherwise quantifiable formats across all reporting processes under the Convention</w:t>
      </w:r>
      <w:r w:rsidR="00725536" w:rsidRPr="00AC635C">
        <w:rPr>
          <w:rFonts w:eastAsia="Malgun Gothic"/>
          <w:kern w:val="22"/>
          <w:sz w:val="22"/>
          <w:szCs w:val="22"/>
          <w:lang w:val="en-GB"/>
        </w:rPr>
        <w:t>;</w:t>
      </w:r>
    </w:p>
    <w:p w14:paraId="1C1D191B" w14:textId="77777777" w:rsidR="004F7E0D" w:rsidRPr="00AC635C" w:rsidRDefault="004F7E0D" w:rsidP="005C6B31">
      <w:pPr>
        <w:pStyle w:val="Para1"/>
        <w:numPr>
          <w:ilvl w:val="0"/>
          <w:numId w:val="19"/>
        </w:numPr>
        <w:suppressLineNumbers/>
        <w:suppressAutoHyphens/>
        <w:kinsoku w:val="0"/>
        <w:overflowPunct w:val="0"/>
        <w:autoSpaceDE w:val="0"/>
        <w:autoSpaceDN w:val="0"/>
        <w:adjustRightInd w:val="0"/>
        <w:snapToGrid w:val="0"/>
        <w:ind w:left="0" w:firstLine="720"/>
        <w:jc w:val="both"/>
        <w:rPr>
          <w:rFonts w:eastAsia="Malgun Gothic"/>
          <w:kern w:val="22"/>
          <w:sz w:val="22"/>
          <w:szCs w:val="22"/>
          <w:lang w:val="en-GB"/>
        </w:rPr>
      </w:pPr>
      <w:r w:rsidRPr="00AC635C">
        <w:rPr>
          <w:rFonts w:eastAsia="Malgun Gothic"/>
          <w:kern w:val="22"/>
          <w:sz w:val="22"/>
          <w:szCs w:val="22"/>
          <w:lang w:val="en-GB"/>
        </w:rPr>
        <w:t>Geographic display of information has been implemented for the financial reporting framework and for the sixth national report under the Convention.</w:t>
      </w:r>
    </w:p>
    <w:p w14:paraId="2358F302" w14:textId="2C916640" w:rsidR="002E4C98"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process of integrating reporting facilities is continuous and gradual. Ultimately, it aims to offer seamless access to all information facilities related to the reporting processes under the Convention and its Protocols and to provide operational consistency for the submission, retrieval, analysis and communication of information derived from national reports. </w:t>
      </w:r>
      <w:r w:rsidR="00892ADE" w:rsidRPr="00AC635C">
        <w:rPr>
          <w:rFonts w:eastAsia="Malgun Gothic"/>
          <w:kern w:val="22"/>
          <w:sz w:val="22"/>
          <w:szCs w:val="22"/>
          <w:lang w:val="en-GB"/>
        </w:rPr>
        <w:t>At the same time</w:t>
      </w:r>
      <w:r w:rsidR="00725536" w:rsidRPr="00AC635C">
        <w:rPr>
          <w:rFonts w:eastAsia="Malgun Gothic"/>
          <w:kern w:val="22"/>
          <w:sz w:val="22"/>
          <w:szCs w:val="22"/>
          <w:lang w:val="en-GB"/>
        </w:rPr>
        <w:t>,</w:t>
      </w:r>
      <w:r w:rsidR="00892ADE" w:rsidRPr="00AC635C">
        <w:rPr>
          <w:rFonts w:eastAsia="Malgun Gothic"/>
          <w:kern w:val="22"/>
          <w:sz w:val="22"/>
          <w:szCs w:val="22"/>
          <w:lang w:val="en-GB"/>
        </w:rPr>
        <w:t xml:space="preserve"> it will provide a consistent approach to restricting access while reports and/or submissions are in development and ongoing confidentiality where this is necessary.</w:t>
      </w:r>
      <w:r w:rsidR="00955E58" w:rsidRPr="00AC635C">
        <w:rPr>
          <w:rFonts w:eastAsia="Malgun Gothic"/>
          <w:kern w:val="22"/>
          <w:sz w:val="22"/>
          <w:szCs w:val="22"/>
          <w:lang w:val="en-GB"/>
        </w:rPr>
        <w:t xml:space="preserve"> Consideration will also be given to integrating the decision-tracking tool</w:t>
      </w:r>
      <w:r w:rsidR="00955E58" w:rsidRPr="00AC635C">
        <w:rPr>
          <w:rStyle w:val="FootnoteReference"/>
          <w:rFonts w:eastAsia="Malgun Gothic"/>
          <w:kern w:val="22"/>
          <w:sz w:val="22"/>
          <w:szCs w:val="22"/>
          <w:lang w:val="en-GB"/>
        </w:rPr>
        <w:footnoteReference w:id="6"/>
      </w:r>
      <w:r w:rsidR="00955E58" w:rsidRPr="00AC635C">
        <w:rPr>
          <w:rFonts w:eastAsia="Malgun Gothic"/>
          <w:kern w:val="22"/>
          <w:sz w:val="22"/>
          <w:szCs w:val="22"/>
          <w:lang w:val="en-GB"/>
        </w:rPr>
        <w:t xml:space="preserve"> with reporting facilities.</w:t>
      </w:r>
    </w:p>
    <w:p w14:paraId="266F512B" w14:textId="77777777" w:rsidR="00440AE2" w:rsidRPr="00AC635C" w:rsidRDefault="00440AE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To align the guidance provided by the Informal Advisory Committees for each Clearing-House</w:t>
      </w:r>
      <w:r w:rsidR="00E7180A" w:rsidRPr="00AC635C">
        <w:rPr>
          <w:rFonts w:eastAsia="Malgun Gothic"/>
          <w:kern w:val="22"/>
          <w:sz w:val="22"/>
          <w:szCs w:val="22"/>
          <w:lang w:val="en-GB"/>
        </w:rPr>
        <w:t>,</w:t>
      </w:r>
      <w:r w:rsidRPr="00AC635C">
        <w:rPr>
          <w:rFonts w:eastAsia="Malgun Gothic"/>
          <w:kern w:val="22"/>
          <w:sz w:val="22"/>
          <w:szCs w:val="22"/>
          <w:lang w:val="en-GB"/>
        </w:rPr>
        <w:t xml:space="preserve"> draft joint modalities of operation are being considered under item 10 of the agenda</w:t>
      </w:r>
      <w:r w:rsidR="0064653E" w:rsidRPr="00AC635C">
        <w:rPr>
          <w:rFonts w:eastAsia="Malgun Gothic"/>
          <w:kern w:val="22"/>
          <w:sz w:val="22"/>
          <w:szCs w:val="22"/>
          <w:lang w:val="en-GB"/>
        </w:rPr>
        <w:t xml:space="preserve"> of the Subsidiary Body on Implementation</w:t>
      </w:r>
      <w:r w:rsidRPr="00AC635C">
        <w:rPr>
          <w:rFonts w:eastAsia="Malgun Gothic"/>
          <w:kern w:val="22"/>
          <w:sz w:val="22"/>
          <w:szCs w:val="22"/>
          <w:lang w:val="en-GB"/>
        </w:rPr>
        <w:t xml:space="preserve">. </w:t>
      </w:r>
      <w:r w:rsidR="00B93197" w:rsidRPr="00AC635C">
        <w:rPr>
          <w:rFonts w:eastAsia="Malgun Gothic"/>
          <w:kern w:val="22"/>
          <w:sz w:val="22"/>
          <w:szCs w:val="22"/>
          <w:lang w:val="en-GB"/>
        </w:rPr>
        <w:t>Meanwhile steps have already been taken to increase interaction between the Informal Advisory Committees, including through joint sessions.</w:t>
      </w:r>
    </w:p>
    <w:p w14:paraId="1789B65D" w14:textId="1BE708EE" w:rsidR="004F7E0D" w:rsidRPr="00AC635C" w:rsidRDefault="00904B72" w:rsidP="005C6B31">
      <w:pPr>
        <w:keepNext/>
        <w:suppressLineNumbers/>
        <w:tabs>
          <w:tab w:val="left" w:pos="360"/>
        </w:tabs>
        <w:suppressAutoHyphens/>
        <w:kinsoku w:val="0"/>
        <w:overflowPunct w:val="0"/>
        <w:autoSpaceDE w:val="0"/>
        <w:autoSpaceDN w:val="0"/>
        <w:adjustRightInd w:val="0"/>
        <w:snapToGrid w:val="0"/>
        <w:jc w:val="center"/>
        <w:rPr>
          <w:b/>
          <w:bCs/>
          <w:iCs/>
          <w:snapToGrid w:val="0"/>
          <w:kern w:val="22"/>
          <w:sz w:val="22"/>
          <w:szCs w:val="22"/>
          <w:lang w:val="en-GB"/>
        </w:rPr>
      </w:pPr>
      <w:r w:rsidRPr="00AC635C">
        <w:rPr>
          <w:b/>
          <w:bCs/>
          <w:iCs/>
          <w:snapToGrid w:val="0"/>
          <w:kern w:val="22"/>
          <w:sz w:val="22"/>
          <w:szCs w:val="22"/>
          <w:lang w:val="en-GB"/>
        </w:rPr>
        <w:t>D.</w:t>
      </w:r>
      <w:r w:rsidRPr="00AC635C">
        <w:rPr>
          <w:b/>
          <w:bCs/>
          <w:iCs/>
          <w:snapToGrid w:val="0"/>
          <w:kern w:val="22"/>
          <w:sz w:val="22"/>
          <w:szCs w:val="22"/>
          <w:lang w:val="en-GB"/>
        </w:rPr>
        <w:tab/>
      </w:r>
      <w:r w:rsidR="004F7E0D" w:rsidRPr="00AC635C">
        <w:rPr>
          <w:b/>
          <w:bCs/>
          <w:iCs/>
          <w:snapToGrid w:val="0"/>
          <w:kern w:val="22"/>
          <w:sz w:val="22"/>
          <w:szCs w:val="22"/>
          <w:lang w:val="en-GB"/>
        </w:rPr>
        <w:t>Cross-linkages between future strategic plans of the Convention and its Protocols</w:t>
      </w:r>
    </w:p>
    <w:p w14:paraId="1925DC2A" w14:textId="378D7EAF" w:rsidR="001B407E"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Strategic Plan for Biodiversity 2011-2020 and the Strategic Plan for the Cartagena Protocol on Biosafety for the period 2011-2020 (decision </w:t>
      </w:r>
      <w:hyperlink r:id="rId24" w:history="1">
        <w:r w:rsidRPr="00AC635C">
          <w:rPr>
            <w:rStyle w:val="Hyperlink"/>
            <w:rFonts w:eastAsia="Malgun Gothic"/>
            <w:kern w:val="22"/>
            <w:sz w:val="22"/>
            <w:szCs w:val="22"/>
            <w:lang w:val="en-GB"/>
          </w:rPr>
          <w:t>BS-V/16</w:t>
        </w:r>
      </w:hyperlink>
      <w:r w:rsidRPr="00AC635C">
        <w:rPr>
          <w:rFonts w:eastAsia="Malgun Gothic"/>
          <w:kern w:val="22"/>
          <w:sz w:val="22"/>
          <w:szCs w:val="22"/>
          <w:lang w:val="en-GB"/>
        </w:rPr>
        <w:t>) will expire at the end of the decade. Considerations on the process for the follow-up to the Strategic Plan for Biodiversity are being discussed under agenda item 16</w:t>
      </w:r>
      <w:r w:rsidR="00B93197" w:rsidRPr="00AC635C">
        <w:rPr>
          <w:rFonts w:eastAsia="Malgun Gothic"/>
          <w:kern w:val="22"/>
          <w:sz w:val="22"/>
          <w:szCs w:val="22"/>
          <w:lang w:val="en-GB"/>
        </w:rPr>
        <w:t xml:space="preserve">, </w:t>
      </w:r>
      <w:r w:rsidR="00D4725C" w:rsidRPr="00AC635C">
        <w:rPr>
          <w:rFonts w:eastAsia="Malgun Gothic"/>
          <w:kern w:val="22"/>
          <w:sz w:val="22"/>
          <w:szCs w:val="22"/>
          <w:lang w:val="en-GB"/>
        </w:rPr>
        <w:t xml:space="preserve">and it should be noted </w:t>
      </w:r>
      <w:r w:rsidR="00B93197" w:rsidRPr="00AC635C">
        <w:rPr>
          <w:rFonts w:eastAsia="Malgun Gothic"/>
          <w:kern w:val="22"/>
          <w:sz w:val="22"/>
          <w:szCs w:val="22"/>
          <w:lang w:val="en-GB"/>
        </w:rPr>
        <w:t xml:space="preserve">that </w:t>
      </w:r>
      <w:r w:rsidR="00CD288A" w:rsidRPr="00AC635C">
        <w:rPr>
          <w:rFonts w:eastAsia="Malgun Gothic"/>
          <w:kern w:val="22"/>
          <w:sz w:val="22"/>
          <w:szCs w:val="22"/>
          <w:lang w:val="en-GB"/>
        </w:rPr>
        <w:t xml:space="preserve">the discussion </w:t>
      </w:r>
      <w:r w:rsidR="00B93197" w:rsidRPr="00AC635C">
        <w:rPr>
          <w:rFonts w:eastAsia="Malgun Gothic"/>
          <w:kern w:val="22"/>
          <w:sz w:val="22"/>
          <w:szCs w:val="22"/>
          <w:lang w:val="en-GB"/>
        </w:rPr>
        <w:t>should cover the Convention and consider its Protocols as appropriate (decision XIII/1</w:t>
      </w:r>
      <w:r w:rsidR="00122C5C" w:rsidRPr="00AC635C">
        <w:rPr>
          <w:rFonts w:eastAsia="Malgun Gothic"/>
          <w:kern w:val="22"/>
          <w:sz w:val="22"/>
          <w:szCs w:val="22"/>
          <w:lang w:val="en-GB"/>
        </w:rPr>
        <w:t>, para. 34</w:t>
      </w:r>
      <w:r w:rsidR="00B93197" w:rsidRPr="00AC635C">
        <w:rPr>
          <w:rFonts w:eastAsia="Malgun Gothic"/>
          <w:kern w:val="22"/>
          <w:sz w:val="22"/>
          <w:szCs w:val="22"/>
          <w:lang w:val="en-GB"/>
        </w:rPr>
        <w:t>).</w:t>
      </w:r>
    </w:p>
    <w:p w14:paraId="5C7BEA95" w14:textId="59E2B8D4" w:rsidR="00155560"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The way in which a </w:t>
      </w:r>
      <w:r w:rsidR="00B93197" w:rsidRPr="00AC635C">
        <w:rPr>
          <w:rFonts w:eastAsia="Malgun Gothic"/>
          <w:kern w:val="22"/>
          <w:sz w:val="22"/>
          <w:szCs w:val="22"/>
          <w:lang w:val="en-GB"/>
        </w:rPr>
        <w:t>post</w:t>
      </w:r>
      <w:r w:rsidR="00B5689C" w:rsidRPr="00AC635C">
        <w:rPr>
          <w:rFonts w:eastAsia="Malgun Gothic"/>
          <w:kern w:val="22"/>
          <w:sz w:val="22"/>
          <w:szCs w:val="22"/>
          <w:lang w:val="en-GB"/>
        </w:rPr>
        <w:t>-</w:t>
      </w:r>
      <w:r w:rsidR="00B93197" w:rsidRPr="00AC635C">
        <w:rPr>
          <w:rFonts w:eastAsia="Malgun Gothic"/>
          <w:kern w:val="22"/>
          <w:sz w:val="22"/>
          <w:szCs w:val="22"/>
          <w:lang w:val="en-GB"/>
        </w:rPr>
        <w:t xml:space="preserve">2020 </w:t>
      </w:r>
      <w:r w:rsidRPr="00AC635C">
        <w:rPr>
          <w:rFonts w:eastAsia="Malgun Gothic"/>
          <w:kern w:val="22"/>
          <w:sz w:val="22"/>
          <w:szCs w:val="22"/>
          <w:lang w:val="en-GB"/>
        </w:rPr>
        <w:t xml:space="preserve">global biodiversity framework and any tools guiding the implementation of the </w:t>
      </w:r>
      <w:r w:rsidR="00155560" w:rsidRPr="00AC635C">
        <w:rPr>
          <w:rFonts w:eastAsia="Malgun Gothic"/>
          <w:kern w:val="22"/>
          <w:sz w:val="22"/>
          <w:szCs w:val="22"/>
          <w:lang w:val="en-GB"/>
        </w:rPr>
        <w:t xml:space="preserve">Convention and its </w:t>
      </w:r>
      <w:r w:rsidRPr="00AC635C">
        <w:rPr>
          <w:rFonts w:eastAsia="Malgun Gothic"/>
          <w:kern w:val="22"/>
          <w:sz w:val="22"/>
          <w:szCs w:val="22"/>
          <w:lang w:val="en-GB"/>
        </w:rPr>
        <w:t>Protocols are interlinked would be expected to have implications for the choice of solutions for the alignment of the reporting format under the Convention and its Protocols.</w:t>
      </w:r>
    </w:p>
    <w:p w14:paraId="18E3403B" w14:textId="69D97654" w:rsidR="004F7E0D" w:rsidRPr="00AC635C" w:rsidRDefault="004F7E0D"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lastRenderedPageBreak/>
        <w:t xml:space="preserve">It will </w:t>
      </w:r>
      <w:r w:rsidR="001B407E" w:rsidRPr="00AC635C">
        <w:rPr>
          <w:rFonts w:eastAsia="Malgun Gothic"/>
          <w:kern w:val="22"/>
          <w:sz w:val="22"/>
          <w:szCs w:val="22"/>
          <w:lang w:val="en-GB"/>
        </w:rPr>
        <w:t xml:space="preserve">therefore </w:t>
      </w:r>
      <w:r w:rsidRPr="00AC635C">
        <w:rPr>
          <w:rFonts w:eastAsia="Malgun Gothic"/>
          <w:kern w:val="22"/>
          <w:sz w:val="22"/>
          <w:szCs w:val="22"/>
          <w:lang w:val="en-GB"/>
        </w:rPr>
        <w:t xml:space="preserve">be essential to clearly articulate </w:t>
      </w:r>
      <w:r w:rsidR="001B407E" w:rsidRPr="00AC635C">
        <w:rPr>
          <w:rFonts w:eastAsia="Malgun Gothic"/>
          <w:kern w:val="22"/>
          <w:sz w:val="22"/>
          <w:szCs w:val="22"/>
          <w:lang w:val="en-GB"/>
        </w:rPr>
        <w:t>how any</w:t>
      </w:r>
      <w:r w:rsidRPr="00AC635C">
        <w:rPr>
          <w:rFonts w:eastAsia="Malgun Gothic"/>
          <w:kern w:val="22"/>
          <w:sz w:val="22"/>
          <w:szCs w:val="22"/>
          <w:lang w:val="en-GB"/>
        </w:rPr>
        <w:t xml:space="preserve"> future global biodiversity framework and </w:t>
      </w:r>
      <w:r w:rsidR="001B407E" w:rsidRPr="00AC635C">
        <w:rPr>
          <w:rFonts w:eastAsia="Malgun Gothic"/>
          <w:kern w:val="22"/>
          <w:sz w:val="22"/>
          <w:szCs w:val="22"/>
          <w:lang w:val="en-GB"/>
        </w:rPr>
        <w:t>associated</w:t>
      </w:r>
      <w:r w:rsidRPr="00AC635C">
        <w:rPr>
          <w:rFonts w:eastAsia="Malgun Gothic"/>
          <w:kern w:val="22"/>
          <w:sz w:val="22"/>
          <w:szCs w:val="22"/>
          <w:lang w:val="en-GB"/>
        </w:rPr>
        <w:t xml:space="preserve"> tools </w:t>
      </w:r>
      <w:r w:rsidR="009262F4" w:rsidRPr="00AC635C">
        <w:rPr>
          <w:rFonts w:eastAsia="Malgun Gothic"/>
          <w:kern w:val="22"/>
          <w:sz w:val="22"/>
          <w:szCs w:val="22"/>
          <w:lang w:val="en-GB"/>
        </w:rPr>
        <w:t xml:space="preserve">will </w:t>
      </w:r>
      <w:r w:rsidRPr="00AC635C">
        <w:rPr>
          <w:rFonts w:eastAsia="Malgun Gothic"/>
          <w:kern w:val="22"/>
          <w:sz w:val="22"/>
          <w:szCs w:val="22"/>
          <w:lang w:val="en-GB"/>
        </w:rPr>
        <w:t>guid</w:t>
      </w:r>
      <w:r w:rsidR="001B407E" w:rsidRPr="00AC635C">
        <w:rPr>
          <w:rFonts w:eastAsia="Malgun Gothic"/>
          <w:kern w:val="22"/>
          <w:sz w:val="22"/>
          <w:szCs w:val="22"/>
          <w:lang w:val="en-GB"/>
        </w:rPr>
        <w:t>e</w:t>
      </w:r>
      <w:r w:rsidRPr="00AC635C">
        <w:rPr>
          <w:rFonts w:eastAsia="Malgun Gothic"/>
          <w:kern w:val="22"/>
          <w:sz w:val="22"/>
          <w:szCs w:val="22"/>
          <w:lang w:val="en-GB"/>
        </w:rPr>
        <w:t xml:space="preserve"> the </w:t>
      </w:r>
      <w:r w:rsidR="001B407E" w:rsidRPr="00AC635C">
        <w:rPr>
          <w:rFonts w:eastAsia="Malgun Gothic"/>
          <w:kern w:val="22"/>
          <w:sz w:val="22"/>
          <w:szCs w:val="22"/>
          <w:lang w:val="en-GB"/>
        </w:rPr>
        <w:t xml:space="preserve">respective </w:t>
      </w:r>
      <w:r w:rsidRPr="00AC635C">
        <w:rPr>
          <w:rFonts w:eastAsia="Malgun Gothic"/>
          <w:kern w:val="22"/>
          <w:sz w:val="22"/>
          <w:szCs w:val="22"/>
          <w:lang w:val="en-GB"/>
        </w:rPr>
        <w:t xml:space="preserve">implementation of the </w:t>
      </w:r>
      <w:r w:rsidR="00155560" w:rsidRPr="00AC635C">
        <w:rPr>
          <w:rFonts w:eastAsia="Malgun Gothic"/>
          <w:kern w:val="22"/>
          <w:sz w:val="22"/>
          <w:szCs w:val="22"/>
          <w:lang w:val="en-GB"/>
        </w:rPr>
        <w:t xml:space="preserve">Convention and its </w:t>
      </w:r>
      <w:r w:rsidRPr="00AC635C">
        <w:rPr>
          <w:rFonts w:eastAsia="Malgun Gothic"/>
          <w:kern w:val="22"/>
          <w:sz w:val="22"/>
          <w:szCs w:val="22"/>
          <w:lang w:val="en-GB"/>
        </w:rPr>
        <w:t xml:space="preserve">Protocols. </w:t>
      </w:r>
      <w:r w:rsidR="001B407E" w:rsidRPr="00AC635C">
        <w:rPr>
          <w:rFonts w:eastAsia="Malgun Gothic"/>
          <w:kern w:val="22"/>
          <w:sz w:val="22"/>
          <w:szCs w:val="22"/>
          <w:lang w:val="en-GB"/>
        </w:rPr>
        <w:t xml:space="preserve">A logical and detailed understanding of </w:t>
      </w:r>
      <w:r w:rsidR="0049056D" w:rsidRPr="00AC635C">
        <w:rPr>
          <w:rFonts w:eastAsia="Malgun Gothic"/>
          <w:kern w:val="22"/>
          <w:sz w:val="22"/>
          <w:szCs w:val="22"/>
          <w:lang w:val="en-GB"/>
        </w:rPr>
        <w:t>the interlinkages and associated implementation of the respective instruments</w:t>
      </w:r>
      <w:r w:rsidRPr="00AC635C">
        <w:rPr>
          <w:rFonts w:eastAsia="Malgun Gothic"/>
          <w:kern w:val="22"/>
          <w:sz w:val="22"/>
          <w:szCs w:val="22"/>
          <w:lang w:val="en-GB"/>
        </w:rPr>
        <w:t xml:space="preserve"> could help </w:t>
      </w:r>
      <w:r w:rsidR="0049056D" w:rsidRPr="00AC635C">
        <w:rPr>
          <w:rFonts w:eastAsia="Malgun Gothic"/>
          <w:kern w:val="22"/>
          <w:sz w:val="22"/>
          <w:szCs w:val="22"/>
          <w:lang w:val="en-GB"/>
        </w:rPr>
        <w:t>to</w:t>
      </w:r>
      <w:r w:rsidRPr="00AC635C">
        <w:rPr>
          <w:rFonts w:eastAsia="Malgun Gothic"/>
          <w:kern w:val="22"/>
          <w:sz w:val="22"/>
          <w:szCs w:val="22"/>
          <w:lang w:val="en-GB"/>
        </w:rPr>
        <w:t xml:space="preserve"> </w:t>
      </w:r>
      <w:r w:rsidR="0049056D" w:rsidRPr="00AC635C">
        <w:rPr>
          <w:rFonts w:eastAsia="Malgun Gothic"/>
          <w:kern w:val="22"/>
          <w:sz w:val="22"/>
          <w:szCs w:val="22"/>
          <w:lang w:val="en-GB"/>
        </w:rPr>
        <w:t>facilitate</w:t>
      </w:r>
      <w:r w:rsidRPr="00AC635C">
        <w:rPr>
          <w:rFonts w:eastAsia="Malgun Gothic"/>
          <w:kern w:val="22"/>
          <w:sz w:val="22"/>
          <w:szCs w:val="22"/>
          <w:lang w:val="en-GB"/>
        </w:rPr>
        <w:t xml:space="preserve"> a more integrated review of implementation of the Convention and its Protocols</w:t>
      </w:r>
      <w:r w:rsidR="0049056D" w:rsidRPr="00AC635C">
        <w:rPr>
          <w:rFonts w:eastAsia="Malgun Gothic"/>
          <w:kern w:val="22"/>
          <w:sz w:val="22"/>
          <w:szCs w:val="22"/>
          <w:lang w:val="en-GB"/>
        </w:rPr>
        <w:t xml:space="preserve"> through</w:t>
      </w:r>
      <w:r w:rsidR="00DF0C4F" w:rsidRPr="00AC635C">
        <w:rPr>
          <w:rFonts w:eastAsia="Malgun Gothic"/>
          <w:kern w:val="22"/>
          <w:sz w:val="22"/>
          <w:szCs w:val="22"/>
          <w:lang w:val="en-GB"/>
        </w:rPr>
        <w:t>, among other things,</w:t>
      </w:r>
      <w:r w:rsidR="0049056D" w:rsidRPr="00AC635C">
        <w:rPr>
          <w:rFonts w:eastAsia="Malgun Gothic"/>
          <w:kern w:val="22"/>
          <w:sz w:val="22"/>
          <w:szCs w:val="22"/>
          <w:lang w:val="en-GB"/>
        </w:rPr>
        <w:t xml:space="preserve"> better alignment of reporting formats</w:t>
      </w:r>
      <w:r w:rsidR="00B93197" w:rsidRPr="00AC635C">
        <w:rPr>
          <w:rFonts w:eastAsia="Malgun Gothic"/>
          <w:kern w:val="22"/>
          <w:sz w:val="22"/>
          <w:szCs w:val="22"/>
          <w:lang w:val="en-GB"/>
        </w:rPr>
        <w:t xml:space="preserve"> and associated reporting tools</w:t>
      </w:r>
      <w:r w:rsidR="00DF0C4F" w:rsidRPr="00AC635C">
        <w:rPr>
          <w:rFonts w:eastAsia="Malgun Gothic"/>
          <w:kern w:val="22"/>
          <w:sz w:val="22"/>
          <w:szCs w:val="22"/>
          <w:lang w:val="en-GB"/>
        </w:rPr>
        <w:t>,</w:t>
      </w:r>
      <w:r w:rsidR="00B93197" w:rsidRPr="00AC635C">
        <w:rPr>
          <w:rFonts w:eastAsia="Malgun Gothic"/>
          <w:kern w:val="22"/>
          <w:sz w:val="22"/>
          <w:szCs w:val="22"/>
          <w:lang w:val="en-GB"/>
        </w:rPr>
        <w:t xml:space="preserve"> such as indicators</w:t>
      </w:r>
      <w:r w:rsidRPr="00AC635C">
        <w:rPr>
          <w:rFonts w:eastAsia="Malgun Gothic"/>
          <w:kern w:val="22"/>
          <w:sz w:val="22"/>
          <w:szCs w:val="22"/>
          <w:lang w:val="en-GB"/>
        </w:rPr>
        <w:t>.</w:t>
      </w:r>
    </w:p>
    <w:p w14:paraId="6123D2B3" w14:textId="77777777" w:rsidR="004F7E0D" w:rsidRPr="00AC635C" w:rsidRDefault="004F7E0D" w:rsidP="005C6B31">
      <w:pPr>
        <w:pStyle w:val="Heading1longmultiline"/>
        <w:numPr>
          <w:ilvl w:val="0"/>
          <w:numId w:val="32"/>
        </w:numPr>
        <w:suppressLineNumbers/>
        <w:tabs>
          <w:tab w:val="clear" w:pos="720"/>
        </w:tabs>
        <w:suppressAutoHyphens/>
        <w:kinsoku w:val="0"/>
        <w:overflowPunct w:val="0"/>
        <w:autoSpaceDE w:val="0"/>
        <w:autoSpaceDN w:val="0"/>
        <w:adjustRightInd w:val="0"/>
        <w:snapToGrid w:val="0"/>
        <w:spacing w:before="0" w:after="0"/>
        <w:rPr>
          <w:bCs/>
          <w:snapToGrid w:val="0"/>
          <w:kern w:val="22"/>
          <w:szCs w:val="22"/>
          <w:lang w:val="en-GB"/>
        </w:rPr>
      </w:pPr>
      <w:r w:rsidRPr="00AC635C">
        <w:rPr>
          <w:bCs/>
          <w:snapToGrid w:val="0"/>
          <w:kern w:val="22"/>
          <w:szCs w:val="22"/>
          <w:lang w:val="en-GB"/>
        </w:rPr>
        <w:t>OPTIONS FOR ENHANCING SYNERGY ON NATIONAL REPORTING AMONG BIODIVERSITY-RELATED CONVENTIONS AND RIO CONVENTIONS</w:t>
      </w:r>
    </w:p>
    <w:p w14:paraId="365710DE" w14:textId="7808DD59" w:rsidR="0043655E" w:rsidRPr="00AC635C" w:rsidRDefault="002E4C98"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rPr>
      </w:pPr>
      <w:r w:rsidRPr="00AC635C">
        <w:rPr>
          <w:rFonts w:eastAsia="Malgun Gothic"/>
          <w:kern w:val="22"/>
          <w:sz w:val="22"/>
          <w:szCs w:val="22"/>
          <w:lang w:val="en-GB"/>
        </w:rPr>
        <w:t xml:space="preserve">As noted </w:t>
      </w:r>
      <w:r w:rsidR="0043655E" w:rsidRPr="00AC635C">
        <w:rPr>
          <w:rFonts w:eastAsia="Malgun Gothic"/>
          <w:kern w:val="22"/>
          <w:sz w:val="22"/>
          <w:szCs w:val="22"/>
          <w:lang w:val="en-GB"/>
        </w:rPr>
        <w:t>i</w:t>
      </w:r>
      <w:r w:rsidRPr="00AC635C">
        <w:rPr>
          <w:rFonts w:eastAsia="Malgun Gothic"/>
          <w:kern w:val="22"/>
          <w:sz w:val="22"/>
          <w:szCs w:val="22"/>
          <w:lang w:val="en-GB"/>
        </w:rPr>
        <w:t xml:space="preserve">n the introduction, the Conference of the Parties, in decision </w:t>
      </w:r>
      <w:r w:rsidRPr="00AC635C">
        <w:rPr>
          <w:kern w:val="22"/>
          <w:sz w:val="22"/>
          <w:szCs w:val="22"/>
          <w:lang w:val="en-GB"/>
        </w:rPr>
        <w:t>XIII/27</w:t>
      </w:r>
      <w:r w:rsidRPr="00AC635C">
        <w:rPr>
          <w:rFonts w:eastAsia="Malgun Gothic"/>
          <w:kern w:val="22"/>
          <w:sz w:val="22"/>
          <w:szCs w:val="22"/>
          <w:lang w:val="en-GB"/>
        </w:rPr>
        <w:t xml:space="preserve">, </w:t>
      </w:r>
      <w:r w:rsidRPr="00AC635C">
        <w:rPr>
          <w:iCs/>
          <w:kern w:val="22"/>
          <w:sz w:val="22"/>
          <w:szCs w:val="22"/>
          <w:lang w:val="en-GB"/>
        </w:rPr>
        <w:t xml:space="preserve">requested </w:t>
      </w:r>
      <w:r w:rsidRPr="00AC635C">
        <w:rPr>
          <w:kern w:val="22"/>
          <w:sz w:val="22"/>
          <w:szCs w:val="22"/>
          <w:lang w:val="en-GB"/>
        </w:rPr>
        <w:t xml:space="preserve">the Executive Secretary </w:t>
      </w:r>
      <w:r w:rsidRPr="00AC635C">
        <w:rPr>
          <w:rFonts w:eastAsia="Malgun Gothic"/>
          <w:kern w:val="22"/>
          <w:sz w:val="22"/>
          <w:szCs w:val="22"/>
          <w:lang w:val="en-GB" w:eastAsia="en-US"/>
        </w:rPr>
        <w:t>to explore options for enhancing synergy on national reporting among the biodiversity</w:t>
      </w:r>
      <w:r w:rsidR="001966EC" w:rsidRPr="00AC635C">
        <w:rPr>
          <w:rFonts w:eastAsia="Malgun Gothic"/>
          <w:kern w:val="22"/>
          <w:sz w:val="22"/>
          <w:szCs w:val="22"/>
          <w:lang w:val="en-GB" w:eastAsia="en-US"/>
        </w:rPr>
        <w:noBreakHyphen/>
      </w:r>
      <w:r w:rsidRPr="00AC635C">
        <w:rPr>
          <w:rFonts w:eastAsia="Malgun Gothic"/>
          <w:kern w:val="22"/>
          <w:sz w:val="22"/>
          <w:szCs w:val="22"/>
          <w:lang w:val="en-GB" w:eastAsia="en-US"/>
        </w:rPr>
        <w:t xml:space="preserve">related </w:t>
      </w:r>
      <w:r w:rsidR="00234D9D" w:rsidRPr="00AC635C">
        <w:rPr>
          <w:rFonts w:eastAsia="Malgun Gothic"/>
          <w:kern w:val="22"/>
          <w:sz w:val="22"/>
          <w:szCs w:val="22"/>
          <w:lang w:val="en-GB" w:eastAsia="en-US"/>
        </w:rPr>
        <w:t>c</w:t>
      </w:r>
      <w:r w:rsidRPr="00AC635C">
        <w:rPr>
          <w:rFonts w:eastAsia="Malgun Gothic"/>
          <w:kern w:val="22"/>
          <w:sz w:val="22"/>
          <w:szCs w:val="22"/>
          <w:lang w:val="en-GB" w:eastAsia="en-US"/>
        </w:rPr>
        <w:t xml:space="preserve">onventions and </w:t>
      </w:r>
      <w:r w:rsidR="00EB7440" w:rsidRPr="00AC635C">
        <w:rPr>
          <w:rFonts w:eastAsia="Malgun Gothic"/>
          <w:kern w:val="22"/>
          <w:sz w:val="22"/>
          <w:szCs w:val="22"/>
          <w:lang w:val="en-GB" w:eastAsia="en-US"/>
        </w:rPr>
        <w:t xml:space="preserve">the </w:t>
      </w:r>
      <w:r w:rsidRPr="00AC635C">
        <w:rPr>
          <w:rFonts w:eastAsia="Malgun Gothic"/>
          <w:kern w:val="22"/>
          <w:sz w:val="22"/>
          <w:szCs w:val="22"/>
          <w:lang w:val="en-GB" w:eastAsia="en-US"/>
        </w:rPr>
        <w:t xml:space="preserve">Rio </w:t>
      </w:r>
      <w:r w:rsidR="00D43B96" w:rsidRPr="00AC635C">
        <w:rPr>
          <w:rFonts w:eastAsia="Malgun Gothic"/>
          <w:kern w:val="22"/>
          <w:sz w:val="22"/>
          <w:szCs w:val="22"/>
          <w:lang w:val="en-GB" w:eastAsia="en-US"/>
        </w:rPr>
        <w:t>c</w:t>
      </w:r>
      <w:r w:rsidRPr="00AC635C">
        <w:rPr>
          <w:rFonts w:eastAsia="Malgun Gothic"/>
          <w:kern w:val="22"/>
          <w:sz w:val="22"/>
          <w:szCs w:val="22"/>
          <w:lang w:val="en-GB" w:eastAsia="en-US"/>
        </w:rPr>
        <w:t>onventions</w:t>
      </w:r>
      <w:r w:rsidRPr="00AC635C">
        <w:rPr>
          <w:rFonts w:eastAsia="Malgun Gothic"/>
          <w:kern w:val="22"/>
          <w:sz w:val="22"/>
          <w:szCs w:val="22"/>
          <w:lang w:val="en-GB"/>
        </w:rPr>
        <w:t xml:space="preserve">. </w:t>
      </w:r>
      <w:r w:rsidR="0043655E" w:rsidRPr="00AC635C">
        <w:rPr>
          <w:rFonts w:eastAsia="Malgun Gothic"/>
          <w:kern w:val="22"/>
          <w:sz w:val="22"/>
          <w:szCs w:val="22"/>
          <w:lang w:val="en-GB"/>
        </w:rPr>
        <w:t>In this respect, t</w:t>
      </w:r>
      <w:r w:rsidRPr="00AC635C">
        <w:rPr>
          <w:rFonts w:eastAsia="Malgun Gothic"/>
          <w:kern w:val="22"/>
          <w:sz w:val="22"/>
          <w:szCs w:val="22"/>
          <w:lang w:val="en-GB"/>
        </w:rPr>
        <w:t xml:space="preserve">he Conference of the Parties </w:t>
      </w:r>
      <w:r w:rsidR="0043655E" w:rsidRPr="00AC635C">
        <w:rPr>
          <w:rFonts w:eastAsia="Malgun Gothic"/>
          <w:kern w:val="22"/>
          <w:sz w:val="22"/>
          <w:szCs w:val="22"/>
          <w:lang w:val="en-GB"/>
        </w:rPr>
        <w:t>requested</w:t>
      </w:r>
      <w:r w:rsidRPr="00AC635C">
        <w:rPr>
          <w:rFonts w:eastAsia="Malgun Gothic"/>
          <w:kern w:val="22"/>
          <w:sz w:val="22"/>
          <w:szCs w:val="22"/>
          <w:lang w:val="en-GB" w:eastAsia="en-US"/>
        </w:rPr>
        <w:t xml:space="preserve"> consideration of the following possibilities:</w:t>
      </w:r>
    </w:p>
    <w:p w14:paraId="452EE772" w14:textId="07209C51" w:rsidR="0043655E" w:rsidRPr="00AC635C"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n-GB"/>
        </w:rPr>
      </w:pPr>
      <w:r w:rsidRPr="00AC635C">
        <w:rPr>
          <w:rFonts w:eastAsia="Malgun Gothic"/>
          <w:kern w:val="22"/>
          <w:sz w:val="22"/>
          <w:szCs w:val="22"/>
          <w:lang w:val="en-GB" w:eastAsia="en-US"/>
        </w:rPr>
        <w:t>(a)</w:t>
      </w:r>
      <w:r w:rsidRPr="00AC635C">
        <w:rPr>
          <w:rFonts w:eastAsia="Malgun Gothic"/>
          <w:kern w:val="22"/>
          <w:sz w:val="22"/>
          <w:szCs w:val="22"/>
          <w:lang w:val="en-GB" w:eastAsia="en-US"/>
        </w:rPr>
        <w:tab/>
      </w:r>
      <w:r w:rsidR="002E4C98" w:rsidRPr="00AC635C">
        <w:rPr>
          <w:rFonts w:eastAsia="Malgun Gothic"/>
          <w:kern w:val="22"/>
          <w:sz w:val="22"/>
          <w:szCs w:val="22"/>
          <w:lang w:val="en-GB" w:eastAsia="en-US"/>
        </w:rPr>
        <w:t>Common sets of indicators, where appropriate;</w:t>
      </w:r>
    </w:p>
    <w:p w14:paraId="3371CF3D" w14:textId="09198202" w:rsidR="0043655E" w:rsidRPr="00AC635C" w:rsidRDefault="002E4C98"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n-GB"/>
        </w:rPr>
      </w:pPr>
      <w:r w:rsidRPr="00AC635C">
        <w:rPr>
          <w:rFonts w:eastAsia="Malgun Gothic"/>
          <w:kern w:val="22"/>
          <w:sz w:val="22"/>
          <w:szCs w:val="22"/>
          <w:lang w:val="en-GB" w:eastAsia="en-US"/>
        </w:rPr>
        <w:t>(b)</w:t>
      </w:r>
      <w:r w:rsidR="00A46A13" w:rsidRPr="00AC635C">
        <w:rPr>
          <w:rFonts w:eastAsia="Malgun Gothic"/>
          <w:kern w:val="22"/>
          <w:sz w:val="22"/>
          <w:szCs w:val="22"/>
          <w:lang w:val="en-GB" w:eastAsia="en-US"/>
        </w:rPr>
        <w:tab/>
      </w:r>
      <w:r w:rsidRPr="00AC635C">
        <w:rPr>
          <w:rFonts w:eastAsia="Malgun Gothic"/>
          <w:kern w:val="22"/>
          <w:sz w:val="22"/>
          <w:szCs w:val="22"/>
          <w:lang w:val="en-GB" w:eastAsia="en-US"/>
        </w:rPr>
        <w:t>Common reporting modules on shared issues;</w:t>
      </w:r>
    </w:p>
    <w:p w14:paraId="3028344C" w14:textId="528CE88E" w:rsidR="0043655E" w:rsidRPr="00AC635C"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n-GB"/>
        </w:rPr>
      </w:pPr>
      <w:r w:rsidRPr="00AC635C">
        <w:rPr>
          <w:rFonts w:eastAsia="Malgun Gothic"/>
          <w:kern w:val="22"/>
          <w:sz w:val="22"/>
          <w:szCs w:val="22"/>
          <w:lang w:val="en-GB" w:eastAsia="en-US"/>
        </w:rPr>
        <w:t>(c)</w:t>
      </w:r>
      <w:r w:rsidRPr="00AC635C">
        <w:rPr>
          <w:rFonts w:eastAsia="Malgun Gothic"/>
          <w:kern w:val="22"/>
          <w:sz w:val="22"/>
          <w:szCs w:val="22"/>
          <w:lang w:val="en-GB" w:eastAsia="en-US"/>
        </w:rPr>
        <w:tab/>
      </w:r>
      <w:r w:rsidR="002E4C98" w:rsidRPr="00AC635C">
        <w:rPr>
          <w:rFonts w:eastAsia="Malgun Gothic"/>
          <w:kern w:val="22"/>
          <w:sz w:val="22"/>
          <w:szCs w:val="22"/>
          <w:lang w:val="en-GB" w:eastAsia="en-US"/>
        </w:rPr>
        <w:t>Interoperability of information management and reporting systems;</w:t>
      </w:r>
    </w:p>
    <w:p w14:paraId="116B18FC" w14:textId="02C27FAF" w:rsidR="002E4C98" w:rsidRPr="00AC635C" w:rsidRDefault="00A46A13" w:rsidP="005C6B31">
      <w:pPr>
        <w:pStyle w:val="Para1"/>
        <w:suppressLineNumbers/>
        <w:suppressAutoHyphens/>
        <w:kinsoku w:val="0"/>
        <w:overflowPunct w:val="0"/>
        <w:autoSpaceDE w:val="0"/>
        <w:autoSpaceDN w:val="0"/>
        <w:adjustRightInd w:val="0"/>
        <w:snapToGrid w:val="0"/>
        <w:spacing w:after="60"/>
        <w:ind w:firstLine="720"/>
        <w:jc w:val="both"/>
        <w:rPr>
          <w:rFonts w:eastAsia="Malgun Gothic"/>
          <w:kern w:val="22"/>
          <w:sz w:val="22"/>
          <w:szCs w:val="22"/>
          <w:lang w:val="en-GB"/>
        </w:rPr>
      </w:pPr>
      <w:r w:rsidRPr="00AC635C">
        <w:rPr>
          <w:rFonts w:eastAsia="Malgun Gothic"/>
          <w:kern w:val="22"/>
          <w:sz w:val="22"/>
          <w:szCs w:val="22"/>
          <w:lang w:val="en-GB" w:eastAsia="en-US"/>
        </w:rPr>
        <w:t>(d)</w:t>
      </w:r>
      <w:r w:rsidRPr="00AC635C">
        <w:rPr>
          <w:rFonts w:eastAsia="Malgun Gothic"/>
          <w:kern w:val="22"/>
          <w:sz w:val="22"/>
          <w:szCs w:val="22"/>
          <w:lang w:val="en-GB" w:eastAsia="en-US"/>
        </w:rPr>
        <w:tab/>
      </w:r>
      <w:r w:rsidR="002E4C98" w:rsidRPr="00AC635C">
        <w:rPr>
          <w:rFonts w:eastAsia="Malgun Gothic"/>
          <w:kern w:val="22"/>
          <w:sz w:val="22"/>
          <w:szCs w:val="22"/>
          <w:lang w:val="en-GB" w:eastAsia="en-US"/>
        </w:rPr>
        <w:t>Harmonization of tools for national reporting</w:t>
      </w:r>
      <w:r w:rsidR="00D44426" w:rsidRPr="00AC635C">
        <w:rPr>
          <w:rFonts w:eastAsia="Malgun Gothic"/>
          <w:kern w:val="22"/>
          <w:sz w:val="22"/>
          <w:szCs w:val="22"/>
          <w:lang w:val="en-GB" w:eastAsia="en-US"/>
        </w:rPr>
        <w:t>.</w:t>
      </w:r>
    </w:p>
    <w:p w14:paraId="54AA3910" w14:textId="38EB5463" w:rsidR="00BA7962" w:rsidRPr="00AC635C"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In addition, </w:t>
      </w:r>
      <w:r w:rsidR="00B93197" w:rsidRPr="00AC635C">
        <w:rPr>
          <w:kern w:val="22"/>
          <w:sz w:val="22"/>
          <w:szCs w:val="22"/>
          <w:lang w:val="en-GB"/>
        </w:rPr>
        <w:t>i</w:t>
      </w:r>
      <w:r w:rsidR="00BA7962" w:rsidRPr="00AC635C">
        <w:rPr>
          <w:kern w:val="22"/>
          <w:sz w:val="22"/>
          <w:szCs w:val="22"/>
          <w:lang w:val="en-GB"/>
        </w:rPr>
        <w:t xml:space="preserve">n decision </w:t>
      </w:r>
      <w:hyperlink r:id="rId25" w:history="1">
        <w:r w:rsidR="00BA7962" w:rsidRPr="00AC635C">
          <w:rPr>
            <w:rStyle w:val="Hyperlink"/>
            <w:sz w:val="22"/>
            <w:szCs w:val="22"/>
            <w:lang w:val="en-GB"/>
          </w:rPr>
          <w:t>XIII/24</w:t>
        </w:r>
      </w:hyperlink>
      <w:r w:rsidR="00BA7962" w:rsidRPr="00AC635C">
        <w:rPr>
          <w:kern w:val="22"/>
          <w:sz w:val="22"/>
          <w:szCs w:val="22"/>
          <w:lang w:val="en-GB"/>
        </w:rPr>
        <w:t>, the Conference of the Parties invited the governing bodies of the biodiversity-related conventions to further strengthen cooperation and coordination at the global level within their respective mandates and enhance synergies among themselves, to encourage mutually supportive decisions, pursue their efforts to align their own strategies with the Strategic Plan for Biodiversity 2011-2020 and its Aichi Biodiversity Targets</w:t>
      </w:r>
      <w:r w:rsidRPr="00AC635C">
        <w:rPr>
          <w:kern w:val="22"/>
          <w:sz w:val="22"/>
          <w:szCs w:val="22"/>
          <w:lang w:val="en-GB"/>
        </w:rPr>
        <w:t xml:space="preserve"> and </w:t>
      </w:r>
      <w:r w:rsidR="00BA7962" w:rsidRPr="00AC635C">
        <w:rPr>
          <w:kern w:val="22"/>
          <w:sz w:val="22"/>
          <w:szCs w:val="22"/>
          <w:lang w:val="en-GB"/>
        </w:rPr>
        <w:t xml:space="preserve">to support </w:t>
      </w:r>
      <w:r w:rsidR="00886353" w:rsidRPr="00AC635C">
        <w:rPr>
          <w:kern w:val="22"/>
          <w:sz w:val="22"/>
          <w:szCs w:val="22"/>
          <w:lang w:val="en-GB"/>
        </w:rPr>
        <w:t xml:space="preserve">the </w:t>
      </w:r>
      <w:r w:rsidR="00BA7962" w:rsidRPr="00AC635C">
        <w:rPr>
          <w:kern w:val="22"/>
          <w:sz w:val="22"/>
          <w:szCs w:val="22"/>
          <w:lang w:val="en-GB"/>
        </w:rPr>
        <w:t>implementation of the options for action by Parties contained in annex</w:t>
      </w:r>
      <w:r w:rsidR="0085790F" w:rsidRPr="00AC635C">
        <w:rPr>
          <w:kern w:val="22"/>
          <w:sz w:val="22"/>
          <w:szCs w:val="22"/>
          <w:lang w:val="en-GB"/>
        </w:rPr>
        <w:t> </w:t>
      </w:r>
      <w:r w:rsidR="00BA7962" w:rsidRPr="00AC635C">
        <w:rPr>
          <w:kern w:val="22"/>
          <w:sz w:val="22"/>
          <w:szCs w:val="22"/>
          <w:lang w:val="en-GB"/>
        </w:rPr>
        <w:t xml:space="preserve">I </w:t>
      </w:r>
      <w:r w:rsidR="0085790F" w:rsidRPr="00AC635C">
        <w:rPr>
          <w:kern w:val="22"/>
          <w:sz w:val="22"/>
          <w:szCs w:val="22"/>
          <w:lang w:val="en-GB"/>
        </w:rPr>
        <w:t xml:space="preserve">to the decision </w:t>
      </w:r>
      <w:r w:rsidR="00BA7962" w:rsidRPr="00AC635C">
        <w:rPr>
          <w:kern w:val="22"/>
          <w:sz w:val="22"/>
          <w:szCs w:val="22"/>
          <w:lang w:val="en-GB"/>
        </w:rPr>
        <w:t>and the road map contained in annex</w:t>
      </w:r>
      <w:r w:rsidR="0085790F" w:rsidRPr="00AC635C">
        <w:rPr>
          <w:kern w:val="22"/>
          <w:sz w:val="22"/>
          <w:szCs w:val="22"/>
          <w:lang w:val="en-GB"/>
        </w:rPr>
        <w:t> </w:t>
      </w:r>
      <w:r w:rsidR="00BA7962" w:rsidRPr="00AC635C">
        <w:rPr>
          <w:kern w:val="22"/>
          <w:sz w:val="22"/>
          <w:szCs w:val="22"/>
          <w:lang w:val="en-GB"/>
        </w:rPr>
        <w:t xml:space="preserve">II. </w:t>
      </w:r>
      <w:r w:rsidRPr="00AC635C">
        <w:rPr>
          <w:kern w:val="22"/>
          <w:sz w:val="22"/>
          <w:szCs w:val="22"/>
          <w:lang w:val="en-GB"/>
        </w:rPr>
        <w:t>The road map includes a section dedicated to “</w:t>
      </w:r>
      <w:r w:rsidR="0085790F" w:rsidRPr="00AC635C">
        <w:rPr>
          <w:bCs/>
          <w:kern w:val="22"/>
          <w:sz w:val="22"/>
          <w:szCs w:val="22"/>
          <w:lang w:val="en-GB"/>
        </w:rPr>
        <w:t>e</w:t>
      </w:r>
      <w:r w:rsidR="00BA7962" w:rsidRPr="00AC635C">
        <w:rPr>
          <w:bCs/>
          <w:kern w:val="22"/>
          <w:sz w:val="22"/>
          <w:szCs w:val="22"/>
          <w:lang w:val="en-GB"/>
        </w:rPr>
        <w:t>nhancing management of and avoiding duplication related to information and knowledge, national reporting, monitoring and indicators</w:t>
      </w:r>
      <w:r w:rsidRPr="00AC635C">
        <w:rPr>
          <w:bCs/>
          <w:kern w:val="22"/>
          <w:sz w:val="22"/>
          <w:szCs w:val="22"/>
          <w:lang w:val="en-GB"/>
        </w:rPr>
        <w:t>” (section</w:t>
      </w:r>
      <w:r w:rsidR="0085790F" w:rsidRPr="00AC635C">
        <w:rPr>
          <w:bCs/>
          <w:kern w:val="22"/>
          <w:sz w:val="22"/>
          <w:szCs w:val="22"/>
          <w:lang w:val="en-GB"/>
        </w:rPr>
        <w:t> </w:t>
      </w:r>
      <w:r w:rsidR="00B93197" w:rsidRPr="00AC635C">
        <w:rPr>
          <w:bCs/>
          <w:kern w:val="22"/>
          <w:sz w:val="22"/>
          <w:szCs w:val="22"/>
          <w:lang w:val="en-GB"/>
        </w:rPr>
        <w:t>C</w:t>
      </w:r>
      <w:r w:rsidR="00BA7962" w:rsidRPr="00AC635C">
        <w:rPr>
          <w:kern w:val="22"/>
          <w:sz w:val="22"/>
          <w:szCs w:val="22"/>
          <w:lang w:val="en-GB"/>
        </w:rPr>
        <w:t>)</w:t>
      </w:r>
      <w:r w:rsidRPr="00AC635C">
        <w:rPr>
          <w:kern w:val="22"/>
          <w:sz w:val="22"/>
          <w:szCs w:val="22"/>
          <w:lang w:val="en-GB"/>
        </w:rPr>
        <w:t>.</w:t>
      </w:r>
      <w:r w:rsidR="00BA7962" w:rsidRPr="00AC635C">
        <w:rPr>
          <w:kern w:val="22"/>
          <w:sz w:val="22"/>
          <w:szCs w:val="22"/>
          <w:lang w:val="en-GB"/>
        </w:rPr>
        <w:t xml:space="preserve"> </w:t>
      </w:r>
      <w:r w:rsidR="00BA7962" w:rsidRPr="00AC635C">
        <w:rPr>
          <w:color w:val="000000"/>
          <w:kern w:val="22"/>
          <w:sz w:val="22"/>
          <w:szCs w:val="22"/>
          <w:lang w:val="en-GB"/>
        </w:rPr>
        <w:t xml:space="preserve">The </w:t>
      </w:r>
      <w:hyperlink r:id="rId26" w:history="1">
        <w:r w:rsidR="00BA7962" w:rsidRPr="00AC635C">
          <w:rPr>
            <w:rStyle w:val="Hyperlink"/>
            <w:kern w:val="22"/>
            <w:sz w:val="22"/>
            <w:szCs w:val="22"/>
            <w:lang w:val="en-GB"/>
          </w:rPr>
          <w:t xml:space="preserve">informal advisory group on synergies among the biodiversity-related </w:t>
        </w:r>
        <w:r w:rsidR="0085790F" w:rsidRPr="00AC635C">
          <w:rPr>
            <w:rStyle w:val="Hyperlink"/>
            <w:kern w:val="22"/>
            <w:sz w:val="22"/>
            <w:szCs w:val="22"/>
            <w:lang w:val="en-GB"/>
          </w:rPr>
          <w:t>c</w:t>
        </w:r>
        <w:r w:rsidR="00BA7962" w:rsidRPr="00AC635C">
          <w:rPr>
            <w:rStyle w:val="Hyperlink"/>
            <w:kern w:val="22"/>
            <w:sz w:val="22"/>
            <w:szCs w:val="22"/>
            <w:lang w:val="en-GB"/>
          </w:rPr>
          <w:t>onventions</w:t>
        </w:r>
      </w:hyperlink>
      <w:r w:rsidR="00BA7962" w:rsidRPr="00AC635C">
        <w:rPr>
          <w:color w:val="000000"/>
          <w:kern w:val="22"/>
          <w:sz w:val="22"/>
          <w:szCs w:val="22"/>
          <w:lang w:val="en-GB"/>
        </w:rPr>
        <w:t xml:space="preserve">, established </w:t>
      </w:r>
      <w:r w:rsidRPr="00AC635C">
        <w:rPr>
          <w:color w:val="000000"/>
          <w:kern w:val="22"/>
          <w:sz w:val="22"/>
          <w:szCs w:val="22"/>
          <w:lang w:val="en-GB"/>
        </w:rPr>
        <w:t>pursuant to</w:t>
      </w:r>
      <w:r w:rsidR="00BA7962" w:rsidRPr="00AC635C">
        <w:rPr>
          <w:color w:val="000000"/>
          <w:kern w:val="22"/>
          <w:sz w:val="22"/>
          <w:szCs w:val="22"/>
          <w:lang w:val="en-GB"/>
        </w:rPr>
        <w:t xml:space="preserve"> decision</w:t>
      </w:r>
      <w:r w:rsidR="0085790F" w:rsidRPr="00AC635C">
        <w:rPr>
          <w:color w:val="000000"/>
          <w:kern w:val="22"/>
          <w:sz w:val="22"/>
          <w:szCs w:val="22"/>
          <w:lang w:val="en-GB"/>
        </w:rPr>
        <w:t> </w:t>
      </w:r>
      <w:r w:rsidR="00BA7962" w:rsidRPr="00AC635C">
        <w:rPr>
          <w:color w:val="000000"/>
          <w:kern w:val="22"/>
          <w:sz w:val="22"/>
          <w:szCs w:val="22"/>
          <w:lang w:val="en-GB"/>
        </w:rPr>
        <w:t>XIII/24</w:t>
      </w:r>
      <w:r w:rsidR="00B93197" w:rsidRPr="00AC635C">
        <w:rPr>
          <w:color w:val="000000"/>
          <w:kern w:val="22"/>
          <w:sz w:val="22"/>
          <w:szCs w:val="22"/>
          <w:lang w:val="en-GB"/>
        </w:rPr>
        <w:t>,</w:t>
      </w:r>
      <w:r w:rsidRPr="00AC635C">
        <w:rPr>
          <w:color w:val="000000"/>
          <w:kern w:val="22"/>
          <w:sz w:val="22"/>
          <w:szCs w:val="22"/>
          <w:lang w:val="en-GB"/>
        </w:rPr>
        <w:t xml:space="preserve"> </w:t>
      </w:r>
      <w:r w:rsidR="00BA7962" w:rsidRPr="00AC635C">
        <w:rPr>
          <w:kern w:val="22"/>
          <w:sz w:val="22"/>
          <w:szCs w:val="22"/>
          <w:lang w:val="en-GB"/>
        </w:rPr>
        <w:t>considered national reporting</w:t>
      </w:r>
      <w:r w:rsidRPr="00AC635C">
        <w:rPr>
          <w:kern w:val="22"/>
          <w:sz w:val="22"/>
          <w:szCs w:val="22"/>
          <w:lang w:val="en-GB"/>
        </w:rPr>
        <w:t xml:space="preserve"> in reviewing the road map at its </w:t>
      </w:r>
      <w:r w:rsidRPr="00AC635C">
        <w:rPr>
          <w:color w:val="000000"/>
          <w:kern w:val="22"/>
          <w:sz w:val="22"/>
          <w:szCs w:val="22"/>
          <w:lang w:val="en-GB"/>
        </w:rPr>
        <w:t>first meeting</w:t>
      </w:r>
      <w:r w:rsidR="0085790F" w:rsidRPr="00AC635C">
        <w:rPr>
          <w:color w:val="000000"/>
          <w:kern w:val="22"/>
          <w:sz w:val="22"/>
          <w:szCs w:val="22"/>
          <w:lang w:val="en-GB"/>
        </w:rPr>
        <w:t>,</w:t>
      </w:r>
      <w:r w:rsidRPr="00AC635C">
        <w:rPr>
          <w:color w:val="000000"/>
          <w:kern w:val="22"/>
          <w:sz w:val="22"/>
          <w:szCs w:val="22"/>
          <w:lang w:val="en-GB"/>
        </w:rPr>
        <w:t xml:space="preserve"> </w:t>
      </w:r>
      <w:r w:rsidR="0085790F" w:rsidRPr="00AC635C">
        <w:rPr>
          <w:color w:val="000000"/>
          <w:kern w:val="22"/>
          <w:sz w:val="22"/>
          <w:szCs w:val="22"/>
          <w:lang w:val="en-GB"/>
        </w:rPr>
        <w:t xml:space="preserve">on </w:t>
      </w:r>
      <w:r w:rsidRPr="00AC635C">
        <w:rPr>
          <w:color w:val="000000"/>
          <w:kern w:val="22"/>
          <w:sz w:val="22"/>
          <w:szCs w:val="22"/>
          <w:lang w:val="en-GB"/>
        </w:rPr>
        <w:t>17</w:t>
      </w:r>
      <w:r w:rsidR="0085790F" w:rsidRPr="00AC635C">
        <w:rPr>
          <w:color w:val="000000"/>
          <w:kern w:val="22"/>
          <w:sz w:val="22"/>
          <w:szCs w:val="22"/>
          <w:lang w:val="en-GB"/>
        </w:rPr>
        <w:t> and</w:t>
      </w:r>
      <w:r w:rsidRPr="00AC635C">
        <w:rPr>
          <w:color w:val="000000"/>
          <w:kern w:val="22"/>
          <w:sz w:val="22"/>
          <w:szCs w:val="22"/>
          <w:lang w:val="en-GB"/>
        </w:rPr>
        <w:t xml:space="preserve"> 18</w:t>
      </w:r>
      <w:r w:rsidR="0085790F" w:rsidRPr="00AC635C">
        <w:rPr>
          <w:color w:val="000000"/>
          <w:kern w:val="22"/>
          <w:sz w:val="22"/>
          <w:szCs w:val="22"/>
          <w:lang w:val="en-GB"/>
        </w:rPr>
        <w:t> </w:t>
      </w:r>
      <w:r w:rsidRPr="00AC635C">
        <w:rPr>
          <w:color w:val="000000"/>
          <w:kern w:val="22"/>
          <w:sz w:val="22"/>
          <w:szCs w:val="22"/>
          <w:lang w:val="en-GB"/>
        </w:rPr>
        <w:t>December</w:t>
      </w:r>
      <w:r w:rsidR="0085790F" w:rsidRPr="00AC635C">
        <w:rPr>
          <w:color w:val="000000"/>
          <w:kern w:val="22"/>
          <w:sz w:val="22"/>
          <w:szCs w:val="22"/>
          <w:lang w:val="en-GB"/>
        </w:rPr>
        <w:t> </w:t>
      </w:r>
      <w:r w:rsidRPr="00AC635C">
        <w:rPr>
          <w:color w:val="000000"/>
          <w:kern w:val="22"/>
          <w:sz w:val="22"/>
          <w:szCs w:val="22"/>
          <w:lang w:val="en-GB"/>
        </w:rPr>
        <w:t>2017</w:t>
      </w:r>
      <w:r w:rsidRPr="00AC635C">
        <w:rPr>
          <w:kern w:val="22"/>
          <w:sz w:val="22"/>
          <w:szCs w:val="22"/>
          <w:lang w:val="en-GB"/>
        </w:rPr>
        <w:t>. The report of the group will be considered</w:t>
      </w:r>
      <w:r w:rsidR="00BA7962" w:rsidRPr="00AC635C">
        <w:rPr>
          <w:color w:val="000000"/>
          <w:kern w:val="22"/>
          <w:sz w:val="22"/>
          <w:szCs w:val="22"/>
          <w:lang w:val="en-GB"/>
        </w:rPr>
        <w:t xml:space="preserve"> by the Subsidiary Body on Implementation</w:t>
      </w:r>
      <w:r w:rsidRPr="00AC635C">
        <w:rPr>
          <w:color w:val="000000"/>
          <w:kern w:val="22"/>
          <w:sz w:val="22"/>
          <w:szCs w:val="22"/>
          <w:lang w:val="en-GB"/>
        </w:rPr>
        <w:t xml:space="preserve"> under agenda item</w:t>
      </w:r>
      <w:r w:rsidR="00880CE5" w:rsidRPr="00AC635C">
        <w:rPr>
          <w:color w:val="000000"/>
          <w:kern w:val="22"/>
          <w:sz w:val="22"/>
          <w:szCs w:val="22"/>
          <w:lang w:val="en-GB"/>
        </w:rPr>
        <w:t> </w:t>
      </w:r>
      <w:r w:rsidR="00ED11C9" w:rsidRPr="00AC635C">
        <w:rPr>
          <w:color w:val="000000"/>
          <w:kern w:val="22"/>
          <w:sz w:val="22"/>
          <w:szCs w:val="22"/>
          <w:lang w:val="en-GB"/>
        </w:rPr>
        <w:t>11</w:t>
      </w:r>
      <w:r w:rsidR="00BA7962" w:rsidRPr="00AC635C">
        <w:rPr>
          <w:color w:val="000000"/>
          <w:kern w:val="22"/>
          <w:sz w:val="22"/>
          <w:szCs w:val="22"/>
          <w:lang w:val="en-GB"/>
        </w:rPr>
        <w:t>.</w:t>
      </w:r>
      <w:r w:rsidR="00DF6971" w:rsidRPr="00AC635C">
        <w:rPr>
          <w:rStyle w:val="FootnoteReference"/>
          <w:color w:val="000000"/>
          <w:kern w:val="22"/>
          <w:sz w:val="22"/>
          <w:szCs w:val="22"/>
          <w:lang w:val="en-GB"/>
        </w:rPr>
        <w:footnoteReference w:id="7"/>
      </w:r>
    </w:p>
    <w:p w14:paraId="215BF986" w14:textId="15BDF398" w:rsidR="00BA7962" w:rsidRPr="00AC635C" w:rsidRDefault="00330471"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n-GB"/>
        </w:rPr>
      </w:pPr>
      <w:r w:rsidRPr="00AC635C">
        <w:rPr>
          <w:b/>
          <w:bCs/>
          <w:iCs/>
          <w:kern w:val="22"/>
          <w:sz w:val="22"/>
          <w:szCs w:val="22"/>
          <w:lang w:val="en-GB"/>
        </w:rPr>
        <w:t>A.</w:t>
      </w:r>
      <w:r w:rsidRPr="00AC635C">
        <w:rPr>
          <w:b/>
          <w:bCs/>
          <w:iCs/>
          <w:kern w:val="22"/>
          <w:sz w:val="22"/>
          <w:szCs w:val="22"/>
          <w:lang w:val="en-GB"/>
        </w:rPr>
        <w:tab/>
      </w:r>
      <w:r w:rsidR="00BA7962" w:rsidRPr="00AC635C">
        <w:rPr>
          <w:b/>
          <w:bCs/>
          <w:iCs/>
          <w:kern w:val="22"/>
          <w:sz w:val="22"/>
          <w:szCs w:val="22"/>
          <w:lang w:val="en-GB"/>
        </w:rPr>
        <w:t>Common sets of indicators</w:t>
      </w:r>
    </w:p>
    <w:p w14:paraId="608053EF" w14:textId="37112DCF" w:rsidR="00B93197" w:rsidRPr="00AC635C"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In decision X</w:t>
      </w:r>
      <w:r w:rsidR="00DA3E4F" w:rsidRPr="00AC635C">
        <w:rPr>
          <w:kern w:val="22"/>
          <w:sz w:val="22"/>
          <w:szCs w:val="22"/>
          <w:lang w:val="en-GB"/>
        </w:rPr>
        <w:t>III</w:t>
      </w:r>
      <w:r w:rsidRPr="00AC635C">
        <w:rPr>
          <w:kern w:val="22"/>
          <w:sz w:val="22"/>
          <w:szCs w:val="22"/>
          <w:lang w:val="en-GB"/>
        </w:rPr>
        <w:t>/28, the Conference of the Parties emphasized t</w:t>
      </w:r>
      <w:r w:rsidRPr="00AC635C">
        <w:rPr>
          <w:iCs/>
          <w:kern w:val="22"/>
          <w:sz w:val="22"/>
          <w:szCs w:val="22"/>
          <w:lang w:val="en-GB"/>
        </w:rPr>
        <w:t xml:space="preserve">he advantages of aligning the indicators for the Strategic Plan for Biodiversity 2011-2020 and those of the Sustainable Development Goals and other relevant processes, noted that shared indicators must be reviewed to determine the degree to which they are suitable for each use, and </w:t>
      </w:r>
      <w:r w:rsidRPr="00AC635C">
        <w:rPr>
          <w:kern w:val="22"/>
          <w:sz w:val="22"/>
          <w:szCs w:val="22"/>
          <w:lang w:val="en-GB"/>
        </w:rPr>
        <w:t>stressed</w:t>
      </w:r>
      <w:r w:rsidRPr="00AC635C">
        <w:rPr>
          <w:i/>
          <w:kern w:val="22"/>
          <w:sz w:val="22"/>
          <w:szCs w:val="22"/>
          <w:lang w:val="en-GB"/>
        </w:rPr>
        <w:t xml:space="preserve"> </w:t>
      </w:r>
      <w:r w:rsidRPr="00AC635C">
        <w:rPr>
          <w:iCs/>
          <w:kern w:val="22"/>
          <w:sz w:val="22"/>
          <w:szCs w:val="22"/>
          <w:lang w:val="en-GB"/>
        </w:rPr>
        <w:t xml:space="preserve">the role of the </w:t>
      </w:r>
      <w:hyperlink r:id="rId27" w:history="1">
        <w:r w:rsidRPr="00AC635C">
          <w:rPr>
            <w:rStyle w:val="Hyperlink"/>
            <w:kern w:val="22"/>
            <w:sz w:val="22"/>
            <w:szCs w:val="22"/>
            <w:lang w:val="en-GB"/>
          </w:rPr>
          <w:t>Biodiversity Indicators Partnership</w:t>
        </w:r>
      </w:hyperlink>
      <w:r w:rsidRPr="00AC635C">
        <w:rPr>
          <w:iCs/>
          <w:kern w:val="22"/>
          <w:sz w:val="22"/>
          <w:szCs w:val="22"/>
          <w:lang w:val="en-GB"/>
        </w:rPr>
        <w:t xml:space="preserve"> in this regard.</w:t>
      </w:r>
    </w:p>
    <w:p w14:paraId="3620D1E4" w14:textId="2CED1E67" w:rsidR="0074168A" w:rsidRPr="00AC635C"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Biodiversity Indicators Partnership and its website have been instrumental in promoting the availability of indicators and their potential multiple uses for the biodiversity-related conventions, the Sustainable Development Goals, and potentially the other Rio </w:t>
      </w:r>
      <w:r w:rsidR="0066692C" w:rsidRPr="00AC635C">
        <w:rPr>
          <w:kern w:val="22"/>
          <w:sz w:val="22"/>
          <w:szCs w:val="22"/>
          <w:lang w:val="en-GB"/>
        </w:rPr>
        <w:t>c</w:t>
      </w:r>
      <w:r w:rsidRPr="00AC635C">
        <w:rPr>
          <w:kern w:val="22"/>
          <w:sz w:val="22"/>
          <w:szCs w:val="22"/>
          <w:lang w:val="en-GB"/>
        </w:rPr>
        <w:t>onventions. This has included the use of indicators at global and national scales. It has also promoted thematic and geographical disaggregation of indicators, as well as the development of new indicators, thereby adding value to the existing data and generating new evidence.</w:t>
      </w:r>
    </w:p>
    <w:p w14:paraId="2420D80B" w14:textId="5E634A33" w:rsidR="0074168A" w:rsidRPr="00AC635C"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list of indicators for the Strategic Plan for Biodiversity 2011-2020 annexed to decision XIII/28 contains a total of 40 indicators used or being developed for assessing progress towards the 169 targets of the Sustainable Development Goals. The significant use of common indicators reflects the representation of biodiversity-relevant elements across many Sustainable Development Goals and points to the multiple connections and nexus areas between biodiversity and other matters addressed in the 2030 </w:t>
      </w:r>
      <w:r w:rsidRPr="00AC635C">
        <w:rPr>
          <w:kern w:val="22"/>
          <w:sz w:val="22"/>
          <w:szCs w:val="22"/>
          <w:lang w:val="en-GB"/>
        </w:rPr>
        <w:lastRenderedPageBreak/>
        <w:t>Agenda for Sustainable Development.</w:t>
      </w:r>
      <w:r w:rsidR="00244327" w:rsidRPr="00AC635C">
        <w:rPr>
          <w:rStyle w:val="FootnoteReference"/>
          <w:kern w:val="22"/>
          <w:sz w:val="22"/>
          <w:szCs w:val="22"/>
          <w:lang w:val="en-GB"/>
        </w:rPr>
        <w:footnoteReference w:id="8"/>
      </w:r>
      <w:r w:rsidRPr="00AC635C">
        <w:rPr>
          <w:kern w:val="22"/>
          <w:sz w:val="22"/>
          <w:szCs w:val="22"/>
          <w:lang w:val="en-GB"/>
        </w:rPr>
        <w:t xml:space="preserve"> This facilitates the use of the same indicators by multiple institutions and processes and points to the value of disaggregation of global data</w:t>
      </w:r>
      <w:r w:rsidR="006669E7" w:rsidRPr="00AC635C">
        <w:rPr>
          <w:kern w:val="22"/>
          <w:sz w:val="22"/>
          <w:szCs w:val="22"/>
          <w:lang w:val="en-GB"/>
        </w:rPr>
        <w:t xml:space="preserve"> </w:t>
      </w:r>
      <w:r w:rsidRPr="00AC635C">
        <w:rPr>
          <w:kern w:val="22"/>
          <w:sz w:val="22"/>
          <w:szCs w:val="22"/>
          <w:lang w:val="en-GB"/>
        </w:rPr>
        <w:t xml:space="preserve">sets (such as the indicators based on the </w:t>
      </w:r>
      <w:hyperlink r:id="rId28" w:history="1">
        <w:r w:rsidRPr="00AC635C">
          <w:rPr>
            <w:rStyle w:val="Hyperlink"/>
            <w:kern w:val="22"/>
            <w:sz w:val="22"/>
            <w:szCs w:val="22"/>
            <w:lang w:val="en-GB"/>
          </w:rPr>
          <w:t>IUCN Red List of Threatened Species</w:t>
        </w:r>
      </w:hyperlink>
      <w:r w:rsidRPr="00AC635C">
        <w:rPr>
          <w:kern w:val="22"/>
          <w:sz w:val="22"/>
          <w:szCs w:val="22"/>
          <w:lang w:val="en-GB"/>
        </w:rPr>
        <w:t>) to provide targeted information for multiple policy processes.</w:t>
      </w:r>
    </w:p>
    <w:p w14:paraId="1B0CEB06" w14:textId="05F10A3C" w:rsidR="0074168A" w:rsidRPr="00AC635C" w:rsidRDefault="0074168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rFonts w:eastAsia="Malgun Gothic"/>
          <w:kern w:val="22"/>
          <w:sz w:val="22"/>
          <w:szCs w:val="22"/>
          <w:lang w:val="en-GB" w:eastAsia="en-US"/>
        </w:rPr>
      </w:pPr>
      <w:r w:rsidRPr="00AC635C">
        <w:rPr>
          <w:kern w:val="22"/>
          <w:sz w:val="22"/>
          <w:szCs w:val="22"/>
          <w:lang w:val="en-GB"/>
        </w:rPr>
        <w:t xml:space="preserve">Several indicators for the Sustainable Development Goals are under active development involving a range of partners, including the </w:t>
      </w:r>
      <w:r w:rsidR="00964580" w:rsidRPr="00AC635C">
        <w:rPr>
          <w:kern w:val="22"/>
          <w:sz w:val="22"/>
          <w:szCs w:val="22"/>
          <w:lang w:val="en-GB"/>
        </w:rPr>
        <w:t>S</w:t>
      </w:r>
      <w:r w:rsidRPr="00AC635C">
        <w:rPr>
          <w:kern w:val="22"/>
          <w:sz w:val="22"/>
          <w:szCs w:val="22"/>
          <w:lang w:val="en-GB"/>
        </w:rPr>
        <w:t xml:space="preserve">ecretariats of </w:t>
      </w:r>
      <w:r w:rsidRPr="00AC635C">
        <w:rPr>
          <w:rFonts w:eastAsia="Malgun Gothic"/>
          <w:kern w:val="22"/>
          <w:sz w:val="22"/>
          <w:szCs w:val="22"/>
          <w:lang w:val="en-GB" w:eastAsia="en-US"/>
        </w:rPr>
        <w:t xml:space="preserve">biodiversity-related </w:t>
      </w:r>
      <w:r w:rsidR="00964580" w:rsidRPr="00AC635C">
        <w:rPr>
          <w:rFonts w:eastAsia="Malgun Gothic"/>
          <w:kern w:val="22"/>
          <w:sz w:val="22"/>
          <w:szCs w:val="22"/>
          <w:lang w:val="en-GB" w:eastAsia="en-US"/>
        </w:rPr>
        <w:t>C</w:t>
      </w:r>
      <w:r w:rsidRPr="00AC635C">
        <w:rPr>
          <w:rFonts w:eastAsia="Malgun Gothic"/>
          <w:kern w:val="22"/>
          <w:sz w:val="22"/>
          <w:szCs w:val="22"/>
          <w:lang w:val="en-GB" w:eastAsia="en-US"/>
        </w:rPr>
        <w:t xml:space="preserve">onventions and Rio </w:t>
      </w:r>
      <w:r w:rsidR="00BC5524" w:rsidRPr="00AC635C">
        <w:rPr>
          <w:rFonts w:eastAsia="Malgun Gothic"/>
          <w:kern w:val="22"/>
          <w:sz w:val="22"/>
          <w:szCs w:val="22"/>
          <w:lang w:val="en-GB" w:eastAsia="en-US"/>
        </w:rPr>
        <w:t>c</w:t>
      </w:r>
      <w:r w:rsidRPr="00AC635C">
        <w:rPr>
          <w:rFonts w:eastAsia="Malgun Gothic"/>
          <w:kern w:val="22"/>
          <w:sz w:val="22"/>
          <w:szCs w:val="22"/>
          <w:lang w:val="en-GB" w:eastAsia="en-US"/>
        </w:rPr>
        <w:t>onventions</w:t>
      </w:r>
      <w:r w:rsidR="001166A3" w:rsidRPr="00AC635C">
        <w:rPr>
          <w:rFonts w:eastAsia="Malgun Gothic"/>
          <w:kern w:val="22"/>
          <w:sz w:val="22"/>
          <w:szCs w:val="22"/>
          <w:lang w:val="en-GB" w:eastAsia="en-US"/>
        </w:rPr>
        <w:t xml:space="preserve"> and other partners</w:t>
      </w:r>
      <w:r w:rsidRPr="00AC635C">
        <w:rPr>
          <w:rFonts w:eastAsia="Malgun Gothic"/>
          <w:kern w:val="22"/>
          <w:sz w:val="22"/>
          <w:szCs w:val="22"/>
          <w:lang w:val="en-GB" w:eastAsia="en-US"/>
        </w:rPr>
        <w:t xml:space="preserve">. </w:t>
      </w:r>
      <w:r w:rsidR="001166A3" w:rsidRPr="00AC635C">
        <w:rPr>
          <w:rFonts w:eastAsia="Malgun Gothic"/>
          <w:kern w:val="22"/>
          <w:sz w:val="22"/>
          <w:szCs w:val="22"/>
          <w:lang w:val="en-GB" w:eastAsia="en-US"/>
        </w:rPr>
        <w:t xml:space="preserve">This includes the development, by </w:t>
      </w:r>
      <w:hyperlink r:id="rId29" w:history="1">
        <w:r w:rsidR="001166A3" w:rsidRPr="00AC635C">
          <w:rPr>
            <w:rStyle w:val="Hyperlink"/>
            <w:rFonts w:eastAsia="Malgun Gothic"/>
            <w:sz w:val="22"/>
            <w:szCs w:val="22"/>
            <w:lang w:val="en-GB"/>
          </w:rPr>
          <w:t>UN</w:t>
        </w:r>
        <w:r w:rsidR="001D304E" w:rsidRPr="00AC635C">
          <w:rPr>
            <w:rStyle w:val="Hyperlink"/>
            <w:rFonts w:eastAsia="Malgun Gothic"/>
            <w:kern w:val="22"/>
            <w:sz w:val="22"/>
            <w:szCs w:val="22"/>
            <w:lang w:val="en-GB" w:eastAsia="en-US"/>
          </w:rPr>
          <w:noBreakHyphen/>
        </w:r>
        <w:r w:rsidR="001166A3" w:rsidRPr="00AC635C">
          <w:rPr>
            <w:rStyle w:val="Hyperlink"/>
            <w:rFonts w:eastAsia="Malgun Gothic"/>
            <w:sz w:val="22"/>
            <w:szCs w:val="22"/>
            <w:lang w:val="en-GB"/>
          </w:rPr>
          <w:t>Water</w:t>
        </w:r>
      </w:hyperlink>
      <w:r w:rsidR="001166A3" w:rsidRPr="00AC635C">
        <w:rPr>
          <w:rFonts w:eastAsia="Malgun Gothic"/>
          <w:kern w:val="22"/>
          <w:sz w:val="22"/>
          <w:szCs w:val="22"/>
          <w:lang w:val="en-GB" w:eastAsia="en-US"/>
        </w:rPr>
        <w:t xml:space="preserve"> under the lead</w:t>
      </w:r>
      <w:r w:rsidR="00876C4E" w:rsidRPr="00AC635C">
        <w:rPr>
          <w:rFonts w:eastAsia="Malgun Gothic"/>
          <w:kern w:val="22"/>
          <w:sz w:val="22"/>
          <w:szCs w:val="22"/>
          <w:lang w:val="en-GB" w:eastAsia="en-US"/>
        </w:rPr>
        <w:t>ership</w:t>
      </w:r>
      <w:r w:rsidR="001166A3" w:rsidRPr="00AC635C">
        <w:rPr>
          <w:rFonts w:eastAsia="Malgun Gothic"/>
          <w:kern w:val="22"/>
          <w:sz w:val="22"/>
          <w:szCs w:val="22"/>
          <w:lang w:val="en-GB" w:eastAsia="en-US"/>
        </w:rPr>
        <w:t xml:space="preserve"> of </w:t>
      </w:r>
      <w:r w:rsidR="00DA3E4F" w:rsidRPr="00AC635C">
        <w:rPr>
          <w:rFonts w:eastAsia="Malgun Gothic"/>
          <w:kern w:val="22"/>
          <w:sz w:val="22"/>
          <w:szCs w:val="22"/>
          <w:lang w:val="en-GB" w:eastAsia="en-US"/>
        </w:rPr>
        <w:t xml:space="preserve">the </w:t>
      </w:r>
      <w:hyperlink r:id="rId30" w:history="1">
        <w:r w:rsidR="00DA3E4F" w:rsidRPr="00AC635C">
          <w:rPr>
            <w:rStyle w:val="Hyperlink"/>
            <w:rFonts w:eastAsia="Malgun Gothic"/>
            <w:sz w:val="22"/>
            <w:szCs w:val="22"/>
            <w:lang w:val="en-GB"/>
          </w:rPr>
          <w:t>United Nations Educational, Scientific and Cultural Organization</w:t>
        </w:r>
      </w:hyperlink>
      <w:r w:rsidR="00DA3E4F" w:rsidRPr="00AC635C">
        <w:rPr>
          <w:rFonts w:eastAsia="Malgun Gothic"/>
          <w:kern w:val="22"/>
          <w:sz w:val="22"/>
          <w:szCs w:val="22"/>
          <w:lang w:val="en-GB" w:eastAsia="en-US"/>
        </w:rPr>
        <w:t xml:space="preserve"> (</w:t>
      </w:r>
      <w:r w:rsidR="001166A3" w:rsidRPr="00AC635C">
        <w:rPr>
          <w:rFonts w:eastAsia="Malgun Gothic"/>
          <w:kern w:val="22"/>
          <w:sz w:val="22"/>
          <w:szCs w:val="22"/>
          <w:lang w:val="en-GB" w:eastAsia="en-US"/>
        </w:rPr>
        <w:t>UNESCO</w:t>
      </w:r>
      <w:r w:rsidR="00DA3E4F" w:rsidRPr="00AC635C">
        <w:rPr>
          <w:rFonts w:eastAsia="Malgun Gothic"/>
          <w:kern w:val="22"/>
          <w:sz w:val="22"/>
          <w:szCs w:val="22"/>
          <w:lang w:val="en-GB" w:eastAsia="en-US"/>
        </w:rPr>
        <w:t>)</w:t>
      </w:r>
      <w:r w:rsidR="001166A3" w:rsidRPr="00AC635C">
        <w:rPr>
          <w:rFonts w:eastAsia="Malgun Gothic"/>
          <w:kern w:val="22"/>
          <w:sz w:val="22"/>
          <w:szCs w:val="22"/>
          <w:lang w:val="en-GB" w:eastAsia="en-US"/>
        </w:rPr>
        <w:t xml:space="preserve"> of an indicator for Target 6.6 (“By 2020, protect and restore water-related ecosystems, including mountains, forests, wetlands, rivers, aquifers and lakes”). It also includes the development, by members of the Collaborative Partnership on Forests under the lead</w:t>
      </w:r>
      <w:r w:rsidR="004704D6" w:rsidRPr="00AC635C">
        <w:rPr>
          <w:rFonts w:eastAsia="Malgun Gothic"/>
          <w:kern w:val="22"/>
          <w:sz w:val="22"/>
          <w:szCs w:val="22"/>
          <w:lang w:val="en-GB" w:eastAsia="en-US"/>
        </w:rPr>
        <w:t>ership</w:t>
      </w:r>
      <w:r w:rsidR="001166A3" w:rsidRPr="00AC635C">
        <w:rPr>
          <w:rFonts w:eastAsia="Malgun Gothic"/>
          <w:kern w:val="22"/>
          <w:sz w:val="22"/>
          <w:szCs w:val="22"/>
          <w:lang w:val="en-GB" w:eastAsia="en-US"/>
        </w:rPr>
        <w:t xml:space="preserve"> of </w:t>
      </w:r>
      <w:r w:rsidR="00DA3E4F" w:rsidRPr="00AC635C">
        <w:rPr>
          <w:rFonts w:eastAsia="Malgun Gothic"/>
          <w:kern w:val="22"/>
          <w:sz w:val="22"/>
          <w:szCs w:val="22"/>
          <w:lang w:val="en-GB" w:eastAsia="en-US"/>
        </w:rPr>
        <w:t xml:space="preserve">the </w:t>
      </w:r>
      <w:hyperlink r:id="rId31" w:history="1">
        <w:r w:rsidR="00DA3E4F" w:rsidRPr="00AC635C">
          <w:rPr>
            <w:rStyle w:val="Hyperlink"/>
            <w:rFonts w:eastAsia="Malgun Gothic"/>
            <w:sz w:val="22"/>
            <w:szCs w:val="22"/>
            <w:lang w:val="en-GB"/>
          </w:rPr>
          <w:t>Food and Agriculture Organization of the United Nations</w:t>
        </w:r>
      </w:hyperlink>
      <w:r w:rsidR="00DA3E4F" w:rsidRPr="00AC635C">
        <w:rPr>
          <w:rFonts w:eastAsia="Malgun Gothic"/>
          <w:kern w:val="22"/>
          <w:sz w:val="22"/>
          <w:szCs w:val="22"/>
          <w:lang w:val="en-GB" w:eastAsia="en-US"/>
        </w:rPr>
        <w:t xml:space="preserve"> (</w:t>
      </w:r>
      <w:r w:rsidR="001166A3" w:rsidRPr="00AC635C">
        <w:rPr>
          <w:rFonts w:eastAsia="Malgun Gothic"/>
          <w:kern w:val="22"/>
          <w:sz w:val="22"/>
          <w:szCs w:val="22"/>
          <w:lang w:val="en-GB" w:eastAsia="en-US"/>
        </w:rPr>
        <w:t>FAO</w:t>
      </w:r>
      <w:r w:rsidR="00DA3E4F" w:rsidRPr="00AC635C">
        <w:rPr>
          <w:rFonts w:eastAsia="Malgun Gothic"/>
          <w:kern w:val="22"/>
          <w:sz w:val="22"/>
          <w:szCs w:val="22"/>
          <w:lang w:val="en-GB" w:eastAsia="en-US"/>
        </w:rPr>
        <w:t>)</w:t>
      </w:r>
      <w:r w:rsidR="004704D6" w:rsidRPr="00AC635C">
        <w:rPr>
          <w:rFonts w:eastAsia="Malgun Gothic"/>
          <w:kern w:val="22"/>
          <w:sz w:val="22"/>
          <w:szCs w:val="22"/>
          <w:lang w:val="en-GB" w:eastAsia="en-US"/>
        </w:rPr>
        <w:t>,</w:t>
      </w:r>
      <w:r w:rsidR="001166A3" w:rsidRPr="00AC635C">
        <w:rPr>
          <w:rFonts w:eastAsia="Malgun Gothic"/>
          <w:kern w:val="22"/>
          <w:sz w:val="22"/>
          <w:szCs w:val="22"/>
          <w:lang w:val="en-GB" w:eastAsia="en-US"/>
        </w:rPr>
        <w:t xml:space="preserve"> of an indicator for Target 15.2 (“By 2020, promote the implementation of sustainable management of all types of forests, halt deforestation, restore degraded forests and substantially increase afforestation and reforestation globally”).</w:t>
      </w:r>
      <w:r w:rsidR="000D0ABA" w:rsidRPr="00AC635C">
        <w:rPr>
          <w:rFonts w:eastAsia="Malgun Gothic"/>
          <w:kern w:val="22"/>
          <w:sz w:val="22"/>
          <w:szCs w:val="22"/>
          <w:lang w:val="en-GB" w:eastAsia="en-US"/>
        </w:rPr>
        <w:t xml:space="preserve"> F</w:t>
      </w:r>
      <w:r w:rsidR="00171495" w:rsidRPr="00AC635C">
        <w:rPr>
          <w:rFonts w:eastAsia="Malgun Gothic"/>
          <w:kern w:val="22"/>
          <w:sz w:val="22"/>
          <w:szCs w:val="22"/>
          <w:lang w:val="en-GB" w:eastAsia="en-US"/>
        </w:rPr>
        <w:t>or f</w:t>
      </w:r>
      <w:r w:rsidR="000D0ABA" w:rsidRPr="00AC635C">
        <w:rPr>
          <w:rFonts w:eastAsia="Malgun Gothic"/>
          <w:kern w:val="22"/>
          <w:sz w:val="22"/>
          <w:szCs w:val="22"/>
          <w:lang w:val="en-GB" w:eastAsia="en-US"/>
        </w:rPr>
        <w:t>urther details on collaboration among the members of the Collaborative Partnership on Forests</w:t>
      </w:r>
      <w:r w:rsidR="00171495" w:rsidRPr="00AC635C">
        <w:rPr>
          <w:rFonts w:eastAsia="Malgun Gothic"/>
          <w:kern w:val="22"/>
          <w:sz w:val="22"/>
          <w:szCs w:val="22"/>
          <w:lang w:val="en-GB" w:eastAsia="en-US"/>
        </w:rPr>
        <w:t>,</w:t>
      </w:r>
      <w:r w:rsidR="000D0ABA" w:rsidRPr="00AC635C">
        <w:rPr>
          <w:rFonts w:eastAsia="Malgun Gothic"/>
          <w:kern w:val="22"/>
          <w:sz w:val="22"/>
          <w:szCs w:val="22"/>
          <w:lang w:val="en-GB" w:eastAsia="en-US"/>
        </w:rPr>
        <w:t xml:space="preserve"> </w:t>
      </w:r>
      <w:r w:rsidR="00171495" w:rsidRPr="00AC635C">
        <w:rPr>
          <w:rFonts w:eastAsia="Malgun Gothic"/>
          <w:kern w:val="22"/>
          <w:sz w:val="22"/>
          <w:szCs w:val="22"/>
          <w:lang w:val="en-GB" w:eastAsia="en-US"/>
        </w:rPr>
        <w:t>see</w:t>
      </w:r>
      <w:r w:rsidR="000D0ABA" w:rsidRPr="00AC635C">
        <w:rPr>
          <w:rFonts w:eastAsia="Malgun Gothic"/>
          <w:kern w:val="22"/>
          <w:sz w:val="22"/>
          <w:szCs w:val="22"/>
          <w:lang w:val="en-GB" w:eastAsia="en-US"/>
        </w:rPr>
        <w:t xml:space="preserve"> </w:t>
      </w:r>
      <w:r w:rsidR="00DA3E4F" w:rsidRPr="00AC635C">
        <w:rPr>
          <w:rFonts w:eastAsia="Malgun Gothic"/>
          <w:kern w:val="22"/>
          <w:sz w:val="22"/>
          <w:szCs w:val="22"/>
          <w:lang w:val="en-GB" w:eastAsia="en-US"/>
        </w:rPr>
        <w:t>CBD/</w:t>
      </w:r>
      <w:r w:rsidR="000D0ABA" w:rsidRPr="00AC635C">
        <w:rPr>
          <w:rFonts w:eastAsia="Malgun Gothic"/>
          <w:kern w:val="22"/>
          <w:sz w:val="22"/>
          <w:szCs w:val="22"/>
          <w:lang w:val="en-GB" w:eastAsia="en-US"/>
        </w:rPr>
        <w:t xml:space="preserve">SBI/2/10/Add.2 </w:t>
      </w:r>
      <w:r w:rsidR="00171495" w:rsidRPr="00AC635C">
        <w:rPr>
          <w:rFonts w:eastAsia="Malgun Gothic"/>
          <w:kern w:val="22"/>
          <w:sz w:val="22"/>
          <w:szCs w:val="22"/>
          <w:lang w:val="en-GB" w:eastAsia="en-US"/>
        </w:rPr>
        <w:t>(</w:t>
      </w:r>
      <w:r w:rsidR="000D0ABA" w:rsidRPr="00AC635C">
        <w:rPr>
          <w:rFonts w:eastAsia="Malgun Gothic"/>
          <w:kern w:val="22"/>
          <w:sz w:val="22"/>
          <w:szCs w:val="22"/>
          <w:lang w:val="en-GB" w:eastAsia="en-US"/>
        </w:rPr>
        <w:t>considered under agenda item</w:t>
      </w:r>
      <w:r w:rsidR="001D304E" w:rsidRPr="00AC635C">
        <w:rPr>
          <w:rFonts w:eastAsia="Malgun Gothic"/>
          <w:kern w:val="22"/>
          <w:sz w:val="22"/>
          <w:szCs w:val="22"/>
          <w:lang w:val="en-GB" w:eastAsia="en-US"/>
        </w:rPr>
        <w:t> </w:t>
      </w:r>
      <w:r w:rsidR="000D0ABA" w:rsidRPr="00AC635C">
        <w:rPr>
          <w:rFonts w:eastAsia="Malgun Gothic"/>
          <w:kern w:val="22"/>
          <w:sz w:val="22"/>
          <w:szCs w:val="22"/>
          <w:lang w:val="en-GB" w:eastAsia="en-US"/>
        </w:rPr>
        <w:t>11</w:t>
      </w:r>
      <w:r w:rsidR="00171495" w:rsidRPr="00AC635C">
        <w:rPr>
          <w:rFonts w:eastAsia="Malgun Gothic"/>
          <w:kern w:val="22"/>
          <w:sz w:val="22"/>
          <w:szCs w:val="22"/>
          <w:lang w:val="en-GB" w:eastAsia="en-US"/>
        </w:rPr>
        <w:t>)</w:t>
      </w:r>
      <w:r w:rsidR="000D0ABA" w:rsidRPr="00AC635C">
        <w:rPr>
          <w:rFonts w:eastAsia="Malgun Gothic"/>
          <w:kern w:val="22"/>
          <w:sz w:val="22"/>
          <w:szCs w:val="22"/>
          <w:lang w:val="en-GB" w:eastAsia="en-US"/>
        </w:rPr>
        <w:t>.</w:t>
      </w:r>
    </w:p>
    <w:p w14:paraId="59A11487" w14:textId="22310233" w:rsidR="00BA7962" w:rsidRPr="00AC635C" w:rsidRDefault="001166A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With regard to Target 15.3 (“By 2030, combat desertification, restore degraded land and soil, including land affected by desertification, drought and floods, and strive to achieve a land degradation-neutral world”), </w:t>
      </w:r>
      <w:r w:rsidR="00BA7962" w:rsidRPr="00AC635C">
        <w:rPr>
          <w:kern w:val="22"/>
          <w:sz w:val="22"/>
          <w:szCs w:val="22"/>
          <w:lang w:val="en-GB"/>
        </w:rPr>
        <w:t>the Conference of the Parties</w:t>
      </w:r>
      <w:r w:rsidRPr="00AC635C">
        <w:rPr>
          <w:kern w:val="22"/>
          <w:sz w:val="22"/>
          <w:szCs w:val="22"/>
          <w:lang w:val="en-GB"/>
        </w:rPr>
        <w:t xml:space="preserve">, in decision </w:t>
      </w:r>
      <w:hyperlink r:id="rId32" w:history="1">
        <w:r w:rsidRPr="00AC635C">
          <w:rPr>
            <w:rStyle w:val="Hyperlink"/>
            <w:kern w:val="22"/>
            <w:sz w:val="22"/>
            <w:szCs w:val="22"/>
            <w:lang w:val="en-GB"/>
          </w:rPr>
          <w:t>X/35</w:t>
        </w:r>
      </w:hyperlink>
      <w:r w:rsidRPr="00AC635C">
        <w:rPr>
          <w:kern w:val="22"/>
          <w:sz w:val="22"/>
          <w:szCs w:val="22"/>
          <w:lang w:val="en-GB"/>
        </w:rPr>
        <w:t xml:space="preserve">, </w:t>
      </w:r>
      <w:r w:rsidR="00BA7962" w:rsidRPr="00AC635C">
        <w:rPr>
          <w:kern w:val="22"/>
          <w:sz w:val="22"/>
          <w:szCs w:val="22"/>
          <w:lang w:val="en-GB"/>
        </w:rPr>
        <w:t xml:space="preserve">requested the Executive Secretary, in collaboration with the </w:t>
      </w:r>
      <w:r w:rsidR="00D64AEA" w:rsidRPr="00AC635C">
        <w:rPr>
          <w:kern w:val="22"/>
          <w:sz w:val="22"/>
          <w:szCs w:val="22"/>
          <w:lang w:val="en-GB"/>
        </w:rPr>
        <w:t>s</w:t>
      </w:r>
      <w:r w:rsidR="00BA7962" w:rsidRPr="00AC635C">
        <w:rPr>
          <w:kern w:val="22"/>
          <w:sz w:val="22"/>
          <w:szCs w:val="22"/>
          <w:lang w:val="en-GB"/>
        </w:rPr>
        <w:t xml:space="preserve">ecretariat of the </w:t>
      </w:r>
      <w:hyperlink r:id="rId33" w:history="1">
        <w:r w:rsidR="00BA7962" w:rsidRPr="00AC635C">
          <w:rPr>
            <w:rStyle w:val="Hyperlink"/>
            <w:sz w:val="22"/>
            <w:szCs w:val="22"/>
            <w:lang w:val="en-GB"/>
          </w:rPr>
          <w:t>United Nations Convention to Combat Desertification</w:t>
        </w:r>
      </w:hyperlink>
      <w:r w:rsidR="00DA357E" w:rsidRPr="00AC635C">
        <w:rPr>
          <w:kern w:val="22"/>
          <w:sz w:val="22"/>
          <w:szCs w:val="22"/>
          <w:lang w:val="en-GB"/>
        </w:rPr>
        <w:t xml:space="preserve"> (UNCCD)</w:t>
      </w:r>
      <w:r w:rsidR="00BA7962" w:rsidRPr="00AC635C">
        <w:rPr>
          <w:kern w:val="22"/>
          <w:sz w:val="22"/>
          <w:szCs w:val="22"/>
          <w:lang w:val="en-GB"/>
        </w:rPr>
        <w:t xml:space="preserve"> and, as far as possible, the </w:t>
      </w:r>
      <w:r w:rsidR="00D64AEA" w:rsidRPr="00AC635C">
        <w:rPr>
          <w:kern w:val="22"/>
          <w:sz w:val="22"/>
          <w:szCs w:val="22"/>
          <w:lang w:val="en-GB"/>
        </w:rPr>
        <w:t>s</w:t>
      </w:r>
      <w:r w:rsidR="00BA7962" w:rsidRPr="00AC635C">
        <w:rPr>
          <w:kern w:val="22"/>
          <w:sz w:val="22"/>
          <w:szCs w:val="22"/>
          <w:lang w:val="en-GB"/>
        </w:rPr>
        <w:t xml:space="preserve">ecretariat of the </w:t>
      </w:r>
      <w:hyperlink r:id="rId34" w:history="1">
        <w:r w:rsidR="00BA7962" w:rsidRPr="00AC635C">
          <w:rPr>
            <w:rStyle w:val="Hyperlink"/>
            <w:sz w:val="22"/>
            <w:szCs w:val="22"/>
            <w:lang w:val="en-GB"/>
          </w:rPr>
          <w:t>United Nations Framework Convention on Climate Change</w:t>
        </w:r>
      </w:hyperlink>
      <w:r w:rsidR="00B81CDF" w:rsidRPr="00AC635C">
        <w:rPr>
          <w:kern w:val="22"/>
          <w:sz w:val="22"/>
          <w:szCs w:val="22"/>
          <w:lang w:val="en-GB"/>
        </w:rPr>
        <w:t xml:space="preserve"> (UNFCCC)</w:t>
      </w:r>
      <w:r w:rsidR="00BA7962" w:rsidRPr="00AC635C">
        <w:rPr>
          <w:kern w:val="22"/>
          <w:sz w:val="22"/>
          <w:szCs w:val="22"/>
          <w:lang w:val="en-GB"/>
        </w:rPr>
        <w:t>, as well as other relevant partners, to</w:t>
      </w:r>
      <w:r w:rsidR="00A9135C" w:rsidRPr="00AC635C">
        <w:rPr>
          <w:kern w:val="22"/>
          <w:sz w:val="22"/>
          <w:szCs w:val="22"/>
          <w:lang w:val="en-GB"/>
        </w:rPr>
        <w:t>,</w:t>
      </w:r>
      <w:r w:rsidR="00BA7962" w:rsidRPr="00AC635C">
        <w:rPr>
          <w:kern w:val="22"/>
          <w:sz w:val="22"/>
          <w:szCs w:val="22"/>
          <w:lang w:val="en-GB"/>
        </w:rPr>
        <w:t xml:space="preserve"> inter alia</w:t>
      </w:r>
      <w:r w:rsidR="00A9135C" w:rsidRPr="00AC635C">
        <w:rPr>
          <w:kern w:val="22"/>
          <w:sz w:val="22"/>
          <w:szCs w:val="22"/>
          <w:lang w:val="en-GB"/>
        </w:rPr>
        <w:t>,</w:t>
      </w:r>
      <w:r w:rsidR="00BA7962" w:rsidRPr="00AC635C">
        <w:rPr>
          <w:kern w:val="22"/>
          <w:sz w:val="22"/>
          <w:szCs w:val="22"/>
          <w:lang w:val="en-GB"/>
        </w:rPr>
        <w:t xml:space="preserve"> identify common indicators between the </w:t>
      </w:r>
      <w:r w:rsidR="00DA357E" w:rsidRPr="00AC635C">
        <w:rPr>
          <w:kern w:val="22"/>
          <w:sz w:val="22"/>
          <w:szCs w:val="22"/>
          <w:lang w:val="en-GB"/>
        </w:rPr>
        <w:t xml:space="preserve">UNCCD </w:t>
      </w:r>
      <w:r w:rsidR="00BA7962" w:rsidRPr="00AC635C">
        <w:rPr>
          <w:kern w:val="22"/>
          <w:sz w:val="22"/>
          <w:szCs w:val="22"/>
          <w:lang w:val="en-GB"/>
        </w:rPr>
        <w:t xml:space="preserve">ten-year strategic plan </w:t>
      </w:r>
      <w:r w:rsidR="000B516A" w:rsidRPr="00AC635C">
        <w:rPr>
          <w:kern w:val="22"/>
          <w:sz w:val="22"/>
          <w:szCs w:val="22"/>
          <w:lang w:val="en-GB"/>
        </w:rPr>
        <w:t>(</w:t>
      </w:r>
      <w:hyperlink r:id="rId35" w:history="1">
        <w:r w:rsidR="000B516A" w:rsidRPr="00AC635C">
          <w:rPr>
            <w:rStyle w:val="Hyperlink"/>
            <w:kern w:val="22"/>
            <w:sz w:val="22"/>
            <w:szCs w:val="22"/>
            <w:lang w:val="en-GB"/>
          </w:rPr>
          <w:t>A/C.2/62/7</w:t>
        </w:r>
      </w:hyperlink>
      <w:r w:rsidR="000B516A" w:rsidRPr="00AC635C">
        <w:rPr>
          <w:kern w:val="22"/>
          <w:sz w:val="22"/>
          <w:szCs w:val="22"/>
          <w:lang w:val="en-GB"/>
        </w:rPr>
        <w:t xml:space="preserve">, annex) </w:t>
      </w:r>
      <w:r w:rsidR="00BA7962" w:rsidRPr="00AC635C">
        <w:rPr>
          <w:kern w:val="22"/>
          <w:sz w:val="22"/>
          <w:szCs w:val="22"/>
          <w:lang w:val="en-GB"/>
        </w:rPr>
        <w:t xml:space="preserve">and the </w:t>
      </w:r>
      <w:hyperlink r:id="rId36" w:history="1">
        <w:r w:rsidR="00BA7962" w:rsidRPr="00AC635C">
          <w:rPr>
            <w:rStyle w:val="Hyperlink"/>
            <w:sz w:val="22"/>
            <w:szCs w:val="22"/>
            <w:lang w:val="en-GB"/>
          </w:rPr>
          <w:t>2010 biodiversity target</w:t>
        </w:r>
      </w:hyperlink>
      <w:r w:rsidR="00BA7962" w:rsidRPr="00AC635C">
        <w:rPr>
          <w:kern w:val="22"/>
          <w:sz w:val="22"/>
          <w:szCs w:val="22"/>
          <w:lang w:val="en-GB"/>
        </w:rPr>
        <w:t xml:space="preserve"> and Strategic Plan for Biodiversity 2011-2020.</w:t>
      </w:r>
    </w:p>
    <w:p w14:paraId="139D6699" w14:textId="377C28F7" w:rsidR="00BA7962" w:rsidRPr="00AC635C" w:rsidRDefault="001166A3"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T</w:t>
      </w:r>
      <w:r w:rsidR="00BA7962" w:rsidRPr="00AC635C">
        <w:rPr>
          <w:kern w:val="22"/>
          <w:sz w:val="22"/>
          <w:szCs w:val="22"/>
          <w:lang w:val="en-GB"/>
        </w:rPr>
        <w:t xml:space="preserve">he </w:t>
      </w:r>
      <w:r w:rsidR="00BA7962" w:rsidRPr="00AC635C">
        <w:rPr>
          <w:iCs/>
          <w:kern w:val="22"/>
          <w:sz w:val="22"/>
          <w:szCs w:val="22"/>
          <w:lang w:val="en-GB"/>
        </w:rPr>
        <w:t>Subsidiary Body on Scientific, Technical and Technological Advice</w:t>
      </w:r>
      <w:r w:rsidR="00ED11C9" w:rsidRPr="00AC635C">
        <w:rPr>
          <w:iCs/>
          <w:kern w:val="22"/>
          <w:sz w:val="22"/>
          <w:szCs w:val="22"/>
          <w:lang w:val="en-GB"/>
        </w:rPr>
        <w:t xml:space="preserve">, in </w:t>
      </w:r>
      <w:r w:rsidR="00BA7962" w:rsidRPr="00AC635C">
        <w:rPr>
          <w:kern w:val="22"/>
          <w:sz w:val="22"/>
          <w:szCs w:val="22"/>
          <w:lang w:val="en-GB"/>
        </w:rPr>
        <w:t xml:space="preserve">recommendation </w:t>
      </w:r>
      <w:hyperlink r:id="rId37" w:history="1">
        <w:r w:rsidR="00BA7962" w:rsidRPr="00AC635C">
          <w:rPr>
            <w:rStyle w:val="Hyperlink"/>
            <w:sz w:val="22"/>
            <w:szCs w:val="22"/>
            <w:lang w:val="en-GB"/>
          </w:rPr>
          <w:t>XIX/4</w:t>
        </w:r>
      </w:hyperlink>
      <w:r w:rsidR="00BA7962" w:rsidRPr="00AC635C">
        <w:rPr>
          <w:kern w:val="22"/>
          <w:sz w:val="22"/>
          <w:szCs w:val="22"/>
          <w:lang w:val="en-GB"/>
        </w:rPr>
        <w:t>, paragraph 10</w:t>
      </w:r>
      <w:r w:rsidR="00ED11C9" w:rsidRPr="00AC635C">
        <w:rPr>
          <w:kern w:val="22"/>
          <w:sz w:val="22"/>
          <w:szCs w:val="22"/>
          <w:lang w:val="en-GB"/>
        </w:rPr>
        <w:t>,</w:t>
      </w:r>
      <w:r w:rsidR="00BA7962" w:rsidRPr="00AC635C">
        <w:rPr>
          <w:kern w:val="22"/>
          <w:sz w:val="22"/>
          <w:szCs w:val="22"/>
          <w:lang w:val="en-GB"/>
        </w:rPr>
        <w:t xml:space="preserve"> </w:t>
      </w:r>
      <w:r w:rsidRPr="00AC635C">
        <w:rPr>
          <w:kern w:val="22"/>
          <w:sz w:val="22"/>
          <w:szCs w:val="22"/>
          <w:lang w:val="en-GB"/>
        </w:rPr>
        <w:t xml:space="preserve">called for </w:t>
      </w:r>
      <w:r w:rsidR="00BA7962" w:rsidRPr="00AC635C">
        <w:rPr>
          <w:kern w:val="22"/>
          <w:sz w:val="22"/>
          <w:szCs w:val="22"/>
          <w:lang w:val="en-GB"/>
        </w:rPr>
        <w:t>continue</w:t>
      </w:r>
      <w:r w:rsidRPr="00AC635C">
        <w:rPr>
          <w:kern w:val="22"/>
          <w:sz w:val="22"/>
          <w:szCs w:val="22"/>
          <w:lang w:val="en-GB"/>
        </w:rPr>
        <w:t>d</w:t>
      </w:r>
      <w:r w:rsidR="00BA7962" w:rsidRPr="00AC635C">
        <w:rPr>
          <w:kern w:val="22"/>
          <w:sz w:val="22"/>
          <w:szCs w:val="22"/>
          <w:lang w:val="en-GB"/>
        </w:rPr>
        <w:t xml:space="preserve"> collaborat</w:t>
      </w:r>
      <w:r w:rsidRPr="00AC635C">
        <w:rPr>
          <w:kern w:val="22"/>
          <w:sz w:val="22"/>
          <w:szCs w:val="22"/>
          <w:lang w:val="en-GB"/>
        </w:rPr>
        <w:t>ion</w:t>
      </w:r>
      <w:r w:rsidR="00BA7962" w:rsidRPr="00AC635C">
        <w:rPr>
          <w:kern w:val="22"/>
          <w:sz w:val="22"/>
          <w:szCs w:val="22"/>
          <w:lang w:val="en-GB"/>
        </w:rPr>
        <w:t xml:space="preserve"> with (</w:t>
      </w:r>
      <w:r w:rsidR="00AE3481" w:rsidRPr="00AC635C">
        <w:rPr>
          <w:kern w:val="22"/>
          <w:sz w:val="22"/>
          <w:szCs w:val="22"/>
          <w:lang w:val="en-GB"/>
        </w:rPr>
        <w:t>a</w:t>
      </w:r>
      <w:r w:rsidR="00BA7962" w:rsidRPr="00AC635C">
        <w:rPr>
          <w:kern w:val="22"/>
          <w:sz w:val="22"/>
          <w:szCs w:val="22"/>
          <w:lang w:val="en-GB"/>
        </w:rPr>
        <w:t xml:space="preserve">) the Inter-agency and Expert Group on the Sustainable Development Goals indicators under the </w:t>
      </w:r>
      <w:hyperlink r:id="rId38" w:history="1">
        <w:r w:rsidR="00BA7962" w:rsidRPr="00AC635C">
          <w:rPr>
            <w:rStyle w:val="Hyperlink"/>
            <w:sz w:val="22"/>
            <w:szCs w:val="22"/>
            <w:lang w:val="en-GB"/>
          </w:rPr>
          <w:t>United Nations Statistical Commission</w:t>
        </w:r>
      </w:hyperlink>
      <w:r w:rsidR="00BA7962" w:rsidRPr="00AC635C">
        <w:rPr>
          <w:kern w:val="22"/>
          <w:sz w:val="22"/>
          <w:szCs w:val="22"/>
          <w:lang w:val="en-GB"/>
        </w:rPr>
        <w:t>, in order to reflect the multiple links between the Strategic Plan for Biodiversity 2011-2020 and its Aichi Targets, and the Sustainable Development Goals and (</w:t>
      </w:r>
      <w:r w:rsidR="00AE3481" w:rsidRPr="00AC635C">
        <w:rPr>
          <w:kern w:val="22"/>
          <w:sz w:val="22"/>
          <w:szCs w:val="22"/>
          <w:lang w:val="en-GB"/>
        </w:rPr>
        <w:t>b</w:t>
      </w:r>
      <w:r w:rsidR="00BA7962" w:rsidRPr="00AC635C">
        <w:rPr>
          <w:kern w:val="22"/>
          <w:sz w:val="22"/>
          <w:szCs w:val="22"/>
          <w:lang w:val="en-GB"/>
        </w:rPr>
        <w:t xml:space="preserve">) with </w:t>
      </w:r>
      <w:r w:rsidR="00DA357E" w:rsidRPr="00AC635C">
        <w:rPr>
          <w:kern w:val="22"/>
          <w:sz w:val="22"/>
          <w:szCs w:val="22"/>
          <w:lang w:val="en-GB"/>
        </w:rPr>
        <w:t>UNCCD</w:t>
      </w:r>
      <w:r w:rsidR="00BA7962" w:rsidRPr="00AC635C">
        <w:rPr>
          <w:kern w:val="22"/>
          <w:sz w:val="22"/>
          <w:szCs w:val="22"/>
          <w:lang w:val="en-GB"/>
        </w:rPr>
        <w:t xml:space="preserve"> on the further operationalization of the three land-based progress indicators (trends in land cover, trends in land productivity or functioning of the land, and trends in carbon stock above and below ground) set out in UNCCD decision </w:t>
      </w:r>
      <w:r w:rsidR="009D12C7" w:rsidRPr="00AC635C">
        <w:rPr>
          <w:kern w:val="22"/>
          <w:sz w:val="22"/>
          <w:szCs w:val="22"/>
          <w:lang w:val="en-GB"/>
        </w:rPr>
        <w:t>9</w:t>
      </w:r>
      <w:r w:rsidR="00BA7962" w:rsidRPr="00AC635C">
        <w:rPr>
          <w:kern w:val="22"/>
          <w:sz w:val="22"/>
          <w:szCs w:val="22"/>
          <w:lang w:val="en-GB"/>
        </w:rPr>
        <w:t>/COP.12.</w:t>
      </w:r>
      <w:r w:rsidR="009D12C7" w:rsidRPr="00AC635C">
        <w:rPr>
          <w:rStyle w:val="FootnoteReference"/>
          <w:kern w:val="22"/>
          <w:sz w:val="22"/>
          <w:szCs w:val="22"/>
          <w:lang w:val="en-GB"/>
        </w:rPr>
        <w:footnoteReference w:id="9"/>
      </w:r>
    </w:p>
    <w:p w14:paraId="1875B01C" w14:textId="6ACA05A6" w:rsidR="00BA7962" w:rsidRPr="00AC635C" w:rsidRDefault="00DA357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UNCCD</w:t>
      </w:r>
      <w:r w:rsidR="00BA7962" w:rsidRPr="00AC635C">
        <w:rPr>
          <w:kern w:val="22"/>
          <w:sz w:val="22"/>
          <w:szCs w:val="22"/>
          <w:lang w:val="en-GB"/>
        </w:rPr>
        <w:t xml:space="preserve">, in collaboration with </w:t>
      </w:r>
      <w:r w:rsidR="00F47B61" w:rsidRPr="00AC635C">
        <w:rPr>
          <w:kern w:val="22"/>
          <w:sz w:val="22"/>
          <w:szCs w:val="22"/>
          <w:lang w:val="en-GB"/>
        </w:rPr>
        <w:t>FAO</w:t>
      </w:r>
      <w:r w:rsidR="00BA7962" w:rsidRPr="00AC635C">
        <w:rPr>
          <w:kern w:val="22"/>
          <w:sz w:val="22"/>
          <w:szCs w:val="22"/>
          <w:lang w:val="en-GB"/>
        </w:rPr>
        <w:t xml:space="preserve">, </w:t>
      </w:r>
      <w:r w:rsidR="00F47B61" w:rsidRPr="00AC635C">
        <w:rPr>
          <w:kern w:val="22"/>
          <w:sz w:val="22"/>
          <w:szCs w:val="22"/>
          <w:lang w:val="en-GB"/>
        </w:rPr>
        <w:t xml:space="preserve">the </w:t>
      </w:r>
      <w:hyperlink r:id="rId39" w:history="1">
        <w:r w:rsidR="00BA7962" w:rsidRPr="00AC635C">
          <w:rPr>
            <w:rStyle w:val="Hyperlink"/>
            <w:sz w:val="22"/>
            <w:szCs w:val="22"/>
            <w:lang w:val="en-GB"/>
          </w:rPr>
          <w:t>United Nations Statistics Division</w:t>
        </w:r>
      </w:hyperlink>
      <w:r w:rsidR="00BA7962" w:rsidRPr="00AC635C">
        <w:rPr>
          <w:kern w:val="22"/>
          <w:sz w:val="22"/>
          <w:szCs w:val="22"/>
          <w:lang w:val="en-GB"/>
        </w:rPr>
        <w:t>, United Nations Environment</w:t>
      </w:r>
      <w:r w:rsidR="005477DB" w:rsidRPr="00AC635C">
        <w:rPr>
          <w:kern w:val="22"/>
          <w:sz w:val="22"/>
          <w:szCs w:val="22"/>
          <w:lang w:val="en-GB"/>
        </w:rPr>
        <w:t xml:space="preserve"> Programme</w:t>
      </w:r>
      <w:r w:rsidR="00BA7962" w:rsidRPr="00AC635C">
        <w:rPr>
          <w:kern w:val="22"/>
          <w:sz w:val="22"/>
          <w:szCs w:val="22"/>
          <w:lang w:val="en-GB"/>
        </w:rPr>
        <w:t xml:space="preserve">, </w:t>
      </w:r>
      <w:r w:rsidR="00B81CDF" w:rsidRPr="00AC635C">
        <w:rPr>
          <w:kern w:val="22"/>
          <w:sz w:val="22"/>
          <w:szCs w:val="22"/>
          <w:lang w:val="en-GB"/>
        </w:rPr>
        <w:t>UNFCCC</w:t>
      </w:r>
      <w:r w:rsidR="00BA7962" w:rsidRPr="00AC635C">
        <w:rPr>
          <w:kern w:val="22"/>
          <w:sz w:val="22"/>
          <w:szCs w:val="22"/>
          <w:lang w:val="en-GB"/>
        </w:rPr>
        <w:t xml:space="preserve"> and </w:t>
      </w:r>
      <w:r w:rsidR="005A3DE0" w:rsidRPr="00AC635C">
        <w:rPr>
          <w:kern w:val="22"/>
          <w:sz w:val="22"/>
          <w:szCs w:val="22"/>
          <w:lang w:val="en-GB"/>
        </w:rPr>
        <w:t xml:space="preserve">the </w:t>
      </w:r>
      <w:r w:rsidR="00BA7962" w:rsidRPr="00AC635C">
        <w:rPr>
          <w:kern w:val="22"/>
          <w:sz w:val="22"/>
          <w:szCs w:val="22"/>
          <w:lang w:val="en-GB"/>
        </w:rPr>
        <w:t xml:space="preserve">Convention on Biological Diversity developed the methodology for the indicator “Proportion of land that is degraded over total land area” and its three sub-indicators (land cover, land productivity and carbon stocks), which has been accepted by the Inter-agency and Expert Group as a Tier II indicator. The indicator is now being used by more than 100 countries participating in the </w:t>
      </w:r>
      <w:hyperlink r:id="rId40" w:history="1">
        <w:r w:rsidR="00BA7962" w:rsidRPr="00AC635C">
          <w:rPr>
            <w:rStyle w:val="Hyperlink"/>
            <w:sz w:val="22"/>
            <w:szCs w:val="22"/>
            <w:lang w:val="en-GB"/>
          </w:rPr>
          <w:t>UNCCD Land Degradation Neutrality Target Setting Programme</w:t>
        </w:r>
      </w:hyperlink>
      <w:r w:rsidR="00BA7962" w:rsidRPr="00AC635C">
        <w:rPr>
          <w:kern w:val="22"/>
          <w:sz w:val="22"/>
          <w:szCs w:val="22"/>
          <w:lang w:val="en-GB"/>
        </w:rPr>
        <w:t xml:space="preserve">. </w:t>
      </w:r>
      <w:r w:rsidR="000E52F8" w:rsidRPr="00AC635C">
        <w:rPr>
          <w:kern w:val="22"/>
          <w:sz w:val="22"/>
          <w:szCs w:val="22"/>
          <w:lang w:val="en-GB"/>
        </w:rPr>
        <w:t>From 2018 onwards, and every four years thereafter, the UNCCD reporting process will contribute to the follow-up of progress in implementing the 2030 Agenda for Sustainable Development. In line with UNCCD decision 15/COP.13,</w:t>
      </w:r>
      <w:r w:rsidR="00E85B8A" w:rsidRPr="00AC635C">
        <w:rPr>
          <w:rStyle w:val="FootnoteReference"/>
          <w:kern w:val="22"/>
          <w:sz w:val="22"/>
          <w:szCs w:val="22"/>
          <w:lang w:val="en-GB"/>
        </w:rPr>
        <w:footnoteReference w:id="10"/>
      </w:r>
      <w:r w:rsidR="000E52F8" w:rsidRPr="00AC635C">
        <w:rPr>
          <w:kern w:val="22"/>
          <w:sz w:val="22"/>
          <w:szCs w:val="22"/>
          <w:lang w:val="en-GB"/>
        </w:rPr>
        <w:t xml:space="preserve"> the information compiled in national reports will be used by the UNCCD secretariat, in its capacity as custodian agency for </w:t>
      </w:r>
      <w:r w:rsidR="00AE0DB4" w:rsidRPr="00AC635C">
        <w:rPr>
          <w:kern w:val="22"/>
          <w:sz w:val="22"/>
          <w:szCs w:val="22"/>
          <w:lang w:val="en-GB"/>
        </w:rPr>
        <w:t>Sustainable Development Goal</w:t>
      </w:r>
      <w:r w:rsidR="000E52F8" w:rsidRPr="00AC635C">
        <w:rPr>
          <w:kern w:val="22"/>
          <w:sz w:val="22"/>
          <w:szCs w:val="22"/>
          <w:lang w:val="en-GB"/>
        </w:rPr>
        <w:t xml:space="preserve"> indicator 15.3.1, to contribute to the overall follow-up and review by the </w:t>
      </w:r>
      <w:hyperlink r:id="rId41" w:history="1">
        <w:r w:rsidR="000E52F8" w:rsidRPr="00AC635C">
          <w:rPr>
            <w:rStyle w:val="Hyperlink"/>
            <w:sz w:val="22"/>
            <w:szCs w:val="22"/>
            <w:lang w:val="en-GB"/>
          </w:rPr>
          <w:t>High-level Political Forum on Sustainable Development</w:t>
        </w:r>
      </w:hyperlink>
      <w:r w:rsidR="000E52F8" w:rsidRPr="00AC635C">
        <w:rPr>
          <w:kern w:val="22"/>
          <w:sz w:val="22"/>
          <w:szCs w:val="22"/>
          <w:lang w:val="en-GB"/>
        </w:rPr>
        <w:t xml:space="preserve">. </w:t>
      </w:r>
      <w:r w:rsidR="00BA7962" w:rsidRPr="00AC635C">
        <w:rPr>
          <w:kern w:val="22"/>
          <w:sz w:val="22"/>
          <w:szCs w:val="22"/>
          <w:lang w:val="en-GB"/>
        </w:rPr>
        <w:t>The indicator is also included in list of indicators for the Strategic Plan for Biodiversity 2011-2020 contained in decision XIII/28.</w:t>
      </w:r>
    </w:p>
    <w:p w14:paraId="75F1E24F" w14:textId="64514920" w:rsidR="00B33DFA" w:rsidRPr="00AC635C" w:rsidRDefault="00B33DF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iCs/>
          <w:kern w:val="22"/>
          <w:sz w:val="22"/>
          <w:szCs w:val="22"/>
          <w:lang w:val="en-GB"/>
        </w:rPr>
        <w:lastRenderedPageBreak/>
        <w:t xml:space="preserve">While </w:t>
      </w:r>
      <w:r w:rsidRPr="00AC635C">
        <w:rPr>
          <w:kern w:val="22"/>
          <w:sz w:val="22"/>
          <w:szCs w:val="22"/>
          <w:lang w:val="en-GB"/>
        </w:rPr>
        <w:t xml:space="preserve">the guidelines for the sixth national report, in section IV, request Parties to describe how their contributions to the achievement of the Aichi Biodiversity Targets support the implementation of Sustainable Development Goals, a more explicit alignment of reporting on elements common to the Aichi Biodiversity Targets and the Sustainable Development Goals should be envisaged in the future. This also applies to the </w:t>
      </w:r>
      <w:r w:rsidR="00903D8E" w:rsidRPr="00AC635C">
        <w:rPr>
          <w:kern w:val="22"/>
          <w:sz w:val="22"/>
          <w:szCs w:val="22"/>
          <w:lang w:val="en-GB"/>
        </w:rPr>
        <w:t>v</w:t>
      </w:r>
      <w:r w:rsidRPr="00AC635C">
        <w:rPr>
          <w:kern w:val="22"/>
          <w:sz w:val="22"/>
          <w:szCs w:val="22"/>
          <w:lang w:val="en-GB"/>
        </w:rPr>
        <w:t xml:space="preserve">oluntary </w:t>
      </w:r>
      <w:r w:rsidR="00903D8E" w:rsidRPr="00AC635C">
        <w:rPr>
          <w:kern w:val="22"/>
          <w:sz w:val="22"/>
          <w:szCs w:val="22"/>
          <w:lang w:val="en-GB"/>
        </w:rPr>
        <w:t>n</w:t>
      </w:r>
      <w:r w:rsidRPr="00AC635C">
        <w:rPr>
          <w:kern w:val="22"/>
          <w:sz w:val="22"/>
          <w:szCs w:val="22"/>
          <w:lang w:val="en-GB"/>
        </w:rPr>
        <w:t xml:space="preserve">ational </w:t>
      </w:r>
      <w:r w:rsidR="00903D8E" w:rsidRPr="00AC635C">
        <w:rPr>
          <w:kern w:val="22"/>
          <w:sz w:val="22"/>
          <w:szCs w:val="22"/>
          <w:lang w:val="en-GB"/>
        </w:rPr>
        <w:t>r</w:t>
      </w:r>
      <w:r w:rsidRPr="00AC635C">
        <w:rPr>
          <w:kern w:val="22"/>
          <w:sz w:val="22"/>
          <w:szCs w:val="22"/>
          <w:lang w:val="en-GB"/>
        </w:rPr>
        <w:t>eviews undertaken in the context of the High-level Political Forum</w:t>
      </w:r>
      <w:r w:rsidR="00903D8E" w:rsidRPr="00AC635C">
        <w:rPr>
          <w:kern w:val="22"/>
          <w:sz w:val="22"/>
          <w:szCs w:val="22"/>
          <w:lang w:val="en-GB"/>
        </w:rPr>
        <w:t>,</w:t>
      </w:r>
      <w:r w:rsidRPr="00AC635C">
        <w:rPr>
          <w:kern w:val="22"/>
          <w:sz w:val="22"/>
          <w:szCs w:val="22"/>
          <w:lang w:val="en-GB"/>
        </w:rPr>
        <w:t xml:space="preserve"> as discussed in </w:t>
      </w:r>
      <w:r w:rsidR="00DC2DFB" w:rsidRPr="00AC635C">
        <w:rPr>
          <w:kern w:val="22"/>
          <w:sz w:val="22"/>
          <w:szCs w:val="22"/>
          <w:lang w:val="en-GB"/>
        </w:rPr>
        <w:t xml:space="preserve">the </w:t>
      </w:r>
      <w:r w:rsidRPr="00AC635C">
        <w:rPr>
          <w:kern w:val="22"/>
          <w:sz w:val="22"/>
          <w:szCs w:val="22"/>
          <w:lang w:val="en-GB"/>
        </w:rPr>
        <w:t xml:space="preserve">document </w:t>
      </w:r>
      <w:r w:rsidR="00DC2DFB" w:rsidRPr="00AC635C">
        <w:rPr>
          <w:kern w:val="22"/>
          <w:sz w:val="22"/>
          <w:szCs w:val="22"/>
          <w:lang w:val="en-GB"/>
        </w:rPr>
        <w:t>on mechanisms to facilitate review of implementation (</w:t>
      </w:r>
      <w:r w:rsidR="00F00756" w:rsidRPr="00AC635C">
        <w:rPr>
          <w:kern w:val="22"/>
          <w:sz w:val="22"/>
          <w:szCs w:val="22"/>
          <w:lang w:val="en-GB"/>
        </w:rPr>
        <w:t>CBD/</w:t>
      </w:r>
      <w:r w:rsidRPr="00AC635C">
        <w:rPr>
          <w:kern w:val="22"/>
          <w:sz w:val="22"/>
          <w:szCs w:val="22"/>
          <w:lang w:val="en-GB"/>
        </w:rPr>
        <w:t>SBI/2/11</w:t>
      </w:r>
      <w:r w:rsidR="00DC2DFB" w:rsidRPr="00AC635C">
        <w:rPr>
          <w:kern w:val="22"/>
          <w:sz w:val="22"/>
          <w:szCs w:val="22"/>
          <w:lang w:val="en-GB"/>
        </w:rPr>
        <w:t>)</w:t>
      </w:r>
      <w:r w:rsidRPr="00AC635C">
        <w:rPr>
          <w:kern w:val="22"/>
          <w:sz w:val="22"/>
          <w:szCs w:val="22"/>
          <w:lang w:val="en-GB"/>
        </w:rPr>
        <w:t>.</w:t>
      </w:r>
    </w:p>
    <w:p w14:paraId="5B83DD1E" w14:textId="4E74B51D"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proofErr w:type="gramStart"/>
      <w:r w:rsidRPr="00AC635C">
        <w:rPr>
          <w:kern w:val="22"/>
          <w:sz w:val="22"/>
          <w:szCs w:val="22"/>
          <w:lang w:val="en-GB"/>
        </w:rPr>
        <w:t>The majority of</w:t>
      </w:r>
      <w:proofErr w:type="gramEnd"/>
      <w:r w:rsidRPr="00AC635C">
        <w:rPr>
          <w:kern w:val="22"/>
          <w:sz w:val="22"/>
          <w:szCs w:val="22"/>
          <w:lang w:val="en-GB"/>
        </w:rPr>
        <w:t xml:space="preserve"> the indicators used by the </w:t>
      </w:r>
      <w:hyperlink r:id="rId42" w:history="1">
        <w:r w:rsidRPr="00AC635C">
          <w:rPr>
            <w:rStyle w:val="Hyperlink"/>
            <w:sz w:val="22"/>
            <w:szCs w:val="22"/>
            <w:lang w:val="en-GB"/>
          </w:rPr>
          <w:t>Intergovernmental Science-Policy Platform on Biodiversity and Ecosystem Services</w:t>
        </w:r>
      </w:hyperlink>
      <w:r w:rsidRPr="00AC635C">
        <w:rPr>
          <w:kern w:val="22"/>
          <w:sz w:val="22"/>
          <w:szCs w:val="22"/>
          <w:lang w:val="en-GB"/>
        </w:rPr>
        <w:t xml:space="preserve"> for the regional and global assessments on biodiversity and ecosystem services are from among those listed in decision XIII/28. The additional indicators may also be of interest for the Convention</w:t>
      </w:r>
      <w:r w:rsidR="00877DE7" w:rsidRPr="00AC635C">
        <w:rPr>
          <w:kern w:val="22"/>
          <w:sz w:val="22"/>
          <w:szCs w:val="22"/>
          <w:lang w:val="en-GB"/>
        </w:rPr>
        <w:t>,</w:t>
      </w:r>
      <w:r w:rsidR="009600E6" w:rsidRPr="00AC635C">
        <w:rPr>
          <w:kern w:val="22"/>
          <w:sz w:val="22"/>
          <w:szCs w:val="22"/>
          <w:lang w:val="en-GB"/>
        </w:rPr>
        <w:t xml:space="preserve"> and the Biodiversity Indicators Partnership will continue to attract indicator providers to the partnership</w:t>
      </w:r>
      <w:r w:rsidRPr="00AC635C">
        <w:rPr>
          <w:kern w:val="22"/>
          <w:sz w:val="22"/>
          <w:szCs w:val="22"/>
          <w:lang w:val="en-GB"/>
        </w:rPr>
        <w:t>.</w:t>
      </w:r>
    </w:p>
    <w:p w14:paraId="6CC6C1CE" w14:textId="4F36F6F2" w:rsidR="00B33DFA" w:rsidRPr="00AC635C" w:rsidRDefault="00B33DFA"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It is expected that the post-2020 global biodiversity framework, once developed, would have implications for the future use and suitability of indicators as well as their relevance across multiple instruments and processes. In addition, further opportunities for the development of suitable indicators arise from advances in knowledge and the availability of new data streams. It is therefore appropriate that the list of indicators should be kept under review </w:t>
      </w:r>
      <w:r w:rsidR="008952DA" w:rsidRPr="00AC635C">
        <w:rPr>
          <w:kern w:val="22"/>
          <w:sz w:val="22"/>
          <w:szCs w:val="22"/>
          <w:lang w:val="en-GB"/>
        </w:rPr>
        <w:t>in accordance with</w:t>
      </w:r>
      <w:r w:rsidRPr="00AC635C">
        <w:rPr>
          <w:kern w:val="22"/>
          <w:sz w:val="22"/>
          <w:szCs w:val="22"/>
          <w:lang w:val="en-GB"/>
        </w:rPr>
        <w:t xml:space="preserve"> decision XIII/28.</w:t>
      </w:r>
    </w:p>
    <w:p w14:paraId="2005E9FC" w14:textId="4EDD01F3" w:rsidR="00BA7962" w:rsidRPr="00AC635C" w:rsidRDefault="002D53CC"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n-GB"/>
        </w:rPr>
      </w:pPr>
      <w:r w:rsidRPr="00AC635C">
        <w:rPr>
          <w:b/>
          <w:bCs/>
          <w:iCs/>
          <w:kern w:val="22"/>
          <w:sz w:val="22"/>
          <w:szCs w:val="22"/>
          <w:lang w:val="en-GB"/>
        </w:rPr>
        <w:t>B.</w:t>
      </w:r>
      <w:r w:rsidRPr="00AC635C">
        <w:rPr>
          <w:b/>
          <w:bCs/>
          <w:iCs/>
          <w:kern w:val="22"/>
          <w:sz w:val="22"/>
          <w:szCs w:val="22"/>
          <w:lang w:val="en-GB"/>
        </w:rPr>
        <w:tab/>
      </w:r>
      <w:r w:rsidR="00BA7962" w:rsidRPr="00AC635C">
        <w:rPr>
          <w:b/>
          <w:bCs/>
          <w:iCs/>
          <w:kern w:val="22"/>
          <w:sz w:val="22"/>
          <w:szCs w:val="22"/>
          <w:lang w:val="en-GB"/>
        </w:rPr>
        <w:t>Common reporting modules on shared issues</w:t>
      </w:r>
    </w:p>
    <w:p w14:paraId="1DEE1CA0" w14:textId="578ACA6D" w:rsidR="00BA7962" w:rsidRPr="00AC635C" w:rsidRDefault="00192D70" w:rsidP="00302459">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The purpose of exploring common elements in the national reports under different biodiversity</w:t>
      </w:r>
      <w:r w:rsidR="00F00756" w:rsidRPr="00AC635C">
        <w:rPr>
          <w:kern w:val="22"/>
          <w:sz w:val="22"/>
          <w:szCs w:val="22"/>
          <w:lang w:val="en-GB"/>
        </w:rPr>
        <w:noBreakHyphen/>
      </w:r>
      <w:r w:rsidRPr="00AC635C">
        <w:rPr>
          <w:kern w:val="22"/>
          <w:sz w:val="22"/>
          <w:szCs w:val="22"/>
          <w:lang w:val="en-GB"/>
        </w:rPr>
        <w:t xml:space="preserve">related instruments is to </w:t>
      </w:r>
      <w:r w:rsidR="005477DB" w:rsidRPr="00AC635C">
        <w:rPr>
          <w:kern w:val="22"/>
          <w:sz w:val="22"/>
          <w:szCs w:val="22"/>
          <w:lang w:val="en-GB"/>
        </w:rPr>
        <w:t xml:space="preserve">obviate </w:t>
      </w:r>
      <w:r w:rsidR="00302459" w:rsidRPr="00AC635C">
        <w:rPr>
          <w:kern w:val="22"/>
          <w:sz w:val="22"/>
          <w:szCs w:val="22"/>
          <w:lang w:val="en-GB"/>
        </w:rPr>
        <w:t>multiple reporting by</w:t>
      </w:r>
      <w:r w:rsidRPr="00AC635C">
        <w:rPr>
          <w:kern w:val="22"/>
          <w:sz w:val="22"/>
          <w:szCs w:val="22"/>
          <w:lang w:val="en-GB"/>
        </w:rPr>
        <w:t xml:space="preserve"> countries </w:t>
      </w:r>
      <w:r w:rsidR="00302459" w:rsidRPr="00AC635C">
        <w:rPr>
          <w:kern w:val="22"/>
          <w:sz w:val="22"/>
          <w:szCs w:val="22"/>
          <w:lang w:val="en-GB"/>
        </w:rPr>
        <w:t>of</w:t>
      </w:r>
      <w:r w:rsidRPr="00AC635C">
        <w:rPr>
          <w:kern w:val="22"/>
          <w:sz w:val="22"/>
          <w:szCs w:val="22"/>
          <w:lang w:val="en-GB"/>
        </w:rPr>
        <w:t xml:space="preserve"> the same information. </w:t>
      </w:r>
      <w:r w:rsidR="00132950" w:rsidRPr="00AC635C">
        <w:rPr>
          <w:kern w:val="22"/>
          <w:sz w:val="22"/>
          <w:szCs w:val="22"/>
          <w:lang w:val="en-GB"/>
        </w:rPr>
        <w:t xml:space="preserve">A </w:t>
      </w:r>
      <w:r w:rsidR="0041473D" w:rsidRPr="00AC635C">
        <w:rPr>
          <w:kern w:val="22"/>
          <w:sz w:val="22"/>
          <w:szCs w:val="22"/>
          <w:lang w:val="en-GB"/>
        </w:rPr>
        <w:t xml:space="preserve">publication </w:t>
      </w:r>
      <w:r w:rsidR="00BA7962" w:rsidRPr="00AC635C">
        <w:rPr>
          <w:kern w:val="22"/>
          <w:sz w:val="22"/>
          <w:szCs w:val="22"/>
          <w:lang w:val="en-GB"/>
        </w:rPr>
        <w:t xml:space="preserve">prepared by </w:t>
      </w:r>
      <w:r w:rsidR="00F00756" w:rsidRPr="00AC635C">
        <w:rPr>
          <w:kern w:val="22"/>
          <w:sz w:val="22"/>
          <w:szCs w:val="22"/>
          <w:lang w:val="en-GB"/>
        </w:rPr>
        <w:t>the United Nations Environment Programme</w:t>
      </w:r>
      <w:r w:rsidR="00BA7962" w:rsidRPr="00AC635C">
        <w:rPr>
          <w:kern w:val="22"/>
          <w:sz w:val="22"/>
          <w:szCs w:val="22"/>
          <w:lang w:val="en-GB"/>
        </w:rPr>
        <w:t xml:space="preserve"> with the support of </w:t>
      </w:r>
      <w:r w:rsidR="00657FD1" w:rsidRPr="00AC635C">
        <w:rPr>
          <w:kern w:val="22"/>
          <w:sz w:val="22"/>
          <w:szCs w:val="22"/>
          <w:lang w:val="en-GB"/>
        </w:rPr>
        <w:t xml:space="preserve">the European Union, </w:t>
      </w:r>
      <w:r w:rsidR="00BA7962" w:rsidRPr="00AC635C">
        <w:rPr>
          <w:kern w:val="22"/>
          <w:sz w:val="22"/>
          <w:szCs w:val="22"/>
          <w:lang w:val="en-GB"/>
        </w:rPr>
        <w:t>Switzerland and Finland</w:t>
      </w:r>
      <w:r w:rsidR="00657FD1" w:rsidRPr="00AC635C">
        <w:rPr>
          <w:rStyle w:val="FootnoteReference"/>
          <w:kern w:val="22"/>
          <w:sz w:val="22"/>
          <w:szCs w:val="22"/>
          <w:lang w:val="en-GB"/>
        </w:rPr>
        <w:footnoteReference w:id="11"/>
      </w:r>
      <w:r w:rsidR="00BA7962" w:rsidRPr="00AC635C">
        <w:rPr>
          <w:kern w:val="22"/>
          <w:sz w:val="22"/>
          <w:szCs w:val="22"/>
          <w:lang w:val="en-GB"/>
        </w:rPr>
        <w:t xml:space="preserve"> </w:t>
      </w:r>
      <w:r w:rsidR="00132950" w:rsidRPr="00AC635C">
        <w:rPr>
          <w:kern w:val="22"/>
          <w:sz w:val="22"/>
          <w:szCs w:val="22"/>
          <w:lang w:val="en-GB"/>
        </w:rPr>
        <w:t xml:space="preserve">identifies possible </w:t>
      </w:r>
      <w:r w:rsidR="00BA7962" w:rsidRPr="00AC635C">
        <w:rPr>
          <w:kern w:val="22"/>
          <w:sz w:val="22"/>
          <w:szCs w:val="22"/>
          <w:lang w:val="en-GB"/>
        </w:rPr>
        <w:t>options for enhancing synergies in reporting</w:t>
      </w:r>
      <w:r w:rsidR="00E32210" w:rsidRPr="00AC635C">
        <w:rPr>
          <w:kern w:val="22"/>
          <w:sz w:val="22"/>
          <w:szCs w:val="22"/>
          <w:lang w:val="en-GB"/>
        </w:rPr>
        <w:t>,</w:t>
      </w:r>
      <w:r w:rsidR="00BA7962" w:rsidRPr="00AC635C">
        <w:rPr>
          <w:kern w:val="22"/>
          <w:sz w:val="22"/>
          <w:szCs w:val="22"/>
          <w:lang w:val="en-GB"/>
        </w:rPr>
        <w:t xml:space="preserve"> includ</w:t>
      </w:r>
      <w:r w:rsidR="00132950" w:rsidRPr="00AC635C">
        <w:rPr>
          <w:kern w:val="22"/>
          <w:sz w:val="22"/>
          <w:szCs w:val="22"/>
          <w:lang w:val="en-GB"/>
        </w:rPr>
        <w:t>ing</w:t>
      </w:r>
      <w:r w:rsidR="00BA7962" w:rsidRPr="00AC635C">
        <w:rPr>
          <w:kern w:val="22"/>
          <w:sz w:val="22"/>
          <w:szCs w:val="22"/>
          <w:lang w:val="en-GB"/>
        </w:rPr>
        <w:t>: (a) exploring the possible benefits of using a shared modular reporting approach, and developing and testing such an approach by addressing the identified benefits; (b) exploring coherence in reporting through supporting indicator development and monitoring; (c) further developing online reporting and information management systems and continuing working to ensure their interoperability; (d) continuing support for reporting processes through joint capacity</w:t>
      </w:r>
      <w:r w:rsidR="00F00756" w:rsidRPr="00AC635C">
        <w:rPr>
          <w:kern w:val="22"/>
          <w:sz w:val="22"/>
          <w:szCs w:val="22"/>
          <w:lang w:val="en-GB"/>
        </w:rPr>
        <w:noBreakHyphen/>
      </w:r>
      <w:r w:rsidR="00BA7962" w:rsidRPr="00AC635C">
        <w:rPr>
          <w:kern w:val="22"/>
          <w:sz w:val="22"/>
          <w:szCs w:val="22"/>
          <w:lang w:val="en-GB"/>
        </w:rPr>
        <w:t>building activities; (e) increasing reporting on enhanced synergies across the conventions.</w:t>
      </w:r>
    </w:p>
    <w:p w14:paraId="52CCE2D1" w14:textId="1548F0A6"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The first option above was further supported by a detailed study</w:t>
      </w:r>
      <w:r w:rsidR="0099366F" w:rsidRPr="00AC635C">
        <w:rPr>
          <w:kern w:val="22"/>
          <w:sz w:val="22"/>
          <w:szCs w:val="22"/>
          <w:lang w:val="en-GB"/>
        </w:rPr>
        <w:t xml:space="preserve"> undertaken by UNEP-WCMC and </w:t>
      </w:r>
      <w:r w:rsidR="0099366F" w:rsidRPr="00AC635C">
        <w:rPr>
          <w:noProof/>
          <w:kern w:val="22"/>
          <w:sz w:val="22"/>
          <w:szCs w:val="22"/>
          <w:lang w:val="en-GB"/>
        </w:rPr>
        <w:t>NatureConsult</w:t>
      </w:r>
      <w:r w:rsidR="0099366F" w:rsidRPr="00AC635C">
        <w:rPr>
          <w:kern w:val="22"/>
          <w:sz w:val="22"/>
          <w:szCs w:val="22"/>
          <w:lang w:val="en-GB"/>
        </w:rPr>
        <w:t xml:space="preserve"> with the support of Switzerland</w:t>
      </w:r>
      <w:r w:rsidR="00083E52" w:rsidRPr="00AC635C">
        <w:rPr>
          <w:kern w:val="22"/>
          <w:sz w:val="22"/>
          <w:szCs w:val="22"/>
          <w:lang w:val="en-GB"/>
        </w:rPr>
        <w:t>.</w:t>
      </w:r>
      <w:r w:rsidRPr="00AC635C">
        <w:rPr>
          <w:rStyle w:val="FootnoteReference"/>
          <w:kern w:val="22"/>
          <w:sz w:val="22"/>
          <w:szCs w:val="22"/>
          <w:lang w:val="en-GB"/>
        </w:rPr>
        <w:footnoteReference w:id="12"/>
      </w:r>
      <w:r w:rsidRPr="00AC635C">
        <w:rPr>
          <w:kern w:val="22"/>
          <w:sz w:val="22"/>
          <w:szCs w:val="22"/>
          <w:lang w:val="en-GB"/>
        </w:rPr>
        <w:t xml:space="preserve"> </w:t>
      </w:r>
      <w:r w:rsidR="00132950" w:rsidRPr="00AC635C">
        <w:rPr>
          <w:kern w:val="22"/>
          <w:sz w:val="22"/>
          <w:szCs w:val="22"/>
          <w:lang w:val="en-GB"/>
        </w:rPr>
        <w:t>T</w:t>
      </w:r>
      <w:r w:rsidRPr="00AC635C">
        <w:rPr>
          <w:kern w:val="22"/>
          <w:sz w:val="22"/>
          <w:szCs w:val="22"/>
          <w:lang w:val="en-GB"/>
        </w:rPr>
        <w:t>he study found that a modular approach to reporting could foster synergies at national, regional and global levels by highlighting interlinkages between different processes, taking advantage of similarities and overlaps in the information submitted through separate reporting processes, and by organi</w:t>
      </w:r>
      <w:r w:rsidR="00F00756" w:rsidRPr="00AC635C">
        <w:rPr>
          <w:kern w:val="22"/>
          <w:sz w:val="22"/>
          <w:szCs w:val="22"/>
          <w:lang w:val="en-GB"/>
        </w:rPr>
        <w:t>z</w:t>
      </w:r>
      <w:r w:rsidRPr="00AC635C">
        <w:rPr>
          <w:kern w:val="22"/>
          <w:sz w:val="22"/>
          <w:szCs w:val="22"/>
          <w:lang w:val="en-GB"/>
        </w:rPr>
        <w:t xml:space="preserve">ing the activities and information required, into a series of modules of relevance to several processes, so as to avoid having to reproduce the same information in several reports. Following a detailed review of the reporting processes and guidelines/formats of all the biodiversity-related conventions, the study noted that national reports of all the biodiversity-related </w:t>
      </w:r>
      <w:r w:rsidR="00F00756" w:rsidRPr="00AC635C">
        <w:rPr>
          <w:kern w:val="22"/>
          <w:sz w:val="22"/>
          <w:szCs w:val="22"/>
          <w:lang w:val="en-GB"/>
        </w:rPr>
        <w:t>c</w:t>
      </w:r>
      <w:r w:rsidRPr="00AC635C">
        <w:rPr>
          <w:kern w:val="22"/>
          <w:sz w:val="22"/>
          <w:szCs w:val="22"/>
          <w:lang w:val="en-GB"/>
        </w:rPr>
        <w:t xml:space="preserve">onventions will contribute information to assessment of progress towards the Aichi Targets. </w:t>
      </w:r>
      <w:r w:rsidR="00657FD1" w:rsidRPr="00AC635C">
        <w:rPr>
          <w:kern w:val="22"/>
          <w:sz w:val="22"/>
          <w:szCs w:val="22"/>
          <w:lang w:val="en-GB"/>
        </w:rPr>
        <w:t>For example,</w:t>
      </w:r>
      <w:r w:rsidRPr="00AC635C">
        <w:rPr>
          <w:kern w:val="22"/>
          <w:sz w:val="22"/>
          <w:szCs w:val="22"/>
          <w:lang w:val="en-GB"/>
        </w:rPr>
        <w:t xml:space="preserve"> the national reports </w:t>
      </w:r>
      <w:r w:rsidR="00356EC8" w:rsidRPr="00AC635C">
        <w:rPr>
          <w:kern w:val="22"/>
          <w:sz w:val="22"/>
          <w:szCs w:val="22"/>
          <w:lang w:val="en-GB"/>
        </w:rPr>
        <w:t>under the</w:t>
      </w:r>
      <w:r w:rsidR="00356EC8" w:rsidRPr="00AC635C">
        <w:rPr>
          <w:sz w:val="22"/>
          <w:szCs w:val="22"/>
        </w:rPr>
        <w:t xml:space="preserve"> </w:t>
      </w:r>
      <w:hyperlink r:id="rId43" w:history="1">
        <w:r w:rsidR="00356EC8" w:rsidRPr="00AC635C">
          <w:rPr>
            <w:rStyle w:val="Hyperlink"/>
            <w:sz w:val="22"/>
            <w:szCs w:val="22"/>
          </w:rPr>
          <w:t>Convention on the Conservation of Migratory Species of Wild Animals</w:t>
        </w:r>
      </w:hyperlink>
      <w:r w:rsidR="002151F5" w:rsidRPr="00AC635C">
        <w:rPr>
          <w:sz w:val="22"/>
          <w:szCs w:val="22"/>
        </w:rPr>
        <w:t xml:space="preserve"> (CMS)</w:t>
      </w:r>
      <w:r w:rsidRPr="00AC635C">
        <w:rPr>
          <w:kern w:val="22"/>
          <w:sz w:val="22"/>
          <w:szCs w:val="22"/>
          <w:lang w:val="en-GB"/>
        </w:rPr>
        <w:t xml:space="preserve"> and </w:t>
      </w:r>
      <w:r w:rsidR="00F00756" w:rsidRPr="00AC635C">
        <w:rPr>
          <w:kern w:val="22"/>
          <w:sz w:val="22"/>
          <w:szCs w:val="22"/>
          <w:lang w:val="en-GB"/>
        </w:rPr>
        <w:t xml:space="preserve">the </w:t>
      </w:r>
      <w:hyperlink r:id="rId44" w:history="1">
        <w:proofErr w:type="spellStart"/>
        <w:r w:rsidRPr="00AC635C">
          <w:rPr>
            <w:rStyle w:val="Hyperlink"/>
            <w:kern w:val="22"/>
            <w:sz w:val="22"/>
            <w:szCs w:val="22"/>
            <w:lang w:val="en-GB"/>
          </w:rPr>
          <w:t>Ramsar</w:t>
        </w:r>
        <w:proofErr w:type="spellEnd"/>
        <w:r w:rsidRPr="00AC635C">
          <w:rPr>
            <w:rStyle w:val="Hyperlink"/>
            <w:kern w:val="22"/>
            <w:sz w:val="22"/>
            <w:szCs w:val="22"/>
            <w:lang w:val="en-GB"/>
          </w:rPr>
          <w:t xml:space="preserve"> Convention</w:t>
        </w:r>
        <w:r w:rsidR="00AB3A72" w:rsidRPr="00AC635C">
          <w:rPr>
            <w:rStyle w:val="Hyperlink"/>
            <w:sz w:val="22"/>
            <w:szCs w:val="22"/>
          </w:rPr>
          <w:t xml:space="preserve"> on Wetlands of International Importance especially as Waterfowl Habitat</w:t>
        </w:r>
      </w:hyperlink>
      <w:r w:rsidRPr="00AC635C">
        <w:rPr>
          <w:kern w:val="22"/>
          <w:sz w:val="22"/>
          <w:szCs w:val="22"/>
          <w:lang w:val="en-GB"/>
        </w:rPr>
        <w:t xml:space="preserve"> are expected to broadly contribute information of relevance to each Aichi Biodiversity Target. The reporting processes under </w:t>
      </w:r>
      <w:r w:rsidR="00DA3E4F" w:rsidRPr="00AC635C">
        <w:rPr>
          <w:kern w:val="22"/>
          <w:sz w:val="22"/>
          <w:szCs w:val="22"/>
          <w:lang w:val="en-GB"/>
        </w:rPr>
        <w:t>the Convention on International Trade in Endangered Species of Wild Fauna and Flora (</w:t>
      </w:r>
      <w:r w:rsidRPr="00AC635C">
        <w:rPr>
          <w:kern w:val="22"/>
          <w:sz w:val="22"/>
          <w:szCs w:val="22"/>
          <w:lang w:val="en-GB"/>
        </w:rPr>
        <w:t>CITES</w:t>
      </w:r>
      <w:r w:rsidR="00DA3E4F" w:rsidRPr="00AC635C">
        <w:rPr>
          <w:kern w:val="22"/>
          <w:sz w:val="22"/>
          <w:szCs w:val="22"/>
          <w:lang w:val="en-GB"/>
        </w:rPr>
        <w:t>)</w:t>
      </w:r>
      <w:r w:rsidRPr="00AC635C">
        <w:rPr>
          <w:kern w:val="22"/>
          <w:sz w:val="22"/>
          <w:szCs w:val="22"/>
          <w:lang w:val="en-GB"/>
        </w:rPr>
        <w:t xml:space="preserve"> can contribute substantial information that can be used for reporting against Aichi Biodiversity Target 12, in particular</w:t>
      </w:r>
      <w:r w:rsidR="001815AB" w:rsidRPr="00AC635C">
        <w:rPr>
          <w:kern w:val="22"/>
          <w:sz w:val="22"/>
          <w:szCs w:val="22"/>
          <w:lang w:val="en-GB"/>
        </w:rPr>
        <w:t>;</w:t>
      </w:r>
      <w:r w:rsidRPr="00AC635C">
        <w:rPr>
          <w:kern w:val="22"/>
          <w:sz w:val="22"/>
          <w:szCs w:val="22"/>
          <w:lang w:val="en-GB"/>
        </w:rPr>
        <w:t xml:space="preserve"> however</w:t>
      </w:r>
      <w:r w:rsidR="001815AB" w:rsidRPr="00AC635C">
        <w:rPr>
          <w:kern w:val="22"/>
          <w:sz w:val="22"/>
          <w:szCs w:val="22"/>
          <w:lang w:val="en-GB"/>
        </w:rPr>
        <w:t>,</w:t>
      </w:r>
      <w:r w:rsidRPr="00AC635C">
        <w:rPr>
          <w:kern w:val="22"/>
          <w:sz w:val="22"/>
          <w:szCs w:val="22"/>
          <w:lang w:val="en-GB"/>
        </w:rPr>
        <w:t xml:space="preserve"> through their </w:t>
      </w:r>
      <w:r w:rsidR="001815AB" w:rsidRPr="00AC635C">
        <w:rPr>
          <w:kern w:val="22"/>
          <w:sz w:val="22"/>
          <w:szCs w:val="22"/>
          <w:lang w:val="en-GB"/>
        </w:rPr>
        <w:t>i</w:t>
      </w:r>
      <w:r w:rsidRPr="00AC635C">
        <w:rPr>
          <w:kern w:val="22"/>
          <w:sz w:val="22"/>
          <w:szCs w:val="22"/>
          <w:lang w:val="en-GB"/>
        </w:rPr>
        <w:t xml:space="preserve">mplementation reports, </w:t>
      </w:r>
      <w:r w:rsidR="009C71DD" w:rsidRPr="00AC635C">
        <w:rPr>
          <w:kern w:val="22"/>
          <w:sz w:val="22"/>
          <w:szCs w:val="22"/>
          <w:lang w:val="en-GB"/>
        </w:rPr>
        <w:t xml:space="preserve">Parties to </w:t>
      </w:r>
      <w:r w:rsidRPr="00AC635C">
        <w:rPr>
          <w:kern w:val="22"/>
          <w:sz w:val="22"/>
          <w:szCs w:val="22"/>
          <w:lang w:val="en-GB"/>
        </w:rPr>
        <w:t xml:space="preserve">CITES are also expected to produce information of relevance to Aichi Biodiversity Targets 1-4, 6, 12 and 14-20. The reporting template for national reports </w:t>
      </w:r>
      <w:r w:rsidR="00284A89" w:rsidRPr="00AC635C">
        <w:rPr>
          <w:kern w:val="22"/>
          <w:sz w:val="22"/>
          <w:szCs w:val="22"/>
          <w:lang w:val="en-GB"/>
        </w:rPr>
        <w:t xml:space="preserve">under </w:t>
      </w:r>
      <w:r w:rsidR="00DA3E4F" w:rsidRPr="00AC635C">
        <w:rPr>
          <w:kern w:val="22"/>
          <w:sz w:val="22"/>
          <w:szCs w:val="22"/>
          <w:lang w:val="en-GB"/>
        </w:rPr>
        <w:t xml:space="preserve">the </w:t>
      </w:r>
      <w:hyperlink r:id="rId45" w:history="1">
        <w:r w:rsidR="00DA3E4F" w:rsidRPr="00AC635C">
          <w:rPr>
            <w:rStyle w:val="Hyperlink"/>
            <w:kern w:val="22"/>
            <w:sz w:val="22"/>
            <w:szCs w:val="22"/>
            <w:lang w:val="en-GB"/>
          </w:rPr>
          <w:t xml:space="preserve">International Treaty on </w:t>
        </w:r>
        <w:r w:rsidR="00DA3E4F" w:rsidRPr="00AC635C">
          <w:rPr>
            <w:rStyle w:val="Hyperlink"/>
            <w:kern w:val="22"/>
            <w:sz w:val="22"/>
            <w:szCs w:val="22"/>
            <w:lang w:val="en-GB"/>
          </w:rPr>
          <w:lastRenderedPageBreak/>
          <w:t>Plant Genetic Resources for Food and Agriculture</w:t>
        </w:r>
      </w:hyperlink>
      <w:r w:rsidR="00DA3E4F" w:rsidRPr="00AC635C">
        <w:rPr>
          <w:kern w:val="22"/>
          <w:sz w:val="22"/>
          <w:szCs w:val="22"/>
          <w:lang w:val="en-GB"/>
        </w:rPr>
        <w:t xml:space="preserve"> (</w:t>
      </w:r>
      <w:r w:rsidRPr="00AC635C">
        <w:rPr>
          <w:kern w:val="22"/>
          <w:sz w:val="22"/>
          <w:szCs w:val="22"/>
          <w:lang w:val="en-GB"/>
        </w:rPr>
        <w:t>ITPGRFA</w:t>
      </w:r>
      <w:r w:rsidR="00DA3E4F" w:rsidRPr="00AC635C">
        <w:rPr>
          <w:kern w:val="22"/>
          <w:sz w:val="22"/>
          <w:szCs w:val="22"/>
          <w:lang w:val="en-GB"/>
        </w:rPr>
        <w:t>)</w:t>
      </w:r>
      <w:r w:rsidRPr="00AC635C">
        <w:rPr>
          <w:kern w:val="22"/>
          <w:sz w:val="22"/>
          <w:szCs w:val="22"/>
          <w:lang w:val="en-GB"/>
        </w:rPr>
        <w:t xml:space="preserve"> indicate that Contracting Parties to the Treaty will report on issues of relevance to Aichi </w:t>
      </w:r>
      <w:r w:rsidR="007A3BE5" w:rsidRPr="00AC635C">
        <w:rPr>
          <w:kern w:val="22"/>
          <w:sz w:val="22"/>
          <w:szCs w:val="22"/>
          <w:lang w:val="en-GB"/>
        </w:rPr>
        <w:t>B</w:t>
      </w:r>
      <w:r w:rsidRPr="00AC635C">
        <w:rPr>
          <w:kern w:val="22"/>
          <w:sz w:val="22"/>
          <w:szCs w:val="22"/>
          <w:lang w:val="en-GB"/>
        </w:rPr>
        <w:t xml:space="preserve">iodiversity Targets 2, 9, 11-14 and 18-20. Under </w:t>
      </w:r>
      <w:r w:rsidR="00634AA6" w:rsidRPr="00AC635C">
        <w:rPr>
          <w:kern w:val="22"/>
          <w:sz w:val="22"/>
          <w:szCs w:val="22"/>
          <w:lang w:val="en-GB"/>
        </w:rPr>
        <w:t xml:space="preserve">the </w:t>
      </w:r>
      <w:hyperlink r:id="rId46" w:history="1">
        <w:r w:rsidR="00634AA6" w:rsidRPr="00AC635C">
          <w:rPr>
            <w:rStyle w:val="Hyperlink"/>
            <w:sz w:val="22"/>
            <w:szCs w:val="22"/>
          </w:rPr>
          <w:t>World Heritage Convention</w:t>
        </w:r>
      </w:hyperlink>
      <w:r w:rsidRPr="00AC635C">
        <w:rPr>
          <w:kern w:val="22"/>
          <w:sz w:val="22"/>
          <w:szCs w:val="22"/>
          <w:lang w:val="en-GB"/>
        </w:rPr>
        <w:t>, States Parties will produce information of relevance, primarily for Aichi Biodiversity Target 11</w:t>
      </w:r>
      <w:r w:rsidR="00C35914" w:rsidRPr="00AC635C">
        <w:rPr>
          <w:kern w:val="22"/>
          <w:sz w:val="22"/>
          <w:szCs w:val="22"/>
          <w:lang w:val="en-GB"/>
        </w:rPr>
        <w:t xml:space="preserve"> but also,</w:t>
      </w:r>
      <w:r w:rsidRPr="00AC635C">
        <w:rPr>
          <w:kern w:val="22"/>
          <w:sz w:val="22"/>
          <w:szCs w:val="22"/>
          <w:lang w:val="en-GB"/>
        </w:rPr>
        <w:t xml:space="preserve"> through their periodic reports</w:t>
      </w:r>
      <w:r w:rsidR="00C35914" w:rsidRPr="00AC635C">
        <w:rPr>
          <w:kern w:val="22"/>
          <w:sz w:val="22"/>
          <w:szCs w:val="22"/>
          <w:lang w:val="en-GB"/>
        </w:rPr>
        <w:t>,</w:t>
      </w:r>
      <w:r w:rsidRPr="00AC635C">
        <w:rPr>
          <w:kern w:val="22"/>
          <w:sz w:val="22"/>
          <w:szCs w:val="22"/>
          <w:lang w:val="en-GB"/>
        </w:rPr>
        <w:t xml:space="preserve"> for Targets 1, 4-5, 8-14 and 18-20 (p.</w:t>
      </w:r>
      <w:r w:rsidR="001B5083" w:rsidRPr="00AC635C">
        <w:rPr>
          <w:kern w:val="22"/>
          <w:sz w:val="22"/>
          <w:szCs w:val="22"/>
          <w:lang w:val="en-GB"/>
        </w:rPr>
        <w:t> </w:t>
      </w:r>
      <w:r w:rsidRPr="00AC635C">
        <w:rPr>
          <w:kern w:val="22"/>
          <w:sz w:val="22"/>
          <w:szCs w:val="22"/>
          <w:lang w:val="en-GB"/>
        </w:rPr>
        <w:t>37).</w:t>
      </w:r>
    </w:p>
    <w:p w14:paraId="19264AB6" w14:textId="7B897630" w:rsidR="0043655E" w:rsidRPr="00AC635C"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Workshop on Synergies among the </w:t>
      </w:r>
      <w:r w:rsidR="00FC46E1" w:rsidRPr="00AC635C">
        <w:rPr>
          <w:kern w:val="22"/>
          <w:sz w:val="22"/>
          <w:szCs w:val="22"/>
          <w:lang w:val="en-GB"/>
        </w:rPr>
        <w:t>B</w:t>
      </w:r>
      <w:r w:rsidRPr="00AC635C">
        <w:rPr>
          <w:kern w:val="22"/>
          <w:sz w:val="22"/>
          <w:szCs w:val="22"/>
          <w:lang w:val="en-GB"/>
        </w:rPr>
        <w:t>iodiversity-related Conventions held in Geneva in February 2016</w:t>
      </w:r>
      <w:r w:rsidR="00B93197" w:rsidRPr="00AC635C">
        <w:rPr>
          <w:rStyle w:val="FootnoteReference"/>
          <w:kern w:val="22"/>
          <w:sz w:val="22"/>
          <w:szCs w:val="22"/>
          <w:lang w:val="en-GB"/>
        </w:rPr>
        <w:footnoteReference w:id="13"/>
      </w:r>
      <w:r w:rsidRPr="00AC635C">
        <w:rPr>
          <w:kern w:val="22"/>
          <w:sz w:val="22"/>
          <w:szCs w:val="22"/>
          <w:lang w:val="en-GB"/>
        </w:rPr>
        <w:t xml:space="preserve"> identified options for global actions for common reporting</w:t>
      </w:r>
      <w:r w:rsidR="00C76AFB" w:rsidRPr="00AC635C">
        <w:rPr>
          <w:kern w:val="22"/>
          <w:sz w:val="22"/>
          <w:szCs w:val="22"/>
          <w:lang w:val="en-GB"/>
        </w:rPr>
        <w:t>,</w:t>
      </w:r>
      <w:r w:rsidRPr="00AC635C">
        <w:rPr>
          <w:kern w:val="22"/>
          <w:sz w:val="22"/>
          <w:szCs w:val="22"/>
          <w:lang w:val="en-GB"/>
        </w:rPr>
        <w:t xml:space="preserve"> which include</w:t>
      </w:r>
      <w:r w:rsidR="00C76AFB" w:rsidRPr="00AC635C">
        <w:rPr>
          <w:kern w:val="22"/>
          <w:sz w:val="22"/>
          <w:szCs w:val="22"/>
          <w:lang w:val="en-GB"/>
        </w:rPr>
        <w:t>d</w:t>
      </w:r>
      <w:r w:rsidRPr="00AC635C">
        <w:rPr>
          <w:kern w:val="22"/>
          <w:sz w:val="22"/>
          <w:szCs w:val="22"/>
          <w:lang w:val="en-GB"/>
        </w:rPr>
        <w:t xml:space="preserve"> determining different and common elements of the reporting for each biodiversity-related </w:t>
      </w:r>
      <w:r w:rsidR="00C76AFB" w:rsidRPr="00AC635C">
        <w:rPr>
          <w:kern w:val="22"/>
          <w:sz w:val="22"/>
          <w:szCs w:val="22"/>
          <w:lang w:val="en-GB"/>
        </w:rPr>
        <w:t>c</w:t>
      </w:r>
      <w:r w:rsidRPr="00AC635C">
        <w:rPr>
          <w:kern w:val="22"/>
          <w:sz w:val="22"/>
          <w:szCs w:val="22"/>
          <w:lang w:val="en-GB"/>
        </w:rPr>
        <w:t>onvention</w:t>
      </w:r>
      <w:r w:rsidR="00C76AFB" w:rsidRPr="00AC635C">
        <w:rPr>
          <w:kern w:val="22"/>
          <w:sz w:val="22"/>
          <w:szCs w:val="22"/>
          <w:lang w:val="en-GB"/>
        </w:rPr>
        <w:t>,</w:t>
      </w:r>
      <w:r w:rsidRPr="00AC635C">
        <w:rPr>
          <w:kern w:val="22"/>
          <w:sz w:val="22"/>
          <w:szCs w:val="22"/>
          <w:lang w:val="en-GB"/>
        </w:rPr>
        <w:t xml:space="preserve"> building on the work undertaken by UNEP-WCMC and others.</w:t>
      </w:r>
    </w:p>
    <w:p w14:paraId="6D0CF956" w14:textId="08F6145D" w:rsidR="0043655E" w:rsidRPr="00AC635C"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w:t>
      </w:r>
      <w:hyperlink r:id="rId47" w:history="1">
        <w:r w:rsidRPr="00AC635C">
          <w:rPr>
            <w:rStyle w:val="Hyperlink"/>
            <w:kern w:val="22"/>
            <w:sz w:val="22"/>
            <w:szCs w:val="22"/>
            <w:lang w:val="en-GB"/>
          </w:rPr>
          <w:t>Joint Liaison Group of the Rio Conventions</w:t>
        </w:r>
      </w:hyperlink>
      <w:r w:rsidRPr="00AC635C">
        <w:rPr>
          <w:kern w:val="22"/>
          <w:sz w:val="22"/>
          <w:szCs w:val="22"/>
          <w:lang w:val="en-GB"/>
        </w:rPr>
        <w:t xml:space="preserve"> at its </w:t>
      </w:r>
      <w:hyperlink r:id="rId48" w:history="1">
        <w:r w:rsidRPr="00AC635C">
          <w:rPr>
            <w:rStyle w:val="Hyperlink"/>
            <w:kern w:val="22"/>
            <w:sz w:val="22"/>
            <w:szCs w:val="22"/>
            <w:lang w:val="en-GB"/>
          </w:rPr>
          <w:t>14</w:t>
        </w:r>
        <w:r w:rsidRPr="00AC635C">
          <w:rPr>
            <w:rStyle w:val="Hyperlink"/>
            <w:kern w:val="22"/>
            <w:sz w:val="22"/>
            <w:szCs w:val="22"/>
            <w:vertAlign w:val="superscript"/>
            <w:lang w:val="en-GB"/>
          </w:rPr>
          <w:t>th</w:t>
        </w:r>
        <w:r w:rsidRPr="00AC635C">
          <w:rPr>
            <w:rStyle w:val="Hyperlink"/>
            <w:kern w:val="22"/>
            <w:sz w:val="22"/>
            <w:szCs w:val="22"/>
            <w:lang w:val="en-GB"/>
          </w:rPr>
          <w:t xml:space="preserve"> meeting</w:t>
        </w:r>
      </w:hyperlink>
      <w:r w:rsidR="00DB4A49" w:rsidRPr="00AC635C">
        <w:rPr>
          <w:kern w:val="22"/>
          <w:sz w:val="22"/>
          <w:szCs w:val="22"/>
          <w:lang w:val="en-GB"/>
        </w:rPr>
        <w:t>,</w:t>
      </w:r>
      <w:r w:rsidRPr="00AC635C">
        <w:rPr>
          <w:kern w:val="22"/>
          <w:sz w:val="22"/>
          <w:szCs w:val="22"/>
          <w:lang w:val="en-GB"/>
        </w:rPr>
        <w:t xml:space="preserve"> held in August 2016</w:t>
      </w:r>
      <w:r w:rsidR="00DB4A49" w:rsidRPr="00AC635C">
        <w:rPr>
          <w:kern w:val="22"/>
          <w:sz w:val="22"/>
          <w:szCs w:val="22"/>
          <w:lang w:val="en-GB"/>
        </w:rPr>
        <w:t>,</w:t>
      </w:r>
      <w:r w:rsidRPr="00AC635C">
        <w:rPr>
          <w:kern w:val="22"/>
          <w:sz w:val="22"/>
          <w:szCs w:val="22"/>
          <w:lang w:val="en-GB"/>
        </w:rPr>
        <w:t xml:space="preserve"> discussed options for increasing synergies in reporting to the Rio </w:t>
      </w:r>
      <w:r w:rsidR="0066692C" w:rsidRPr="00AC635C">
        <w:rPr>
          <w:kern w:val="22"/>
          <w:sz w:val="22"/>
          <w:szCs w:val="22"/>
          <w:lang w:val="en-GB"/>
        </w:rPr>
        <w:t>c</w:t>
      </w:r>
      <w:r w:rsidRPr="00AC635C">
        <w:rPr>
          <w:kern w:val="22"/>
          <w:sz w:val="22"/>
          <w:szCs w:val="22"/>
          <w:lang w:val="en-GB"/>
        </w:rPr>
        <w:t xml:space="preserve">onventions. The </w:t>
      </w:r>
      <w:r w:rsidR="00900BEB" w:rsidRPr="00AC635C">
        <w:rPr>
          <w:kern w:val="22"/>
          <w:sz w:val="22"/>
          <w:szCs w:val="22"/>
          <w:lang w:val="en-GB"/>
        </w:rPr>
        <w:t xml:space="preserve">Group </w:t>
      </w:r>
      <w:r w:rsidRPr="00AC635C">
        <w:rPr>
          <w:kern w:val="22"/>
          <w:sz w:val="22"/>
          <w:szCs w:val="22"/>
          <w:lang w:val="en-GB"/>
        </w:rPr>
        <w:t xml:space="preserve">agreed </w:t>
      </w:r>
      <w:r w:rsidR="00911371" w:rsidRPr="00AC635C">
        <w:rPr>
          <w:kern w:val="22"/>
          <w:sz w:val="22"/>
          <w:szCs w:val="22"/>
          <w:lang w:val="en-GB"/>
        </w:rPr>
        <w:t>that there was a</w:t>
      </w:r>
      <w:r w:rsidRPr="00AC635C">
        <w:rPr>
          <w:kern w:val="22"/>
          <w:sz w:val="22"/>
          <w:szCs w:val="22"/>
          <w:lang w:val="en-GB"/>
        </w:rPr>
        <w:t xml:space="preserve"> need for a permanent working </w:t>
      </w:r>
      <w:r w:rsidR="00911371" w:rsidRPr="00AC635C">
        <w:rPr>
          <w:kern w:val="22"/>
          <w:sz w:val="22"/>
          <w:szCs w:val="22"/>
          <w:lang w:val="en-GB"/>
        </w:rPr>
        <w:t>sub</w:t>
      </w:r>
      <w:r w:rsidRPr="00AC635C">
        <w:rPr>
          <w:kern w:val="22"/>
          <w:sz w:val="22"/>
          <w:szCs w:val="22"/>
          <w:lang w:val="en-GB"/>
        </w:rPr>
        <w:t xml:space="preserve">group to take up issues related to the synergies in reporting, among others, </w:t>
      </w:r>
      <w:r w:rsidR="00911371" w:rsidRPr="00AC635C">
        <w:rPr>
          <w:kern w:val="22"/>
          <w:sz w:val="22"/>
          <w:szCs w:val="22"/>
          <w:lang w:val="en-GB"/>
        </w:rPr>
        <w:t>though it noted</w:t>
      </w:r>
      <w:r w:rsidRPr="00AC635C">
        <w:rPr>
          <w:kern w:val="22"/>
          <w:sz w:val="22"/>
          <w:szCs w:val="22"/>
          <w:lang w:val="en-GB"/>
        </w:rPr>
        <w:t xml:space="preserve"> that more coordination </w:t>
      </w:r>
      <w:r w:rsidR="00911371" w:rsidRPr="00AC635C">
        <w:rPr>
          <w:kern w:val="22"/>
          <w:sz w:val="22"/>
          <w:szCs w:val="22"/>
          <w:lang w:val="en-GB"/>
        </w:rPr>
        <w:t xml:space="preserve">was </w:t>
      </w:r>
      <w:r w:rsidRPr="00AC635C">
        <w:rPr>
          <w:kern w:val="22"/>
          <w:sz w:val="22"/>
          <w:szCs w:val="22"/>
          <w:lang w:val="en-GB"/>
        </w:rPr>
        <w:t xml:space="preserve">needed to establish such a </w:t>
      </w:r>
      <w:r w:rsidR="00911371" w:rsidRPr="00AC635C">
        <w:rPr>
          <w:kern w:val="22"/>
          <w:sz w:val="22"/>
          <w:szCs w:val="22"/>
          <w:lang w:val="en-GB"/>
        </w:rPr>
        <w:t>sub</w:t>
      </w:r>
      <w:r w:rsidRPr="00AC635C">
        <w:rPr>
          <w:kern w:val="22"/>
          <w:sz w:val="22"/>
          <w:szCs w:val="22"/>
          <w:lang w:val="en-GB"/>
        </w:rPr>
        <w:t xml:space="preserve">group and to initiate its work. </w:t>
      </w:r>
      <w:r w:rsidR="00B93197" w:rsidRPr="00AC635C">
        <w:rPr>
          <w:kern w:val="22"/>
          <w:sz w:val="22"/>
          <w:szCs w:val="22"/>
          <w:lang w:val="en-GB"/>
        </w:rPr>
        <w:t>This was in the context of</w:t>
      </w:r>
      <w:r w:rsidRPr="00AC635C">
        <w:rPr>
          <w:kern w:val="22"/>
          <w:sz w:val="22"/>
          <w:szCs w:val="22"/>
          <w:lang w:val="en-GB"/>
        </w:rPr>
        <w:t xml:space="preserve"> </w:t>
      </w:r>
      <w:r w:rsidR="00911371" w:rsidRPr="00AC635C">
        <w:rPr>
          <w:kern w:val="22"/>
          <w:sz w:val="22"/>
          <w:szCs w:val="22"/>
          <w:lang w:val="en-GB"/>
        </w:rPr>
        <w:t xml:space="preserve">the </w:t>
      </w:r>
      <w:r w:rsidRPr="00AC635C">
        <w:rPr>
          <w:kern w:val="22"/>
          <w:sz w:val="22"/>
          <w:szCs w:val="22"/>
          <w:lang w:val="en-GB"/>
        </w:rPr>
        <w:t>recogni</w:t>
      </w:r>
      <w:r w:rsidR="00B93197" w:rsidRPr="00AC635C">
        <w:rPr>
          <w:kern w:val="22"/>
          <w:sz w:val="22"/>
          <w:szCs w:val="22"/>
          <w:lang w:val="en-GB"/>
        </w:rPr>
        <w:t>tion</w:t>
      </w:r>
      <w:r w:rsidRPr="00AC635C">
        <w:rPr>
          <w:kern w:val="22"/>
          <w:sz w:val="22"/>
          <w:szCs w:val="22"/>
          <w:lang w:val="en-GB"/>
        </w:rPr>
        <w:t xml:space="preserve"> by </w:t>
      </w:r>
      <w:r w:rsidR="009B1B04" w:rsidRPr="00AC635C">
        <w:rPr>
          <w:kern w:val="22"/>
          <w:sz w:val="22"/>
          <w:szCs w:val="22"/>
          <w:lang w:val="en-GB"/>
        </w:rPr>
        <w:t xml:space="preserve">the Joint Liaison Group </w:t>
      </w:r>
      <w:r w:rsidR="00DB4A49" w:rsidRPr="00AC635C">
        <w:rPr>
          <w:kern w:val="22"/>
          <w:sz w:val="22"/>
          <w:szCs w:val="22"/>
          <w:lang w:val="en-GB"/>
        </w:rPr>
        <w:t xml:space="preserve">at its </w:t>
      </w:r>
      <w:hyperlink r:id="rId49" w:history="1">
        <w:r w:rsidR="00DB4A49" w:rsidRPr="00AC635C">
          <w:rPr>
            <w:rStyle w:val="Hyperlink"/>
            <w:kern w:val="22"/>
            <w:sz w:val="22"/>
            <w:szCs w:val="22"/>
            <w:lang w:val="en-GB"/>
          </w:rPr>
          <w:t>12</w:t>
        </w:r>
        <w:r w:rsidR="00DB4A49" w:rsidRPr="00AC635C">
          <w:rPr>
            <w:rStyle w:val="Hyperlink"/>
            <w:kern w:val="22"/>
            <w:sz w:val="22"/>
            <w:szCs w:val="22"/>
            <w:vertAlign w:val="superscript"/>
            <w:lang w:val="en-GB"/>
          </w:rPr>
          <w:t>th</w:t>
        </w:r>
        <w:r w:rsidR="00DB4A49" w:rsidRPr="00AC635C">
          <w:rPr>
            <w:rStyle w:val="Hyperlink"/>
            <w:kern w:val="22"/>
            <w:sz w:val="22"/>
            <w:szCs w:val="22"/>
            <w:lang w:val="en-GB"/>
          </w:rPr>
          <w:t xml:space="preserve"> meeting</w:t>
        </w:r>
      </w:hyperlink>
      <w:r w:rsidR="00DB4A49" w:rsidRPr="00AC635C">
        <w:rPr>
          <w:kern w:val="22"/>
          <w:sz w:val="22"/>
          <w:szCs w:val="22"/>
          <w:lang w:val="en-GB"/>
        </w:rPr>
        <w:t xml:space="preserve">, </w:t>
      </w:r>
      <w:r w:rsidRPr="00AC635C">
        <w:rPr>
          <w:kern w:val="22"/>
          <w:sz w:val="22"/>
          <w:szCs w:val="22"/>
          <w:lang w:val="en-GB"/>
        </w:rPr>
        <w:t>held in January 2013</w:t>
      </w:r>
      <w:r w:rsidR="00DB4A49" w:rsidRPr="00AC635C">
        <w:rPr>
          <w:kern w:val="22"/>
          <w:sz w:val="22"/>
          <w:szCs w:val="22"/>
          <w:lang w:val="en-GB"/>
        </w:rPr>
        <w:t>,</w:t>
      </w:r>
      <w:r w:rsidRPr="00AC635C">
        <w:rPr>
          <w:kern w:val="22"/>
          <w:sz w:val="22"/>
          <w:szCs w:val="22"/>
          <w:lang w:val="en-GB"/>
        </w:rPr>
        <w:t xml:space="preserve"> that having a single template for reporting under the three Rio </w:t>
      </w:r>
      <w:r w:rsidR="00DB4A49" w:rsidRPr="00AC635C">
        <w:rPr>
          <w:kern w:val="22"/>
          <w:sz w:val="22"/>
          <w:szCs w:val="22"/>
          <w:lang w:val="en-GB"/>
        </w:rPr>
        <w:t>c</w:t>
      </w:r>
      <w:r w:rsidRPr="00AC635C">
        <w:rPr>
          <w:kern w:val="22"/>
          <w:sz w:val="22"/>
          <w:szCs w:val="22"/>
          <w:lang w:val="en-GB"/>
        </w:rPr>
        <w:t>onventions would be hardly achievable and ultimately of limited impact because of convention-specific information to be provided by country Parties, difference</w:t>
      </w:r>
      <w:r w:rsidR="00AD7227" w:rsidRPr="00AC635C">
        <w:rPr>
          <w:kern w:val="22"/>
          <w:sz w:val="22"/>
          <w:szCs w:val="22"/>
          <w:lang w:val="en-GB"/>
        </w:rPr>
        <w:t>s</w:t>
      </w:r>
      <w:r w:rsidRPr="00AC635C">
        <w:rPr>
          <w:kern w:val="22"/>
          <w:sz w:val="22"/>
          <w:szCs w:val="22"/>
          <w:lang w:val="en-GB"/>
        </w:rPr>
        <w:t xml:space="preserve"> in reporting entities and relat</w:t>
      </w:r>
      <w:r w:rsidR="00AD7227" w:rsidRPr="00AC635C">
        <w:rPr>
          <w:kern w:val="22"/>
          <w:sz w:val="22"/>
          <w:szCs w:val="22"/>
          <w:lang w:val="en-GB"/>
        </w:rPr>
        <w:t>ed</w:t>
      </w:r>
      <w:r w:rsidRPr="00AC635C">
        <w:rPr>
          <w:kern w:val="22"/>
          <w:sz w:val="22"/>
          <w:szCs w:val="22"/>
          <w:lang w:val="en-GB"/>
        </w:rPr>
        <w:t xml:space="preserve"> reporting obligations, and difference</w:t>
      </w:r>
      <w:r w:rsidR="00AD7227" w:rsidRPr="00AC635C">
        <w:rPr>
          <w:kern w:val="22"/>
          <w:sz w:val="22"/>
          <w:szCs w:val="22"/>
          <w:lang w:val="en-GB"/>
        </w:rPr>
        <w:t>s</w:t>
      </w:r>
      <w:r w:rsidRPr="00AC635C">
        <w:rPr>
          <w:kern w:val="22"/>
          <w:sz w:val="22"/>
          <w:szCs w:val="22"/>
          <w:lang w:val="en-GB"/>
        </w:rPr>
        <w:t xml:space="preserve"> in reporting and review time</w:t>
      </w:r>
      <w:r w:rsidR="00AD7227" w:rsidRPr="00AC635C">
        <w:rPr>
          <w:kern w:val="22"/>
          <w:sz w:val="22"/>
          <w:szCs w:val="22"/>
          <w:lang w:val="en-GB"/>
        </w:rPr>
        <w:t xml:space="preserve"> </w:t>
      </w:r>
      <w:r w:rsidRPr="00AC635C">
        <w:rPr>
          <w:kern w:val="22"/>
          <w:sz w:val="22"/>
          <w:szCs w:val="22"/>
          <w:lang w:val="en-GB"/>
        </w:rPr>
        <w:t>frames under the three conventions</w:t>
      </w:r>
      <w:r w:rsidR="00025872" w:rsidRPr="00AC635C">
        <w:rPr>
          <w:kern w:val="22"/>
          <w:sz w:val="22"/>
          <w:szCs w:val="22"/>
          <w:lang w:val="en-GB"/>
        </w:rPr>
        <w:t>.</w:t>
      </w:r>
    </w:p>
    <w:p w14:paraId="25C6548D" w14:textId="4C6E5C18" w:rsidR="0043655E" w:rsidRPr="00AC635C" w:rsidRDefault="0043655E"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main work on synergies among the Rio </w:t>
      </w:r>
      <w:r w:rsidR="00FC46E1" w:rsidRPr="00AC635C">
        <w:rPr>
          <w:kern w:val="22"/>
          <w:sz w:val="22"/>
          <w:szCs w:val="22"/>
          <w:lang w:val="en-GB"/>
        </w:rPr>
        <w:t>c</w:t>
      </w:r>
      <w:r w:rsidRPr="00AC635C">
        <w:rPr>
          <w:kern w:val="22"/>
          <w:sz w:val="22"/>
          <w:szCs w:val="22"/>
          <w:lang w:val="en-GB"/>
        </w:rPr>
        <w:t>onvention</w:t>
      </w:r>
      <w:r w:rsidR="00FC46E1" w:rsidRPr="00AC635C">
        <w:rPr>
          <w:kern w:val="22"/>
          <w:sz w:val="22"/>
          <w:szCs w:val="22"/>
          <w:lang w:val="en-GB"/>
        </w:rPr>
        <w:t>s</w:t>
      </w:r>
      <w:r w:rsidRPr="00AC635C">
        <w:rPr>
          <w:kern w:val="22"/>
          <w:sz w:val="22"/>
          <w:szCs w:val="22"/>
          <w:lang w:val="en-GB"/>
        </w:rPr>
        <w:t xml:space="preserve"> in the past two years has focused on the development of indicators as elaborated in sub-section</w:t>
      </w:r>
      <w:r w:rsidR="00366BD6" w:rsidRPr="00AC635C">
        <w:rPr>
          <w:kern w:val="22"/>
          <w:sz w:val="22"/>
          <w:szCs w:val="22"/>
          <w:lang w:val="en-GB"/>
        </w:rPr>
        <w:t> A </w:t>
      </w:r>
      <w:r w:rsidRPr="00AC635C">
        <w:rPr>
          <w:kern w:val="22"/>
          <w:sz w:val="22"/>
          <w:szCs w:val="22"/>
          <w:lang w:val="en-GB"/>
        </w:rPr>
        <w:t>above.</w:t>
      </w:r>
    </w:p>
    <w:p w14:paraId="44A665E3" w14:textId="1FBEC7DB" w:rsidR="00BA7962" w:rsidRPr="00AC635C" w:rsidRDefault="0085421D"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n-GB"/>
        </w:rPr>
      </w:pPr>
      <w:r w:rsidRPr="00AC635C">
        <w:rPr>
          <w:b/>
          <w:bCs/>
          <w:iCs/>
          <w:kern w:val="22"/>
          <w:sz w:val="22"/>
          <w:szCs w:val="22"/>
          <w:lang w:val="en-GB"/>
        </w:rPr>
        <w:t>C.</w:t>
      </w:r>
      <w:r w:rsidRPr="00AC635C">
        <w:rPr>
          <w:b/>
          <w:bCs/>
          <w:iCs/>
          <w:kern w:val="22"/>
          <w:sz w:val="22"/>
          <w:szCs w:val="22"/>
          <w:lang w:val="en-GB"/>
        </w:rPr>
        <w:tab/>
      </w:r>
      <w:r w:rsidR="00BA7962" w:rsidRPr="00AC635C">
        <w:rPr>
          <w:b/>
          <w:bCs/>
          <w:iCs/>
          <w:kern w:val="22"/>
          <w:sz w:val="22"/>
          <w:szCs w:val="22"/>
          <w:lang w:val="en-GB"/>
        </w:rPr>
        <w:t>Interoperability of information management and reporting systems</w:t>
      </w:r>
    </w:p>
    <w:p w14:paraId="3E9F85F0" w14:textId="4210047D" w:rsidR="00192D70" w:rsidRPr="00AC635C" w:rsidRDefault="00192D70"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purpose of promoting interoperability of data sets and reporting systems is to facilitate the </w:t>
      </w:r>
      <w:r w:rsidR="006205ED" w:rsidRPr="00AC635C">
        <w:rPr>
          <w:kern w:val="22"/>
          <w:sz w:val="22"/>
          <w:szCs w:val="22"/>
          <w:lang w:val="en-GB"/>
        </w:rPr>
        <w:t>reuse</w:t>
      </w:r>
      <w:r w:rsidRPr="00AC635C">
        <w:rPr>
          <w:kern w:val="22"/>
          <w:sz w:val="22"/>
          <w:szCs w:val="22"/>
          <w:lang w:val="en-GB"/>
        </w:rPr>
        <w:t xml:space="preserve"> of information entered in one place and thereby </w:t>
      </w:r>
      <w:r w:rsidR="00E64EF5" w:rsidRPr="00AC635C">
        <w:rPr>
          <w:kern w:val="22"/>
          <w:sz w:val="22"/>
          <w:szCs w:val="22"/>
          <w:lang w:val="en-GB"/>
        </w:rPr>
        <w:t xml:space="preserve">obviate </w:t>
      </w:r>
      <w:r w:rsidR="00F95625" w:rsidRPr="00AC635C">
        <w:rPr>
          <w:kern w:val="22"/>
          <w:sz w:val="22"/>
          <w:szCs w:val="22"/>
          <w:lang w:val="en-GB"/>
        </w:rPr>
        <w:t>multiple reporting by</w:t>
      </w:r>
      <w:r w:rsidRPr="00AC635C">
        <w:rPr>
          <w:kern w:val="22"/>
          <w:sz w:val="22"/>
          <w:szCs w:val="22"/>
          <w:lang w:val="en-GB"/>
        </w:rPr>
        <w:t xml:space="preserve"> countries </w:t>
      </w:r>
      <w:r w:rsidR="00F95625" w:rsidRPr="00AC635C">
        <w:rPr>
          <w:kern w:val="22"/>
          <w:sz w:val="22"/>
          <w:szCs w:val="22"/>
          <w:lang w:val="en-GB"/>
        </w:rPr>
        <w:t>of</w:t>
      </w:r>
      <w:r w:rsidRPr="00AC635C">
        <w:rPr>
          <w:kern w:val="22"/>
          <w:sz w:val="22"/>
          <w:szCs w:val="22"/>
          <w:lang w:val="en-GB"/>
        </w:rPr>
        <w:t xml:space="preserve"> same information.</w:t>
      </w:r>
      <w:r w:rsidR="000C7F51" w:rsidRPr="00AC635C">
        <w:rPr>
          <w:kern w:val="22"/>
          <w:sz w:val="22"/>
          <w:szCs w:val="22"/>
          <w:lang w:val="en-GB"/>
        </w:rPr>
        <w:t xml:space="preserve"> It also justifies investing in more complex analytical tools that combine information from different platforms.</w:t>
      </w:r>
    </w:p>
    <w:p w14:paraId="08E2252D" w14:textId="5F6E15B4" w:rsidR="00BA7962" w:rsidRPr="00AC635C" w:rsidRDefault="00CA7E2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proofErr w:type="spellStart"/>
      <w:r w:rsidRPr="00AC635C">
        <w:rPr>
          <w:kern w:val="22"/>
          <w:sz w:val="22"/>
          <w:szCs w:val="22"/>
          <w:lang w:val="en-GB"/>
        </w:rPr>
        <w:t>InforMEA</w:t>
      </w:r>
      <w:proofErr w:type="spellEnd"/>
      <w:r w:rsidRPr="00AC635C">
        <w:rPr>
          <w:kern w:val="22"/>
          <w:sz w:val="22"/>
          <w:szCs w:val="22"/>
          <w:lang w:val="en-GB"/>
        </w:rPr>
        <w:t>, the United Nations Information Portal on Multilateral Environment Agreements (</w:t>
      </w:r>
      <w:hyperlink r:id="rId50" w:history="1">
        <w:r w:rsidRPr="00AC635C">
          <w:rPr>
            <w:rStyle w:val="Hyperlink"/>
            <w:kern w:val="22"/>
            <w:sz w:val="22"/>
            <w:szCs w:val="22"/>
            <w:lang w:val="en-GB"/>
          </w:rPr>
          <w:t>www.informea.org</w:t>
        </w:r>
      </w:hyperlink>
      <w:r w:rsidRPr="00AC635C">
        <w:rPr>
          <w:kern w:val="22"/>
          <w:sz w:val="22"/>
          <w:szCs w:val="22"/>
          <w:lang w:val="en-GB"/>
        </w:rPr>
        <w:t xml:space="preserve">) harvests information from over 20 </w:t>
      </w:r>
      <w:r w:rsidR="00ED11C9" w:rsidRPr="00AC635C">
        <w:rPr>
          <w:kern w:val="22"/>
          <w:sz w:val="22"/>
          <w:szCs w:val="22"/>
          <w:lang w:val="en-GB"/>
        </w:rPr>
        <w:t>multilateral environmental agreements</w:t>
      </w:r>
      <w:r w:rsidRPr="00AC635C">
        <w:rPr>
          <w:kern w:val="22"/>
          <w:sz w:val="22"/>
          <w:szCs w:val="22"/>
          <w:lang w:val="en-GB"/>
        </w:rPr>
        <w:t xml:space="preserve"> </w:t>
      </w:r>
      <w:proofErr w:type="gramStart"/>
      <w:r w:rsidRPr="00AC635C">
        <w:rPr>
          <w:kern w:val="22"/>
          <w:sz w:val="22"/>
          <w:szCs w:val="22"/>
          <w:lang w:val="en-GB"/>
        </w:rPr>
        <w:t>in order to</w:t>
      </w:r>
      <w:proofErr w:type="gramEnd"/>
      <w:r w:rsidRPr="00AC635C">
        <w:rPr>
          <w:kern w:val="22"/>
          <w:sz w:val="22"/>
          <w:szCs w:val="22"/>
          <w:lang w:val="en-GB"/>
        </w:rPr>
        <w:t xml:space="preserve"> present it in an integrated way. </w:t>
      </w:r>
      <w:r w:rsidRPr="00AC635C">
        <w:rPr>
          <w:bCs/>
          <w:color w:val="000000"/>
          <w:kern w:val="22"/>
          <w:sz w:val="22"/>
          <w:szCs w:val="22"/>
          <w:lang w:val="en-GB"/>
        </w:rPr>
        <w:t xml:space="preserve">The </w:t>
      </w:r>
      <w:r w:rsidR="003666F7" w:rsidRPr="00AC635C">
        <w:rPr>
          <w:bCs/>
          <w:color w:val="000000"/>
          <w:kern w:val="22"/>
          <w:sz w:val="22"/>
          <w:szCs w:val="22"/>
          <w:lang w:val="en-GB"/>
        </w:rPr>
        <w:t>p</w:t>
      </w:r>
      <w:r w:rsidRPr="00AC635C">
        <w:rPr>
          <w:bCs/>
          <w:color w:val="000000"/>
          <w:kern w:val="22"/>
          <w:sz w:val="22"/>
          <w:szCs w:val="22"/>
          <w:lang w:val="en-GB"/>
        </w:rPr>
        <w:t xml:space="preserve">ortal offers a facility </w:t>
      </w:r>
      <w:r w:rsidR="00A94EA4" w:rsidRPr="00AC635C">
        <w:rPr>
          <w:bCs/>
          <w:color w:val="000000"/>
          <w:kern w:val="22"/>
          <w:sz w:val="22"/>
          <w:szCs w:val="22"/>
          <w:lang w:val="en-GB"/>
        </w:rPr>
        <w:t>for searching</w:t>
      </w:r>
      <w:r w:rsidRPr="00AC635C">
        <w:rPr>
          <w:bCs/>
          <w:color w:val="000000"/>
          <w:kern w:val="22"/>
          <w:sz w:val="22"/>
          <w:szCs w:val="22"/>
          <w:lang w:val="en-GB"/>
        </w:rPr>
        <w:t xml:space="preserve"> texts </w:t>
      </w:r>
      <w:r w:rsidR="00A94EA4" w:rsidRPr="00AC635C">
        <w:rPr>
          <w:bCs/>
          <w:color w:val="000000"/>
          <w:kern w:val="22"/>
          <w:sz w:val="22"/>
          <w:szCs w:val="22"/>
          <w:lang w:val="en-GB"/>
        </w:rPr>
        <w:t xml:space="preserve">of multilateral environmental </w:t>
      </w:r>
      <w:r w:rsidR="00885E6E" w:rsidRPr="00AC635C">
        <w:rPr>
          <w:bCs/>
          <w:color w:val="000000"/>
          <w:kern w:val="22"/>
          <w:sz w:val="22"/>
          <w:szCs w:val="22"/>
          <w:lang w:val="en-GB"/>
        </w:rPr>
        <w:t>agreements</w:t>
      </w:r>
      <w:r w:rsidR="00A94EA4" w:rsidRPr="00AC635C">
        <w:rPr>
          <w:bCs/>
          <w:color w:val="000000"/>
          <w:kern w:val="22"/>
          <w:sz w:val="22"/>
          <w:szCs w:val="22"/>
          <w:lang w:val="en-GB"/>
        </w:rPr>
        <w:t xml:space="preserve"> </w:t>
      </w:r>
      <w:r w:rsidRPr="00AC635C">
        <w:rPr>
          <w:bCs/>
          <w:color w:val="000000"/>
          <w:kern w:val="22"/>
          <w:sz w:val="22"/>
          <w:szCs w:val="22"/>
          <w:lang w:val="en-GB"/>
        </w:rPr>
        <w:t>and governing body decisions, internationally agreed goals, national legislation and jurisprudence, and provides detailed Party and Treaty profiles with ratification status, focal point</w:t>
      </w:r>
      <w:r w:rsidR="003666F7" w:rsidRPr="00AC635C">
        <w:rPr>
          <w:bCs/>
          <w:color w:val="000000"/>
          <w:kern w:val="22"/>
          <w:sz w:val="22"/>
          <w:szCs w:val="22"/>
          <w:lang w:val="en-GB"/>
        </w:rPr>
        <w:t xml:space="preserve"> information</w:t>
      </w:r>
      <w:r w:rsidRPr="00AC635C">
        <w:rPr>
          <w:bCs/>
          <w:color w:val="000000"/>
          <w:kern w:val="22"/>
          <w:sz w:val="22"/>
          <w:szCs w:val="22"/>
          <w:lang w:val="en-GB"/>
        </w:rPr>
        <w:t xml:space="preserve">, national reports and action plans. </w:t>
      </w:r>
      <w:proofErr w:type="spellStart"/>
      <w:r w:rsidRPr="00AC635C">
        <w:rPr>
          <w:color w:val="000000"/>
          <w:kern w:val="22"/>
          <w:sz w:val="22"/>
          <w:szCs w:val="22"/>
          <w:lang w:val="en-GB"/>
        </w:rPr>
        <w:t>InforMEA</w:t>
      </w:r>
      <w:proofErr w:type="spellEnd"/>
      <w:r w:rsidRPr="00AC635C">
        <w:rPr>
          <w:color w:val="000000"/>
          <w:kern w:val="22"/>
          <w:sz w:val="22"/>
          <w:szCs w:val="22"/>
          <w:lang w:val="en-GB"/>
        </w:rPr>
        <w:t xml:space="preserve"> is facilitated by </w:t>
      </w:r>
      <w:r w:rsidR="00ED11C9" w:rsidRPr="00AC635C">
        <w:rPr>
          <w:color w:val="000000"/>
          <w:kern w:val="22"/>
          <w:sz w:val="22"/>
          <w:szCs w:val="22"/>
          <w:lang w:val="en-GB"/>
        </w:rPr>
        <w:t>the United Nations Environment Programme</w:t>
      </w:r>
      <w:r w:rsidRPr="00AC635C">
        <w:rPr>
          <w:color w:val="000000"/>
          <w:kern w:val="22"/>
          <w:sz w:val="22"/>
          <w:szCs w:val="22"/>
          <w:lang w:val="en-GB"/>
        </w:rPr>
        <w:t xml:space="preserve">, financially supported by the European Union and steered by the </w:t>
      </w:r>
      <w:proofErr w:type="spellStart"/>
      <w:r w:rsidRPr="00AC635C">
        <w:rPr>
          <w:color w:val="000000"/>
          <w:kern w:val="22"/>
          <w:sz w:val="22"/>
          <w:szCs w:val="22"/>
          <w:lang w:val="en-GB"/>
        </w:rPr>
        <w:t>InforMEA</w:t>
      </w:r>
      <w:proofErr w:type="spellEnd"/>
      <w:r w:rsidRPr="00AC635C">
        <w:rPr>
          <w:color w:val="000000"/>
          <w:kern w:val="22"/>
          <w:sz w:val="22"/>
          <w:szCs w:val="22"/>
          <w:lang w:val="en-GB"/>
        </w:rPr>
        <w:t xml:space="preserve"> Initiative</w:t>
      </w:r>
      <w:r w:rsidR="003666F7" w:rsidRPr="00AC635C">
        <w:rPr>
          <w:color w:val="000000"/>
          <w:kern w:val="22"/>
          <w:sz w:val="22"/>
          <w:szCs w:val="22"/>
          <w:lang w:val="en-GB"/>
        </w:rPr>
        <w:t>,</w:t>
      </w:r>
      <w:r w:rsidRPr="00AC635C">
        <w:rPr>
          <w:color w:val="000000"/>
          <w:kern w:val="22"/>
          <w:sz w:val="22"/>
          <w:szCs w:val="22"/>
          <w:lang w:val="en-GB"/>
        </w:rPr>
        <w:t xml:space="preserve"> which includes over 30 global and regional </w:t>
      </w:r>
      <w:r w:rsidR="003666F7" w:rsidRPr="00AC635C">
        <w:rPr>
          <w:bCs/>
          <w:color w:val="000000"/>
          <w:kern w:val="22"/>
          <w:sz w:val="22"/>
          <w:szCs w:val="22"/>
          <w:lang w:val="en-GB"/>
        </w:rPr>
        <w:t>multilateral environmental agreements,</w:t>
      </w:r>
      <w:r w:rsidRPr="00AC635C">
        <w:rPr>
          <w:color w:val="000000"/>
          <w:kern w:val="22"/>
          <w:sz w:val="22"/>
          <w:szCs w:val="22"/>
          <w:lang w:val="en-GB"/>
        </w:rPr>
        <w:t xml:space="preserve"> and benefits from the involvement of </w:t>
      </w:r>
      <w:r w:rsidR="00025872" w:rsidRPr="00AC635C">
        <w:rPr>
          <w:color w:val="000000"/>
          <w:kern w:val="22"/>
          <w:sz w:val="22"/>
          <w:szCs w:val="22"/>
          <w:lang w:val="en-GB"/>
        </w:rPr>
        <w:t>five</w:t>
      </w:r>
      <w:r w:rsidRPr="00AC635C">
        <w:rPr>
          <w:color w:val="000000"/>
          <w:kern w:val="22"/>
          <w:sz w:val="22"/>
          <w:szCs w:val="22"/>
          <w:lang w:val="en-GB"/>
        </w:rPr>
        <w:t xml:space="preserve"> U</w:t>
      </w:r>
      <w:r w:rsidR="00025872" w:rsidRPr="00AC635C">
        <w:rPr>
          <w:color w:val="000000"/>
          <w:kern w:val="22"/>
          <w:sz w:val="22"/>
          <w:szCs w:val="22"/>
          <w:lang w:val="en-GB"/>
        </w:rPr>
        <w:t xml:space="preserve">nited </w:t>
      </w:r>
      <w:r w:rsidRPr="00AC635C">
        <w:rPr>
          <w:color w:val="000000"/>
          <w:kern w:val="22"/>
          <w:sz w:val="22"/>
          <w:szCs w:val="22"/>
          <w:lang w:val="en-GB"/>
        </w:rPr>
        <w:t>N</w:t>
      </w:r>
      <w:r w:rsidR="00025872" w:rsidRPr="00AC635C">
        <w:rPr>
          <w:color w:val="000000"/>
          <w:kern w:val="22"/>
          <w:sz w:val="22"/>
          <w:szCs w:val="22"/>
          <w:lang w:val="en-GB"/>
        </w:rPr>
        <w:t>ations</w:t>
      </w:r>
      <w:r w:rsidRPr="00AC635C">
        <w:rPr>
          <w:color w:val="000000"/>
          <w:kern w:val="22"/>
          <w:sz w:val="22"/>
          <w:szCs w:val="22"/>
          <w:lang w:val="en-GB"/>
        </w:rPr>
        <w:t xml:space="preserve"> entities and the </w:t>
      </w:r>
      <w:hyperlink r:id="rId51" w:history="1">
        <w:r w:rsidRPr="00AC635C">
          <w:rPr>
            <w:rStyle w:val="Hyperlink"/>
            <w:kern w:val="22"/>
            <w:sz w:val="22"/>
            <w:szCs w:val="22"/>
            <w:lang w:val="en-GB"/>
          </w:rPr>
          <w:t>International Union for Conservation</w:t>
        </w:r>
        <w:r w:rsidR="005B5E07" w:rsidRPr="00AC635C">
          <w:rPr>
            <w:rStyle w:val="Hyperlink"/>
            <w:kern w:val="22"/>
            <w:sz w:val="22"/>
            <w:szCs w:val="22"/>
            <w:lang w:val="en-GB"/>
          </w:rPr>
          <w:t xml:space="preserve"> of Nature</w:t>
        </w:r>
      </w:hyperlink>
      <w:r w:rsidRPr="00AC635C">
        <w:rPr>
          <w:color w:val="000000"/>
          <w:kern w:val="22"/>
          <w:sz w:val="22"/>
          <w:szCs w:val="22"/>
          <w:lang w:val="en-GB"/>
        </w:rPr>
        <w:t>.</w:t>
      </w:r>
    </w:p>
    <w:p w14:paraId="66B8F2C8" w14:textId="1D4388B0"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During the past year, </w:t>
      </w:r>
      <w:proofErr w:type="spellStart"/>
      <w:r w:rsidRPr="00AC635C">
        <w:rPr>
          <w:kern w:val="22"/>
          <w:sz w:val="22"/>
          <w:szCs w:val="22"/>
          <w:lang w:val="en-GB"/>
        </w:rPr>
        <w:t>InforMEA</w:t>
      </w:r>
      <w:proofErr w:type="spellEnd"/>
      <w:r w:rsidRPr="00AC635C">
        <w:rPr>
          <w:kern w:val="22"/>
          <w:sz w:val="22"/>
          <w:szCs w:val="22"/>
          <w:lang w:val="en-GB"/>
        </w:rPr>
        <w:t xml:space="preserve"> has continued its work to integrate information from </w:t>
      </w:r>
      <w:r w:rsidR="008A03AD" w:rsidRPr="00AC635C">
        <w:rPr>
          <w:kern w:val="22"/>
          <w:sz w:val="22"/>
          <w:szCs w:val="22"/>
          <w:lang w:val="en-GB"/>
        </w:rPr>
        <w:t>MEAs</w:t>
      </w:r>
      <w:r w:rsidRPr="00AC635C">
        <w:rPr>
          <w:kern w:val="22"/>
          <w:sz w:val="22"/>
          <w:szCs w:val="22"/>
          <w:lang w:val="en-GB"/>
        </w:rPr>
        <w:t xml:space="preserve"> and other sources into a single interface. As an active member of </w:t>
      </w:r>
      <w:proofErr w:type="spellStart"/>
      <w:r w:rsidRPr="00AC635C">
        <w:rPr>
          <w:kern w:val="22"/>
          <w:sz w:val="22"/>
          <w:szCs w:val="22"/>
          <w:lang w:val="en-GB"/>
        </w:rPr>
        <w:t>InforMEA</w:t>
      </w:r>
      <w:proofErr w:type="spellEnd"/>
      <w:r w:rsidRPr="00AC635C">
        <w:rPr>
          <w:kern w:val="22"/>
          <w:sz w:val="22"/>
          <w:szCs w:val="22"/>
          <w:lang w:val="en-GB"/>
        </w:rPr>
        <w:t xml:space="preserve">, the </w:t>
      </w:r>
      <w:r w:rsidR="009B1B04" w:rsidRPr="00AC635C">
        <w:rPr>
          <w:kern w:val="22"/>
          <w:sz w:val="22"/>
          <w:szCs w:val="22"/>
          <w:lang w:val="en-GB"/>
        </w:rPr>
        <w:t xml:space="preserve">Convention </w:t>
      </w:r>
      <w:proofErr w:type="gramStart"/>
      <w:r w:rsidRPr="00AC635C">
        <w:rPr>
          <w:kern w:val="22"/>
          <w:sz w:val="22"/>
          <w:szCs w:val="22"/>
          <w:lang w:val="en-GB"/>
        </w:rPr>
        <w:t>shares</w:t>
      </w:r>
      <w:proofErr w:type="gramEnd"/>
      <w:r w:rsidRPr="00AC635C">
        <w:rPr>
          <w:kern w:val="22"/>
          <w:sz w:val="22"/>
          <w:szCs w:val="22"/>
          <w:lang w:val="en-GB"/>
        </w:rPr>
        <w:t xml:space="preserve"> Parties’ national reports and NBSAPs with the portal. Over 1,000 CBD national reports and NBSAPs are available through the portal. This automated sharing allows for increased access to information of national reports from all relevant MEAs</w:t>
      </w:r>
      <w:r w:rsidR="00657FD1" w:rsidRPr="00AC635C">
        <w:rPr>
          <w:kern w:val="22"/>
          <w:sz w:val="22"/>
          <w:szCs w:val="22"/>
          <w:lang w:val="en-GB"/>
        </w:rPr>
        <w:t xml:space="preserve"> and </w:t>
      </w:r>
      <w:proofErr w:type="spellStart"/>
      <w:r w:rsidR="00657FD1" w:rsidRPr="00AC635C">
        <w:rPr>
          <w:kern w:val="22"/>
          <w:sz w:val="22"/>
          <w:szCs w:val="22"/>
          <w:lang w:val="en-GB"/>
        </w:rPr>
        <w:t>InforMEA</w:t>
      </w:r>
      <w:proofErr w:type="spellEnd"/>
      <w:r w:rsidR="00657FD1" w:rsidRPr="00AC635C">
        <w:rPr>
          <w:kern w:val="22"/>
          <w:sz w:val="22"/>
          <w:szCs w:val="22"/>
          <w:lang w:val="en-GB"/>
        </w:rPr>
        <w:t xml:space="preserve"> is planning to look at opportunities for increasing access </w:t>
      </w:r>
      <w:r w:rsidR="008A03AD" w:rsidRPr="00AC635C">
        <w:rPr>
          <w:kern w:val="22"/>
          <w:sz w:val="22"/>
          <w:szCs w:val="22"/>
          <w:lang w:val="en-GB"/>
        </w:rPr>
        <w:t xml:space="preserve">to </w:t>
      </w:r>
      <w:r w:rsidR="00657FD1" w:rsidRPr="00AC635C">
        <w:rPr>
          <w:kern w:val="22"/>
          <w:sz w:val="22"/>
          <w:szCs w:val="22"/>
          <w:lang w:val="en-GB"/>
        </w:rPr>
        <w:t>the content of reports to facilitate the enhanced use of reported information</w:t>
      </w:r>
      <w:r w:rsidRPr="00AC635C">
        <w:rPr>
          <w:kern w:val="22"/>
          <w:sz w:val="22"/>
          <w:szCs w:val="22"/>
          <w:lang w:val="en-GB"/>
        </w:rPr>
        <w:t>.</w:t>
      </w:r>
    </w:p>
    <w:p w14:paraId="6046CEC7" w14:textId="00BBBBF6"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w:t>
      </w:r>
      <w:proofErr w:type="spellStart"/>
      <w:r w:rsidR="009B1B04" w:rsidRPr="00AC635C">
        <w:rPr>
          <w:kern w:val="22"/>
          <w:sz w:val="22"/>
          <w:szCs w:val="22"/>
          <w:lang w:val="en-GB"/>
        </w:rPr>
        <w:t>Infor</w:t>
      </w:r>
      <w:r w:rsidR="00CA7E21" w:rsidRPr="00AC635C">
        <w:rPr>
          <w:kern w:val="22"/>
          <w:sz w:val="22"/>
          <w:szCs w:val="22"/>
          <w:lang w:val="en-GB"/>
        </w:rPr>
        <w:t>MEA</w:t>
      </w:r>
      <w:proofErr w:type="spellEnd"/>
      <w:r w:rsidR="009B1B04" w:rsidRPr="00AC635C">
        <w:rPr>
          <w:kern w:val="22"/>
          <w:sz w:val="22"/>
          <w:szCs w:val="22"/>
          <w:lang w:val="en-GB"/>
        </w:rPr>
        <w:t xml:space="preserve"> </w:t>
      </w:r>
      <w:r w:rsidRPr="00AC635C">
        <w:rPr>
          <w:kern w:val="22"/>
          <w:sz w:val="22"/>
          <w:szCs w:val="22"/>
          <w:lang w:val="en-GB"/>
        </w:rPr>
        <w:t xml:space="preserve">Initiative is also involved in the Data and Reporting Tool (DART) project, whose goal is to </w:t>
      </w:r>
      <w:r w:rsidR="00CA7E21" w:rsidRPr="00AC635C">
        <w:rPr>
          <w:kern w:val="22"/>
          <w:sz w:val="22"/>
          <w:szCs w:val="22"/>
          <w:lang w:val="en-GB"/>
        </w:rPr>
        <w:t xml:space="preserve">create collective national working spaces that will help organize, share and maintain documentation in the context of national reports. The use of the same working space by several reporters is expected to foster communication and cooperation at the national level and to facilitate the </w:t>
      </w:r>
      <w:r w:rsidR="006205ED" w:rsidRPr="00AC635C">
        <w:rPr>
          <w:kern w:val="22"/>
          <w:sz w:val="22"/>
          <w:szCs w:val="22"/>
          <w:lang w:val="en-GB"/>
        </w:rPr>
        <w:t>reuse</w:t>
      </w:r>
      <w:r w:rsidR="00CA7E21" w:rsidRPr="00AC635C">
        <w:rPr>
          <w:kern w:val="22"/>
          <w:sz w:val="22"/>
          <w:szCs w:val="22"/>
          <w:lang w:val="en-GB"/>
        </w:rPr>
        <w:t xml:space="preserve"> of information in the spirit of “enter once, </w:t>
      </w:r>
      <w:r w:rsidR="006205ED" w:rsidRPr="00AC635C">
        <w:rPr>
          <w:kern w:val="22"/>
          <w:sz w:val="22"/>
          <w:szCs w:val="22"/>
          <w:lang w:val="en-GB"/>
        </w:rPr>
        <w:t>reuse</w:t>
      </w:r>
      <w:r w:rsidR="00CA7E21" w:rsidRPr="00AC635C">
        <w:rPr>
          <w:kern w:val="22"/>
          <w:sz w:val="22"/>
          <w:szCs w:val="22"/>
          <w:lang w:val="en-GB"/>
        </w:rPr>
        <w:t xml:space="preserve"> several times”. Integrating national biodiversity information </w:t>
      </w:r>
      <w:r w:rsidR="00CA7E21" w:rsidRPr="00AC635C">
        <w:rPr>
          <w:kern w:val="22"/>
          <w:sz w:val="22"/>
          <w:szCs w:val="22"/>
          <w:lang w:val="en-GB"/>
        </w:rPr>
        <w:lastRenderedPageBreak/>
        <w:t xml:space="preserve">in one place may also be of value in the context of analysing information </w:t>
      </w:r>
      <w:r w:rsidR="00885E6E" w:rsidRPr="00AC635C">
        <w:rPr>
          <w:kern w:val="22"/>
          <w:sz w:val="22"/>
          <w:szCs w:val="22"/>
          <w:lang w:val="en-GB"/>
        </w:rPr>
        <w:t xml:space="preserve">related to multilateral environmental agreements </w:t>
      </w:r>
      <w:r w:rsidR="00CA7E21" w:rsidRPr="00AC635C">
        <w:rPr>
          <w:kern w:val="22"/>
          <w:sz w:val="22"/>
          <w:szCs w:val="22"/>
          <w:lang w:val="en-GB"/>
        </w:rPr>
        <w:t xml:space="preserve">against </w:t>
      </w:r>
      <w:r w:rsidR="00885E6E" w:rsidRPr="00AC635C">
        <w:rPr>
          <w:kern w:val="22"/>
          <w:sz w:val="22"/>
          <w:szCs w:val="22"/>
          <w:lang w:val="en-GB"/>
        </w:rPr>
        <w:t xml:space="preserve">the Sustainable Development Goals </w:t>
      </w:r>
      <w:r w:rsidR="00CA7E21" w:rsidRPr="00AC635C">
        <w:rPr>
          <w:kern w:val="22"/>
          <w:sz w:val="22"/>
          <w:szCs w:val="22"/>
          <w:lang w:val="en-GB"/>
        </w:rPr>
        <w:t xml:space="preserve">and ultimately demonstrating the contribution of </w:t>
      </w:r>
      <w:r w:rsidR="00885E6E" w:rsidRPr="00AC635C">
        <w:rPr>
          <w:kern w:val="22"/>
          <w:sz w:val="22"/>
          <w:szCs w:val="22"/>
          <w:lang w:val="en-GB"/>
        </w:rPr>
        <w:t>multilateral environmental agreements</w:t>
      </w:r>
      <w:r w:rsidR="00885E6E" w:rsidRPr="00AC635C" w:rsidDel="00885E6E">
        <w:rPr>
          <w:kern w:val="22"/>
          <w:sz w:val="22"/>
          <w:szCs w:val="22"/>
          <w:lang w:val="en-GB"/>
        </w:rPr>
        <w:t xml:space="preserve"> </w:t>
      </w:r>
      <w:r w:rsidR="00CA7E21" w:rsidRPr="00AC635C">
        <w:rPr>
          <w:kern w:val="22"/>
          <w:sz w:val="22"/>
          <w:szCs w:val="22"/>
          <w:lang w:val="en-GB"/>
        </w:rPr>
        <w:t xml:space="preserve">towards </w:t>
      </w:r>
      <w:r w:rsidR="00885E6E" w:rsidRPr="00AC635C">
        <w:rPr>
          <w:kern w:val="22"/>
          <w:sz w:val="22"/>
          <w:szCs w:val="22"/>
          <w:lang w:val="en-GB"/>
        </w:rPr>
        <w:t xml:space="preserve">the 2030 </w:t>
      </w:r>
      <w:r w:rsidR="00CA7E21" w:rsidRPr="00AC635C">
        <w:rPr>
          <w:kern w:val="22"/>
          <w:sz w:val="22"/>
          <w:szCs w:val="22"/>
          <w:lang w:val="en-GB"/>
        </w:rPr>
        <w:t xml:space="preserve">Agenda </w:t>
      </w:r>
      <w:r w:rsidR="00885E6E" w:rsidRPr="00AC635C">
        <w:rPr>
          <w:kern w:val="22"/>
          <w:sz w:val="22"/>
          <w:szCs w:val="22"/>
          <w:lang w:val="en-GB"/>
        </w:rPr>
        <w:t>for Sustainable Development</w:t>
      </w:r>
      <w:r w:rsidR="00CA7E21" w:rsidRPr="00AC635C">
        <w:rPr>
          <w:kern w:val="22"/>
          <w:sz w:val="22"/>
          <w:szCs w:val="22"/>
          <w:lang w:val="en-GB"/>
        </w:rPr>
        <w:t xml:space="preserve">. </w:t>
      </w:r>
      <w:r w:rsidR="003C1F21" w:rsidRPr="00AC635C">
        <w:rPr>
          <w:kern w:val="22"/>
          <w:sz w:val="22"/>
          <w:szCs w:val="22"/>
          <w:lang w:val="en-GB"/>
        </w:rPr>
        <w:t xml:space="preserve">As DART is </w:t>
      </w:r>
      <w:r w:rsidR="00CA7E21" w:rsidRPr="00AC635C">
        <w:rPr>
          <w:kern w:val="22"/>
          <w:sz w:val="22"/>
          <w:szCs w:val="22"/>
          <w:lang w:val="en-GB"/>
        </w:rPr>
        <w:t xml:space="preserve">hosted on </w:t>
      </w:r>
      <w:proofErr w:type="spellStart"/>
      <w:r w:rsidR="00CA7E21" w:rsidRPr="00AC635C">
        <w:rPr>
          <w:kern w:val="22"/>
          <w:sz w:val="22"/>
          <w:szCs w:val="22"/>
          <w:lang w:val="en-GB"/>
        </w:rPr>
        <w:t>InforMEA</w:t>
      </w:r>
      <w:proofErr w:type="spellEnd"/>
      <w:r w:rsidR="00CA7E21" w:rsidRPr="00AC635C">
        <w:rPr>
          <w:kern w:val="22"/>
          <w:sz w:val="22"/>
          <w:szCs w:val="22"/>
          <w:lang w:val="en-GB"/>
        </w:rPr>
        <w:t xml:space="preserve">, </w:t>
      </w:r>
      <w:r w:rsidR="003C1F21" w:rsidRPr="00AC635C">
        <w:rPr>
          <w:kern w:val="22"/>
          <w:sz w:val="22"/>
          <w:szCs w:val="22"/>
          <w:lang w:val="en-GB"/>
        </w:rPr>
        <w:t xml:space="preserve">it </w:t>
      </w:r>
      <w:r w:rsidR="00CA7E21" w:rsidRPr="00AC635C">
        <w:rPr>
          <w:kern w:val="22"/>
          <w:sz w:val="22"/>
          <w:szCs w:val="22"/>
          <w:lang w:val="en-GB"/>
        </w:rPr>
        <w:t xml:space="preserve">will draw </w:t>
      </w:r>
      <w:r w:rsidR="003070F2" w:rsidRPr="00AC635C">
        <w:rPr>
          <w:kern w:val="22"/>
          <w:sz w:val="22"/>
          <w:szCs w:val="22"/>
          <w:lang w:val="en-GB"/>
        </w:rPr>
        <w:t xml:space="preserve">on </w:t>
      </w:r>
      <w:r w:rsidR="00CA7E21" w:rsidRPr="00AC635C">
        <w:rPr>
          <w:kern w:val="22"/>
          <w:sz w:val="22"/>
          <w:szCs w:val="22"/>
          <w:lang w:val="en-GB"/>
        </w:rPr>
        <w:t xml:space="preserve">the </w:t>
      </w:r>
      <w:proofErr w:type="spellStart"/>
      <w:r w:rsidR="00CA7E21" w:rsidRPr="00AC635C">
        <w:rPr>
          <w:kern w:val="22"/>
          <w:sz w:val="22"/>
          <w:szCs w:val="22"/>
          <w:lang w:val="en-GB"/>
        </w:rPr>
        <w:t>InforMEA</w:t>
      </w:r>
      <w:proofErr w:type="spellEnd"/>
      <w:r w:rsidR="00CA7E21" w:rsidRPr="00AC635C">
        <w:rPr>
          <w:kern w:val="22"/>
          <w:sz w:val="22"/>
          <w:szCs w:val="22"/>
          <w:lang w:val="en-GB"/>
        </w:rPr>
        <w:t xml:space="preserve"> infrastructure</w:t>
      </w:r>
      <w:r w:rsidR="003070F2" w:rsidRPr="00AC635C">
        <w:rPr>
          <w:kern w:val="22"/>
          <w:sz w:val="22"/>
          <w:szCs w:val="22"/>
          <w:lang w:val="en-GB"/>
        </w:rPr>
        <w:t>, which</w:t>
      </w:r>
      <w:r w:rsidR="00CA7E21" w:rsidRPr="00AC635C">
        <w:rPr>
          <w:kern w:val="22"/>
          <w:sz w:val="22"/>
          <w:szCs w:val="22"/>
          <w:lang w:val="en-GB"/>
        </w:rPr>
        <w:t xml:space="preserve"> supported by many participating </w:t>
      </w:r>
      <w:r w:rsidR="003070F2" w:rsidRPr="00AC635C">
        <w:rPr>
          <w:kern w:val="22"/>
          <w:sz w:val="22"/>
          <w:szCs w:val="22"/>
          <w:lang w:val="en-GB"/>
        </w:rPr>
        <w:t>multilateral environmental agreements</w:t>
      </w:r>
      <w:r w:rsidR="003070F2" w:rsidRPr="00AC635C" w:rsidDel="003070F2">
        <w:rPr>
          <w:kern w:val="22"/>
          <w:sz w:val="22"/>
          <w:szCs w:val="22"/>
          <w:lang w:val="en-GB"/>
        </w:rPr>
        <w:t xml:space="preserve"> </w:t>
      </w:r>
      <w:r w:rsidR="00CA7E21" w:rsidRPr="00AC635C">
        <w:rPr>
          <w:kern w:val="22"/>
          <w:sz w:val="22"/>
          <w:szCs w:val="22"/>
          <w:lang w:val="en-GB"/>
        </w:rPr>
        <w:t>and institutions</w:t>
      </w:r>
      <w:r w:rsidR="000146E4" w:rsidRPr="00AC635C">
        <w:rPr>
          <w:kern w:val="22"/>
          <w:sz w:val="22"/>
          <w:szCs w:val="22"/>
          <w:lang w:val="en-GB"/>
        </w:rPr>
        <w:t>,</w:t>
      </w:r>
      <w:r w:rsidR="00CA7E21" w:rsidRPr="00AC635C">
        <w:rPr>
          <w:kern w:val="22"/>
          <w:sz w:val="22"/>
          <w:szCs w:val="22"/>
          <w:lang w:val="en-GB"/>
        </w:rPr>
        <w:t xml:space="preserve"> and its approach to connecting data sources.</w:t>
      </w:r>
    </w:p>
    <w:p w14:paraId="17778641" w14:textId="7BDC142B"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As suggested by the European Commission, the online reporting tool for the sixth national report </w:t>
      </w:r>
      <w:r w:rsidR="00BA43FA" w:rsidRPr="00AC635C">
        <w:rPr>
          <w:kern w:val="22"/>
          <w:sz w:val="22"/>
          <w:szCs w:val="22"/>
          <w:lang w:val="en-GB"/>
        </w:rPr>
        <w:t xml:space="preserve">under </w:t>
      </w:r>
      <w:r w:rsidRPr="00AC635C">
        <w:rPr>
          <w:kern w:val="22"/>
          <w:sz w:val="22"/>
          <w:szCs w:val="22"/>
          <w:lang w:val="en-GB"/>
        </w:rPr>
        <w:t xml:space="preserve">the </w:t>
      </w:r>
      <w:r w:rsidR="009B1B04" w:rsidRPr="00AC635C">
        <w:rPr>
          <w:kern w:val="22"/>
          <w:sz w:val="22"/>
          <w:szCs w:val="22"/>
          <w:lang w:val="en-GB"/>
        </w:rPr>
        <w:t xml:space="preserve">Convention </w:t>
      </w:r>
      <w:r w:rsidRPr="00AC635C">
        <w:rPr>
          <w:kern w:val="22"/>
          <w:sz w:val="22"/>
          <w:szCs w:val="22"/>
          <w:lang w:val="en-GB"/>
        </w:rPr>
        <w:t xml:space="preserve">has been made interoperable with the </w:t>
      </w:r>
      <w:hyperlink r:id="rId52" w:history="1">
        <w:r w:rsidR="0077330C" w:rsidRPr="00AC635C">
          <w:rPr>
            <w:rStyle w:val="Hyperlink"/>
            <w:kern w:val="22"/>
            <w:sz w:val="22"/>
            <w:szCs w:val="22"/>
            <w:lang w:val="en-GB"/>
          </w:rPr>
          <w:t xml:space="preserve">European Union </w:t>
        </w:r>
        <w:r w:rsidRPr="00AC635C">
          <w:rPr>
            <w:rStyle w:val="Hyperlink"/>
            <w:kern w:val="22"/>
            <w:sz w:val="22"/>
            <w:szCs w:val="22"/>
            <w:lang w:val="en-GB"/>
          </w:rPr>
          <w:t>Biodiversity Target Cross-Linking Tool</w:t>
        </w:r>
      </w:hyperlink>
      <w:r w:rsidRPr="00AC635C">
        <w:rPr>
          <w:kern w:val="22"/>
          <w:sz w:val="22"/>
          <w:szCs w:val="22"/>
          <w:lang w:val="en-GB"/>
        </w:rPr>
        <w:t>, considering that both tools serve the same process</w:t>
      </w:r>
      <w:r w:rsidR="00EE1414" w:rsidRPr="00AC635C">
        <w:rPr>
          <w:kern w:val="22"/>
          <w:sz w:val="22"/>
          <w:szCs w:val="22"/>
          <w:lang w:val="en-GB"/>
        </w:rPr>
        <w:t>:</w:t>
      </w:r>
      <w:r w:rsidRPr="00AC635C">
        <w:rPr>
          <w:kern w:val="22"/>
          <w:sz w:val="22"/>
          <w:szCs w:val="22"/>
          <w:lang w:val="en-GB" w:eastAsia="en-GB"/>
        </w:rPr>
        <w:t xml:space="preserve"> the delivery of national/regional information</w:t>
      </w:r>
      <w:r w:rsidRPr="00AC635C">
        <w:rPr>
          <w:kern w:val="22"/>
          <w:sz w:val="22"/>
          <w:szCs w:val="22"/>
          <w:lang w:val="en-GB"/>
        </w:rPr>
        <w:t xml:space="preserve"> of progress in implementation of the </w:t>
      </w:r>
      <w:r w:rsidRPr="00AC635C">
        <w:rPr>
          <w:kern w:val="22"/>
          <w:sz w:val="22"/>
          <w:szCs w:val="22"/>
          <w:lang w:val="en-GB" w:eastAsia="en-GB"/>
        </w:rPr>
        <w:t xml:space="preserve">Strategic Plan for Biodiversity 2011-2020 and its Aichi Biodiversity Targets. </w:t>
      </w:r>
      <w:r w:rsidR="0043655E" w:rsidRPr="00AC635C">
        <w:rPr>
          <w:kern w:val="22"/>
          <w:sz w:val="22"/>
          <w:szCs w:val="22"/>
          <w:lang w:val="en-GB" w:eastAsia="en-GB"/>
        </w:rPr>
        <w:t>The</w:t>
      </w:r>
      <w:r w:rsidR="0043655E" w:rsidRPr="00AC635C">
        <w:rPr>
          <w:kern w:val="22"/>
          <w:sz w:val="22"/>
          <w:szCs w:val="22"/>
          <w:lang w:val="en-GB"/>
        </w:rPr>
        <w:t xml:space="preserve"> Target Cross-Linking Tool</w:t>
      </w:r>
      <w:r w:rsidR="0043655E" w:rsidRPr="00AC635C">
        <w:rPr>
          <w:kern w:val="22"/>
          <w:sz w:val="22"/>
          <w:szCs w:val="22"/>
          <w:lang w:val="en-GB" w:eastAsia="en-GB"/>
        </w:rPr>
        <w:t xml:space="preserve"> </w:t>
      </w:r>
      <w:r w:rsidR="00EE1414" w:rsidRPr="00AC635C">
        <w:rPr>
          <w:kern w:val="22"/>
          <w:sz w:val="22"/>
          <w:szCs w:val="22"/>
          <w:lang w:val="en-GB" w:eastAsia="en-GB"/>
        </w:rPr>
        <w:t xml:space="preserve">is </w:t>
      </w:r>
      <w:r w:rsidRPr="00AC635C">
        <w:rPr>
          <w:kern w:val="22"/>
          <w:sz w:val="22"/>
          <w:szCs w:val="22"/>
          <w:lang w:val="en-GB" w:eastAsia="en-GB"/>
        </w:rPr>
        <w:t>aim</w:t>
      </w:r>
      <w:r w:rsidR="00EE1414" w:rsidRPr="00AC635C">
        <w:rPr>
          <w:kern w:val="22"/>
          <w:sz w:val="22"/>
          <w:szCs w:val="22"/>
          <w:lang w:val="en-GB" w:eastAsia="en-GB"/>
        </w:rPr>
        <w:t>ed</w:t>
      </w:r>
      <w:r w:rsidRPr="00AC635C">
        <w:rPr>
          <w:kern w:val="22"/>
          <w:sz w:val="22"/>
          <w:szCs w:val="22"/>
          <w:lang w:val="en-GB" w:eastAsia="en-GB"/>
        </w:rPr>
        <w:t xml:space="preserve"> at supporting users/countries in the maintenance and organi</w:t>
      </w:r>
      <w:r w:rsidR="0056032B" w:rsidRPr="00AC635C">
        <w:rPr>
          <w:kern w:val="22"/>
          <w:sz w:val="22"/>
          <w:szCs w:val="22"/>
          <w:lang w:val="en-GB" w:eastAsia="en-GB"/>
        </w:rPr>
        <w:t>z</w:t>
      </w:r>
      <w:r w:rsidRPr="00AC635C">
        <w:rPr>
          <w:kern w:val="22"/>
          <w:sz w:val="22"/>
          <w:szCs w:val="22"/>
          <w:lang w:val="en-GB" w:eastAsia="en-GB"/>
        </w:rPr>
        <w:t>ation of key components</w:t>
      </w:r>
      <w:r w:rsidR="00EE1414" w:rsidRPr="00AC635C">
        <w:rPr>
          <w:kern w:val="22"/>
          <w:sz w:val="22"/>
          <w:szCs w:val="22"/>
          <w:lang w:val="en-GB" w:eastAsia="en-GB"/>
        </w:rPr>
        <w:t>,</w:t>
      </w:r>
      <w:r w:rsidRPr="00AC635C">
        <w:rPr>
          <w:kern w:val="22"/>
          <w:sz w:val="22"/>
          <w:szCs w:val="22"/>
          <w:lang w:val="en-GB" w:eastAsia="en-GB"/>
        </w:rPr>
        <w:t xml:space="preserve"> such as cross-linkages between national, European and </w:t>
      </w:r>
      <w:r w:rsidR="0056032B" w:rsidRPr="00AC635C">
        <w:rPr>
          <w:kern w:val="22"/>
          <w:sz w:val="22"/>
          <w:szCs w:val="22"/>
          <w:lang w:val="en-GB" w:eastAsia="en-GB"/>
        </w:rPr>
        <w:t>g</w:t>
      </w:r>
      <w:r w:rsidRPr="00AC635C">
        <w:rPr>
          <w:kern w:val="22"/>
          <w:sz w:val="22"/>
          <w:szCs w:val="22"/>
          <w:lang w:val="en-GB" w:eastAsia="en-GB"/>
        </w:rPr>
        <w:t xml:space="preserve">lobal biodiversity strategies and indicators used at </w:t>
      </w:r>
      <w:r w:rsidR="0056032B" w:rsidRPr="00AC635C">
        <w:rPr>
          <w:kern w:val="22"/>
          <w:sz w:val="22"/>
          <w:szCs w:val="22"/>
          <w:lang w:val="en-GB" w:eastAsia="en-GB"/>
        </w:rPr>
        <w:t xml:space="preserve">the </w:t>
      </w:r>
      <w:r w:rsidRPr="00AC635C">
        <w:rPr>
          <w:kern w:val="22"/>
          <w:sz w:val="22"/>
          <w:szCs w:val="22"/>
          <w:lang w:val="en-GB" w:eastAsia="en-GB"/>
        </w:rPr>
        <w:t xml:space="preserve">national level, thus facilitating reporting </w:t>
      </w:r>
      <w:r w:rsidR="00EE1414" w:rsidRPr="00AC635C">
        <w:rPr>
          <w:kern w:val="22"/>
          <w:sz w:val="22"/>
          <w:szCs w:val="22"/>
          <w:lang w:val="en-GB" w:eastAsia="en-GB"/>
        </w:rPr>
        <w:t xml:space="preserve">under </w:t>
      </w:r>
      <w:r w:rsidRPr="00AC635C">
        <w:rPr>
          <w:kern w:val="22"/>
          <w:sz w:val="22"/>
          <w:szCs w:val="22"/>
          <w:lang w:val="en-GB" w:eastAsia="en-GB"/>
        </w:rPr>
        <w:t xml:space="preserve">not only the </w:t>
      </w:r>
      <w:r w:rsidR="009B1B04" w:rsidRPr="00AC635C">
        <w:rPr>
          <w:kern w:val="22"/>
          <w:sz w:val="22"/>
          <w:szCs w:val="22"/>
          <w:lang w:val="en-GB"/>
        </w:rPr>
        <w:t xml:space="preserve">Convention on Biological Diversity </w:t>
      </w:r>
      <w:r w:rsidRPr="00AC635C">
        <w:rPr>
          <w:kern w:val="22"/>
          <w:sz w:val="22"/>
          <w:szCs w:val="22"/>
          <w:lang w:val="en-GB" w:eastAsia="en-GB"/>
        </w:rPr>
        <w:t>but also other biodiversity-related conventions</w:t>
      </w:r>
      <w:r w:rsidRPr="00AC635C">
        <w:rPr>
          <w:kern w:val="22"/>
          <w:sz w:val="22"/>
          <w:szCs w:val="22"/>
          <w:lang w:val="en-GB"/>
        </w:rPr>
        <w:t>.</w:t>
      </w:r>
    </w:p>
    <w:p w14:paraId="5F663CE9" w14:textId="7905833E"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Secretariat is looking at options to make the online reporting tool of the </w:t>
      </w:r>
      <w:r w:rsidR="009B1B04" w:rsidRPr="00AC635C">
        <w:rPr>
          <w:kern w:val="22"/>
          <w:sz w:val="22"/>
          <w:szCs w:val="22"/>
          <w:lang w:val="en-GB"/>
        </w:rPr>
        <w:t xml:space="preserve">Convention </w:t>
      </w:r>
      <w:r w:rsidRPr="00AC635C">
        <w:rPr>
          <w:kern w:val="22"/>
          <w:sz w:val="22"/>
          <w:szCs w:val="22"/>
          <w:lang w:val="en-GB"/>
        </w:rPr>
        <w:t xml:space="preserve">interoperable with the online reporting tools or systems being used by other biodiversity-related Conventions and the Rio </w:t>
      </w:r>
      <w:r w:rsidR="0066692C" w:rsidRPr="00AC635C">
        <w:rPr>
          <w:kern w:val="22"/>
          <w:sz w:val="22"/>
          <w:szCs w:val="22"/>
          <w:lang w:val="en-GB"/>
        </w:rPr>
        <w:t>c</w:t>
      </w:r>
      <w:r w:rsidRPr="00AC635C">
        <w:rPr>
          <w:kern w:val="22"/>
          <w:sz w:val="22"/>
          <w:szCs w:val="22"/>
          <w:lang w:val="en-GB"/>
        </w:rPr>
        <w:t>onventions so that relevant data and information can be exchanged or shared among the different systems.</w:t>
      </w:r>
    </w:p>
    <w:p w14:paraId="703B938E" w14:textId="6045E802" w:rsidR="00BA7962" w:rsidRPr="00AC635C" w:rsidRDefault="001832E9" w:rsidP="005C6B31">
      <w:pPr>
        <w:pStyle w:val="Para1"/>
        <w:keepNext/>
        <w:suppressLineNumbers/>
        <w:tabs>
          <w:tab w:val="left" w:pos="360"/>
        </w:tabs>
        <w:suppressAutoHyphens/>
        <w:kinsoku w:val="0"/>
        <w:overflowPunct w:val="0"/>
        <w:autoSpaceDE w:val="0"/>
        <w:autoSpaceDN w:val="0"/>
        <w:adjustRightInd w:val="0"/>
        <w:snapToGrid w:val="0"/>
        <w:spacing w:after="0"/>
        <w:jc w:val="center"/>
        <w:rPr>
          <w:b/>
          <w:bCs/>
          <w:iCs/>
          <w:kern w:val="22"/>
          <w:sz w:val="22"/>
          <w:szCs w:val="22"/>
          <w:lang w:val="en-GB"/>
        </w:rPr>
      </w:pPr>
      <w:r w:rsidRPr="00AC635C">
        <w:rPr>
          <w:b/>
          <w:bCs/>
          <w:iCs/>
          <w:kern w:val="22"/>
          <w:sz w:val="22"/>
          <w:szCs w:val="22"/>
          <w:lang w:val="en-GB"/>
        </w:rPr>
        <w:t>D.</w:t>
      </w:r>
      <w:r w:rsidRPr="00AC635C">
        <w:rPr>
          <w:b/>
          <w:bCs/>
          <w:iCs/>
          <w:kern w:val="22"/>
          <w:sz w:val="22"/>
          <w:szCs w:val="22"/>
          <w:lang w:val="en-GB"/>
        </w:rPr>
        <w:tab/>
      </w:r>
      <w:r w:rsidR="00BA7962" w:rsidRPr="00AC635C">
        <w:rPr>
          <w:b/>
          <w:bCs/>
          <w:iCs/>
          <w:kern w:val="22"/>
          <w:sz w:val="22"/>
          <w:szCs w:val="22"/>
          <w:lang w:val="en-GB"/>
        </w:rPr>
        <w:t>Harmonization of tools for national reporting</w:t>
      </w:r>
    </w:p>
    <w:p w14:paraId="3898916B" w14:textId="6643E771" w:rsidR="00BE3354" w:rsidRPr="00AC635C" w:rsidRDefault="00BE3354"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Several biodiversity-related conventions and agreements</w:t>
      </w:r>
      <w:r w:rsidR="004247B2" w:rsidRPr="00AC635C">
        <w:rPr>
          <w:rStyle w:val="FootnoteReference"/>
          <w:kern w:val="22"/>
          <w:sz w:val="22"/>
          <w:szCs w:val="22"/>
          <w:lang w:val="en-GB"/>
        </w:rPr>
        <w:footnoteReference w:id="14"/>
      </w:r>
      <w:r w:rsidRPr="00AC635C">
        <w:rPr>
          <w:kern w:val="22"/>
          <w:sz w:val="22"/>
          <w:szCs w:val="22"/>
          <w:lang w:val="en-GB"/>
        </w:rPr>
        <w:t xml:space="preserve"> have adopted the same online reporting system managed by </w:t>
      </w:r>
      <w:r w:rsidR="000F7151" w:rsidRPr="00AC635C">
        <w:rPr>
          <w:kern w:val="22"/>
          <w:sz w:val="22"/>
          <w:szCs w:val="22"/>
          <w:lang w:val="en-GB"/>
        </w:rPr>
        <w:t>UNEP-WCMC</w:t>
      </w:r>
      <w:r w:rsidRPr="00AC635C">
        <w:rPr>
          <w:kern w:val="22"/>
          <w:sz w:val="22"/>
          <w:szCs w:val="22"/>
          <w:lang w:val="en-GB"/>
        </w:rPr>
        <w:t>. This facilitates access and interoperability of biodiversity-related data.</w:t>
      </w:r>
    </w:p>
    <w:p w14:paraId="500F7FD3" w14:textId="121075F5" w:rsidR="00BA7962" w:rsidRPr="00AC635C" w:rsidRDefault="00BA7962"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Secretariat </w:t>
      </w:r>
      <w:r w:rsidR="00BE3354" w:rsidRPr="00AC635C">
        <w:rPr>
          <w:kern w:val="22"/>
          <w:sz w:val="22"/>
          <w:szCs w:val="22"/>
          <w:lang w:val="en-GB"/>
        </w:rPr>
        <w:t xml:space="preserve">of the Convention on Biological Diversity decided to </w:t>
      </w:r>
      <w:r w:rsidRPr="00AC635C">
        <w:rPr>
          <w:kern w:val="22"/>
          <w:sz w:val="22"/>
          <w:szCs w:val="22"/>
          <w:lang w:val="en-GB"/>
        </w:rPr>
        <w:t>develop</w:t>
      </w:r>
      <w:r w:rsidR="00BE3354" w:rsidRPr="00AC635C">
        <w:rPr>
          <w:kern w:val="22"/>
          <w:sz w:val="22"/>
          <w:szCs w:val="22"/>
          <w:lang w:val="en-GB"/>
        </w:rPr>
        <w:t xml:space="preserve"> its own online reporting tool</w:t>
      </w:r>
      <w:r w:rsidR="0056032B" w:rsidRPr="00AC635C">
        <w:rPr>
          <w:kern w:val="22"/>
          <w:sz w:val="22"/>
          <w:szCs w:val="22"/>
          <w:lang w:val="en-GB"/>
        </w:rPr>
        <w:t>,</w:t>
      </w:r>
      <w:r w:rsidR="00BE3354" w:rsidRPr="00AC635C">
        <w:rPr>
          <w:kern w:val="22"/>
          <w:sz w:val="22"/>
          <w:szCs w:val="22"/>
          <w:lang w:val="en-GB"/>
        </w:rPr>
        <w:t xml:space="preserve"> which was</w:t>
      </w:r>
      <w:r w:rsidRPr="00AC635C">
        <w:rPr>
          <w:kern w:val="22"/>
          <w:sz w:val="22"/>
          <w:szCs w:val="22"/>
          <w:lang w:val="en-GB"/>
        </w:rPr>
        <w:t xml:space="preserve"> operationalized in March 2017, </w:t>
      </w:r>
      <w:r w:rsidR="00E437CA" w:rsidRPr="00AC635C">
        <w:rPr>
          <w:kern w:val="22"/>
          <w:sz w:val="22"/>
          <w:szCs w:val="22"/>
          <w:lang w:val="en-GB"/>
        </w:rPr>
        <w:t xml:space="preserve">in response </w:t>
      </w:r>
      <w:r w:rsidRPr="00AC635C">
        <w:rPr>
          <w:kern w:val="22"/>
          <w:sz w:val="22"/>
          <w:szCs w:val="22"/>
          <w:lang w:val="en-GB"/>
        </w:rPr>
        <w:t xml:space="preserve">to a request contained in decision </w:t>
      </w:r>
      <w:hyperlink r:id="rId53" w:history="1">
        <w:r w:rsidRPr="00AC635C">
          <w:rPr>
            <w:rStyle w:val="Hyperlink"/>
            <w:kern w:val="22"/>
            <w:sz w:val="22"/>
            <w:szCs w:val="22"/>
            <w:lang w:val="en-GB"/>
          </w:rPr>
          <w:t>XII/29</w:t>
        </w:r>
      </w:hyperlink>
      <w:r w:rsidRPr="00AC635C">
        <w:rPr>
          <w:kern w:val="22"/>
          <w:sz w:val="22"/>
          <w:szCs w:val="22"/>
          <w:lang w:val="en-GB"/>
        </w:rPr>
        <w:t>, paragraph</w:t>
      </w:r>
      <w:r w:rsidR="008A613C" w:rsidRPr="00AC635C">
        <w:rPr>
          <w:kern w:val="22"/>
          <w:sz w:val="22"/>
          <w:szCs w:val="22"/>
          <w:lang w:val="en-GB"/>
        </w:rPr>
        <w:t> </w:t>
      </w:r>
      <w:r w:rsidRPr="00AC635C">
        <w:rPr>
          <w:kern w:val="22"/>
          <w:sz w:val="22"/>
          <w:szCs w:val="22"/>
          <w:lang w:val="en-GB"/>
        </w:rPr>
        <w:t xml:space="preserve">4. In the process of development of the tool, the </w:t>
      </w:r>
      <w:r w:rsidR="00F033A9" w:rsidRPr="00AC635C">
        <w:rPr>
          <w:kern w:val="22"/>
          <w:sz w:val="22"/>
          <w:szCs w:val="22"/>
          <w:lang w:val="en-GB"/>
        </w:rPr>
        <w:t>s</w:t>
      </w:r>
      <w:r w:rsidRPr="00AC635C">
        <w:rPr>
          <w:kern w:val="22"/>
          <w:sz w:val="22"/>
          <w:szCs w:val="22"/>
          <w:lang w:val="en-GB"/>
        </w:rPr>
        <w:t xml:space="preserve">ecretariats of the biodiversity-related conventions and the Rio </w:t>
      </w:r>
      <w:r w:rsidR="0066692C" w:rsidRPr="00AC635C">
        <w:rPr>
          <w:kern w:val="22"/>
          <w:sz w:val="22"/>
          <w:szCs w:val="22"/>
          <w:lang w:val="en-GB"/>
        </w:rPr>
        <w:t>c</w:t>
      </w:r>
      <w:r w:rsidRPr="00AC635C">
        <w:rPr>
          <w:kern w:val="22"/>
          <w:sz w:val="22"/>
          <w:szCs w:val="22"/>
          <w:lang w:val="en-GB"/>
        </w:rPr>
        <w:t xml:space="preserve">onventions as well as FAO and UNEP-WCMC were invited to test the tool and provide inputs and suggestions. </w:t>
      </w:r>
      <w:r w:rsidR="00657FD1" w:rsidRPr="00AC635C">
        <w:rPr>
          <w:kern w:val="22"/>
          <w:sz w:val="22"/>
          <w:szCs w:val="22"/>
          <w:lang w:val="en-GB"/>
        </w:rPr>
        <w:t xml:space="preserve">Members of the Informal Advisory Committee </w:t>
      </w:r>
      <w:r w:rsidR="00F033A9" w:rsidRPr="00AC635C">
        <w:rPr>
          <w:kern w:val="22"/>
          <w:sz w:val="22"/>
          <w:szCs w:val="22"/>
          <w:lang w:val="en-GB"/>
        </w:rPr>
        <w:t xml:space="preserve">to </w:t>
      </w:r>
      <w:r w:rsidR="00657FD1" w:rsidRPr="00AC635C">
        <w:rPr>
          <w:kern w:val="22"/>
          <w:sz w:val="22"/>
          <w:szCs w:val="22"/>
          <w:lang w:val="en-GB"/>
        </w:rPr>
        <w:t>the Clearing</w:t>
      </w:r>
      <w:r w:rsidR="00CB1810" w:rsidRPr="00AC635C">
        <w:rPr>
          <w:kern w:val="22"/>
          <w:sz w:val="22"/>
          <w:szCs w:val="22"/>
          <w:lang w:val="en-GB"/>
        </w:rPr>
        <w:t>-</w:t>
      </w:r>
      <w:r w:rsidR="00657FD1" w:rsidRPr="00AC635C">
        <w:rPr>
          <w:kern w:val="22"/>
          <w:sz w:val="22"/>
          <w:szCs w:val="22"/>
          <w:lang w:val="en-GB"/>
        </w:rPr>
        <w:t xml:space="preserve">House Mechanism were instrumental in this process. </w:t>
      </w:r>
      <w:r w:rsidRPr="00AC635C">
        <w:rPr>
          <w:kern w:val="22"/>
          <w:sz w:val="22"/>
          <w:szCs w:val="22"/>
          <w:lang w:val="en-GB"/>
        </w:rPr>
        <w:t>In addition, in the online reporting tool for the sixth national report, links are provided to the national reports and relevant data</w:t>
      </w:r>
      <w:r w:rsidR="000D40C7" w:rsidRPr="00AC635C">
        <w:rPr>
          <w:kern w:val="22"/>
          <w:sz w:val="22"/>
          <w:szCs w:val="22"/>
          <w:lang w:val="en-GB"/>
        </w:rPr>
        <w:t xml:space="preserve"> </w:t>
      </w:r>
      <w:r w:rsidRPr="00AC635C">
        <w:rPr>
          <w:kern w:val="22"/>
          <w:sz w:val="22"/>
          <w:szCs w:val="22"/>
          <w:lang w:val="en-GB"/>
        </w:rPr>
        <w:t xml:space="preserve">sets of the biodiversity-related conventions and the Rio </w:t>
      </w:r>
      <w:r w:rsidR="0066692C" w:rsidRPr="00AC635C">
        <w:rPr>
          <w:kern w:val="22"/>
          <w:sz w:val="22"/>
          <w:szCs w:val="22"/>
          <w:lang w:val="en-GB"/>
        </w:rPr>
        <w:t>c</w:t>
      </w:r>
      <w:r w:rsidRPr="00AC635C">
        <w:rPr>
          <w:kern w:val="22"/>
          <w:sz w:val="22"/>
          <w:szCs w:val="22"/>
          <w:lang w:val="en-GB"/>
        </w:rPr>
        <w:t xml:space="preserve">onventions so that countries can use or refer to relevant information contained in national reports </w:t>
      </w:r>
      <w:r w:rsidR="000D40C7" w:rsidRPr="00AC635C">
        <w:rPr>
          <w:kern w:val="22"/>
          <w:sz w:val="22"/>
          <w:szCs w:val="22"/>
          <w:lang w:val="en-GB"/>
        </w:rPr>
        <w:t xml:space="preserve">that </w:t>
      </w:r>
      <w:r w:rsidRPr="00AC635C">
        <w:rPr>
          <w:kern w:val="22"/>
          <w:sz w:val="22"/>
          <w:szCs w:val="22"/>
          <w:lang w:val="en-GB"/>
        </w:rPr>
        <w:t xml:space="preserve">they have submitted </w:t>
      </w:r>
      <w:r w:rsidR="000D40C7" w:rsidRPr="00AC635C">
        <w:rPr>
          <w:kern w:val="22"/>
          <w:sz w:val="22"/>
          <w:szCs w:val="22"/>
          <w:lang w:val="en-GB"/>
        </w:rPr>
        <w:t xml:space="preserve">under </w:t>
      </w:r>
      <w:r w:rsidRPr="00AC635C">
        <w:rPr>
          <w:kern w:val="22"/>
          <w:sz w:val="22"/>
          <w:szCs w:val="22"/>
          <w:lang w:val="en-GB"/>
        </w:rPr>
        <w:t xml:space="preserve">related </w:t>
      </w:r>
      <w:r w:rsidR="000D40C7" w:rsidRPr="00AC635C">
        <w:rPr>
          <w:kern w:val="22"/>
          <w:sz w:val="22"/>
          <w:szCs w:val="22"/>
          <w:lang w:val="en-GB"/>
        </w:rPr>
        <w:t>c</w:t>
      </w:r>
      <w:r w:rsidRPr="00AC635C">
        <w:rPr>
          <w:kern w:val="22"/>
          <w:sz w:val="22"/>
          <w:szCs w:val="22"/>
          <w:lang w:val="en-GB"/>
        </w:rPr>
        <w:t>onventions.</w:t>
      </w:r>
    </w:p>
    <w:p w14:paraId="7DA7A634" w14:textId="7060F345" w:rsidR="00BA7962" w:rsidRPr="00AC635C" w:rsidRDefault="00E9014E" w:rsidP="005C6B31">
      <w:pPr>
        <w:pStyle w:val="Para1"/>
        <w:keepNext/>
        <w:suppressLineNumbers/>
        <w:suppressAutoHyphens/>
        <w:kinsoku w:val="0"/>
        <w:overflowPunct w:val="0"/>
        <w:autoSpaceDE w:val="0"/>
        <w:autoSpaceDN w:val="0"/>
        <w:adjustRightInd w:val="0"/>
        <w:snapToGrid w:val="0"/>
        <w:spacing w:after="0"/>
        <w:ind w:left="1152" w:hanging="432"/>
        <w:rPr>
          <w:b/>
          <w:bCs/>
          <w:iCs/>
          <w:kern w:val="22"/>
          <w:sz w:val="22"/>
          <w:szCs w:val="22"/>
          <w:lang w:val="en-GB"/>
        </w:rPr>
      </w:pPr>
      <w:r w:rsidRPr="00AC635C">
        <w:rPr>
          <w:b/>
          <w:bCs/>
          <w:iCs/>
          <w:kern w:val="22"/>
          <w:sz w:val="22"/>
          <w:szCs w:val="22"/>
          <w:lang w:val="en-GB"/>
        </w:rPr>
        <w:t>E.</w:t>
      </w:r>
      <w:r w:rsidRPr="00AC635C">
        <w:rPr>
          <w:b/>
          <w:bCs/>
          <w:iCs/>
          <w:kern w:val="22"/>
          <w:sz w:val="22"/>
          <w:szCs w:val="22"/>
          <w:lang w:val="en-GB"/>
        </w:rPr>
        <w:tab/>
      </w:r>
      <w:r w:rsidR="00BA7962" w:rsidRPr="00AC635C">
        <w:rPr>
          <w:b/>
          <w:bCs/>
          <w:iCs/>
          <w:kern w:val="22"/>
          <w:sz w:val="22"/>
          <w:szCs w:val="22"/>
          <w:lang w:val="en-GB"/>
        </w:rPr>
        <w:t xml:space="preserve">Proposed options for enhancing synergies in reporting </w:t>
      </w:r>
      <w:r w:rsidR="008B247A" w:rsidRPr="00AC635C">
        <w:rPr>
          <w:b/>
          <w:bCs/>
          <w:iCs/>
          <w:kern w:val="22"/>
          <w:sz w:val="22"/>
          <w:szCs w:val="22"/>
          <w:lang w:val="en-GB"/>
        </w:rPr>
        <w:t xml:space="preserve">under </w:t>
      </w:r>
      <w:r w:rsidR="00BA7962" w:rsidRPr="00AC635C">
        <w:rPr>
          <w:b/>
          <w:bCs/>
          <w:iCs/>
          <w:kern w:val="22"/>
          <w:sz w:val="22"/>
          <w:szCs w:val="22"/>
          <w:lang w:val="en-GB"/>
        </w:rPr>
        <w:t xml:space="preserve">the biodiversity-related conventions and the Rio </w:t>
      </w:r>
      <w:r w:rsidR="0066692C" w:rsidRPr="00AC635C">
        <w:rPr>
          <w:b/>
          <w:bCs/>
          <w:iCs/>
          <w:kern w:val="22"/>
          <w:sz w:val="22"/>
          <w:szCs w:val="22"/>
          <w:lang w:val="en-GB"/>
        </w:rPr>
        <w:t>c</w:t>
      </w:r>
      <w:r w:rsidR="00BA7962" w:rsidRPr="00AC635C">
        <w:rPr>
          <w:b/>
          <w:bCs/>
          <w:iCs/>
          <w:kern w:val="22"/>
          <w:sz w:val="22"/>
          <w:szCs w:val="22"/>
          <w:lang w:val="en-GB"/>
        </w:rPr>
        <w:t>onventions</w:t>
      </w:r>
    </w:p>
    <w:p w14:paraId="23A00FF4" w14:textId="1410BD02" w:rsidR="00657FD1" w:rsidRPr="00AC635C" w:rsidRDefault="00657FD1"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The greatest leverage and impact for enhancing synergies in reporting </w:t>
      </w:r>
      <w:r w:rsidR="00412B32" w:rsidRPr="00AC635C">
        <w:rPr>
          <w:kern w:val="22"/>
          <w:sz w:val="22"/>
          <w:szCs w:val="22"/>
          <w:lang w:val="en-GB"/>
        </w:rPr>
        <w:t xml:space="preserve">under </w:t>
      </w:r>
      <w:r w:rsidRPr="00AC635C">
        <w:rPr>
          <w:kern w:val="22"/>
          <w:sz w:val="22"/>
          <w:szCs w:val="22"/>
          <w:lang w:val="en-GB"/>
        </w:rPr>
        <w:t xml:space="preserve">the biodiversity-related </w:t>
      </w:r>
      <w:r w:rsidR="00412B32" w:rsidRPr="00AC635C">
        <w:rPr>
          <w:kern w:val="22"/>
          <w:sz w:val="22"/>
          <w:szCs w:val="22"/>
          <w:lang w:val="en-GB"/>
        </w:rPr>
        <w:t>c</w:t>
      </w:r>
      <w:r w:rsidRPr="00AC635C">
        <w:rPr>
          <w:kern w:val="22"/>
          <w:sz w:val="22"/>
          <w:szCs w:val="22"/>
          <w:lang w:val="en-GB"/>
        </w:rPr>
        <w:t xml:space="preserve">onventions is at the level of alignment of goals and targets which would facilitate the identification of common indicators to support action planning and reporting of progress. The </w:t>
      </w:r>
      <w:r w:rsidR="00851CAC" w:rsidRPr="00AC635C">
        <w:rPr>
          <w:kern w:val="22"/>
          <w:sz w:val="22"/>
          <w:szCs w:val="22"/>
          <w:lang w:val="en-GB"/>
        </w:rPr>
        <w:t xml:space="preserve">development </w:t>
      </w:r>
      <w:r w:rsidRPr="00AC635C">
        <w:rPr>
          <w:kern w:val="22"/>
          <w:sz w:val="22"/>
          <w:szCs w:val="22"/>
          <w:lang w:val="en-GB"/>
        </w:rPr>
        <w:t xml:space="preserve">of the post-2020 global biodiversity framework provides an opportunity to promote further alignment of the Convention on Biological Diversity with the other biodiversity-related </w:t>
      </w:r>
      <w:r w:rsidR="0066692C" w:rsidRPr="00AC635C">
        <w:rPr>
          <w:kern w:val="22"/>
          <w:sz w:val="22"/>
          <w:szCs w:val="22"/>
          <w:lang w:val="en-GB"/>
        </w:rPr>
        <w:t>c</w:t>
      </w:r>
      <w:r w:rsidRPr="00AC635C">
        <w:rPr>
          <w:kern w:val="22"/>
          <w:sz w:val="22"/>
          <w:szCs w:val="22"/>
          <w:lang w:val="en-GB"/>
        </w:rPr>
        <w:t xml:space="preserve">onventions and </w:t>
      </w:r>
      <w:r w:rsidR="00513795" w:rsidRPr="00AC635C">
        <w:rPr>
          <w:kern w:val="22"/>
          <w:sz w:val="22"/>
          <w:szCs w:val="22"/>
          <w:lang w:val="en-GB"/>
        </w:rPr>
        <w:t xml:space="preserve">the </w:t>
      </w:r>
      <w:r w:rsidRPr="00AC635C">
        <w:rPr>
          <w:kern w:val="22"/>
          <w:sz w:val="22"/>
          <w:szCs w:val="22"/>
          <w:lang w:val="en-GB"/>
        </w:rPr>
        <w:t xml:space="preserve">Rio </w:t>
      </w:r>
      <w:r w:rsidR="0066692C" w:rsidRPr="00AC635C">
        <w:rPr>
          <w:kern w:val="22"/>
          <w:sz w:val="22"/>
          <w:szCs w:val="22"/>
          <w:lang w:val="en-GB"/>
        </w:rPr>
        <w:t>c</w:t>
      </w:r>
      <w:r w:rsidRPr="00AC635C">
        <w:rPr>
          <w:kern w:val="22"/>
          <w:sz w:val="22"/>
          <w:szCs w:val="22"/>
          <w:lang w:val="en-GB"/>
        </w:rPr>
        <w:t xml:space="preserve">onventions, and the proposed options </w:t>
      </w:r>
      <w:r w:rsidR="00513795" w:rsidRPr="00AC635C">
        <w:rPr>
          <w:kern w:val="22"/>
          <w:sz w:val="22"/>
          <w:szCs w:val="22"/>
          <w:lang w:val="en-GB"/>
        </w:rPr>
        <w:t xml:space="preserve">described below </w:t>
      </w:r>
      <w:r w:rsidRPr="00AC635C">
        <w:rPr>
          <w:kern w:val="22"/>
          <w:sz w:val="22"/>
          <w:szCs w:val="22"/>
          <w:lang w:val="en-GB"/>
        </w:rPr>
        <w:t>should be considered in this context.</w:t>
      </w:r>
    </w:p>
    <w:p w14:paraId="4E90CF3E" w14:textId="1FF96879" w:rsidR="00BA7962" w:rsidRPr="00AC635C" w:rsidRDefault="00847A07" w:rsidP="005C6B31">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In view of the above</w:t>
      </w:r>
      <w:r w:rsidR="00657FD1" w:rsidRPr="00AC635C">
        <w:rPr>
          <w:kern w:val="22"/>
          <w:sz w:val="22"/>
          <w:szCs w:val="22"/>
          <w:lang w:val="en-GB"/>
        </w:rPr>
        <w:t xml:space="preserve">, and </w:t>
      </w:r>
      <w:proofErr w:type="gramStart"/>
      <w:r w:rsidR="00BA7962" w:rsidRPr="00AC635C">
        <w:rPr>
          <w:kern w:val="22"/>
          <w:sz w:val="22"/>
          <w:szCs w:val="22"/>
          <w:lang w:val="en-GB"/>
        </w:rPr>
        <w:t xml:space="preserve">on </w:t>
      </w:r>
      <w:r w:rsidRPr="00AC635C">
        <w:rPr>
          <w:kern w:val="22"/>
          <w:sz w:val="22"/>
          <w:szCs w:val="22"/>
          <w:lang w:val="en-GB"/>
        </w:rPr>
        <w:t>the basis of</w:t>
      </w:r>
      <w:proofErr w:type="gramEnd"/>
      <w:r w:rsidRPr="00AC635C">
        <w:rPr>
          <w:kern w:val="22"/>
          <w:sz w:val="22"/>
          <w:szCs w:val="22"/>
          <w:lang w:val="en-GB"/>
        </w:rPr>
        <w:t xml:space="preserve"> </w:t>
      </w:r>
      <w:r w:rsidR="00BA7962" w:rsidRPr="00AC635C">
        <w:rPr>
          <w:kern w:val="22"/>
          <w:sz w:val="22"/>
          <w:szCs w:val="22"/>
          <w:lang w:val="en-GB"/>
        </w:rPr>
        <w:t>relevant work undertaken so far, in particular studies prepared by Switzerland, UNEP and UNEP-WCMC</w:t>
      </w:r>
      <w:r w:rsidR="00CA7E21" w:rsidRPr="00AC635C">
        <w:rPr>
          <w:kern w:val="22"/>
          <w:sz w:val="22"/>
          <w:szCs w:val="22"/>
          <w:lang w:val="en-GB"/>
        </w:rPr>
        <w:t>, and</w:t>
      </w:r>
      <w:r w:rsidR="00BA7962" w:rsidRPr="00AC635C">
        <w:rPr>
          <w:kern w:val="22"/>
          <w:sz w:val="22"/>
          <w:szCs w:val="22"/>
          <w:lang w:val="en-GB"/>
        </w:rPr>
        <w:t xml:space="preserve"> </w:t>
      </w:r>
      <w:r w:rsidR="00CA7E21" w:rsidRPr="00AC635C">
        <w:rPr>
          <w:kern w:val="22"/>
          <w:sz w:val="22"/>
          <w:szCs w:val="22"/>
          <w:lang w:val="en-GB"/>
        </w:rPr>
        <w:t xml:space="preserve">the </w:t>
      </w:r>
      <w:proofErr w:type="spellStart"/>
      <w:r w:rsidR="00CA7E21" w:rsidRPr="00AC635C">
        <w:rPr>
          <w:kern w:val="22"/>
          <w:sz w:val="22"/>
          <w:szCs w:val="22"/>
          <w:lang w:val="en-GB"/>
        </w:rPr>
        <w:t>InforMEA</w:t>
      </w:r>
      <w:proofErr w:type="spellEnd"/>
      <w:r w:rsidR="00CA7E21" w:rsidRPr="00AC635C">
        <w:rPr>
          <w:kern w:val="22"/>
          <w:sz w:val="22"/>
          <w:szCs w:val="22"/>
          <w:lang w:val="en-GB"/>
        </w:rPr>
        <w:t xml:space="preserve"> Initiative </w:t>
      </w:r>
      <w:r w:rsidR="00BA7962" w:rsidRPr="00AC635C">
        <w:rPr>
          <w:kern w:val="22"/>
          <w:sz w:val="22"/>
          <w:szCs w:val="22"/>
          <w:lang w:val="en-GB"/>
        </w:rPr>
        <w:t xml:space="preserve">as well as suggestions from the </w:t>
      </w:r>
      <w:hyperlink r:id="rId54" w:history="1">
        <w:r w:rsidR="009B1B04" w:rsidRPr="00AC635C">
          <w:rPr>
            <w:rStyle w:val="Hyperlink"/>
            <w:sz w:val="22"/>
            <w:szCs w:val="22"/>
            <w:lang w:val="en-GB"/>
          </w:rPr>
          <w:t xml:space="preserve">Liaison Group of Biodiversity-related </w:t>
        </w:r>
        <w:r w:rsidRPr="00AC635C">
          <w:rPr>
            <w:rStyle w:val="Hyperlink"/>
            <w:kern w:val="22"/>
            <w:sz w:val="22"/>
            <w:szCs w:val="22"/>
            <w:lang w:val="en-GB"/>
          </w:rPr>
          <w:t>C</w:t>
        </w:r>
        <w:r w:rsidR="009B1B04" w:rsidRPr="00AC635C">
          <w:rPr>
            <w:rStyle w:val="Hyperlink"/>
            <w:sz w:val="22"/>
            <w:szCs w:val="22"/>
            <w:lang w:val="en-GB"/>
          </w:rPr>
          <w:t>onventions</w:t>
        </w:r>
      </w:hyperlink>
      <w:r w:rsidR="00BA7962" w:rsidRPr="00AC635C">
        <w:rPr>
          <w:kern w:val="22"/>
          <w:sz w:val="22"/>
          <w:szCs w:val="22"/>
          <w:lang w:val="en-GB"/>
        </w:rPr>
        <w:t xml:space="preserve">, </w:t>
      </w:r>
      <w:r w:rsidR="009B1B04" w:rsidRPr="00AC635C">
        <w:rPr>
          <w:kern w:val="22"/>
          <w:sz w:val="22"/>
          <w:szCs w:val="22"/>
          <w:lang w:val="en-GB"/>
        </w:rPr>
        <w:t xml:space="preserve">the Joint Liaison Group of the Rio </w:t>
      </w:r>
      <w:r w:rsidR="009B1B04" w:rsidRPr="00AC635C">
        <w:rPr>
          <w:kern w:val="22"/>
          <w:sz w:val="22"/>
          <w:szCs w:val="22"/>
          <w:lang w:val="en-GB"/>
        </w:rPr>
        <w:lastRenderedPageBreak/>
        <w:t xml:space="preserve">Conventions </w:t>
      </w:r>
      <w:r w:rsidR="00BA7962" w:rsidRPr="00AC635C">
        <w:rPr>
          <w:kern w:val="22"/>
          <w:sz w:val="22"/>
          <w:szCs w:val="22"/>
          <w:lang w:val="en-GB"/>
        </w:rPr>
        <w:t>and the informal advisory group on synergies among biodiversity-related conventions, the following options are proposed:</w:t>
      </w:r>
    </w:p>
    <w:p w14:paraId="246B61EE" w14:textId="197C6D1F" w:rsidR="00BA7962" w:rsidRPr="00AC635C" w:rsidRDefault="00657FD1"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It is essential</w:t>
      </w:r>
      <w:r w:rsidR="00BA7962" w:rsidRPr="00AC635C">
        <w:rPr>
          <w:kern w:val="22"/>
          <w:sz w:val="22"/>
          <w:szCs w:val="22"/>
          <w:lang w:val="en-GB"/>
        </w:rPr>
        <w:t xml:space="preserve"> to continue ongoing consultations among the </w:t>
      </w:r>
      <w:r w:rsidR="008A17D6" w:rsidRPr="00AC635C">
        <w:rPr>
          <w:kern w:val="22"/>
          <w:sz w:val="22"/>
          <w:szCs w:val="22"/>
          <w:lang w:val="en-GB"/>
        </w:rPr>
        <w:t>s</w:t>
      </w:r>
      <w:r w:rsidR="00BA7962" w:rsidRPr="00AC635C">
        <w:rPr>
          <w:kern w:val="22"/>
          <w:sz w:val="22"/>
          <w:szCs w:val="22"/>
          <w:lang w:val="en-GB"/>
        </w:rPr>
        <w:t>ecretariats of the biodiversity-related conventions through</w:t>
      </w:r>
      <w:r w:rsidR="008A17D6" w:rsidRPr="00AC635C">
        <w:rPr>
          <w:kern w:val="22"/>
          <w:sz w:val="22"/>
          <w:szCs w:val="22"/>
          <w:lang w:val="en-GB"/>
        </w:rPr>
        <w:t>, among other things,</w:t>
      </w:r>
      <w:r w:rsidR="00BA7962" w:rsidRPr="00AC635C">
        <w:rPr>
          <w:kern w:val="22"/>
          <w:sz w:val="22"/>
          <w:szCs w:val="22"/>
          <w:lang w:val="en-GB"/>
        </w:rPr>
        <w:t xml:space="preserve"> </w:t>
      </w:r>
      <w:r w:rsidR="009C124D" w:rsidRPr="00AC635C">
        <w:rPr>
          <w:kern w:val="22"/>
          <w:sz w:val="22"/>
          <w:szCs w:val="22"/>
          <w:lang w:val="en-GB"/>
        </w:rPr>
        <w:t xml:space="preserve">mechanisms agreed by </w:t>
      </w:r>
      <w:r w:rsidR="00BA7962" w:rsidRPr="00AC635C">
        <w:rPr>
          <w:kern w:val="22"/>
          <w:sz w:val="22"/>
          <w:szCs w:val="22"/>
          <w:lang w:val="en-GB"/>
        </w:rPr>
        <w:t xml:space="preserve">the </w:t>
      </w:r>
      <w:r w:rsidR="009B1B04" w:rsidRPr="00AC635C">
        <w:rPr>
          <w:kern w:val="22"/>
          <w:sz w:val="22"/>
          <w:szCs w:val="22"/>
          <w:lang w:val="en-GB"/>
        </w:rPr>
        <w:t xml:space="preserve">Liaison Group of Biodiversity-related </w:t>
      </w:r>
      <w:r w:rsidR="00025872" w:rsidRPr="00AC635C">
        <w:rPr>
          <w:kern w:val="22"/>
          <w:sz w:val="22"/>
          <w:szCs w:val="22"/>
          <w:lang w:val="en-GB"/>
        </w:rPr>
        <w:t>C</w:t>
      </w:r>
      <w:r w:rsidR="009B1B04" w:rsidRPr="00AC635C">
        <w:rPr>
          <w:kern w:val="22"/>
          <w:sz w:val="22"/>
          <w:szCs w:val="22"/>
          <w:lang w:val="en-GB"/>
        </w:rPr>
        <w:t>onventions</w:t>
      </w:r>
      <w:r w:rsidR="00BA7962" w:rsidRPr="00AC635C">
        <w:rPr>
          <w:kern w:val="22"/>
          <w:sz w:val="22"/>
          <w:szCs w:val="22"/>
          <w:lang w:val="en-GB"/>
        </w:rPr>
        <w:t xml:space="preserve">, while developing the post-2020 biodiversity strategic frameworks so that all the related </w:t>
      </w:r>
      <w:r w:rsidR="00FF3530" w:rsidRPr="00AC635C">
        <w:rPr>
          <w:kern w:val="22"/>
          <w:sz w:val="22"/>
          <w:szCs w:val="22"/>
          <w:lang w:val="en-GB"/>
        </w:rPr>
        <w:t>c</w:t>
      </w:r>
      <w:r w:rsidR="00BA7962" w:rsidRPr="00AC635C">
        <w:rPr>
          <w:kern w:val="22"/>
          <w:sz w:val="22"/>
          <w:szCs w:val="22"/>
          <w:lang w:val="en-GB"/>
        </w:rPr>
        <w:t xml:space="preserve">onventions work </w:t>
      </w:r>
      <w:r w:rsidR="000E52F8" w:rsidRPr="00AC635C">
        <w:rPr>
          <w:kern w:val="22"/>
          <w:sz w:val="22"/>
          <w:szCs w:val="22"/>
          <w:lang w:val="en-GB"/>
        </w:rPr>
        <w:t>within</w:t>
      </w:r>
      <w:r w:rsidR="00BA7962" w:rsidRPr="00AC635C">
        <w:rPr>
          <w:kern w:val="22"/>
          <w:sz w:val="22"/>
          <w:szCs w:val="22"/>
          <w:lang w:val="en-GB"/>
        </w:rPr>
        <w:t xml:space="preserve"> similar</w:t>
      </w:r>
      <w:r w:rsidR="00786946" w:rsidRPr="00AC635C">
        <w:rPr>
          <w:kern w:val="22"/>
          <w:sz w:val="22"/>
          <w:szCs w:val="22"/>
          <w:lang w:val="en-GB"/>
        </w:rPr>
        <w:t xml:space="preserve"> or compatible</w:t>
      </w:r>
      <w:r w:rsidR="00BA7962" w:rsidRPr="00AC635C">
        <w:rPr>
          <w:kern w:val="22"/>
          <w:sz w:val="22"/>
          <w:szCs w:val="22"/>
          <w:lang w:val="en-GB"/>
        </w:rPr>
        <w:t xml:space="preserve"> strategic frameworks where possible, which </w:t>
      </w:r>
      <w:r w:rsidR="000E52F8" w:rsidRPr="00AC635C">
        <w:rPr>
          <w:kern w:val="22"/>
          <w:sz w:val="22"/>
          <w:szCs w:val="22"/>
          <w:lang w:val="en-GB"/>
        </w:rPr>
        <w:t xml:space="preserve">would be a fundamental step </w:t>
      </w:r>
      <w:r w:rsidR="00546FE1" w:rsidRPr="00AC635C">
        <w:rPr>
          <w:kern w:val="22"/>
          <w:sz w:val="22"/>
          <w:szCs w:val="22"/>
          <w:lang w:val="en-GB"/>
        </w:rPr>
        <w:t xml:space="preserve">towards </w:t>
      </w:r>
      <w:r w:rsidR="00BA7962" w:rsidRPr="00AC635C">
        <w:rPr>
          <w:kern w:val="22"/>
          <w:sz w:val="22"/>
          <w:szCs w:val="22"/>
          <w:lang w:val="en-GB"/>
        </w:rPr>
        <w:t xml:space="preserve">enhancing synergies in reporting </w:t>
      </w:r>
      <w:r w:rsidR="00546FE1" w:rsidRPr="00AC635C">
        <w:rPr>
          <w:kern w:val="22"/>
          <w:sz w:val="22"/>
          <w:szCs w:val="22"/>
          <w:lang w:val="en-GB"/>
        </w:rPr>
        <w:t xml:space="preserve">under </w:t>
      </w:r>
      <w:r w:rsidR="00BA7962" w:rsidRPr="00AC635C">
        <w:rPr>
          <w:kern w:val="22"/>
          <w:sz w:val="22"/>
          <w:szCs w:val="22"/>
          <w:lang w:val="en-GB"/>
        </w:rPr>
        <w:t xml:space="preserve">the related </w:t>
      </w:r>
      <w:r w:rsidR="00B40FFA" w:rsidRPr="00AC635C">
        <w:rPr>
          <w:kern w:val="22"/>
          <w:sz w:val="22"/>
          <w:szCs w:val="22"/>
          <w:lang w:val="en-GB"/>
        </w:rPr>
        <w:t>c</w:t>
      </w:r>
      <w:r w:rsidR="00BA7962" w:rsidRPr="00AC635C">
        <w:rPr>
          <w:kern w:val="22"/>
          <w:sz w:val="22"/>
          <w:szCs w:val="22"/>
          <w:lang w:val="en-GB"/>
        </w:rPr>
        <w:t>onventions;</w:t>
      </w:r>
    </w:p>
    <w:p w14:paraId="4698AA39" w14:textId="2EB716B6" w:rsidR="00BA7962" w:rsidRPr="00AC635C" w:rsidRDefault="000E52F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D</w:t>
      </w:r>
      <w:r w:rsidR="00BA7962" w:rsidRPr="00AC635C">
        <w:rPr>
          <w:kern w:val="22"/>
          <w:sz w:val="22"/>
          <w:szCs w:val="22"/>
          <w:lang w:val="en-GB"/>
        </w:rPr>
        <w:t xml:space="preserve">eveloping or identifying a common set of indicators for reporting </w:t>
      </w:r>
      <w:r w:rsidRPr="00AC635C">
        <w:rPr>
          <w:kern w:val="22"/>
          <w:sz w:val="22"/>
          <w:szCs w:val="22"/>
          <w:lang w:val="en-GB"/>
        </w:rPr>
        <w:t>would be valuable for</w:t>
      </w:r>
      <w:r w:rsidR="00BA7962" w:rsidRPr="00AC635C">
        <w:rPr>
          <w:kern w:val="22"/>
          <w:sz w:val="22"/>
          <w:szCs w:val="22"/>
          <w:lang w:val="en-GB"/>
        </w:rPr>
        <w:t xml:space="preserve"> </w:t>
      </w:r>
      <w:r w:rsidR="00377447" w:rsidRPr="00AC635C">
        <w:rPr>
          <w:kern w:val="22"/>
          <w:sz w:val="22"/>
          <w:szCs w:val="22"/>
          <w:lang w:val="en-GB"/>
        </w:rPr>
        <w:t>enhancing synergies in reporting</w:t>
      </w:r>
      <w:r w:rsidRPr="00AC635C">
        <w:rPr>
          <w:kern w:val="22"/>
          <w:sz w:val="22"/>
          <w:szCs w:val="22"/>
          <w:lang w:val="en-GB"/>
        </w:rPr>
        <w:t xml:space="preserve"> and demonstrating common approaches and concerns</w:t>
      </w:r>
      <w:r w:rsidR="00BA7962" w:rsidRPr="00AC635C">
        <w:rPr>
          <w:kern w:val="22"/>
          <w:sz w:val="22"/>
          <w:szCs w:val="22"/>
          <w:lang w:val="en-GB"/>
        </w:rPr>
        <w:t xml:space="preserve">. Relevant </w:t>
      </w:r>
      <w:r w:rsidR="00377447" w:rsidRPr="00AC635C">
        <w:rPr>
          <w:kern w:val="22"/>
          <w:sz w:val="22"/>
          <w:szCs w:val="22"/>
          <w:lang w:val="en-GB"/>
        </w:rPr>
        <w:t xml:space="preserve">coordination activities </w:t>
      </w:r>
      <w:r w:rsidR="00BA7962" w:rsidRPr="00AC635C">
        <w:rPr>
          <w:kern w:val="22"/>
          <w:sz w:val="22"/>
          <w:szCs w:val="22"/>
          <w:lang w:val="en-GB"/>
        </w:rPr>
        <w:t>undertaken so far (</w:t>
      </w:r>
      <w:r w:rsidRPr="00AC635C">
        <w:rPr>
          <w:kern w:val="22"/>
          <w:sz w:val="22"/>
          <w:szCs w:val="22"/>
          <w:lang w:val="en-GB"/>
        </w:rPr>
        <w:t xml:space="preserve">including </w:t>
      </w:r>
      <w:r w:rsidR="00BA7962" w:rsidRPr="00AC635C">
        <w:rPr>
          <w:kern w:val="22"/>
          <w:sz w:val="22"/>
          <w:szCs w:val="22"/>
          <w:lang w:val="en-GB"/>
        </w:rPr>
        <w:t xml:space="preserve">CBD indicators, </w:t>
      </w:r>
      <w:r w:rsidR="00AE0DB4" w:rsidRPr="00AC635C">
        <w:rPr>
          <w:kern w:val="22"/>
          <w:sz w:val="22"/>
          <w:szCs w:val="22"/>
          <w:lang w:val="en-GB"/>
        </w:rPr>
        <w:t>Sustainable Development Goal</w:t>
      </w:r>
      <w:r w:rsidR="00BA7962" w:rsidRPr="00AC635C">
        <w:rPr>
          <w:kern w:val="22"/>
          <w:sz w:val="22"/>
          <w:szCs w:val="22"/>
          <w:lang w:val="en-GB"/>
        </w:rPr>
        <w:t xml:space="preserve"> indicators, indicators for measuring the implementation of the Paris Agreement,</w:t>
      </w:r>
      <w:r w:rsidR="007B16C3" w:rsidRPr="00AC635C">
        <w:rPr>
          <w:rStyle w:val="FootnoteReference"/>
          <w:kern w:val="22"/>
          <w:sz w:val="22"/>
          <w:szCs w:val="22"/>
          <w:lang w:val="en-GB"/>
        </w:rPr>
        <w:footnoteReference w:id="15"/>
      </w:r>
      <w:r w:rsidR="00BA7962" w:rsidRPr="00AC635C">
        <w:rPr>
          <w:kern w:val="22"/>
          <w:sz w:val="22"/>
          <w:szCs w:val="22"/>
          <w:lang w:val="en-GB"/>
        </w:rPr>
        <w:t xml:space="preserve"> indicators for </w:t>
      </w:r>
      <w:r w:rsidR="00782996" w:rsidRPr="00AC635C">
        <w:rPr>
          <w:kern w:val="22"/>
          <w:sz w:val="22"/>
          <w:szCs w:val="22"/>
          <w:lang w:val="en-GB"/>
        </w:rPr>
        <w:t xml:space="preserve">the </w:t>
      </w:r>
      <w:hyperlink r:id="rId55" w:history="1">
        <w:r w:rsidR="00782996" w:rsidRPr="00AC635C">
          <w:rPr>
            <w:rStyle w:val="Hyperlink"/>
            <w:kern w:val="22"/>
            <w:sz w:val="22"/>
            <w:szCs w:val="22"/>
            <w:lang w:val="en-GB"/>
          </w:rPr>
          <w:t>l</w:t>
        </w:r>
        <w:r w:rsidR="00BA7962" w:rsidRPr="00AC635C">
          <w:rPr>
            <w:rStyle w:val="Hyperlink"/>
            <w:kern w:val="22"/>
            <w:sz w:val="22"/>
            <w:szCs w:val="22"/>
            <w:lang w:val="en-GB"/>
          </w:rPr>
          <w:t xml:space="preserve">and </w:t>
        </w:r>
        <w:r w:rsidR="00782996" w:rsidRPr="00AC635C">
          <w:rPr>
            <w:rStyle w:val="Hyperlink"/>
            <w:kern w:val="22"/>
            <w:sz w:val="22"/>
            <w:szCs w:val="22"/>
            <w:lang w:val="en-GB"/>
          </w:rPr>
          <w:t>d</w:t>
        </w:r>
        <w:r w:rsidR="00BA7962" w:rsidRPr="00AC635C">
          <w:rPr>
            <w:rStyle w:val="Hyperlink"/>
            <w:kern w:val="22"/>
            <w:sz w:val="22"/>
            <w:szCs w:val="22"/>
            <w:lang w:val="en-GB"/>
          </w:rPr>
          <w:t xml:space="preserve">egradation </w:t>
        </w:r>
        <w:r w:rsidR="00782996" w:rsidRPr="00AC635C">
          <w:rPr>
            <w:rStyle w:val="Hyperlink"/>
            <w:kern w:val="22"/>
            <w:sz w:val="22"/>
            <w:szCs w:val="22"/>
            <w:lang w:val="en-GB"/>
          </w:rPr>
          <w:t>n</w:t>
        </w:r>
        <w:r w:rsidR="00BA7962" w:rsidRPr="00AC635C">
          <w:rPr>
            <w:rStyle w:val="Hyperlink"/>
            <w:kern w:val="22"/>
            <w:sz w:val="22"/>
            <w:szCs w:val="22"/>
            <w:lang w:val="en-GB"/>
          </w:rPr>
          <w:t xml:space="preserve">eutrality </w:t>
        </w:r>
        <w:r w:rsidR="00782996" w:rsidRPr="00AC635C">
          <w:rPr>
            <w:rStyle w:val="Hyperlink"/>
            <w:kern w:val="22"/>
            <w:sz w:val="22"/>
            <w:szCs w:val="22"/>
            <w:lang w:val="en-GB"/>
          </w:rPr>
          <w:t>g</w:t>
        </w:r>
        <w:r w:rsidR="00BA7962" w:rsidRPr="00AC635C">
          <w:rPr>
            <w:rStyle w:val="Hyperlink"/>
            <w:kern w:val="22"/>
            <w:sz w:val="22"/>
            <w:szCs w:val="22"/>
            <w:lang w:val="en-GB"/>
          </w:rPr>
          <w:t>oal</w:t>
        </w:r>
      </w:hyperlink>
      <w:r w:rsidR="00BA7962" w:rsidRPr="00AC635C">
        <w:rPr>
          <w:kern w:val="22"/>
          <w:sz w:val="22"/>
          <w:szCs w:val="22"/>
          <w:lang w:val="en-GB"/>
        </w:rPr>
        <w:t xml:space="preserve">, </w:t>
      </w:r>
      <w:r w:rsidRPr="00AC635C">
        <w:rPr>
          <w:kern w:val="22"/>
          <w:sz w:val="22"/>
          <w:szCs w:val="22"/>
          <w:lang w:val="en-GB"/>
        </w:rPr>
        <w:t>and the work of the Biodiversity Indicators Partnership</w:t>
      </w:r>
      <w:r w:rsidR="00BA7962" w:rsidRPr="00AC635C">
        <w:rPr>
          <w:kern w:val="22"/>
          <w:sz w:val="22"/>
          <w:szCs w:val="22"/>
          <w:lang w:val="en-GB"/>
        </w:rPr>
        <w:t>) ha</w:t>
      </w:r>
      <w:r w:rsidR="00377447" w:rsidRPr="00AC635C">
        <w:rPr>
          <w:kern w:val="22"/>
          <w:sz w:val="22"/>
          <w:szCs w:val="22"/>
          <w:lang w:val="en-GB"/>
        </w:rPr>
        <w:t>ve</w:t>
      </w:r>
      <w:r w:rsidR="00BA7962" w:rsidRPr="00AC635C">
        <w:rPr>
          <w:kern w:val="22"/>
          <w:sz w:val="22"/>
          <w:szCs w:val="22"/>
          <w:lang w:val="en-GB"/>
        </w:rPr>
        <w:t xml:space="preserve"> provided a solid basis for work in this regard;</w:t>
      </w:r>
    </w:p>
    <w:p w14:paraId="69C7207A" w14:textId="0B67C139" w:rsidR="00BA7962" w:rsidRPr="00AC635C" w:rsidRDefault="000E52F8"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O</w:t>
      </w:r>
      <w:r w:rsidR="00BA7962" w:rsidRPr="00AC635C">
        <w:rPr>
          <w:kern w:val="22"/>
          <w:sz w:val="22"/>
          <w:szCs w:val="22"/>
          <w:lang w:val="en-GB"/>
        </w:rPr>
        <w:t xml:space="preserve">ptions for common reporting </w:t>
      </w:r>
      <w:r w:rsidRPr="00AC635C">
        <w:rPr>
          <w:kern w:val="22"/>
          <w:sz w:val="22"/>
          <w:szCs w:val="22"/>
          <w:lang w:val="en-GB"/>
        </w:rPr>
        <w:t xml:space="preserve">frameworks </w:t>
      </w:r>
      <w:r w:rsidR="00BA7962" w:rsidRPr="00AC635C">
        <w:rPr>
          <w:kern w:val="22"/>
          <w:sz w:val="22"/>
          <w:szCs w:val="22"/>
          <w:lang w:val="en-GB"/>
        </w:rPr>
        <w:t>will continue to be explored through</w:t>
      </w:r>
      <w:r w:rsidR="00B82360" w:rsidRPr="00AC635C">
        <w:rPr>
          <w:kern w:val="22"/>
          <w:sz w:val="22"/>
          <w:szCs w:val="22"/>
          <w:lang w:val="en-GB"/>
        </w:rPr>
        <w:t>, among other things,</w:t>
      </w:r>
      <w:r w:rsidR="00BA7962" w:rsidRPr="00AC635C">
        <w:rPr>
          <w:kern w:val="22"/>
          <w:sz w:val="22"/>
          <w:szCs w:val="22"/>
          <w:lang w:val="en-GB"/>
        </w:rPr>
        <w:t xml:space="preserve"> the careful analysis of the experiences </w:t>
      </w:r>
      <w:r w:rsidR="00377447" w:rsidRPr="00AC635C">
        <w:rPr>
          <w:kern w:val="22"/>
          <w:sz w:val="22"/>
          <w:szCs w:val="22"/>
          <w:lang w:val="en-GB"/>
        </w:rPr>
        <w:t xml:space="preserve">and lessons learned </w:t>
      </w:r>
      <w:r w:rsidR="00BA7962" w:rsidRPr="00AC635C">
        <w:rPr>
          <w:kern w:val="22"/>
          <w:sz w:val="22"/>
          <w:szCs w:val="22"/>
          <w:lang w:val="en-GB"/>
        </w:rPr>
        <w:t>from regional</w:t>
      </w:r>
      <w:r w:rsidR="00377447" w:rsidRPr="00AC635C">
        <w:rPr>
          <w:kern w:val="22"/>
          <w:sz w:val="22"/>
          <w:szCs w:val="22"/>
          <w:lang w:val="en-GB"/>
        </w:rPr>
        <w:t>/national</w:t>
      </w:r>
      <w:r w:rsidR="00BA7962" w:rsidRPr="00AC635C">
        <w:rPr>
          <w:kern w:val="22"/>
          <w:sz w:val="22"/>
          <w:szCs w:val="22"/>
          <w:lang w:val="en-GB"/>
        </w:rPr>
        <w:t xml:space="preserve"> pilot projects </w:t>
      </w:r>
      <w:r w:rsidR="00377447" w:rsidRPr="00AC635C">
        <w:rPr>
          <w:kern w:val="22"/>
          <w:sz w:val="22"/>
          <w:szCs w:val="22"/>
          <w:lang w:val="en-GB"/>
        </w:rPr>
        <w:t xml:space="preserve">implemented </w:t>
      </w:r>
      <w:r w:rsidR="00BA7962" w:rsidRPr="00AC635C">
        <w:rPr>
          <w:kern w:val="22"/>
          <w:sz w:val="22"/>
          <w:szCs w:val="22"/>
          <w:lang w:val="en-GB"/>
        </w:rPr>
        <w:t xml:space="preserve">in this regard. Practical options to be developed will be helpful to facilitate increasing synergies in reporting </w:t>
      </w:r>
      <w:r w:rsidR="004163BE" w:rsidRPr="00AC635C">
        <w:rPr>
          <w:kern w:val="22"/>
          <w:sz w:val="22"/>
          <w:szCs w:val="22"/>
          <w:lang w:val="en-GB"/>
        </w:rPr>
        <w:t xml:space="preserve">under </w:t>
      </w:r>
      <w:r w:rsidR="00BA7962" w:rsidRPr="00AC635C">
        <w:rPr>
          <w:kern w:val="22"/>
          <w:sz w:val="22"/>
          <w:szCs w:val="22"/>
          <w:lang w:val="en-GB"/>
        </w:rPr>
        <w:t xml:space="preserve">the related conventions at </w:t>
      </w:r>
      <w:r w:rsidR="004163BE" w:rsidRPr="00AC635C">
        <w:rPr>
          <w:kern w:val="22"/>
          <w:sz w:val="22"/>
          <w:szCs w:val="22"/>
          <w:lang w:val="en-GB"/>
        </w:rPr>
        <w:t xml:space="preserve">the </w:t>
      </w:r>
      <w:r w:rsidR="00BA7962" w:rsidRPr="00AC635C">
        <w:rPr>
          <w:kern w:val="22"/>
          <w:sz w:val="22"/>
          <w:szCs w:val="22"/>
          <w:lang w:val="en-GB"/>
        </w:rPr>
        <w:t xml:space="preserve">national and global level. </w:t>
      </w:r>
      <w:r w:rsidR="00786946" w:rsidRPr="00AC635C">
        <w:rPr>
          <w:kern w:val="22"/>
          <w:sz w:val="22"/>
          <w:szCs w:val="22"/>
          <w:lang w:val="en-GB"/>
        </w:rPr>
        <w:t xml:space="preserve">Challenges exist, however, where the responsibility for reporting falls </w:t>
      </w:r>
      <w:r w:rsidR="008A03AD" w:rsidRPr="00AC635C">
        <w:rPr>
          <w:kern w:val="22"/>
          <w:sz w:val="22"/>
          <w:szCs w:val="22"/>
          <w:lang w:val="en-GB"/>
        </w:rPr>
        <w:t xml:space="preserve">in </w:t>
      </w:r>
      <w:r w:rsidR="00786946" w:rsidRPr="00AC635C">
        <w:rPr>
          <w:kern w:val="22"/>
          <w:sz w:val="22"/>
          <w:szCs w:val="22"/>
          <w:lang w:val="en-GB"/>
        </w:rPr>
        <w:t>different ministries</w:t>
      </w:r>
      <w:r w:rsidR="008A03AD" w:rsidRPr="00AC635C">
        <w:rPr>
          <w:kern w:val="22"/>
          <w:sz w:val="22"/>
          <w:szCs w:val="22"/>
          <w:lang w:val="en-GB"/>
        </w:rPr>
        <w:t xml:space="preserve"> or national agencies</w:t>
      </w:r>
      <w:r w:rsidR="008342FE" w:rsidRPr="00AC635C">
        <w:rPr>
          <w:kern w:val="22"/>
          <w:sz w:val="22"/>
          <w:szCs w:val="22"/>
          <w:lang w:val="en-GB"/>
        </w:rPr>
        <w:t>;</w:t>
      </w:r>
    </w:p>
    <w:p w14:paraId="1735C502" w14:textId="7EE239E4" w:rsidR="00CA7E21" w:rsidRPr="00AC635C" w:rsidRDefault="0074168A"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kern w:val="22"/>
          <w:sz w:val="22"/>
          <w:szCs w:val="22"/>
          <w:lang w:val="en-GB"/>
        </w:rPr>
        <w:t>Efforts need to be made to i</w:t>
      </w:r>
      <w:r w:rsidR="00BA7962" w:rsidRPr="00AC635C">
        <w:rPr>
          <w:kern w:val="22"/>
          <w:sz w:val="22"/>
          <w:szCs w:val="22"/>
          <w:lang w:val="en-GB"/>
        </w:rPr>
        <w:t>ncreas</w:t>
      </w:r>
      <w:r w:rsidRPr="00AC635C">
        <w:rPr>
          <w:kern w:val="22"/>
          <w:sz w:val="22"/>
          <w:szCs w:val="22"/>
          <w:lang w:val="en-GB"/>
        </w:rPr>
        <w:t>e</w:t>
      </w:r>
      <w:r w:rsidR="00BA7962" w:rsidRPr="00AC635C">
        <w:rPr>
          <w:kern w:val="22"/>
          <w:sz w:val="22"/>
          <w:szCs w:val="22"/>
          <w:lang w:val="en-GB"/>
        </w:rPr>
        <w:t xml:space="preserve"> </w:t>
      </w:r>
      <w:r w:rsidR="0023568A" w:rsidRPr="00AC635C">
        <w:rPr>
          <w:kern w:val="22"/>
          <w:sz w:val="22"/>
          <w:szCs w:val="22"/>
          <w:lang w:val="en-GB"/>
        </w:rPr>
        <w:t xml:space="preserve">the </w:t>
      </w:r>
      <w:r w:rsidR="00BA7962" w:rsidRPr="00AC635C">
        <w:rPr>
          <w:kern w:val="22"/>
          <w:sz w:val="22"/>
          <w:szCs w:val="22"/>
          <w:lang w:val="en-GB"/>
        </w:rPr>
        <w:t xml:space="preserve">interoperability of reporting tools, data, information and knowledge management systems of the biodiversity-related </w:t>
      </w:r>
      <w:r w:rsidR="008342FE" w:rsidRPr="00AC635C">
        <w:rPr>
          <w:kern w:val="22"/>
          <w:sz w:val="22"/>
          <w:szCs w:val="22"/>
          <w:lang w:val="en-GB"/>
        </w:rPr>
        <w:t>c</w:t>
      </w:r>
      <w:r w:rsidR="00BA7962" w:rsidRPr="00AC635C">
        <w:rPr>
          <w:kern w:val="22"/>
          <w:sz w:val="22"/>
          <w:szCs w:val="22"/>
          <w:lang w:val="en-GB"/>
        </w:rPr>
        <w:t xml:space="preserve">onventions, the Rio </w:t>
      </w:r>
      <w:r w:rsidR="0023568A" w:rsidRPr="00AC635C">
        <w:rPr>
          <w:kern w:val="22"/>
          <w:sz w:val="22"/>
          <w:szCs w:val="22"/>
          <w:lang w:val="en-GB"/>
        </w:rPr>
        <w:t>c</w:t>
      </w:r>
      <w:r w:rsidR="00BA7962" w:rsidRPr="00AC635C">
        <w:rPr>
          <w:kern w:val="22"/>
          <w:sz w:val="22"/>
          <w:szCs w:val="22"/>
          <w:lang w:val="en-GB"/>
        </w:rPr>
        <w:t>onventions and relevant international organizations will enhance synergies in reporting by facilitating cross-referencing to and sharing of relevant data and information</w:t>
      </w:r>
      <w:r w:rsidR="008342FE" w:rsidRPr="00AC635C">
        <w:rPr>
          <w:kern w:val="22"/>
          <w:sz w:val="22"/>
          <w:szCs w:val="22"/>
          <w:lang w:val="en-GB"/>
        </w:rPr>
        <w:t>;</w:t>
      </w:r>
    </w:p>
    <w:p w14:paraId="04D3ABA8" w14:textId="70DACF71" w:rsidR="00CA7E21" w:rsidRPr="00AC635C" w:rsidRDefault="00CA7E21"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kern w:val="22"/>
          <w:sz w:val="22"/>
          <w:szCs w:val="22"/>
          <w:lang w:val="en-GB"/>
        </w:rPr>
      </w:pPr>
      <w:r w:rsidRPr="00AC635C">
        <w:rPr>
          <w:iCs/>
          <w:kern w:val="22"/>
          <w:sz w:val="22"/>
          <w:szCs w:val="22"/>
          <w:lang w:val="en-GB"/>
        </w:rPr>
        <w:t xml:space="preserve">It is increasingly important to adhere to commonly agreed </w:t>
      </w:r>
      <w:r w:rsidR="0074168A" w:rsidRPr="00AC635C">
        <w:rPr>
          <w:iCs/>
          <w:kern w:val="22"/>
          <w:sz w:val="22"/>
          <w:szCs w:val="22"/>
          <w:lang w:val="en-GB"/>
        </w:rPr>
        <w:t xml:space="preserve">definitions and </w:t>
      </w:r>
      <w:r w:rsidRPr="00AC635C">
        <w:rPr>
          <w:iCs/>
          <w:kern w:val="22"/>
          <w:sz w:val="22"/>
          <w:szCs w:val="22"/>
          <w:lang w:val="en-GB"/>
        </w:rPr>
        <w:t>metadata standards, such as species taxonomies, internationally agreed goals/targets/indicators, environmental institutions and geographical denominations</w:t>
      </w:r>
      <w:r w:rsidR="00E00296" w:rsidRPr="00AC635C">
        <w:rPr>
          <w:iCs/>
          <w:kern w:val="22"/>
          <w:sz w:val="22"/>
          <w:szCs w:val="22"/>
          <w:lang w:val="en-GB"/>
        </w:rPr>
        <w:t>,</w:t>
      </w:r>
      <w:r w:rsidRPr="00AC635C">
        <w:rPr>
          <w:iCs/>
          <w:kern w:val="22"/>
          <w:sz w:val="22"/>
          <w:szCs w:val="22"/>
          <w:lang w:val="en-GB"/>
        </w:rPr>
        <w:t xml:space="preserve"> </w:t>
      </w:r>
      <w:proofErr w:type="gramStart"/>
      <w:r w:rsidRPr="00AC635C">
        <w:rPr>
          <w:iCs/>
          <w:kern w:val="22"/>
          <w:sz w:val="22"/>
          <w:szCs w:val="22"/>
          <w:lang w:val="en-GB"/>
        </w:rPr>
        <w:t>in order to</w:t>
      </w:r>
      <w:proofErr w:type="gramEnd"/>
      <w:r w:rsidRPr="00AC635C">
        <w:rPr>
          <w:iCs/>
          <w:kern w:val="22"/>
          <w:sz w:val="22"/>
          <w:szCs w:val="22"/>
          <w:lang w:val="en-GB"/>
        </w:rPr>
        <w:t xml:space="preserve"> ensure </w:t>
      </w:r>
      <w:r w:rsidR="00066508" w:rsidRPr="00AC635C">
        <w:rPr>
          <w:iCs/>
          <w:kern w:val="22"/>
          <w:sz w:val="22"/>
          <w:szCs w:val="22"/>
          <w:lang w:val="en-GB"/>
        </w:rPr>
        <w:t xml:space="preserve">that </w:t>
      </w:r>
      <w:r w:rsidRPr="00AC635C">
        <w:rPr>
          <w:iCs/>
          <w:kern w:val="22"/>
          <w:sz w:val="22"/>
          <w:szCs w:val="22"/>
          <w:lang w:val="en-GB"/>
        </w:rPr>
        <w:t xml:space="preserve">information collected through different reporting systems can be meaningfully </w:t>
      </w:r>
      <w:r w:rsidR="00220B63" w:rsidRPr="00AC635C">
        <w:rPr>
          <w:iCs/>
          <w:kern w:val="22"/>
          <w:sz w:val="22"/>
          <w:szCs w:val="22"/>
          <w:lang w:val="en-GB"/>
        </w:rPr>
        <w:t>analysed at an aggregated level.</w:t>
      </w:r>
    </w:p>
    <w:p w14:paraId="476CFBE9" w14:textId="77777777" w:rsidR="00E90FF7" w:rsidRPr="00AC635C" w:rsidRDefault="00786946"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iCs/>
          <w:kern w:val="22"/>
          <w:sz w:val="22"/>
          <w:szCs w:val="22"/>
          <w:lang w:val="en-GB"/>
        </w:rPr>
        <w:t xml:space="preserve">In further exploring options and discussing practical ways forward it would be important to consider the experiences already made in developing joint reporting </w:t>
      </w:r>
      <w:r w:rsidR="00E90FF7" w:rsidRPr="00AC635C">
        <w:rPr>
          <w:iCs/>
          <w:kern w:val="22"/>
          <w:sz w:val="22"/>
          <w:szCs w:val="22"/>
          <w:lang w:val="en-GB"/>
        </w:rPr>
        <w:t>templates:</w:t>
      </w:r>
    </w:p>
    <w:p w14:paraId="3B08F61B" w14:textId="2862D7BB" w:rsidR="00786946" w:rsidRPr="00AC635C" w:rsidRDefault="008B77A0"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en-GB"/>
        </w:rPr>
      </w:pPr>
      <w:r w:rsidRPr="00AC635C">
        <w:rPr>
          <w:iCs/>
          <w:kern w:val="22"/>
          <w:sz w:val="22"/>
          <w:szCs w:val="22"/>
          <w:lang w:val="en-GB"/>
        </w:rPr>
        <w:t xml:space="preserve">Between 2010 and 2012, </w:t>
      </w:r>
      <w:r w:rsidR="00786946" w:rsidRPr="00AC635C">
        <w:rPr>
          <w:iCs/>
          <w:kern w:val="22"/>
          <w:sz w:val="22"/>
          <w:szCs w:val="22"/>
          <w:lang w:val="en-GB"/>
        </w:rPr>
        <w:t xml:space="preserve">UNEP-WCMC </w:t>
      </w:r>
      <w:r w:rsidRPr="00AC635C">
        <w:rPr>
          <w:iCs/>
          <w:kern w:val="22"/>
          <w:sz w:val="22"/>
          <w:szCs w:val="22"/>
          <w:lang w:val="en-GB"/>
        </w:rPr>
        <w:t>implemented</w:t>
      </w:r>
      <w:r w:rsidR="00786946" w:rsidRPr="00AC635C">
        <w:rPr>
          <w:iCs/>
          <w:kern w:val="22"/>
          <w:sz w:val="22"/>
          <w:szCs w:val="22"/>
          <w:lang w:val="en-GB"/>
        </w:rPr>
        <w:t xml:space="preserve"> a pilot project in six countries on integrated approaches and processes to facilitate national reporting </w:t>
      </w:r>
      <w:r w:rsidR="006D391E" w:rsidRPr="00AC635C">
        <w:rPr>
          <w:iCs/>
          <w:kern w:val="22"/>
          <w:sz w:val="22"/>
          <w:szCs w:val="22"/>
          <w:lang w:val="en-GB"/>
        </w:rPr>
        <w:t xml:space="preserve">under </w:t>
      </w:r>
      <w:r w:rsidR="00786946" w:rsidRPr="00AC635C">
        <w:rPr>
          <w:iCs/>
          <w:kern w:val="22"/>
          <w:sz w:val="22"/>
          <w:szCs w:val="22"/>
          <w:lang w:val="en-GB"/>
        </w:rPr>
        <w:t xml:space="preserve">the Rio </w:t>
      </w:r>
      <w:r w:rsidR="00BC5524" w:rsidRPr="00AC635C">
        <w:rPr>
          <w:iCs/>
          <w:kern w:val="22"/>
          <w:sz w:val="22"/>
          <w:szCs w:val="22"/>
          <w:lang w:val="en-GB"/>
        </w:rPr>
        <w:t>c</w:t>
      </w:r>
      <w:r w:rsidR="00786946" w:rsidRPr="00AC635C">
        <w:rPr>
          <w:iCs/>
          <w:kern w:val="22"/>
          <w:sz w:val="22"/>
          <w:szCs w:val="22"/>
          <w:lang w:val="en-GB"/>
        </w:rPr>
        <w:t>onventions. The project produced situational analyses</w:t>
      </w:r>
      <w:r w:rsidR="00010E58" w:rsidRPr="00AC635C">
        <w:rPr>
          <w:iCs/>
          <w:kern w:val="22"/>
          <w:sz w:val="22"/>
          <w:szCs w:val="22"/>
          <w:lang w:val="en-GB"/>
        </w:rPr>
        <w:t>,</w:t>
      </w:r>
      <w:r w:rsidR="00786946" w:rsidRPr="00AC635C">
        <w:rPr>
          <w:iCs/>
          <w:kern w:val="22"/>
          <w:sz w:val="22"/>
          <w:szCs w:val="22"/>
          <w:lang w:val="en-GB"/>
        </w:rPr>
        <w:t xml:space="preserve"> including the global analysis that explored the feasibility of joint reporting and national manuals that provided guides for future reporting, based on reviews of the experiences and lessons learned. The project also produced the joint reporting templates that were </w:t>
      </w:r>
      <w:r w:rsidR="008A03AD" w:rsidRPr="00AC635C">
        <w:rPr>
          <w:iCs/>
          <w:kern w:val="22"/>
          <w:sz w:val="22"/>
          <w:szCs w:val="22"/>
          <w:lang w:val="en-GB"/>
        </w:rPr>
        <w:t>piloted</w:t>
      </w:r>
      <w:r w:rsidR="00786946" w:rsidRPr="00AC635C">
        <w:rPr>
          <w:iCs/>
          <w:kern w:val="22"/>
          <w:sz w:val="22"/>
          <w:szCs w:val="22"/>
          <w:lang w:val="en-GB"/>
        </w:rPr>
        <w:t xml:space="preserve"> in six countries</w:t>
      </w:r>
      <w:r w:rsidR="00E90FF7" w:rsidRPr="00AC635C">
        <w:rPr>
          <w:iCs/>
          <w:kern w:val="22"/>
          <w:sz w:val="22"/>
          <w:szCs w:val="22"/>
          <w:lang w:val="en-GB"/>
        </w:rPr>
        <w:t>. The outcomes were reviewed by the Joint Liaison Group;</w:t>
      </w:r>
    </w:p>
    <w:p w14:paraId="61D64931" w14:textId="6019182A" w:rsidR="00D0605E" w:rsidRPr="00AC635C" w:rsidRDefault="00D0605E"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en-GB"/>
        </w:rPr>
      </w:pPr>
      <w:r w:rsidRPr="00AC635C">
        <w:rPr>
          <w:iCs/>
          <w:kern w:val="22"/>
          <w:sz w:val="22"/>
          <w:szCs w:val="22"/>
          <w:lang w:val="en-GB"/>
        </w:rPr>
        <w:t xml:space="preserve">Between 2007 and 2010, as requested by the </w:t>
      </w:r>
      <w:hyperlink r:id="rId56" w:history="1">
        <w:r w:rsidR="00B91D46" w:rsidRPr="00AC635C">
          <w:rPr>
            <w:rStyle w:val="Hyperlink"/>
            <w:iCs/>
            <w:kern w:val="22"/>
            <w:sz w:val="22"/>
            <w:szCs w:val="22"/>
            <w:lang w:val="en-GB"/>
          </w:rPr>
          <w:t>Secretariat of the Pacific Regional Environment Programme</w:t>
        </w:r>
      </w:hyperlink>
      <w:r w:rsidRPr="00AC635C">
        <w:rPr>
          <w:iCs/>
          <w:kern w:val="22"/>
          <w:sz w:val="22"/>
          <w:szCs w:val="22"/>
          <w:lang w:val="en-GB"/>
        </w:rPr>
        <w:t xml:space="preserve"> (SPREP), Australia supported a project, spearheaded by </w:t>
      </w:r>
      <w:r w:rsidR="00B91D46" w:rsidRPr="00AC635C">
        <w:rPr>
          <w:iCs/>
          <w:kern w:val="22"/>
          <w:sz w:val="22"/>
          <w:szCs w:val="22"/>
          <w:lang w:val="en-GB"/>
        </w:rPr>
        <w:t>SPREP</w:t>
      </w:r>
      <w:r w:rsidRPr="00AC635C">
        <w:rPr>
          <w:iCs/>
          <w:kern w:val="22"/>
          <w:sz w:val="22"/>
          <w:szCs w:val="22"/>
          <w:lang w:val="en-GB"/>
        </w:rPr>
        <w:t xml:space="preserve">, to streamline reporting by Pacific </w:t>
      </w:r>
      <w:r w:rsidR="00B91D46" w:rsidRPr="00AC635C">
        <w:rPr>
          <w:iCs/>
          <w:kern w:val="22"/>
          <w:sz w:val="22"/>
          <w:szCs w:val="22"/>
          <w:lang w:val="en-GB"/>
        </w:rPr>
        <w:t>i</w:t>
      </w:r>
      <w:r w:rsidRPr="00AC635C">
        <w:rPr>
          <w:iCs/>
          <w:kern w:val="22"/>
          <w:sz w:val="22"/>
          <w:szCs w:val="22"/>
          <w:lang w:val="en-GB"/>
        </w:rPr>
        <w:t xml:space="preserve">sland </w:t>
      </w:r>
      <w:r w:rsidR="00B91D46" w:rsidRPr="00AC635C">
        <w:rPr>
          <w:iCs/>
          <w:kern w:val="22"/>
          <w:sz w:val="22"/>
          <w:szCs w:val="22"/>
          <w:lang w:val="en-GB"/>
        </w:rPr>
        <w:t>c</w:t>
      </w:r>
      <w:r w:rsidRPr="00AC635C">
        <w:rPr>
          <w:iCs/>
          <w:kern w:val="22"/>
          <w:sz w:val="22"/>
          <w:szCs w:val="22"/>
          <w:lang w:val="en-GB"/>
        </w:rPr>
        <w:t xml:space="preserve">ountries </w:t>
      </w:r>
      <w:r w:rsidR="00B91D46" w:rsidRPr="00AC635C">
        <w:rPr>
          <w:iCs/>
          <w:kern w:val="22"/>
          <w:sz w:val="22"/>
          <w:szCs w:val="22"/>
          <w:lang w:val="en-GB"/>
        </w:rPr>
        <w:t xml:space="preserve">under </w:t>
      </w:r>
      <w:r w:rsidRPr="00AC635C">
        <w:rPr>
          <w:iCs/>
          <w:kern w:val="22"/>
          <w:sz w:val="22"/>
          <w:szCs w:val="22"/>
          <w:lang w:val="en-GB"/>
        </w:rPr>
        <w:t xml:space="preserve">the biodiversity-related multilateral environmental agreements, including CBD, CITES, CMS, </w:t>
      </w:r>
      <w:proofErr w:type="spellStart"/>
      <w:r w:rsidRPr="00AC635C">
        <w:rPr>
          <w:iCs/>
          <w:kern w:val="22"/>
          <w:sz w:val="22"/>
          <w:szCs w:val="22"/>
          <w:lang w:val="en-GB"/>
        </w:rPr>
        <w:t>Ramsar</w:t>
      </w:r>
      <w:proofErr w:type="spellEnd"/>
      <w:r w:rsidRPr="00AC635C">
        <w:rPr>
          <w:iCs/>
          <w:kern w:val="22"/>
          <w:sz w:val="22"/>
          <w:szCs w:val="22"/>
          <w:lang w:val="en-GB"/>
        </w:rPr>
        <w:t xml:space="preserve"> and </w:t>
      </w:r>
      <w:r w:rsidR="00634AA6" w:rsidRPr="00AC635C">
        <w:rPr>
          <w:iCs/>
          <w:kern w:val="22"/>
          <w:sz w:val="22"/>
          <w:szCs w:val="22"/>
          <w:lang w:val="en-GB"/>
        </w:rPr>
        <w:t>the World Heritage Convention</w:t>
      </w:r>
      <w:r w:rsidRPr="00AC635C">
        <w:rPr>
          <w:iCs/>
          <w:kern w:val="22"/>
          <w:sz w:val="22"/>
          <w:szCs w:val="22"/>
          <w:lang w:val="en-GB"/>
        </w:rPr>
        <w:t xml:space="preserve">. The project was designed to reduce </w:t>
      </w:r>
      <w:r w:rsidR="007130A3" w:rsidRPr="00AC635C">
        <w:rPr>
          <w:iCs/>
          <w:kern w:val="22"/>
          <w:sz w:val="22"/>
          <w:szCs w:val="22"/>
          <w:lang w:val="en-GB"/>
        </w:rPr>
        <w:t xml:space="preserve">the </w:t>
      </w:r>
      <w:r w:rsidRPr="00AC635C">
        <w:rPr>
          <w:iCs/>
          <w:kern w:val="22"/>
          <w:sz w:val="22"/>
          <w:szCs w:val="22"/>
          <w:lang w:val="en-GB"/>
        </w:rPr>
        <w:t xml:space="preserve">time and resources spent on preparing national reports </w:t>
      </w:r>
      <w:r w:rsidR="007130A3" w:rsidRPr="00AC635C">
        <w:rPr>
          <w:iCs/>
          <w:kern w:val="22"/>
          <w:sz w:val="22"/>
          <w:szCs w:val="22"/>
          <w:lang w:val="en-GB"/>
        </w:rPr>
        <w:t xml:space="preserve">under </w:t>
      </w:r>
      <w:r w:rsidRPr="00AC635C">
        <w:rPr>
          <w:iCs/>
          <w:kern w:val="22"/>
          <w:sz w:val="22"/>
          <w:szCs w:val="22"/>
          <w:lang w:val="en-GB"/>
        </w:rPr>
        <w:t>each of these Conventions by using a consolidated reporting template covering the essential reporting requirements under these Conventions. A template was developed and trialled in eight countries</w:t>
      </w:r>
      <w:r w:rsidR="005156FC" w:rsidRPr="00AC635C">
        <w:rPr>
          <w:iCs/>
          <w:kern w:val="22"/>
          <w:sz w:val="22"/>
          <w:szCs w:val="22"/>
          <w:lang w:val="en-GB"/>
        </w:rPr>
        <w:t>,</w:t>
      </w:r>
      <w:r w:rsidRPr="00AC635C">
        <w:rPr>
          <w:iCs/>
          <w:kern w:val="22"/>
          <w:sz w:val="22"/>
          <w:szCs w:val="22"/>
          <w:lang w:val="en-GB"/>
        </w:rPr>
        <w:t xml:space="preserve"> </w:t>
      </w:r>
      <w:r w:rsidR="005156FC" w:rsidRPr="00AC635C">
        <w:rPr>
          <w:iCs/>
          <w:kern w:val="22"/>
          <w:sz w:val="22"/>
          <w:szCs w:val="22"/>
          <w:lang w:val="en-GB"/>
        </w:rPr>
        <w:t xml:space="preserve">which </w:t>
      </w:r>
      <w:r w:rsidRPr="00AC635C">
        <w:rPr>
          <w:iCs/>
          <w:kern w:val="22"/>
          <w:sz w:val="22"/>
          <w:szCs w:val="22"/>
          <w:lang w:val="en-GB"/>
        </w:rPr>
        <w:t xml:space="preserve">noted the benefits of using a consolidated reporting template in terms of the reduced amount of time, resources, staff and funding </w:t>
      </w:r>
      <w:r w:rsidRPr="00AC635C">
        <w:rPr>
          <w:iCs/>
          <w:kern w:val="22"/>
          <w:sz w:val="22"/>
          <w:szCs w:val="22"/>
          <w:lang w:val="en-GB"/>
        </w:rPr>
        <w:lastRenderedPageBreak/>
        <w:t>required to prepare national reports.</w:t>
      </w:r>
      <w:r w:rsidRPr="00AC635C">
        <w:rPr>
          <w:kern w:val="22"/>
          <w:sz w:val="22"/>
          <w:szCs w:val="22"/>
          <w:vertAlign w:val="superscript"/>
          <w:lang w:val="en-GB"/>
        </w:rPr>
        <w:footnoteReference w:id="16"/>
      </w:r>
      <w:r w:rsidRPr="00AC635C">
        <w:rPr>
          <w:iCs/>
          <w:kern w:val="22"/>
          <w:sz w:val="22"/>
          <w:szCs w:val="22"/>
          <w:lang w:val="en-GB"/>
        </w:rPr>
        <w:t xml:space="preserve"> The Conference of the Parties </w:t>
      </w:r>
      <w:r w:rsidR="00AC2A83" w:rsidRPr="00AC635C">
        <w:rPr>
          <w:iCs/>
          <w:kern w:val="22"/>
          <w:sz w:val="22"/>
          <w:szCs w:val="22"/>
          <w:lang w:val="en-GB"/>
        </w:rPr>
        <w:t>to</w:t>
      </w:r>
      <w:r w:rsidRPr="00AC635C">
        <w:rPr>
          <w:iCs/>
          <w:kern w:val="22"/>
          <w:sz w:val="22"/>
          <w:szCs w:val="22"/>
          <w:lang w:val="en-GB"/>
        </w:rPr>
        <w:t xml:space="preserve"> the </w:t>
      </w:r>
      <w:r w:rsidR="008342FE" w:rsidRPr="00AC635C">
        <w:rPr>
          <w:iCs/>
          <w:kern w:val="22"/>
          <w:sz w:val="22"/>
          <w:szCs w:val="22"/>
          <w:lang w:val="en-GB"/>
        </w:rPr>
        <w:t>Convention on Biological Diversity</w:t>
      </w:r>
      <w:r w:rsidRPr="00AC635C">
        <w:rPr>
          <w:iCs/>
          <w:kern w:val="22"/>
          <w:sz w:val="22"/>
          <w:szCs w:val="22"/>
          <w:lang w:val="en-GB"/>
        </w:rPr>
        <w:t xml:space="preserve">, in decision </w:t>
      </w:r>
      <w:hyperlink r:id="rId57" w:history="1">
        <w:r w:rsidRPr="00AC635C">
          <w:rPr>
            <w:rStyle w:val="Hyperlink"/>
            <w:iCs/>
            <w:kern w:val="22"/>
            <w:sz w:val="22"/>
            <w:szCs w:val="22"/>
            <w:lang w:val="en-GB"/>
          </w:rPr>
          <w:t>X/10</w:t>
        </w:r>
      </w:hyperlink>
      <w:r w:rsidRPr="00AC635C">
        <w:rPr>
          <w:iCs/>
          <w:kern w:val="22"/>
          <w:sz w:val="22"/>
          <w:szCs w:val="22"/>
          <w:lang w:val="en-GB"/>
        </w:rPr>
        <w:t>, paragraph 13, welcomed this project;</w:t>
      </w:r>
    </w:p>
    <w:p w14:paraId="74C2BF67" w14:textId="1C50633E" w:rsidR="00D0605E" w:rsidRPr="00AC635C" w:rsidRDefault="00D0605E" w:rsidP="005C6B31">
      <w:pPr>
        <w:pStyle w:val="Para1"/>
        <w:numPr>
          <w:ilvl w:val="1"/>
          <w:numId w:val="14"/>
        </w:numPr>
        <w:suppressLineNumbers/>
        <w:suppressAutoHyphens/>
        <w:kinsoku w:val="0"/>
        <w:overflowPunct w:val="0"/>
        <w:autoSpaceDE w:val="0"/>
        <w:autoSpaceDN w:val="0"/>
        <w:adjustRightInd w:val="0"/>
        <w:snapToGrid w:val="0"/>
        <w:ind w:left="0" w:firstLine="720"/>
        <w:jc w:val="both"/>
        <w:rPr>
          <w:iCs/>
          <w:kern w:val="22"/>
          <w:sz w:val="22"/>
          <w:szCs w:val="22"/>
          <w:lang w:val="en-GB"/>
        </w:rPr>
      </w:pPr>
      <w:r w:rsidRPr="00AC635C">
        <w:rPr>
          <w:iCs/>
          <w:kern w:val="22"/>
          <w:sz w:val="22"/>
          <w:szCs w:val="22"/>
          <w:lang w:val="en-GB"/>
        </w:rPr>
        <w:t xml:space="preserve">During </w:t>
      </w:r>
      <w:r w:rsidR="008342FE" w:rsidRPr="00AC635C">
        <w:rPr>
          <w:iCs/>
          <w:kern w:val="22"/>
          <w:sz w:val="22"/>
          <w:szCs w:val="22"/>
          <w:lang w:val="en-GB"/>
        </w:rPr>
        <w:t xml:space="preserve">the period </w:t>
      </w:r>
      <w:r w:rsidRPr="00AC635C">
        <w:rPr>
          <w:iCs/>
          <w:kern w:val="22"/>
          <w:sz w:val="22"/>
          <w:szCs w:val="22"/>
          <w:lang w:val="en-GB"/>
        </w:rPr>
        <w:t xml:space="preserve">2011-2013, as part of </w:t>
      </w:r>
      <w:r w:rsidR="007C0D97" w:rsidRPr="00AC635C">
        <w:rPr>
          <w:iCs/>
          <w:kern w:val="22"/>
          <w:sz w:val="22"/>
          <w:szCs w:val="22"/>
          <w:lang w:val="en-GB"/>
        </w:rPr>
        <w:t xml:space="preserve">a </w:t>
      </w:r>
      <w:r w:rsidRPr="00AC635C">
        <w:rPr>
          <w:iCs/>
          <w:kern w:val="22"/>
          <w:sz w:val="22"/>
          <w:szCs w:val="22"/>
          <w:lang w:val="en-GB"/>
        </w:rPr>
        <w:t>capacity</w:t>
      </w:r>
      <w:r w:rsidR="00EC110A" w:rsidRPr="00AC635C">
        <w:rPr>
          <w:iCs/>
          <w:kern w:val="22"/>
          <w:sz w:val="22"/>
          <w:szCs w:val="22"/>
          <w:lang w:val="en-GB"/>
        </w:rPr>
        <w:t>-</w:t>
      </w:r>
      <w:r w:rsidRPr="00AC635C">
        <w:rPr>
          <w:iCs/>
          <w:kern w:val="22"/>
          <w:sz w:val="22"/>
          <w:szCs w:val="22"/>
          <w:lang w:val="en-GB"/>
        </w:rPr>
        <w:t>building project</w:t>
      </w:r>
      <w:r w:rsidR="007C0D97" w:rsidRPr="00AC635C">
        <w:rPr>
          <w:sz w:val="22"/>
          <w:szCs w:val="22"/>
          <w:shd w:val="clear" w:color="auto" w:fill="FFFFFF"/>
        </w:rPr>
        <w:t xml:space="preserve"> related to multilateral environment a</w:t>
      </w:r>
      <w:r w:rsidR="000A6AE2" w:rsidRPr="00AC635C">
        <w:rPr>
          <w:sz w:val="22"/>
          <w:szCs w:val="22"/>
          <w:shd w:val="clear" w:color="auto" w:fill="FFFFFF"/>
        </w:rPr>
        <w:t>greements in African, Caribbean</w:t>
      </w:r>
      <w:r w:rsidR="007C0D97" w:rsidRPr="00AC635C">
        <w:rPr>
          <w:sz w:val="22"/>
          <w:szCs w:val="22"/>
          <w:shd w:val="clear" w:color="auto" w:fill="FFFFFF"/>
        </w:rPr>
        <w:t xml:space="preserve"> and Pacific countries and</w:t>
      </w:r>
      <w:r w:rsidRPr="00AC635C">
        <w:rPr>
          <w:iCs/>
          <w:kern w:val="22"/>
          <w:sz w:val="22"/>
          <w:szCs w:val="22"/>
          <w:lang w:val="en-GB"/>
        </w:rPr>
        <w:t xml:space="preserve"> supported by the European Union, the </w:t>
      </w:r>
      <w:r w:rsidR="00F705A0" w:rsidRPr="00AC635C">
        <w:rPr>
          <w:iCs/>
          <w:kern w:val="22"/>
          <w:sz w:val="22"/>
          <w:szCs w:val="22"/>
          <w:lang w:val="en-GB"/>
        </w:rPr>
        <w:t xml:space="preserve">Secretariat of the </w:t>
      </w:r>
      <w:hyperlink r:id="rId58" w:history="1">
        <w:r w:rsidRPr="00AC635C">
          <w:rPr>
            <w:rStyle w:val="Hyperlink"/>
            <w:kern w:val="22"/>
            <w:sz w:val="22"/>
            <w:szCs w:val="22"/>
            <w:lang w:val="en-GB"/>
          </w:rPr>
          <w:t>Caribbean Community</w:t>
        </w:r>
      </w:hyperlink>
      <w:r w:rsidRPr="00AC635C">
        <w:rPr>
          <w:iCs/>
          <w:kern w:val="22"/>
          <w:sz w:val="22"/>
          <w:szCs w:val="22"/>
          <w:lang w:val="en-GB"/>
        </w:rPr>
        <w:t xml:space="preserve"> developed a harmonized reporting template covering the biodiversity-related </w:t>
      </w:r>
      <w:r w:rsidR="000A6AE2" w:rsidRPr="00AC635C">
        <w:rPr>
          <w:sz w:val="22"/>
          <w:szCs w:val="22"/>
          <w:shd w:val="clear" w:color="auto" w:fill="FFFFFF"/>
        </w:rPr>
        <w:t>multilateral environment agreements,</w:t>
      </w:r>
      <w:r w:rsidRPr="00AC635C">
        <w:rPr>
          <w:iCs/>
          <w:kern w:val="22"/>
          <w:sz w:val="22"/>
          <w:szCs w:val="22"/>
          <w:lang w:val="en-GB"/>
        </w:rPr>
        <w:t xml:space="preserve"> including </w:t>
      </w:r>
      <w:r w:rsidR="00EC110A" w:rsidRPr="00AC635C">
        <w:rPr>
          <w:iCs/>
          <w:kern w:val="22"/>
          <w:sz w:val="22"/>
          <w:szCs w:val="22"/>
          <w:lang w:val="en-GB"/>
        </w:rPr>
        <w:t>the Convention on Biological Diversity</w:t>
      </w:r>
      <w:r w:rsidRPr="00AC635C">
        <w:rPr>
          <w:iCs/>
          <w:kern w:val="22"/>
          <w:sz w:val="22"/>
          <w:szCs w:val="22"/>
          <w:lang w:val="en-GB"/>
        </w:rPr>
        <w:t xml:space="preserve">, </w:t>
      </w:r>
      <w:r w:rsidR="00EC110A" w:rsidRPr="00AC635C">
        <w:rPr>
          <w:iCs/>
          <w:kern w:val="22"/>
          <w:sz w:val="22"/>
          <w:szCs w:val="22"/>
          <w:lang w:val="en-GB"/>
        </w:rPr>
        <w:t xml:space="preserve">the </w:t>
      </w:r>
      <w:proofErr w:type="spellStart"/>
      <w:r w:rsidRPr="00AC635C">
        <w:rPr>
          <w:iCs/>
          <w:kern w:val="22"/>
          <w:sz w:val="22"/>
          <w:szCs w:val="22"/>
          <w:lang w:val="en-GB"/>
        </w:rPr>
        <w:t>Ramsar</w:t>
      </w:r>
      <w:proofErr w:type="spellEnd"/>
      <w:r w:rsidRPr="00AC635C">
        <w:rPr>
          <w:iCs/>
          <w:kern w:val="22"/>
          <w:sz w:val="22"/>
          <w:szCs w:val="22"/>
          <w:lang w:val="en-GB"/>
        </w:rPr>
        <w:t xml:space="preserve"> Convention, CITES and the Protocol concerning special protected areas and wildlife of the </w:t>
      </w:r>
      <w:hyperlink r:id="rId59" w:history="1">
        <w:r w:rsidRPr="00AC635C">
          <w:rPr>
            <w:rStyle w:val="Hyperlink"/>
            <w:kern w:val="22"/>
            <w:sz w:val="22"/>
            <w:szCs w:val="22"/>
            <w:lang w:val="en-GB"/>
          </w:rPr>
          <w:t>Cartagena Convention (SPAW Protocol)</w:t>
        </w:r>
      </w:hyperlink>
      <w:r w:rsidRPr="00AC635C">
        <w:rPr>
          <w:iCs/>
          <w:kern w:val="22"/>
          <w:sz w:val="22"/>
          <w:szCs w:val="22"/>
          <w:lang w:val="en-GB"/>
        </w:rPr>
        <w:t xml:space="preserve">. The template was developed in partnership with </w:t>
      </w:r>
      <w:r w:rsidR="00643262" w:rsidRPr="00AC635C">
        <w:rPr>
          <w:iCs/>
          <w:kern w:val="22"/>
          <w:sz w:val="22"/>
          <w:szCs w:val="22"/>
          <w:lang w:val="en-GB"/>
        </w:rPr>
        <w:t xml:space="preserve">the United Nations Environment Programme </w:t>
      </w:r>
      <w:r w:rsidRPr="00AC635C">
        <w:rPr>
          <w:iCs/>
          <w:kern w:val="22"/>
          <w:sz w:val="22"/>
          <w:szCs w:val="22"/>
          <w:lang w:val="en-GB"/>
        </w:rPr>
        <w:t xml:space="preserve">and in consultation with CARICOM member </w:t>
      </w:r>
      <w:r w:rsidR="00643262" w:rsidRPr="00AC635C">
        <w:rPr>
          <w:iCs/>
          <w:kern w:val="22"/>
          <w:sz w:val="22"/>
          <w:szCs w:val="22"/>
          <w:lang w:val="en-GB"/>
        </w:rPr>
        <w:t>S</w:t>
      </w:r>
      <w:r w:rsidRPr="00AC635C">
        <w:rPr>
          <w:iCs/>
          <w:kern w:val="22"/>
          <w:sz w:val="22"/>
          <w:szCs w:val="22"/>
          <w:lang w:val="en-GB"/>
        </w:rPr>
        <w:t xml:space="preserve">tates, Cuba and the Dominican Republic as well as the related </w:t>
      </w:r>
      <w:r w:rsidR="00643262" w:rsidRPr="00AC635C">
        <w:rPr>
          <w:iCs/>
          <w:kern w:val="22"/>
          <w:sz w:val="22"/>
          <w:szCs w:val="22"/>
          <w:lang w:val="en-GB"/>
        </w:rPr>
        <w:t>c</w:t>
      </w:r>
      <w:r w:rsidRPr="00AC635C">
        <w:rPr>
          <w:iCs/>
          <w:kern w:val="22"/>
          <w:sz w:val="22"/>
          <w:szCs w:val="22"/>
          <w:lang w:val="en-GB"/>
        </w:rPr>
        <w:t xml:space="preserve">onvention </w:t>
      </w:r>
      <w:r w:rsidR="00643262" w:rsidRPr="00AC635C">
        <w:rPr>
          <w:iCs/>
          <w:kern w:val="22"/>
          <w:sz w:val="22"/>
          <w:szCs w:val="22"/>
          <w:lang w:val="en-GB"/>
        </w:rPr>
        <w:t>s</w:t>
      </w:r>
      <w:r w:rsidRPr="00AC635C">
        <w:rPr>
          <w:iCs/>
          <w:kern w:val="22"/>
          <w:sz w:val="22"/>
          <w:szCs w:val="22"/>
          <w:lang w:val="en-GB"/>
        </w:rPr>
        <w:t xml:space="preserve">ecretariats. It was designed to allow countries to pool together different sources of information in </w:t>
      </w:r>
      <w:r w:rsidR="00360DB7" w:rsidRPr="00AC635C">
        <w:rPr>
          <w:iCs/>
          <w:kern w:val="22"/>
          <w:sz w:val="22"/>
          <w:szCs w:val="22"/>
          <w:lang w:val="en-GB"/>
        </w:rPr>
        <w:t xml:space="preserve">a </w:t>
      </w:r>
      <w:r w:rsidRPr="00AC635C">
        <w:rPr>
          <w:iCs/>
          <w:kern w:val="22"/>
          <w:sz w:val="22"/>
          <w:szCs w:val="22"/>
          <w:lang w:val="en-GB"/>
        </w:rPr>
        <w:t xml:space="preserve">single template, thus reducing </w:t>
      </w:r>
      <w:r w:rsidR="00360DB7" w:rsidRPr="00AC635C">
        <w:rPr>
          <w:iCs/>
          <w:kern w:val="22"/>
          <w:sz w:val="22"/>
          <w:szCs w:val="22"/>
          <w:lang w:val="en-GB"/>
        </w:rPr>
        <w:t xml:space="preserve">the duplication of </w:t>
      </w:r>
      <w:r w:rsidRPr="00AC635C">
        <w:rPr>
          <w:iCs/>
          <w:kern w:val="22"/>
          <w:sz w:val="22"/>
          <w:szCs w:val="22"/>
          <w:lang w:val="en-GB"/>
        </w:rPr>
        <w:t xml:space="preserve">efforts to collect data from different sources for preparing national reports </w:t>
      </w:r>
      <w:r w:rsidR="00360DB7" w:rsidRPr="00AC635C">
        <w:rPr>
          <w:iCs/>
          <w:kern w:val="22"/>
          <w:sz w:val="22"/>
          <w:szCs w:val="22"/>
          <w:lang w:val="en-GB"/>
        </w:rPr>
        <w:t xml:space="preserve">under </w:t>
      </w:r>
      <w:r w:rsidRPr="00AC635C">
        <w:rPr>
          <w:iCs/>
          <w:kern w:val="22"/>
          <w:sz w:val="22"/>
          <w:szCs w:val="22"/>
          <w:lang w:val="en-GB"/>
        </w:rPr>
        <w:t>each of the Conventions.</w:t>
      </w:r>
    </w:p>
    <w:p w14:paraId="6E35D41E" w14:textId="1F9C79D2" w:rsidR="00D41DF3" w:rsidRPr="00AC635C" w:rsidRDefault="00E6184D"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en-GB"/>
        </w:rPr>
      </w:pPr>
      <w:r w:rsidRPr="00AC635C">
        <w:rPr>
          <w:snapToGrid w:val="0"/>
          <w:kern w:val="22"/>
          <w:szCs w:val="22"/>
          <w:lang w:val="en-GB"/>
        </w:rPr>
        <w:t>FUNDING IMPLICATIONS OF ALIGNMENT AND SYNERGIES IN REPORTING</w:t>
      </w:r>
    </w:p>
    <w:p w14:paraId="22176CED" w14:textId="6E35B933" w:rsidR="002C59E8" w:rsidRPr="00AC635C" w:rsidRDefault="00E6184D"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 xml:space="preserve">Financial and technical support </w:t>
      </w:r>
      <w:r w:rsidR="00677751" w:rsidRPr="00AC635C">
        <w:rPr>
          <w:kern w:val="22"/>
          <w:sz w:val="22"/>
          <w:szCs w:val="22"/>
          <w:lang w:val="en-GB"/>
        </w:rPr>
        <w:t xml:space="preserve">for </w:t>
      </w:r>
      <w:r w:rsidRPr="00AC635C">
        <w:rPr>
          <w:kern w:val="22"/>
          <w:sz w:val="22"/>
          <w:szCs w:val="22"/>
          <w:lang w:val="en-GB"/>
        </w:rPr>
        <w:t xml:space="preserve">the preparation of national reports has been provided by the Secretariat technically and by the </w:t>
      </w:r>
      <w:hyperlink r:id="rId60" w:history="1">
        <w:r w:rsidRPr="00AC635C">
          <w:rPr>
            <w:rStyle w:val="Hyperlink"/>
            <w:kern w:val="22"/>
            <w:sz w:val="22"/>
            <w:szCs w:val="22"/>
            <w:lang w:val="en-GB"/>
          </w:rPr>
          <w:t>Global Environment Facility</w:t>
        </w:r>
      </w:hyperlink>
      <w:r w:rsidRPr="00AC635C">
        <w:rPr>
          <w:kern w:val="22"/>
          <w:sz w:val="22"/>
          <w:szCs w:val="22"/>
          <w:lang w:val="en-GB"/>
        </w:rPr>
        <w:t xml:space="preserve"> financially, mostly through projects implemented by the United Nations Environment Programme and the </w:t>
      </w:r>
      <w:hyperlink r:id="rId61" w:history="1">
        <w:r w:rsidRPr="00AC635C">
          <w:rPr>
            <w:rStyle w:val="Hyperlink"/>
            <w:kern w:val="22"/>
            <w:sz w:val="22"/>
            <w:szCs w:val="22"/>
            <w:lang w:val="en-GB"/>
          </w:rPr>
          <w:t>United Nations Development Programme</w:t>
        </w:r>
      </w:hyperlink>
      <w:r w:rsidRPr="00AC635C">
        <w:rPr>
          <w:kern w:val="22"/>
          <w:sz w:val="22"/>
          <w:szCs w:val="22"/>
          <w:lang w:val="en-GB"/>
        </w:rPr>
        <w:t>.  Depending on the funding needs, GEF-supported projects on national reporting have been larger under the Convention than under its Protocols. GEF enabling activities on national reporting have been</w:t>
      </w:r>
      <w:r w:rsidR="0018650D" w:rsidRPr="00AC635C">
        <w:rPr>
          <w:kern w:val="22"/>
          <w:sz w:val="22"/>
          <w:szCs w:val="22"/>
          <w:lang w:val="en-GB"/>
        </w:rPr>
        <w:t>,</w:t>
      </w:r>
      <w:r w:rsidRPr="00AC635C">
        <w:rPr>
          <w:kern w:val="22"/>
          <w:sz w:val="22"/>
          <w:szCs w:val="22"/>
          <w:lang w:val="en-GB"/>
        </w:rPr>
        <w:t xml:space="preserve"> on average</w:t>
      </w:r>
      <w:r w:rsidR="0018650D" w:rsidRPr="00AC635C">
        <w:rPr>
          <w:kern w:val="22"/>
          <w:sz w:val="22"/>
          <w:szCs w:val="22"/>
          <w:lang w:val="en-GB"/>
        </w:rPr>
        <w:t>,</w:t>
      </w:r>
      <w:r w:rsidRPr="00AC635C">
        <w:rPr>
          <w:kern w:val="22"/>
          <w:sz w:val="22"/>
          <w:szCs w:val="22"/>
          <w:lang w:val="en-GB"/>
        </w:rPr>
        <w:t xml:space="preserve"> smaller in size under CBD than under UNFCCC. The proposals on synchronized reporting under the Convention and its Protocols and a common reporting framework for the Rio </w:t>
      </w:r>
      <w:r w:rsidR="00AF0562" w:rsidRPr="00AC635C">
        <w:rPr>
          <w:kern w:val="22"/>
          <w:sz w:val="22"/>
          <w:szCs w:val="22"/>
          <w:lang w:val="en-GB"/>
        </w:rPr>
        <w:t>c</w:t>
      </w:r>
      <w:r w:rsidRPr="00AC635C">
        <w:rPr>
          <w:kern w:val="22"/>
          <w:sz w:val="22"/>
          <w:szCs w:val="22"/>
          <w:lang w:val="en-GB"/>
        </w:rPr>
        <w:t xml:space="preserve">onventions will have implications regarding the needed size of financial and technical support, and the ways </w:t>
      </w:r>
      <w:r w:rsidR="00AF0562" w:rsidRPr="00AC635C">
        <w:rPr>
          <w:kern w:val="22"/>
          <w:sz w:val="22"/>
          <w:szCs w:val="22"/>
          <w:lang w:val="en-GB"/>
        </w:rPr>
        <w:t>in which</w:t>
      </w:r>
      <w:r w:rsidRPr="00AC635C">
        <w:rPr>
          <w:kern w:val="22"/>
          <w:sz w:val="22"/>
          <w:szCs w:val="22"/>
          <w:lang w:val="en-GB"/>
        </w:rPr>
        <w:t xml:space="preserve"> such financial and technical support is delivered. For instance, while the use of common resources, tools and infrastructure can, in principle, reduce the resource requirements for the preparation of national reports, common reporting deadlines</w:t>
      </w:r>
      <w:r w:rsidR="00F11A14" w:rsidRPr="00AC635C">
        <w:rPr>
          <w:kern w:val="22"/>
          <w:sz w:val="22"/>
          <w:szCs w:val="22"/>
          <w:lang w:val="en-GB"/>
        </w:rPr>
        <w:t>,</w:t>
      </w:r>
      <w:r w:rsidRPr="00AC635C">
        <w:rPr>
          <w:kern w:val="22"/>
          <w:sz w:val="22"/>
          <w:szCs w:val="22"/>
          <w:lang w:val="en-GB"/>
        </w:rPr>
        <w:t xml:space="preserve"> on the other hand</w:t>
      </w:r>
      <w:r w:rsidR="00F11A14" w:rsidRPr="00AC635C">
        <w:rPr>
          <w:kern w:val="22"/>
          <w:sz w:val="22"/>
          <w:szCs w:val="22"/>
          <w:lang w:val="en-GB"/>
        </w:rPr>
        <w:t>,</w:t>
      </w:r>
      <w:r w:rsidRPr="00AC635C">
        <w:rPr>
          <w:kern w:val="22"/>
          <w:sz w:val="22"/>
          <w:szCs w:val="22"/>
          <w:lang w:val="en-GB"/>
        </w:rPr>
        <w:t xml:space="preserve"> imply a greater investment during the reporting period rather than the staggered use of resources </w:t>
      </w:r>
      <w:r w:rsidR="00F11A14" w:rsidRPr="00AC635C">
        <w:rPr>
          <w:kern w:val="22"/>
          <w:sz w:val="22"/>
          <w:szCs w:val="22"/>
          <w:lang w:val="en-GB"/>
        </w:rPr>
        <w:t xml:space="preserve">for </w:t>
      </w:r>
      <w:r w:rsidRPr="00AC635C">
        <w:rPr>
          <w:kern w:val="22"/>
          <w:sz w:val="22"/>
          <w:szCs w:val="22"/>
          <w:lang w:val="en-GB"/>
        </w:rPr>
        <w:t>reports at different times. As a result, the level of support required will have to be carefully considered.</w:t>
      </w:r>
    </w:p>
    <w:p w14:paraId="77BA7478" w14:textId="77777777" w:rsidR="004F7E0D" w:rsidRPr="00AC635C" w:rsidRDefault="004F7E0D" w:rsidP="005C6B31">
      <w:pPr>
        <w:pStyle w:val="Heading1"/>
        <w:numPr>
          <w:ilvl w:val="0"/>
          <w:numId w:val="32"/>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lang w:val="en-GB"/>
        </w:rPr>
      </w:pPr>
      <w:r w:rsidRPr="00AC635C">
        <w:rPr>
          <w:snapToGrid w:val="0"/>
          <w:kern w:val="22"/>
          <w:szCs w:val="22"/>
          <w:lang w:val="en-GB"/>
        </w:rPr>
        <w:t>SUGGESTED RECOMMENDATIONS</w:t>
      </w:r>
    </w:p>
    <w:p w14:paraId="4386C921" w14:textId="36BE9AFB" w:rsidR="00DF691E" w:rsidRPr="00AC635C" w:rsidRDefault="00DF691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The Subsidiary Body on Implementation may wish to recommend that the Conference of the Parties adopt a decision along the following lines:</w:t>
      </w:r>
    </w:p>
    <w:p w14:paraId="24DED7A6" w14:textId="77777777"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i/>
          <w:kern w:val="22"/>
          <w:sz w:val="22"/>
          <w:szCs w:val="22"/>
          <w:lang w:val="en-GB"/>
        </w:rPr>
      </w:pPr>
      <w:r w:rsidRPr="00AC635C">
        <w:rPr>
          <w:i/>
          <w:kern w:val="22"/>
          <w:sz w:val="22"/>
          <w:szCs w:val="22"/>
          <w:lang w:val="en-GB"/>
        </w:rPr>
        <w:t>The Conference of the Parties</w:t>
      </w:r>
      <w:r w:rsidR="005049F9" w:rsidRPr="00AC635C">
        <w:rPr>
          <w:i/>
          <w:kern w:val="22"/>
          <w:sz w:val="22"/>
          <w:szCs w:val="22"/>
          <w:lang w:val="en-GB"/>
        </w:rPr>
        <w:t>,</w:t>
      </w:r>
    </w:p>
    <w:p w14:paraId="1403BAEC" w14:textId="58BA21FD"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i/>
          <w:kern w:val="22"/>
          <w:sz w:val="22"/>
          <w:szCs w:val="22"/>
          <w:lang w:val="en-GB"/>
        </w:rPr>
        <w:t>Emphasizing</w:t>
      </w:r>
      <w:r w:rsidRPr="00AC635C">
        <w:rPr>
          <w:kern w:val="22"/>
          <w:sz w:val="22"/>
          <w:szCs w:val="22"/>
          <w:lang w:val="en-GB"/>
        </w:rPr>
        <w:t xml:space="preserve"> the importance of improving the alignment of national reports under the Convention and its Protocols and of enhancing synergies among the biodiversity-related </w:t>
      </w:r>
      <w:r w:rsidR="00CC2D27" w:rsidRPr="00AC635C">
        <w:rPr>
          <w:kern w:val="22"/>
          <w:sz w:val="22"/>
          <w:szCs w:val="22"/>
          <w:lang w:val="en-GB"/>
        </w:rPr>
        <w:t>c</w:t>
      </w:r>
      <w:r w:rsidRPr="00AC635C">
        <w:rPr>
          <w:kern w:val="22"/>
          <w:sz w:val="22"/>
          <w:szCs w:val="22"/>
          <w:lang w:val="en-GB"/>
        </w:rPr>
        <w:t xml:space="preserve">onventions and the Rio </w:t>
      </w:r>
      <w:r w:rsidR="00BC5524" w:rsidRPr="00AC635C">
        <w:rPr>
          <w:kern w:val="22"/>
          <w:sz w:val="22"/>
          <w:szCs w:val="22"/>
          <w:lang w:val="en-GB"/>
        </w:rPr>
        <w:t>c</w:t>
      </w:r>
      <w:r w:rsidRPr="00AC635C">
        <w:rPr>
          <w:kern w:val="22"/>
          <w:sz w:val="22"/>
          <w:szCs w:val="22"/>
          <w:lang w:val="en-GB"/>
        </w:rPr>
        <w:t xml:space="preserve">onventions and </w:t>
      </w:r>
      <w:r w:rsidRPr="00AC635C">
        <w:rPr>
          <w:i/>
          <w:kern w:val="22"/>
          <w:sz w:val="22"/>
          <w:szCs w:val="22"/>
          <w:lang w:val="en-GB"/>
        </w:rPr>
        <w:t>noting</w:t>
      </w:r>
      <w:r w:rsidRPr="00AC635C">
        <w:rPr>
          <w:kern w:val="22"/>
          <w:sz w:val="22"/>
          <w:szCs w:val="22"/>
          <w:lang w:val="en-GB"/>
        </w:rPr>
        <w:t xml:space="preserve"> the progress made </w:t>
      </w:r>
      <w:r w:rsidR="00FA7443" w:rsidRPr="00AC635C">
        <w:rPr>
          <w:kern w:val="22"/>
          <w:sz w:val="22"/>
          <w:szCs w:val="22"/>
          <w:lang w:val="en-GB"/>
        </w:rPr>
        <w:t xml:space="preserve">thus </w:t>
      </w:r>
      <w:r w:rsidRPr="00AC635C">
        <w:rPr>
          <w:kern w:val="22"/>
          <w:sz w:val="22"/>
          <w:szCs w:val="22"/>
          <w:lang w:val="en-GB"/>
        </w:rPr>
        <w:t>far in this respect</w:t>
      </w:r>
      <w:r w:rsidR="005049F9" w:rsidRPr="00AC635C">
        <w:rPr>
          <w:kern w:val="22"/>
          <w:sz w:val="22"/>
          <w:szCs w:val="22"/>
          <w:lang w:val="en-GB"/>
        </w:rPr>
        <w:t>,</w:t>
      </w:r>
    </w:p>
    <w:p w14:paraId="6E26AB60" w14:textId="3A048C4D"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i/>
          <w:kern w:val="22"/>
          <w:sz w:val="22"/>
          <w:szCs w:val="22"/>
          <w:lang w:val="en-GB"/>
        </w:rPr>
        <w:t>Recognizing</w:t>
      </w:r>
      <w:r w:rsidRPr="00AC635C">
        <w:rPr>
          <w:kern w:val="22"/>
          <w:sz w:val="22"/>
          <w:szCs w:val="22"/>
          <w:lang w:val="en-GB"/>
        </w:rPr>
        <w:t xml:space="preserve"> the possible role of the post</w:t>
      </w:r>
      <w:r w:rsidR="00FA7443" w:rsidRPr="00AC635C">
        <w:rPr>
          <w:kern w:val="22"/>
          <w:sz w:val="22"/>
          <w:szCs w:val="22"/>
          <w:lang w:val="en-GB"/>
        </w:rPr>
        <w:t>-</w:t>
      </w:r>
      <w:r w:rsidRPr="00AC635C">
        <w:rPr>
          <w:kern w:val="22"/>
          <w:sz w:val="22"/>
          <w:szCs w:val="22"/>
          <w:lang w:val="en-GB"/>
        </w:rPr>
        <w:t>2020 global biodiversity framework in subsequent national reporting under the Convention and its Protocols</w:t>
      </w:r>
      <w:r w:rsidR="005049F9" w:rsidRPr="00AC635C">
        <w:rPr>
          <w:kern w:val="22"/>
          <w:sz w:val="22"/>
          <w:szCs w:val="22"/>
          <w:lang w:val="en-GB"/>
        </w:rPr>
        <w:t>,</w:t>
      </w:r>
    </w:p>
    <w:p w14:paraId="5C897231" w14:textId="56F3BE6F" w:rsidR="00DF691E" w:rsidRPr="00AC635C" w:rsidRDefault="00FA7443"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i/>
          <w:kern w:val="22"/>
          <w:sz w:val="22"/>
          <w:szCs w:val="22"/>
          <w:lang w:val="en-GB"/>
        </w:rPr>
        <w:t>Also r</w:t>
      </w:r>
      <w:r w:rsidR="00DF691E" w:rsidRPr="00AC635C">
        <w:rPr>
          <w:i/>
          <w:kern w:val="22"/>
          <w:sz w:val="22"/>
          <w:szCs w:val="22"/>
          <w:lang w:val="en-GB"/>
        </w:rPr>
        <w:t xml:space="preserve">ecognizing </w:t>
      </w:r>
      <w:r w:rsidR="00DF691E" w:rsidRPr="00AC635C">
        <w:rPr>
          <w:kern w:val="22"/>
          <w:sz w:val="22"/>
          <w:szCs w:val="22"/>
          <w:lang w:val="en-GB"/>
        </w:rPr>
        <w:t>that the Convention and each of the Protocols are distinct legal instruments with specific obligations to their contracting Parties, and that the information provided in the national reporting formats depend on the focus and goals of implementation strategies adopted under each instrument at a given time</w:t>
      </w:r>
      <w:r w:rsidR="005049F9" w:rsidRPr="00AC635C">
        <w:rPr>
          <w:kern w:val="22"/>
          <w:sz w:val="22"/>
          <w:szCs w:val="22"/>
          <w:lang w:val="en-GB"/>
        </w:rPr>
        <w:t>,</w:t>
      </w:r>
    </w:p>
    <w:p w14:paraId="1FEEA66F" w14:textId="4F83FAAE"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kern w:val="22"/>
          <w:sz w:val="22"/>
          <w:szCs w:val="22"/>
          <w:lang w:val="en-GB"/>
        </w:rPr>
        <w:t>1.</w:t>
      </w:r>
      <w:r w:rsidRPr="00AC635C">
        <w:rPr>
          <w:kern w:val="22"/>
          <w:sz w:val="22"/>
          <w:szCs w:val="22"/>
          <w:lang w:val="en-GB"/>
        </w:rPr>
        <w:tab/>
      </w:r>
      <w:r w:rsidR="00632D10" w:rsidRPr="00AC635C">
        <w:rPr>
          <w:i/>
          <w:kern w:val="22"/>
          <w:sz w:val="22"/>
          <w:szCs w:val="22"/>
          <w:lang w:val="en-GB"/>
        </w:rPr>
        <w:t>Decides</w:t>
      </w:r>
      <w:r w:rsidR="00632D10" w:rsidRPr="00AC635C">
        <w:rPr>
          <w:kern w:val="22"/>
          <w:sz w:val="22"/>
          <w:szCs w:val="22"/>
          <w:lang w:val="en-GB"/>
        </w:rPr>
        <w:t xml:space="preserve"> </w:t>
      </w:r>
      <w:r w:rsidRPr="00AC635C">
        <w:rPr>
          <w:kern w:val="22"/>
          <w:sz w:val="22"/>
          <w:szCs w:val="22"/>
          <w:lang w:val="en-GB"/>
        </w:rPr>
        <w:t>to commence with a synchronized reporting cycles for the Convention, the Cartagena Protocol and the Nagoya Protocol in 2023</w:t>
      </w:r>
      <w:r w:rsidR="00E06C5F" w:rsidRPr="00AC635C">
        <w:rPr>
          <w:kern w:val="22"/>
          <w:sz w:val="22"/>
          <w:szCs w:val="22"/>
          <w:lang w:val="en-GB"/>
        </w:rPr>
        <w:t>,</w:t>
      </w:r>
      <w:r w:rsidRPr="00AC635C">
        <w:rPr>
          <w:kern w:val="22"/>
          <w:sz w:val="22"/>
          <w:szCs w:val="22"/>
          <w:lang w:val="en-GB"/>
        </w:rPr>
        <w:t xml:space="preserve"> and </w:t>
      </w:r>
      <w:r w:rsidRPr="00AC635C">
        <w:rPr>
          <w:i/>
          <w:kern w:val="22"/>
          <w:sz w:val="22"/>
          <w:szCs w:val="22"/>
          <w:lang w:val="en-GB"/>
        </w:rPr>
        <w:t>invites</w:t>
      </w:r>
      <w:r w:rsidRPr="00AC635C">
        <w:rPr>
          <w:kern w:val="22"/>
          <w:sz w:val="22"/>
          <w:szCs w:val="22"/>
          <w:lang w:val="en-GB"/>
        </w:rPr>
        <w:t xml:space="preserve"> the Conference of the Parties serving as the meeting of the Parties to the Cartagena Protocol and the Conference of the Parties serving as the </w:t>
      </w:r>
      <w:r w:rsidRPr="00AC635C">
        <w:rPr>
          <w:kern w:val="22"/>
          <w:sz w:val="22"/>
          <w:szCs w:val="22"/>
          <w:lang w:val="en-GB"/>
        </w:rPr>
        <w:lastRenderedPageBreak/>
        <w:t xml:space="preserve">meeting of the Parties to the Nagoya Protocol to consider, agree to and take </w:t>
      </w:r>
      <w:r w:rsidR="00E06C5F" w:rsidRPr="00AC635C">
        <w:rPr>
          <w:kern w:val="22"/>
          <w:sz w:val="22"/>
          <w:szCs w:val="22"/>
          <w:lang w:val="en-GB"/>
        </w:rPr>
        <w:t xml:space="preserve">the </w:t>
      </w:r>
      <w:r w:rsidRPr="00AC635C">
        <w:rPr>
          <w:kern w:val="22"/>
          <w:sz w:val="22"/>
          <w:szCs w:val="22"/>
          <w:lang w:val="en-GB"/>
        </w:rPr>
        <w:t>preparatory measures necessary for the realization of such synchronized reporting approaches and cycles;</w:t>
      </w:r>
    </w:p>
    <w:p w14:paraId="2173A1A1" w14:textId="77777777"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kern w:val="22"/>
          <w:sz w:val="22"/>
          <w:szCs w:val="22"/>
          <w:lang w:val="en-GB"/>
        </w:rPr>
        <w:t>2.</w:t>
      </w:r>
      <w:r w:rsidRPr="00AC635C">
        <w:rPr>
          <w:kern w:val="22"/>
          <w:sz w:val="22"/>
          <w:szCs w:val="22"/>
          <w:lang w:val="en-GB"/>
        </w:rPr>
        <w:tab/>
      </w:r>
      <w:r w:rsidRPr="00AC635C">
        <w:rPr>
          <w:i/>
          <w:kern w:val="22"/>
          <w:sz w:val="22"/>
          <w:szCs w:val="22"/>
          <w:lang w:val="en-GB"/>
        </w:rPr>
        <w:t>Requests</w:t>
      </w:r>
      <w:r w:rsidRPr="00AC635C">
        <w:rPr>
          <w:kern w:val="22"/>
          <w:sz w:val="22"/>
          <w:szCs w:val="22"/>
          <w:lang w:val="en-GB"/>
        </w:rPr>
        <w:t xml:space="preserve"> the Executive Secretary:</w:t>
      </w:r>
    </w:p>
    <w:p w14:paraId="6C0C64E5" w14:textId="242A808B" w:rsidR="00DF691E" w:rsidRPr="00AC635C"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n-GB"/>
        </w:rPr>
      </w:pPr>
      <w:r w:rsidRPr="00AC635C">
        <w:rPr>
          <w:kern w:val="22"/>
          <w:sz w:val="22"/>
          <w:szCs w:val="22"/>
          <w:lang w:val="en-GB"/>
        </w:rPr>
        <w:t>(a)</w:t>
      </w:r>
      <w:r w:rsidRPr="00AC635C">
        <w:rPr>
          <w:kern w:val="22"/>
          <w:sz w:val="22"/>
          <w:szCs w:val="22"/>
          <w:lang w:val="en-GB"/>
        </w:rPr>
        <w:tab/>
      </w:r>
      <w:r w:rsidR="00DF691E" w:rsidRPr="00AC635C">
        <w:rPr>
          <w:kern w:val="22"/>
          <w:sz w:val="22"/>
          <w:szCs w:val="22"/>
          <w:lang w:val="en-GB"/>
        </w:rPr>
        <w:t xml:space="preserve">To continue making efforts to improve and harmonize the user interface and the design of national reporting under the Convention and its Protocols, and to report to the Subsidiary Body on Implementation </w:t>
      </w:r>
      <w:r w:rsidR="005F1D1C" w:rsidRPr="00AC635C">
        <w:rPr>
          <w:kern w:val="22"/>
          <w:sz w:val="22"/>
          <w:szCs w:val="22"/>
          <w:lang w:val="en-GB"/>
        </w:rPr>
        <w:t xml:space="preserve">at its third meeting </w:t>
      </w:r>
      <w:r w:rsidR="00DF691E" w:rsidRPr="00AC635C">
        <w:rPr>
          <w:kern w:val="22"/>
          <w:sz w:val="22"/>
          <w:szCs w:val="22"/>
          <w:lang w:val="en-GB"/>
        </w:rPr>
        <w:t>on the progress made;</w:t>
      </w:r>
    </w:p>
    <w:p w14:paraId="32878301" w14:textId="37FAB99A" w:rsidR="00DF691E" w:rsidRPr="00AC635C"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n-GB"/>
        </w:rPr>
      </w:pPr>
      <w:r w:rsidRPr="00AC635C">
        <w:rPr>
          <w:kern w:val="22"/>
          <w:sz w:val="22"/>
          <w:szCs w:val="22"/>
          <w:lang w:val="en-GB"/>
        </w:rPr>
        <w:t>(b)</w:t>
      </w:r>
      <w:r w:rsidRPr="00AC635C">
        <w:rPr>
          <w:kern w:val="22"/>
          <w:sz w:val="22"/>
          <w:szCs w:val="22"/>
          <w:lang w:val="en-GB"/>
        </w:rPr>
        <w:tab/>
      </w:r>
      <w:r w:rsidR="00DF691E" w:rsidRPr="00AC635C">
        <w:rPr>
          <w:kern w:val="22"/>
          <w:sz w:val="22"/>
          <w:szCs w:val="22"/>
          <w:lang w:val="en-GB"/>
        </w:rPr>
        <w:t>To identify, when preparing documentation related to the post</w:t>
      </w:r>
      <w:r w:rsidR="00A8326E" w:rsidRPr="00AC635C">
        <w:rPr>
          <w:kern w:val="22"/>
          <w:sz w:val="22"/>
          <w:szCs w:val="22"/>
          <w:lang w:val="en-GB"/>
        </w:rPr>
        <w:t>-</w:t>
      </w:r>
      <w:r w:rsidR="00DF691E" w:rsidRPr="00AC635C">
        <w:rPr>
          <w:kern w:val="22"/>
          <w:sz w:val="22"/>
          <w:szCs w:val="22"/>
          <w:lang w:val="en-GB"/>
        </w:rPr>
        <w:t>2020 global biodiversity framework, any implications and options for harmonizing national reporting under the Convention and its Protocols;</w:t>
      </w:r>
    </w:p>
    <w:p w14:paraId="13B980BA" w14:textId="6D40AD0B" w:rsidR="00DF691E" w:rsidRPr="00AC635C" w:rsidRDefault="00DF691E"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n-GB"/>
        </w:rPr>
      </w:pPr>
      <w:r w:rsidRPr="00AC635C">
        <w:rPr>
          <w:kern w:val="22"/>
          <w:sz w:val="22"/>
          <w:szCs w:val="22"/>
          <w:lang w:val="en-GB"/>
        </w:rPr>
        <w:t>(c)</w:t>
      </w:r>
      <w:r w:rsidR="00964580" w:rsidRPr="00AC635C">
        <w:rPr>
          <w:kern w:val="22"/>
          <w:sz w:val="22"/>
          <w:szCs w:val="22"/>
          <w:lang w:val="en-GB"/>
        </w:rPr>
        <w:tab/>
      </w:r>
      <w:r w:rsidRPr="00AC635C">
        <w:rPr>
          <w:kern w:val="22"/>
          <w:sz w:val="22"/>
          <w:szCs w:val="22"/>
          <w:lang w:val="en-GB"/>
        </w:rPr>
        <w:t xml:space="preserve">To continue exploring, in consultation with related </w:t>
      </w:r>
      <w:r w:rsidR="00DA5DBF" w:rsidRPr="00AC635C">
        <w:rPr>
          <w:kern w:val="22"/>
          <w:sz w:val="22"/>
          <w:szCs w:val="22"/>
          <w:lang w:val="en-GB"/>
        </w:rPr>
        <w:t>c</w:t>
      </w:r>
      <w:r w:rsidRPr="00AC635C">
        <w:rPr>
          <w:kern w:val="22"/>
          <w:sz w:val="22"/>
          <w:szCs w:val="22"/>
          <w:lang w:val="en-GB"/>
        </w:rPr>
        <w:t xml:space="preserve">onvention </w:t>
      </w:r>
      <w:r w:rsidR="00DA5DBF" w:rsidRPr="00AC635C">
        <w:rPr>
          <w:kern w:val="22"/>
          <w:sz w:val="22"/>
          <w:szCs w:val="22"/>
          <w:lang w:val="en-GB"/>
        </w:rPr>
        <w:t>s</w:t>
      </w:r>
      <w:r w:rsidRPr="00AC635C">
        <w:rPr>
          <w:kern w:val="22"/>
          <w:sz w:val="22"/>
          <w:szCs w:val="22"/>
          <w:lang w:val="en-GB"/>
        </w:rPr>
        <w:t xml:space="preserve">ecretariats, the Liaison Group </w:t>
      </w:r>
      <w:r w:rsidR="00964580" w:rsidRPr="00AC635C">
        <w:rPr>
          <w:kern w:val="22"/>
          <w:sz w:val="22"/>
          <w:szCs w:val="22"/>
          <w:lang w:val="en-GB"/>
        </w:rPr>
        <w:t xml:space="preserve">of Biodiversity-related Conventions </w:t>
      </w:r>
      <w:r w:rsidRPr="00AC635C">
        <w:rPr>
          <w:kern w:val="22"/>
          <w:sz w:val="22"/>
          <w:szCs w:val="22"/>
          <w:lang w:val="en-GB"/>
        </w:rPr>
        <w:t>and the Joint Liaison Group</w:t>
      </w:r>
      <w:r w:rsidR="00964580" w:rsidRPr="00AC635C">
        <w:rPr>
          <w:kern w:val="22"/>
          <w:sz w:val="22"/>
          <w:szCs w:val="22"/>
          <w:lang w:val="en-GB"/>
        </w:rPr>
        <w:t xml:space="preserve"> of the Rio Conventions</w:t>
      </w:r>
      <w:r w:rsidRPr="00AC635C">
        <w:rPr>
          <w:kern w:val="22"/>
          <w:sz w:val="22"/>
          <w:szCs w:val="22"/>
          <w:lang w:val="en-GB"/>
        </w:rPr>
        <w:t xml:space="preserve">, </w:t>
      </w:r>
      <w:r w:rsidR="00DA5DBF" w:rsidRPr="00AC635C">
        <w:rPr>
          <w:kern w:val="22"/>
          <w:sz w:val="22"/>
          <w:szCs w:val="22"/>
          <w:lang w:val="en-GB"/>
        </w:rPr>
        <w:t>and</w:t>
      </w:r>
      <w:r w:rsidRPr="00AC635C">
        <w:rPr>
          <w:kern w:val="22"/>
          <w:sz w:val="22"/>
          <w:szCs w:val="22"/>
          <w:lang w:val="en-GB"/>
        </w:rPr>
        <w:t xml:space="preserve"> on </w:t>
      </w:r>
      <w:r w:rsidR="00DA5DBF" w:rsidRPr="00AC635C">
        <w:rPr>
          <w:kern w:val="22"/>
          <w:sz w:val="22"/>
          <w:szCs w:val="22"/>
          <w:lang w:val="en-GB"/>
        </w:rPr>
        <w:t xml:space="preserve">the basis of </w:t>
      </w:r>
      <w:r w:rsidRPr="00AC635C">
        <w:rPr>
          <w:kern w:val="22"/>
          <w:sz w:val="22"/>
          <w:szCs w:val="22"/>
          <w:lang w:val="en-GB"/>
        </w:rPr>
        <w:t xml:space="preserve">suggestions from the informal advisory group on synergies among the biodiversity-related conventions, options for increasing synergies in national reporting among the biodiversity-related </w:t>
      </w:r>
      <w:r w:rsidR="00162507" w:rsidRPr="00AC635C">
        <w:rPr>
          <w:kern w:val="22"/>
          <w:sz w:val="22"/>
          <w:szCs w:val="22"/>
          <w:lang w:val="en-GB"/>
        </w:rPr>
        <w:t>c</w:t>
      </w:r>
      <w:r w:rsidRPr="00AC635C">
        <w:rPr>
          <w:kern w:val="22"/>
          <w:sz w:val="22"/>
          <w:szCs w:val="22"/>
          <w:lang w:val="en-GB"/>
        </w:rPr>
        <w:t xml:space="preserve">onventions and the Rio </w:t>
      </w:r>
      <w:r w:rsidR="00BC5524" w:rsidRPr="00AC635C">
        <w:rPr>
          <w:kern w:val="22"/>
          <w:sz w:val="22"/>
          <w:szCs w:val="22"/>
          <w:lang w:val="en-GB"/>
        </w:rPr>
        <w:t>c</w:t>
      </w:r>
      <w:r w:rsidRPr="00AC635C">
        <w:rPr>
          <w:kern w:val="22"/>
          <w:sz w:val="22"/>
          <w:szCs w:val="22"/>
          <w:lang w:val="en-GB"/>
        </w:rPr>
        <w:t>onventions, and to report on progress to the Subsidiary Body on Implementation</w:t>
      </w:r>
      <w:r w:rsidR="00DA5DBF" w:rsidRPr="00AC635C">
        <w:rPr>
          <w:kern w:val="22"/>
          <w:sz w:val="22"/>
          <w:szCs w:val="22"/>
          <w:lang w:val="en-GB"/>
        </w:rPr>
        <w:t xml:space="preserve"> at its third meeting</w:t>
      </w:r>
      <w:r w:rsidRPr="00AC635C">
        <w:rPr>
          <w:kern w:val="22"/>
          <w:sz w:val="22"/>
          <w:szCs w:val="22"/>
          <w:lang w:val="en-GB"/>
        </w:rPr>
        <w:t>;</w:t>
      </w:r>
    </w:p>
    <w:p w14:paraId="70759180" w14:textId="5640444F" w:rsidR="005A4D45" w:rsidRPr="00AC635C" w:rsidRDefault="00964580" w:rsidP="005C6B31">
      <w:pPr>
        <w:pStyle w:val="Para1"/>
        <w:suppressLineNumbers/>
        <w:suppressAutoHyphens/>
        <w:kinsoku w:val="0"/>
        <w:overflowPunct w:val="0"/>
        <w:autoSpaceDE w:val="0"/>
        <w:autoSpaceDN w:val="0"/>
        <w:adjustRightInd w:val="0"/>
        <w:snapToGrid w:val="0"/>
        <w:ind w:firstLine="1440"/>
        <w:jc w:val="both"/>
        <w:rPr>
          <w:kern w:val="22"/>
          <w:sz w:val="22"/>
          <w:szCs w:val="22"/>
          <w:lang w:val="en-GB"/>
        </w:rPr>
      </w:pPr>
      <w:r w:rsidRPr="00AC635C">
        <w:rPr>
          <w:kern w:val="22"/>
          <w:sz w:val="22"/>
          <w:szCs w:val="22"/>
          <w:lang w:val="en-GB"/>
        </w:rPr>
        <w:t>(d)</w:t>
      </w:r>
      <w:r w:rsidRPr="00AC635C">
        <w:rPr>
          <w:kern w:val="22"/>
          <w:sz w:val="22"/>
          <w:szCs w:val="22"/>
          <w:lang w:val="en-GB"/>
        </w:rPr>
        <w:tab/>
      </w:r>
      <w:r w:rsidR="00DF691E" w:rsidRPr="00AC635C">
        <w:rPr>
          <w:kern w:val="22"/>
          <w:sz w:val="22"/>
          <w:szCs w:val="22"/>
          <w:lang w:val="en-GB"/>
        </w:rPr>
        <w:t xml:space="preserve">To contribute to the development, testing and promotion of the Data and Reporting Tool, in collaboration with the </w:t>
      </w:r>
      <w:proofErr w:type="spellStart"/>
      <w:r w:rsidR="00DF691E" w:rsidRPr="00AC635C">
        <w:rPr>
          <w:kern w:val="22"/>
          <w:sz w:val="22"/>
          <w:szCs w:val="22"/>
          <w:lang w:val="en-GB"/>
        </w:rPr>
        <w:t>InforMEA</w:t>
      </w:r>
      <w:proofErr w:type="spellEnd"/>
      <w:r w:rsidR="00DF691E" w:rsidRPr="00AC635C">
        <w:rPr>
          <w:kern w:val="22"/>
          <w:sz w:val="22"/>
          <w:szCs w:val="22"/>
          <w:lang w:val="en-GB"/>
        </w:rPr>
        <w:t xml:space="preserve"> Initiative, with a view to facilitating its use across the biodiversity-related conventions, as appropriate</w:t>
      </w:r>
      <w:r w:rsidR="00162507" w:rsidRPr="00AC635C">
        <w:rPr>
          <w:kern w:val="22"/>
          <w:sz w:val="22"/>
          <w:szCs w:val="22"/>
          <w:lang w:val="en-GB"/>
        </w:rPr>
        <w:t>.</w:t>
      </w:r>
    </w:p>
    <w:p w14:paraId="695BD2C9" w14:textId="7A8962BD" w:rsidR="00DF691E" w:rsidRPr="00AC635C" w:rsidRDefault="00DF691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The Subsidiary Body on Implementation may also wish to recommend that the Conference of the Parties serving as the meeting of the Parties to the Cartagena Protocol adopt a decision along the following lines:</w:t>
      </w:r>
    </w:p>
    <w:p w14:paraId="02B24975" w14:textId="77777777"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09"/>
        <w:jc w:val="both"/>
        <w:rPr>
          <w:i/>
          <w:kern w:val="22"/>
          <w:sz w:val="22"/>
          <w:szCs w:val="22"/>
          <w:lang w:val="en-GB"/>
        </w:rPr>
      </w:pPr>
      <w:r w:rsidRPr="00AC635C">
        <w:rPr>
          <w:i/>
          <w:kern w:val="22"/>
          <w:sz w:val="22"/>
          <w:szCs w:val="22"/>
          <w:lang w:val="en-GB"/>
        </w:rPr>
        <w:t>The Conference of the Parties serving as the meeting of the Parties to the Cartagena Protocol on Biosafety,</w:t>
      </w:r>
    </w:p>
    <w:p w14:paraId="0CB8B837" w14:textId="17FE7D6F" w:rsidR="00964580"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i/>
          <w:kern w:val="22"/>
          <w:sz w:val="22"/>
          <w:szCs w:val="22"/>
          <w:lang w:val="en-GB"/>
        </w:rPr>
        <w:t xml:space="preserve">Recognizing </w:t>
      </w:r>
      <w:r w:rsidRPr="00AC635C">
        <w:rPr>
          <w:kern w:val="22"/>
          <w:sz w:val="22"/>
          <w:szCs w:val="22"/>
          <w:lang w:val="en-GB"/>
        </w:rPr>
        <w:t xml:space="preserve">the importance of </w:t>
      </w:r>
      <w:r w:rsidR="00964580" w:rsidRPr="00AC635C">
        <w:rPr>
          <w:kern w:val="22"/>
          <w:sz w:val="22"/>
          <w:szCs w:val="22"/>
          <w:lang w:val="en-GB"/>
        </w:rPr>
        <w:t xml:space="preserve">improving the alignment of national reports under the Convention and its Protocols and of enhancing synergies among the biodiversity-related </w:t>
      </w:r>
      <w:r w:rsidR="00162507" w:rsidRPr="00AC635C">
        <w:rPr>
          <w:kern w:val="22"/>
          <w:sz w:val="22"/>
          <w:szCs w:val="22"/>
          <w:lang w:val="en-GB"/>
        </w:rPr>
        <w:t>c</w:t>
      </w:r>
      <w:r w:rsidR="00964580" w:rsidRPr="00AC635C">
        <w:rPr>
          <w:kern w:val="22"/>
          <w:sz w:val="22"/>
          <w:szCs w:val="22"/>
          <w:lang w:val="en-GB"/>
        </w:rPr>
        <w:t xml:space="preserve">onventions and the Rio </w:t>
      </w:r>
      <w:r w:rsidR="00BC5524" w:rsidRPr="00AC635C">
        <w:rPr>
          <w:kern w:val="22"/>
          <w:sz w:val="22"/>
          <w:szCs w:val="22"/>
          <w:lang w:val="en-GB"/>
        </w:rPr>
        <w:t>c</w:t>
      </w:r>
      <w:r w:rsidR="00964580" w:rsidRPr="00AC635C">
        <w:rPr>
          <w:kern w:val="22"/>
          <w:sz w:val="22"/>
          <w:szCs w:val="22"/>
          <w:lang w:val="en-GB"/>
        </w:rPr>
        <w:t xml:space="preserve">onventions and </w:t>
      </w:r>
      <w:r w:rsidR="00964580" w:rsidRPr="00AC635C">
        <w:rPr>
          <w:i/>
          <w:kern w:val="22"/>
          <w:sz w:val="22"/>
          <w:szCs w:val="22"/>
          <w:lang w:val="en-GB"/>
        </w:rPr>
        <w:t>noting</w:t>
      </w:r>
      <w:r w:rsidR="00964580" w:rsidRPr="00AC635C">
        <w:rPr>
          <w:kern w:val="22"/>
          <w:sz w:val="22"/>
          <w:szCs w:val="22"/>
          <w:lang w:val="en-GB"/>
        </w:rPr>
        <w:t xml:space="preserve"> the progress made </w:t>
      </w:r>
      <w:r w:rsidR="00A8326E" w:rsidRPr="00AC635C">
        <w:rPr>
          <w:kern w:val="22"/>
          <w:sz w:val="22"/>
          <w:szCs w:val="22"/>
          <w:lang w:val="en-GB"/>
        </w:rPr>
        <w:t xml:space="preserve">thus </w:t>
      </w:r>
      <w:r w:rsidR="00964580" w:rsidRPr="00AC635C">
        <w:rPr>
          <w:kern w:val="22"/>
          <w:sz w:val="22"/>
          <w:szCs w:val="22"/>
          <w:lang w:val="en-GB"/>
        </w:rPr>
        <w:t>far in this respect,</w:t>
      </w:r>
    </w:p>
    <w:p w14:paraId="357412BC" w14:textId="22C3CC93" w:rsidR="00964580"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i/>
          <w:kern w:val="22"/>
          <w:sz w:val="22"/>
          <w:szCs w:val="22"/>
          <w:lang w:val="en-GB"/>
        </w:rPr>
        <w:t>Accepts</w:t>
      </w:r>
      <w:r w:rsidRPr="00AC635C">
        <w:rPr>
          <w:kern w:val="22"/>
          <w:sz w:val="22"/>
          <w:szCs w:val="22"/>
          <w:lang w:val="en-GB"/>
        </w:rPr>
        <w:t xml:space="preserve"> the invitation </w:t>
      </w:r>
      <w:r w:rsidR="00A8326E" w:rsidRPr="00AC635C">
        <w:rPr>
          <w:kern w:val="22"/>
          <w:sz w:val="22"/>
          <w:szCs w:val="22"/>
          <w:lang w:val="en-GB"/>
        </w:rPr>
        <w:t xml:space="preserve">of </w:t>
      </w:r>
      <w:r w:rsidRPr="00AC635C">
        <w:rPr>
          <w:kern w:val="22"/>
          <w:sz w:val="22"/>
          <w:szCs w:val="22"/>
          <w:lang w:val="en-GB"/>
        </w:rPr>
        <w:t>the Conference of the Parties to the Convention</w:t>
      </w:r>
      <w:r w:rsidR="00215183" w:rsidRPr="00AC635C">
        <w:rPr>
          <w:kern w:val="22"/>
          <w:sz w:val="22"/>
          <w:szCs w:val="22"/>
          <w:lang w:val="en-GB"/>
        </w:rPr>
        <w:t>,</w:t>
      </w:r>
      <w:r w:rsidRPr="00AC635C">
        <w:rPr>
          <w:kern w:val="22"/>
          <w:sz w:val="22"/>
          <w:szCs w:val="22"/>
          <w:lang w:val="en-GB"/>
        </w:rPr>
        <w:t xml:space="preserve"> and </w:t>
      </w:r>
      <w:r w:rsidRPr="00AC635C">
        <w:rPr>
          <w:i/>
          <w:kern w:val="22"/>
          <w:sz w:val="22"/>
          <w:szCs w:val="22"/>
          <w:lang w:val="en-GB"/>
        </w:rPr>
        <w:t>agrees</w:t>
      </w:r>
      <w:r w:rsidRPr="00AC635C">
        <w:rPr>
          <w:kern w:val="22"/>
          <w:sz w:val="22"/>
          <w:szCs w:val="22"/>
          <w:lang w:val="en-GB"/>
        </w:rPr>
        <w:t xml:space="preserve"> to have a synchronized national reporting cycle commencing </w:t>
      </w:r>
      <w:r w:rsidR="00964580" w:rsidRPr="00AC635C">
        <w:rPr>
          <w:kern w:val="22"/>
          <w:sz w:val="22"/>
          <w:szCs w:val="22"/>
          <w:lang w:val="en-GB"/>
        </w:rPr>
        <w:t>in</w:t>
      </w:r>
      <w:r w:rsidRPr="00AC635C">
        <w:rPr>
          <w:kern w:val="22"/>
          <w:sz w:val="22"/>
          <w:szCs w:val="22"/>
          <w:lang w:val="en-GB"/>
        </w:rPr>
        <w:t xml:space="preserve"> 2023</w:t>
      </w:r>
      <w:r w:rsidR="00916407" w:rsidRPr="00AC635C">
        <w:rPr>
          <w:kern w:val="22"/>
          <w:sz w:val="22"/>
          <w:szCs w:val="22"/>
          <w:lang w:val="en-GB"/>
        </w:rPr>
        <w:t>.</w:t>
      </w:r>
    </w:p>
    <w:p w14:paraId="40FF8D1A" w14:textId="4C8BE411" w:rsidR="00DF691E" w:rsidRPr="00AC635C" w:rsidRDefault="00DF691E" w:rsidP="005C6B31">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en-GB"/>
        </w:rPr>
      </w:pPr>
      <w:r w:rsidRPr="00AC635C">
        <w:rPr>
          <w:kern w:val="22"/>
          <w:sz w:val="22"/>
          <w:szCs w:val="22"/>
          <w:lang w:val="en-GB"/>
        </w:rPr>
        <w:t>The Subsidiary Body on Implementation may also wish to recommend that the Conference of the Parties serving as the meeting of the Parties to the Nagoya Protocol adopt a decision along the following lines:</w:t>
      </w:r>
    </w:p>
    <w:p w14:paraId="26D4F5AA" w14:textId="77777777"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i/>
          <w:kern w:val="22"/>
          <w:sz w:val="22"/>
          <w:szCs w:val="22"/>
          <w:lang w:val="en-GB"/>
        </w:rPr>
      </w:pPr>
      <w:r w:rsidRPr="00AC635C">
        <w:rPr>
          <w:i/>
          <w:kern w:val="22"/>
          <w:sz w:val="22"/>
          <w:szCs w:val="22"/>
          <w:lang w:val="en-GB"/>
        </w:rPr>
        <w:t>The Conference of the Parties serving as the meeting of the Parties to the Nagoya Protocol,</w:t>
      </w:r>
    </w:p>
    <w:p w14:paraId="52E13EB8" w14:textId="00B259B0" w:rsidR="00DF691E" w:rsidRPr="00AC635C" w:rsidRDefault="00DF691E" w:rsidP="005C6B31">
      <w:pPr>
        <w:pStyle w:val="Para1"/>
        <w:suppressLineNumbers/>
        <w:suppressAutoHyphens/>
        <w:kinsoku w:val="0"/>
        <w:overflowPunct w:val="0"/>
        <w:autoSpaceDE w:val="0"/>
        <w:autoSpaceDN w:val="0"/>
        <w:adjustRightInd w:val="0"/>
        <w:snapToGrid w:val="0"/>
        <w:spacing w:before="120"/>
        <w:ind w:firstLine="720"/>
        <w:jc w:val="both"/>
        <w:rPr>
          <w:kern w:val="22"/>
          <w:sz w:val="22"/>
          <w:szCs w:val="22"/>
          <w:lang w:val="en-GB"/>
        </w:rPr>
      </w:pPr>
      <w:r w:rsidRPr="00AC635C">
        <w:rPr>
          <w:i/>
          <w:kern w:val="22"/>
          <w:sz w:val="22"/>
          <w:szCs w:val="22"/>
          <w:lang w:val="en-GB"/>
        </w:rPr>
        <w:t xml:space="preserve">Recognizing </w:t>
      </w:r>
      <w:r w:rsidRPr="00AC635C">
        <w:rPr>
          <w:kern w:val="22"/>
          <w:sz w:val="22"/>
          <w:szCs w:val="22"/>
          <w:lang w:val="en-GB"/>
        </w:rPr>
        <w:t xml:space="preserve">the importance of </w:t>
      </w:r>
      <w:r w:rsidR="00964580" w:rsidRPr="00AC635C">
        <w:rPr>
          <w:kern w:val="22"/>
          <w:sz w:val="22"/>
          <w:szCs w:val="22"/>
          <w:lang w:val="en-GB"/>
        </w:rPr>
        <w:t xml:space="preserve">improving the alignment of national reports under the Convention and its Protocols and of enhancing synergies among the biodiversity-related </w:t>
      </w:r>
      <w:r w:rsidR="00162507" w:rsidRPr="00AC635C">
        <w:rPr>
          <w:kern w:val="22"/>
          <w:sz w:val="22"/>
          <w:szCs w:val="22"/>
          <w:lang w:val="en-GB"/>
        </w:rPr>
        <w:t>c</w:t>
      </w:r>
      <w:r w:rsidR="00964580" w:rsidRPr="00AC635C">
        <w:rPr>
          <w:kern w:val="22"/>
          <w:sz w:val="22"/>
          <w:szCs w:val="22"/>
          <w:lang w:val="en-GB"/>
        </w:rPr>
        <w:t xml:space="preserve">onventions and the Rio </w:t>
      </w:r>
      <w:r w:rsidR="00BC5524" w:rsidRPr="00AC635C">
        <w:rPr>
          <w:kern w:val="22"/>
          <w:sz w:val="22"/>
          <w:szCs w:val="22"/>
          <w:lang w:val="en-GB"/>
        </w:rPr>
        <w:t>c</w:t>
      </w:r>
      <w:r w:rsidR="00964580" w:rsidRPr="00AC635C">
        <w:rPr>
          <w:kern w:val="22"/>
          <w:sz w:val="22"/>
          <w:szCs w:val="22"/>
          <w:lang w:val="en-GB"/>
        </w:rPr>
        <w:t xml:space="preserve">onventions and </w:t>
      </w:r>
      <w:r w:rsidR="00964580" w:rsidRPr="00AC635C">
        <w:rPr>
          <w:i/>
          <w:kern w:val="22"/>
          <w:sz w:val="22"/>
          <w:szCs w:val="22"/>
          <w:lang w:val="en-GB"/>
        </w:rPr>
        <w:t>noting</w:t>
      </w:r>
      <w:r w:rsidR="00964580" w:rsidRPr="00AC635C">
        <w:rPr>
          <w:kern w:val="22"/>
          <w:sz w:val="22"/>
          <w:szCs w:val="22"/>
          <w:lang w:val="en-GB"/>
        </w:rPr>
        <w:t xml:space="preserve"> the progress made </w:t>
      </w:r>
      <w:r w:rsidR="006E43A3" w:rsidRPr="00AC635C">
        <w:rPr>
          <w:kern w:val="22"/>
          <w:sz w:val="22"/>
          <w:szCs w:val="22"/>
          <w:lang w:val="en-GB"/>
        </w:rPr>
        <w:t xml:space="preserve">thus </w:t>
      </w:r>
      <w:r w:rsidR="00964580" w:rsidRPr="00AC635C">
        <w:rPr>
          <w:kern w:val="22"/>
          <w:sz w:val="22"/>
          <w:szCs w:val="22"/>
          <w:lang w:val="en-GB"/>
        </w:rPr>
        <w:t>far in this respect,</w:t>
      </w:r>
    </w:p>
    <w:p w14:paraId="262FE905" w14:textId="60DB1ED7" w:rsidR="00DF691E" w:rsidRPr="00AC635C" w:rsidRDefault="00DF691E" w:rsidP="005C6B31">
      <w:pPr>
        <w:pStyle w:val="Para1"/>
        <w:suppressLineNumbers/>
        <w:suppressAutoHyphens/>
        <w:kinsoku w:val="0"/>
        <w:overflowPunct w:val="0"/>
        <w:autoSpaceDE w:val="0"/>
        <w:autoSpaceDN w:val="0"/>
        <w:adjustRightInd w:val="0"/>
        <w:snapToGrid w:val="0"/>
        <w:ind w:firstLine="720"/>
        <w:rPr>
          <w:kern w:val="22"/>
          <w:sz w:val="22"/>
          <w:szCs w:val="22"/>
          <w:lang w:val="en-GB"/>
        </w:rPr>
      </w:pPr>
      <w:r w:rsidRPr="00AC635C">
        <w:rPr>
          <w:i/>
          <w:kern w:val="22"/>
          <w:sz w:val="22"/>
          <w:szCs w:val="22"/>
          <w:lang w:val="en-GB"/>
        </w:rPr>
        <w:t>Accepts</w:t>
      </w:r>
      <w:r w:rsidRPr="00AC635C">
        <w:rPr>
          <w:kern w:val="22"/>
          <w:sz w:val="22"/>
          <w:szCs w:val="22"/>
          <w:lang w:val="en-GB"/>
        </w:rPr>
        <w:t xml:space="preserve"> the invitation </w:t>
      </w:r>
      <w:r w:rsidR="006E43A3" w:rsidRPr="00AC635C">
        <w:rPr>
          <w:kern w:val="22"/>
          <w:sz w:val="22"/>
          <w:szCs w:val="22"/>
          <w:lang w:val="en-GB"/>
        </w:rPr>
        <w:t xml:space="preserve">of </w:t>
      </w:r>
      <w:r w:rsidRPr="00AC635C">
        <w:rPr>
          <w:kern w:val="22"/>
          <w:sz w:val="22"/>
          <w:szCs w:val="22"/>
          <w:lang w:val="en-GB"/>
        </w:rPr>
        <w:t>the Conference of the Parties to the Convention</w:t>
      </w:r>
      <w:r w:rsidR="00215183" w:rsidRPr="00AC635C">
        <w:rPr>
          <w:kern w:val="22"/>
          <w:sz w:val="22"/>
          <w:szCs w:val="22"/>
          <w:lang w:val="en-GB"/>
        </w:rPr>
        <w:t>,</w:t>
      </w:r>
      <w:r w:rsidRPr="00AC635C">
        <w:rPr>
          <w:kern w:val="22"/>
          <w:sz w:val="22"/>
          <w:szCs w:val="22"/>
          <w:lang w:val="en-GB"/>
        </w:rPr>
        <w:t xml:space="preserve"> and </w:t>
      </w:r>
      <w:r w:rsidRPr="00AC635C">
        <w:rPr>
          <w:i/>
          <w:kern w:val="22"/>
          <w:sz w:val="22"/>
          <w:szCs w:val="22"/>
          <w:lang w:val="en-GB"/>
        </w:rPr>
        <w:t>agrees</w:t>
      </w:r>
      <w:r w:rsidRPr="00AC635C">
        <w:rPr>
          <w:kern w:val="22"/>
          <w:sz w:val="22"/>
          <w:szCs w:val="22"/>
          <w:lang w:val="en-GB"/>
        </w:rPr>
        <w:t xml:space="preserve"> to have a synchronized national reporting cycle commencing </w:t>
      </w:r>
      <w:r w:rsidR="00964580" w:rsidRPr="00AC635C">
        <w:rPr>
          <w:kern w:val="22"/>
          <w:sz w:val="22"/>
          <w:szCs w:val="22"/>
          <w:lang w:val="en-GB"/>
        </w:rPr>
        <w:t>in 2023.</w:t>
      </w:r>
    </w:p>
    <w:p w14:paraId="170B25EF" w14:textId="77777777" w:rsidR="00DF691E" w:rsidRPr="00AC635C" w:rsidRDefault="00DF691E" w:rsidP="005C6B31">
      <w:pPr>
        <w:suppressLineNumbers/>
        <w:suppressAutoHyphens/>
        <w:kinsoku w:val="0"/>
        <w:overflowPunct w:val="0"/>
        <w:autoSpaceDE w:val="0"/>
        <w:autoSpaceDN w:val="0"/>
        <w:adjustRightInd w:val="0"/>
        <w:snapToGrid w:val="0"/>
        <w:ind w:left="720" w:hanging="720"/>
        <w:rPr>
          <w:snapToGrid w:val="0"/>
          <w:kern w:val="22"/>
          <w:sz w:val="22"/>
          <w:szCs w:val="22"/>
          <w:lang w:val="en-GB"/>
        </w:rPr>
      </w:pPr>
    </w:p>
    <w:p w14:paraId="21BAEF62" w14:textId="77777777" w:rsidR="004F7E0D" w:rsidRPr="00AC635C" w:rsidRDefault="004F7E0D" w:rsidP="005C6B31">
      <w:pPr>
        <w:pStyle w:val="Para1"/>
        <w:suppressLineNumbers/>
        <w:suppressAutoHyphens/>
        <w:kinsoku w:val="0"/>
        <w:overflowPunct w:val="0"/>
        <w:autoSpaceDE w:val="0"/>
        <w:autoSpaceDN w:val="0"/>
        <w:adjustRightInd w:val="0"/>
        <w:snapToGrid w:val="0"/>
        <w:spacing w:after="0"/>
        <w:jc w:val="center"/>
        <w:rPr>
          <w:kern w:val="22"/>
          <w:sz w:val="22"/>
          <w:szCs w:val="22"/>
          <w:lang w:val="en-GB"/>
        </w:rPr>
      </w:pPr>
      <w:r w:rsidRPr="00AC635C">
        <w:rPr>
          <w:kern w:val="22"/>
          <w:sz w:val="22"/>
          <w:szCs w:val="22"/>
          <w:lang w:val="en-GB"/>
        </w:rPr>
        <w:t>__________</w:t>
      </w:r>
    </w:p>
    <w:p w14:paraId="1B7E46DD" w14:textId="77777777" w:rsidR="004F7E0D" w:rsidRPr="00AC635C" w:rsidRDefault="004F7E0D" w:rsidP="005C6B31">
      <w:pPr>
        <w:pStyle w:val="Para1"/>
        <w:suppressLineNumbers/>
        <w:suppressAutoHyphens/>
        <w:kinsoku w:val="0"/>
        <w:overflowPunct w:val="0"/>
        <w:autoSpaceDE w:val="0"/>
        <w:autoSpaceDN w:val="0"/>
        <w:adjustRightInd w:val="0"/>
        <w:snapToGrid w:val="0"/>
        <w:spacing w:after="0"/>
        <w:rPr>
          <w:kern w:val="22"/>
          <w:sz w:val="22"/>
          <w:szCs w:val="22"/>
          <w:lang w:val="en-GB"/>
        </w:rPr>
      </w:pPr>
    </w:p>
    <w:sectPr w:rsidR="004F7E0D" w:rsidRPr="00AC635C">
      <w:headerReference w:type="even" r:id="rId62"/>
      <w:headerReference w:type="default" r:id="rId63"/>
      <w:footerReference w:type="even" r:id="rId64"/>
      <w:footerReference w:type="first" r:id="rId65"/>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B1D2" w14:textId="77777777" w:rsidR="00D4725C" w:rsidRDefault="00D4725C">
      <w:r>
        <w:separator/>
      </w:r>
    </w:p>
  </w:endnote>
  <w:endnote w:type="continuationSeparator" w:id="0">
    <w:p w14:paraId="6A5819DB" w14:textId="77777777" w:rsidR="00D4725C" w:rsidRDefault="00D4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E8D7" w14:textId="77777777" w:rsidR="00D4725C" w:rsidRPr="005C6B31" w:rsidRDefault="00D4725C" w:rsidP="005C6B31">
    <w:pPr>
      <w:pStyle w:val="Footer"/>
      <w:tabs>
        <w:tab w:val="clear" w:pos="4320"/>
        <w:tab w:val="clear" w:pos="8640"/>
      </w:tabs>
      <w:kinsoku w:val="0"/>
      <w:overflowPunct w:val="0"/>
      <w:autoSpaceDE w:val="0"/>
      <w:autoSpaceDN w:val="0"/>
      <w:ind w:firstLine="0"/>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5E1E" w14:textId="77777777" w:rsidR="00D4725C" w:rsidRPr="000C7F51" w:rsidRDefault="00D4725C" w:rsidP="005C6B31">
    <w:pPr>
      <w:pStyle w:val="Footer"/>
      <w:tabs>
        <w:tab w:val="clear" w:pos="4320"/>
        <w:tab w:val="clear" w:pos="8640"/>
      </w:tabs>
      <w:kinsoku w:val="0"/>
      <w:overflowPunct w:val="0"/>
      <w:autoSpaceDE w:val="0"/>
      <w:autoSpaceDN w:val="0"/>
      <w:adjustRightInd w:val="0"/>
      <w:snapToGrid w:val="0"/>
      <w:ind w:firstLine="0"/>
      <w:rPr>
        <w:noProof/>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9EF8" w14:textId="77777777" w:rsidR="00D4725C" w:rsidRDefault="00D4725C">
      <w:r>
        <w:separator/>
      </w:r>
    </w:p>
  </w:footnote>
  <w:footnote w:type="continuationSeparator" w:id="0">
    <w:p w14:paraId="0732E9B3" w14:textId="77777777" w:rsidR="00D4725C" w:rsidRDefault="00D4725C">
      <w:r>
        <w:continuationSeparator/>
      </w:r>
    </w:p>
  </w:footnote>
  <w:footnote w:id="1">
    <w:p w14:paraId="5083128D" w14:textId="22BCA656"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t>*</w:t>
      </w:r>
      <w:r w:rsidRPr="005C6B31">
        <w:rPr>
          <w:snapToGrid w:val="0"/>
          <w:kern w:val="18"/>
          <w:szCs w:val="18"/>
          <w:lang w:val="en-GB"/>
        </w:rPr>
        <w:t xml:space="preserve"> </w:t>
      </w:r>
      <w:hyperlink r:id="rId1" w:history="1">
        <w:r w:rsidRPr="005C6B31">
          <w:rPr>
            <w:rStyle w:val="Hyperlink"/>
            <w:snapToGrid w:val="0"/>
            <w:kern w:val="18"/>
            <w:szCs w:val="18"/>
            <w:lang w:val="en-GB"/>
          </w:rPr>
          <w:t>CBD/SBI/2/1</w:t>
        </w:r>
      </w:hyperlink>
      <w:r w:rsidRPr="005C6B31">
        <w:rPr>
          <w:snapToGrid w:val="0"/>
          <w:kern w:val="18"/>
          <w:szCs w:val="18"/>
          <w:lang w:val="en-GB"/>
        </w:rPr>
        <w:t>.</w:t>
      </w:r>
    </w:p>
  </w:footnote>
  <w:footnote w:id="2">
    <w:p w14:paraId="6961198E" w14:textId="2A77059F" w:rsidR="00D4725C" w:rsidRPr="005C6B31" w:rsidRDefault="00D4725C" w:rsidP="005C6B31">
      <w:pPr>
        <w:pStyle w:val="Para1"/>
        <w:keepLines/>
        <w:suppressLineNumbers/>
        <w:suppressAutoHyphens/>
        <w:kinsoku w:val="0"/>
        <w:overflowPunct w:val="0"/>
        <w:autoSpaceDE w:val="0"/>
        <w:autoSpaceDN w:val="0"/>
        <w:spacing w:after="60"/>
        <w:rPr>
          <w:kern w:val="18"/>
          <w:sz w:val="18"/>
          <w:lang w:val="en-GB"/>
        </w:rPr>
      </w:pPr>
      <w:r w:rsidRPr="005C6B31">
        <w:rPr>
          <w:rStyle w:val="FootnoteReference"/>
          <w:kern w:val="18"/>
          <w:lang w:val="en-GB"/>
        </w:rPr>
        <w:footnoteRef/>
      </w:r>
      <w:r w:rsidRPr="005C6B31">
        <w:rPr>
          <w:kern w:val="18"/>
          <w:sz w:val="18"/>
          <w:lang w:val="en-GB"/>
        </w:rPr>
        <w:t xml:space="preserve"> </w:t>
      </w:r>
      <w:r w:rsidRPr="005C6B31">
        <w:rPr>
          <w:rFonts w:eastAsia="Malgun Gothic"/>
          <w:kern w:val="18"/>
          <w:sz w:val="18"/>
          <w:lang w:val="en-GB"/>
        </w:rPr>
        <w:t>An earlier version of the present document was available for peer review from 5 to 30 March 2018, and comments were considered in finalizing the present document.</w:t>
      </w:r>
    </w:p>
  </w:footnote>
  <w:footnote w:id="3">
    <w:p w14:paraId="4D1E3CDE" w14:textId="77777777"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CBD/SBI/2/13.</w:t>
      </w:r>
    </w:p>
  </w:footnote>
  <w:footnote w:id="4">
    <w:p w14:paraId="1C11FA26" w14:textId="54FBE8A8"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These considerations would be discussed under item 11 (</w:t>
      </w:r>
      <w:r w:rsidRPr="005C6B31">
        <w:rPr>
          <w:snapToGrid w:val="0"/>
          <w:kern w:val="18"/>
          <w:szCs w:val="18"/>
          <w:lang w:val="en-GB" w:eastAsia="en-CA"/>
        </w:rPr>
        <w:t xml:space="preserve">monitoring and reporting (Article 29)) of the </w:t>
      </w:r>
      <w:hyperlink r:id="rId2" w:history="1">
        <w:r w:rsidRPr="005C6B31">
          <w:rPr>
            <w:rStyle w:val="Hyperlink"/>
            <w:snapToGrid w:val="0"/>
            <w:kern w:val="18"/>
            <w:szCs w:val="18"/>
            <w:lang w:val="en-GB" w:eastAsia="en-CA"/>
          </w:rPr>
          <w:t>provisional agenda</w:t>
        </w:r>
      </w:hyperlink>
      <w:r w:rsidRPr="005C6B31">
        <w:rPr>
          <w:snapToGrid w:val="0"/>
          <w:kern w:val="18"/>
          <w:szCs w:val="18"/>
          <w:lang w:val="en-GB" w:eastAsia="en-CA"/>
        </w:rPr>
        <w:t xml:space="preserve"> of the third meeting of the </w:t>
      </w:r>
      <w:r w:rsidRPr="005C6B31">
        <w:rPr>
          <w:snapToGrid w:val="0"/>
          <w:kern w:val="18"/>
          <w:szCs w:val="18"/>
          <w:lang w:val="en-GB"/>
        </w:rPr>
        <w:t>Conference of the Parties serving as the meeting of the Parties to the Nagoya Protocol.</w:t>
      </w:r>
    </w:p>
  </w:footnote>
  <w:footnote w:id="5">
    <w:p w14:paraId="78B6540D" w14:textId="7D2E940E"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w:t>
      </w:r>
      <w:r w:rsidR="00074389" w:rsidRPr="005C6B31">
        <w:rPr>
          <w:snapToGrid w:val="0"/>
          <w:kern w:val="18"/>
          <w:szCs w:val="18"/>
          <w:lang w:val="en-GB"/>
        </w:rPr>
        <w:t xml:space="preserve">See </w:t>
      </w:r>
      <w:r w:rsidRPr="005C6B31">
        <w:rPr>
          <w:snapToGrid w:val="0"/>
          <w:kern w:val="18"/>
          <w:szCs w:val="18"/>
          <w:lang w:val="en-GB"/>
        </w:rPr>
        <w:t>CBD/SBI/2/9.</w:t>
      </w:r>
    </w:p>
  </w:footnote>
  <w:footnote w:id="6">
    <w:p w14:paraId="05C3652C" w14:textId="5F196965"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See CBD/SBI/2/11 (addressed under agenda item 12).</w:t>
      </w:r>
    </w:p>
  </w:footnote>
  <w:footnote w:id="7">
    <w:p w14:paraId="340CF292" w14:textId="50A30789"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w:t>
      </w:r>
      <w:r w:rsidR="00880CE5" w:rsidRPr="005C6B31">
        <w:rPr>
          <w:snapToGrid w:val="0"/>
          <w:kern w:val="18"/>
          <w:szCs w:val="18"/>
          <w:lang w:val="en-GB"/>
        </w:rPr>
        <w:t xml:space="preserve">See </w:t>
      </w:r>
      <w:r w:rsidRPr="005C6B31">
        <w:rPr>
          <w:snapToGrid w:val="0"/>
          <w:kern w:val="18"/>
          <w:szCs w:val="18"/>
          <w:lang w:val="en-GB"/>
        </w:rPr>
        <w:t>CBD/SBI/2/10/Add.1.</w:t>
      </w:r>
    </w:p>
  </w:footnote>
  <w:footnote w:id="8">
    <w:p w14:paraId="29432299" w14:textId="31F06D52" w:rsidR="00244327" w:rsidRPr="005C6B31" w:rsidRDefault="00244327"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w:t>
      </w:r>
      <w:r w:rsidR="00462736" w:rsidRPr="005C6B31">
        <w:rPr>
          <w:snapToGrid w:val="0"/>
          <w:kern w:val="18"/>
          <w:szCs w:val="18"/>
          <w:lang w:val="en-GB"/>
        </w:rPr>
        <w:t xml:space="preserve">See General Assembly </w:t>
      </w:r>
      <w:hyperlink r:id="rId3" w:history="1">
        <w:r w:rsidR="00462736" w:rsidRPr="005C6B31">
          <w:rPr>
            <w:rStyle w:val="Hyperlink"/>
            <w:snapToGrid w:val="0"/>
            <w:kern w:val="18"/>
            <w:szCs w:val="18"/>
            <w:lang w:val="en-GB"/>
          </w:rPr>
          <w:t>resolution 70/1</w:t>
        </w:r>
      </w:hyperlink>
      <w:r w:rsidR="00462736" w:rsidRPr="005C6B31">
        <w:rPr>
          <w:snapToGrid w:val="0"/>
          <w:kern w:val="18"/>
          <w:szCs w:val="18"/>
          <w:lang w:val="en-GB"/>
        </w:rPr>
        <w:t xml:space="preserve"> of 25 September 2015, entitled “Transforming our world: the 2030 Agenda for Sustainable Development”.</w:t>
      </w:r>
    </w:p>
  </w:footnote>
  <w:footnote w:id="9">
    <w:p w14:paraId="4F29E4D0" w14:textId="1773F4D6" w:rsidR="009D12C7" w:rsidRPr="005C6B31" w:rsidRDefault="009D12C7"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United Nations Convention to Combat Desertification, Conference of the Parties, twelfth session, decision 9/COP.12 on “leveraging of synergies among the Rio conventions and promoting partnerships with other international agencies and bodies”</w:t>
      </w:r>
      <w:r w:rsidR="0080296F" w:rsidRPr="005C6B31">
        <w:rPr>
          <w:snapToGrid w:val="0"/>
          <w:kern w:val="18"/>
          <w:szCs w:val="18"/>
          <w:lang w:val="en-GB"/>
        </w:rPr>
        <w:t xml:space="preserve"> (see </w:t>
      </w:r>
      <w:hyperlink r:id="rId4" w:history="1">
        <w:r w:rsidR="0080296F" w:rsidRPr="005C6B31">
          <w:rPr>
            <w:rStyle w:val="Hyperlink"/>
            <w:snapToGrid w:val="0"/>
            <w:kern w:val="18"/>
            <w:szCs w:val="18"/>
            <w:lang w:val="en-GB"/>
          </w:rPr>
          <w:t>ICCD/COP(12)/20/Add.1</w:t>
        </w:r>
      </w:hyperlink>
      <w:r w:rsidR="0080296F" w:rsidRPr="005C6B31">
        <w:rPr>
          <w:snapToGrid w:val="0"/>
          <w:kern w:val="18"/>
          <w:szCs w:val="18"/>
          <w:lang w:val="en-GB"/>
        </w:rPr>
        <w:t>).</w:t>
      </w:r>
    </w:p>
  </w:footnote>
  <w:footnote w:id="10">
    <w:p w14:paraId="54BF78DF" w14:textId="245D1A84" w:rsidR="00E85B8A" w:rsidRPr="005C6B31" w:rsidRDefault="00E85B8A"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Ibid., thirteenth session, decision 15/COP.13 on “improving the procedures for communication of information as well as the quality and formats of reports to be submitted to the Conference of the Parties” (see </w:t>
      </w:r>
      <w:hyperlink r:id="rId5" w:history="1">
        <w:r w:rsidRPr="005C6B31">
          <w:rPr>
            <w:rStyle w:val="Hyperlink"/>
            <w:snapToGrid w:val="0"/>
            <w:kern w:val="18"/>
            <w:szCs w:val="18"/>
            <w:lang w:val="en-GB"/>
          </w:rPr>
          <w:t>ICCD/COP(13)/21/Add.1</w:t>
        </w:r>
      </w:hyperlink>
      <w:r w:rsidRPr="005C6B31">
        <w:rPr>
          <w:snapToGrid w:val="0"/>
          <w:kern w:val="18"/>
          <w:szCs w:val="18"/>
          <w:lang w:val="en-GB"/>
        </w:rPr>
        <w:t>).</w:t>
      </w:r>
    </w:p>
  </w:footnote>
  <w:footnote w:id="11">
    <w:p w14:paraId="6FC29D9C" w14:textId="6CED24E6"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United Nations Environment Programme, </w:t>
      </w:r>
      <w:hyperlink r:id="rId6" w:history="1">
        <w:r w:rsidR="00E760FF" w:rsidRPr="005C6B31">
          <w:rPr>
            <w:rStyle w:val="Hyperlink"/>
            <w:i/>
            <w:iCs/>
            <w:snapToGrid w:val="0"/>
            <w:kern w:val="18"/>
            <w:szCs w:val="18"/>
            <w:lang w:val="en-GB"/>
          </w:rPr>
          <w:t>Elaboration of Options for Enhancing S</w:t>
        </w:r>
        <w:r w:rsidRPr="005C6B31">
          <w:rPr>
            <w:rStyle w:val="Hyperlink"/>
            <w:i/>
            <w:iCs/>
            <w:snapToGrid w:val="0"/>
            <w:kern w:val="18"/>
            <w:szCs w:val="18"/>
            <w:lang w:val="en-GB"/>
          </w:rPr>
          <w:t xml:space="preserve">ynergies among </w:t>
        </w:r>
        <w:r w:rsidR="00E760FF" w:rsidRPr="005C6B31">
          <w:rPr>
            <w:rStyle w:val="Hyperlink"/>
            <w:i/>
            <w:iCs/>
            <w:snapToGrid w:val="0"/>
            <w:kern w:val="18"/>
            <w:szCs w:val="18"/>
            <w:lang w:val="en-GB"/>
          </w:rPr>
          <w:t>Biodiversity-related C</w:t>
        </w:r>
        <w:r w:rsidRPr="005C6B31">
          <w:rPr>
            <w:rStyle w:val="Hyperlink"/>
            <w:i/>
            <w:iCs/>
            <w:snapToGrid w:val="0"/>
            <w:kern w:val="18"/>
            <w:szCs w:val="18"/>
            <w:lang w:val="en-GB"/>
          </w:rPr>
          <w:t>onventions</w:t>
        </w:r>
      </w:hyperlink>
      <w:r w:rsidRPr="005C6B31">
        <w:rPr>
          <w:snapToGrid w:val="0"/>
          <w:kern w:val="18"/>
          <w:szCs w:val="18"/>
          <w:lang w:val="en-GB"/>
        </w:rPr>
        <w:t>, March 2016.</w:t>
      </w:r>
    </w:p>
  </w:footnote>
  <w:footnote w:id="12">
    <w:p w14:paraId="182549F5" w14:textId="042605E0"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Unite</w:t>
      </w:r>
      <w:r w:rsidR="00831C6B">
        <w:rPr>
          <w:snapToGrid w:val="0"/>
          <w:kern w:val="18"/>
          <w:szCs w:val="18"/>
          <w:lang w:val="en-GB"/>
        </w:rPr>
        <w:t>d Nations Environment Programme–</w:t>
      </w:r>
      <w:r w:rsidRPr="005C6B31">
        <w:rPr>
          <w:snapToGrid w:val="0"/>
          <w:kern w:val="18"/>
          <w:szCs w:val="18"/>
          <w:lang w:val="en-GB"/>
        </w:rPr>
        <w:t xml:space="preserve">World Conservation Monitoring Centre and </w:t>
      </w:r>
      <w:proofErr w:type="spellStart"/>
      <w:r w:rsidRPr="005C6B31">
        <w:rPr>
          <w:snapToGrid w:val="0"/>
          <w:kern w:val="18"/>
          <w:szCs w:val="18"/>
          <w:lang w:val="en-GB"/>
        </w:rPr>
        <w:t>NatureConsult</w:t>
      </w:r>
      <w:proofErr w:type="spellEnd"/>
      <w:r w:rsidRPr="005C6B31">
        <w:rPr>
          <w:snapToGrid w:val="0"/>
          <w:kern w:val="18"/>
          <w:szCs w:val="18"/>
          <w:lang w:val="en-GB"/>
        </w:rPr>
        <w:t xml:space="preserve">, “Elements for a modular reporting against the Aichi Biodiversity Targets”, Final report – August 2016 (issued for the thirteenth meeting of the Conference of the Parties as </w:t>
      </w:r>
      <w:hyperlink r:id="rId7" w:history="1">
        <w:r w:rsidRPr="005C6B31">
          <w:rPr>
            <w:rStyle w:val="Hyperlink"/>
            <w:snapToGrid w:val="0"/>
            <w:kern w:val="18"/>
            <w:szCs w:val="18"/>
            <w:lang w:val="en-GB"/>
          </w:rPr>
          <w:t>UNEP/CBD/COP/13/INF/24</w:t>
        </w:r>
      </w:hyperlink>
      <w:r w:rsidRPr="005C6B31">
        <w:rPr>
          <w:snapToGrid w:val="0"/>
          <w:kern w:val="18"/>
          <w:szCs w:val="18"/>
          <w:lang w:val="en-GB"/>
        </w:rPr>
        <w:t>).</w:t>
      </w:r>
    </w:p>
  </w:footnote>
  <w:footnote w:id="13">
    <w:p w14:paraId="6992FF36" w14:textId="605CA78D"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w:t>
      </w:r>
      <w:r w:rsidR="00FC46E1" w:rsidRPr="005C6B31">
        <w:rPr>
          <w:snapToGrid w:val="0"/>
          <w:kern w:val="18"/>
          <w:szCs w:val="18"/>
          <w:lang w:val="en-GB"/>
        </w:rPr>
        <w:t xml:space="preserve">For meeting documentation, see </w:t>
      </w:r>
      <w:hyperlink r:id="rId8" w:history="1">
        <w:r w:rsidRPr="005C6B31">
          <w:rPr>
            <w:rStyle w:val="Hyperlink"/>
            <w:snapToGrid w:val="0"/>
            <w:kern w:val="18"/>
            <w:szCs w:val="18"/>
            <w:lang w:val="en-GB"/>
          </w:rPr>
          <w:t>https://www.cbd.int/meetings/BRCWS-2016-01</w:t>
        </w:r>
      </w:hyperlink>
    </w:p>
  </w:footnote>
  <w:footnote w:id="14">
    <w:p w14:paraId="518525FC" w14:textId="3FC80518" w:rsidR="004247B2" w:rsidRPr="005C6B31" w:rsidRDefault="004247B2"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CMS and several of its agreements (</w:t>
      </w:r>
      <w:r w:rsidR="00903111" w:rsidRPr="005C6B31">
        <w:rPr>
          <w:snapToGrid w:val="0"/>
          <w:kern w:val="18"/>
          <w:szCs w:val="18"/>
          <w:lang w:val="en-GB"/>
        </w:rPr>
        <w:t xml:space="preserve">Agreement on the Conservation of African-Eurasian Migratory </w:t>
      </w:r>
      <w:proofErr w:type="spellStart"/>
      <w:r w:rsidR="00903111" w:rsidRPr="005C6B31">
        <w:rPr>
          <w:snapToGrid w:val="0"/>
          <w:kern w:val="18"/>
          <w:szCs w:val="18"/>
          <w:lang w:val="en-GB"/>
        </w:rPr>
        <w:t>Waterbirds</w:t>
      </w:r>
      <w:proofErr w:type="spellEnd"/>
      <w:r w:rsidR="00903111" w:rsidRPr="005C6B31">
        <w:rPr>
          <w:snapToGrid w:val="0"/>
          <w:kern w:val="18"/>
          <w:szCs w:val="18"/>
          <w:lang w:val="en-GB"/>
        </w:rPr>
        <w:t xml:space="preserve"> (</w:t>
      </w:r>
      <w:r w:rsidRPr="005C6B31">
        <w:rPr>
          <w:snapToGrid w:val="0"/>
          <w:kern w:val="18"/>
          <w:szCs w:val="18"/>
          <w:lang w:val="en-GB"/>
        </w:rPr>
        <w:t>AEWA</w:t>
      </w:r>
      <w:r w:rsidR="00903111" w:rsidRPr="005C6B31">
        <w:rPr>
          <w:snapToGrid w:val="0"/>
          <w:kern w:val="18"/>
          <w:szCs w:val="18"/>
          <w:lang w:val="en-GB"/>
        </w:rPr>
        <w:t>)</w:t>
      </w:r>
      <w:r w:rsidRPr="005C6B31">
        <w:rPr>
          <w:snapToGrid w:val="0"/>
          <w:kern w:val="18"/>
          <w:szCs w:val="18"/>
          <w:lang w:val="en-GB"/>
        </w:rPr>
        <w:t xml:space="preserve">, </w:t>
      </w:r>
      <w:r w:rsidR="00903111" w:rsidRPr="005C6B31">
        <w:rPr>
          <w:snapToGrid w:val="0"/>
          <w:kern w:val="18"/>
          <w:szCs w:val="18"/>
          <w:lang w:val="en-GB"/>
        </w:rPr>
        <w:t>Agreement on the Conservation of Populations of European Bats (</w:t>
      </w:r>
      <w:r w:rsidRPr="005C6B31">
        <w:rPr>
          <w:snapToGrid w:val="0"/>
          <w:kern w:val="18"/>
          <w:szCs w:val="18"/>
          <w:lang w:val="en-GB"/>
        </w:rPr>
        <w:t>EUROBATS</w:t>
      </w:r>
      <w:r w:rsidR="00903111" w:rsidRPr="005C6B31">
        <w:rPr>
          <w:snapToGrid w:val="0"/>
          <w:kern w:val="18"/>
          <w:szCs w:val="18"/>
          <w:lang w:val="en-GB"/>
        </w:rPr>
        <w:t>)</w:t>
      </w:r>
      <w:r w:rsidRPr="005C6B31">
        <w:rPr>
          <w:snapToGrid w:val="0"/>
          <w:kern w:val="18"/>
          <w:szCs w:val="18"/>
          <w:lang w:val="en-GB"/>
        </w:rPr>
        <w:t xml:space="preserve">, </w:t>
      </w:r>
      <w:r w:rsidR="00903111" w:rsidRPr="005C6B31">
        <w:rPr>
          <w:snapToGrid w:val="0"/>
          <w:kern w:val="18"/>
          <w:szCs w:val="18"/>
          <w:lang w:val="en-GB"/>
        </w:rPr>
        <w:t>Agreement on the Conservation of Small Cetaceans of the Baltic, North East Atlantic, Irish and North Seas (</w:t>
      </w:r>
      <w:r w:rsidRPr="005C6B31">
        <w:rPr>
          <w:snapToGrid w:val="0"/>
          <w:kern w:val="18"/>
          <w:szCs w:val="18"/>
          <w:lang w:val="en-GB"/>
        </w:rPr>
        <w:t>ASCOBANS</w:t>
      </w:r>
      <w:r w:rsidR="00903111" w:rsidRPr="005C6B31">
        <w:rPr>
          <w:snapToGrid w:val="0"/>
          <w:kern w:val="18"/>
          <w:szCs w:val="18"/>
          <w:lang w:val="en-GB"/>
        </w:rPr>
        <w:t>)</w:t>
      </w:r>
      <w:r w:rsidRPr="005C6B31">
        <w:rPr>
          <w:snapToGrid w:val="0"/>
          <w:kern w:val="18"/>
          <w:szCs w:val="18"/>
          <w:lang w:val="en-GB"/>
        </w:rPr>
        <w:t xml:space="preserve">, </w:t>
      </w:r>
      <w:r w:rsidR="00903111" w:rsidRPr="005C6B31">
        <w:rPr>
          <w:snapToGrid w:val="0"/>
          <w:kern w:val="18"/>
          <w:szCs w:val="18"/>
          <w:lang w:val="en-GB"/>
        </w:rPr>
        <w:t>Memorandum of Understanding on the Conservation of Migratory Sharks</w:t>
      </w:r>
      <w:r w:rsidR="0050054E" w:rsidRPr="005C6B31">
        <w:rPr>
          <w:snapToGrid w:val="0"/>
          <w:kern w:val="18"/>
          <w:szCs w:val="18"/>
          <w:lang w:val="en-GB"/>
        </w:rPr>
        <w:t>)</w:t>
      </w:r>
      <w:r w:rsidR="0065083C" w:rsidRPr="005C6B31">
        <w:rPr>
          <w:snapToGrid w:val="0"/>
          <w:kern w:val="18"/>
          <w:szCs w:val="18"/>
          <w:lang w:val="en-GB"/>
        </w:rPr>
        <w:t xml:space="preserve">, CITES, </w:t>
      </w:r>
      <w:proofErr w:type="spellStart"/>
      <w:r w:rsidR="0065083C" w:rsidRPr="005C6B31">
        <w:rPr>
          <w:snapToGrid w:val="0"/>
          <w:kern w:val="18"/>
          <w:szCs w:val="18"/>
          <w:lang w:val="en-GB"/>
        </w:rPr>
        <w:t>Ramsar</w:t>
      </w:r>
      <w:proofErr w:type="spellEnd"/>
      <w:r w:rsidR="0065083C" w:rsidRPr="005C6B31">
        <w:rPr>
          <w:snapToGrid w:val="0"/>
          <w:kern w:val="18"/>
          <w:szCs w:val="18"/>
          <w:lang w:val="en-GB"/>
        </w:rPr>
        <w:t>, ITPGRFA</w:t>
      </w:r>
      <w:r w:rsidRPr="005C6B31">
        <w:rPr>
          <w:snapToGrid w:val="0"/>
          <w:kern w:val="18"/>
          <w:szCs w:val="18"/>
          <w:lang w:val="en-GB"/>
        </w:rPr>
        <w:t xml:space="preserve"> and the Bern Convention.</w:t>
      </w:r>
    </w:p>
  </w:footnote>
  <w:footnote w:id="15">
    <w:p w14:paraId="365F59EA" w14:textId="7A149631" w:rsidR="007B16C3" w:rsidRPr="005C6B31" w:rsidRDefault="007B16C3" w:rsidP="005C6B31">
      <w:pPr>
        <w:pStyle w:val="FootnoteText"/>
        <w:suppressLineNumbers/>
        <w:suppressAutoHyphens/>
        <w:kinsoku w:val="0"/>
        <w:overflowPunct w:val="0"/>
        <w:autoSpaceDE w:val="0"/>
        <w:autoSpaceDN w:val="0"/>
        <w:ind w:firstLine="0"/>
        <w:rPr>
          <w:snapToGrid w:val="0"/>
          <w:kern w:val="18"/>
          <w:lang w:val="en-US"/>
        </w:rPr>
      </w:pPr>
      <w:r w:rsidRPr="005C6B31">
        <w:rPr>
          <w:rStyle w:val="FootnoteReference"/>
          <w:snapToGrid w:val="0"/>
          <w:kern w:val="18"/>
        </w:rPr>
        <w:footnoteRef/>
      </w:r>
      <w:r w:rsidRPr="005C6B31">
        <w:rPr>
          <w:snapToGrid w:val="0"/>
          <w:kern w:val="18"/>
        </w:rPr>
        <w:t xml:space="preserve"> </w:t>
      </w:r>
      <w:r w:rsidRPr="005C6B31">
        <w:rPr>
          <w:snapToGrid w:val="0"/>
          <w:kern w:val="18"/>
          <w:lang w:val="en-US"/>
        </w:rPr>
        <w:t xml:space="preserve">United Nations, </w:t>
      </w:r>
      <w:r w:rsidRPr="005C6B31">
        <w:rPr>
          <w:i/>
          <w:iCs/>
          <w:snapToGrid w:val="0"/>
          <w:kern w:val="18"/>
          <w:lang w:val="en-US"/>
        </w:rPr>
        <w:t>Treaty Series</w:t>
      </w:r>
      <w:r w:rsidRPr="005C6B31">
        <w:rPr>
          <w:snapToGrid w:val="0"/>
          <w:kern w:val="18"/>
          <w:lang w:val="en-US"/>
        </w:rPr>
        <w:t xml:space="preserve">, </w:t>
      </w:r>
      <w:hyperlink r:id="rId9" w:history="1">
        <w:r w:rsidRPr="005C6B31">
          <w:rPr>
            <w:rStyle w:val="Hyperlink"/>
            <w:snapToGrid w:val="0"/>
            <w:kern w:val="18"/>
            <w:lang w:val="en-US"/>
          </w:rPr>
          <w:t>Registration No. 54113</w:t>
        </w:r>
      </w:hyperlink>
      <w:r w:rsidRPr="005C6B31">
        <w:rPr>
          <w:snapToGrid w:val="0"/>
          <w:kern w:val="18"/>
          <w:lang w:val="en-US"/>
        </w:rPr>
        <w:t>.</w:t>
      </w:r>
    </w:p>
  </w:footnote>
  <w:footnote w:id="16">
    <w:p w14:paraId="3E88407D" w14:textId="43F6AC3A" w:rsidR="00D4725C" w:rsidRPr="005C6B31" w:rsidRDefault="00D4725C" w:rsidP="005C6B31">
      <w:pPr>
        <w:pStyle w:val="FootnoteText"/>
        <w:suppressLineNumbers/>
        <w:suppressAutoHyphens/>
        <w:kinsoku w:val="0"/>
        <w:overflowPunct w:val="0"/>
        <w:autoSpaceDE w:val="0"/>
        <w:autoSpaceDN w:val="0"/>
        <w:ind w:firstLine="0"/>
        <w:rPr>
          <w:snapToGrid w:val="0"/>
          <w:kern w:val="18"/>
          <w:szCs w:val="18"/>
          <w:lang w:val="en-GB"/>
        </w:rPr>
      </w:pPr>
      <w:r w:rsidRPr="005C6B31">
        <w:rPr>
          <w:rStyle w:val="FootnoteReference"/>
          <w:snapToGrid w:val="0"/>
          <w:kern w:val="18"/>
          <w:szCs w:val="18"/>
          <w:lang w:val="en-GB"/>
        </w:rPr>
        <w:footnoteRef/>
      </w:r>
      <w:r w:rsidRPr="005C6B31">
        <w:rPr>
          <w:snapToGrid w:val="0"/>
          <w:kern w:val="18"/>
          <w:szCs w:val="18"/>
          <w:lang w:val="en-GB"/>
        </w:rPr>
        <w:t xml:space="preserve"> A summary report was made available to the Conference of the Parties to CITES </w:t>
      </w:r>
      <w:r w:rsidR="00552737" w:rsidRPr="005C6B31">
        <w:rPr>
          <w:snapToGrid w:val="0"/>
          <w:kern w:val="18"/>
          <w:szCs w:val="18"/>
          <w:lang w:val="en-GB"/>
        </w:rPr>
        <w:t xml:space="preserve">at its fifteenth meeting </w:t>
      </w:r>
      <w:r w:rsidRPr="005C6B31">
        <w:rPr>
          <w:snapToGrid w:val="0"/>
          <w:kern w:val="18"/>
          <w:szCs w:val="18"/>
          <w:lang w:val="en-GB"/>
        </w:rPr>
        <w:t xml:space="preserve">(see </w:t>
      </w:r>
      <w:hyperlink r:id="rId10" w:history="1">
        <w:r w:rsidRPr="005C6B31">
          <w:rPr>
            <w:rStyle w:val="Hyperlink"/>
            <w:snapToGrid w:val="0"/>
            <w:kern w:val="18"/>
            <w:szCs w:val="18"/>
            <w:lang w:val="en-GB"/>
          </w:rPr>
          <w:t>https://cites.org/sites/default/files/common/cop/15/inf/E15i-44.pdf</w:t>
        </w:r>
      </w:hyperlink>
      <w:r w:rsidRPr="005C6B31">
        <w:rPr>
          <w:snapToGrid w:val="0"/>
          <w:kern w:val="18"/>
          <w:szCs w:val="18"/>
          <w:lang w:val="en-GB"/>
        </w:rPr>
        <w:t xml:space="preserve"> and </w:t>
      </w:r>
      <w:hyperlink r:id="rId11" w:history="1">
        <w:r w:rsidRPr="005C6B31">
          <w:rPr>
            <w:rStyle w:val="Hyperlink"/>
            <w:snapToGrid w:val="0"/>
            <w:kern w:val="18"/>
            <w:szCs w:val="18"/>
            <w:lang w:val="en-GB"/>
          </w:rPr>
          <w:t>https://cites.org/sites/default/files/common/cop/15/inf/E15i-44A.pdf</w:t>
        </w:r>
      </w:hyperlink>
      <w:r w:rsidRPr="005C6B31">
        <w:rPr>
          <w:snapToGrid w:val="0"/>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14:paraId="74BE2351" w14:textId="77777777"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r w:rsidRPr="005C6B31">
          <w:rPr>
            <w:noProof/>
            <w:snapToGrid w:val="0"/>
            <w:kern w:val="22"/>
            <w:sz w:val="22"/>
            <w:szCs w:val="22"/>
            <w:lang w:val="en-GB"/>
          </w:rPr>
          <w:t>CBD/SBI/2/12</w:t>
        </w:r>
      </w:p>
    </w:sdtContent>
  </w:sdt>
  <w:p w14:paraId="3D5DC92C" w14:textId="0028024F"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r w:rsidRPr="005C6B31">
      <w:rPr>
        <w:noProof/>
        <w:snapToGrid w:val="0"/>
        <w:kern w:val="22"/>
        <w:sz w:val="22"/>
        <w:szCs w:val="22"/>
        <w:lang w:val="en-GB"/>
      </w:rPr>
      <w:t xml:space="preserve">Page </w:t>
    </w:r>
    <w:r w:rsidRPr="005C6B31">
      <w:rPr>
        <w:bCs/>
        <w:noProof/>
        <w:snapToGrid w:val="0"/>
        <w:kern w:val="22"/>
        <w:sz w:val="22"/>
        <w:szCs w:val="22"/>
        <w:lang w:val="en-GB"/>
      </w:rPr>
      <w:fldChar w:fldCharType="begin"/>
    </w:r>
    <w:r w:rsidRPr="005C6B31">
      <w:rPr>
        <w:bCs/>
        <w:noProof/>
        <w:snapToGrid w:val="0"/>
        <w:kern w:val="22"/>
        <w:sz w:val="22"/>
        <w:szCs w:val="22"/>
        <w:lang w:val="en-GB"/>
      </w:rPr>
      <w:instrText xml:space="preserve"> PAGE </w:instrText>
    </w:r>
    <w:r w:rsidRPr="005C6B31">
      <w:rPr>
        <w:bCs/>
        <w:noProof/>
        <w:snapToGrid w:val="0"/>
        <w:kern w:val="22"/>
        <w:sz w:val="22"/>
        <w:szCs w:val="22"/>
        <w:lang w:val="en-GB"/>
      </w:rPr>
      <w:fldChar w:fldCharType="separate"/>
    </w:r>
    <w:r w:rsidR="008024E8">
      <w:rPr>
        <w:bCs/>
        <w:noProof/>
        <w:snapToGrid w:val="0"/>
        <w:kern w:val="22"/>
        <w:sz w:val="22"/>
        <w:szCs w:val="22"/>
        <w:lang w:val="en-GB"/>
      </w:rPr>
      <w:t>2</w:t>
    </w:r>
    <w:r w:rsidRPr="005C6B31">
      <w:rPr>
        <w:bCs/>
        <w:noProof/>
        <w:snapToGrid w:val="0"/>
        <w:kern w:val="22"/>
        <w:sz w:val="22"/>
        <w:szCs w:val="22"/>
        <w:lang w:val="en-GB"/>
      </w:rPr>
      <w:fldChar w:fldCharType="end"/>
    </w:r>
  </w:p>
  <w:p w14:paraId="51FB6271" w14:textId="77777777" w:rsidR="00D4725C" w:rsidRPr="005C6B31" w:rsidRDefault="00D4725C" w:rsidP="005C6B31">
    <w:pPr>
      <w:pStyle w:val="Header"/>
      <w:tabs>
        <w:tab w:val="clear" w:pos="4320"/>
        <w:tab w:val="clear" w:pos="8640"/>
      </w:tabs>
      <w:kinsoku w:val="0"/>
      <w:overflowPunct w:val="0"/>
      <w:autoSpaceDE w:val="0"/>
      <w:autoSpaceDN w:val="0"/>
      <w:rPr>
        <w:noProof/>
        <w:snapToGrid w:val="0"/>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072192401"/>
      <w:placeholder>
        <w:docPart w:val="56AF1DFCF59C4D7CB360E7F7CF17E7F2"/>
      </w:placeholder>
      <w:dataBinding w:prefixMappings="xmlns:ns0='http://purl.org/dc/elements/1.1/' xmlns:ns1='http://schemas.openxmlformats.org/package/2006/metadata/core-properties' " w:xpath="/ns1:coreProperties[1]/ns0:subject[1]" w:storeItemID="{6C3C8BC8-F283-45AE-878A-BAB7291924A1}"/>
      <w:text/>
    </w:sdtPr>
    <w:sdtEndPr/>
    <w:sdtContent>
      <w:p w14:paraId="769B1D47" w14:textId="77777777"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r w:rsidRPr="005C6B31">
          <w:rPr>
            <w:noProof/>
            <w:snapToGrid w:val="0"/>
            <w:kern w:val="22"/>
            <w:sz w:val="22"/>
            <w:szCs w:val="22"/>
            <w:lang w:val="en-GB"/>
          </w:rPr>
          <w:t>CBD/SBI/2/12</w:t>
        </w:r>
      </w:p>
    </w:sdtContent>
  </w:sdt>
  <w:p w14:paraId="37BF2E92" w14:textId="7835DB5E"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r w:rsidRPr="005C6B31">
      <w:rPr>
        <w:noProof/>
        <w:snapToGrid w:val="0"/>
        <w:kern w:val="22"/>
        <w:sz w:val="22"/>
        <w:szCs w:val="22"/>
        <w:lang w:val="en-GB"/>
      </w:rPr>
      <w:t xml:space="preserve">Page </w:t>
    </w:r>
    <w:r w:rsidRPr="005C6B31">
      <w:rPr>
        <w:bCs/>
        <w:noProof/>
        <w:snapToGrid w:val="0"/>
        <w:kern w:val="22"/>
        <w:sz w:val="22"/>
        <w:szCs w:val="22"/>
        <w:lang w:val="en-GB"/>
      </w:rPr>
      <w:fldChar w:fldCharType="begin"/>
    </w:r>
    <w:r w:rsidRPr="005C6B31">
      <w:rPr>
        <w:bCs/>
        <w:noProof/>
        <w:snapToGrid w:val="0"/>
        <w:kern w:val="22"/>
        <w:sz w:val="22"/>
        <w:szCs w:val="22"/>
        <w:lang w:val="en-GB"/>
      </w:rPr>
      <w:instrText xml:space="preserve"> PAGE </w:instrText>
    </w:r>
    <w:r w:rsidRPr="005C6B31">
      <w:rPr>
        <w:bCs/>
        <w:noProof/>
        <w:snapToGrid w:val="0"/>
        <w:kern w:val="22"/>
        <w:sz w:val="22"/>
        <w:szCs w:val="22"/>
        <w:lang w:val="en-GB"/>
      </w:rPr>
      <w:fldChar w:fldCharType="separate"/>
    </w:r>
    <w:r w:rsidR="008024E8">
      <w:rPr>
        <w:bCs/>
        <w:noProof/>
        <w:snapToGrid w:val="0"/>
        <w:kern w:val="22"/>
        <w:sz w:val="22"/>
        <w:szCs w:val="22"/>
        <w:lang w:val="en-GB"/>
      </w:rPr>
      <w:t>13</w:t>
    </w:r>
    <w:r w:rsidRPr="005C6B31">
      <w:rPr>
        <w:bCs/>
        <w:noProof/>
        <w:snapToGrid w:val="0"/>
        <w:kern w:val="22"/>
        <w:sz w:val="22"/>
        <w:szCs w:val="22"/>
        <w:lang w:val="en-GB"/>
      </w:rPr>
      <w:fldChar w:fldCharType="end"/>
    </w:r>
  </w:p>
  <w:p w14:paraId="3C6A6198" w14:textId="77777777" w:rsidR="00D4725C" w:rsidRPr="005C6B31" w:rsidRDefault="00D4725C"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53B"/>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71477E"/>
    <w:multiLevelType w:val="hybridMultilevel"/>
    <w:tmpl w:val="4282CBCA"/>
    <w:lvl w:ilvl="0" w:tplc="85FCB4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A412C"/>
    <w:multiLevelType w:val="multilevel"/>
    <w:tmpl w:val="7102F100"/>
    <w:lvl w:ilvl="0">
      <w:start w:val="1"/>
      <w:numFmt w:val="decimal"/>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901FA3"/>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3A52"/>
    <w:multiLevelType w:val="hybridMultilevel"/>
    <w:tmpl w:val="20C6C3C0"/>
    <w:lvl w:ilvl="0" w:tplc="F8F2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D4335"/>
    <w:multiLevelType w:val="hybridMultilevel"/>
    <w:tmpl w:val="3986364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8EC7FB9"/>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F6548C"/>
    <w:multiLevelType w:val="hybridMultilevel"/>
    <w:tmpl w:val="83D29DC8"/>
    <w:lvl w:ilvl="0" w:tplc="732025C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1A25"/>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CA1DCB"/>
    <w:multiLevelType w:val="hybridMultilevel"/>
    <w:tmpl w:val="CADCEA64"/>
    <w:lvl w:ilvl="0" w:tplc="DBD87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C704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72B96"/>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93A7E9E"/>
    <w:multiLevelType w:val="hybridMultilevel"/>
    <w:tmpl w:val="97481074"/>
    <w:lvl w:ilvl="0" w:tplc="F07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BB72D1"/>
    <w:multiLevelType w:val="hybridMultilevel"/>
    <w:tmpl w:val="F356F4B4"/>
    <w:lvl w:ilvl="0" w:tplc="47F60D4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7E118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lvlOverride w:ilvl="0">
      <w:startOverride w:val="1"/>
    </w:lvlOverride>
  </w:num>
  <w:num w:numId="4">
    <w:abstractNumId w:val="2"/>
  </w:num>
  <w:num w:numId="5">
    <w:abstractNumId w:val="10"/>
  </w:num>
  <w:num w:numId="6">
    <w:abstractNumId w:val="27"/>
  </w:num>
  <w:num w:numId="7">
    <w:abstractNumId w:val="24"/>
  </w:num>
  <w:num w:numId="8">
    <w:abstractNumId w:val="12"/>
  </w:num>
  <w:num w:numId="9">
    <w:abstractNumId w:val="20"/>
  </w:num>
  <w:num w:numId="10">
    <w:abstractNumId w:val="13"/>
  </w:num>
  <w:num w:numId="11">
    <w:abstractNumId w:val="25"/>
  </w:num>
  <w:num w:numId="12">
    <w:abstractNumId w:val="7"/>
  </w:num>
  <w:num w:numId="13">
    <w:abstractNumId w:val="22"/>
  </w:num>
  <w:num w:numId="14">
    <w:abstractNumId w:val="26"/>
  </w:num>
  <w:num w:numId="15">
    <w:abstractNumId w:val="1"/>
  </w:num>
  <w:num w:numId="16">
    <w:abstractNumId w:val="16"/>
  </w:num>
  <w:num w:numId="17">
    <w:abstractNumId w:val="23"/>
  </w:num>
  <w:num w:numId="18">
    <w:abstractNumId w:val="0"/>
  </w:num>
  <w:num w:numId="19">
    <w:abstractNumId w:val="11"/>
  </w:num>
  <w:num w:numId="20">
    <w:abstractNumId w:val="14"/>
  </w:num>
  <w:num w:numId="21">
    <w:abstractNumId w:val="3"/>
  </w:num>
  <w:num w:numId="22">
    <w:abstractNumId w:val="29"/>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4"/>
  </w:num>
  <w:num w:numId="27">
    <w:abstractNumId w:val="15"/>
  </w:num>
  <w:num w:numId="28">
    <w:abstractNumId w:val="6"/>
  </w:num>
  <w:num w:numId="29">
    <w:abstractNumId w:val="30"/>
  </w:num>
  <w:num w:numId="30">
    <w:abstractNumId w:val="18"/>
  </w:num>
  <w:num w:numId="31">
    <w:abstractNumId w:val="8"/>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isplayHorizontalDrawingGridEvery w:val="0"/>
  <w:displayVerticalDrawingGridEvery w:val="0"/>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D"/>
    <w:rsid w:val="0000456C"/>
    <w:rsid w:val="0000504E"/>
    <w:rsid w:val="00010E58"/>
    <w:rsid w:val="000120E3"/>
    <w:rsid w:val="00013524"/>
    <w:rsid w:val="000146E4"/>
    <w:rsid w:val="000158D5"/>
    <w:rsid w:val="0001729D"/>
    <w:rsid w:val="00025872"/>
    <w:rsid w:val="000435FC"/>
    <w:rsid w:val="00066508"/>
    <w:rsid w:val="00074389"/>
    <w:rsid w:val="00074DBF"/>
    <w:rsid w:val="000751F5"/>
    <w:rsid w:val="00075498"/>
    <w:rsid w:val="00081757"/>
    <w:rsid w:val="00083E52"/>
    <w:rsid w:val="00085303"/>
    <w:rsid w:val="00085F6F"/>
    <w:rsid w:val="0008714D"/>
    <w:rsid w:val="000959EC"/>
    <w:rsid w:val="000A0D1B"/>
    <w:rsid w:val="000A315E"/>
    <w:rsid w:val="000A5004"/>
    <w:rsid w:val="000A6AE2"/>
    <w:rsid w:val="000B516A"/>
    <w:rsid w:val="000B5DAA"/>
    <w:rsid w:val="000C6BAE"/>
    <w:rsid w:val="000C6E54"/>
    <w:rsid w:val="000C7F51"/>
    <w:rsid w:val="000D077C"/>
    <w:rsid w:val="000D0ABA"/>
    <w:rsid w:val="000D40C7"/>
    <w:rsid w:val="000D6CB3"/>
    <w:rsid w:val="000D73D6"/>
    <w:rsid w:val="000E2187"/>
    <w:rsid w:val="000E52F8"/>
    <w:rsid w:val="000F5828"/>
    <w:rsid w:val="000F7151"/>
    <w:rsid w:val="00104545"/>
    <w:rsid w:val="00106E25"/>
    <w:rsid w:val="001166A3"/>
    <w:rsid w:val="00120D09"/>
    <w:rsid w:val="00122C5C"/>
    <w:rsid w:val="00127965"/>
    <w:rsid w:val="00130614"/>
    <w:rsid w:val="00132950"/>
    <w:rsid w:val="0013438A"/>
    <w:rsid w:val="00136FA0"/>
    <w:rsid w:val="00145DDF"/>
    <w:rsid w:val="00155560"/>
    <w:rsid w:val="0015614A"/>
    <w:rsid w:val="00162507"/>
    <w:rsid w:val="00162555"/>
    <w:rsid w:val="00170EB3"/>
    <w:rsid w:val="00171495"/>
    <w:rsid w:val="001749CF"/>
    <w:rsid w:val="0018090B"/>
    <w:rsid w:val="001815AB"/>
    <w:rsid w:val="001832E9"/>
    <w:rsid w:val="0018650D"/>
    <w:rsid w:val="001873E4"/>
    <w:rsid w:val="00192D70"/>
    <w:rsid w:val="001956FA"/>
    <w:rsid w:val="001966EC"/>
    <w:rsid w:val="001A5005"/>
    <w:rsid w:val="001A5765"/>
    <w:rsid w:val="001B0814"/>
    <w:rsid w:val="001B1315"/>
    <w:rsid w:val="001B407E"/>
    <w:rsid w:val="001B5083"/>
    <w:rsid w:val="001C62F5"/>
    <w:rsid w:val="001D304E"/>
    <w:rsid w:val="001F1C94"/>
    <w:rsid w:val="001F3035"/>
    <w:rsid w:val="0020144B"/>
    <w:rsid w:val="00211C03"/>
    <w:rsid w:val="00215183"/>
    <w:rsid w:val="002151F5"/>
    <w:rsid w:val="00215833"/>
    <w:rsid w:val="00215D48"/>
    <w:rsid w:val="00220B63"/>
    <w:rsid w:val="0023274F"/>
    <w:rsid w:val="00234D9D"/>
    <w:rsid w:val="0023568A"/>
    <w:rsid w:val="00244327"/>
    <w:rsid w:val="002554F1"/>
    <w:rsid w:val="0026559C"/>
    <w:rsid w:val="00267C11"/>
    <w:rsid w:val="002709C3"/>
    <w:rsid w:val="00284A89"/>
    <w:rsid w:val="002864B4"/>
    <w:rsid w:val="0029615B"/>
    <w:rsid w:val="002A0A4B"/>
    <w:rsid w:val="002A1AB8"/>
    <w:rsid w:val="002A1D5A"/>
    <w:rsid w:val="002A388F"/>
    <w:rsid w:val="002B414F"/>
    <w:rsid w:val="002C272D"/>
    <w:rsid w:val="002C59E8"/>
    <w:rsid w:val="002D10A7"/>
    <w:rsid w:val="002D53CC"/>
    <w:rsid w:val="002D5ED8"/>
    <w:rsid w:val="002E1ED2"/>
    <w:rsid w:val="002E367F"/>
    <w:rsid w:val="002E4C98"/>
    <w:rsid w:val="002F1C60"/>
    <w:rsid w:val="002F551A"/>
    <w:rsid w:val="002F5CC5"/>
    <w:rsid w:val="002F6BE8"/>
    <w:rsid w:val="00301F3B"/>
    <w:rsid w:val="00302459"/>
    <w:rsid w:val="003070F2"/>
    <w:rsid w:val="0031455F"/>
    <w:rsid w:val="00330471"/>
    <w:rsid w:val="003360D1"/>
    <w:rsid w:val="003373C8"/>
    <w:rsid w:val="00337B94"/>
    <w:rsid w:val="003411D8"/>
    <w:rsid w:val="00341B8D"/>
    <w:rsid w:val="00356EC8"/>
    <w:rsid w:val="00357655"/>
    <w:rsid w:val="00357F15"/>
    <w:rsid w:val="00360DB7"/>
    <w:rsid w:val="00362E3C"/>
    <w:rsid w:val="003666F7"/>
    <w:rsid w:val="00366BD6"/>
    <w:rsid w:val="00377447"/>
    <w:rsid w:val="00377DDC"/>
    <w:rsid w:val="00390ED8"/>
    <w:rsid w:val="003A3BBE"/>
    <w:rsid w:val="003A44C4"/>
    <w:rsid w:val="003A635B"/>
    <w:rsid w:val="003A65C1"/>
    <w:rsid w:val="003B62CA"/>
    <w:rsid w:val="003C198C"/>
    <w:rsid w:val="003C1F21"/>
    <w:rsid w:val="003D10CC"/>
    <w:rsid w:val="003D567D"/>
    <w:rsid w:val="003E1C5B"/>
    <w:rsid w:val="003F2BCB"/>
    <w:rsid w:val="003F66F0"/>
    <w:rsid w:val="00402F09"/>
    <w:rsid w:val="00403843"/>
    <w:rsid w:val="00410974"/>
    <w:rsid w:val="00412B32"/>
    <w:rsid w:val="004144F4"/>
    <w:rsid w:val="0041473D"/>
    <w:rsid w:val="004163BE"/>
    <w:rsid w:val="004247B2"/>
    <w:rsid w:val="004276F2"/>
    <w:rsid w:val="00432AED"/>
    <w:rsid w:val="004337BE"/>
    <w:rsid w:val="0043655E"/>
    <w:rsid w:val="00440AE2"/>
    <w:rsid w:val="00441A4C"/>
    <w:rsid w:val="0044215F"/>
    <w:rsid w:val="00443183"/>
    <w:rsid w:val="00455A9A"/>
    <w:rsid w:val="004608EE"/>
    <w:rsid w:val="00462736"/>
    <w:rsid w:val="0046529F"/>
    <w:rsid w:val="004704D6"/>
    <w:rsid w:val="004719CB"/>
    <w:rsid w:val="00475318"/>
    <w:rsid w:val="004765C0"/>
    <w:rsid w:val="004828BD"/>
    <w:rsid w:val="00487B10"/>
    <w:rsid w:val="0049056D"/>
    <w:rsid w:val="00493849"/>
    <w:rsid w:val="00495CA3"/>
    <w:rsid w:val="004A4F98"/>
    <w:rsid w:val="004B30DD"/>
    <w:rsid w:val="004B7ABB"/>
    <w:rsid w:val="004C37A4"/>
    <w:rsid w:val="004C7DF8"/>
    <w:rsid w:val="004E1462"/>
    <w:rsid w:val="004E2020"/>
    <w:rsid w:val="004E2614"/>
    <w:rsid w:val="004E3DD2"/>
    <w:rsid w:val="004E671A"/>
    <w:rsid w:val="004F7BE4"/>
    <w:rsid w:val="004F7E0D"/>
    <w:rsid w:val="0050054E"/>
    <w:rsid w:val="005049F9"/>
    <w:rsid w:val="00504EEF"/>
    <w:rsid w:val="005079D7"/>
    <w:rsid w:val="005102A3"/>
    <w:rsid w:val="00511D67"/>
    <w:rsid w:val="00513795"/>
    <w:rsid w:val="005156FC"/>
    <w:rsid w:val="00530598"/>
    <w:rsid w:val="005408F1"/>
    <w:rsid w:val="0054152C"/>
    <w:rsid w:val="00546FE1"/>
    <w:rsid w:val="005477DB"/>
    <w:rsid w:val="00552737"/>
    <w:rsid w:val="0056032B"/>
    <w:rsid w:val="0057294C"/>
    <w:rsid w:val="005909C7"/>
    <w:rsid w:val="00591B7A"/>
    <w:rsid w:val="00595DFE"/>
    <w:rsid w:val="005A0F16"/>
    <w:rsid w:val="005A28DE"/>
    <w:rsid w:val="005A3BF6"/>
    <w:rsid w:val="005A3DE0"/>
    <w:rsid w:val="005A4427"/>
    <w:rsid w:val="005A4D45"/>
    <w:rsid w:val="005A7E84"/>
    <w:rsid w:val="005B202B"/>
    <w:rsid w:val="005B29BD"/>
    <w:rsid w:val="005B5E07"/>
    <w:rsid w:val="005C6B31"/>
    <w:rsid w:val="005C7E79"/>
    <w:rsid w:val="005E12C4"/>
    <w:rsid w:val="005E37F7"/>
    <w:rsid w:val="005E46F3"/>
    <w:rsid w:val="005E4F0A"/>
    <w:rsid w:val="005F0D2C"/>
    <w:rsid w:val="005F1D1C"/>
    <w:rsid w:val="005F417F"/>
    <w:rsid w:val="00600CEB"/>
    <w:rsid w:val="006205ED"/>
    <w:rsid w:val="00622324"/>
    <w:rsid w:val="006249C1"/>
    <w:rsid w:val="00632D10"/>
    <w:rsid w:val="00634AA6"/>
    <w:rsid w:val="00637514"/>
    <w:rsid w:val="00637EB9"/>
    <w:rsid w:val="00643262"/>
    <w:rsid w:val="0064653E"/>
    <w:rsid w:val="0065083C"/>
    <w:rsid w:val="0065157D"/>
    <w:rsid w:val="00657FD1"/>
    <w:rsid w:val="006608E4"/>
    <w:rsid w:val="00662AC8"/>
    <w:rsid w:val="0066692C"/>
    <w:rsid w:val="006669E7"/>
    <w:rsid w:val="00677751"/>
    <w:rsid w:val="006A094A"/>
    <w:rsid w:val="006A1BD2"/>
    <w:rsid w:val="006A1F46"/>
    <w:rsid w:val="006A3A20"/>
    <w:rsid w:val="006A43FF"/>
    <w:rsid w:val="006A53FD"/>
    <w:rsid w:val="006A6DBB"/>
    <w:rsid w:val="006B3378"/>
    <w:rsid w:val="006B4E49"/>
    <w:rsid w:val="006C007E"/>
    <w:rsid w:val="006C780C"/>
    <w:rsid w:val="006D391E"/>
    <w:rsid w:val="006D5ACB"/>
    <w:rsid w:val="006E37C6"/>
    <w:rsid w:val="006E3BAF"/>
    <w:rsid w:val="006E43A3"/>
    <w:rsid w:val="006F061B"/>
    <w:rsid w:val="006F14DE"/>
    <w:rsid w:val="006F4896"/>
    <w:rsid w:val="00711F2E"/>
    <w:rsid w:val="007130A3"/>
    <w:rsid w:val="00713DEA"/>
    <w:rsid w:val="007241DB"/>
    <w:rsid w:val="0072423A"/>
    <w:rsid w:val="00724845"/>
    <w:rsid w:val="00724E04"/>
    <w:rsid w:val="00725536"/>
    <w:rsid w:val="00727DC0"/>
    <w:rsid w:val="007342B8"/>
    <w:rsid w:val="0073531F"/>
    <w:rsid w:val="0074168A"/>
    <w:rsid w:val="00741878"/>
    <w:rsid w:val="007430C9"/>
    <w:rsid w:val="007547F5"/>
    <w:rsid w:val="00757691"/>
    <w:rsid w:val="0077330C"/>
    <w:rsid w:val="00775CC7"/>
    <w:rsid w:val="00782996"/>
    <w:rsid w:val="00786946"/>
    <w:rsid w:val="0078777D"/>
    <w:rsid w:val="00793A8D"/>
    <w:rsid w:val="007A3BE5"/>
    <w:rsid w:val="007B16C3"/>
    <w:rsid w:val="007B4F64"/>
    <w:rsid w:val="007C0D97"/>
    <w:rsid w:val="007C3065"/>
    <w:rsid w:val="007C3B7D"/>
    <w:rsid w:val="007C4C31"/>
    <w:rsid w:val="007E17A7"/>
    <w:rsid w:val="007F00AD"/>
    <w:rsid w:val="008024E8"/>
    <w:rsid w:val="0080296F"/>
    <w:rsid w:val="0080406B"/>
    <w:rsid w:val="0080691D"/>
    <w:rsid w:val="00823B3B"/>
    <w:rsid w:val="00831C6B"/>
    <w:rsid w:val="00831E30"/>
    <w:rsid w:val="0083420B"/>
    <w:rsid w:val="008342FE"/>
    <w:rsid w:val="00835533"/>
    <w:rsid w:val="008376FA"/>
    <w:rsid w:val="00842139"/>
    <w:rsid w:val="00843D64"/>
    <w:rsid w:val="008473FB"/>
    <w:rsid w:val="00847A07"/>
    <w:rsid w:val="00851CAC"/>
    <w:rsid w:val="0085421D"/>
    <w:rsid w:val="00854D3F"/>
    <w:rsid w:val="0085790F"/>
    <w:rsid w:val="00860C2A"/>
    <w:rsid w:val="00867690"/>
    <w:rsid w:val="00870894"/>
    <w:rsid w:val="00875AB1"/>
    <w:rsid w:val="00876C4E"/>
    <w:rsid w:val="00877DE7"/>
    <w:rsid w:val="00880CE5"/>
    <w:rsid w:val="00885E6E"/>
    <w:rsid w:val="00886353"/>
    <w:rsid w:val="00886922"/>
    <w:rsid w:val="00886D02"/>
    <w:rsid w:val="00891ADC"/>
    <w:rsid w:val="00892ADE"/>
    <w:rsid w:val="00893441"/>
    <w:rsid w:val="008952DA"/>
    <w:rsid w:val="00895C54"/>
    <w:rsid w:val="008A03AD"/>
    <w:rsid w:val="008A17D6"/>
    <w:rsid w:val="008A48AE"/>
    <w:rsid w:val="008A613C"/>
    <w:rsid w:val="008A7FBC"/>
    <w:rsid w:val="008B01B6"/>
    <w:rsid w:val="008B247A"/>
    <w:rsid w:val="008B77A0"/>
    <w:rsid w:val="008C24EE"/>
    <w:rsid w:val="008C46C9"/>
    <w:rsid w:val="008C541E"/>
    <w:rsid w:val="008D64A9"/>
    <w:rsid w:val="008E66A2"/>
    <w:rsid w:val="008F0B6F"/>
    <w:rsid w:val="008F15C4"/>
    <w:rsid w:val="008F3B34"/>
    <w:rsid w:val="00900BEB"/>
    <w:rsid w:val="00903111"/>
    <w:rsid w:val="00903C99"/>
    <w:rsid w:val="00903D8E"/>
    <w:rsid w:val="00904B72"/>
    <w:rsid w:val="00911371"/>
    <w:rsid w:val="00913946"/>
    <w:rsid w:val="00914312"/>
    <w:rsid w:val="00916407"/>
    <w:rsid w:val="00923971"/>
    <w:rsid w:val="009262F4"/>
    <w:rsid w:val="00927BD2"/>
    <w:rsid w:val="009400D9"/>
    <w:rsid w:val="0094089C"/>
    <w:rsid w:val="009435CD"/>
    <w:rsid w:val="0095067F"/>
    <w:rsid w:val="00955E58"/>
    <w:rsid w:val="0095773B"/>
    <w:rsid w:val="00957E98"/>
    <w:rsid w:val="009600E6"/>
    <w:rsid w:val="00964580"/>
    <w:rsid w:val="00975649"/>
    <w:rsid w:val="0099366F"/>
    <w:rsid w:val="00995675"/>
    <w:rsid w:val="009A2DA4"/>
    <w:rsid w:val="009A4206"/>
    <w:rsid w:val="009A54B0"/>
    <w:rsid w:val="009B1B04"/>
    <w:rsid w:val="009C124D"/>
    <w:rsid w:val="009C6E5A"/>
    <w:rsid w:val="009C71DD"/>
    <w:rsid w:val="009D12C7"/>
    <w:rsid w:val="009D1D80"/>
    <w:rsid w:val="009E2E6F"/>
    <w:rsid w:val="009E6208"/>
    <w:rsid w:val="009F0177"/>
    <w:rsid w:val="009F0A9F"/>
    <w:rsid w:val="009F6E84"/>
    <w:rsid w:val="00A02E4C"/>
    <w:rsid w:val="00A224FB"/>
    <w:rsid w:val="00A2485F"/>
    <w:rsid w:val="00A3735F"/>
    <w:rsid w:val="00A37AA0"/>
    <w:rsid w:val="00A37EEE"/>
    <w:rsid w:val="00A4209C"/>
    <w:rsid w:val="00A437EC"/>
    <w:rsid w:val="00A46A13"/>
    <w:rsid w:val="00A63741"/>
    <w:rsid w:val="00A64FEF"/>
    <w:rsid w:val="00A8326E"/>
    <w:rsid w:val="00A9135C"/>
    <w:rsid w:val="00A946E0"/>
    <w:rsid w:val="00A94EA4"/>
    <w:rsid w:val="00A97FAC"/>
    <w:rsid w:val="00AB3A72"/>
    <w:rsid w:val="00AC2A83"/>
    <w:rsid w:val="00AC6256"/>
    <w:rsid w:val="00AC635C"/>
    <w:rsid w:val="00AC6777"/>
    <w:rsid w:val="00AD7227"/>
    <w:rsid w:val="00AE0DB4"/>
    <w:rsid w:val="00AE3481"/>
    <w:rsid w:val="00AF0562"/>
    <w:rsid w:val="00AF5765"/>
    <w:rsid w:val="00B1799C"/>
    <w:rsid w:val="00B21544"/>
    <w:rsid w:val="00B257BD"/>
    <w:rsid w:val="00B304FC"/>
    <w:rsid w:val="00B33DFA"/>
    <w:rsid w:val="00B40FFA"/>
    <w:rsid w:val="00B5689C"/>
    <w:rsid w:val="00B67297"/>
    <w:rsid w:val="00B710F4"/>
    <w:rsid w:val="00B71610"/>
    <w:rsid w:val="00B71D8D"/>
    <w:rsid w:val="00B71E4B"/>
    <w:rsid w:val="00B77F68"/>
    <w:rsid w:val="00B814C6"/>
    <w:rsid w:val="00B81CDF"/>
    <w:rsid w:val="00B82360"/>
    <w:rsid w:val="00B91D46"/>
    <w:rsid w:val="00B92C87"/>
    <w:rsid w:val="00B93197"/>
    <w:rsid w:val="00B93BB7"/>
    <w:rsid w:val="00B9427F"/>
    <w:rsid w:val="00BA26DD"/>
    <w:rsid w:val="00BA43FA"/>
    <w:rsid w:val="00BA4A74"/>
    <w:rsid w:val="00BA7962"/>
    <w:rsid w:val="00BC5524"/>
    <w:rsid w:val="00BC632D"/>
    <w:rsid w:val="00BD6167"/>
    <w:rsid w:val="00BD7406"/>
    <w:rsid w:val="00BE3354"/>
    <w:rsid w:val="00BF47A2"/>
    <w:rsid w:val="00C06EEA"/>
    <w:rsid w:val="00C1211F"/>
    <w:rsid w:val="00C17AE6"/>
    <w:rsid w:val="00C22CF5"/>
    <w:rsid w:val="00C24647"/>
    <w:rsid w:val="00C26F20"/>
    <w:rsid w:val="00C35914"/>
    <w:rsid w:val="00C40067"/>
    <w:rsid w:val="00C400E0"/>
    <w:rsid w:val="00C4392C"/>
    <w:rsid w:val="00C45BED"/>
    <w:rsid w:val="00C52124"/>
    <w:rsid w:val="00C55B78"/>
    <w:rsid w:val="00C57FD3"/>
    <w:rsid w:val="00C62644"/>
    <w:rsid w:val="00C722E3"/>
    <w:rsid w:val="00C728B4"/>
    <w:rsid w:val="00C76AFB"/>
    <w:rsid w:val="00C84606"/>
    <w:rsid w:val="00C92158"/>
    <w:rsid w:val="00CA088E"/>
    <w:rsid w:val="00CA1DCF"/>
    <w:rsid w:val="00CA7E21"/>
    <w:rsid w:val="00CB01BC"/>
    <w:rsid w:val="00CB1810"/>
    <w:rsid w:val="00CB6892"/>
    <w:rsid w:val="00CB7D39"/>
    <w:rsid w:val="00CC0929"/>
    <w:rsid w:val="00CC2D27"/>
    <w:rsid w:val="00CC7801"/>
    <w:rsid w:val="00CD27A6"/>
    <w:rsid w:val="00CD288A"/>
    <w:rsid w:val="00CD7F02"/>
    <w:rsid w:val="00CE0D60"/>
    <w:rsid w:val="00CE4E94"/>
    <w:rsid w:val="00CE52EE"/>
    <w:rsid w:val="00CE6022"/>
    <w:rsid w:val="00CE680E"/>
    <w:rsid w:val="00CF03E2"/>
    <w:rsid w:val="00CF7BC7"/>
    <w:rsid w:val="00D03998"/>
    <w:rsid w:val="00D05081"/>
    <w:rsid w:val="00D0605E"/>
    <w:rsid w:val="00D109FB"/>
    <w:rsid w:val="00D141E4"/>
    <w:rsid w:val="00D15EC3"/>
    <w:rsid w:val="00D36FDC"/>
    <w:rsid w:val="00D413DE"/>
    <w:rsid w:val="00D41DF3"/>
    <w:rsid w:val="00D42361"/>
    <w:rsid w:val="00D43B96"/>
    <w:rsid w:val="00D44426"/>
    <w:rsid w:val="00D45A36"/>
    <w:rsid w:val="00D4725C"/>
    <w:rsid w:val="00D549C4"/>
    <w:rsid w:val="00D5636A"/>
    <w:rsid w:val="00D64AEA"/>
    <w:rsid w:val="00D73893"/>
    <w:rsid w:val="00D74D8E"/>
    <w:rsid w:val="00D75124"/>
    <w:rsid w:val="00D77B4E"/>
    <w:rsid w:val="00D90137"/>
    <w:rsid w:val="00D91691"/>
    <w:rsid w:val="00DA357E"/>
    <w:rsid w:val="00DA3E4F"/>
    <w:rsid w:val="00DA4C18"/>
    <w:rsid w:val="00DA5DBF"/>
    <w:rsid w:val="00DB18E4"/>
    <w:rsid w:val="00DB3D94"/>
    <w:rsid w:val="00DB4A49"/>
    <w:rsid w:val="00DB64DE"/>
    <w:rsid w:val="00DC15D8"/>
    <w:rsid w:val="00DC2DFB"/>
    <w:rsid w:val="00DC4871"/>
    <w:rsid w:val="00DC4FAF"/>
    <w:rsid w:val="00DD524F"/>
    <w:rsid w:val="00DD7476"/>
    <w:rsid w:val="00DE1E68"/>
    <w:rsid w:val="00DE63F7"/>
    <w:rsid w:val="00DF04BF"/>
    <w:rsid w:val="00DF06E1"/>
    <w:rsid w:val="00DF0C4F"/>
    <w:rsid w:val="00DF49DA"/>
    <w:rsid w:val="00DF6761"/>
    <w:rsid w:val="00DF691E"/>
    <w:rsid w:val="00DF6971"/>
    <w:rsid w:val="00E00296"/>
    <w:rsid w:val="00E06C5F"/>
    <w:rsid w:val="00E07316"/>
    <w:rsid w:val="00E10CD2"/>
    <w:rsid w:val="00E1702F"/>
    <w:rsid w:val="00E23B18"/>
    <w:rsid w:val="00E24D12"/>
    <w:rsid w:val="00E303CC"/>
    <w:rsid w:val="00E32210"/>
    <w:rsid w:val="00E35BE4"/>
    <w:rsid w:val="00E36AC0"/>
    <w:rsid w:val="00E419FA"/>
    <w:rsid w:val="00E42A10"/>
    <w:rsid w:val="00E437CA"/>
    <w:rsid w:val="00E43856"/>
    <w:rsid w:val="00E43D12"/>
    <w:rsid w:val="00E44F5C"/>
    <w:rsid w:val="00E45D21"/>
    <w:rsid w:val="00E45EE5"/>
    <w:rsid w:val="00E46C7C"/>
    <w:rsid w:val="00E532D4"/>
    <w:rsid w:val="00E55AE4"/>
    <w:rsid w:val="00E60331"/>
    <w:rsid w:val="00E6184D"/>
    <w:rsid w:val="00E620C2"/>
    <w:rsid w:val="00E63936"/>
    <w:rsid w:val="00E64EF5"/>
    <w:rsid w:val="00E7180A"/>
    <w:rsid w:val="00E760FF"/>
    <w:rsid w:val="00E81A85"/>
    <w:rsid w:val="00E85B8A"/>
    <w:rsid w:val="00E9014E"/>
    <w:rsid w:val="00E90FF7"/>
    <w:rsid w:val="00E9394C"/>
    <w:rsid w:val="00EA5357"/>
    <w:rsid w:val="00EB4AB7"/>
    <w:rsid w:val="00EB6417"/>
    <w:rsid w:val="00EB7440"/>
    <w:rsid w:val="00EC110A"/>
    <w:rsid w:val="00EC16CE"/>
    <w:rsid w:val="00EC2D10"/>
    <w:rsid w:val="00EC5B5C"/>
    <w:rsid w:val="00ED08B2"/>
    <w:rsid w:val="00ED11C9"/>
    <w:rsid w:val="00ED36B1"/>
    <w:rsid w:val="00EE0840"/>
    <w:rsid w:val="00EE1414"/>
    <w:rsid w:val="00EE2776"/>
    <w:rsid w:val="00EE6F12"/>
    <w:rsid w:val="00EF3A68"/>
    <w:rsid w:val="00F00756"/>
    <w:rsid w:val="00F033A9"/>
    <w:rsid w:val="00F05154"/>
    <w:rsid w:val="00F11A14"/>
    <w:rsid w:val="00F232FB"/>
    <w:rsid w:val="00F32700"/>
    <w:rsid w:val="00F33CFC"/>
    <w:rsid w:val="00F40121"/>
    <w:rsid w:val="00F44199"/>
    <w:rsid w:val="00F47B61"/>
    <w:rsid w:val="00F54220"/>
    <w:rsid w:val="00F609D8"/>
    <w:rsid w:val="00F60B11"/>
    <w:rsid w:val="00F62F8F"/>
    <w:rsid w:val="00F705A0"/>
    <w:rsid w:val="00F84EDD"/>
    <w:rsid w:val="00F907C5"/>
    <w:rsid w:val="00F90DA7"/>
    <w:rsid w:val="00F91F54"/>
    <w:rsid w:val="00F941F1"/>
    <w:rsid w:val="00F95625"/>
    <w:rsid w:val="00FA391C"/>
    <w:rsid w:val="00FA54DF"/>
    <w:rsid w:val="00FA7443"/>
    <w:rsid w:val="00FB3C00"/>
    <w:rsid w:val="00FB5F9B"/>
    <w:rsid w:val="00FC1E5A"/>
    <w:rsid w:val="00FC46E1"/>
    <w:rsid w:val="00FE000F"/>
    <w:rsid w:val="00FE080F"/>
    <w:rsid w:val="00FE129C"/>
    <w:rsid w:val="00FF3530"/>
    <w:rsid w:val="00FF3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2915B8B"/>
  <w15:docId w15:val="{A2A840AE-13CA-4DB4-936C-13B1E2DE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C98"/>
    <w:rPr>
      <w:rFonts w:eastAsia="Times New Roman"/>
      <w:sz w:val="24"/>
      <w:szCs w:val="24"/>
      <w:lang w:val="en-CA" w:eastAsia="en-CA"/>
    </w:rPr>
  </w:style>
  <w:style w:type="paragraph" w:styleId="Heading1">
    <w:name w:val="heading 1"/>
    <w:basedOn w:val="Normal"/>
    <w:next w:val="Heading2"/>
    <w:link w:val="Heading1Char"/>
    <w:qFormat/>
    <w:rsid w:val="00916407"/>
    <w:pPr>
      <w:keepNext/>
      <w:tabs>
        <w:tab w:val="left" w:pos="720"/>
      </w:tabs>
      <w:spacing w:before="240" w:after="120"/>
      <w:jc w:val="center"/>
      <w:outlineLvl w:val="0"/>
    </w:pPr>
    <w:rPr>
      <w:b/>
      <w:caps/>
      <w:sz w:val="22"/>
    </w:rPr>
  </w:style>
  <w:style w:type="paragraph" w:styleId="Heading2">
    <w:name w:val="heading 2"/>
    <w:basedOn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D90137"/>
    <w:rPr>
      <w:sz w:val="18"/>
      <w:u w:val="none"/>
      <w:vertAlign w:val="superscript"/>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pPr>
      <w:spacing w:before="120" w:after="120"/>
      <w:ind w:left="1440" w:hanging="720"/>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pPr>
      <w:ind w:left="284" w:right="4398" w:hanging="284"/>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lang w:val="en-GB"/>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link w:val="Heading1"/>
    <w:rsid w:val="00916407"/>
    <w:rPr>
      <w:rFonts w:eastAsia="Times New Roman"/>
      <w:b/>
      <w:caps/>
      <w:sz w:val="22"/>
      <w:szCs w:val="24"/>
      <w:lang w:val="en-CA" w:eastAsia="en-C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cs="Angsana New"/>
      <w:b/>
      <w:caps/>
      <w:sz w:val="22"/>
      <w:szCs w:val="24"/>
      <w:lang w:val="en-GB" w:eastAsia="en-US"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HeaderChar">
    <w:name w:val="Header Char"/>
    <w:link w:val="Header"/>
    <w:rPr>
      <w:rFonts w:cs="Angsana New"/>
      <w:sz w:val="22"/>
      <w:szCs w:val="24"/>
      <w:lang w:val="en-GB" w:eastAsia="en-US"/>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PlainTable21">
    <w:name w:val="Plain Table 21"/>
    <w:hidden/>
    <w:uiPriority w:val="99"/>
    <w:semiHidden/>
    <w:rPr>
      <w:rFonts w:cs="Angsana New"/>
      <w:sz w:val="22"/>
      <w:szCs w:val="24"/>
      <w:lang w:val="en-GB"/>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lang w:val="en-GB"/>
    </w:rPr>
  </w:style>
  <w:style w:type="paragraph" w:customStyle="1" w:styleId="meetingname">
    <w:name w:val="meeting name"/>
    <w:basedOn w:val="Normal"/>
    <w:qFormat/>
    <w:pPr>
      <w:ind w:left="170" w:right="3119" w:hanging="170"/>
    </w:pPr>
    <w:rPr>
      <w:rFonts w:eastAsia="Malgun Gothic"/>
      <w:caps/>
      <w:snapToGrid w:val="0"/>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link w:val="CommentText"/>
    <w:uiPriority w:val="99"/>
    <w:rPr>
      <w:rFonts w:cs="Angsana New"/>
      <w:szCs w:val="24"/>
      <w:lang w:val="en-GB"/>
    </w:rPr>
  </w:style>
  <w:style w:type="character" w:styleId="HTMLVariable">
    <w:name w:val="HTML Variable"/>
    <w:uiPriority w:val="99"/>
    <w:unhideWhenUsed/>
    <w:rPr>
      <w:i/>
      <w:iCs/>
    </w:rPr>
  </w:style>
  <w:style w:type="paragraph" w:styleId="Revision">
    <w:name w:val="Revision"/>
    <w:hidden/>
    <w:uiPriority w:val="71"/>
    <w:rPr>
      <w:rFonts w:cs="Angsana New"/>
      <w:sz w:val="22"/>
      <w:szCs w:val="24"/>
      <w:lang w:val="en-GB"/>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ep-wcmc.org/" TargetMode="External"/><Relationship Id="rId18" Type="http://schemas.openxmlformats.org/officeDocument/2006/relationships/hyperlink" Target="http://bch.cbd.int/" TargetMode="External"/><Relationship Id="rId26" Type="http://schemas.openxmlformats.org/officeDocument/2006/relationships/hyperlink" Target="https://www.cbd.int/brc/IAG.shtml" TargetMode="External"/><Relationship Id="rId39" Type="http://schemas.openxmlformats.org/officeDocument/2006/relationships/hyperlink" Target="https://unstats.un.org/" TargetMode="External"/><Relationship Id="rId21" Type="http://schemas.openxmlformats.org/officeDocument/2006/relationships/hyperlink" Target="https://www.cbd.int/post2020/" TargetMode="External"/><Relationship Id="rId34" Type="http://schemas.openxmlformats.org/officeDocument/2006/relationships/hyperlink" Target="https://unfccc.int/" TargetMode="External"/><Relationship Id="rId42" Type="http://schemas.openxmlformats.org/officeDocument/2006/relationships/hyperlink" Target="https://www.ipbes.net/" TargetMode="External"/><Relationship Id="rId47" Type="http://schemas.openxmlformats.org/officeDocument/2006/relationships/hyperlink" Target="https://www.cbd.int/cooperation/liaison.shtml" TargetMode="External"/><Relationship Id="rId50" Type="http://schemas.openxmlformats.org/officeDocument/2006/relationships/hyperlink" Target="http://www.informea.org" TargetMode="External"/><Relationship Id="rId55" Type="http://schemas.openxmlformats.org/officeDocument/2006/relationships/hyperlink" Target="https://www.unccd.int/actions/achieving-land-degradation-neutrality"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sp/" TargetMode="External"/><Relationship Id="rId29" Type="http://schemas.openxmlformats.org/officeDocument/2006/relationships/hyperlink" Target="http://www.unwa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7-en.pdf" TargetMode="External"/><Relationship Id="rId24" Type="http://schemas.openxmlformats.org/officeDocument/2006/relationships/hyperlink" Target="https://www.cbd.int/decision/mop/default.shtml?id=12329" TargetMode="External"/><Relationship Id="rId32" Type="http://schemas.openxmlformats.org/officeDocument/2006/relationships/hyperlink" Target="https://www.cbd.int/doc/decisions/cop-10/cop-10-dec-35-en.pdf" TargetMode="External"/><Relationship Id="rId37" Type="http://schemas.openxmlformats.org/officeDocument/2006/relationships/hyperlink" Target="https://www.cbd.int/doc/recommendations/sbstta-19/sbstta-19-rec-04-en.pdf" TargetMode="External"/><Relationship Id="rId40" Type="http://schemas.openxmlformats.org/officeDocument/2006/relationships/hyperlink" Target="https://www.unccd.int/actions/ldn-target-setting-programme" TargetMode="External"/><Relationship Id="rId45" Type="http://schemas.openxmlformats.org/officeDocument/2006/relationships/hyperlink" Target="http://www.fao.org/plant-treaty/en/" TargetMode="External"/><Relationship Id="rId53" Type="http://schemas.openxmlformats.org/officeDocument/2006/relationships/hyperlink" Target="https://www.cbd.int/doc/decisions/cop-12/cop-12-dec-29-en.pdf" TargetMode="External"/><Relationship Id="rId58" Type="http://schemas.openxmlformats.org/officeDocument/2006/relationships/hyperlink" Target="https://www.caricom.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3/cop-13-dec-01-en.pdf" TargetMode="External"/><Relationship Id="rId23" Type="http://schemas.openxmlformats.org/officeDocument/2006/relationships/hyperlink" Target="https://www.cbd.int/" TargetMode="External"/><Relationship Id="rId28" Type="http://schemas.openxmlformats.org/officeDocument/2006/relationships/hyperlink" Target="http://www.iucnredlist.org/" TargetMode="External"/><Relationship Id="rId36" Type="http://schemas.openxmlformats.org/officeDocument/2006/relationships/hyperlink" Target="https://www.cbd.int/2010-target/" TargetMode="External"/><Relationship Id="rId49" Type="http://schemas.openxmlformats.org/officeDocument/2006/relationships/hyperlink" Target="https://www.cbd.int/doc/reports/jlg-12-report-en.pdf" TargetMode="External"/><Relationship Id="rId57" Type="http://schemas.openxmlformats.org/officeDocument/2006/relationships/hyperlink" Target="https://www.cbd.int/doc/decisions/cop-10/cop-10-dec-10-en.pdf" TargetMode="External"/><Relationship Id="rId61" Type="http://schemas.openxmlformats.org/officeDocument/2006/relationships/hyperlink" Target="http://www.undp.org/" TargetMode="External"/><Relationship Id="rId10" Type="http://schemas.openxmlformats.org/officeDocument/2006/relationships/image" Target="media/image3.emf"/><Relationship Id="rId19" Type="http://schemas.openxmlformats.org/officeDocument/2006/relationships/hyperlink" Target="https://www.cbd.int/abs/theabsch.shtml" TargetMode="External"/><Relationship Id="rId31" Type="http://schemas.openxmlformats.org/officeDocument/2006/relationships/hyperlink" Target="http://www.fao.org/" TargetMode="External"/><Relationship Id="rId44" Type="http://schemas.openxmlformats.org/officeDocument/2006/relationships/hyperlink" Target="https://www.ramsar.org/" TargetMode="External"/><Relationship Id="rId52" Type="http://schemas.openxmlformats.org/officeDocument/2006/relationships/hyperlink" Target="https://biodiversity.europa.eu/chm-network/the-2020-target-cross-linking-tool" TargetMode="External"/><Relationship Id="rId60" Type="http://schemas.openxmlformats.org/officeDocument/2006/relationships/hyperlink" Target="https://www.thegef.or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6-en.pdf" TargetMode="External"/><Relationship Id="rId22" Type="http://schemas.openxmlformats.org/officeDocument/2006/relationships/hyperlink" Target="https://www.cbd.int/doc/decisions/cop-13/cop-13-dec-23-en.pdf" TargetMode="External"/><Relationship Id="rId27" Type="http://schemas.openxmlformats.org/officeDocument/2006/relationships/hyperlink" Target="https://www.bipindicators.net/" TargetMode="External"/><Relationship Id="rId30" Type="http://schemas.openxmlformats.org/officeDocument/2006/relationships/hyperlink" Target="https://en.unesco.org/" TargetMode="External"/><Relationship Id="rId35" Type="http://schemas.openxmlformats.org/officeDocument/2006/relationships/hyperlink" Target="http://undocs.org/A/C.2/62/7" TargetMode="External"/><Relationship Id="rId43" Type="http://schemas.openxmlformats.org/officeDocument/2006/relationships/hyperlink" Target="https://www.cms.int/" TargetMode="External"/><Relationship Id="rId48" Type="http://schemas.openxmlformats.org/officeDocument/2006/relationships/hyperlink" Target="https://www.cbd.int/doc/reports/jlg-14-report-en.pdf" TargetMode="External"/><Relationship Id="rId56" Type="http://schemas.openxmlformats.org/officeDocument/2006/relationships/hyperlink" Target="http://www.sprep.org/" TargetMode="External"/><Relationship Id="rId64"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s://www.iucn.org/" TargetMode="External"/><Relationship Id="rId3" Type="http://schemas.openxmlformats.org/officeDocument/2006/relationships/styles" Target="styles.xml"/><Relationship Id="rId12" Type="http://schemas.openxmlformats.org/officeDocument/2006/relationships/hyperlink" Target="https://www.unenvironment.org/" TargetMode="External"/><Relationship Id="rId17" Type="http://schemas.openxmlformats.org/officeDocument/2006/relationships/hyperlink" Target="https://www.cbd.int/chm/" TargetMode="External"/><Relationship Id="rId25" Type="http://schemas.openxmlformats.org/officeDocument/2006/relationships/hyperlink" Target="https://www.cbd.int/doc/decisions/cop-13/cop-13-dec-24-en.pdf" TargetMode="External"/><Relationship Id="rId33" Type="http://schemas.openxmlformats.org/officeDocument/2006/relationships/hyperlink" Target="https://www.unccd.int/" TargetMode="External"/><Relationship Id="rId38" Type="http://schemas.openxmlformats.org/officeDocument/2006/relationships/hyperlink" Target="https://unstats.un.org/unsd/statcom/" TargetMode="External"/><Relationship Id="rId46" Type="http://schemas.openxmlformats.org/officeDocument/2006/relationships/hyperlink" Target="http://whc.unesco.org/" TargetMode="External"/><Relationship Id="rId59" Type="http://schemas.openxmlformats.org/officeDocument/2006/relationships/hyperlink" Target="http://www.cep.unep.org/cartagena-convention/spaw-protocol" TargetMode="External"/><Relationship Id="rId67" Type="http://schemas.openxmlformats.org/officeDocument/2006/relationships/glossaryDocument" Target="glossary/document.xml"/><Relationship Id="rId20" Type="http://schemas.openxmlformats.org/officeDocument/2006/relationships/hyperlink" Target="https://www.cbd.int/doc/decisions/mop-08/mop-08-dec-10-en.pdf" TargetMode="External"/><Relationship Id="rId41" Type="http://schemas.openxmlformats.org/officeDocument/2006/relationships/hyperlink" Target="https://sustainabledevelopment.un.org/hlpf" TargetMode="External"/><Relationship Id="rId54" Type="http://schemas.openxmlformats.org/officeDocument/2006/relationships/hyperlink" Target="https://www.cbd.int/blg/"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BRCWS-2016-01" TargetMode="External"/><Relationship Id="rId3" Type="http://schemas.openxmlformats.org/officeDocument/2006/relationships/hyperlink" Target="http://www.un.org/ga/search/view_doc.asp?symbol=A/RES/70/1&amp;Lang=E" TargetMode="External"/><Relationship Id="rId7" Type="http://schemas.openxmlformats.org/officeDocument/2006/relationships/hyperlink" Target="https://www.cbd.int/doc/meetings/cop/cop-13/information/cop-13-inf-24-en.pdf" TargetMode="External"/><Relationship Id="rId2" Type="http://schemas.openxmlformats.org/officeDocument/2006/relationships/hyperlink" Target="https://www.cbd.int/doc/c/fc82/776a/59d6dad67c4cf85dddc41239/np-mop-03-01-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edocs.unep.org/bitstream/handle/20.500.11822/9967/elaborations-options-enhancing-synergies.pdf?sequence=1&amp;isAllowed=y" TargetMode="External"/><Relationship Id="rId11" Type="http://schemas.openxmlformats.org/officeDocument/2006/relationships/hyperlink" Target="https://cites.org/sites/default/files/common/cop/15/inf/E15i-44A.pdf" TargetMode="External"/><Relationship Id="rId5" Type="http://schemas.openxmlformats.org/officeDocument/2006/relationships/hyperlink" Target="https://www.unccd.int/sites/default/files/sessions/documents/2017-11/cop21add1_eng.pdf" TargetMode="External"/><Relationship Id="rId10" Type="http://schemas.openxmlformats.org/officeDocument/2006/relationships/hyperlink" Target="https://cites.org/sites/default/files/common/cop/15/inf/E15i-44.pdf" TargetMode="External"/><Relationship Id="rId4" Type="http://schemas.openxmlformats.org/officeDocument/2006/relationships/hyperlink" Target="https://www.unccd.int/sites/default/files/sessions/documents/ICCD_COP12_20_Add.1/20add1eng.pdf" TargetMode="External"/><Relationship Id="rId9" Type="http://schemas.openxmlformats.org/officeDocument/2006/relationships/hyperlink" Target="https://treaties.un.org/doc/Treaties/2016/02/20160215%2006-03%20PM/Ch_XXVII-7-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B1D0D7C7E46EDA035700A530A384D"/>
        <w:category>
          <w:name w:val="General"/>
          <w:gallery w:val="placeholder"/>
        </w:category>
        <w:types>
          <w:type w:val="bbPlcHdr"/>
        </w:types>
        <w:behaviors>
          <w:behavior w:val="content"/>
        </w:behaviors>
        <w:guid w:val="{18F81230-036A-414B-BD2B-D5E674C1500D}"/>
      </w:docPartPr>
      <w:docPartBody>
        <w:p w:rsidR="006E31DE" w:rsidRDefault="00B27726">
          <w:r w:rsidRPr="002164F1">
            <w:rPr>
              <w:rStyle w:val="PlaceholderText"/>
            </w:rPr>
            <w:t>[Title]</w:t>
          </w:r>
        </w:p>
      </w:docPartBody>
    </w:docPart>
    <w:docPart>
      <w:docPartPr>
        <w:name w:val="73D26D25D9F5470EBE7E2A339D1FC1F6"/>
        <w:category>
          <w:name w:val="General"/>
          <w:gallery w:val="placeholder"/>
        </w:category>
        <w:types>
          <w:type w:val="bbPlcHdr"/>
        </w:types>
        <w:behaviors>
          <w:behavior w:val="content"/>
        </w:behaviors>
        <w:guid w:val="{B7531EFC-D094-4E0C-B672-4CA9B0576A2E}"/>
      </w:docPartPr>
      <w:docPartBody>
        <w:p w:rsidR="006E31DE" w:rsidRDefault="00B27726">
          <w:r w:rsidRPr="002164F1">
            <w:rPr>
              <w:rStyle w:val="PlaceholderText"/>
            </w:rPr>
            <w:t>[Subject]</w:t>
          </w:r>
        </w:p>
      </w:docPartBody>
    </w:docPart>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
      <w:docPartPr>
        <w:name w:val="56AF1DFCF59C4D7CB360E7F7CF17E7F2"/>
        <w:category>
          <w:name w:val="General"/>
          <w:gallery w:val="placeholder"/>
        </w:category>
        <w:types>
          <w:type w:val="bbPlcHdr"/>
        </w:types>
        <w:behaviors>
          <w:behavior w:val="content"/>
        </w:behaviors>
        <w:guid w:val="{81F901AE-208A-475B-825E-A4D1E3002132}"/>
      </w:docPartPr>
      <w:docPartBody>
        <w:p w:rsidR="006E31DE" w:rsidRDefault="00B27726">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6"/>
    <w:rsid w:val="006E31DE"/>
    <w:rsid w:val="00B27726"/>
    <w:rsid w:val="00F941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1E85-1AC1-4557-8F92-C7AAD6F1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7705</Words>
  <Characters>43920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National reporting under the Convention and its Protocols</vt:lpstr>
    </vt:vector>
  </TitlesOfParts>
  <Company>SCBD</Company>
  <LinksUpToDate>false</LinksUpToDate>
  <CharactersWithSpaces>51522</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reporting under the Convention and its Protocols</dc:title>
  <dc:subject>CBD/SBI/2/12</dc:subject>
  <dc:creator>SCBD</dc:creator>
  <cp:lastModifiedBy>veronique lefebvre</cp:lastModifiedBy>
  <cp:revision>10</cp:revision>
  <cp:lastPrinted>2018-02-02T15:37:00Z</cp:lastPrinted>
  <dcterms:created xsi:type="dcterms:W3CDTF">2018-05-24T22:17:00Z</dcterms:created>
  <dcterms:modified xsi:type="dcterms:W3CDTF">2018-05-25T14:01:00Z</dcterms:modified>
</cp:coreProperties>
</file>