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0D7E02" w14:paraId="5D638C0F" w14:textId="77777777" w:rsidTr="004F02A2">
        <w:trPr>
          <w:trHeight w:val="851"/>
        </w:trPr>
        <w:tc>
          <w:tcPr>
            <w:tcW w:w="465" w:type="pct"/>
            <w:tcBorders>
              <w:bottom w:val="single" w:sz="8" w:space="0" w:color="auto"/>
            </w:tcBorders>
            <w:vAlign w:val="bottom"/>
          </w:tcPr>
          <w:p w14:paraId="49FE8DA0" w14:textId="77777777" w:rsidR="00A96B21" w:rsidRPr="00550DCE" w:rsidRDefault="00A96B21" w:rsidP="004F02A2">
            <w:pPr>
              <w:spacing w:after="120"/>
              <w:jc w:val="left"/>
            </w:pPr>
            <w:bookmarkStart w:id="0" w:name="_Hlk137651738"/>
            <w:r>
              <w:rPr>
                <w:noProof/>
              </w:rPr>
              <w:drawing>
                <wp:inline distT="0" distB="0" distL="0" distR="0" wp14:anchorId="14695348" wp14:editId="27ACBEDC">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458C19EE" w14:textId="30D68800" w:rsidR="00A96B21" w:rsidRPr="00550DCE" w:rsidRDefault="00B867DF" w:rsidP="004F02A2">
            <w:pPr>
              <w:spacing w:after="120"/>
              <w:jc w:val="left"/>
            </w:pPr>
            <w:r w:rsidRPr="008C482A">
              <w:rPr>
                <w:noProof/>
                <w:lang w:eastAsia="en-GB"/>
              </w:rPr>
              <w:drawing>
                <wp:inline distT="0" distB="0" distL="0" distR="0" wp14:anchorId="312C3866" wp14:editId="087C7713">
                  <wp:extent cx="914400" cy="396240"/>
                  <wp:effectExtent l="19050" t="0" r="0" b="0"/>
                  <wp:docPr id="899098129" name="Picture 899098129"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2703" w:type="pct"/>
            <w:tcBorders>
              <w:bottom w:val="single" w:sz="8" w:space="0" w:color="auto"/>
            </w:tcBorders>
            <w:vAlign w:val="bottom"/>
          </w:tcPr>
          <w:p w14:paraId="2ACB896B" w14:textId="05787CC5" w:rsidR="00A96B21" w:rsidRPr="000D7E02" w:rsidRDefault="007B3D58" w:rsidP="00184909">
            <w:pPr>
              <w:spacing w:after="120"/>
              <w:ind w:left="2021"/>
              <w:jc w:val="right"/>
              <w:rPr>
                <w:szCs w:val="22"/>
              </w:rPr>
            </w:pPr>
            <w:bookmarkStart w:id="1" w:name="_Hlk159927128"/>
            <w:r w:rsidRPr="000D7E02">
              <w:rPr>
                <w:sz w:val="40"/>
                <w:szCs w:val="40"/>
              </w:rPr>
              <w:t>CBD</w:t>
            </w:r>
            <w:r w:rsidRPr="000D7E02">
              <w:rPr>
                <w:szCs w:val="22"/>
              </w:rPr>
              <w:t>/SBI/4/4/Add.</w:t>
            </w:r>
            <w:bookmarkEnd w:id="1"/>
            <w:r>
              <w:rPr>
                <w:szCs w:val="22"/>
              </w:rPr>
              <w:t>2</w:t>
            </w:r>
            <w:r w:rsidR="00957257" w:rsidRPr="006F2A60">
              <w:rPr>
                <w:szCs w:val="22"/>
              </w:rPr>
              <w:t>/Rev</w:t>
            </w:r>
            <w:r w:rsidR="00957257" w:rsidRPr="006F1504">
              <w:rPr>
                <w:szCs w:val="22"/>
              </w:rPr>
              <w:t>.1</w:t>
            </w:r>
          </w:p>
        </w:tc>
      </w:tr>
      <w:tr w:rsidR="00A96B21" w:rsidRPr="00EA442C" w14:paraId="169228EA" w14:textId="77777777" w:rsidTr="004F02A2">
        <w:tc>
          <w:tcPr>
            <w:tcW w:w="2297" w:type="pct"/>
            <w:gridSpan w:val="2"/>
            <w:tcBorders>
              <w:top w:val="single" w:sz="8" w:space="0" w:color="auto"/>
              <w:bottom w:val="single" w:sz="12" w:space="0" w:color="auto"/>
            </w:tcBorders>
          </w:tcPr>
          <w:p w14:paraId="4F011282" w14:textId="1345759B" w:rsidR="00A96B21" w:rsidRPr="00550DCE" w:rsidRDefault="008C482A" w:rsidP="004F02A2">
            <w:pPr>
              <w:pStyle w:val="Cornernotation"/>
              <w:suppressLineNumbers/>
              <w:suppressAutoHyphens/>
              <w:spacing w:before="120" w:after="120"/>
              <w:ind w:left="0" w:right="0" w:firstLine="0"/>
            </w:pPr>
            <w:r w:rsidRPr="001E2C8A">
              <w:rPr>
                <w:noProof/>
                <w:snapToGrid w:val="0"/>
                <w:kern w:val="22"/>
                <w:lang w:eastAsia="en-GB"/>
              </w:rPr>
              <w:drawing>
                <wp:inline distT="0" distB="0" distL="0" distR="0" wp14:anchorId="6ABD7D05" wp14:editId="02720E20">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2703" w:type="pct"/>
            <w:tcBorders>
              <w:top w:val="single" w:sz="8" w:space="0" w:color="auto"/>
              <w:bottom w:val="single" w:sz="12" w:space="0" w:color="auto"/>
            </w:tcBorders>
          </w:tcPr>
          <w:p w14:paraId="772FF71D" w14:textId="77777777" w:rsidR="00A96B21" w:rsidRPr="003C6F10" w:rsidRDefault="00A96B21" w:rsidP="003C6F10">
            <w:pPr>
              <w:ind w:left="2584"/>
              <w:rPr>
                <w:sz w:val="22"/>
                <w:szCs w:val="22"/>
              </w:rPr>
            </w:pPr>
            <w:proofErr w:type="spellStart"/>
            <w:r>
              <w:rPr>
                <w:sz w:val="22"/>
              </w:rPr>
              <w:t>Distr</w:t>
            </w:r>
            <w:proofErr w:type="spellEnd"/>
            <w:r>
              <w:rPr>
                <w:sz w:val="22"/>
              </w:rPr>
              <w:t>.: General</w:t>
            </w:r>
          </w:p>
          <w:p w14:paraId="06281756" w14:textId="21440C9C" w:rsidR="00A96B21" w:rsidRPr="003C6F10" w:rsidRDefault="00957257" w:rsidP="003C6F10">
            <w:pPr>
              <w:ind w:left="2584"/>
              <w:rPr>
                <w:sz w:val="22"/>
                <w:szCs w:val="22"/>
              </w:rPr>
            </w:pPr>
            <w:r>
              <w:rPr>
                <w:sz w:val="22"/>
                <w:lang w:val="fr-FR"/>
              </w:rPr>
              <w:t>30</w:t>
            </w:r>
            <w:r w:rsidR="000F7A32">
              <w:rPr>
                <w:sz w:val="22"/>
              </w:rPr>
              <w:t xml:space="preserve"> </w:t>
            </w:r>
            <w:proofErr w:type="spellStart"/>
            <w:r w:rsidR="000F7A32">
              <w:rPr>
                <w:sz w:val="22"/>
              </w:rPr>
              <w:t>April</w:t>
            </w:r>
            <w:proofErr w:type="spellEnd"/>
            <w:r w:rsidR="000F7A32">
              <w:rPr>
                <w:sz w:val="22"/>
              </w:rPr>
              <w:t xml:space="preserve"> 2024</w:t>
            </w:r>
          </w:p>
          <w:p w14:paraId="4B140533" w14:textId="77777777" w:rsidR="00A96B21" w:rsidRPr="003C6F10" w:rsidRDefault="00A96B21" w:rsidP="003C6F10">
            <w:pPr>
              <w:ind w:left="2584"/>
              <w:rPr>
                <w:sz w:val="22"/>
                <w:szCs w:val="22"/>
              </w:rPr>
            </w:pPr>
          </w:p>
          <w:p w14:paraId="5A184FE4" w14:textId="383593D8" w:rsidR="00A96B21" w:rsidRPr="003C6F10" w:rsidRDefault="005755F6" w:rsidP="003C6F10">
            <w:pPr>
              <w:ind w:left="2584"/>
              <w:rPr>
                <w:sz w:val="22"/>
                <w:szCs w:val="22"/>
              </w:rPr>
            </w:pPr>
            <w:r>
              <w:rPr>
                <w:sz w:val="22"/>
              </w:rPr>
              <w:t>Russian</w:t>
            </w:r>
            <w:r>
              <w:rPr>
                <w:sz w:val="22"/>
              </w:rPr>
              <w:br/>
            </w:r>
            <w:proofErr w:type="spellStart"/>
            <w:r>
              <w:rPr>
                <w:sz w:val="22"/>
              </w:rPr>
              <w:t>Original</w:t>
            </w:r>
            <w:proofErr w:type="spellEnd"/>
            <w:r>
              <w:rPr>
                <w:sz w:val="22"/>
              </w:rPr>
              <w:t>: English</w:t>
            </w:r>
          </w:p>
          <w:p w14:paraId="71BDB9EA" w14:textId="77777777" w:rsidR="00A96B21" w:rsidRPr="00550DCE" w:rsidRDefault="00A96B21" w:rsidP="004F02A2"/>
        </w:tc>
      </w:tr>
    </w:tbl>
    <w:p w14:paraId="236F7904" w14:textId="77777777" w:rsidR="0067277C" w:rsidRDefault="0067277C" w:rsidP="0067277C">
      <w:pPr>
        <w:pStyle w:val="Cornernotation"/>
        <w:rPr>
          <w:bCs/>
        </w:rPr>
      </w:pPr>
      <w:r>
        <w:t>Вспомогательный орган по осуществлению</w:t>
      </w:r>
    </w:p>
    <w:p w14:paraId="0682435B" w14:textId="77777777" w:rsidR="0067277C" w:rsidRDefault="0067277C" w:rsidP="0067277C">
      <w:pPr>
        <w:pStyle w:val="Cornernotation"/>
        <w:rPr>
          <w:bCs/>
          <w:sz w:val="22"/>
          <w:szCs w:val="22"/>
        </w:rPr>
      </w:pPr>
      <w:r>
        <w:rPr>
          <w:sz w:val="22"/>
        </w:rPr>
        <w:t xml:space="preserve">Четвертое совещание </w:t>
      </w:r>
    </w:p>
    <w:p w14:paraId="4E5EB6AD" w14:textId="77777777" w:rsidR="0067277C" w:rsidRPr="00935461" w:rsidRDefault="0067277C" w:rsidP="0067277C">
      <w:pPr>
        <w:pStyle w:val="Venuedate"/>
      </w:pPr>
      <w:r>
        <w:t xml:space="preserve">Найроби, </w:t>
      </w:r>
      <w:proofErr w:type="gramStart"/>
      <w:r>
        <w:t>21-29</w:t>
      </w:r>
      <w:proofErr w:type="gramEnd"/>
      <w:r>
        <w:t xml:space="preserve"> мая 2024 года</w:t>
      </w:r>
    </w:p>
    <w:p w14:paraId="2292E2AA" w14:textId="77777777" w:rsidR="0067277C" w:rsidRPr="00441498" w:rsidRDefault="0067277C" w:rsidP="0067277C">
      <w:pPr>
        <w:pStyle w:val="Cornernotation-Item"/>
        <w:rPr>
          <w:b w:val="0"/>
          <w:bCs w:val="0"/>
        </w:rPr>
      </w:pPr>
      <w:r>
        <w:rPr>
          <w:b w:val="0"/>
        </w:rPr>
        <w:t>Пункт 3 предварительной повестки</w:t>
      </w:r>
      <w:r>
        <w:rPr>
          <w:b w:val="0"/>
          <w:lang w:val="fr-FR"/>
        </w:rPr>
        <w:t xml:space="preserve"> </w:t>
      </w:r>
      <w:r>
        <w:rPr>
          <w:b w:val="0"/>
        </w:rPr>
        <w:t>дня</w:t>
      </w:r>
      <w:r>
        <w:rPr>
          <w:rStyle w:val="Appelnotedebasdep"/>
          <w:b w:val="0"/>
          <w:bCs w:val="0"/>
        </w:rPr>
        <w:footnoteReference w:customMarkFollows="1" w:id="2"/>
        <w:t>*</w:t>
      </w:r>
    </w:p>
    <w:p w14:paraId="0B019BE1" w14:textId="780E6919" w:rsidR="00A96B21" w:rsidRDefault="0067277C" w:rsidP="0067277C">
      <w:pPr>
        <w:pStyle w:val="Cornernotation-Item"/>
        <w:ind w:left="0" w:right="5532" w:firstLine="0"/>
      </w:pPr>
      <w:r>
        <w:t>Механизмы планирования, мониторинга, отчетности и обзора</w:t>
      </w:r>
    </w:p>
    <w:bookmarkEnd w:id="0"/>
    <w:p w14:paraId="57C5AF80" w14:textId="14525259" w:rsidR="00A96B21" w:rsidRDefault="00242580" w:rsidP="004258DF">
      <w:pPr>
        <w:pStyle w:val="Titre"/>
        <w:jc w:val="left"/>
      </w:pPr>
      <w:sdt>
        <w:sdtPr>
          <w:alias w:val="Ответственность и возмещение ущерба (пункт 2 статьи 14)"/>
          <w:tag w:val=""/>
          <w:id w:val="-1975355689"/>
          <w:placeholder>
            <w:docPart w:val="C397B25ED30349089A5FDD2A49786410"/>
          </w:placeholder>
          <w:dataBinding w:prefixMappings="xmlns:ns0='http://purl.org/dc/elements/1.1/' xmlns:ns1='http://schemas.openxmlformats.org/package/2006/metadata/core-properties' " w:xpath="/ns1:coreProperties[1]/ns0:title[1]" w:storeItemID="{6C3C8BC8-F283-45AE-878A-BAB7291924A1}"/>
          <w:text/>
        </w:sdtPr>
        <w:sdtEndPr/>
        <w:sdtContent>
          <w:r w:rsidR="008C71FC" w:rsidRPr="008C71FC">
            <w:t>Порядок проведения глобального обзора коллективного прогресса в осуществлении Куньминско-Монреальской глобальной рамочной программы в области биоразнообразия</w:t>
          </w:r>
        </w:sdtContent>
      </w:sdt>
    </w:p>
    <w:p w14:paraId="55EA9425" w14:textId="77777777" w:rsidR="00A96B21" w:rsidRDefault="00A96B21" w:rsidP="00A96B21">
      <w:pPr>
        <w:pStyle w:val="Sous-titre"/>
        <w:spacing w:before="120" w:after="120"/>
        <w:ind w:left="567"/>
        <w:jc w:val="left"/>
        <w:rPr>
          <w:rFonts w:ascii="Times New Roman" w:hAnsi="Times New Roman" w:cs="Times New Roman"/>
          <w:color w:val="auto"/>
        </w:rPr>
      </w:pPr>
      <w:r>
        <w:rPr>
          <w:rFonts w:ascii="Times New Roman" w:hAnsi="Times New Roman"/>
          <w:color w:val="auto"/>
        </w:rPr>
        <w:t>Записка секретариата</w:t>
      </w:r>
    </w:p>
    <w:p w14:paraId="30064A40" w14:textId="4037186A" w:rsidR="004258DF" w:rsidRPr="00EC2F82" w:rsidRDefault="00C66F23" w:rsidP="005F57B7">
      <w:pPr>
        <w:pStyle w:val="Titre1"/>
        <w:ind w:left="540" w:right="1422" w:hanging="540"/>
      </w:pPr>
      <w:r>
        <w:t>Элементы глобального обзора коллективного прогресса в осуществлении Куньминско-Монреальской глобальной рамочной программы в области биоразнообразия</w:t>
      </w:r>
    </w:p>
    <w:p w14:paraId="7C5B5243" w14:textId="18AE9E91" w:rsidR="004258DF" w:rsidRDefault="004258DF" w:rsidP="003E78D5">
      <w:pPr>
        <w:pStyle w:val="Para1"/>
      </w:pPr>
      <w:bookmarkStart w:id="2" w:name="_Hlk142819823"/>
      <w:r>
        <w:t>Глобальный обзор коллективного прогресса в осуществлении Куньминско-Монреальской глобальной рамочной программы в области биоразнообразия будет проводиться Конференцией Сторон при поддержке и участии вспомогательных органов</w:t>
      </w:r>
      <w:r w:rsidR="00E62B73">
        <w:t xml:space="preserve"> </w:t>
      </w:r>
      <w:r>
        <w:t>на основе следующих элементов:</w:t>
      </w:r>
    </w:p>
    <w:p w14:paraId="19FBC0C0" w14:textId="02BAB969" w:rsidR="00C35F96" w:rsidRPr="00020D49" w:rsidRDefault="00E945BA" w:rsidP="00E13A61">
      <w:pPr>
        <w:pStyle w:val="Para2"/>
        <w:rPr>
          <w:rFonts w:eastAsia="Malgun Gothic"/>
          <w:b/>
          <w:bCs/>
        </w:rPr>
      </w:pPr>
      <w:r>
        <w:t>(a)</w:t>
      </w:r>
      <w:r>
        <w:tab/>
      </w:r>
      <w:r>
        <w:rPr>
          <w:i/>
          <w:iCs/>
        </w:rPr>
        <w:t>глобальный анализ информации в национальных стратегиях и планах действий по сохранению биоразнообразия, включая национальные задачи</w:t>
      </w:r>
      <w:r>
        <w:t>.</w:t>
      </w:r>
      <w:r>
        <w:rPr>
          <w:i/>
        </w:rPr>
        <w:t xml:space="preserve"> </w:t>
      </w:r>
      <w:r>
        <w:t>Глобальный анализ информации в национальных стратегиях и планах действий по сохранению биоразнообразия для оценки национального вклада в осуществление Куньминско-Монреальской глобальной рамочной программы в области биоразнообразия, который Конференци</w:t>
      </w:r>
      <w:r w:rsidR="00B95F7F">
        <w:t>я</w:t>
      </w:r>
      <w:r>
        <w:t xml:space="preserve"> Сторон будет рассматривать на ее 16-м и каждом последующем совещании (решение </w:t>
      </w:r>
      <w:hyperlink r:id="rId14" w:history="1">
        <w:r>
          <w:rPr>
            <w:rStyle w:val="Lienhypertexte"/>
            <w:sz w:val="22"/>
          </w:rPr>
          <w:t>15/6</w:t>
        </w:r>
      </w:hyperlink>
      <w:r>
        <w:t>, пункты 1 (с) и 15), будет одним из основных элементов глобального обзора. Первоначальный доклад о национальных стратегиях и планах действий по сохранению биоразнообразия представлен в документе CBD/SBI/4/2. Глобальный анализ информации в национальных стратегиях и планах действий по сохранению биоразнообразия, включая национальные задачи, будет подготовлен для рассмотрения на будущих совещаниях Вспомогательного органа и Конференции Сторон;</w:t>
      </w:r>
    </w:p>
    <w:p w14:paraId="089040B1" w14:textId="2F4469F1" w:rsidR="004258DF" w:rsidRDefault="00614006" w:rsidP="00614006">
      <w:pPr>
        <w:pStyle w:val="Para2"/>
        <w:rPr>
          <w:rFonts w:eastAsia="Malgun Gothic"/>
        </w:rPr>
      </w:pPr>
      <w:r>
        <w:t>(b)</w:t>
      </w:r>
      <w:r>
        <w:tab/>
      </w:r>
      <w:r>
        <w:rPr>
          <w:i/>
        </w:rPr>
        <w:t>итоги форума открытого состава по добровольным страновым обзорам, проводимого Вспомогательным органом по осуществлению</w:t>
      </w:r>
      <w:r>
        <w:t xml:space="preserve">. В решении 15/6 Конференция Сторон постановила продолжить разработку и тестирование форума открытого состава по добровольным страновым обзорам под эгидой Вспомогательного органа по осуществлению (пункты 1 (f) и 29 (c)). Проект порядка работы форума открытого состава по добровольным </w:t>
      </w:r>
      <w:r>
        <w:lastRenderedPageBreak/>
        <w:t>страновым обзорам представлен в документе CBD/SBI/4/4/Add.1. Форум открытого состава по добровольным страновым обзорам буд</w:t>
      </w:r>
      <w:r w:rsidR="008D27C8">
        <w:t>е</w:t>
      </w:r>
      <w:r>
        <w:t>т посвящен изучению достижений и проблем, связанных с осуществлением, включая средства осуществления;</w:t>
      </w:r>
    </w:p>
    <w:p w14:paraId="73E3CA08" w14:textId="1E88E6F1" w:rsidR="00A975DA" w:rsidRPr="00812DE7" w:rsidRDefault="00A975DA" w:rsidP="004B27F9">
      <w:pPr>
        <w:pStyle w:val="Para2"/>
      </w:pPr>
      <w:r>
        <w:t>(с)</w:t>
      </w:r>
      <w:r>
        <w:tab/>
      </w:r>
      <w:r>
        <w:rPr>
          <w:i/>
          <w:iCs/>
        </w:rPr>
        <w:t>глобальный доклад о коллективном прогрессе в осуществлении Куньминско-Монреальской глобальной рамочной программы в области биоразнообразия</w:t>
      </w:r>
      <w:r>
        <w:t>.</w:t>
      </w:r>
      <w:r w:rsidRPr="00B90269">
        <w:rPr>
          <w:bCs/>
        </w:rPr>
        <w:t xml:space="preserve"> </w:t>
      </w:r>
      <w:r>
        <w:t>Глобальный доклад о коллективном прогрессе в осуществлении Рамочной программы может содержать краткую информацию о состоянии биоразнообразия и соответствующих тенденциях на основе научно-технических оценок, а также о коллективном прогрессе с учетом мер и результатов, о которых Стороны сообщили в своих национальных докладах</w:t>
      </w:r>
      <w:r w:rsidR="002A3332">
        <w:rPr>
          <w:rStyle w:val="Appelnotedebasdep"/>
          <w:rFonts w:eastAsia="Malgun Gothic"/>
        </w:rPr>
        <w:footnoteReference w:id="3"/>
      </w:r>
      <w:r>
        <w:t xml:space="preserve">; </w:t>
      </w:r>
    </w:p>
    <w:p w14:paraId="210E8E4F" w14:textId="3685983F" w:rsidR="004258DF" w:rsidRDefault="00D83F5E" w:rsidP="00D83F5E">
      <w:pPr>
        <w:pStyle w:val="Para2"/>
        <w:rPr>
          <w:rFonts w:eastAsia="Malgun Gothic"/>
        </w:rPr>
      </w:pPr>
      <w:r>
        <w:t>(d)</w:t>
      </w:r>
      <w:r>
        <w:tab/>
      </w:r>
      <w:r>
        <w:rPr>
          <w:i/>
          <w:iCs/>
        </w:rPr>
        <w:t>соответствующие рекомендации, подготовленные вспомогательными органами и рабочими группами Конвенции.</w:t>
      </w:r>
      <w:r>
        <w:t xml:space="preserve"> При проведении глобального обзора Конференция Сторон будет учитывать рекомендации Вспомогательного органа по осуществлению, Вспомогательного органа по научным, техническим и технологическим консультациям и Специальной межсессионной рабочей группы открытого состава по осуществлению статьи 8 j) и соответствующих положений Конвенции о биологическом разнообразии или ее преемника, включая рекомендации, касающиеся средств осуществления. Кроме того, вспомогательные органы могут включить результаты элементов, указанных в пунктах (a), (b) и (c) выше, в различные рекомендации;</w:t>
      </w:r>
    </w:p>
    <w:p w14:paraId="46763588" w14:textId="6EB49C25" w:rsidR="004258DF" w:rsidRPr="00A2518E" w:rsidRDefault="00F90B26" w:rsidP="00F90B26">
      <w:pPr>
        <w:pStyle w:val="Para2"/>
        <w:rPr>
          <w:rFonts w:eastAsia="Malgun Gothic"/>
        </w:rPr>
      </w:pPr>
      <w:r w:rsidRPr="00233547">
        <w:rPr>
          <w:iCs/>
        </w:rPr>
        <w:t>(e)</w:t>
      </w:r>
      <w:r>
        <w:rPr>
          <w:i/>
        </w:rPr>
        <w:tab/>
        <w:t>дискуссии высокого уровня между Сторонами под эгидой Председателей 17-го и 19-го совещаний Конференции</w:t>
      </w:r>
      <w:r w:rsidR="00667CAC" w:rsidRPr="00667CAC">
        <w:rPr>
          <w:i/>
        </w:rPr>
        <w:t xml:space="preserve"> Сторон</w:t>
      </w:r>
      <w:r w:rsidRPr="00667CAC">
        <w:rPr>
          <w:i/>
        </w:rPr>
        <w:t>.</w:t>
      </w:r>
      <w:r>
        <w:t xml:space="preserve"> Конференция Сторон предложила Сторонам, принимающим 17-е и 19-е совещания Конференции Сторон, рассмотреть вопрос об организации дискуссий на высоком уровне, посвященных обзору прогресса в осуществлении Рамочной программы (решение 15/6, пункт 21). Такие дискуссии будут проводиться в рамках сегмента высокого уровня совещаний и могут сыграть важную роль в обеспечении политической поддержки решений, касающихся </w:t>
      </w:r>
      <w:r w:rsidR="00813724">
        <w:t>повышения эффективности</w:t>
      </w:r>
      <w:r>
        <w:t xml:space="preserve"> осуществления Рамочной программы.</w:t>
      </w:r>
    </w:p>
    <w:p w14:paraId="4CAB4E44" w14:textId="4E921DC9" w:rsidR="004258DF" w:rsidRPr="00F8377D" w:rsidRDefault="004258DF" w:rsidP="003E78D5">
      <w:pPr>
        <w:pStyle w:val="Para1"/>
      </w:pPr>
      <w:r>
        <w:t xml:space="preserve">Итоги глобального обзора послужат основой для решений Конференции Сторон. Они будут включать руководящие указания, которые Стороны могут использовать для принятия мер в соответствии с пунктом 20 решения 15/6 и пунктами 17 и 21 приложения к решению </w:t>
      </w:r>
      <w:hyperlink r:id="rId15" w:history="1">
        <w:r>
          <w:rPr>
            <w:rStyle w:val="Lienhypertexte"/>
            <w:sz w:val="22"/>
          </w:rPr>
          <w:t>15/4</w:t>
        </w:r>
      </w:hyperlink>
      <w:r>
        <w:t>, касающихся соображений по повышени</w:t>
      </w:r>
      <w:r w:rsidR="00813724">
        <w:t>ю</w:t>
      </w:r>
      <w:r>
        <w:t xml:space="preserve"> эффективности мероприятий и усилий в контексте будущих пересмотров и осуществления национальных стратегий и планов действий по сохранению биоразнообразия, включая предоставление средств осуществления Сторонам из числа развивающихся стран, с целью повышения эффективности мероприятий и усилий в зависимости от обстоятельств. </w:t>
      </w:r>
      <w:r w:rsidR="00242580">
        <w:t xml:space="preserve"> </w:t>
      </w:r>
    </w:p>
    <w:p w14:paraId="7E8E72A7" w14:textId="32ABAE0F" w:rsidR="00E945BA" w:rsidRPr="00315EA5" w:rsidRDefault="002D1F37" w:rsidP="00E945BA">
      <w:pPr>
        <w:pStyle w:val="Titre1"/>
        <w:ind w:left="540" w:hanging="540"/>
      </w:pPr>
      <w:r>
        <w:t>Проведение глобального обзора и осуществление контроля</w:t>
      </w:r>
    </w:p>
    <w:bookmarkEnd w:id="2"/>
    <w:p w14:paraId="11B4814F" w14:textId="2C550008" w:rsidR="002D1F37" w:rsidRDefault="007729EC" w:rsidP="003E78D5">
      <w:pPr>
        <w:pStyle w:val="Para1"/>
      </w:pPr>
      <w:r>
        <w:t xml:space="preserve">В соответствии с решением, принятым Конференцией Сторон на ее 16-м совещании, процесс подготовки глобального обзора, который будет проведен на ее 17-м и 19-м совещаниях, будет курироваться Вспомогательным органом по осуществлению и Вспомогательным органом по научным, техническим и технологическим консультациям. Вспомогательный орган по осуществлению будет направлять процесс и осуществлять общий контроль за всеми элементами глобального обзора. Он будет оказывать поддержку работе форума открытого состава по добровольным страновым обзорам и проводить обзор осуществления в рамках соответствующего постоянного пункта своей повестки дня. </w:t>
      </w:r>
      <w:r>
        <w:lastRenderedPageBreak/>
        <w:t xml:space="preserve">Вспомогательный орган по научным, техническим и технологическим консультациям будет обеспечивать научно-техническую обоснованность, в частности, глобального доклада о коллективном прогрессе. Специальная межсессионная рабочая группа открытого состава по осуществлению статьи 8 j) и соответствующих положений Конвенции о биологическом разнообразии или ее преемник будут предоставлять консультации в соответствии со сферой охвата своего мандата. Для обеспечения руководящей роли Сторон на протяжении всего процесса Вспомогательному органу по осуществлению и Вспомогательному органу по научным, техническим и технологическим консультациям будут оказывать поддержку </w:t>
      </w:r>
      <w:r w:rsidR="00274E04">
        <w:t>К</w:t>
      </w:r>
      <w:r>
        <w:t xml:space="preserve">онсультативный комитет и </w:t>
      </w:r>
      <w:r w:rsidR="00274E04">
        <w:t>С</w:t>
      </w:r>
      <w:r>
        <w:t xml:space="preserve">пециальная научно-техническая консультативная группа, соответственно. </w:t>
      </w:r>
    </w:p>
    <w:p w14:paraId="62E67299" w14:textId="2DE26433" w:rsidR="004258DF" w:rsidRPr="00AA4D57" w:rsidRDefault="004258DF" w:rsidP="003E78D5">
      <w:pPr>
        <w:pStyle w:val="Para1"/>
      </w:pPr>
      <w:r>
        <w:t xml:space="preserve">Для управления процессом глобального обзора коллективного прогресса в осуществлении Рамочной программы под руководством </w:t>
      </w:r>
      <w:r>
        <w:rPr>
          <w:snapToGrid w:val="0"/>
        </w:rPr>
        <w:t>Вспомогательного органа по осуществлению</w:t>
      </w:r>
      <w:r>
        <w:t xml:space="preserve"> будет учрежден </w:t>
      </w:r>
      <w:r w:rsidR="00E52CBF">
        <w:t>К</w:t>
      </w:r>
      <w:r>
        <w:t xml:space="preserve">онсультативный комитет по глобальному обзору в составе группы экспертов, назначаемых Сторонами, коренными народами и местными общинами, основными группами заинтересованных сторон и соответствующими организациями, с учетом принципа справедливого регионального представительства и гендерного баланса. Проект круга полномочий </w:t>
      </w:r>
      <w:r w:rsidR="005B38A4">
        <w:t>к</w:t>
      </w:r>
      <w:r>
        <w:t xml:space="preserve">онсультативного комитета приводится в приложении III к проекту решения, содержащемуся в разделе III документа CBD/SBI/4/4. Функции </w:t>
      </w:r>
      <w:r w:rsidR="005B38A4">
        <w:t>к</w:t>
      </w:r>
      <w:r>
        <w:t xml:space="preserve">онсультативного комитета: </w:t>
      </w:r>
    </w:p>
    <w:p w14:paraId="3DC74700" w14:textId="0F7A2340" w:rsidR="004258DF" w:rsidRDefault="00F04F7C" w:rsidP="00F04F7C">
      <w:pPr>
        <w:pStyle w:val="Para2"/>
        <w:rPr>
          <w:rFonts w:eastAsia="Malgun Gothic"/>
        </w:rPr>
      </w:pPr>
      <w:r>
        <w:t>(а)</w:t>
      </w:r>
      <w:r>
        <w:tab/>
        <w:t xml:space="preserve">руководящие указания по всем элементам глобального обзора в период до 17-го совещания Конференции Сторон; </w:t>
      </w:r>
    </w:p>
    <w:p w14:paraId="20FBA8AA" w14:textId="15CB126C" w:rsidR="004258DF" w:rsidRPr="001006F1" w:rsidRDefault="00381499" w:rsidP="005645B3">
      <w:pPr>
        <w:pStyle w:val="Para2"/>
        <w:rPr>
          <w:rFonts w:eastAsia="Malgun Gothic"/>
        </w:rPr>
      </w:pPr>
      <w:r>
        <w:t>(b)</w:t>
      </w:r>
      <w:r>
        <w:tab/>
        <w:t>стратегический контроль подготовки глобального доклада о коллективном прогрессе в осуществлении Рамочной программы;</w:t>
      </w:r>
    </w:p>
    <w:p w14:paraId="7182372E" w14:textId="65116DBA" w:rsidR="004258DF" w:rsidRPr="00DB75A8" w:rsidRDefault="00381499" w:rsidP="005645B3">
      <w:pPr>
        <w:pStyle w:val="Para2"/>
        <w:rPr>
          <w:rFonts w:eastAsia="Malgun Gothic"/>
        </w:rPr>
      </w:pPr>
      <w:r>
        <w:t>(c)</w:t>
      </w:r>
      <w:r>
        <w:tab/>
        <w:t>курирование предусмотренных процессов добровольных страновых обзоров, предполагающих проведение форума открытого состава Вспомогательным органом по осуществлению и добровольные коллегиальные оценки, обеспечивая, чтобы эти процессы выполняли свою задачу по активизации и повышению эффективности осуществления, а также уч</w:t>
      </w:r>
      <w:r w:rsidR="00E359B1">
        <w:t>е</w:t>
      </w:r>
      <w:r>
        <w:t>т опыта, проблем и возможностей Сторон в процессе глобального обзора;</w:t>
      </w:r>
    </w:p>
    <w:p w14:paraId="2B8BCD1C" w14:textId="7B257DF0" w:rsidR="004258DF" w:rsidRPr="002F135E" w:rsidRDefault="005645B3" w:rsidP="005645B3">
      <w:pPr>
        <w:pStyle w:val="Para2"/>
        <w:rPr>
          <w:rFonts w:eastAsia="Malgun Gothic"/>
        </w:rPr>
      </w:pPr>
      <w:r>
        <w:t>(d)</w:t>
      </w:r>
      <w:r>
        <w:tab/>
      </w:r>
      <w:r w:rsidR="00C606B3">
        <w:t xml:space="preserve">оказание </w:t>
      </w:r>
      <w:r w:rsidR="00C606B3" w:rsidRPr="00800A7D">
        <w:t>поддерж</w:t>
      </w:r>
      <w:r w:rsidR="00C606B3">
        <w:t>ки</w:t>
      </w:r>
      <w:r w:rsidR="00C606B3" w:rsidRPr="00800A7D">
        <w:t>, по мере необходимости, дискусси</w:t>
      </w:r>
      <w:r w:rsidR="00C606B3">
        <w:t>ям</w:t>
      </w:r>
      <w:r w:rsidR="00C606B3" w:rsidRPr="00800A7D">
        <w:t xml:space="preserve"> высокого уровня, организуемы</w:t>
      </w:r>
      <w:r w:rsidR="00C606B3">
        <w:t>м</w:t>
      </w:r>
      <w:r w:rsidR="00C606B3" w:rsidRPr="00800A7D">
        <w:t xml:space="preserve"> Председателем Конференции Сторон в рамках глобального обзора</w:t>
      </w:r>
      <w:r>
        <w:t>.</w:t>
      </w:r>
    </w:p>
    <w:p w14:paraId="38EF10AA" w14:textId="5741248E" w:rsidR="004258DF" w:rsidRPr="00D93157" w:rsidRDefault="00561709" w:rsidP="003E78D5">
      <w:pPr>
        <w:pStyle w:val="Para1"/>
      </w:pPr>
      <w:r>
        <w:t xml:space="preserve">Помимо этого, будет учреждена </w:t>
      </w:r>
      <w:r w:rsidR="008819AC">
        <w:t>С</w:t>
      </w:r>
      <w:r>
        <w:t xml:space="preserve">пециальная научно-техническая консультативная группа, ответственная за сбор, анализ и систематизацию научных, технических и технологических материалов для глобального доклада. Ее круг ведения приводится в приложении </w:t>
      </w:r>
      <w:r w:rsidR="002076CC">
        <w:t xml:space="preserve">к </w:t>
      </w:r>
      <w:r>
        <w:t>рекомендации 25/2 Вспомогательного органа по научным, техническим и технологическим консультациям</w:t>
      </w:r>
      <w:r w:rsidR="00CA5D39" w:rsidRPr="00D93157">
        <w:rPr>
          <w:rStyle w:val="Appelnotedebasdep"/>
        </w:rPr>
        <w:footnoteReference w:id="4"/>
      </w:r>
      <w:r>
        <w:t xml:space="preserve">. </w:t>
      </w:r>
    </w:p>
    <w:p w14:paraId="465F0C85" w14:textId="7C0DF20A" w:rsidR="004258DF" w:rsidRPr="00D93157" w:rsidRDefault="000C1FD6" w:rsidP="003E78D5">
      <w:pPr>
        <w:pStyle w:val="Para1"/>
      </w:pPr>
      <w:r>
        <w:t xml:space="preserve">В том, что касается распределения функций при подготовке глобального доклада, </w:t>
      </w:r>
      <w:r w:rsidR="008819AC">
        <w:t>К</w:t>
      </w:r>
      <w:r>
        <w:rPr>
          <w:rFonts w:asciiTheme="majorBidi" w:hAnsiTheme="majorBidi"/>
        </w:rPr>
        <w:t xml:space="preserve">онсультативный комитет будет определять политические потребности доклада, а </w:t>
      </w:r>
      <w:r w:rsidR="008819AC">
        <w:rPr>
          <w:rFonts w:asciiTheme="majorBidi" w:hAnsiTheme="majorBidi"/>
        </w:rPr>
        <w:t>С</w:t>
      </w:r>
      <w:r>
        <w:t>пециальная научно-техническая консультативная группа – давать указания по научным, техническим и технологическим аспектам. Совещания двух групп можно организовывать параллельно, а при необходимости проводить совместные совещания. Сопредседатели двух групп будут обеспечивать координацию работы и обмен информацией.</w:t>
      </w:r>
    </w:p>
    <w:p w14:paraId="47701E16" w14:textId="4E4D9FC7" w:rsidR="004258DF" w:rsidRPr="00014C6F" w:rsidRDefault="004258DF" w:rsidP="003A6915">
      <w:pPr>
        <w:pStyle w:val="Titre1"/>
      </w:pPr>
      <w:r>
        <w:lastRenderedPageBreak/>
        <w:t>Сроки, потребности в ресурсах и материально-техническом обеспечении</w:t>
      </w:r>
    </w:p>
    <w:p w14:paraId="53230070" w14:textId="2467D7DF" w:rsidR="004D0A46" w:rsidRPr="00A975DA" w:rsidRDefault="00590BB3" w:rsidP="003E78D5">
      <w:pPr>
        <w:pStyle w:val="Para1"/>
        <w:rPr>
          <w:snapToGrid w:val="0"/>
        </w:rPr>
      </w:pPr>
      <w:r>
        <w:t>Национальные доклады, представляемые Сторонами, будут одним из основных источников информации для глобального обзора, в том числе для глобального доклада о коллективном прогрессе в осуществлении. Предельный срок представления седьмых национальных докладов и национальных докладов в рамках протоколов установлен на 28 февраля 2026 года, то есть примерно за восемь месяцев до предполагаемой даты начала 17-го совещания Конференции Сторон. Эт</w:t>
      </w:r>
      <w:r w:rsidR="00FD5418">
        <w:t>им обусловлены</w:t>
      </w:r>
      <w:r>
        <w:t xml:space="preserve"> сжатые сроки для некоторых элементов процесса, основанных на информации из национальных докладов, в частности для подготовки глобального доклада.  </w:t>
      </w:r>
    </w:p>
    <w:p w14:paraId="33D89026" w14:textId="145D1B28" w:rsidR="00B16B18" w:rsidRPr="00A975DA" w:rsidRDefault="004D0A46" w:rsidP="003E78D5">
      <w:pPr>
        <w:pStyle w:val="Para1"/>
        <w:rPr>
          <w:snapToGrid w:val="0"/>
        </w:rPr>
      </w:pPr>
      <w:r>
        <w:t xml:space="preserve">Предусматривается два этапа коллегиального обзора глобального доклада: первоначальный технический обзор и обзор правительственных и технических экспертов, проводимый параллельно с обзором вспомогательных органов. Вспомогательный орган по научным, техническим и технологическим консультациям сосредоточит внимание на научно-технических аспектах доклада, а Вспомогательный орган по осуществлению проведет обзор проекта доклада в целом. Для этого, как отмечается, совещания вспомогательных органов необходимо провести в июне или июле 2026 года. </w:t>
      </w:r>
    </w:p>
    <w:p w14:paraId="333F0EAE" w14:textId="08FE3EC3" w:rsidR="004258DF" w:rsidRPr="00B617A4" w:rsidRDefault="000310F2" w:rsidP="003E78D5">
      <w:pPr>
        <w:pStyle w:val="Para1"/>
        <w:rPr>
          <w:snapToGrid w:val="0"/>
        </w:rPr>
      </w:pPr>
      <w:r>
        <w:t xml:space="preserve">Ориентировочные сроки подготовки глобального доклада приводятся в таблице 1, а смета расходов – в таблице 2. </w:t>
      </w:r>
    </w:p>
    <w:p w14:paraId="3BDD5AD4" w14:textId="35F238CE" w:rsidR="00410690" w:rsidRPr="00410690" w:rsidRDefault="00E945BA" w:rsidP="00F273C9">
      <w:pPr>
        <w:keepNext/>
        <w:ind w:left="567"/>
        <w:rPr>
          <w:rFonts w:asciiTheme="majorBidi" w:hAnsiTheme="majorBidi" w:cstheme="majorBidi"/>
          <w:szCs w:val="22"/>
        </w:rPr>
      </w:pPr>
      <w:r>
        <w:rPr>
          <w:rFonts w:asciiTheme="majorBidi" w:hAnsiTheme="majorBidi"/>
        </w:rPr>
        <w:t>Таблица 1</w:t>
      </w:r>
    </w:p>
    <w:p w14:paraId="3722AA6A" w14:textId="20321400" w:rsidR="00E945BA" w:rsidRDefault="00E945BA" w:rsidP="00757990">
      <w:pPr>
        <w:keepNext/>
        <w:ind w:left="567"/>
        <w:jc w:val="left"/>
        <w:rPr>
          <w:rFonts w:asciiTheme="majorBidi" w:hAnsiTheme="majorBidi" w:cstheme="majorBidi"/>
          <w:b/>
          <w:bCs/>
          <w:szCs w:val="22"/>
        </w:rPr>
      </w:pPr>
      <w:r>
        <w:rPr>
          <w:rFonts w:asciiTheme="majorBidi" w:hAnsiTheme="majorBidi"/>
          <w:b/>
        </w:rPr>
        <w:t>Ориентировочный график подготовки глобального обзора и глобального доклада о коллективном прогрессе</w:t>
      </w:r>
      <w:r>
        <w:rPr>
          <w:rFonts w:asciiTheme="majorBidi" w:hAnsiTheme="majorBidi"/>
          <w:b/>
          <w:vertAlign w:val="superscript"/>
        </w:rPr>
        <w:t>1</w:t>
      </w:r>
    </w:p>
    <w:p w14:paraId="31392B67" w14:textId="77777777" w:rsidR="007440B9" w:rsidRPr="00A975DA" w:rsidRDefault="007440B9" w:rsidP="00757990">
      <w:pPr>
        <w:keepNext/>
        <w:rPr>
          <w:rFonts w:asciiTheme="majorBidi" w:hAnsiTheme="majorBidi" w:cstheme="majorBidi"/>
          <w:b/>
          <w:bCs/>
          <w:szCs w:val="22"/>
        </w:rPr>
      </w:pPr>
    </w:p>
    <w:tbl>
      <w:tblPr>
        <w:tblStyle w:val="Grilledutableau"/>
        <w:tblW w:w="0" w:type="auto"/>
        <w:tblInd w:w="562" w:type="dxa"/>
        <w:tblLook w:val="04A0" w:firstRow="1" w:lastRow="0" w:firstColumn="1" w:lastColumn="0" w:noHBand="0" w:noVBand="1"/>
      </w:tblPr>
      <w:tblGrid>
        <w:gridCol w:w="4536"/>
        <w:gridCol w:w="2127"/>
        <w:gridCol w:w="2125"/>
      </w:tblGrid>
      <w:tr w:rsidR="00E945BA" w:rsidRPr="00663955" w14:paraId="7ACBD541" w14:textId="77777777" w:rsidTr="00410690">
        <w:tc>
          <w:tcPr>
            <w:tcW w:w="4536" w:type="dxa"/>
          </w:tcPr>
          <w:p w14:paraId="47F0646C" w14:textId="77777777" w:rsidR="00E945BA" w:rsidRPr="00EC7254" w:rsidRDefault="00E945BA" w:rsidP="00757990">
            <w:pPr>
              <w:keepNext/>
              <w:jc w:val="left"/>
              <w:rPr>
                <w:i/>
                <w:iCs/>
                <w:sz w:val="20"/>
                <w:szCs w:val="20"/>
              </w:rPr>
            </w:pPr>
            <w:r w:rsidRPr="00EC7254">
              <w:rPr>
                <w:i/>
                <w:sz w:val="20"/>
                <w:szCs w:val="20"/>
              </w:rPr>
              <w:t>Этап/элемент</w:t>
            </w:r>
          </w:p>
        </w:tc>
        <w:tc>
          <w:tcPr>
            <w:tcW w:w="2127" w:type="dxa"/>
          </w:tcPr>
          <w:p w14:paraId="6C495AC0" w14:textId="3857E1D3" w:rsidR="00E945BA" w:rsidRPr="00EC7254" w:rsidRDefault="00E945BA" w:rsidP="00757990">
            <w:pPr>
              <w:keepNext/>
              <w:jc w:val="left"/>
              <w:rPr>
                <w:i/>
                <w:iCs/>
                <w:sz w:val="20"/>
                <w:szCs w:val="20"/>
              </w:rPr>
            </w:pPr>
            <w:r w:rsidRPr="00EC7254">
              <w:rPr>
                <w:i/>
                <w:sz w:val="20"/>
                <w:szCs w:val="20"/>
              </w:rPr>
              <w:t xml:space="preserve">Сценарий 1 (совещание Вспомогательного органа по научным, техническим и технологическим </w:t>
            </w:r>
            <w:r w:rsidR="00F75941" w:rsidRPr="00F75941">
              <w:rPr>
                <w:i/>
                <w:sz w:val="20"/>
                <w:szCs w:val="20"/>
              </w:rPr>
              <w:t>консультациям</w:t>
            </w:r>
            <w:r w:rsidR="00F75941">
              <w:t xml:space="preserve"> </w:t>
            </w:r>
            <w:r w:rsidRPr="00EC7254">
              <w:rPr>
                <w:i/>
                <w:sz w:val="20"/>
                <w:szCs w:val="20"/>
              </w:rPr>
              <w:t>в июне 2026 года)</w:t>
            </w:r>
          </w:p>
        </w:tc>
        <w:tc>
          <w:tcPr>
            <w:tcW w:w="2125" w:type="dxa"/>
          </w:tcPr>
          <w:p w14:paraId="552B5795" w14:textId="0EC150A4" w:rsidR="00E945BA" w:rsidRPr="00EC7254" w:rsidRDefault="00E945BA" w:rsidP="00757990">
            <w:pPr>
              <w:keepNext/>
              <w:jc w:val="left"/>
              <w:rPr>
                <w:i/>
                <w:iCs/>
                <w:sz w:val="20"/>
                <w:szCs w:val="20"/>
              </w:rPr>
            </w:pPr>
            <w:r w:rsidRPr="00EC7254">
              <w:rPr>
                <w:i/>
                <w:sz w:val="20"/>
                <w:szCs w:val="20"/>
              </w:rPr>
              <w:t xml:space="preserve">Сценарий 2 (совещание Вспомогательного органа по научным, техническим и технологическим </w:t>
            </w:r>
            <w:r w:rsidR="00F75941" w:rsidRPr="00F75941">
              <w:rPr>
                <w:i/>
                <w:sz w:val="20"/>
                <w:szCs w:val="20"/>
              </w:rPr>
              <w:t>консультациям</w:t>
            </w:r>
            <w:r w:rsidR="00F75941">
              <w:t xml:space="preserve"> </w:t>
            </w:r>
            <w:r w:rsidRPr="00EC7254">
              <w:rPr>
                <w:i/>
                <w:sz w:val="20"/>
                <w:szCs w:val="20"/>
              </w:rPr>
              <w:t>в июле 2026 года)</w:t>
            </w:r>
          </w:p>
        </w:tc>
      </w:tr>
      <w:tr w:rsidR="00E945BA" w:rsidRPr="00E945BA" w14:paraId="5528D555" w14:textId="77777777" w:rsidTr="00410690">
        <w:tc>
          <w:tcPr>
            <w:tcW w:w="4536" w:type="dxa"/>
          </w:tcPr>
          <w:p w14:paraId="78C10E8E" w14:textId="4621695E" w:rsidR="00E945BA" w:rsidRPr="00EC7254" w:rsidRDefault="00E945BA" w:rsidP="007440B9">
            <w:pPr>
              <w:jc w:val="left"/>
              <w:rPr>
                <w:sz w:val="20"/>
                <w:szCs w:val="20"/>
              </w:rPr>
            </w:pPr>
            <w:r w:rsidRPr="00EC7254">
              <w:rPr>
                <w:sz w:val="20"/>
                <w:szCs w:val="20"/>
              </w:rPr>
              <w:t xml:space="preserve">Учреждение </w:t>
            </w:r>
            <w:r w:rsidR="00384D05">
              <w:rPr>
                <w:sz w:val="20"/>
                <w:szCs w:val="20"/>
              </w:rPr>
              <w:t>К</w:t>
            </w:r>
            <w:r w:rsidRPr="00EC7254">
              <w:rPr>
                <w:sz w:val="20"/>
                <w:szCs w:val="20"/>
              </w:rPr>
              <w:t xml:space="preserve">онсультативного комитета по обзору прогресса и </w:t>
            </w:r>
            <w:r w:rsidR="00384D05">
              <w:rPr>
                <w:sz w:val="20"/>
                <w:szCs w:val="20"/>
              </w:rPr>
              <w:t>С</w:t>
            </w:r>
            <w:r w:rsidRPr="00EC7254">
              <w:rPr>
                <w:sz w:val="20"/>
                <w:szCs w:val="20"/>
              </w:rPr>
              <w:t xml:space="preserve">пециальной научно-технической консультативной группы </w:t>
            </w:r>
          </w:p>
        </w:tc>
        <w:tc>
          <w:tcPr>
            <w:tcW w:w="2127" w:type="dxa"/>
          </w:tcPr>
          <w:p w14:paraId="215845D0" w14:textId="77777777" w:rsidR="00E945BA" w:rsidRPr="00EC7254" w:rsidRDefault="00E945BA" w:rsidP="007440B9">
            <w:pPr>
              <w:jc w:val="left"/>
              <w:rPr>
                <w:sz w:val="20"/>
                <w:szCs w:val="20"/>
              </w:rPr>
            </w:pPr>
            <w:r w:rsidRPr="00EC7254">
              <w:rPr>
                <w:sz w:val="20"/>
                <w:szCs w:val="20"/>
              </w:rPr>
              <w:t>февраль 2025 года</w:t>
            </w:r>
          </w:p>
        </w:tc>
        <w:tc>
          <w:tcPr>
            <w:tcW w:w="2125" w:type="dxa"/>
          </w:tcPr>
          <w:p w14:paraId="527B0983" w14:textId="77777777" w:rsidR="00E945BA" w:rsidRPr="00EC7254" w:rsidRDefault="00E945BA" w:rsidP="007440B9">
            <w:pPr>
              <w:jc w:val="left"/>
              <w:rPr>
                <w:sz w:val="20"/>
                <w:szCs w:val="20"/>
              </w:rPr>
            </w:pPr>
            <w:r w:rsidRPr="00EC7254">
              <w:rPr>
                <w:sz w:val="20"/>
                <w:szCs w:val="20"/>
              </w:rPr>
              <w:t>февраль 2025 года</w:t>
            </w:r>
          </w:p>
        </w:tc>
      </w:tr>
      <w:tr w:rsidR="00E945BA" w:rsidRPr="00E945BA" w14:paraId="5A106273" w14:textId="77777777" w:rsidTr="00410690">
        <w:tc>
          <w:tcPr>
            <w:tcW w:w="4536" w:type="dxa"/>
          </w:tcPr>
          <w:p w14:paraId="1A8D098E" w14:textId="1BDB79BE" w:rsidR="00E945BA" w:rsidRPr="00EC7254" w:rsidRDefault="00E945BA" w:rsidP="007440B9">
            <w:pPr>
              <w:jc w:val="left"/>
              <w:rPr>
                <w:sz w:val="20"/>
                <w:szCs w:val="20"/>
              </w:rPr>
            </w:pPr>
            <w:r w:rsidRPr="00EC7254">
              <w:rPr>
                <w:sz w:val="20"/>
                <w:szCs w:val="20"/>
              </w:rPr>
              <w:t xml:space="preserve">Первое </w:t>
            </w:r>
            <w:r w:rsidR="00D941A0" w:rsidRPr="00EC7254">
              <w:rPr>
                <w:sz w:val="20"/>
                <w:szCs w:val="20"/>
              </w:rPr>
              <w:t>виртуальн</w:t>
            </w:r>
            <w:r w:rsidR="00D941A0">
              <w:rPr>
                <w:sz w:val="20"/>
                <w:szCs w:val="20"/>
              </w:rPr>
              <w:t>ое</w:t>
            </w:r>
            <w:r w:rsidR="00D941A0" w:rsidRPr="00EC7254">
              <w:rPr>
                <w:sz w:val="20"/>
                <w:szCs w:val="20"/>
              </w:rPr>
              <w:t xml:space="preserve"> </w:t>
            </w:r>
            <w:r w:rsidRPr="00EC7254">
              <w:rPr>
                <w:sz w:val="20"/>
                <w:szCs w:val="20"/>
              </w:rPr>
              <w:t xml:space="preserve">совещание </w:t>
            </w:r>
            <w:r w:rsidR="00384D05">
              <w:rPr>
                <w:sz w:val="20"/>
                <w:szCs w:val="20"/>
              </w:rPr>
              <w:t>К</w:t>
            </w:r>
            <w:r w:rsidRPr="00EC7254">
              <w:rPr>
                <w:sz w:val="20"/>
                <w:szCs w:val="20"/>
              </w:rPr>
              <w:t xml:space="preserve">онсультативного комитета по обзору прогресса и </w:t>
            </w:r>
            <w:r w:rsidR="00384D05">
              <w:rPr>
                <w:sz w:val="20"/>
                <w:szCs w:val="20"/>
              </w:rPr>
              <w:t>С</w:t>
            </w:r>
            <w:r w:rsidRPr="00EC7254">
              <w:rPr>
                <w:sz w:val="20"/>
                <w:szCs w:val="20"/>
              </w:rPr>
              <w:t>пециальной научно-технической консультативной группы (в виртуальном формате)</w:t>
            </w:r>
          </w:p>
        </w:tc>
        <w:tc>
          <w:tcPr>
            <w:tcW w:w="2127" w:type="dxa"/>
          </w:tcPr>
          <w:p w14:paraId="2FB440BD" w14:textId="77777777" w:rsidR="00E945BA" w:rsidRPr="00EC7254" w:rsidRDefault="00E945BA" w:rsidP="007440B9">
            <w:pPr>
              <w:jc w:val="left"/>
              <w:rPr>
                <w:sz w:val="20"/>
                <w:szCs w:val="20"/>
              </w:rPr>
            </w:pPr>
            <w:r w:rsidRPr="00EC7254">
              <w:rPr>
                <w:sz w:val="20"/>
                <w:szCs w:val="20"/>
              </w:rPr>
              <w:t>апрель 2025 года</w:t>
            </w:r>
          </w:p>
        </w:tc>
        <w:tc>
          <w:tcPr>
            <w:tcW w:w="2125" w:type="dxa"/>
          </w:tcPr>
          <w:p w14:paraId="31245652" w14:textId="32C9DE8D" w:rsidR="00E945BA" w:rsidRPr="00EC7254" w:rsidRDefault="00EC7254" w:rsidP="007440B9">
            <w:pPr>
              <w:jc w:val="left"/>
              <w:rPr>
                <w:sz w:val="20"/>
                <w:szCs w:val="20"/>
              </w:rPr>
            </w:pPr>
            <w:r>
              <w:rPr>
                <w:sz w:val="20"/>
                <w:szCs w:val="20"/>
              </w:rPr>
              <w:t>а</w:t>
            </w:r>
            <w:r w:rsidR="00E945BA" w:rsidRPr="00EC7254">
              <w:rPr>
                <w:sz w:val="20"/>
                <w:szCs w:val="20"/>
              </w:rPr>
              <w:t>прель 2025 года</w:t>
            </w:r>
          </w:p>
        </w:tc>
      </w:tr>
      <w:tr w:rsidR="00E945BA" w:rsidRPr="00E945BA" w14:paraId="24850B33" w14:textId="77777777" w:rsidTr="00410690">
        <w:tc>
          <w:tcPr>
            <w:tcW w:w="4536" w:type="dxa"/>
          </w:tcPr>
          <w:p w14:paraId="419DCDBD" w14:textId="77777777" w:rsidR="00E945BA" w:rsidRPr="00EC7254" w:rsidRDefault="00E945BA" w:rsidP="007440B9">
            <w:pPr>
              <w:jc w:val="left"/>
              <w:rPr>
                <w:sz w:val="20"/>
                <w:szCs w:val="20"/>
              </w:rPr>
            </w:pPr>
            <w:r w:rsidRPr="00EC7254">
              <w:rPr>
                <w:sz w:val="20"/>
                <w:szCs w:val="20"/>
              </w:rPr>
              <w:t>Аннотированный план глобального доклада</w:t>
            </w:r>
          </w:p>
        </w:tc>
        <w:tc>
          <w:tcPr>
            <w:tcW w:w="2127" w:type="dxa"/>
          </w:tcPr>
          <w:p w14:paraId="5DEA9E14" w14:textId="77777777" w:rsidR="00E945BA" w:rsidRPr="00EC7254" w:rsidRDefault="00E945BA" w:rsidP="007440B9">
            <w:pPr>
              <w:jc w:val="left"/>
              <w:rPr>
                <w:sz w:val="20"/>
                <w:szCs w:val="20"/>
              </w:rPr>
            </w:pPr>
            <w:r w:rsidRPr="00EC7254">
              <w:rPr>
                <w:sz w:val="20"/>
                <w:szCs w:val="20"/>
              </w:rPr>
              <w:t>июль 2025 года</w:t>
            </w:r>
          </w:p>
        </w:tc>
        <w:tc>
          <w:tcPr>
            <w:tcW w:w="2125" w:type="dxa"/>
          </w:tcPr>
          <w:p w14:paraId="0CBF5DFB" w14:textId="77777777" w:rsidR="00E945BA" w:rsidRPr="00EC7254" w:rsidRDefault="00E945BA" w:rsidP="007440B9">
            <w:pPr>
              <w:jc w:val="left"/>
              <w:rPr>
                <w:sz w:val="20"/>
                <w:szCs w:val="20"/>
              </w:rPr>
            </w:pPr>
            <w:r w:rsidRPr="00EC7254">
              <w:rPr>
                <w:sz w:val="20"/>
                <w:szCs w:val="20"/>
              </w:rPr>
              <w:t>июль 2025 года</w:t>
            </w:r>
          </w:p>
        </w:tc>
      </w:tr>
      <w:tr w:rsidR="00E945BA" w:rsidRPr="00E945BA" w14:paraId="60AEE274" w14:textId="77777777" w:rsidTr="00410690">
        <w:tc>
          <w:tcPr>
            <w:tcW w:w="4536" w:type="dxa"/>
          </w:tcPr>
          <w:p w14:paraId="1F0B7307" w14:textId="77777777" w:rsidR="00E945BA" w:rsidRPr="00EC7254" w:rsidRDefault="00E945BA" w:rsidP="007440B9">
            <w:pPr>
              <w:jc w:val="left"/>
              <w:rPr>
                <w:sz w:val="20"/>
                <w:szCs w:val="20"/>
              </w:rPr>
            </w:pPr>
            <w:r w:rsidRPr="00EC7254">
              <w:rPr>
                <w:sz w:val="20"/>
                <w:szCs w:val="20"/>
              </w:rPr>
              <w:t>Региональные диалоги по подготовке национальных докладов</w:t>
            </w:r>
          </w:p>
        </w:tc>
        <w:tc>
          <w:tcPr>
            <w:tcW w:w="2127" w:type="dxa"/>
          </w:tcPr>
          <w:p w14:paraId="1548A2AC" w14:textId="6B909981" w:rsidR="00E945BA" w:rsidRPr="00EC7254" w:rsidRDefault="00E945BA" w:rsidP="007440B9">
            <w:pPr>
              <w:jc w:val="left"/>
              <w:rPr>
                <w:sz w:val="20"/>
                <w:szCs w:val="20"/>
              </w:rPr>
            </w:pPr>
            <w:r w:rsidRPr="00EC7254">
              <w:rPr>
                <w:sz w:val="20"/>
                <w:szCs w:val="20"/>
              </w:rPr>
              <w:t>март-ноябрь 2025 года</w:t>
            </w:r>
          </w:p>
        </w:tc>
        <w:tc>
          <w:tcPr>
            <w:tcW w:w="2125" w:type="dxa"/>
          </w:tcPr>
          <w:p w14:paraId="1E954CC5" w14:textId="1D3A3353" w:rsidR="00E945BA" w:rsidRPr="00EC7254" w:rsidRDefault="00E945BA" w:rsidP="007440B9">
            <w:pPr>
              <w:jc w:val="left"/>
              <w:rPr>
                <w:sz w:val="20"/>
                <w:szCs w:val="20"/>
              </w:rPr>
            </w:pPr>
            <w:r w:rsidRPr="00EC7254">
              <w:rPr>
                <w:sz w:val="20"/>
                <w:szCs w:val="20"/>
              </w:rPr>
              <w:t>март-ноябрь 2025 года</w:t>
            </w:r>
          </w:p>
        </w:tc>
      </w:tr>
      <w:tr w:rsidR="00E945BA" w:rsidRPr="00A975DA" w14:paraId="381E40BB" w14:textId="77777777" w:rsidTr="00410690">
        <w:tc>
          <w:tcPr>
            <w:tcW w:w="4536" w:type="dxa"/>
          </w:tcPr>
          <w:p w14:paraId="30326185" w14:textId="15A3957C" w:rsidR="00E945BA" w:rsidRPr="00EC7254" w:rsidRDefault="008865BF" w:rsidP="007440B9">
            <w:pPr>
              <w:jc w:val="left"/>
              <w:rPr>
                <w:b/>
                <w:bCs/>
                <w:sz w:val="20"/>
                <w:szCs w:val="20"/>
              </w:rPr>
            </w:pPr>
            <w:r w:rsidRPr="00EC7254">
              <w:rPr>
                <w:b/>
                <w:sz w:val="20"/>
                <w:szCs w:val="20"/>
              </w:rPr>
              <w:t>Предоставление консультаций Вспомогательным органом по научным, техническим и технологическим консультациям</w:t>
            </w:r>
            <w:r w:rsidRPr="00EC7254">
              <w:rPr>
                <w:b/>
                <w:i/>
                <w:iCs/>
                <w:sz w:val="20"/>
                <w:szCs w:val="20"/>
              </w:rPr>
              <w:t xml:space="preserve"> </w:t>
            </w:r>
            <w:r w:rsidRPr="00EC7254">
              <w:rPr>
                <w:b/>
                <w:sz w:val="20"/>
                <w:szCs w:val="20"/>
              </w:rPr>
              <w:t>по научным материалам для доклада</w:t>
            </w:r>
            <w:r w:rsidRPr="00EC7254">
              <w:rPr>
                <w:b/>
                <w:sz w:val="20"/>
                <w:szCs w:val="20"/>
                <w:vertAlign w:val="superscript"/>
              </w:rPr>
              <w:t>1</w:t>
            </w:r>
          </w:p>
        </w:tc>
        <w:tc>
          <w:tcPr>
            <w:tcW w:w="2127" w:type="dxa"/>
          </w:tcPr>
          <w:p w14:paraId="17D3FBF1" w14:textId="77777777" w:rsidR="00E945BA" w:rsidRPr="00EC7254" w:rsidRDefault="00E945BA" w:rsidP="007440B9">
            <w:pPr>
              <w:jc w:val="left"/>
              <w:rPr>
                <w:b/>
                <w:bCs/>
                <w:sz w:val="20"/>
                <w:szCs w:val="20"/>
              </w:rPr>
            </w:pPr>
            <w:r w:rsidRPr="00EC7254">
              <w:rPr>
                <w:b/>
                <w:sz w:val="20"/>
                <w:szCs w:val="20"/>
              </w:rPr>
              <w:t>октябрь/ноябрь 2025 года</w:t>
            </w:r>
          </w:p>
        </w:tc>
        <w:tc>
          <w:tcPr>
            <w:tcW w:w="2125" w:type="dxa"/>
          </w:tcPr>
          <w:p w14:paraId="3A75111C" w14:textId="77777777" w:rsidR="00E945BA" w:rsidRPr="00EC7254" w:rsidRDefault="00E945BA" w:rsidP="007440B9">
            <w:pPr>
              <w:jc w:val="left"/>
              <w:rPr>
                <w:b/>
                <w:bCs/>
                <w:sz w:val="20"/>
                <w:szCs w:val="20"/>
              </w:rPr>
            </w:pPr>
            <w:r w:rsidRPr="00EC7254">
              <w:rPr>
                <w:b/>
                <w:sz w:val="20"/>
                <w:szCs w:val="20"/>
              </w:rPr>
              <w:t>октябрь/ноябрь 2025 года</w:t>
            </w:r>
          </w:p>
        </w:tc>
      </w:tr>
      <w:tr w:rsidR="00E945BA" w:rsidRPr="00E945BA" w14:paraId="2E87B628" w14:textId="77777777" w:rsidTr="00410690">
        <w:tc>
          <w:tcPr>
            <w:tcW w:w="4536" w:type="dxa"/>
          </w:tcPr>
          <w:p w14:paraId="7BA60C70" w14:textId="10B67367" w:rsidR="00E945BA" w:rsidRPr="00EC7254" w:rsidRDefault="008865BF" w:rsidP="007440B9">
            <w:pPr>
              <w:jc w:val="left"/>
              <w:rPr>
                <w:sz w:val="20"/>
                <w:szCs w:val="20"/>
              </w:rPr>
            </w:pPr>
            <w:r w:rsidRPr="00EC7254">
              <w:rPr>
                <w:sz w:val="20"/>
                <w:szCs w:val="20"/>
              </w:rPr>
              <w:t xml:space="preserve">Предоставление консультаций </w:t>
            </w:r>
            <w:r w:rsidR="00153D39">
              <w:rPr>
                <w:sz w:val="20"/>
                <w:szCs w:val="20"/>
              </w:rPr>
              <w:t>С</w:t>
            </w:r>
            <w:r w:rsidRPr="00EC7254">
              <w:rPr>
                <w:sz w:val="20"/>
                <w:szCs w:val="20"/>
              </w:rPr>
              <w:t>пециальной межсессионной рабочей группой открытого состава по осуществлению статьи 8 j) и соответствующих положений Конвенции о биологическом разнообразии по материалам для доклада, связанным с традиционными знаниями</w:t>
            </w:r>
          </w:p>
        </w:tc>
        <w:tc>
          <w:tcPr>
            <w:tcW w:w="2127" w:type="dxa"/>
          </w:tcPr>
          <w:p w14:paraId="2C3821F8" w14:textId="77777777" w:rsidR="00E945BA" w:rsidRPr="00EC7254" w:rsidRDefault="00E945BA" w:rsidP="007440B9">
            <w:pPr>
              <w:jc w:val="left"/>
              <w:rPr>
                <w:sz w:val="20"/>
                <w:szCs w:val="20"/>
              </w:rPr>
            </w:pPr>
            <w:r w:rsidRPr="00EC7254">
              <w:rPr>
                <w:sz w:val="20"/>
                <w:szCs w:val="20"/>
              </w:rPr>
              <w:t>октябрь/ноябрь 2025 года</w:t>
            </w:r>
          </w:p>
        </w:tc>
        <w:tc>
          <w:tcPr>
            <w:tcW w:w="2125" w:type="dxa"/>
          </w:tcPr>
          <w:p w14:paraId="007BF58C" w14:textId="77777777" w:rsidR="00E945BA" w:rsidRPr="00EC7254" w:rsidRDefault="00E945BA" w:rsidP="007440B9">
            <w:pPr>
              <w:jc w:val="left"/>
              <w:rPr>
                <w:sz w:val="20"/>
                <w:szCs w:val="20"/>
              </w:rPr>
            </w:pPr>
            <w:r w:rsidRPr="00EC7254">
              <w:rPr>
                <w:sz w:val="20"/>
                <w:szCs w:val="20"/>
              </w:rPr>
              <w:t>октябрь/ноябрь 2025</w:t>
            </w:r>
          </w:p>
        </w:tc>
      </w:tr>
      <w:tr w:rsidR="00E945BA" w:rsidRPr="00E945BA" w14:paraId="54CB1ABE" w14:textId="77777777" w:rsidTr="00410690">
        <w:tc>
          <w:tcPr>
            <w:tcW w:w="4536" w:type="dxa"/>
          </w:tcPr>
          <w:p w14:paraId="2763DC26" w14:textId="4E61ADB6" w:rsidR="00E945BA" w:rsidRPr="00EC7254" w:rsidRDefault="00E945BA" w:rsidP="007440B9">
            <w:pPr>
              <w:jc w:val="left"/>
              <w:rPr>
                <w:sz w:val="20"/>
                <w:szCs w:val="20"/>
              </w:rPr>
            </w:pPr>
            <w:r w:rsidRPr="00EC7254">
              <w:rPr>
                <w:sz w:val="20"/>
                <w:szCs w:val="20"/>
              </w:rPr>
              <w:lastRenderedPageBreak/>
              <w:t xml:space="preserve">Подготовка предварительного проекта глобального доклада (разделы 1 и 2 с подробными планами разделов 3, 4, 5 и 6) </w:t>
            </w:r>
          </w:p>
        </w:tc>
        <w:tc>
          <w:tcPr>
            <w:tcW w:w="2127" w:type="dxa"/>
          </w:tcPr>
          <w:p w14:paraId="3D0164F3" w14:textId="27728169" w:rsidR="00E945BA" w:rsidRPr="00EC7254" w:rsidRDefault="00E945BA" w:rsidP="007440B9">
            <w:pPr>
              <w:jc w:val="left"/>
              <w:rPr>
                <w:sz w:val="20"/>
                <w:szCs w:val="20"/>
              </w:rPr>
            </w:pPr>
            <w:r w:rsidRPr="00EC7254">
              <w:rPr>
                <w:sz w:val="20"/>
                <w:szCs w:val="20"/>
              </w:rPr>
              <w:t>январь-февраль 2026 года</w:t>
            </w:r>
          </w:p>
        </w:tc>
        <w:tc>
          <w:tcPr>
            <w:tcW w:w="2125" w:type="dxa"/>
          </w:tcPr>
          <w:p w14:paraId="798A96E0" w14:textId="7075C625" w:rsidR="00E945BA" w:rsidRPr="00EC7254" w:rsidRDefault="00E945BA" w:rsidP="007440B9">
            <w:pPr>
              <w:jc w:val="left"/>
              <w:rPr>
                <w:sz w:val="20"/>
                <w:szCs w:val="20"/>
              </w:rPr>
            </w:pPr>
            <w:r w:rsidRPr="00EC7254">
              <w:rPr>
                <w:sz w:val="20"/>
                <w:szCs w:val="20"/>
              </w:rPr>
              <w:t>январь-февраль 2026 года</w:t>
            </w:r>
          </w:p>
        </w:tc>
      </w:tr>
      <w:tr w:rsidR="00E945BA" w:rsidRPr="00E945BA" w14:paraId="057DEC83" w14:textId="77777777" w:rsidTr="00410690">
        <w:tc>
          <w:tcPr>
            <w:tcW w:w="4536" w:type="dxa"/>
          </w:tcPr>
          <w:p w14:paraId="0ECDBF2C" w14:textId="4F64904E" w:rsidR="00E945BA" w:rsidRPr="00EC7254" w:rsidRDefault="00E945BA" w:rsidP="007440B9">
            <w:pPr>
              <w:jc w:val="left"/>
              <w:rPr>
                <w:sz w:val="20"/>
                <w:szCs w:val="20"/>
              </w:rPr>
            </w:pPr>
            <w:r w:rsidRPr="00EC7254">
              <w:rPr>
                <w:sz w:val="20"/>
                <w:szCs w:val="20"/>
              </w:rPr>
              <w:t>Предельный срок представления седьмых национальных докладов</w:t>
            </w:r>
            <w:r w:rsidRPr="00EC7254">
              <w:rPr>
                <w:sz w:val="20"/>
                <w:szCs w:val="20"/>
                <w:vertAlign w:val="superscript"/>
              </w:rPr>
              <w:t>2</w:t>
            </w:r>
          </w:p>
        </w:tc>
        <w:tc>
          <w:tcPr>
            <w:tcW w:w="2127" w:type="dxa"/>
          </w:tcPr>
          <w:p w14:paraId="062BADCA" w14:textId="77777777" w:rsidR="00E945BA" w:rsidRPr="00EC7254" w:rsidRDefault="00E945BA" w:rsidP="007440B9">
            <w:pPr>
              <w:jc w:val="left"/>
              <w:rPr>
                <w:sz w:val="20"/>
                <w:szCs w:val="20"/>
              </w:rPr>
            </w:pPr>
            <w:r w:rsidRPr="00EC7254">
              <w:rPr>
                <w:sz w:val="20"/>
                <w:szCs w:val="20"/>
              </w:rPr>
              <w:t>28 февраля 2026 года</w:t>
            </w:r>
          </w:p>
        </w:tc>
        <w:tc>
          <w:tcPr>
            <w:tcW w:w="2125" w:type="dxa"/>
          </w:tcPr>
          <w:p w14:paraId="54B6D7B4" w14:textId="77777777" w:rsidR="00E945BA" w:rsidRPr="00EC7254" w:rsidRDefault="00E945BA" w:rsidP="007440B9">
            <w:pPr>
              <w:jc w:val="left"/>
              <w:rPr>
                <w:sz w:val="20"/>
                <w:szCs w:val="20"/>
              </w:rPr>
            </w:pPr>
            <w:r w:rsidRPr="00EC7254">
              <w:rPr>
                <w:sz w:val="20"/>
                <w:szCs w:val="20"/>
              </w:rPr>
              <w:t>28 февраля 2026 года</w:t>
            </w:r>
          </w:p>
        </w:tc>
      </w:tr>
      <w:tr w:rsidR="00E945BA" w:rsidRPr="00E945BA" w14:paraId="1B6A3062" w14:textId="77777777" w:rsidTr="00410690">
        <w:tc>
          <w:tcPr>
            <w:tcW w:w="4536" w:type="dxa"/>
          </w:tcPr>
          <w:p w14:paraId="4AE70214" w14:textId="61A9735C" w:rsidR="00E945BA" w:rsidRPr="00EC7254" w:rsidRDefault="00E945BA" w:rsidP="007440B9">
            <w:pPr>
              <w:jc w:val="left"/>
              <w:rPr>
                <w:sz w:val="20"/>
                <w:szCs w:val="20"/>
              </w:rPr>
            </w:pPr>
            <w:r w:rsidRPr="00EC7254">
              <w:rPr>
                <w:sz w:val="20"/>
                <w:szCs w:val="20"/>
              </w:rPr>
              <w:t xml:space="preserve">Первое очное совещание </w:t>
            </w:r>
            <w:r w:rsidR="00D778E9">
              <w:rPr>
                <w:sz w:val="20"/>
                <w:szCs w:val="20"/>
              </w:rPr>
              <w:t>К</w:t>
            </w:r>
            <w:r w:rsidRPr="00EC7254">
              <w:rPr>
                <w:sz w:val="20"/>
                <w:szCs w:val="20"/>
              </w:rPr>
              <w:t xml:space="preserve">онсультативного комитета по обзору прогресса и </w:t>
            </w:r>
            <w:r w:rsidR="00D778E9">
              <w:rPr>
                <w:sz w:val="20"/>
                <w:szCs w:val="20"/>
              </w:rPr>
              <w:t>С</w:t>
            </w:r>
            <w:r w:rsidRPr="00EC7254">
              <w:rPr>
                <w:sz w:val="20"/>
                <w:szCs w:val="20"/>
              </w:rPr>
              <w:t>пециальной научно-технической консультативной группы для рассмотрения предварительного проекта и рекомендаций по подготовке первого проекта</w:t>
            </w:r>
          </w:p>
        </w:tc>
        <w:tc>
          <w:tcPr>
            <w:tcW w:w="2127" w:type="dxa"/>
          </w:tcPr>
          <w:p w14:paraId="1B47A4B7" w14:textId="18A82B48" w:rsidR="00E945BA" w:rsidRPr="00EC7254" w:rsidRDefault="00E945BA" w:rsidP="007440B9">
            <w:pPr>
              <w:jc w:val="left"/>
              <w:rPr>
                <w:sz w:val="20"/>
                <w:szCs w:val="20"/>
              </w:rPr>
            </w:pPr>
            <w:r w:rsidRPr="00EC7254">
              <w:rPr>
                <w:sz w:val="20"/>
                <w:szCs w:val="20"/>
              </w:rPr>
              <w:t>10 и 11 марта 2026 года</w:t>
            </w:r>
          </w:p>
        </w:tc>
        <w:tc>
          <w:tcPr>
            <w:tcW w:w="2125" w:type="dxa"/>
          </w:tcPr>
          <w:p w14:paraId="2686C617" w14:textId="06912D33" w:rsidR="00E945BA" w:rsidRPr="00EC7254" w:rsidRDefault="00E945BA" w:rsidP="007440B9">
            <w:pPr>
              <w:jc w:val="left"/>
              <w:rPr>
                <w:sz w:val="20"/>
                <w:szCs w:val="20"/>
              </w:rPr>
            </w:pPr>
            <w:r w:rsidRPr="00EC7254">
              <w:rPr>
                <w:sz w:val="20"/>
                <w:szCs w:val="20"/>
              </w:rPr>
              <w:t>10 и 11 марта 2026 года</w:t>
            </w:r>
          </w:p>
        </w:tc>
      </w:tr>
      <w:tr w:rsidR="00E945BA" w:rsidRPr="00E945BA" w14:paraId="6A69BA2D" w14:textId="77777777" w:rsidTr="00410690">
        <w:tc>
          <w:tcPr>
            <w:tcW w:w="4536" w:type="dxa"/>
          </w:tcPr>
          <w:p w14:paraId="53CED2C7" w14:textId="0E007797" w:rsidR="00E945BA" w:rsidRPr="00EC7254" w:rsidRDefault="00E945BA" w:rsidP="007440B9">
            <w:pPr>
              <w:jc w:val="left"/>
              <w:rPr>
                <w:sz w:val="20"/>
                <w:szCs w:val="20"/>
              </w:rPr>
            </w:pPr>
            <w:r w:rsidRPr="00EC7254">
              <w:rPr>
                <w:sz w:val="20"/>
                <w:szCs w:val="20"/>
              </w:rPr>
              <w:t xml:space="preserve">Подготовка первого проекта глобального доклада (разделы </w:t>
            </w:r>
            <w:proofErr w:type="gramStart"/>
            <w:r w:rsidRPr="00EC7254">
              <w:rPr>
                <w:sz w:val="20"/>
                <w:szCs w:val="20"/>
              </w:rPr>
              <w:t>1-6</w:t>
            </w:r>
            <w:proofErr w:type="gramEnd"/>
            <w:r w:rsidRPr="00EC7254">
              <w:rPr>
                <w:sz w:val="20"/>
                <w:szCs w:val="20"/>
              </w:rPr>
              <w:t>)</w:t>
            </w:r>
          </w:p>
        </w:tc>
        <w:tc>
          <w:tcPr>
            <w:tcW w:w="2127" w:type="dxa"/>
          </w:tcPr>
          <w:p w14:paraId="4078F874" w14:textId="070B3742" w:rsidR="00E945BA" w:rsidRPr="00EC7254" w:rsidRDefault="00E945BA" w:rsidP="007440B9">
            <w:pPr>
              <w:jc w:val="left"/>
              <w:rPr>
                <w:sz w:val="20"/>
                <w:szCs w:val="20"/>
              </w:rPr>
            </w:pPr>
            <w:proofErr w:type="gramStart"/>
            <w:r w:rsidRPr="00EC7254">
              <w:rPr>
                <w:sz w:val="20"/>
                <w:szCs w:val="20"/>
              </w:rPr>
              <w:t>2-26</w:t>
            </w:r>
            <w:proofErr w:type="gramEnd"/>
            <w:r w:rsidRPr="00EC7254">
              <w:rPr>
                <w:sz w:val="20"/>
                <w:szCs w:val="20"/>
              </w:rPr>
              <w:t xml:space="preserve"> марта 2026 года</w:t>
            </w:r>
          </w:p>
        </w:tc>
        <w:tc>
          <w:tcPr>
            <w:tcW w:w="2125" w:type="dxa"/>
          </w:tcPr>
          <w:p w14:paraId="7BE06403" w14:textId="4A7A5E9C" w:rsidR="00E945BA" w:rsidRPr="00EC7254" w:rsidRDefault="00E945BA" w:rsidP="007440B9">
            <w:pPr>
              <w:jc w:val="left"/>
              <w:rPr>
                <w:sz w:val="20"/>
                <w:szCs w:val="20"/>
              </w:rPr>
            </w:pPr>
            <w:r w:rsidRPr="00EC7254">
              <w:rPr>
                <w:sz w:val="20"/>
                <w:szCs w:val="20"/>
              </w:rPr>
              <w:t xml:space="preserve">2 </w:t>
            </w:r>
            <w:proofErr w:type="gramStart"/>
            <w:r w:rsidRPr="00EC7254">
              <w:rPr>
                <w:sz w:val="20"/>
                <w:szCs w:val="20"/>
              </w:rPr>
              <w:t>марта - 11</w:t>
            </w:r>
            <w:proofErr w:type="gramEnd"/>
            <w:r w:rsidRPr="00EC7254">
              <w:rPr>
                <w:sz w:val="20"/>
                <w:szCs w:val="20"/>
              </w:rPr>
              <w:t xml:space="preserve"> апреля 2026 года</w:t>
            </w:r>
          </w:p>
        </w:tc>
      </w:tr>
      <w:tr w:rsidR="00E945BA" w:rsidRPr="00E945BA" w14:paraId="1ED1B619" w14:textId="77777777" w:rsidTr="00410690">
        <w:tc>
          <w:tcPr>
            <w:tcW w:w="4536" w:type="dxa"/>
          </w:tcPr>
          <w:p w14:paraId="7518508C" w14:textId="77777777" w:rsidR="00E945BA" w:rsidRPr="00EC7254" w:rsidRDefault="00E945BA" w:rsidP="007440B9">
            <w:pPr>
              <w:jc w:val="left"/>
              <w:rPr>
                <w:sz w:val="20"/>
                <w:szCs w:val="20"/>
              </w:rPr>
            </w:pPr>
            <w:r w:rsidRPr="00EC7254">
              <w:rPr>
                <w:sz w:val="20"/>
                <w:szCs w:val="20"/>
              </w:rPr>
              <w:t>Технический обзор первого проекта (первый коллегиальный обзор)</w:t>
            </w:r>
          </w:p>
        </w:tc>
        <w:tc>
          <w:tcPr>
            <w:tcW w:w="2127" w:type="dxa"/>
          </w:tcPr>
          <w:p w14:paraId="40D702E5" w14:textId="47B8A5A0" w:rsidR="00E945BA" w:rsidRPr="00EC7254" w:rsidRDefault="00E945BA" w:rsidP="007440B9">
            <w:pPr>
              <w:jc w:val="left"/>
              <w:rPr>
                <w:sz w:val="20"/>
                <w:szCs w:val="20"/>
              </w:rPr>
            </w:pPr>
            <w:r w:rsidRPr="00EC7254">
              <w:rPr>
                <w:sz w:val="20"/>
                <w:szCs w:val="20"/>
              </w:rPr>
              <w:t xml:space="preserve">30 </w:t>
            </w:r>
            <w:proofErr w:type="gramStart"/>
            <w:r w:rsidRPr="00EC7254">
              <w:rPr>
                <w:sz w:val="20"/>
                <w:szCs w:val="20"/>
              </w:rPr>
              <w:t>марта - 12</w:t>
            </w:r>
            <w:proofErr w:type="gramEnd"/>
            <w:r w:rsidRPr="00EC7254">
              <w:rPr>
                <w:sz w:val="20"/>
                <w:szCs w:val="20"/>
              </w:rPr>
              <w:t xml:space="preserve"> апреля 2026 года</w:t>
            </w:r>
          </w:p>
        </w:tc>
        <w:tc>
          <w:tcPr>
            <w:tcW w:w="2125" w:type="dxa"/>
          </w:tcPr>
          <w:p w14:paraId="1396E4BC" w14:textId="366714E8" w:rsidR="00E945BA" w:rsidRPr="00EC7254" w:rsidRDefault="00E945BA" w:rsidP="007440B9">
            <w:pPr>
              <w:jc w:val="left"/>
              <w:rPr>
                <w:sz w:val="20"/>
                <w:szCs w:val="20"/>
              </w:rPr>
            </w:pPr>
            <w:r w:rsidRPr="00EC7254">
              <w:rPr>
                <w:sz w:val="20"/>
                <w:szCs w:val="20"/>
              </w:rPr>
              <w:t xml:space="preserve">13 </w:t>
            </w:r>
            <w:proofErr w:type="gramStart"/>
            <w:r w:rsidRPr="00EC7254">
              <w:rPr>
                <w:sz w:val="20"/>
                <w:szCs w:val="20"/>
              </w:rPr>
              <w:t>апреля - 3</w:t>
            </w:r>
            <w:proofErr w:type="gramEnd"/>
            <w:r w:rsidRPr="00EC7254">
              <w:rPr>
                <w:sz w:val="20"/>
                <w:szCs w:val="20"/>
              </w:rPr>
              <w:t xml:space="preserve"> мая 2026 года</w:t>
            </w:r>
          </w:p>
        </w:tc>
      </w:tr>
      <w:tr w:rsidR="00E945BA" w:rsidRPr="00E945BA" w14:paraId="6216D1C9" w14:textId="77777777" w:rsidTr="00410690">
        <w:tc>
          <w:tcPr>
            <w:tcW w:w="4536" w:type="dxa"/>
          </w:tcPr>
          <w:p w14:paraId="6E43A097" w14:textId="77777777" w:rsidR="00E945BA" w:rsidRPr="00EC7254" w:rsidRDefault="00E945BA" w:rsidP="007440B9">
            <w:pPr>
              <w:jc w:val="left"/>
              <w:rPr>
                <w:sz w:val="20"/>
                <w:szCs w:val="20"/>
              </w:rPr>
            </w:pPr>
            <w:r w:rsidRPr="00EC7254">
              <w:rPr>
                <w:sz w:val="20"/>
                <w:szCs w:val="20"/>
              </w:rPr>
              <w:t>Подготовка второго проекта глобального доклада (все разделы)</w:t>
            </w:r>
          </w:p>
        </w:tc>
        <w:tc>
          <w:tcPr>
            <w:tcW w:w="2127" w:type="dxa"/>
          </w:tcPr>
          <w:p w14:paraId="3374B3F2" w14:textId="2BECE0F6" w:rsidR="00E945BA" w:rsidRPr="00EC7254" w:rsidRDefault="00E945BA" w:rsidP="007440B9">
            <w:pPr>
              <w:jc w:val="left"/>
              <w:rPr>
                <w:sz w:val="20"/>
                <w:szCs w:val="20"/>
              </w:rPr>
            </w:pPr>
            <w:r w:rsidRPr="00EC7254">
              <w:rPr>
                <w:sz w:val="20"/>
                <w:szCs w:val="20"/>
              </w:rPr>
              <w:t xml:space="preserve">13 </w:t>
            </w:r>
            <w:proofErr w:type="gramStart"/>
            <w:r w:rsidRPr="00EC7254">
              <w:rPr>
                <w:sz w:val="20"/>
                <w:szCs w:val="20"/>
              </w:rPr>
              <w:t>апреля -</w:t>
            </w:r>
            <w:r w:rsidR="00320EB0">
              <w:rPr>
                <w:sz w:val="20"/>
                <w:szCs w:val="20"/>
              </w:rPr>
              <w:t xml:space="preserve"> </w:t>
            </w:r>
            <w:r w:rsidRPr="00EC7254">
              <w:rPr>
                <w:sz w:val="20"/>
                <w:szCs w:val="20"/>
              </w:rPr>
              <w:t>8</w:t>
            </w:r>
            <w:proofErr w:type="gramEnd"/>
            <w:r w:rsidRPr="00EC7254">
              <w:rPr>
                <w:sz w:val="20"/>
                <w:szCs w:val="20"/>
              </w:rPr>
              <w:t xml:space="preserve"> мая 2026 года</w:t>
            </w:r>
          </w:p>
        </w:tc>
        <w:tc>
          <w:tcPr>
            <w:tcW w:w="2125" w:type="dxa"/>
          </w:tcPr>
          <w:p w14:paraId="1F2824C1" w14:textId="0D093EAD" w:rsidR="00E945BA" w:rsidRPr="00EC7254" w:rsidRDefault="00E945BA" w:rsidP="007440B9">
            <w:pPr>
              <w:jc w:val="left"/>
              <w:rPr>
                <w:sz w:val="20"/>
                <w:szCs w:val="20"/>
              </w:rPr>
            </w:pPr>
            <w:r w:rsidRPr="00EC7254">
              <w:rPr>
                <w:sz w:val="20"/>
                <w:szCs w:val="20"/>
              </w:rPr>
              <w:t xml:space="preserve">4 </w:t>
            </w:r>
            <w:proofErr w:type="gramStart"/>
            <w:r w:rsidRPr="00EC7254">
              <w:rPr>
                <w:sz w:val="20"/>
                <w:szCs w:val="20"/>
              </w:rPr>
              <w:t>мая - 5</w:t>
            </w:r>
            <w:proofErr w:type="gramEnd"/>
            <w:r w:rsidRPr="00EC7254">
              <w:rPr>
                <w:sz w:val="20"/>
                <w:szCs w:val="20"/>
              </w:rPr>
              <w:t xml:space="preserve"> июня 2026 года</w:t>
            </w:r>
          </w:p>
        </w:tc>
      </w:tr>
      <w:tr w:rsidR="00E945BA" w:rsidRPr="00E945BA" w14:paraId="2CB1B7AF" w14:textId="77777777" w:rsidTr="00410690">
        <w:tc>
          <w:tcPr>
            <w:tcW w:w="4536" w:type="dxa"/>
          </w:tcPr>
          <w:p w14:paraId="207AE569" w14:textId="00BC91EA" w:rsidR="00E945BA" w:rsidRPr="00EC7254" w:rsidRDefault="00E945BA" w:rsidP="007440B9">
            <w:pPr>
              <w:jc w:val="left"/>
              <w:rPr>
                <w:sz w:val="20"/>
                <w:szCs w:val="20"/>
              </w:rPr>
            </w:pPr>
            <w:r w:rsidRPr="00EC7254">
              <w:rPr>
                <w:sz w:val="20"/>
                <w:szCs w:val="20"/>
              </w:rPr>
              <w:t xml:space="preserve">Виртуальное совещание </w:t>
            </w:r>
            <w:r w:rsidR="00D778E9">
              <w:rPr>
                <w:sz w:val="20"/>
                <w:szCs w:val="20"/>
              </w:rPr>
              <w:t>С</w:t>
            </w:r>
            <w:r w:rsidRPr="00EC7254">
              <w:rPr>
                <w:sz w:val="20"/>
                <w:szCs w:val="20"/>
              </w:rPr>
              <w:t>пециальной научно-технической консультативной группы для предварительного обзора второго проекта</w:t>
            </w:r>
          </w:p>
        </w:tc>
        <w:tc>
          <w:tcPr>
            <w:tcW w:w="2127" w:type="dxa"/>
          </w:tcPr>
          <w:p w14:paraId="25BFBB5F" w14:textId="77777777" w:rsidR="00E945BA" w:rsidRPr="00EC7254" w:rsidRDefault="00E945BA" w:rsidP="007440B9">
            <w:pPr>
              <w:jc w:val="left"/>
              <w:rPr>
                <w:sz w:val="20"/>
                <w:szCs w:val="20"/>
              </w:rPr>
            </w:pPr>
            <w:r w:rsidRPr="00EC7254">
              <w:rPr>
                <w:sz w:val="20"/>
                <w:szCs w:val="20"/>
              </w:rPr>
              <w:t>29 апреля 2026 года</w:t>
            </w:r>
          </w:p>
        </w:tc>
        <w:tc>
          <w:tcPr>
            <w:tcW w:w="2125" w:type="dxa"/>
          </w:tcPr>
          <w:p w14:paraId="4783F744" w14:textId="77777777" w:rsidR="00E945BA" w:rsidRPr="00EC7254" w:rsidRDefault="00E945BA" w:rsidP="007440B9">
            <w:pPr>
              <w:jc w:val="left"/>
              <w:rPr>
                <w:sz w:val="20"/>
                <w:szCs w:val="20"/>
              </w:rPr>
            </w:pPr>
            <w:r w:rsidRPr="00EC7254">
              <w:rPr>
                <w:sz w:val="20"/>
                <w:szCs w:val="20"/>
              </w:rPr>
              <w:t>26 мая 2026 года</w:t>
            </w:r>
          </w:p>
        </w:tc>
      </w:tr>
      <w:tr w:rsidR="00E945BA" w:rsidRPr="00E945BA" w14:paraId="5895DEEA" w14:textId="77777777" w:rsidTr="00410690">
        <w:tc>
          <w:tcPr>
            <w:tcW w:w="4536" w:type="dxa"/>
          </w:tcPr>
          <w:p w14:paraId="38E06F18" w14:textId="1DC73706" w:rsidR="00E945BA" w:rsidRPr="00EC7254" w:rsidRDefault="00E945BA" w:rsidP="007440B9">
            <w:pPr>
              <w:jc w:val="left"/>
              <w:rPr>
                <w:sz w:val="20"/>
                <w:szCs w:val="20"/>
              </w:rPr>
            </w:pPr>
            <w:r w:rsidRPr="00EC7254">
              <w:rPr>
                <w:sz w:val="20"/>
                <w:szCs w:val="20"/>
              </w:rPr>
              <w:t xml:space="preserve">Публикация рабочего документа для Вспомогательного органа по научным, техническим и технологическим консультациям и Вспомогательного органа по осуществлению </w:t>
            </w:r>
          </w:p>
        </w:tc>
        <w:tc>
          <w:tcPr>
            <w:tcW w:w="2127" w:type="dxa"/>
          </w:tcPr>
          <w:p w14:paraId="1512C03E" w14:textId="77777777" w:rsidR="00E945BA" w:rsidRPr="00EC7254" w:rsidRDefault="00E945BA" w:rsidP="007440B9">
            <w:pPr>
              <w:jc w:val="left"/>
              <w:rPr>
                <w:sz w:val="20"/>
                <w:szCs w:val="20"/>
              </w:rPr>
            </w:pPr>
            <w:r w:rsidRPr="00EC7254">
              <w:rPr>
                <w:sz w:val="20"/>
                <w:szCs w:val="20"/>
              </w:rPr>
              <w:t>11 мая 2026 года</w:t>
            </w:r>
          </w:p>
        </w:tc>
        <w:tc>
          <w:tcPr>
            <w:tcW w:w="2125" w:type="dxa"/>
          </w:tcPr>
          <w:p w14:paraId="0B65B9CF" w14:textId="77777777" w:rsidR="00E945BA" w:rsidRPr="00EC7254" w:rsidRDefault="00E945BA" w:rsidP="007440B9">
            <w:pPr>
              <w:jc w:val="left"/>
              <w:rPr>
                <w:sz w:val="20"/>
                <w:szCs w:val="20"/>
              </w:rPr>
            </w:pPr>
            <w:r w:rsidRPr="00EC7254">
              <w:rPr>
                <w:sz w:val="20"/>
                <w:szCs w:val="20"/>
              </w:rPr>
              <w:t>8 июня 2026 года</w:t>
            </w:r>
          </w:p>
        </w:tc>
      </w:tr>
      <w:tr w:rsidR="00E945BA" w:rsidRPr="00E945BA" w14:paraId="6FB63851" w14:textId="77777777" w:rsidTr="00410690">
        <w:tc>
          <w:tcPr>
            <w:tcW w:w="4536" w:type="dxa"/>
          </w:tcPr>
          <w:p w14:paraId="08959100" w14:textId="77777777" w:rsidR="00E945BA" w:rsidRPr="00EC7254" w:rsidRDefault="00E945BA" w:rsidP="007440B9">
            <w:pPr>
              <w:jc w:val="left"/>
              <w:rPr>
                <w:sz w:val="20"/>
                <w:szCs w:val="20"/>
              </w:rPr>
            </w:pPr>
            <w:r w:rsidRPr="00EC7254">
              <w:rPr>
                <w:sz w:val="20"/>
                <w:szCs w:val="20"/>
              </w:rPr>
              <w:t>Обзор второго проекта правительственными и техническими экспертами (второй коллегиальный обзор)</w:t>
            </w:r>
          </w:p>
        </w:tc>
        <w:tc>
          <w:tcPr>
            <w:tcW w:w="2127" w:type="dxa"/>
          </w:tcPr>
          <w:p w14:paraId="6CE8663E" w14:textId="0B8D09F3" w:rsidR="00E945BA" w:rsidRPr="00EC7254" w:rsidRDefault="00E945BA" w:rsidP="007440B9">
            <w:pPr>
              <w:jc w:val="left"/>
              <w:rPr>
                <w:sz w:val="20"/>
                <w:szCs w:val="20"/>
              </w:rPr>
            </w:pPr>
            <w:r w:rsidRPr="00EC7254">
              <w:rPr>
                <w:sz w:val="20"/>
                <w:szCs w:val="20"/>
              </w:rPr>
              <w:t xml:space="preserve">25 </w:t>
            </w:r>
            <w:proofErr w:type="gramStart"/>
            <w:r w:rsidRPr="00EC7254">
              <w:rPr>
                <w:sz w:val="20"/>
                <w:szCs w:val="20"/>
              </w:rPr>
              <w:t>мая - 10</w:t>
            </w:r>
            <w:proofErr w:type="gramEnd"/>
            <w:r w:rsidRPr="00EC7254">
              <w:rPr>
                <w:sz w:val="20"/>
                <w:szCs w:val="20"/>
              </w:rPr>
              <w:t xml:space="preserve"> июля 2026 года</w:t>
            </w:r>
          </w:p>
        </w:tc>
        <w:tc>
          <w:tcPr>
            <w:tcW w:w="2125" w:type="dxa"/>
          </w:tcPr>
          <w:p w14:paraId="2AA75009" w14:textId="3789515E" w:rsidR="00E945BA" w:rsidRPr="00EC7254" w:rsidRDefault="00E945BA" w:rsidP="007440B9">
            <w:pPr>
              <w:jc w:val="left"/>
              <w:rPr>
                <w:sz w:val="20"/>
                <w:szCs w:val="20"/>
              </w:rPr>
            </w:pPr>
            <w:r w:rsidRPr="00EC7254">
              <w:rPr>
                <w:sz w:val="20"/>
                <w:szCs w:val="20"/>
              </w:rPr>
              <w:t xml:space="preserve">29 </w:t>
            </w:r>
            <w:proofErr w:type="gramStart"/>
            <w:r w:rsidRPr="00EC7254">
              <w:rPr>
                <w:sz w:val="20"/>
                <w:szCs w:val="20"/>
              </w:rPr>
              <w:t>ию</w:t>
            </w:r>
            <w:r w:rsidR="00821735">
              <w:rPr>
                <w:sz w:val="20"/>
                <w:szCs w:val="20"/>
              </w:rPr>
              <w:t>н</w:t>
            </w:r>
            <w:r w:rsidRPr="00EC7254">
              <w:rPr>
                <w:sz w:val="20"/>
                <w:szCs w:val="20"/>
              </w:rPr>
              <w:t>я - 7</w:t>
            </w:r>
            <w:proofErr w:type="gramEnd"/>
            <w:r w:rsidRPr="00EC7254">
              <w:rPr>
                <w:sz w:val="20"/>
                <w:szCs w:val="20"/>
              </w:rPr>
              <w:t xml:space="preserve"> августа 2026 года</w:t>
            </w:r>
          </w:p>
        </w:tc>
      </w:tr>
      <w:tr w:rsidR="00E945BA" w:rsidRPr="00E945BA" w14:paraId="5CB50B34" w14:textId="77777777" w:rsidTr="00410690">
        <w:tc>
          <w:tcPr>
            <w:tcW w:w="4536" w:type="dxa"/>
          </w:tcPr>
          <w:p w14:paraId="3C9B6D78" w14:textId="5D119BF3" w:rsidR="00E945BA" w:rsidRPr="00EC7254" w:rsidRDefault="006524B1" w:rsidP="007440B9">
            <w:pPr>
              <w:jc w:val="left"/>
              <w:rPr>
                <w:b/>
                <w:bCs/>
                <w:sz w:val="20"/>
                <w:szCs w:val="20"/>
              </w:rPr>
            </w:pPr>
            <w:r w:rsidRPr="00EC7254">
              <w:rPr>
                <w:b/>
                <w:sz w:val="20"/>
                <w:szCs w:val="20"/>
              </w:rPr>
              <w:t>Анализ технических аспектов второго проекта Вспомогательным органом по научным, техническим и технологическим консультациям</w:t>
            </w:r>
            <w:r w:rsidRPr="00EC7254">
              <w:rPr>
                <w:b/>
                <w:sz w:val="20"/>
                <w:szCs w:val="20"/>
                <w:vertAlign w:val="superscript"/>
              </w:rPr>
              <w:t>1</w:t>
            </w:r>
          </w:p>
        </w:tc>
        <w:tc>
          <w:tcPr>
            <w:tcW w:w="2127" w:type="dxa"/>
          </w:tcPr>
          <w:p w14:paraId="31C359C1" w14:textId="650A7B0D" w:rsidR="00E945BA" w:rsidRPr="00EC7254" w:rsidRDefault="00E945BA" w:rsidP="007440B9">
            <w:pPr>
              <w:jc w:val="left"/>
              <w:rPr>
                <w:b/>
                <w:bCs/>
                <w:sz w:val="20"/>
                <w:szCs w:val="20"/>
              </w:rPr>
            </w:pPr>
            <w:proofErr w:type="gramStart"/>
            <w:r w:rsidRPr="00EC7254">
              <w:rPr>
                <w:b/>
                <w:bCs/>
                <w:sz w:val="20"/>
                <w:szCs w:val="20"/>
              </w:rPr>
              <w:t>22-27</w:t>
            </w:r>
            <w:proofErr w:type="gramEnd"/>
            <w:r w:rsidRPr="00EC7254">
              <w:rPr>
                <w:b/>
                <w:bCs/>
                <w:sz w:val="20"/>
                <w:szCs w:val="20"/>
              </w:rPr>
              <w:t xml:space="preserve"> июня 2026 года</w:t>
            </w:r>
          </w:p>
        </w:tc>
        <w:tc>
          <w:tcPr>
            <w:tcW w:w="2125" w:type="dxa"/>
          </w:tcPr>
          <w:p w14:paraId="2E570DB1" w14:textId="1D0361F1" w:rsidR="00E945BA" w:rsidRPr="00EC7254" w:rsidRDefault="00E945BA" w:rsidP="007440B9">
            <w:pPr>
              <w:jc w:val="left"/>
              <w:rPr>
                <w:b/>
                <w:bCs/>
                <w:sz w:val="20"/>
                <w:szCs w:val="20"/>
              </w:rPr>
            </w:pPr>
            <w:r w:rsidRPr="00EC7254">
              <w:rPr>
                <w:b/>
                <w:bCs/>
                <w:sz w:val="20"/>
                <w:szCs w:val="20"/>
              </w:rPr>
              <w:t>20–25 июля 2026 года</w:t>
            </w:r>
          </w:p>
        </w:tc>
      </w:tr>
      <w:tr w:rsidR="00E945BA" w:rsidRPr="00E945BA" w14:paraId="72EED674" w14:textId="77777777" w:rsidTr="00410690">
        <w:tc>
          <w:tcPr>
            <w:tcW w:w="4536" w:type="dxa"/>
          </w:tcPr>
          <w:p w14:paraId="287BA3CE" w14:textId="20732F82" w:rsidR="00E945BA" w:rsidRPr="00EC7254" w:rsidRDefault="006524B1" w:rsidP="007440B9">
            <w:pPr>
              <w:jc w:val="left"/>
              <w:rPr>
                <w:b/>
                <w:bCs/>
                <w:sz w:val="20"/>
                <w:szCs w:val="20"/>
              </w:rPr>
            </w:pPr>
            <w:r w:rsidRPr="00EC7254">
              <w:rPr>
                <w:b/>
                <w:sz w:val="20"/>
                <w:szCs w:val="20"/>
              </w:rPr>
              <w:t>Анализ второго проекта Вспомогательны</w:t>
            </w:r>
            <w:r w:rsidR="005272F1">
              <w:rPr>
                <w:b/>
                <w:sz w:val="20"/>
                <w:szCs w:val="20"/>
              </w:rPr>
              <w:t>м</w:t>
            </w:r>
            <w:r w:rsidRPr="00EC7254">
              <w:rPr>
                <w:b/>
                <w:sz w:val="20"/>
                <w:szCs w:val="20"/>
              </w:rPr>
              <w:t xml:space="preserve"> орган</w:t>
            </w:r>
            <w:r w:rsidR="005272F1">
              <w:rPr>
                <w:b/>
                <w:sz w:val="20"/>
                <w:szCs w:val="20"/>
              </w:rPr>
              <w:t>ом</w:t>
            </w:r>
            <w:r w:rsidRPr="00EC7254">
              <w:rPr>
                <w:b/>
                <w:sz w:val="20"/>
                <w:szCs w:val="20"/>
              </w:rPr>
              <w:t xml:space="preserve"> по осуществлению</w:t>
            </w:r>
            <w:r w:rsidRPr="00EC7254">
              <w:rPr>
                <w:b/>
                <w:sz w:val="20"/>
                <w:szCs w:val="20"/>
                <w:vertAlign w:val="superscript"/>
              </w:rPr>
              <w:t>1</w:t>
            </w:r>
          </w:p>
        </w:tc>
        <w:tc>
          <w:tcPr>
            <w:tcW w:w="2127" w:type="dxa"/>
          </w:tcPr>
          <w:p w14:paraId="2A47EE7A" w14:textId="7BBF735B" w:rsidR="00E945BA" w:rsidRPr="00EC7254" w:rsidRDefault="00E945BA" w:rsidP="007440B9">
            <w:pPr>
              <w:jc w:val="left"/>
              <w:rPr>
                <w:b/>
                <w:bCs/>
                <w:sz w:val="20"/>
                <w:szCs w:val="20"/>
              </w:rPr>
            </w:pPr>
            <w:r w:rsidRPr="00EC7254">
              <w:rPr>
                <w:b/>
                <w:sz w:val="20"/>
                <w:szCs w:val="20"/>
              </w:rPr>
              <w:t xml:space="preserve">29 </w:t>
            </w:r>
            <w:proofErr w:type="gramStart"/>
            <w:r w:rsidRPr="00EC7254">
              <w:rPr>
                <w:b/>
                <w:sz w:val="20"/>
                <w:szCs w:val="20"/>
              </w:rPr>
              <w:t>июня - 4</w:t>
            </w:r>
            <w:proofErr w:type="gramEnd"/>
            <w:r w:rsidRPr="00EC7254">
              <w:rPr>
                <w:b/>
                <w:sz w:val="20"/>
                <w:szCs w:val="20"/>
              </w:rPr>
              <w:t xml:space="preserve"> июля 2026 года</w:t>
            </w:r>
          </w:p>
        </w:tc>
        <w:tc>
          <w:tcPr>
            <w:tcW w:w="2125" w:type="dxa"/>
          </w:tcPr>
          <w:p w14:paraId="24949397" w14:textId="36849A35" w:rsidR="00E945BA" w:rsidRPr="00EC7254" w:rsidRDefault="00E945BA" w:rsidP="007440B9">
            <w:pPr>
              <w:jc w:val="left"/>
              <w:rPr>
                <w:b/>
                <w:bCs/>
                <w:sz w:val="20"/>
                <w:szCs w:val="20"/>
              </w:rPr>
            </w:pPr>
            <w:r w:rsidRPr="00EC7254">
              <w:rPr>
                <w:b/>
                <w:bCs/>
                <w:sz w:val="20"/>
                <w:szCs w:val="20"/>
              </w:rPr>
              <w:t>27–31 июля 2026 года</w:t>
            </w:r>
          </w:p>
        </w:tc>
      </w:tr>
      <w:tr w:rsidR="00E945BA" w:rsidRPr="00E945BA" w14:paraId="6F2AFDAB" w14:textId="77777777" w:rsidTr="00410690">
        <w:tc>
          <w:tcPr>
            <w:tcW w:w="4536" w:type="dxa"/>
          </w:tcPr>
          <w:p w14:paraId="4FA60EBC" w14:textId="77777777" w:rsidR="00E945BA" w:rsidRPr="00EC7254" w:rsidRDefault="00E945BA" w:rsidP="007440B9">
            <w:pPr>
              <w:jc w:val="left"/>
              <w:rPr>
                <w:sz w:val="20"/>
                <w:szCs w:val="20"/>
              </w:rPr>
            </w:pPr>
            <w:r w:rsidRPr="00EC7254">
              <w:rPr>
                <w:sz w:val="20"/>
                <w:szCs w:val="20"/>
              </w:rPr>
              <w:t>Окончательная доработка доклада</w:t>
            </w:r>
          </w:p>
        </w:tc>
        <w:tc>
          <w:tcPr>
            <w:tcW w:w="2127" w:type="dxa"/>
          </w:tcPr>
          <w:p w14:paraId="30902009" w14:textId="214456C1" w:rsidR="00E945BA" w:rsidRPr="00EC7254" w:rsidRDefault="00E945BA" w:rsidP="007440B9">
            <w:pPr>
              <w:jc w:val="left"/>
              <w:rPr>
                <w:sz w:val="20"/>
                <w:szCs w:val="20"/>
              </w:rPr>
            </w:pPr>
            <w:r w:rsidRPr="00EC7254">
              <w:rPr>
                <w:sz w:val="20"/>
                <w:szCs w:val="20"/>
              </w:rPr>
              <w:t xml:space="preserve">6 </w:t>
            </w:r>
            <w:proofErr w:type="gramStart"/>
            <w:r w:rsidRPr="00EC7254">
              <w:rPr>
                <w:sz w:val="20"/>
                <w:szCs w:val="20"/>
              </w:rPr>
              <w:t>июля - 28</w:t>
            </w:r>
            <w:proofErr w:type="gramEnd"/>
            <w:r w:rsidRPr="00EC7254">
              <w:rPr>
                <w:sz w:val="20"/>
                <w:szCs w:val="20"/>
              </w:rPr>
              <w:t xml:space="preserve"> августа 2026 года</w:t>
            </w:r>
          </w:p>
        </w:tc>
        <w:tc>
          <w:tcPr>
            <w:tcW w:w="2125" w:type="dxa"/>
          </w:tcPr>
          <w:p w14:paraId="2429B5AA" w14:textId="677F87CB" w:rsidR="00E945BA" w:rsidRPr="00EC7254" w:rsidRDefault="00E945BA" w:rsidP="007440B9">
            <w:pPr>
              <w:jc w:val="left"/>
              <w:rPr>
                <w:sz w:val="20"/>
                <w:szCs w:val="20"/>
              </w:rPr>
            </w:pPr>
            <w:r w:rsidRPr="00EC7254">
              <w:rPr>
                <w:sz w:val="20"/>
                <w:szCs w:val="20"/>
              </w:rPr>
              <w:t>3–28 августа 2026 года</w:t>
            </w:r>
          </w:p>
        </w:tc>
      </w:tr>
      <w:tr w:rsidR="00E945BA" w:rsidRPr="00E945BA" w14:paraId="03283FD9" w14:textId="77777777" w:rsidTr="00410690">
        <w:tc>
          <w:tcPr>
            <w:tcW w:w="4536" w:type="dxa"/>
          </w:tcPr>
          <w:p w14:paraId="5F526AD3" w14:textId="1487AF48" w:rsidR="00E945BA" w:rsidRPr="00EC7254" w:rsidRDefault="00E945BA" w:rsidP="007440B9">
            <w:pPr>
              <w:jc w:val="left"/>
              <w:rPr>
                <w:sz w:val="20"/>
                <w:szCs w:val="20"/>
              </w:rPr>
            </w:pPr>
            <w:r w:rsidRPr="00EC7254">
              <w:rPr>
                <w:sz w:val="20"/>
                <w:szCs w:val="20"/>
              </w:rPr>
              <w:t xml:space="preserve">Второе очное совещание </w:t>
            </w:r>
            <w:r w:rsidR="00D778E9">
              <w:rPr>
                <w:sz w:val="20"/>
                <w:szCs w:val="20"/>
              </w:rPr>
              <w:t>С</w:t>
            </w:r>
            <w:r w:rsidRPr="00EC7254">
              <w:rPr>
                <w:sz w:val="20"/>
                <w:szCs w:val="20"/>
              </w:rPr>
              <w:t xml:space="preserve">пециальной научно-технической консультативной группы для </w:t>
            </w:r>
            <w:r w:rsidR="00AB2703">
              <w:rPr>
                <w:sz w:val="20"/>
                <w:szCs w:val="20"/>
              </w:rPr>
              <w:t xml:space="preserve">подготовки </w:t>
            </w:r>
            <w:r w:rsidR="001D775B">
              <w:rPr>
                <w:sz w:val="20"/>
                <w:szCs w:val="20"/>
              </w:rPr>
              <w:t>итоговой версии доклада</w:t>
            </w:r>
          </w:p>
        </w:tc>
        <w:tc>
          <w:tcPr>
            <w:tcW w:w="2127" w:type="dxa"/>
          </w:tcPr>
          <w:p w14:paraId="77D91B75" w14:textId="55AA0E7C" w:rsidR="00E945BA" w:rsidRPr="00EC7254" w:rsidRDefault="00E945BA" w:rsidP="007440B9">
            <w:pPr>
              <w:jc w:val="left"/>
              <w:rPr>
                <w:sz w:val="20"/>
                <w:szCs w:val="20"/>
              </w:rPr>
            </w:pPr>
            <w:r w:rsidRPr="00EC7254">
              <w:rPr>
                <w:sz w:val="20"/>
                <w:szCs w:val="20"/>
              </w:rPr>
              <w:t>18–19 августа 2026 года</w:t>
            </w:r>
          </w:p>
        </w:tc>
        <w:tc>
          <w:tcPr>
            <w:tcW w:w="2125" w:type="dxa"/>
          </w:tcPr>
          <w:p w14:paraId="5EFF4C8A" w14:textId="77FA7CB7" w:rsidR="00E945BA" w:rsidRPr="00EC7254" w:rsidRDefault="00E945BA" w:rsidP="007440B9">
            <w:pPr>
              <w:jc w:val="left"/>
              <w:rPr>
                <w:sz w:val="20"/>
                <w:szCs w:val="20"/>
              </w:rPr>
            </w:pPr>
            <w:r w:rsidRPr="00EC7254">
              <w:rPr>
                <w:sz w:val="20"/>
                <w:szCs w:val="20"/>
              </w:rPr>
              <w:t>18–19 августа 2026 года</w:t>
            </w:r>
          </w:p>
        </w:tc>
      </w:tr>
      <w:tr w:rsidR="00E945BA" w:rsidRPr="00E945BA" w14:paraId="535E498C" w14:textId="77777777" w:rsidTr="00410690">
        <w:tc>
          <w:tcPr>
            <w:tcW w:w="4536" w:type="dxa"/>
          </w:tcPr>
          <w:p w14:paraId="3A262905" w14:textId="77777777" w:rsidR="00E945BA" w:rsidRPr="00EC7254" w:rsidRDefault="00E945BA" w:rsidP="007440B9">
            <w:pPr>
              <w:jc w:val="left"/>
              <w:rPr>
                <w:sz w:val="20"/>
                <w:szCs w:val="20"/>
              </w:rPr>
            </w:pPr>
            <w:r w:rsidRPr="00EC7254">
              <w:rPr>
                <w:sz w:val="20"/>
                <w:szCs w:val="20"/>
              </w:rPr>
              <w:t xml:space="preserve">Направление доклада на перевод </w:t>
            </w:r>
          </w:p>
        </w:tc>
        <w:tc>
          <w:tcPr>
            <w:tcW w:w="2127" w:type="dxa"/>
          </w:tcPr>
          <w:p w14:paraId="65007FB4" w14:textId="77777777" w:rsidR="00E945BA" w:rsidRPr="00EC7254" w:rsidRDefault="00E945BA" w:rsidP="007440B9">
            <w:pPr>
              <w:jc w:val="left"/>
              <w:rPr>
                <w:sz w:val="20"/>
                <w:szCs w:val="20"/>
              </w:rPr>
            </w:pPr>
            <w:r w:rsidRPr="00EC7254">
              <w:rPr>
                <w:sz w:val="20"/>
                <w:szCs w:val="20"/>
              </w:rPr>
              <w:t>31 августа 2026 года</w:t>
            </w:r>
          </w:p>
        </w:tc>
        <w:tc>
          <w:tcPr>
            <w:tcW w:w="2125" w:type="dxa"/>
          </w:tcPr>
          <w:p w14:paraId="5F3019E5" w14:textId="77777777" w:rsidR="00E945BA" w:rsidRPr="00EC7254" w:rsidRDefault="00E945BA" w:rsidP="007440B9">
            <w:pPr>
              <w:jc w:val="left"/>
              <w:rPr>
                <w:sz w:val="20"/>
                <w:szCs w:val="20"/>
              </w:rPr>
            </w:pPr>
            <w:r w:rsidRPr="00EC7254">
              <w:rPr>
                <w:sz w:val="20"/>
                <w:szCs w:val="20"/>
              </w:rPr>
              <w:t>31 августа 2026 года</w:t>
            </w:r>
          </w:p>
        </w:tc>
      </w:tr>
      <w:tr w:rsidR="00E945BA" w:rsidRPr="00E945BA" w14:paraId="2AD4A518" w14:textId="77777777" w:rsidTr="00410690">
        <w:tc>
          <w:tcPr>
            <w:tcW w:w="4536" w:type="dxa"/>
          </w:tcPr>
          <w:p w14:paraId="63385427" w14:textId="5F8F783B" w:rsidR="00E945BA" w:rsidRPr="00EC7254" w:rsidRDefault="00E945BA" w:rsidP="007440B9">
            <w:pPr>
              <w:jc w:val="left"/>
              <w:rPr>
                <w:sz w:val="20"/>
                <w:szCs w:val="20"/>
              </w:rPr>
            </w:pPr>
            <w:r w:rsidRPr="00EC7254">
              <w:rPr>
                <w:sz w:val="20"/>
                <w:szCs w:val="20"/>
              </w:rPr>
              <w:t>Представление Сторонам и наблюдателям резюме для директивных органов</w:t>
            </w:r>
          </w:p>
        </w:tc>
        <w:tc>
          <w:tcPr>
            <w:tcW w:w="2127" w:type="dxa"/>
          </w:tcPr>
          <w:p w14:paraId="03014346" w14:textId="77777777" w:rsidR="00E945BA" w:rsidRPr="00EC7254" w:rsidRDefault="00E945BA" w:rsidP="007440B9">
            <w:pPr>
              <w:jc w:val="left"/>
              <w:rPr>
                <w:sz w:val="20"/>
                <w:szCs w:val="20"/>
              </w:rPr>
            </w:pPr>
            <w:r w:rsidRPr="00EC7254">
              <w:rPr>
                <w:sz w:val="20"/>
                <w:szCs w:val="20"/>
              </w:rPr>
              <w:t>7 сентября 2026 года</w:t>
            </w:r>
          </w:p>
        </w:tc>
        <w:tc>
          <w:tcPr>
            <w:tcW w:w="2125" w:type="dxa"/>
          </w:tcPr>
          <w:p w14:paraId="627E8582" w14:textId="77777777" w:rsidR="00E945BA" w:rsidRPr="00EC7254" w:rsidRDefault="00E945BA" w:rsidP="007440B9">
            <w:pPr>
              <w:jc w:val="left"/>
              <w:rPr>
                <w:sz w:val="20"/>
                <w:szCs w:val="20"/>
              </w:rPr>
            </w:pPr>
            <w:r w:rsidRPr="00EC7254">
              <w:rPr>
                <w:sz w:val="20"/>
                <w:szCs w:val="20"/>
              </w:rPr>
              <w:t>7 сентября 2026 года</w:t>
            </w:r>
          </w:p>
        </w:tc>
      </w:tr>
      <w:tr w:rsidR="00E945BA" w:rsidRPr="00E945BA" w14:paraId="27B9F808" w14:textId="77777777" w:rsidTr="00410690">
        <w:tc>
          <w:tcPr>
            <w:tcW w:w="4536" w:type="dxa"/>
          </w:tcPr>
          <w:p w14:paraId="3ACE6488" w14:textId="77777777" w:rsidR="00E945BA" w:rsidRPr="00EC7254" w:rsidRDefault="00E945BA" w:rsidP="007440B9">
            <w:pPr>
              <w:jc w:val="left"/>
              <w:rPr>
                <w:sz w:val="20"/>
                <w:szCs w:val="20"/>
              </w:rPr>
            </w:pPr>
            <w:r w:rsidRPr="00EC7254">
              <w:rPr>
                <w:sz w:val="20"/>
                <w:szCs w:val="20"/>
              </w:rPr>
              <w:t>Представление Сторонам и наблюдателям полной версии доклада</w:t>
            </w:r>
          </w:p>
        </w:tc>
        <w:tc>
          <w:tcPr>
            <w:tcW w:w="2127" w:type="dxa"/>
          </w:tcPr>
          <w:p w14:paraId="1AF394F1" w14:textId="77777777" w:rsidR="00E945BA" w:rsidRPr="00EC7254" w:rsidRDefault="00E945BA" w:rsidP="007440B9">
            <w:pPr>
              <w:jc w:val="left"/>
              <w:rPr>
                <w:sz w:val="20"/>
                <w:szCs w:val="20"/>
              </w:rPr>
            </w:pPr>
            <w:r w:rsidRPr="00EC7254">
              <w:rPr>
                <w:sz w:val="20"/>
                <w:szCs w:val="20"/>
              </w:rPr>
              <w:t>21 сентября 2026 года</w:t>
            </w:r>
          </w:p>
        </w:tc>
        <w:tc>
          <w:tcPr>
            <w:tcW w:w="2125" w:type="dxa"/>
          </w:tcPr>
          <w:p w14:paraId="0DA5ABBC" w14:textId="77777777" w:rsidR="00E945BA" w:rsidRPr="00EC7254" w:rsidRDefault="00E945BA" w:rsidP="007440B9">
            <w:pPr>
              <w:jc w:val="left"/>
              <w:rPr>
                <w:sz w:val="20"/>
                <w:szCs w:val="20"/>
              </w:rPr>
            </w:pPr>
            <w:r w:rsidRPr="00EC7254">
              <w:rPr>
                <w:sz w:val="20"/>
                <w:szCs w:val="20"/>
              </w:rPr>
              <w:t>21 сентября 2026 года</w:t>
            </w:r>
          </w:p>
        </w:tc>
      </w:tr>
      <w:tr w:rsidR="00E945BA" w:rsidRPr="00E945BA" w14:paraId="5BE34123" w14:textId="77777777" w:rsidTr="00410690">
        <w:tc>
          <w:tcPr>
            <w:tcW w:w="4536" w:type="dxa"/>
          </w:tcPr>
          <w:p w14:paraId="246D0F3E" w14:textId="77777777" w:rsidR="00E945BA" w:rsidRPr="00EC7254" w:rsidRDefault="00E945BA" w:rsidP="007440B9">
            <w:pPr>
              <w:jc w:val="left"/>
              <w:rPr>
                <w:sz w:val="20"/>
                <w:szCs w:val="20"/>
              </w:rPr>
            </w:pPr>
            <w:r w:rsidRPr="00EC7254">
              <w:rPr>
                <w:sz w:val="20"/>
                <w:szCs w:val="20"/>
              </w:rPr>
              <w:t xml:space="preserve">Публикация доклада </w:t>
            </w:r>
          </w:p>
        </w:tc>
        <w:tc>
          <w:tcPr>
            <w:tcW w:w="2127" w:type="dxa"/>
          </w:tcPr>
          <w:p w14:paraId="06EE8A2E" w14:textId="77777777" w:rsidR="00E945BA" w:rsidRPr="00EC7254" w:rsidRDefault="00E945BA" w:rsidP="007440B9">
            <w:pPr>
              <w:jc w:val="left"/>
              <w:rPr>
                <w:sz w:val="20"/>
                <w:szCs w:val="20"/>
              </w:rPr>
            </w:pPr>
            <w:r w:rsidRPr="00EC7254">
              <w:rPr>
                <w:sz w:val="20"/>
                <w:szCs w:val="20"/>
              </w:rPr>
              <w:t>19 октября 2026 года</w:t>
            </w:r>
          </w:p>
        </w:tc>
        <w:tc>
          <w:tcPr>
            <w:tcW w:w="2125" w:type="dxa"/>
          </w:tcPr>
          <w:p w14:paraId="0837B339" w14:textId="77777777" w:rsidR="00E945BA" w:rsidRPr="00EC7254" w:rsidRDefault="00E945BA" w:rsidP="007440B9">
            <w:pPr>
              <w:jc w:val="left"/>
              <w:rPr>
                <w:sz w:val="20"/>
                <w:szCs w:val="20"/>
              </w:rPr>
            </w:pPr>
            <w:r w:rsidRPr="00EC7254">
              <w:rPr>
                <w:sz w:val="20"/>
                <w:szCs w:val="20"/>
              </w:rPr>
              <w:t>19 октября 2026 года</w:t>
            </w:r>
          </w:p>
        </w:tc>
      </w:tr>
      <w:tr w:rsidR="00E945BA" w:rsidRPr="004F244F" w14:paraId="55284524" w14:textId="77777777" w:rsidTr="00410690">
        <w:tc>
          <w:tcPr>
            <w:tcW w:w="4536" w:type="dxa"/>
          </w:tcPr>
          <w:p w14:paraId="3846B4BB" w14:textId="5BF410EE" w:rsidR="00E945BA" w:rsidRPr="00EC7254" w:rsidRDefault="00C648D8" w:rsidP="007440B9">
            <w:pPr>
              <w:jc w:val="left"/>
              <w:rPr>
                <w:b/>
                <w:bCs/>
                <w:sz w:val="20"/>
                <w:szCs w:val="20"/>
              </w:rPr>
            </w:pPr>
            <w:r w:rsidRPr="00EC7254">
              <w:rPr>
                <w:b/>
                <w:sz w:val="20"/>
                <w:szCs w:val="20"/>
              </w:rPr>
              <w:t>Проведение глобального обзора на 16-м совещании Конференции Сторон</w:t>
            </w:r>
            <w:r w:rsidRPr="00EC7254">
              <w:rPr>
                <w:b/>
                <w:sz w:val="20"/>
                <w:szCs w:val="20"/>
                <w:vertAlign w:val="superscript"/>
              </w:rPr>
              <w:t>1</w:t>
            </w:r>
            <w:r w:rsidRPr="00EC7254">
              <w:rPr>
                <w:b/>
                <w:sz w:val="20"/>
                <w:szCs w:val="20"/>
              </w:rPr>
              <w:t xml:space="preserve"> </w:t>
            </w:r>
          </w:p>
        </w:tc>
        <w:tc>
          <w:tcPr>
            <w:tcW w:w="2127" w:type="dxa"/>
          </w:tcPr>
          <w:p w14:paraId="0B903BAF" w14:textId="7AF67763" w:rsidR="00E945BA" w:rsidRPr="00EC7254" w:rsidRDefault="00E945BA" w:rsidP="007440B9">
            <w:pPr>
              <w:jc w:val="left"/>
              <w:rPr>
                <w:b/>
                <w:bCs/>
                <w:sz w:val="20"/>
                <w:szCs w:val="20"/>
              </w:rPr>
            </w:pPr>
            <w:proofErr w:type="gramStart"/>
            <w:r w:rsidRPr="00EC7254">
              <w:rPr>
                <w:b/>
                <w:bCs/>
                <w:sz w:val="20"/>
                <w:szCs w:val="20"/>
              </w:rPr>
              <w:t>19-31</w:t>
            </w:r>
            <w:proofErr w:type="gramEnd"/>
            <w:r w:rsidRPr="00EC7254">
              <w:rPr>
                <w:b/>
                <w:bCs/>
                <w:sz w:val="20"/>
                <w:szCs w:val="20"/>
              </w:rPr>
              <w:t xml:space="preserve"> октября 2026 года</w:t>
            </w:r>
          </w:p>
        </w:tc>
        <w:tc>
          <w:tcPr>
            <w:tcW w:w="2125" w:type="dxa"/>
          </w:tcPr>
          <w:p w14:paraId="374E6292" w14:textId="04C86553" w:rsidR="00E945BA" w:rsidRPr="00EC7254" w:rsidRDefault="00E945BA" w:rsidP="007440B9">
            <w:pPr>
              <w:jc w:val="left"/>
              <w:rPr>
                <w:b/>
                <w:bCs/>
                <w:sz w:val="20"/>
                <w:szCs w:val="20"/>
              </w:rPr>
            </w:pPr>
            <w:proofErr w:type="gramStart"/>
            <w:r w:rsidRPr="00EC7254">
              <w:rPr>
                <w:b/>
                <w:bCs/>
                <w:sz w:val="20"/>
                <w:szCs w:val="20"/>
              </w:rPr>
              <w:t>19-31</w:t>
            </w:r>
            <w:proofErr w:type="gramEnd"/>
            <w:r w:rsidRPr="00EC7254">
              <w:rPr>
                <w:b/>
                <w:bCs/>
                <w:sz w:val="20"/>
                <w:szCs w:val="20"/>
              </w:rPr>
              <w:t xml:space="preserve"> октября 2026 года</w:t>
            </w:r>
          </w:p>
        </w:tc>
      </w:tr>
    </w:tbl>
    <w:p w14:paraId="79589E50" w14:textId="1F4CDC59" w:rsidR="00E945BA" w:rsidRDefault="00E945BA" w:rsidP="007440B9">
      <w:pPr>
        <w:pStyle w:val="Corpsdetexte"/>
        <w:spacing w:after="60" w:line="240" w:lineRule="auto"/>
        <w:rPr>
          <w:rFonts w:asciiTheme="majorBidi" w:hAnsiTheme="majorBidi" w:cstheme="majorBidi"/>
          <w:sz w:val="18"/>
          <w:szCs w:val="18"/>
        </w:rPr>
      </w:pPr>
    </w:p>
    <w:p w14:paraId="7FD144FA" w14:textId="1FF04FE2" w:rsidR="00EA7FC9" w:rsidRPr="00A975DA" w:rsidRDefault="000B0861" w:rsidP="00807847">
      <w:pPr>
        <w:pStyle w:val="Corpsdetexte"/>
        <w:spacing w:after="60" w:line="240" w:lineRule="auto"/>
        <w:ind w:left="567" w:right="146"/>
        <w:rPr>
          <w:rFonts w:asciiTheme="majorBidi" w:hAnsiTheme="majorBidi" w:cstheme="majorBidi"/>
          <w:kern w:val="22"/>
          <w:sz w:val="18"/>
          <w:szCs w:val="18"/>
        </w:rPr>
      </w:pPr>
      <w:r>
        <w:rPr>
          <w:rFonts w:asciiTheme="majorBidi" w:hAnsiTheme="majorBidi"/>
          <w:sz w:val="18"/>
          <w:vertAlign w:val="superscript"/>
        </w:rPr>
        <w:t>1</w:t>
      </w:r>
      <w:r>
        <w:rPr>
          <w:rFonts w:asciiTheme="majorBidi" w:hAnsiTheme="majorBidi"/>
          <w:sz w:val="18"/>
        </w:rPr>
        <w:t xml:space="preserve"> При условии принятия Конференцией Сторон на ее 16-м совещании решения о бюджете для комплексной программы работы секретариата на двухлетний период </w:t>
      </w:r>
      <w:proofErr w:type="gramStart"/>
      <w:r>
        <w:rPr>
          <w:rFonts w:asciiTheme="majorBidi" w:hAnsiTheme="majorBidi"/>
          <w:sz w:val="18"/>
        </w:rPr>
        <w:t>2025-2026</w:t>
      </w:r>
      <w:proofErr w:type="gramEnd"/>
      <w:r>
        <w:rPr>
          <w:rFonts w:asciiTheme="majorBidi" w:hAnsiTheme="majorBidi"/>
          <w:sz w:val="18"/>
        </w:rPr>
        <w:t xml:space="preserve"> годов и договоренностей о графике проведения межсессионных совещаний и 17-</w:t>
      </w:r>
      <w:r w:rsidR="00BB22A1">
        <w:rPr>
          <w:rFonts w:asciiTheme="majorBidi" w:hAnsiTheme="majorBidi"/>
          <w:sz w:val="18"/>
        </w:rPr>
        <w:t>го</w:t>
      </w:r>
      <w:r>
        <w:rPr>
          <w:rFonts w:asciiTheme="majorBidi" w:hAnsiTheme="majorBidi"/>
          <w:sz w:val="18"/>
        </w:rPr>
        <w:t xml:space="preserve"> совещания Конференции Сторон.</w:t>
      </w:r>
    </w:p>
    <w:p w14:paraId="1B75A405" w14:textId="57AA7A8A" w:rsidR="004258DF" w:rsidRPr="00231521" w:rsidRDefault="000B0861" w:rsidP="001D2B06">
      <w:pPr>
        <w:pStyle w:val="Corpsdetexte"/>
        <w:spacing w:after="60" w:line="240" w:lineRule="auto"/>
        <w:ind w:left="567"/>
        <w:rPr>
          <w:rFonts w:asciiTheme="majorBidi" w:hAnsiTheme="majorBidi" w:cstheme="majorBidi"/>
          <w:kern w:val="22"/>
          <w:sz w:val="18"/>
          <w:szCs w:val="18"/>
          <w:lang w:val="fr-FR"/>
        </w:rPr>
      </w:pPr>
      <w:r>
        <w:rPr>
          <w:rFonts w:asciiTheme="majorBidi" w:hAnsiTheme="majorBidi"/>
          <w:sz w:val="18"/>
          <w:vertAlign w:val="superscript"/>
        </w:rPr>
        <w:t>2</w:t>
      </w:r>
      <w:r>
        <w:rPr>
          <w:rFonts w:asciiTheme="majorBidi" w:hAnsiTheme="majorBidi"/>
          <w:sz w:val="18"/>
        </w:rPr>
        <w:t xml:space="preserve"> Материалы, полученные после установленного срока, не будут включены в глобальный доклад.</w:t>
      </w:r>
      <w:r w:rsidR="00231521">
        <w:rPr>
          <w:rFonts w:asciiTheme="majorBidi" w:hAnsiTheme="majorBidi"/>
          <w:sz w:val="18"/>
          <w:lang w:val="fr-FR"/>
        </w:rPr>
        <w:t xml:space="preserve"> </w:t>
      </w:r>
    </w:p>
    <w:p w14:paraId="5C92C78B" w14:textId="77777777" w:rsidR="000D7E02" w:rsidRDefault="000D7E02" w:rsidP="007440B9">
      <w:pPr>
        <w:pStyle w:val="Corpsdetexte"/>
        <w:spacing w:after="60" w:line="240" w:lineRule="auto"/>
        <w:rPr>
          <w:rFonts w:asciiTheme="majorBidi" w:hAnsiTheme="majorBidi" w:cstheme="majorBidi"/>
          <w:kern w:val="22"/>
          <w:lang w:val="fr-FR"/>
        </w:rPr>
      </w:pPr>
    </w:p>
    <w:p w14:paraId="00562755" w14:textId="77777777" w:rsidR="00E70D82" w:rsidRDefault="00E70D82" w:rsidP="007440B9">
      <w:pPr>
        <w:pStyle w:val="Corpsdetexte"/>
        <w:spacing w:after="60" w:line="240" w:lineRule="auto"/>
        <w:rPr>
          <w:rFonts w:asciiTheme="majorBidi" w:hAnsiTheme="majorBidi" w:cstheme="majorBidi"/>
          <w:kern w:val="22"/>
          <w:lang w:val="fr-FR"/>
        </w:rPr>
      </w:pPr>
    </w:p>
    <w:p w14:paraId="33B7E918" w14:textId="77777777" w:rsidR="00E70D82" w:rsidRPr="00E70D82" w:rsidRDefault="00E70D82" w:rsidP="007440B9">
      <w:pPr>
        <w:pStyle w:val="Corpsdetexte"/>
        <w:spacing w:after="60" w:line="240" w:lineRule="auto"/>
        <w:rPr>
          <w:rFonts w:asciiTheme="majorBidi" w:hAnsiTheme="majorBidi" w:cstheme="majorBidi"/>
          <w:kern w:val="22"/>
          <w:lang w:val="fr-FR"/>
        </w:rPr>
      </w:pPr>
    </w:p>
    <w:p w14:paraId="40D44B14" w14:textId="2B5111F6" w:rsidR="001D2B06" w:rsidRPr="001D2B06" w:rsidRDefault="000D5990" w:rsidP="00043E21">
      <w:pPr>
        <w:keepNext/>
        <w:spacing w:before="20" w:after="20"/>
        <w:jc w:val="left"/>
        <w:rPr>
          <w:bCs/>
          <w:kern w:val="22"/>
          <w:sz w:val="20"/>
          <w:szCs w:val="20"/>
        </w:rPr>
      </w:pPr>
      <w:r>
        <w:rPr>
          <w:sz w:val="20"/>
        </w:rPr>
        <w:t>Таблица 2</w:t>
      </w:r>
    </w:p>
    <w:p w14:paraId="4CCA3048" w14:textId="54C56EFC" w:rsidR="002A1FE4" w:rsidRDefault="000D5990">
      <w:pPr>
        <w:spacing w:before="20" w:after="20"/>
        <w:jc w:val="left"/>
        <w:rPr>
          <w:b/>
          <w:i/>
          <w:iCs/>
          <w:kern w:val="22"/>
          <w:sz w:val="20"/>
          <w:szCs w:val="20"/>
        </w:rPr>
      </w:pPr>
      <w:r>
        <w:rPr>
          <w:b/>
          <w:sz w:val="20"/>
        </w:rPr>
        <w:t xml:space="preserve">Смета расходов на подготовку глобального доклада о коллективном прогрессе и </w:t>
      </w:r>
      <w:r w:rsidR="000D1507">
        <w:rPr>
          <w:b/>
          <w:sz w:val="20"/>
        </w:rPr>
        <w:t xml:space="preserve">на </w:t>
      </w:r>
      <w:r>
        <w:rPr>
          <w:b/>
          <w:sz w:val="20"/>
        </w:rPr>
        <w:t>други</w:t>
      </w:r>
      <w:r w:rsidR="000D1507">
        <w:rPr>
          <w:b/>
          <w:sz w:val="20"/>
        </w:rPr>
        <w:t>е</w:t>
      </w:r>
      <w:r>
        <w:rPr>
          <w:b/>
          <w:sz w:val="20"/>
        </w:rPr>
        <w:t xml:space="preserve"> аспекты глобального обзора прогресса, который Конференция Сторон проведет на своем 17-м совещании</w:t>
      </w:r>
      <w:r>
        <w:rPr>
          <w:b/>
          <w:i/>
          <w:sz w:val="20"/>
        </w:rPr>
        <w:t xml:space="preserve"> </w:t>
      </w:r>
    </w:p>
    <w:p w14:paraId="4571403C" w14:textId="1FB8C351" w:rsidR="004258DF" w:rsidRPr="0099167E" w:rsidRDefault="000D5990">
      <w:pPr>
        <w:spacing w:before="20" w:after="20"/>
        <w:jc w:val="left"/>
        <w:rPr>
          <w:bCs/>
          <w:kern w:val="22"/>
          <w:sz w:val="20"/>
          <w:szCs w:val="20"/>
        </w:rPr>
      </w:pPr>
      <w:r>
        <w:rPr>
          <w:sz w:val="20"/>
        </w:rPr>
        <w:lastRenderedPageBreak/>
        <w:t>(в тысячах долл. США)</w:t>
      </w:r>
    </w:p>
    <w:p w14:paraId="38BBED4C" w14:textId="77777777" w:rsidR="004F244F" w:rsidRPr="004F244F" w:rsidRDefault="004F244F" w:rsidP="004F244F">
      <w:pPr>
        <w:spacing w:before="20" w:after="20"/>
        <w:jc w:val="left"/>
        <w:rPr>
          <w:lang w:val="en-CA"/>
        </w:rPr>
      </w:pPr>
    </w:p>
    <w:tbl>
      <w:tblPr>
        <w:tblW w:w="8354" w:type="dxa"/>
        <w:jc w:val="center"/>
        <w:tblLayout w:type="fixed"/>
        <w:tblLook w:val="04A0" w:firstRow="1" w:lastRow="0" w:firstColumn="1" w:lastColumn="0" w:noHBand="0" w:noVBand="1"/>
      </w:tblPr>
      <w:tblGrid>
        <w:gridCol w:w="2003"/>
        <w:gridCol w:w="4114"/>
        <w:gridCol w:w="708"/>
        <w:gridCol w:w="709"/>
        <w:gridCol w:w="820"/>
      </w:tblGrid>
      <w:tr w:rsidR="00A81A60" w:rsidRPr="00F104B3" w14:paraId="2B7F533F" w14:textId="77777777" w:rsidTr="00F104B3">
        <w:trPr>
          <w:cantSplit/>
          <w:tblHeader/>
          <w:jc w:val="center"/>
        </w:trPr>
        <w:tc>
          <w:tcPr>
            <w:tcW w:w="2003" w:type="dxa"/>
            <w:tcBorders>
              <w:top w:val="single" w:sz="8" w:space="0" w:color="auto"/>
              <w:left w:val="single" w:sz="8" w:space="0" w:color="auto"/>
              <w:bottom w:val="single" w:sz="8" w:space="0" w:color="auto"/>
              <w:right w:val="single" w:sz="8" w:space="0" w:color="auto"/>
            </w:tcBorders>
            <w:noWrap/>
            <w:vAlign w:val="center"/>
          </w:tcPr>
          <w:p w14:paraId="27B607F8" w14:textId="77777777" w:rsidR="00A81A60" w:rsidRPr="00F104B3" w:rsidRDefault="00A81A60" w:rsidP="00B83767">
            <w:pPr>
              <w:spacing w:before="60" w:after="60"/>
              <w:jc w:val="left"/>
              <w:rPr>
                <w:i/>
                <w:iCs/>
                <w:color w:val="000000"/>
                <w:kern w:val="22"/>
                <w:sz w:val="20"/>
                <w:szCs w:val="20"/>
              </w:rPr>
            </w:pPr>
            <w:r w:rsidRPr="00F104B3">
              <w:rPr>
                <w:i/>
                <w:color w:val="000000"/>
                <w:sz w:val="20"/>
                <w:szCs w:val="20"/>
              </w:rPr>
              <w:t>Вид расходов</w:t>
            </w:r>
          </w:p>
        </w:tc>
        <w:tc>
          <w:tcPr>
            <w:tcW w:w="4114" w:type="dxa"/>
            <w:tcBorders>
              <w:top w:val="single" w:sz="8" w:space="0" w:color="auto"/>
              <w:left w:val="nil"/>
              <w:bottom w:val="single" w:sz="8" w:space="0" w:color="auto"/>
              <w:right w:val="single" w:sz="8" w:space="0" w:color="auto"/>
            </w:tcBorders>
            <w:vAlign w:val="center"/>
          </w:tcPr>
          <w:p w14:paraId="0D5C6E1E" w14:textId="77777777" w:rsidR="00A81A60" w:rsidRPr="00F104B3" w:rsidRDefault="00A81A60" w:rsidP="00B83767">
            <w:pPr>
              <w:spacing w:before="60" w:after="60"/>
              <w:ind w:right="-392"/>
              <w:jc w:val="left"/>
              <w:rPr>
                <w:i/>
                <w:iCs/>
                <w:color w:val="000000"/>
                <w:kern w:val="22"/>
                <w:sz w:val="20"/>
                <w:szCs w:val="20"/>
              </w:rPr>
            </w:pPr>
            <w:r w:rsidRPr="00F104B3">
              <w:rPr>
                <w:i/>
                <w:color w:val="000000"/>
                <w:sz w:val="20"/>
                <w:szCs w:val="20"/>
              </w:rPr>
              <w:t>Статья</w:t>
            </w:r>
          </w:p>
        </w:tc>
        <w:tc>
          <w:tcPr>
            <w:tcW w:w="708" w:type="dxa"/>
            <w:tcBorders>
              <w:top w:val="single" w:sz="8" w:space="0" w:color="auto"/>
              <w:left w:val="nil"/>
              <w:bottom w:val="single" w:sz="8" w:space="0" w:color="auto"/>
              <w:right w:val="single" w:sz="8" w:space="0" w:color="auto"/>
            </w:tcBorders>
            <w:vAlign w:val="center"/>
          </w:tcPr>
          <w:p w14:paraId="2DF93124" w14:textId="77777777" w:rsidR="00A81A60" w:rsidRPr="00F104B3" w:rsidRDefault="00A81A60" w:rsidP="00B83767">
            <w:pPr>
              <w:spacing w:before="60" w:after="60"/>
              <w:jc w:val="left"/>
              <w:rPr>
                <w:i/>
                <w:iCs/>
                <w:color w:val="000000"/>
                <w:spacing w:val="-6"/>
                <w:kern w:val="22"/>
                <w:sz w:val="20"/>
                <w:szCs w:val="20"/>
              </w:rPr>
            </w:pPr>
            <w:r w:rsidRPr="00F104B3">
              <w:rPr>
                <w:i/>
                <w:color w:val="000000"/>
                <w:sz w:val="20"/>
                <w:szCs w:val="20"/>
              </w:rPr>
              <w:t>2025 год</w:t>
            </w:r>
          </w:p>
        </w:tc>
        <w:tc>
          <w:tcPr>
            <w:tcW w:w="709" w:type="dxa"/>
            <w:tcBorders>
              <w:top w:val="single" w:sz="8" w:space="0" w:color="auto"/>
              <w:left w:val="nil"/>
              <w:bottom w:val="single" w:sz="8" w:space="0" w:color="auto"/>
              <w:right w:val="single" w:sz="8" w:space="0" w:color="auto"/>
            </w:tcBorders>
            <w:vAlign w:val="center"/>
          </w:tcPr>
          <w:p w14:paraId="4BDF0D6A" w14:textId="77777777" w:rsidR="00A81A60" w:rsidRPr="00F104B3" w:rsidRDefault="00A81A60" w:rsidP="00B83767">
            <w:pPr>
              <w:spacing w:before="60" w:after="60"/>
              <w:jc w:val="left"/>
              <w:rPr>
                <w:i/>
                <w:iCs/>
                <w:color w:val="000000"/>
                <w:spacing w:val="-6"/>
                <w:kern w:val="22"/>
                <w:sz w:val="20"/>
                <w:szCs w:val="20"/>
              </w:rPr>
            </w:pPr>
            <w:r w:rsidRPr="00F104B3">
              <w:rPr>
                <w:i/>
                <w:color w:val="000000"/>
                <w:sz w:val="20"/>
                <w:szCs w:val="20"/>
              </w:rPr>
              <w:t>2026 год</w:t>
            </w:r>
          </w:p>
        </w:tc>
        <w:tc>
          <w:tcPr>
            <w:tcW w:w="820" w:type="dxa"/>
            <w:tcBorders>
              <w:top w:val="single" w:sz="8" w:space="0" w:color="auto"/>
              <w:left w:val="single" w:sz="8" w:space="0" w:color="auto"/>
              <w:bottom w:val="single" w:sz="8" w:space="0" w:color="auto"/>
              <w:right w:val="single" w:sz="8" w:space="0" w:color="auto"/>
            </w:tcBorders>
            <w:vAlign w:val="center"/>
          </w:tcPr>
          <w:p w14:paraId="47128575" w14:textId="34F3CE7C" w:rsidR="00A81A60" w:rsidRPr="00F104B3" w:rsidRDefault="00F104B3" w:rsidP="00B83767">
            <w:pPr>
              <w:spacing w:before="60" w:after="60"/>
              <w:jc w:val="left"/>
              <w:rPr>
                <w:i/>
                <w:iCs/>
                <w:color w:val="000000"/>
                <w:spacing w:val="-6"/>
                <w:kern w:val="22"/>
                <w:sz w:val="20"/>
                <w:szCs w:val="20"/>
              </w:rPr>
            </w:pPr>
            <w:r w:rsidRPr="00F104B3">
              <w:rPr>
                <w:i/>
                <w:color w:val="000000"/>
                <w:sz w:val="20"/>
                <w:szCs w:val="20"/>
              </w:rPr>
              <w:t>Итого</w:t>
            </w:r>
          </w:p>
        </w:tc>
      </w:tr>
      <w:tr w:rsidR="00A81A60" w:rsidRPr="00F104B3" w14:paraId="53FA3358" w14:textId="77777777" w:rsidTr="00F104B3">
        <w:trPr>
          <w:cantSplit/>
          <w:jc w:val="center"/>
        </w:trPr>
        <w:tc>
          <w:tcPr>
            <w:tcW w:w="2003" w:type="dxa"/>
            <w:vMerge w:val="restart"/>
            <w:tcBorders>
              <w:top w:val="nil"/>
              <w:left w:val="single" w:sz="8" w:space="0" w:color="auto"/>
              <w:bottom w:val="single" w:sz="8" w:space="0" w:color="000000"/>
              <w:right w:val="single" w:sz="8" w:space="0" w:color="auto"/>
            </w:tcBorders>
            <w:shd w:val="clear" w:color="auto" w:fill="auto"/>
            <w:vAlign w:val="center"/>
          </w:tcPr>
          <w:p w14:paraId="4EA969EF" w14:textId="77777777" w:rsidR="00A81A60" w:rsidRPr="00F104B3" w:rsidRDefault="00A81A60" w:rsidP="004F02A2">
            <w:pPr>
              <w:spacing w:before="20" w:after="20"/>
              <w:jc w:val="left"/>
              <w:rPr>
                <w:color w:val="000000"/>
                <w:kern w:val="22"/>
                <w:sz w:val="20"/>
                <w:szCs w:val="20"/>
              </w:rPr>
            </w:pPr>
            <w:r w:rsidRPr="00F104B3">
              <w:rPr>
                <w:color w:val="000000"/>
                <w:sz w:val="20"/>
                <w:szCs w:val="20"/>
              </w:rPr>
              <w:t>Помощь в подготовке доклада</w:t>
            </w:r>
          </w:p>
        </w:tc>
        <w:tc>
          <w:tcPr>
            <w:tcW w:w="4114" w:type="dxa"/>
            <w:tcBorders>
              <w:top w:val="nil"/>
              <w:left w:val="nil"/>
              <w:bottom w:val="single" w:sz="8" w:space="0" w:color="auto"/>
              <w:right w:val="single" w:sz="8" w:space="0" w:color="auto"/>
            </w:tcBorders>
            <w:shd w:val="clear" w:color="auto" w:fill="auto"/>
            <w:vAlign w:val="center"/>
          </w:tcPr>
          <w:p w14:paraId="5451CBB1" w14:textId="77777777" w:rsidR="00A81A60" w:rsidRPr="00F104B3" w:rsidRDefault="00A81A60" w:rsidP="004F02A2">
            <w:pPr>
              <w:spacing w:before="20" w:after="20"/>
              <w:jc w:val="left"/>
              <w:rPr>
                <w:color w:val="000000"/>
                <w:kern w:val="22"/>
                <w:sz w:val="20"/>
                <w:szCs w:val="20"/>
              </w:rPr>
            </w:pPr>
            <w:r w:rsidRPr="00F104B3">
              <w:rPr>
                <w:color w:val="000000"/>
                <w:sz w:val="20"/>
                <w:szCs w:val="20"/>
              </w:rPr>
              <w:t>Сбор информации о состоянии биоразнообразия и определение соответствующих тенденций</w:t>
            </w:r>
          </w:p>
        </w:tc>
        <w:tc>
          <w:tcPr>
            <w:tcW w:w="708" w:type="dxa"/>
            <w:tcBorders>
              <w:top w:val="single" w:sz="4" w:space="0" w:color="auto"/>
              <w:left w:val="nil"/>
              <w:bottom w:val="single" w:sz="8" w:space="0" w:color="auto"/>
              <w:right w:val="single" w:sz="8" w:space="0" w:color="auto"/>
            </w:tcBorders>
            <w:shd w:val="clear" w:color="auto" w:fill="auto"/>
            <w:vAlign w:val="center"/>
          </w:tcPr>
          <w:p w14:paraId="61002548" w14:textId="5E7E8407" w:rsidR="00A81A60" w:rsidRPr="00F104B3" w:rsidRDefault="00A81A60" w:rsidP="004F02A2">
            <w:pPr>
              <w:spacing w:before="20" w:after="20"/>
              <w:jc w:val="center"/>
              <w:rPr>
                <w:color w:val="000000"/>
                <w:kern w:val="22"/>
                <w:sz w:val="20"/>
                <w:szCs w:val="20"/>
              </w:rPr>
            </w:pPr>
            <w:r w:rsidRPr="00F104B3">
              <w:rPr>
                <w:color w:val="000000"/>
                <w:sz w:val="20"/>
                <w:szCs w:val="20"/>
              </w:rPr>
              <w:t>100</w:t>
            </w:r>
          </w:p>
        </w:tc>
        <w:tc>
          <w:tcPr>
            <w:tcW w:w="709" w:type="dxa"/>
            <w:tcBorders>
              <w:top w:val="single" w:sz="4" w:space="0" w:color="auto"/>
              <w:left w:val="nil"/>
              <w:bottom w:val="single" w:sz="8" w:space="0" w:color="auto"/>
              <w:right w:val="single" w:sz="8" w:space="0" w:color="auto"/>
            </w:tcBorders>
            <w:shd w:val="clear" w:color="auto" w:fill="auto"/>
            <w:vAlign w:val="center"/>
          </w:tcPr>
          <w:p w14:paraId="5DA32F25" w14:textId="369BF488" w:rsidR="00A81A60" w:rsidRPr="00F104B3" w:rsidRDefault="00A81A60" w:rsidP="004F02A2">
            <w:pPr>
              <w:spacing w:before="20" w:after="20"/>
              <w:jc w:val="center"/>
              <w:rPr>
                <w:color w:val="000000"/>
                <w:kern w:val="22"/>
                <w:sz w:val="20"/>
                <w:szCs w:val="20"/>
              </w:rPr>
            </w:pPr>
            <w:r w:rsidRPr="00F104B3">
              <w:rPr>
                <w:color w:val="000000"/>
                <w:sz w:val="20"/>
                <w:szCs w:val="20"/>
              </w:rPr>
              <w:t>100</w:t>
            </w:r>
          </w:p>
        </w:tc>
        <w:tc>
          <w:tcPr>
            <w:tcW w:w="820" w:type="dxa"/>
            <w:tcBorders>
              <w:top w:val="nil"/>
              <w:left w:val="single" w:sz="8" w:space="0" w:color="auto"/>
              <w:bottom w:val="single" w:sz="8" w:space="0" w:color="auto"/>
              <w:right w:val="single" w:sz="8" w:space="0" w:color="auto"/>
            </w:tcBorders>
            <w:shd w:val="clear" w:color="auto" w:fill="auto"/>
            <w:vAlign w:val="center"/>
          </w:tcPr>
          <w:p w14:paraId="58547F2C" w14:textId="1800E624" w:rsidR="00A81A60" w:rsidRPr="00F104B3" w:rsidRDefault="00A81A60" w:rsidP="004F02A2">
            <w:pPr>
              <w:spacing w:before="20" w:after="20"/>
              <w:jc w:val="center"/>
              <w:rPr>
                <w:color w:val="000000"/>
                <w:kern w:val="22"/>
                <w:sz w:val="20"/>
                <w:szCs w:val="20"/>
              </w:rPr>
            </w:pPr>
            <w:r w:rsidRPr="00F104B3">
              <w:rPr>
                <w:color w:val="000000"/>
                <w:sz w:val="20"/>
                <w:szCs w:val="20"/>
              </w:rPr>
              <w:t>200</w:t>
            </w:r>
          </w:p>
        </w:tc>
      </w:tr>
      <w:tr w:rsidR="00A81A60" w:rsidRPr="00F104B3" w14:paraId="42DD4B92" w14:textId="77777777" w:rsidTr="00F104B3">
        <w:trPr>
          <w:cantSplit/>
          <w:jc w:val="center"/>
        </w:trPr>
        <w:tc>
          <w:tcPr>
            <w:tcW w:w="2003" w:type="dxa"/>
            <w:vMerge/>
            <w:tcBorders>
              <w:top w:val="nil"/>
              <w:left w:val="single" w:sz="8" w:space="0" w:color="auto"/>
              <w:bottom w:val="single" w:sz="8" w:space="0" w:color="auto"/>
              <w:right w:val="single" w:sz="8" w:space="0" w:color="auto"/>
            </w:tcBorders>
            <w:shd w:val="clear" w:color="auto" w:fill="auto"/>
            <w:vAlign w:val="center"/>
          </w:tcPr>
          <w:p w14:paraId="4090A7A9" w14:textId="77777777" w:rsidR="00A81A60" w:rsidRPr="00F104B3" w:rsidRDefault="00A81A60" w:rsidP="004F02A2">
            <w:pPr>
              <w:spacing w:before="20" w:after="20"/>
              <w:jc w:val="left"/>
              <w:rPr>
                <w:color w:val="000000"/>
                <w:kern w:val="22"/>
                <w:sz w:val="20"/>
                <w:szCs w:val="20"/>
                <w:lang w:eastAsia="en-CA"/>
              </w:rPr>
            </w:pPr>
          </w:p>
        </w:tc>
        <w:tc>
          <w:tcPr>
            <w:tcW w:w="4114" w:type="dxa"/>
            <w:tcBorders>
              <w:top w:val="nil"/>
              <w:left w:val="nil"/>
              <w:bottom w:val="single" w:sz="8" w:space="0" w:color="auto"/>
              <w:right w:val="single" w:sz="8" w:space="0" w:color="auto"/>
            </w:tcBorders>
            <w:shd w:val="clear" w:color="auto" w:fill="auto"/>
            <w:vAlign w:val="center"/>
          </w:tcPr>
          <w:p w14:paraId="087CDF6E" w14:textId="77777777" w:rsidR="00A81A60" w:rsidRPr="00F104B3" w:rsidRDefault="00A81A60" w:rsidP="004F02A2">
            <w:pPr>
              <w:spacing w:before="20" w:after="20"/>
              <w:jc w:val="left"/>
              <w:rPr>
                <w:color w:val="000000"/>
                <w:kern w:val="22"/>
                <w:sz w:val="20"/>
                <w:szCs w:val="20"/>
              </w:rPr>
            </w:pPr>
            <w:r w:rsidRPr="00F104B3">
              <w:rPr>
                <w:color w:val="000000"/>
                <w:sz w:val="20"/>
                <w:szCs w:val="20"/>
              </w:rPr>
              <w:t>Составление и редактирование, научный редактор</w:t>
            </w:r>
          </w:p>
        </w:tc>
        <w:tc>
          <w:tcPr>
            <w:tcW w:w="708" w:type="dxa"/>
            <w:tcBorders>
              <w:top w:val="nil"/>
              <w:left w:val="nil"/>
              <w:bottom w:val="single" w:sz="8" w:space="0" w:color="auto"/>
              <w:right w:val="single" w:sz="8" w:space="0" w:color="auto"/>
            </w:tcBorders>
            <w:shd w:val="clear" w:color="auto" w:fill="auto"/>
            <w:vAlign w:val="center"/>
          </w:tcPr>
          <w:p w14:paraId="39943B0E" w14:textId="679FA862" w:rsidR="00A81A60" w:rsidRPr="00F104B3" w:rsidRDefault="00E6411B" w:rsidP="004F02A2">
            <w:pPr>
              <w:spacing w:before="20" w:after="20"/>
              <w:jc w:val="center"/>
              <w:rPr>
                <w:color w:val="000000"/>
                <w:kern w:val="22"/>
                <w:sz w:val="20"/>
                <w:szCs w:val="20"/>
              </w:rPr>
            </w:pPr>
            <w:r w:rsidRPr="00F104B3">
              <w:rPr>
                <w:color w:val="000000"/>
                <w:sz w:val="20"/>
                <w:szCs w:val="20"/>
              </w:rPr>
              <w:t>–</w:t>
            </w:r>
          </w:p>
        </w:tc>
        <w:tc>
          <w:tcPr>
            <w:tcW w:w="709" w:type="dxa"/>
            <w:tcBorders>
              <w:top w:val="nil"/>
              <w:left w:val="nil"/>
              <w:bottom w:val="single" w:sz="8" w:space="0" w:color="auto"/>
              <w:right w:val="single" w:sz="8" w:space="0" w:color="auto"/>
            </w:tcBorders>
            <w:shd w:val="clear" w:color="auto" w:fill="auto"/>
            <w:vAlign w:val="center"/>
          </w:tcPr>
          <w:p w14:paraId="06AA557E" w14:textId="20F4A290" w:rsidR="00A81A60" w:rsidRPr="00F104B3" w:rsidRDefault="00A81A60" w:rsidP="004F02A2">
            <w:pPr>
              <w:spacing w:before="20" w:after="20"/>
              <w:jc w:val="center"/>
              <w:rPr>
                <w:color w:val="000000"/>
                <w:kern w:val="22"/>
                <w:sz w:val="20"/>
                <w:szCs w:val="20"/>
              </w:rPr>
            </w:pPr>
            <w:r w:rsidRPr="00F104B3">
              <w:rPr>
                <w:color w:val="000000"/>
                <w:sz w:val="20"/>
                <w:szCs w:val="20"/>
              </w:rPr>
              <w:t>200</w:t>
            </w:r>
          </w:p>
        </w:tc>
        <w:tc>
          <w:tcPr>
            <w:tcW w:w="820" w:type="dxa"/>
            <w:tcBorders>
              <w:top w:val="nil"/>
              <w:left w:val="single" w:sz="8" w:space="0" w:color="auto"/>
              <w:bottom w:val="single" w:sz="8" w:space="0" w:color="auto"/>
              <w:right w:val="single" w:sz="8" w:space="0" w:color="auto"/>
            </w:tcBorders>
            <w:shd w:val="clear" w:color="auto" w:fill="auto"/>
            <w:vAlign w:val="center"/>
          </w:tcPr>
          <w:p w14:paraId="4F9E683D" w14:textId="640D2FF3" w:rsidR="00A81A60" w:rsidRPr="00F104B3" w:rsidRDefault="00A81A60" w:rsidP="004F02A2">
            <w:pPr>
              <w:spacing w:before="20" w:after="20"/>
              <w:jc w:val="center"/>
              <w:rPr>
                <w:color w:val="000000"/>
                <w:kern w:val="22"/>
                <w:sz w:val="20"/>
                <w:szCs w:val="20"/>
              </w:rPr>
            </w:pPr>
            <w:r w:rsidRPr="00F104B3">
              <w:rPr>
                <w:color w:val="000000"/>
                <w:sz w:val="20"/>
                <w:szCs w:val="20"/>
              </w:rPr>
              <w:t>200</w:t>
            </w:r>
          </w:p>
        </w:tc>
      </w:tr>
      <w:tr w:rsidR="00A81A60" w:rsidRPr="00F104B3" w14:paraId="7B320539" w14:textId="77777777" w:rsidTr="00F104B3">
        <w:trPr>
          <w:cantSplit/>
          <w:jc w:val="center"/>
        </w:trPr>
        <w:tc>
          <w:tcPr>
            <w:tcW w:w="2003" w:type="dxa"/>
            <w:vMerge w:val="restart"/>
            <w:tcBorders>
              <w:top w:val="nil"/>
              <w:left w:val="single" w:sz="8" w:space="0" w:color="auto"/>
              <w:right w:val="single" w:sz="8" w:space="0" w:color="auto"/>
            </w:tcBorders>
            <w:shd w:val="clear" w:color="auto" w:fill="auto"/>
            <w:vAlign w:val="center"/>
          </w:tcPr>
          <w:p w14:paraId="3EA8F4EF" w14:textId="77777777" w:rsidR="00A81A60" w:rsidRPr="00F104B3" w:rsidRDefault="00A81A60" w:rsidP="004F02A2">
            <w:pPr>
              <w:spacing w:before="20" w:after="20"/>
              <w:jc w:val="left"/>
              <w:rPr>
                <w:color w:val="000000"/>
                <w:kern w:val="22"/>
                <w:sz w:val="20"/>
                <w:szCs w:val="20"/>
              </w:rPr>
            </w:pPr>
            <w:r w:rsidRPr="00F104B3">
              <w:rPr>
                <w:color w:val="000000"/>
                <w:sz w:val="20"/>
                <w:szCs w:val="20"/>
              </w:rPr>
              <w:t xml:space="preserve">Изготовление доклада и коммуникация </w:t>
            </w:r>
          </w:p>
        </w:tc>
        <w:tc>
          <w:tcPr>
            <w:tcW w:w="4114" w:type="dxa"/>
            <w:tcBorders>
              <w:top w:val="nil"/>
              <w:left w:val="nil"/>
              <w:bottom w:val="single" w:sz="8" w:space="0" w:color="auto"/>
              <w:right w:val="single" w:sz="8" w:space="0" w:color="auto"/>
            </w:tcBorders>
            <w:shd w:val="clear" w:color="auto" w:fill="auto"/>
            <w:vAlign w:val="center"/>
          </w:tcPr>
          <w:p w14:paraId="72C946F1" w14:textId="77777777" w:rsidR="00A81A60" w:rsidRPr="00F104B3" w:rsidRDefault="00A81A60" w:rsidP="004F02A2">
            <w:pPr>
              <w:spacing w:before="20" w:after="20"/>
              <w:jc w:val="left"/>
              <w:rPr>
                <w:color w:val="000000"/>
                <w:kern w:val="22"/>
                <w:sz w:val="20"/>
                <w:szCs w:val="20"/>
              </w:rPr>
            </w:pPr>
            <w:r w:rsidRPr="00F104B3">
              <w:rPr>
                <w:color w:val="000000"/>
                <w:sz w:val="20"/>
                <w:szCs w:val="20"/>
              </w:rPr>
              <w:t>Карты, графики и диаграммы</w:t>
            </w:r>
          </w:p>
        </w:tc>
        <w:tc>
          <w:tcPr>
            <w:tcW w:w="708" w:type="dxa"/>
            <w:tcBorders>
              <w:top w:val="nil"/>
              <w:left w:val="nil"/>
              <w:bottom w:val="single" w:sz="8" w:space="0" w:color="auto"/>
              <w:right w:val="single" w:sz="8" w:space="0" w:color="auto"/>
            </w:tcBorders>
            <w:shd w:val="clear" w:color="auto" w:fill="auto"/>
            <w:vAlign w:val="center"/>
          </w:tcPr>
          <w:p w14:paraId="2EB38EC0" w14:textId="63DFAC80" w:rsidR="00A81A60" w:rsidRPr="00F104B3" w:rsidRDefault="00E6411B" w:rsidP="004F02A2">
            <w:pPr>
              <w:spacing w:before="20" w:after="20"/>
              <w:jc w:val="center"/>
              <w:rPr>
                <w:color w:val="000000"/>
                <w:kern w:val="22"/>
                <w:sz w:val="20"/>
                <w:szCs w:val="20"/>
              </w:rPr>
            </w:pPr>
            <w:r w:rsidRPr="00F104B3">
              <w:rPr>
                <w:color w:val="000000"/>
                <w:sz w:val="20"/>
                <w:szCs w:val="20"/>
              </w:rPr>
              <w:t>–</w:t>
            </w:r>
          </w:p>
        </w:tc>
        <w:tc>
          <w:tcPr>
            <w:tcW w:w="709" w:type="dxa"/>
            <w:tcBorders>
              <w:top w:val="nil"/>
              <w:left w:val="nil"/>
              <w:bottom w:val="single" w:sz="8" w:space="0" w:color="auto"/>
              <w:right w:val="single" w:sz="8" w:space="0" w:color="auto"/>
            </w:tcBorders>
            <w:shd w:val="clear" w:color="auto" w:fill="auto"/>
            <w:vAlign w:val="center"/>
          </w:tcPr>
          <w:p w14:paraId="397837B0" w14:textId="77777777" w:rsidR="00A81A60" w:rsidRPr="00F104B3" w:rsidRDefault="00A81A60" w:rsidP="004F02A2">
            <w:pPr>
              <w:spacing w:before="20" w:after="20"/>
              <w:jc w:val="center"/>
              <w:rPr>
                <w:color w:val="000000"/>
                <w:kern w:val="22"/>
                <w:sz w:val="20"/>
                <w:szCs w:val="20"/>
              </w:rPr>
            </w:pPr>
            <w:r w:rsidRPr="00F104B3">
              <w:rPr>
                <w:color w:val="000000"/>
                <w:sz w:val="20"/>
                <w:szCs w:val="20"/>
              </w:rPr>
              <w:t>50</w:t>
            </w:r>
          </w:p>
        </w:tc>
        <w:tc>
          <w:tcPr>
            <w:tcW w:w="820" w:type="dxa"/>
            <w:tcBorders>
              <w:top w:val="nil"/>
              <w:left w:val="single" w:sz="8" w:space="0" w:color="auto"/>
              <w:bottom w:val="single" w:sz="8" w:space="0" w:color="auto"/>
              <w:right w:val="single" w:sz="8" w:space="0" w:color="auto"/>
            </w:tcBorders>
            <w:shd w:val="clear" w:color="auto" w:fill="auto"/>
            <w:vAlign w:val="center"/>
          </w:tcPr>
          <w:p w14:paraId="53FD2FE8" w14:textId="77777777" w:rsidR="00A81A60" w:rsidRPr="00F104B3" w:rsidRDefault="00A81A60" w:rsidP="004F02A2">
            <w:pPr>
              <w:spacing w:before="20" w:after="20"/>
              <w:jc w:val="center"/>
              <w:rPr>
                <w:color w:val="000000"/>
                <w:kern w:val="22"/>
                <w:sz w:val="20"/>
                <w:szCs w:val="20"/>
              </w:rPr>
            </w:pPr>
            <w:r w:rsidRPr="00F104B3">
              <w:rPr>
                <w:color w:val="000000"/>
                <w:sz w:val="20"/>
                <w:szCs w:val="20"/>
              </w:rPr>
              <w:t>50</w:t>
            </w:r>
          </w:p>
        </w:tc>
      </w:tr>
      <w:tr w:rsidR="00A81A60" w:rsidRPr="00F104B3" w14:paraId="5E7B99D9" w14:textId="77777777" w:rsidTr="00F104B3">
        <w:trPr>
          <w:cantSplit/>
          <w:jc w:val="center"/>
        </w:trPr>
        <w:tc>
          <w:tcPr>
            <w:tcW w:w="2003" w:type="dxa"/>
            <w:vMerge/>
            <w:tcBorders>
              <w:left w:val="single" w:sz="8" w:space="0" w:color="auto"/>
              <w:right w:val="single" w:sz="8" w:space="0" w:color="auto"/>
            </w:tcBorders>
            <w:shd w:val="clear" w:color="auto" w:fill="auto"/>
            <w:vAlign w:val="center"/>
          </w:tcPr>
          <w:p w14:paraId="48FF5E4F" w14:textId="77777777" w:rsidR="00A81A60" w:rsidRPr="00F104B3" w:rsidRDefault="00A81A60" w:rsidP="004F02A2">
            <w:pPr>
              <w:spacing w:before="20" w:after="20"/>
              <w:jc w:val="left"/>
              <w:rPr>
                <w:color w:val="000000"/>
                <w:kern w:val="22"/>
                <w:sz w:val="20"/>
                <w:szCs w:val="20"/>
                <w:lang w:eastAsia="en-CA"/>
              </w:rPr>
            </w:pPr>
          </w:p>
        </w:tc>
        <w:tc>
          <w:tcPr>
            <w:tcW w:w="4114" w:type="dxa"/>
            <w:tcBorders>
              <w:top w:val="nil"/>
              <w:left w:val="nil"/>
              <w:bottom w:val="single" w:sz="8" w:space="0" w:color="auto"/>
              <w:right w:val="single" w:sz="8" w:space="0" w:color="auto"/>
            </w:tcBorders>
            <w:shd w:val="clear" w:color="auto" w:fill="auto"/>
            <w:vAlign w:val="center"/>
          </w:tcPr>
          <w:p w14:paraId="07D1C742" w14:textId="0E29C761" w:rsidR="00A81A60" w:rsidRPr="00F104B3" w:rsidRDefault="00A81A60" w:rsidP="004F02A2">
            <w:pPr>
              <w:spacing w:before="20" w:after="20"/>
              <w:jc w:val="left"/>
              <w:rPr>
                <w:color w:val="000000"/>
                <w:kern w:val="22"/>
                <w:sz w:val="20"/>
                <w:szCs w:val="20"/>
              </w:rPr>
            </w:pPr>
            <w:r w:rsidRPr="00F104B3">
              <w:rPr>
                <w:color w:val="000000"/>
                <w:sz w:val="20"/>
                <w:szCs w:val="20"/>
              </w:rPr>
              <w:t>Разработка онлайн-версии, совместимой с различными устройствами (например, телефоном)</w:t>
            </w:r>
          </w:p>
        </w:tc>
        <w:tc>
          <w:tcPr>
            <w:tcW w:w="708" w:type="dxa"/>
            <w:tcBorders>
              <w:top w:val="nil"/>
              <w:left w:val="nil"/>
              <w:bottom w:val="single" w:sz="8" w:space="0" w:color="auto"/>
              <w:right w:val="single" w:sz="8" w:space="0" w:color="auto"/>
            </w:tcBorders>
            <w:shd w:val="clear" w:color="auto" w:fill="auto"/>
            <w:vAlign w:val="center"/>
          </w:tcPr>
          <w:p w14:paraId="15D5D831" w14:textId="1BF35C53" w:rsidR="00A81A60" w:rsidRPr="00F104B3" w:rsidRDefault="00E6411B" w:rsidP="004F02A2">
            <w:pPr>
              <w:spacing w:before="20" w:after="20"/>
              <w:jc w:val="center"/>
              <w:rPr>
                <w:color w:val="000000"/>
                <w:kern w:val="22"/>
                <w:sz w:val="20"/>
                <w:szCs w:val="20"/>
              </w:rPr>
            </w:pPr>
            <w:r w:rsidRPr="00F104B3">
              <w:rPr>
                <w:color w:val="000000"/>
                <w:sz w:val="20"/>
                <w:szCs w:val="20"/>
              </w:rPr>
              <w:t>–</w:t>
            </w:r>
          </w:p>
        </w:tc>
        <w:tc>
          <w:tcPr>
            <w:tcW w:w="709" w:type="dxa"/>
            <w:tcBorders>
              <w:top w:val="nil"/>
              <w:left w:val="nil"/>
              <w:bottom w:val="single" w:sz="8" w:space="0" w:color="auto"/>
              <w:right w:val="single" w:sz="8" w:space="0" w:color="auto"/>
            </w:tcBorders>
            <w:shd w:val="clear" w:color="auto" w:fill="auto"/>
            <w:vAlign w:val="center"/>
          </w:tcPr>
          <w:p w14:paraId="47D37F88" w14:textId="68F55B9C" w:rsidR="00A81A60" w:rsidRPr="00F104B3" w:rsidRDefault="00A81A60" w:rsidP="004F02A2">
            <w:pPr>
              <w:spacing w:before="20" w:after="20"/>
              <w:jc w:val="center"/>
              <w:rPr>
                <w:color w:val="000000"/>
                <w:kern w:val="22"/>
                <w:sz w:val="20"/>
                <w:szCs w:val="20"/>
              </w:rPr>
            </w:pPr>
            <w:r w:rsidRPr="00F104B3">
              <w:rPr>
                <w:color w:val="000000"/>
                <w:sz w:val="20"/>
                <w:szCs w:val="20"/>
              </w:rPr>
              <w:t>50</w:t>
            </w:r>
          </w:p>
        </w:tc>
        <w:tc>
          <w:tcPr>
            <w:tcW w:w="820" w:type="dxa"/>
            <w:tcBorders>
              <w:top w:val="nil"/>
              <w:left w:val="single" w:sz="8" w:space="0" w:color="auto"/>
              <w:bottom w:val="single" w:sz="8" w:space="0" w:color="auto"/>
              <w:right w:val="single" w:sz="8" w:space="0" w:color="auto"/>
            </w:tcBorders>
            <w:shd w:val="clear" w:color="auto" w:fill="auto"/>
            <w:noWrap/>
            <w:vAlign w:val="center"/>
          </w:tcPr>
          <w:p w14:paraId="17D052EF" w14:textId="27C863D0" w:rsidR="00A81A60" w:rsidRPr="00F104B3" w:rsidRDefault="00A81A60" w:rsidP="004F02A2">
            <w:pPr>
              <w:spacing w:before="20" w:after="20"/>
              <w:jc w:val="center"/>
              <w:rPr>
                <w:color w:val="000000"/>
                <w:kern w:val="22"/>
                <w:sz w:val="20"/>
                <w:szCs w:val="20"/>
              </w:rPr>
            </w:pPr>
            <w:r w:rsidRPr="00F104B3">
              <w:rPr>
                <w:color w:val="000000"/>
                <w:sz w:val="20"/>
                <w:szCs w:val="20"/>
              </w:rPr>
              <w:t>50</w:t>
            </w:r>
          </w:p>
        </w:tc>
      </w:tr>
      <w:tr w:rsidR="00A81A60" w:rsidRPr="00F104B3" w14:paraId="232125A7" w14:textId="77777777" w:rsidTr="00F104B3">
        <w:trPr>
          <w:cantSplit/>
          <w:jc w:val="center"/>
        </w:trPr>
        <w:tc>
          <w:tcPr>
            <w:tcW w:w="2003" w:type="dxa"/>
            <w:vMerge/>
            <w:tcBorders>
              <w:left w:val="single" w:sz="8" w:space="0" w:color="auto"/>
              <w:right w:val="single" w:sz="8" w:space="0" w:color="auto"/>
            </w:tcBorders>
            <w:shd w:val="clear" w:color="auto" w:fill="auto"/>
            <w:vAlign w:val="center"/>
          </w:tcPr>
          <w:p w14:paraId="46C9FC36" w14:textId="77777777" w:rsidR="00A81A60" w:rsidRPr="00F104B3" w:rsidRDefault="00A81A60" w:rsidP="004F02A2">
            <w:pPr>
              <w:spacing w:before="20" w:after="20"/>
              <w:jc w:val="left"/>
              <w:rPr>
                <w:color w:val="000000"/>
                <w:kern w:val="22"/>
                <w:sz w:val="20"/>
                <w:szCs w:val="20"/>
                <w:lang w:eastAsia="en-CA"/>
              </w:rPr>
            </w:pPr>
          </w:p>
        </w:tc>
        <w:tc>
          <w:tcPr>
            <w:tcW w:w="4114" w:type="dxa"/>
            <w:tcBorders>
              <w:top w:val="nil"/>
              <w:left w:val="nil"/>
              <w:bottom w:val="single" w:sz="8" w:space="0" w:color="auto"/>
              <w:right w:val="single" w:sz="8" w:space="0" w:color="auto"/>
            </w:tcBorders>
            <w:shd w:val="clear" w:color="auto" w:fill="auto"/>
            <w:vAlign w:val="center"/>
          </w:tcPr>
          <w:p w14:paraId="4DDD906A" w14:textId="77777777" w:rsidR="00A81A60" w:rsidRPr="00F104B3" w:rsidRDefault="00A81A60" w:rsidP="004F02A2">
            <w:pPr>
              <w:spacing w:before="20" w:after="20"/>
              <w:jc w:val="left"/>
              <w:rPr>
                <w:color w:val="000000"/>
                <w:kern w:val="22"/>
                <w:sz w:val="20"/>
                <w:szCs w:val="20"/>
              </w:rPr>
            </w:pPr>
            <w:r w:rsidRPr="00F104B3">
              <w:rPr>
                <w:color w:val="000000"/>
                <w:sz w:val="20"/>
                <w:szCs w:val="20"/>
              </w:rPr>
              <w:t>Перевод/адаптация и чтение корректуры доклада на остальных пяти языках</w:t>
            </w:r>
          </w:p>
        </w:tc>
        <w:tc>
          <w:tcPr>
            <w:tcW w:w="708" w:type="dxa"/>
            <w:tcBorders>
              <w:top w:val="nil"/>
              <w:left w:val="nil"/>
              <w:bottom w:val="single" w:sz="8" w:space="0" w:color="auto"/>
              <w:right w:val="single" w:sz="8" w:space="0" w:color="auto"/>
            </w:tcBorders>
            <w:shd w:val="clear" w:color="auto" w:fill="auto"/>
            <w:vAlign w:val="center"/>
          </w:tcPr>
          <w:p w14:paraId="47FA0275" w14:textId="73493930" w:rsidR="00A81A60" w:rsidRPr="00F104B3" w:rsidRDefault="00E6411B" w:rsidP="004F02A2">
            <w:pPr>
              <w:spacing w:before="20" w:after="20"/>
              <w:jc w:val="center"/>
              <w:rPr>
                <w:color w:val="000000"/>
                <w:kern w:val="22"/>
                <w:sz w:val="20"/>
                <w:szCs w:val="20"/>
              </w:rPr>
            </w:pPr>
            <w:r w:rsidRPr="00F104B3">
              <w:rPr>
                <w:color w:val="000000"/>
                <w:sz w:val="20"/>
                <w:szCs w:val="20"/>
              </w:rPr>
              <w:t>–</w:t>
            </w:r>
          </w:p>
        </w:tc>
        <w:tc>
          <w:tcPr>
            <w:tcW w:w="709" w:type="dxa"/>
            <w:tcBorders>
              <w:top w:val="nil"/>
              <w:left w:val="nil"/>
              <w:bottom w:val="single" w:sz="8" w:space="0" w:color="auto"/>
              <w:right w:val="single" w:sz="8" w:space="0" w:color="auto"/>
            </w:tcBorders>
            <w:shd w:val="clear" w:color="auto" w:fill="auto"/>
            <w:vAlign w:val="center"/>
          </w:tcPr>
          <w:p w14:paraId="5D3D1513" w14:textId="0AA42B5B" w:rsidR="00A81A60" w:rsidRPr="00F104B3" w:rsidRDefault="00A81A60" w:rsidP="004F02A2">
            <w:pPr>
              <w:spacing w:before="20" w:after="20"/>
              <w:jc w:val="center"/>
              <w:rPr>
                <w:color w:val="000000"/>
                <w:kern w:val="22"/>
                <w:sz w:val="20"/>
                <w:szCs w:val="20"/>
              </w:rPr>
            </w:pPr>
            <w:r w:rsidRPr="00F104B3">
              <w:rPr>
                <w:color w:val="000000"/>
                <w:sz w:val="20"/>
                <w:szCs w:val="20"/>
              </w:rPr>
              <w:t>150</w:t>
            </w:r>
          </w:p>
        </w:tc>
        <w:tc>
          <w:tcPr>
            <w:tcW w:w="820" w:type="dxa"/>
            <w:tcBorders>
              <w:top w:val="nil"/>
              <w:left w:val="single" w:sz="8" w:space="0" w:color="auto"/>
              <w:bottom w:val="single" w:sz="8" w:space="0" w:color="auto"/>
              <w:right w:val="single" w:sz="8" w:space="0" w:color="auto"/>
            </w:tcBorders>
            <w:shd w:val="clear" w:color="auto" w:fill="auto"/>
            <w:vAlign w:val="center"/>
          </w:tcPr>
          <w:p w14:paraId="0B5E5A30" w14:textId="571FFA54" w:rsidR="00A81A60" w:rsidRPr="00F104B3" w:rsidRDefault="00A81A60" w:rsidP="004F02A2">
            <w:pPr>
              <w:spacing w:before="20" w:after="20"/>
              <w:jc w:val="center"/>
              <w:rPr>
                <w:color w:val="000000"/>
                <w:kern w:val="22"/>
                <w:sz w:val="20"/>
                <w:szCs w:val="20"/>
              </w:rPr>
            </w:pPr>
            <w:r w:rsidRPr="00F104B3">
              <w:rPr>
                <w:color w:val="000000"/>
                <w:sz w:val="20"/>
                <w:szCs w:val="20"/>
              </w:rPr>
              <w:t>150</w:t>
            </w:r>
          </w:p>
        </w:tc>
      </w:tr>
      <w:tr w:rsidR="00A81A60" w:rsidRPr="00F104B3" w14:paraId="7E66B955" w14:textId="77777777" w:rsidTr="00F104B3">
        <w:trPr>
          <w:cantSplit/>
          <w:jc w:val="center"/>
        </w:trPr>
        <w:tc>
          <w:tcPr>
            <w:tcW w:w="2003" w:type="dxa"/>
            <w:vMerge/>
            <w:tcBorders>
              <w:left w:val="single" w:sz="8" w:space="0" w:color="auto"/>
              <w:right w:val="single" w:sz="8" w:space="0" w:color="auto"/>
            </w:tcBorders>
            <w:shd w:val="clear" w:color="auto" w:fill="auto"/>
            <w:vAlign w:val="center"/>
          </w:tcPr>
          <w:p w14:paraId="49AE3FC0" w14:textId="77777777" w:rsidR="00A81A60" w:rsidRPr="00F104B3" w:rsidRDefault="00A81A60" w:rsidP="004F02A2">
            <w:pPr>
              <w:spacing w:before="20" w:after="20"/>
              <w:jc w:val="left"/>
              <w:rPr>
                <w:color w:val="000000"/>
                <w:kern w:val="22"/>
                <w:sz w:val="20"/>
                <w:szCs w:val="20"/>
                <w:lang w:eastAsia="en-CA"/>
              </w:rPr>
            </w:pPr>
          </w:p>
        </w:tc>
        <w:tc>
          <w:tcPr>
            <w:tcW w:w="4114" w:type="dxa"/>
            <w:tcBorders>
              <w:top w:val="nil"/>
              <w:left w:val="nil"/>
              <w:bottom w:val="single" w:sz="8" w:space="0" w:color="auto"/>
              <w:right w:val="single" w:sz="8" w:space="0" w:color="auto"/>
            </w:tcBorders>
            <w:shd w:val="clear" w:color="auto" w:fill="auto"/>
            <w:vAlign w:val="center"/>
          </w:tcPr>
          <w:p w14:paraId="3CD0788D" w14:textId="77777777" w:rsidR="00A81A60" w:rsidRPr="00F104B3" w:rsidRDefault="00A81A60" w:rsidP="004F02A2">
            <w:pPr>
              <w:spacing w:before="20" w:after="20"/>
              <w:jc w:val="left"/>
              <w:rPr>
                <w:color w:val="000000"/>
                <w:kern w:val="22"/>
                <w:sz w:val="20"/>
                <w:szCs w:val="20"/>
              </w:rPr>
            </w:pPr>
            <w:r w:rsidRPr="00F104B3">
              <w:rPr>
                <w:color w:val="000000"/>
                <w:sz w:val="20"/>
                <w:szCs w:val="20"/>
              </w:rPr>
              <w:t>Типографский набор и графический дизайн (все продукты, все языки)</w:t>
            </w:r>
          </w:p>
        </w:tc>
        <w:tc>
          <w:tcPr>
            <w:tcW w:w="708" w:type="dxa"/>
            <w:tcBorders>
              <w:top w:val="nil"/>
              <w:left w:val="nil"/>
              <w:bottom w:val="single" w:sz="8" w:space="0" w:color="auto"/>
              <w:right w:val="single" w:sz="8" w:space="0" w:color="auto"/>
            </w:tcBorders>
            <w:shd w:val="clear" w:color="auto" w:fill="auto"/>
            <w:vAlign w:val="center"/>
          </w:tcPr>
          <w:p w14:paraId="24AD7DDC" w14:textId="084056C4" w:rsidR="00A81A60" w:rsidRPr="00F104B3" w:rsidRDefault="00E6411B" w:rsidP="004F02A2">
            <w:pPr>
              <w:spacing w:before="20" w:after="20"/>
              <w:jc w:val="center"/>
              <w:rPr>
                <w:color w:val="000000"/>
                <w:kern w:val="22"/>
                <w:sz w:val="20"/>
                <w:szCs w:val="20"/>
              </w:rPr>
            </w:pPr>
            <w:r w:rsidRPr="00F104B3">
              <w:rPr>
                <w:color w:val="000000"/>
                <w:sz w:val="20"/>
                <w:szCs w:val="20"/>
              </w:rPr>
              <w:t>–</w:t>
            </w:r>
          </w:p>
        </w:tc>
        <w:tc>
          <w:tcPr>
            <w:tcW w:w="709" w:type="dxa"/>
            <w:tcBorders>
              <w:top w:val="nil"/>
              <w:left w:val="nil"/>
              <w:bottom w:val="single" w:sz="8" w:space="0" w:color="auto"/>
              <w:right w:val="single" w:sz="8" w:space="0" w:color="auto"/>
            </w:tcBorders>
            <w:shd w:val="clear" w:color="auto" w:fill="auto"/>
            <w:vAlign w:val="center"/>
          </w:tcPr>
          <w:p w14:paraId="2EC22316" w14:textId="00D3522B" w:rsidR="00A81A60" w:rsidRPr="00F104B3" w:rsidRDefault="00A81A60" w:rsidP="004F02A2">
            <w:pPr>
              <w:spacing w:before="20" w:after="20"/>
              <w:jc w:val="center"/>
              <w:rPr>
                <w:color w:val="000000"/>
                <w:kern w:val="22"/>
                <w:sz w:val="20"/>
                <w:szCs w:val="20"/>
              </w:rPr>
            </w:pPr>
            <w:r w:rsidRPr="00F104B3">
              <w:rPr>
                <w:color w:val="000000"/>
                <w:sz w:val="20"/>
                <w:szCs w:val="20"/>
              </w:rPr>
              <w:t>50</w:t>
            </w:r>
          </w:p>
        </w:tc>
        <w:tc>
          <w:tcPr>
            <w:tcW w:w="820" w:type="dxa"/>
            <w:tcBorders>
              <w:top w:val="nil"/>
              <w:left w:val="single" w:sz="8" w:space="0" w:color="auto"/>
              <w:bottom w:val="single" w:sz="8" w:space="0" w:color="auto"/>
              <w:right w:val="single" w:sz="8" w:space="0" w:color="auto"/>
            </w:tcBorders>
            <w:shd w:val="clear" w:color="auto" w:fill="auto"/>
            <w:vAlign w:val="center"/>
          </w:tcPr>
          <w:p w14:paraId="68C8C560" w14:textId="4603F371" w:rsidR="00A81A60" w:rsidRPr="00F104B3" w:rsidRDefault="00A81A60" w:rsidP="004F02A2">
            <w:pPr>
              <w:spacing w:before="20" w:after="20"/>
              <w:jc w:val="center"/>
              <w:rPr>
                <w:color w:val="000000"/>
                <w:kern w:val="22"/>
                <w:sz w:val="20"/>
                <w:szCs w:val="20"/>
              </w:rPr>
            </w:pPr>
            <w:r w:rsidRPr="00F104B3">
              <w:rPr>
                <w:color w:val="000000"/>
                <w:sz w:val="20"/>
                <w:szCs w:val="20"/>
              </w:rPr>
              <w:t>50</w:t>
            </w:r>
          </w:p>
        </w:tc>
      </w:tr>
      <w:tr w:rsidR="00A81A60" w:rsidRPr="00F104B3" w14:paraId="15E0E2C9" w14:textId="77777777" w:rsidTr="00F104B3">
        <w:trPr>
          <w:cantSplit/>
          <w:jc w:val="center"/>
        </w:trPr>
        <w:tc>
          <w:tcPr>
            <w:tcW w:w="2003" w:type="dxa"/>
            <w:vMerge/>
            <w:tcBorders>
              <w:left w:val="single" w:sz="8" w:space="0" w:color="auto"/>
              <w:bottom w:val="single" w:sz="8" w:space="0" w:color="auto"/>
              <w:right w:val="single" w:sz="8" w:space="0" w:color="auto"/>
            </w:tcBorders>
            <w:shd w:val="clear" w:color="auto" w:fill="auto"/>
            <w:vAlign w:val="center"/>
          </w:tcPr>
          <w:p w14:paraId="45E0E44B" w14:textId="77777777" w:rsidR="00A81A60" w:rsidRPr="00F104B3" w:rsidRDefault="00A81A60" w:rsidP="004F02A2">
            <w:pPr>
              <w:spacing w:before="20" w:after="20"/>
              <w:jc w:val="left"/>
              <w:rPr>
                <w:color w:val="000000"/>
                <w:kern w:val="22"/>
                <w:sz w:val="20"/>
                <w:szCs w:val="20"/>
                <w:lang w:eastAsia="en-CA"/>
              </w:rPr>
            </w:pPr>
          </w:p>
        </w:tc>
        <w:tc>
          <w:tcPr>
            <w:tcW w:w="4114" w:type="dxa"/>
            <w:tcBorders>
              <w:top w:val="nil"/>
              <w:left w:val="nil"/>
              <w:bottom w:val="single" w:sz="8" w:space="0" w:color="auto"/>
              <w:right w:val="single" w:sz="8" w:space="0" w:color="auto"/>
            </w:tcBorders>
            <w:shd w:val="clear" w:color="auto" w:fill="auto"/>
            <w:vAlign w:val="center"/>
          </w:tcPr>
          <w:p w14:paraId="5FA2F92C" w14:textId="77777777" w:rsidR="00A81A60" w:rsidRPr="00F104B3" w:rsidRDefault="00A81A60" w:rsidP="004F02A2">
            <w:pPr>
              <w:spacing w:before="20" w:after="20"/>
              <w:jc w:val="left"/>
              <w:rPr>
                <w:color w:val="000000"/>
                <w:kern w:val="22"/>
                <w:sz w:val="20"/>
                <w:szCs w:val="20"/>
              </w:rPr>
            </w:pPr>
            <w:r w:rsidRPr="00F104B3">
              <w:rPr>
                <w:color w:val="000000"/>
                <w:sz w:val="20"/>
                <w:szCs w:val="20"/>
              </w:rPr>
              <w:t>Разработка и осуществление коммуникационной стратегии</w:t>
            </w:r>
          </w:p>
        </w:tc>
        <w:tc>
          <w:tcPr>
            <w:tcW w:w="708" w:type="dxa"/>
            <w:tcBorders>
              <w:top w:val="nil"/>
              <w:left w:val="nil"/>
              <w:bottom w:val="single" w:sz="8" w:space="0" w:color="auto"/>
              <w:right w:val="single" w:sz="8" w:space="0" w:color="auto"/>
            </w:tcBorders>
            <w:shd w:val="clear" w:color="auto" w:fill="auto"/>
            <w:vAlign w:val="center"/>
          </w:tcPr>
          <w:p w14:paraId="0A3DE45B" w14:textId="77777777" w:rsidR="00A81A60" w:rsidRPr="00F104B3" w:rsidRDefault="00A81A60" w:rsidP="004F02A2">
            <w:pPr>
              <w:spacing w:before="20" w:after="20"/>
              <w:jc w:val="center"/>
              <w:rPr>
                <w:color w:val="000000"/>
                <w:kern w:val="22"/>
                <w:sz w:val="20"/>
                <w:szCs w:val="20"/>
              </w:rPr>
            </w:pPr>
            <w:r w:rsidRPr="00F104B3">
              <w:rPr>
                <w:color w:val="000000"/>
                <w:sz w:val="20"/>
                <w:szCs w:val="20"/>
              </w:rPr>
              <w:t>10</w:t>
            </w:r>
          </w:p>
        </w:tc>
        <w:tc>
          <w:tcPr>
            <w:tcW w:w="709" w:type="dxa"/>
            <w:tcBorders>
              <w:top w:val="nil"/>
              <w:left w:val="nil"/>
              <w:bottom w:val="single" w:sz="8" w:space="0" w:color="auto"/>
              <w:right w:val="single" w:sz="8" w:space="0" w:color="auto"/>
            </w:tcBorders>
            <w:shd w:val="clear" w:color="auto" w:fill="auto"/>
            <w:vAlign w:val="center"/>
          </w:tcPr>
          <w:p w14:paraId="036E2299" w14:textId="77777777" w:rsidR="00A81A60" w:rsidRPr="00F104B3" w:rsidRDefault="00A81A60" w:rsidP="004F02A2">
            <w:pPr>
              <w:spacing w:before="20" w:after="20"/>
              <w:jc w:val="center"/>
              <w:rPr>
                <w:color w:val="000000"/>
                <w:kern w:val="22"/>
                <w:sz w:val="20"/>
                <w:szCs w:val="20"/>
              </w:rPr>
            </w:pPr>
            <w:r w:rsidRPr="00F104B3">
              <w:rPr>
                <w:color w:val="000000"/>
                <w:sz w:val="20"/>
                <w:szCs w:val="20"/>
              </w:rPr>
              <w:t>90</w:t>
            </w:r>
          </w:p>
        </w:tc>
        <w:tc>
          <w:tcPr>
            <w:tcW w:w="820" w:type="dxa"/>
            <w:tcBorders>
              <w:top w:val="nil"/>
              <w:left w:val="single" w:sz="8" w:space="0" w:color="auto"/>
              <w:bottom w:val="single" w:sz="8" w:space="0" w:color="auto"/>
              <w:right w:val="single" w:sz="8" w:space="0" w:color="auto"/>
            </w:tcBorders>
            <w:shd w:val="clear" w:color="auto" w:fill="auto"/>
            <w:vAlign w:val="center"/>
          </w:tcPr>
          <w:p w14:paraId="3331E927" w14:textId="35167D58" w:rsidR="00A81A60" w:rsidRPr="00F104B3" w:rsidRDefault="00A81A60" w:rsidP="004F02A2">
            <w:pPr>
              <w:spacing w:before="20" w:after="20"/>
              <w:jc w:val="center"/>
              <w:rPr>
                <w:color w:val="000000"/>
                <w:kern w:val="22"/>
                <w:sz w:val="20"/>
                <w:szCs w:val="20"/>
              </w:rPr>
            </w:pPr>
            <w:r w:rsidRPr="00F104B3">
              <w:rPr>
                <w:color w:val="000000"/>
                <w:sz w:val="20"/>
                <w:szCs w:val="20"/>
              </w:rPr>
              <w:t>100</w:t>
            </w:r>
          </w:p>
        </w:tc>
      </w:tr>
      <w:tr w:rsidR="00A81A60" w:rsidRPr="00F104B3" w14:paraId="4C47ED60" w14:textId="77777777" w:rsidTr="00F104B3">
        <w:trPr>
          <w:cantSplit/>
          <w:jc w:val="center"/>
        </w:trPr>
        <w:tc>
          <w:tcPr>
            <w:tcW w:w="2003" w:type="dxa"/>
            <w:tcBorders>
              <w:left w:val="single" w:sz="8" w:space="0" w:color="auto"/>
              <w:bottom w:val="single" w:sz="8" w:space="0" w:color="auto"/>
              <w:right w:val="single" w:sz="8" w:space="0" w:color="auto"/>
            </w:tcBorders>
            <w:shd w:val="clear" w:color="auto" w:fill="auto"/>
            <w:vAlign w:val="center"/>
          </w:tcPr>
          <w:p w14:paraId="6F68FA6E" w14:textId="7B24F9CE" w:rsidR="00A81A60" w:rsidRPr="00F104B3" w:rsidRDefault="00A81A60" w:rsidP="004F02A2">
            <w:pPr>
              <w:spacing w:before="20" w:after="20"/>
              <w:jc w:val="left"/>
              <w:rPr>
                <w:color w:val="000000"/>
                <w:kern w:val="22"/>
                <w:sz w:val="20"/>
                <w:szCs w:val="20"/>
              </w:rPr>
            </w:pPr>
            <w:r w:rsidRPr="00F104B3">
              <w:rPr>
                <w:color w:val="000000"/>
                <w:sz w:val="20"/>
                <w:szCs w:val="20"/>
              </w:rPr>
              <w:t xml:space="preserve">Совещания </w:t>
            </w:r>
            <w:r w:rsidR="002E7E5E">
              <w:rPr>
                <w:color w:val="000000"/>
                <w:sz w:val="20"/>
                <w:szCs w:val="20"/>
              </w:rPr>
              <w:t>С</w:t>
            </w:r>
            <w:r w:rsidRPr="00F104B3">
              <w:rPr>
                <w:color w:val="000000"/>
                <w:sz w:val="20"/>
                <w:szCs w:val="20"/>
              </w:rPr>
              <w:t xml:space="preserve">пециальной научно-технической консультативной группы </w:t>
            </w:r>
          </w:p>
        </w:tc>
        <w:tc>
          <w:tcPr>
            <w:tcW w:w="4114" w:type="dxa"/>
            <w:tcBorders>
              <w:top w:val="nil"/>
              <w:left w:val="nil"/>
              <w:bottom w:val="single" w:sz="8" w:space="0" w:color="auto"/>
              <w:right w:val="single" w:sz="8" w:space="0" w:color="auto"/>
            </w:tcBorders>
            <w:shd w:val="clear" w:color="auto" w:fill="auto"/>
            <w:vAlign w:val="center"/>
          </w:tcPr>
          <w:p w14:paraId="295C3DC1" w14:textId="69E89CD6" w:rsidR="00A81A60" w:rsidRPr="002F4261" w:rsidRDefault="00A81A60" w:rsidP="004F02A2">
            <w:pPr>
              <w:spacing w:before="20" w:after="20"/>
              <w:jc w:val="left"/>
              <w:rPr>
                <w:color w:val="000000"/>
                <w:kern w:val="22"/>
                <w:sz w:val="20"/>
                <w:szCs w:val="20"/>
                <w:lang w:val="fr-FR"/>
              </w:rPr>
            </w:pPr>
            <w:r w:rsidRPr="00F104B3">
              <w:rPr>
                <w:color w:val="000000"/>
                <w:sz w:val="20"/>
                <w:szCs w:val="20"/>
              </w:rPr>
              <w:t>Два очных совещания</w:t>
            </w:r>
            <w:r w:rsidR="002F4261">
              <w:rPr>
                <w:color w:val="000000"/>
                <w:sz w:val="20"/>
                <w:szCs w:val="20"/>
                <w:lang w:val="fr-FR"/>
              </w:rPr>
              <w:t xml:space="preserve"> </w:t>
            </w:r>
          </w:p>
        </w:tc>
        <w:tc>
          <w:tcPr>
            <w:tcW w:w="708" w:type="dxa"/>
            <w:tcBorders>
              <w:top w:val="nil"/>
              <w:left w:val="nil"/>
              <w:bottom w:val="single" w:sz="8" w:space="0" w:color="auto"/>
              <w:right w:val="single" w:sz="8" w:space="0" w:color="auto"/>
            </w:tcBorders>
            <w:shd w:val="clear" w:color="auto" w:fill="auto"/>
            <w:vAlign w:val="center"/>
          </w:tcPr>
          <w:p w14:paraId="52B9EF40" w14:textId="77777777" w:rsidR="00A81A60" w:rsidRPr="00F104B3" w:rsidRDefault="00A81A60" w:rsidP="004F02A2">
            <w:pPr>
              <w:spacing w:before="20" w:after="20"/>
              <w:jc w:val="center"/>
              <w:rPr>
                <w:color w:val="000000"/>
                <w:kern w:val="22"/>
                <w:sz w:val="20"/>
                <w:szCs w:val="20"/>
              </w:rPr>
            </w:pPr>
            <w:r w:rsidRPr="00F104B3">
              <w:rPr>
                <w:color w:val="000000"/>
                <w:sz w:val="20"/>
                <w:szCs w:val="20"/>
              </w:rPr>
              <w:t>35</w:t>
            </w:r>
          </w:p>
        </w:tc>
        <w:tc>
          <w:tcPr>
            <w:tcW w:w="709" w:type="dxa"/>
            <w:tcBorders>
              <w:top w:val="nil"/>
              <w:left w:val="nil"/>
              <w:bottom w:val="single" w:sz="8" w:space="0" w:color="auto"/>
              <w:right w:val="single" w:sz="8" w:space="0" w:color="auto"/>
            </w:tcBorders>
            <w:shd w:val="clear" w:color="auto" w:fill="auto"/>
            <w:vAlign w:val="center"/>
          </w:tcPr>
          <w:p w14:paraId="421C57CC" w14:textId="77777777" w:rsidR="00A81A60" w:rsidRPr="00F104B3" w:rsidRDefault="00A81A60" w:rsidP="004F02A2">
            <w:pPr>
              <w:spacing w:before="20" w:after="20"/>
              <w:jc w:val="center"/>
              <w:rPr>
                <w:color w:val="000000"/>
                <w:kern w:val="22"/>
                <w:sz w:val="20"/>
                <w:szCs w:val="20"/>
              </w:rPr>
            </w:pPr>
            <w:r w:rsidRPr="00F104B3">
              <w:rPr>
                <w:color w:val="000000"/>
                <w:sz w:val="20"/>
                <w:szCs w:val="20"/>
              </w:rPr>
              <w:t>35</w:t>
            </w:r>
          </w:p>
        </w:tc>
        <w:tc>
          <w:tcPr>
            <w:tcW w:w="820" w:type="dxa"/>
            <w:tcBorders>
              <w:top w:val="nil"/>
              <w:left w:val="single" w:sz="8" w:space="0" w:color="auto"/>
              <w:bottom w:val="single" w:sz="8" w:space="0" w:color="auto"/>
              <w:right w:val="single" w:sz="8" w:space="0" w:color="auto"/>
            </w:tcBorders>
            <w:shd w:val="clear" w:color="auto" w:fill="auto"/>
            <w:vAlign w:val="center"/>
          </w:tcPr>
          <w:p w14:paraId="5460F604" w14:textId="45A96710" w:rsidR="00A81A60" w:rsidRPr="00F104B3" w:rsidRDefault="00A81A60" w:rsidP="004F02A2">
            <w:pPr>
              <w:spacing w:before="20" w:after="20"/>
              <w:jc w:val="center"/>
              <w:rPr>
                <w:color w:val="000000"/>
                <w:kern w:val="22"/>
                <w:sz w:val="20"/>
                <w:szCs w:val="20"/>
              </w:rPr>
            </w:pPr>
            <w:r w:rsidRPr="00F104B3">
              <w:rPr>
                <w:color w:val="000000"/>
                <w:sz w:val="20"/>
                <w:szCs w:val="20"/>
              </w:rPr>
              <w:t>70</w:t>
            </w:r>
          </w:p>
        </w:tc>
      </w:tr>
      <w:tr w:rsidR="00A81A60" w:rsidRPr="00F104B3" w14:paraId="79E65540" w14:textId="77777777" w:rsidTr="00F104B3">
        <w:trPr>
          <w:cantSplit/>
          <w:jc w:val="center"/>
        </w:trPr>
        <w:tc>
          <w:tcPr>
            <w:tcW w:w="2003" w:type="dxa"/>
            <w:tcBorders>
              <w:left w:val="single" w:sz="8" w:space="0" w:color="auto"/>
              <w:bottom w:val="single" w:sz="8" w:space="0" w:color="auto"/>
              <w:right w:val="single" w:sz="8" w:space="0" w:color="auto"/>
            </w:tcBorders>
            <w:shd w:val="clear" w:color="auto" w:fill="auto"/>
            <w:vAlign w:val="center"/>
          </w:tcPr>
          <w:p w14:paraId="7E6A6884" w14:textId="4161E508" w:rsidR="00A81A60" w:rsidRPr="00F104B3" w:rsidRDefault="00A81A60" w:rsidP="004F02A2">
            <w:pPr>
              <w:spacing w:before="20" w:after="20"/>
              <w:jc w:val="left"/>
              <w:rPr>
                <w:color w:val="000000"/>
                <w:kern w:val="22"/>
                <w:sz w:val="20"/>
                <w:szCs w:val="20"/>
              </w:rPr>
            </w:pPr>
            <w:r w:rsidRPr="00F104B3">
              <w:rPr>
                <w:color w:val="000000"/>
                <w:sz w:val="20"/>
                <w:szCs w:val="20"/>
              </w:rPr>
              <w:t xml:space="preserve">Совещания </w:t>
            </w:r>
            <w:r w:rsidR="002E7E5E">
              <w:rPr>
                <w:color w:val="000000"/>
                <w:sz w:val="20"/>
                <w:szCs w:val="20"/>
              </w:rPr>
              <w:t>К</w:t>
            </w:r>
            <w:r w:rsidRPr="00F104B3">
              <w:rPr>
                <w:color w:val="000000"/>
                <w:sz w:val="20"/>
                <w:szCs w:val="20"/>
              </w:rPr>
              <w:t xml:space="preserve">онсультативного комитета по обзору прогресса </w:t>
            </w:r>
          </w:p>
        </w:tc>
        <w:tc>
          <w:tcPr>
            <w:tcW w:w="4114" w:type="dxa"/>
            <w:tcBorders>
              <w:top w:val="nil"/>
              <w:left w:val="nil"/>
              <w:bottom w:val="single" w:sz="8" w:space="0" w:color="auto"/>
              <w:right w:val="single" w:sz="8" w:space="0" w:color="auto"/>
            </w:tcBorders>
            <w:shd w:val="clear" w:color="auto" w:fill="auto"/>
            <w:vAlign w:val="center"/>
          </w:tcPr>
          <w:p w14:paraId="53389EB1" w14:textId="474C34E1" w:rsidR="00A81A60" w:rsidRPr="00F104B3" w:rsidRDefault="00A81A60" w:rsidP="004F02A2">
            <w:pPr>
              <w:spacing w:before="20" w:after="20"/>
              <w:jc w:val="left"/>
              <w:rPr>
                <w:color w:val="000000"/>
                <w:kern w:val="22"/>
                <w:sz w:val="20"/>
                <w:szCs w:val="20"/>
              </w:rPr>
            </w:pPr>
            <w:r w:rsidRPr="00F104B3">
              <w:rPr>
                <w:color w:val="000000"/>
                <w:sz w:val="20"/>
                <w:szCs w:val="20"/>
              </w:rPr>
              <w:t>Два очных совещания</w:t>
            </w:r>
          </w:p>
        </w:tc>
        <w:tc>
          <w:tcPr>
            <w:tcW w:w="708" w:type="dxa"/>
            <w:tcBorders>
              <w:top w:val="nil"/>
              <w:left w:val="nil"/>
              <w:bottom w:val="single" w:sz="8" w:space="0" w:color="auto"/>
              <w:right w:val="single" w:sz="8" w:space="0" w:color="auto"/>
            </w:tcBorders>
            <w:shd w:val="clear" w:color="auto" w:fill="auto"/>
            <w:vAlign w:val="center"/>
          </w:tcPr>
          <w:p w14:paraId="3E2CC730" w14:textId="77777777" w:rsidR="00A81A60" w:rsidRPr="00F104B3" w:rsidRDefault="00A81A60" w:rsidP="004F02A2">
            <w:pPr>
              <w:spacing w:before="20" w:after="20"/>
              <w:jc w:val="center"/>
              <w:rPr>
                <w:color w:val="000000"/>
                <w:kern w:val="22"/>
                <w:sz w:val="20"/>
                <w:szCs w:val="20"/>
              </w:rPr>
            </w:pPr>
            <w:r w:rsidRPr="00F104B3">
              <w:rPr>
                <w:color w:val="000000"/>
                <w:sz w:val="20"/>
                <w:szCs w:val="20"/>
              </w:rPr>
              <w:t>35</w:t>
            </w:r>
          </w:p>
        </w:tc>
        <w:tc>
          <w:tcPr>
            <w:tcW w:w="709" w:type="dxa"/>
            <w:tcBorders>
              <w:top w:val="nil"/>
              <w:left w:val="nil"/>
              <w:bottom w:val="single" w:sz="8" w:space="0" w:color="auto"/>
              <w:right w:val="single" w:sz="8" w:space="0" w:color="auto"/>
            </w:tcBorders>
            <w:shd w:val="clear" w:color="auto" w:fill="auto"/>
            <w:vAlign w:val="center"/>
          </w:tcPr>
          <w:p w14:paraId="56E262F0" w14:textId="77777777" w:rsidR="00A81A60" w:rsidRPr="00F104B3" w:rsidRDefault="00A81A60" w:rsidP="004F02A2">
            <w:pPr>
              <w:spacing w:before="20" w:after="20"/>
              <w:jc w:val="center"/>
              <w:rPr>
                <w:color w:val="000000"/>
                <w:kern w:val="22"/>
                <w:sz w:val="20"/>
                <w:szCs w:val="20"/>
              </w:rPr>
            </w:pPr>
            <w:r w:rsidRPr="00F104B3">
              <w:rPr>
                <w:color w:val="000000"/>
                <w:sz w:val="20"/>
                <w:szCs w:val="20"/>
              </w:rPr>
              <w:t>35</w:t>
            </w:r>
          </w:p>
        </w:tc>
        <w:tc>
          <w:tcPr>
            <w:tcW w:w="820" w:type="dxa"/>
            <w:tcBorders>
              <w:top w:val="nil"/>
              <w:left w:val="single" w:sz="8" w:space="0" w:color="auto"/>
              <w:bottom w:val="single" w:sz="8" w:space="0" w:color="auto"/>
              <w:right w:val="single" w:sz="8" w:space="0" w:color="auto"/>
            </w:tcBorders>
            <w:shd w:val="clear" w:color="auto" w:fill="auto"/>
            <w:vAlign w:val="center"/>
          </w:tcPr>
          <w:p w14:paraId="45FA7D9C" w14:textId="314AF21A" w:rsidR="00A81A60" w:rsidRPr="00F104B3" w:rsidRDefault="00A81A60" w:rsidP="004F02A2">
            <w:pPr>
              <w:spacing w:before="20" w:after="20"/>
              <w:jc w:val="center"/>
              <w:rPr>
                <w:color w:val="000000"/>
                <w:kern w:val="22"/>
                <w:sz w:val="20"/>
                <w:szCs w:val="20"/>
              </w:rPr>
            </w:pPr>
            <w:r w:rsidRPr="00F104B3">
              <w:rPr>
                <w:color w:val="000000"/>
                <w:sz w:val="20"/>
                <w:szCs w:val="20"/>
              </w:rPr>
              <w:t>70</w:t>
            </w:r>
          </w:p>
        </w:tc>
      </w:tr>
      <w:tr w:rsidR="00A81A60" w:rsidRPr="00F104B3" w14:paraId="3A047567" w14:textId="77777777" w:rsidTr="00F104B3">
        <w:trPr>
          <w:cantSplit/>
          <w:jc w:val="center"/>
        </w:trPr>
        <w:tc>
          <w:tcPr>
            <w:tcW w:w="2003" w:type="dxa"/>
            <w:vMerge w:val="restart"/>
            <w:tcBorders>
              <w:top w:val="single" w:sz="8" w:space="0" w:color="auto"/>
              <w:left w:val="single" w:sz="8" w:space="0" w:color="auto"/>
              <w:right w:val="single" w:sz="8" w:space="0" w:color="auto"/>
            </w:tcBorders>
            <w:noWrap/>
            <w:vAlign w:val="center"/>
          </w:tcPr>
          <w:p w14:paraId="14617D07" w14:textId="5926DEDA" w:rsidR="00A81A60" w:rsidRPr="00F104B3" w:rsidRDefault="00AC5450" w:rsidP="00AC5450">
            <w:pPr>
              <w:tabs>
                <w:tab w:val="left" w:pos="270"/>
              </w:tabs>
              <w:spacing w:before="20" w:after="20"/>
              <w:jc w:val="left"/>
              <w:rPr>
                <w:b/>
                <w:bCs/>
                <w:color w:val="000000"/>
                <w:kern w:val="22"/>
                <w:sz w:val="20"/>
                <w:szCs w:val="20"/>
              </w:rPr>
            </w:pPr>
            <w:r w:rsidRPr="006F1504">
              <w:rPr>
                <w:b/>
                <w:bCs/>
                <w:color w:val="000000"/>
                <w:kern w:val="22"/>
                <w:sz w:val="20"/>
                <w:szCs w:val="20"/>
                <w:lang w:eastAsia="en-CA"/>
              </w:rPr>
              <w:tab/>
            </w:r>
            <w:r w:rsidR="00A81A60" w:rsidRPr="00F104B3">
              <w:rPr>
                <w:b/>
                <w:color w:val="000000"/>
                <w:sz w:val="20"/>
                <w:szCs w:val="20"/>
              </w:rPr>
              <w:t>Итого расходов</w:t>
            </w:r>
          </w:p>
        </w:tc>
        <w:tc>
          <w:tcPr>
            <w:tcW w:w="4114" w:type="dxa"/>
            <w:tcBorders>
              <w:top w:val="single" w:sz="8" w:space="0" w:color="auto"/>
              <w:left w:val="nil"/>
              <w:bottom w:val="single" w:sz="8" w:space="0" w:color="auto"/>
              <w:right w:val="single" w:sz="8" w:space="0" w:color="auto"/>
            </w:tcBorders>
            <w:vAlign w:val="center"/>
          </w:tcPr>
          <w:p w14:paraId="7B0623EC" w14:textId="3BC12CCA" w:rsidR="00A81A60" w:rsidRPr="00F104B3" w:rsidRDefault="00AC5450" w:rsidP="00AC5450">
            <w:pPr>
              <w:tabs>
                <w:tab w:val="left" w:pos="271"/>
              </w:tabs>
              <w:spacing w:before="20" w:after="20"/>
              <w:ind w:right="-392"/>
              <w:jc w:val="left"/>
              <w:rPr>
                <w:b/>
                <w:bCs/>
                <w:color w:val="000000"/>
                <w:kern w:val="22"/>
                <w:sz w:val="20"/>
                <w:szCs w:val="20"/>
              </w:rPr>
            </w:pPr>
            <w:r w:rsidRPr="006F1504">
              <w:rPr>
                <w:b/>
                <w:bCs/>
                <w:color w:val="000000"/>
                <w:kern w:val="22"/>
                <w:sz w:val="20"/>
                <w:szCs w:val="20"/>
                <w:lang w:eastAsia="en-CA"/>
              </w:rPr>
              <w:tab/>
            </w:r>
            <w:r w:rsidR="00A81A60" w:rsidRPr="00F104B3">
              <w:rPr>
                <w:b/>
                <w:color w:val="000000"/>
                <w:sz w:val="20"/>
                <w:szCs w:val="20"/>
              </w:rPr>
              <w:t>Промежуточный итог</w:t>
            </w:r>
          </w:p>
        </w:tc>
        <w:tc>
          <w:tcPr>
            <w:tcW w:w="708" w:type="dxa"/>
            <w:tcBorders>
              <w:top w:val="single" w:sz="8" w:space="0" w:color="auto"/>
              <w:left w:val="nil"/>
              <w:bottom w:val="single" w:sz="8" w:space="0" w:color="auto"/>
              <w:right w:val="single" w:sz="8" w:space="0" w:color="auto"/>
            </w:tcBorders>
            <w:vAlign w:val="center"/>
          </w:tcPr>
          <w:p w14:paraId="359CFF49" w14:textId="0365230F" w:rsidR="00A81A60" w:rsidRPr="00F104B3" w:rsidRDefault="00A81A60" w:rsidP="004F02A2">
            <w:pPr>
              <w:spacing w:before="20" w:after="20"/>
              <w:jc w:val="center"/>
              <w:rPr>
                <w:b/>
                <w:bCs/>
                <w:i/>
                <w:color w:val="000000"/>
                <w:kern w:val="22"/>
                <w:sz w:val="20"/>
                <w:szCs w:val="20"/>
                <w:lang w:eastAsia="en-CA"/>
              </w:rPr>
            </w:pPr>
          </w:p>
        </w:tc>
        <w:tc>
          <w:tcPr>
            <w:tcW w:w="709" w:type="dxa"/>
            <w:tcBorders>
              <w:top w:val="single" w:sz="8" w:space="0" w:color="auto"/>
              <w:left w:val="nil"/>
              <w:bottom w:val="single" w:sz="8" w:space="0" w:color="auto"/>
              <w:right w:val="single" w:sz="8" w:space="0" w:color="auto"/>
            </w:tcBorders>
            <w:vAlign w:val="center"/>
          </w:tcPr>
          <w:p w14:paraId="62FA5262" w14:textId="59FE98B1" w:rsidR="00A81A60" w:rsidRPr="00F104B3" w:rsidRDefault="00A81A60" w:rsidP="004F02A2">
            <w:pPr>
              <w:spacing w:before="20" w:after="20"/>
              <w:jc w:val="center"/>
              <w:rPr>
                <w:b/>
                <w:bCs/>
                <w:i/>
                <w:color w:val="000000"/>
                <w:kern w:val="22"/>
                <w:sz w:val="20"/>
                <w:szCs w:val="20"/>
                <w:lang w:eastAsia="en-CA"/>
              </w:rPr>
            </w:pPr>
          </w:p>
        </w:tc>
        <w:tc>
          <w:tcPr>
            <w:tcW w:w="820" w:type="dxa"/>
            <w:tcBorders>
              <w:top w:val="single" w:sz="8" w:space="0" w:color="auto"/>
              <w:left w:val="single" w:sz="8" w:space="0" w:color="auto"/>
              <w:bottom w:val="single" w:sz="8" w:space="0" w:color="auto"/>
              <w:right w:val="single" w:sz="8" w:space="0" w:color="auto"/>
            </w:tcBorders>
            <w:vAlign w:val="center"/>
          </w:tcPr>
          <w:p w14:paraId="383762A7" w14:textId="17349884" w:rsidR="00A81A60" w:rsidRPr="00F104B3" w:rsidRDefault="00A81A60" w:rsidP="004F02A2">
            <w:pPr>
              <w:spacing w:before="20" w:after="20"/>
              <w:jc w:val="center"/>
              <w:rPr>
                <w:b/>
                <w:bCs/>
                <w:color w:val="000000"/>
                <w:kern w:val="22"/>
                <w:sz w:val="20"/>
                <w:szCs w:val="20"/>
              </w:rPr>
            </w:pPr>
            <w:r w:rsidRPr="00F104B3">
              <w:rPr>
                <w:b/>
                <w:color w:val="000000"/>
                <w:sz w:val="20"/>
                <w:szCs w:val="20"/>
              </w:rPr>
              <w:t>870</w:t>
            </w:r>
          </w:p>
        </w:tc>
      </w:tr>
      <w:tr w:rsidR="00A81A60" w:rsidRPr="00F104B3" w14:paraId="3D934F5C" w14:textId="77777777" w:rsidTr="00F104B3">
        <w:trPr>
          <w:cantSplit/>
          <w:jc w:val="center"/>
        </w:trPr>
        <w:tc>
          <w:tcPr>
            <w:tcW w:w="2003" w:type="dxa"/>
            <w:vMerge/>
            <w:tcBorders>
              <w:left w:val="single" w:sz="8" w:space="0" w:color="auto"/>
              <w:right w:val="single" w:sz="8" w:space="0" w:color="auto"/>
            </w:tcBorders>
            <w:noWrap/>
            <w:vAlign w:val="center"/>
          </w:tcPr>
          <w:p w14:paraId="5818BDF8" w14:textId="77777777" w:rsidR="00A81A60" w:rsidRPr="00F104B3" w:rsidRDefault="00A81A60" w:rsidP="004F02A2">
            <w:pPr>
              <w:spacing w:before="20" w:after="20"/>
              <w:jc w:val="left"/>
              <w:rPr>
                <w:bCs/>
                <w:color w:val="000000"/>
                <w:kern w:val="22"/>
                <w:sz w:val="20"/>
                <w:szCs w:val="20"/>
                <w:lang w:eastAsia="en-CA"/>
              </w:rPr>
            </w:pPr>
          </w:p>
        </w:tc>
        <w:tc>
          <w:tcPr>
            <w:tcW w:w="4114" w:type="dxa"/>
            <w:tcBorders>
              <w:top w:val="single" w:sz="8" w:space="0" w:color="auto"/>
              <w:left w:val="nil"/>
              <w:bottom w:val="single" w:sz="8" w:space="0" w:color="auto"/>
              <w:right w:val="single" w:sz="8" w:space="0" w:color="auto"/>
            </w:tcBorders>
            <w:vAlign w:val="center"/>
          </w:tcPr>
          <w:p w14:paraId="483CACDC" w14:textId="29BF6FDE" w:rsidR="00A81A60" w:rsidRPr="00B329CB" w:rsidRDefault="00AC5450" w:rsidP="00AC5450">
            <w:pPr>
              <w:tabs>
                <w:tab w:val="left" w:pos="301"/>
              </w:tabs>
              <w:spacing w:before="20" w:after="20"/>
              <w:ind w:right="-392"/>
              <w:jc w:val="left"/>
              <w:rPr>
                <w:b/>
                <w:bCs/>
                <w:color w:val="000000"/>
                <w:kern w:val="22"/>
                <w:sz w:val="20"/>
                <w:szCs w:val="20"/>
              </w:rPr>
            </w:pPr>
            <w:r w:rsidRPr="006F1504">
              <w:rPr>
                <w:b/>
                <w:bCs/>
                <w:color w:val="000000"/>
                <w:kern w:val="22"/>
                <w:sz w:val="20"/>
                <w:szCs w:val="20"/>
                <w:lang w:eastAsia="en-CA"/>
              </w:rPr>
              <w:tab/>
            </w:r>
            <w:r w:rsidR="00A81A60" w:rsidRPr="00B329CB">
              <w:rPr>
                <w:b/>
                <w:bCs/>
                <w:color w:val="000000"/>
                <w:sz w:val="20"/>
                <w:szCs w:val="20"/>
              </w:rPr>
              <w:t>Расходы на поддержку программ (13%)</w:t>
            </w:r>
          </w:p>
        </w:tc>
        <w:tc>
          <w:tcPr>
            <w:tcW w:w="708" w:type="dxa"/>
            <w:tcBorders>
              <w:top w:val="single" w:sz="8" w:space="0" w:color="auto"/>
              <w:left w:val="nil"/>
              <w:bottom w:val="single" w:sz="8" w:space="0" w:color="auto"/>
              <w:right w:val="single" w:sz="8" w:space="0" w:color="auto"/>
            </w:tcBorders>
            <w:vAlign w:val="center"/>
          </w:tcPr>
          <w:p w14:paraId="5AC03EA0" w14:textId="40AEA698" w:rsidR="00A81A60" w:rsidRPr="00B329CB" w:rsidRDefault="00A81A60" w:rsidP="004F02A2">
            <w:pPr>
              <w:spacing w:before="20" w:after="20"/>
              <w:jc w:val="center"/>
              <w:rPr>
                <w:b/>
                <w:bCs/>
                <w:i/>
                <w:color w:val="000000"/>
                <w:kern w:val="22"/>
                <w:sz w:val="20"/>
                <w:szCs w:val="20"/>
                <w:lang w:eastAsia="en-CA"/>
              </w:rPr>
            </w:pPr>
          </w:p>
        </w:tc>
        <w:tc>
          <w:tcPr>
            <w:tcW w:w="709" w:type="dxa"/>
            <w:tcBorders>
              <w:top w:val="single" w:sz="8" w:space="0" w:color="auto"/>
              <w:left w:val="nil"/>
              <w:bottom w:val="single" w:sz="8" w:space="0" w:color="auto"/>
              <w:right w:val="single" w:sz="8" w:space="0" w:color="auto"/>
            </w:tcBorders>
            <w:vAlign w:val="center"/>
          </w:tcPr>
          <w:p w14:paraId="1C2F5DA3" w14:textId="0739E552" w:rsidR="00A81A60" w:rsidRPr="00B329CB" w:rsidRDefault="00A81A60" w:rsidP="004F02A2">
            <w:pPr>
              <w:spacing w:before="20" w:after="20"/>
              <w:jc w:val="center"/>
              <w:rPr>
                <w:b/>
                <w:bCs/>
                <w:i/>
                <w:color w:val="000000"/>
                <w:kern w:val="22"/>
                <w:sz w:val="20"/>
                <w:szCs w:val="20"/>
                <w:lang w:eastAsia="en-CA"/>
              </w:rPr>
            </w:pPr>
          </w:p>
        </w:tc>
        <w:tc>
          <w:tcPr>
            <w:tcW w:w="820" w:type="dxa"/>
            <w:tcBorders>
              <w:top w:val="single" w:sz="8" w:space="0" w:color="auto"/>
              <w:left w:val="single" w:sz="8" w:space="0" w:color="auto"/>
              <w:bottom w:val="single" w:sz="8" w:space="0" w:color="auto"/>
              <w:right w:val="single" w:sz="8" w:space="0" w:color="auto"/>
            </w:tcBorders>
            <w:vAlign w:val="center"/>
          </w:tcPr>
          <w:p w14:paraId="60280410" w14:textId="531F34EF" w:rsidR="00A81A60" w:rsidRPr="00B329CB" w:rsidRDefault="00A81A60" w:rsidP="004F02A2">
            <w:pPr>
              <w:spacing w:before="20" w:after="20"/>
              <w:jc w:val="center"/>
              <w:rPr>
                <w:b/>
                <w:bCs/>
                <w:color w:val="000000"/>
                <w:kern w:val="22"/>
                <w:sz w:val="20"/>
                <w:szCs w:val="20"/>
              </w:rPr>
            </w:pPr>
            <w:r w:rsidRPr="00B329CB">
              <w:rPr>
                <w:b/>
                <w:bCs/>
                <w:color w:val="000000"/>
                <w:sz w:val="20"/>
                <w:szCs w:val="20"/>
              </w:rPr>
              <w:t>113</w:t>
            </w:r>
          </w:p>
        </w:tc>
      </w:tr>
      <w:tr w:rsidR="00A81A60" w:rsidRPr="00F104B3" w14:paraId="479829D8" w14:textId="77777777" w:rsidTr="00F104B3">
        <w:trPr>
          <w:cantSplit/>
          <w:jc w:val="center"/>
        </w:trPr>
        <w:tc>
          <w:tcPr>
            <w:tcW w:w="2003" w:type="dxa"/>
            <w:vMerge/>
            <w:tcBorders>
              <w:left w:val="single" w:sz="8" w:space="0" w:color="auto"/>
              <w:bottom w:val="single" w:sz="8" w:space="0" w:color="auto"/>
              <w:right w:val="single" w:sz="8" w:space="0" w:color="auto"/>
            </w:tcBorders>
            <w:noWrap/>
            <w:vAlign w:val="center"/>
          </w:tcPr>
          <w:p w14:paraId="57585B81" w14:textId="77777777" w:rsidR="00A81A60" w:rsidRPr="00F104B3" w:rsidRDefault="00A81A60" w:rsidP="004F02A2">
            <w:pPr>
              <w:spacing w:before="20" w:after="20"/>
              <w:jc w:val="left"/>
              <w:rPr>
                <w:b/>
                <w:bCs/>
                <w:color w:val="000000"/>
                <w:kern w:val="22"/>
                <w:sz w:val="20"/>
                <w:szCs w:val="20"/>
                <w:lang w:eastAsia="en-CA"/>
              </w:rPr>
            </w:pPr>
          </w:p>
        </w:tc>
        <w:tc>
          <w:tcPr>
            <w:tcW w:w="4114" w:type="dxa"/>
            <w:tcBorders>
              <w:top w:val="single" w:sz="8" w:space="0" w:color="auto"/>
              <w:left w:val="nil"/>
              <w:bottom w:val="single" w:sz="8" w:space="0" w:color="auto"/>
              <w:right w:val="single" w:sz="8" w:space="0" w:color="auto"/>
            </w:tcBorders>
            <w:vAlign w:val="center"/>
          </w:tcPr>
          <w:p w14:paraId="73BB50F5" w14:textId="3ABDDFAF" w:rsidR="00A81A60" w:rsidRPr="00F104B3" w:rsidRDefault="00AC5450" w:rsidP="00AC5450">
            <w:pPr>
              <w:tabs>
                <w:tab w:val="left" w:pos="286"/>
              </w:tabs>
              <w:spacing w:before="20" w:after="20"/>
              <w:ind w:right="-392"/>
              <w:jc w:val="left"/>
              <w:rPr>
                <w:b/>
                <w:bCs/>
                <w:color w:val="000000"/>
                <w:kern w:val="22"/>
                <w:sz w:val="20"/>
                <w:szCs w:val="20"/>
              </w:rPr>
            </w:pPr>
            <w:r w:rsidRPr="006F1504">
              <w:rPr>
                <w:b/>
                <w:bCs/>
                <w:color w:val="000000"/>
                <w:kern w:val="22"/>
                <w:sz w:val="20"/>
                <w:szCs w:val="20"/>
                <w:lang w:eastAsia="en-CA"/>
              </w:rPr>
              <w:tab/>
            </w:r>
            <w:r w:rsidR="00A81A60" w:rsidRPr="00F104B3">
              <w:rPr>
                <w:b/>
                <w:color w:val="000000"/>
                <w:sz w:val="20"/>
                <w:szCs w:val="20"/>
              </w:rPr>
              <w:t>Итого</w:t>
            </w:r>
          </w:p>
        </w:tc>
        <w:tc>
          <w:tcPr>
            <w:tcW w:w="708" w:type="dxa"/>
            <w:tcBorders>
              <w:top w:val="single" w:sz="8" w:space="0" w:color="auto"/>
              <w:left w:val="nil"/>
              <w:bottom w:val="single" w:sz="8" w:space="0" w:color="auto"/>
              <w:right w:val="single" w:sz="8" w:space="0" w:color="auto"/>
            </w:tcBorders>
            <w:vAlign w:val="center"/>
          </w:tcPr>
          <w:p w14:paraId="741DB2D3" w14:textId="4DAEE488" w:rsidR="00A81A60" w:rsidRPr="00F104B3" w:rsidRDefault="00A81A60" w:rsidP="004F02A2">
            <w:pPr>
              <w:spacing w:before="20" w:after="20"/>
              <w:jc w:val="center"/>
              <w:rPr>
                <w:b/>
                <w:i/>
                <w:color w:val="000000"/>
                <w:kern w:val="22"/>
                <w:sz w:val="20"/>
                <w:szCs w:val="20"/>
                <w:lang w:eastAsia="en-CA"/>
              </w:rPr>
            </w:pPr>
          </w:p>
        </w:tc>
        <w:tc>
          <w:tcPr>
            <w:tcW w:w="709" w:type="dxa"/>
            <w:tcBorders>
              <w:top w:val="single" w:sz="8" w:space="0" w:color="auto"/>
              <w:left w:val="nil"/>
              <w:bottom w:val="single" w:sz="8" w:space="0" w:color="auto"/>
              <w:right w:val="single" w:sz="8" w:space="0" w:color="auto"/>
            </w:tcBorders>
            <w:vAlign w:val="center"/>
          </w:tcPr>
          <w:p w14:paraId="3262312E" w14:textId="49822520" w:rsidR="00A81A60" w:rsidRPr="00F104B3" w:rsidRDefault="00A81A60" w:rsidP="004F02A2">
            <w:pPr>
              <w:spacing w:before="20" w:after="20"/>
              <w:jc w:val="center"/>
              <w:rPr>
                <w:b/>
                <w:i/>
                <w:color w:val="000000"/>
                <w:kern w:val="22"/>
                <w:sz w:val="20"/>
                <w:szCs w:val="20"/>
                <w:lang w:eastAsia="en-CA"/>
              </w:rPr>
            </w:pPr>
          </w:p>
        </w:tc>
        <w:tc>
          <w:tcPr>
            <w:tcW w:w="820" w:type="dxa"/>
            <w:tcBorders>
              <w:top w:val="single" w:sz="8" w:space="0" w:color="auto"/>
              <w:left w:val="single" w:sz="8" w:space="0" w:color="auto"/>
              <w:bottom w:val="single" w:sz="8" w:space="0" w:color="auto"/>
              <w:right w:val="single" w:sz="8" w:space="0" w:color="auto"/>
            </w:tcBorders>
            <w:vAlign w:val="center"/>
          </w:tcPr>
          <w:p w14:paraId="7C05742B" w14:textId="20D70FCC" w:rsidR="00A81A60" w:rsidRPr="00F104B3" w:rsidRDefault="00A81A60" w:rsidP="004F02A2">
            <w:pPr>
              <w:spacing w:before="20" w:after="20"/>
              <w:jc w:val="center"/>
              <w:rPr>
                <w:b/>
                <w:color w:val="000000"/>
                <w:kern w:val="22"/>
                <w:sz w:val="20"/>
                <w:szCs w:val="20"/>
              </w:rPr>
            </w:pPr>
            <w:r w:rsidRPr="00F104B3">
              <w:rPr>
                <w:b/>
                <w:color w:val="000000"/>
                <w:sz w:val="20"/>
                <w:szCs w:val="20"/>
              </w:rPr>
              <w:t>983</w:t>
            </w:r>
          </w:p>
        </w:tc>
      </w:tr>
    </w:tbl>
    <w:p w14:paraId="78A31BE1" w14:textId="0AB8BDEA" w:rsidR="00CF5BFA" w:rsidRDefault="00CF5BFA">
      <w:pPr>
        <w:spacing w:after="160" w:line="259" w:lineRule="auto"/>
        <w:jc w:val="left"/>
        <w:rPr>
          <w:lang w:val="en-CA"/>
        </w:rPr>
      </w:pPr>
    </w:p>
    <w:p w14:paraId="008C702B" w14:textId="0D14FE01" w:rsidR="004258DF" w:rsidRDefault="0075606B" w:rsidP="004258DF">
      <w:pPr>
        <w:suppressLineNumbers/>
        <w:suppressAutoHyphens/>
        <w:kinsoku w:val="0"/>
        <w:overflowPunct w:val="0"/>
        <w:autoSpaceDE w:val="0"/>
        <w:autoSpaceDN w:val="0"/>
        <w:adjustRightInd w:val="0"/>
        <w:snapToGrid w:val="0"/>
        <w:spacing w:before="120" w:after="120"/>
        <w:ind w:left="720"/>
        <w:jc w:val="center"/>
      </w:pPr>
      <w:r>
        <w:rPr>
          <w:snapToGrid w:val="0"/>
          <w:color w:val="000000" w:themeColor="text1"/>
        </w:rPr>
        <w:t>______</w:t>
      </w:r>
    </w:p>
    <w:p w14:paraId="11F8E4AC" w14:textId="7B48F90B" w:rsidR="002B559C" w:rsidRPr="004701EE" w:rsidRDefault="002B559C" w:rsidP="003E78D5">
      <w:pPr>
        <w:pStyle w:val="Para1"/>
        <w:numPr>
          <w:ilvl w:val="0"/>
          <w:numId w:val="0"/>
        </w:numPr>
      </w:pPr>
    </w:p>
    <w:sectPr w:rsidR="002B559C" w:rsidRPr="004701EE" w:rsidSect="00DF4989">
      <w:headerReference w:type="even" r:id="rId16"/>
      <w:headerReference w:type="default" r:id="rId17"/>
      <w:footerReference w:type="even" r:id="rId18"/>
      <w:footerReference w:type="default" r:id="rId19"/>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9566B3" w14:textId="77777777" w:rsidR="00DF4989" w:rsidRDefault="00DF4989" w:rsidP="00A96B21">
      <w:r>
        <w:separator/>
      </w:r>
    </w:p>
  </w:endnote>
  <w:endnote w:type="continuationSeparator" w:id="0">
    <w:p w14:paraId="7C4D98BE" w14:textId="77777777" w:rsidR="00DF4989" w:rsidRDefault="00DF4989" w:rsidP="00A96B21">
      <w:r>
        <w:continuationSeparator/>
      </w:r>
    </w:p>
  </w:endnote>
  <w:endnote w:type="continuationNotice" w:id="1">
    <w:p w14:paraId="69246821" w14:textId="77777777" w:rsidR="00DF4989" w:rsidRDefault="00DF4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5435C70B" w14:textId="7B92A151" w:rsidR="00E6672F" w:rsidRDefault="006F5E88">
            <w:pPr>
              <w:pStyle w:val="Pieddepage"/>
            </w:pPr>
            <w:r w:rsidRPr="000B30BA">
              <w:rPr>
                <w:sz w:val="20"/>
                <w:szCs w:val="22"/>
              </w:rPr>
              <w:fldChar w:fldCharType="begin"/>
            </w:r>
            <w:r w:rsidRPr="000B30BA">
              <w:rPr>
                <w:sz w:val="20"/>
                <w:szCs w:val="22"/>
              </w:rPr>
              <w:instrText>PAGE   \* MERGEFORMAT</w:instrText>
            </w:r>
            <w:r w:rsidRPr="000B30BA">
              <w:rPr>
                <w:sz w:val="20"/>
                <w:szCs w:val="22"/>
              </w:rPr>
              <w:fldChar w:fldCharType="separate"/>
            </w:r>
            <w:r w:rsidRPr="000B30BA">
              <w:rPr>
                <w:sz w:val="20"/>
                <w:szCs w:val="22"/>
                <w:lang w:val="fr-FR"/>
              </w:rPr>
              <w:t>1</w:t>
            </w:r>
            <w:r w:rsidRPr="000B30BA">
              <w:rPr>
                <w:sz w:val="20"/>
                <w:szCs w:val="22"/>
              </w:rPr>
              <w:fldChar w:fldCharType="end"/>
            </w:r>
            <w:r w:rsidR="00E6672F">
              <w:rPr>
                <w:sz w:val="20"/>
              </w:rPr>
              <w:t>/</w:t>
            </w:r>
            <w:r w:rsidR="00686E45">
              <w:rPr>
                <w:sz w:val="20"/>
                <w:lang w:val="fr-FR"/>
              </w:rPr>
              <w:t>6</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63830D7D" w14:textId="74A03ADB" w:rsidR="00E6672F" w:rsidRDefault="00686E45" w:rsidP="002B559C">
            <w:pPr>
              <w:pStyle w:val="Pieddepage"/>
              <w:jc w:val="right"/>
            </w:pPr>
            <w:r w:rsidRPr="00686E45">
              <w:rPr>
                <w:sz w:val="20"/>
                <w:szCs w:val="22"/>
              </w:rPr>
              <w:fldChar w:fldCharType="begin"/>
            </w:r>
            <w:r w:rsidRPr="00686E45">
              <w:rPr>
                <w:sz w:val="20"/>
                <w:szCs w:val="22"/>
              </w:rPr>
              <w:instrText>PAGE   \* MERGEFORMAT</w:instrText>
            </w:r>
            <w:r w:rsidRPr="00686E45">
              <w:rPr>
                <w:sz w:val="20"/>
                <w:szCs w:val="22"/>
              </w:rPr>
              <w:fldChar w:fldCharType="separate"/>
            </w:r>
            <w:r w:rsidRPr="00686E45">
              <w:rPr>
                <w:sz w:val="20"/>
                <w:szCs w:val="22"/>
                <w:lang w:val="fr-FR"/>
              </w:rPr>
              <w:t>1</w:t>
            </w:r>
            <w:r w:rsidRPr="00686E45">
              <w:rPr>
                <w:sz w:val="20"/>
                <w:szCs w:val="22"/>
              </w:rPr>
              <w:fldChar w:fldCharType="end"/>
            </w:r>
            <w:r w:rsidR="00E6672F">
              <w:rPr>
                <w:sz w:val="20"/>
              </w:rPr>
              <w:t>/</w:t>
            </w:r>
            <w:r>
              <w:rPr>
                <w:sz w:val="20"/>
                <w:lang w:val="fr-FR"/>
              </w:rPr>
              <w:t>6</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57E2E6" w14:textId="77777777" w:rsidR="00DF4989" w:rsidRDefault="00DF4989" w:rsidP="00A96B21">
      <w:r>
        <w:separator/>
      </w:r>
    </w:p>
  </w:footnote>
  <w:footnote w:type="continuationSeparator" w:id="0">
    <w:p w14:paraId="75010743" w14:textId="77777777" w:rsidR="00DF4989" w:rsidRDefault="00DF4989" w:rsidP="00A96B21">
      <w:r>
        <w:continuationSeparator/>
      </w:r>
    </w:p>
  </w:footnote>
  <w:footnote w:type="continuationNotice" w:id="1">
    <w:p w14:paraId="3346F1AA" w14:textId="77777777" w:rsidR="00DF4989" w:rsidRDefault="00DF4989"/>
  </w:footnote>
  <w:footnote w:id="2">
    <w:p w14:paraId="5BE2E003" w14:textId="77777777" w:rsidR="0067277C" w:rsidRPr="00A96B21" w:rsidRDefault="0067277C" w:rsidP="0067277C">
      <w:pPr>
        <w:pStyle w:val="Footnote"/>
      </w:pPr>
      <w:r>
        <w:rPr>
          <w:rStyle w:val="Appelnotedebasdep"/>
        </w:rPr>
        <w:t>*</w:t>
      </w:r>
      <w:r>
        <w:t xml:space="preserve"> CBD/SBI/4/1.</w:t>
      </w:r>
    </w:p>
  </w:footnote>
  <w:footnote w:id="3">
    <w:p w14:paraId="0903D9CB" w14:textId="38A760F6" w:rsidR="002A3332" w:rsidRPr="001107BA" w:rsidRDefault="002A3332">
      <w:pPr>
        <w:pStyle w:val="Notedebasdepage"/>
        <w:rPr>
          <w:sz w:val="18"/>
          <w:szCs w:val="18"/>
        </w:rPr>
      </w:pPr>
      <w:r w:rsidRPr="001107BA">
        <w:rPr>
          <w:rStyle w:val="Appelnotedebasdep"/>
          <w:sz w:val="18"/>
          <w:szCs w:val="18"/>
        </w:rPr>
        <w:footnoteRef/>
      </w:r>
      <w:r w:rsidRPr="001107BA">
        <w:rPr>
          <w:sz w:val="18"/>
          <w:szCs w:val="18"/>
        </w:rPr>
        <w:t xml:space="preserve"> Вспомогательный орган по научным, техническим и технологическим консультациям на своем 25-м совещании рекомендовал включить в число элементов глобального обзора глобальный доклад, преимущественно посвященный оценке прогресса в осуществлении Рамочной программы (рекомендация 25/2). В этой рекомендации Вспомогательный орган определил ключевые элементы структуры доклада, источники информации и другие важные параметры, которыми следует руководствоваться при его подготовке. В этой рекомендации Вспомогательный орган по осуществлению представил элементы проекта решения для рассмотрения Конференцией Сторон на ее 16-м совещании.</w:t>
      </w:r>
    </w:p>
  </w:footnote>
  <w:footnote w:id="4">
    <w:p w14:paraId="745C4E2E" w14:textId="42063B22" w:rsidR="00CA5D39" w:rsidRPr="001107BA" w:rsidRDefault="00CA5D39">
      <w:pPr>
        <w:pStyle w:val="Notedebasdepage"/>
        <w:rPr>
          <w:sz w:val="18"/>
          <w:szCs w:val="18"/>
        </w:rPr>
      </w:pPr>
      <w:r w:rsidRPr="001107BA">
        <w:rPr>
          <w:rStyle w:val="Appelnotedebasdep"/>
          <w:sz w:val="18"/>
          <w:szCs w:val="18"/>
        </w:rPr>
        <w:footnoteRef/>
      </w:r>
      <w:r w:rsidRPr="001107BA">
        <w:rPr>
          <w:sz w:val="18"/>
          <w:szCs w:val="18"/>
        </w:rPr>
        <w:t xml:space="preserve"> Вспомогательный орган по научным, техническим и технологическим консультациям на своем 25-м совещании рекомендовал, чтобы подготовка глобального доклада осуществлялась при поддержке </w:t>
      </w:r>
      <w:r w:rsidR="00E52CBF">
        <w:rPr>
          <w:sz w:val="18"/>
          <w:szCs w:val="18"/>
        </w:rPr>
        <w:t>С</w:t>
      </w:r>
      <w:r w:rsidRPr="001107BA">
        <w:rPr>
          <w:sz w:val="18"/>
          <w:szCs w:val="18"/>
        </w:rPr>
        <w:t>пециальной научно-технической консультативной группы, которая будет руководить процессом сбора, анализа и систематизации научных, технических и технологических материалов для доклада. Вспомогательный орган включил проект круга ведения консультативной группы в свою рекомендацию 25/2.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3" w:name="_Hlk137802784"/>
  <w:bookmarkStart w:id="4" w:name="_Hlk137802785"/>
  <w:p w14:paraId="5A1125A1" w14:textId="01B76224" w:rsidR="00E6672F" w:rsidRPr="002B559C" w:rsidRDefault="00242580" w:rsidP="002B559C">
    <w:pPr>
      <w:pStyle w:val="En-tte"/>
      <w:pBdr>
        <w:bottom w:val="single" w:sz="4" w:space="1" w:color="auto"/>
      </w:pBdr>
      <w:spacing w:after="240"/>
      <w:rPr>
        <w:sz w:val="20"/>
        <w:szCs w:val="20"/>
      </w:rPr>
    </w:pPr>
    <w:sdt>
      <w:sdtPr>
        <w:rPr>
          <w:caps w:val="0"/>
          <w:sz w:val="20"/>
          <w:szCs w:val="20"/>
        </w:rPr>
        <w:alias w:val="Предмет"/>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957257">
          <w:rPr>
            <w:caps w:val="0"/>
            <w:sz w:val="20"/>
            <w:szCs w:val="20"/>
          </w:rPr>
          <w:t>CBD/SBI/4/4/Add.2/Rev.1</w:t>
        </w:r>
      </w:sdtContent>
    </w:sdt>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aps w:val="0"/>
        <w:sz w:val="20"/>
        <w:szCs w:val="20"/>
      </w:rPr>
      <w:alias w:val="CBD/NP/MOP/3/6."/>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7400126B" w14:textId="19F340DB" w:rsidR="00E6672F" w:rsidRPr="00957257" w:rsidRDefault="00957257" w:rsidP="002B559C">
        <w:pPr>
          <w:pStyle w:val="En-tte"/>
          <w:pBdr>
            <w:bottom w:val="single" w:sz="4" w:space="1" w:color="auto"/>
          </w:pBdr>
          <w:spacing w:after="240"/>
          <w:jc w:val="right"/>
          <w:rPr>
            <w:caps w:val="0"/>
            <w:sz w:val="20"/>
            <w:szCs w:val="20"/>
            <w:lang w:val="fr-FR"/>
          </w:rPr>
        </w:pPr>
        <w:r w:rsidRPr="00957257">
          <w:rPr>
            <w:caps w:val="0"/>
            <w:sz w:val="20"/>
            <w:szCs w:val="20"/>
          </w:rPr>
          <w:t>CBD/SBI/4/4/A</w:t>
        </w:r>
        <w:r>
          <w:rPr>
            <w:caps w:val="0"/>
            <w:sz w:val="20"/>
            <w:szCs w:val="20"/>
            <w:lang w:val="fr-FR"/>
          </w:rPr>
          <w:t>dd</w:t>
        </w:r>
        <w:r w:rsidRPr="00957257">
          <w:rPr>
            <w:caps w:val="0"/>
            <w:sz w:val="20"/>
            <w:szCs w:val="20"/>
          </w:rPr>
          <w:t>.2/Rev.1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760FE"/>
    <w:multiLevelType w:val="hybridMultilevel"/>
    <w:tmpl w:val="AE42B670"/>
    <w:lvl w:ilvl="0" w:tplc="B07642CA">
      <w:start w:val="1"/>
      <w:numFmt w:val="lowerLetter"/>
      <w:lvlText w:val="(%1)"/>
      <w:lvlJc w:val="left"/>
      <w:pPr>
        <w:tabs>
          <w:tab w:val="num" w:pos="2160"/>
        </w:tabs>
        <w:ind w:left="2160" w:hanging="360"/>
      </w:pPr>
      <w:rPr>
        <w:rFonts w:hint="default"/>
        <w:b w:val="0"/>
      </w:rPr>
    </w:lvl>
    <w:lvl w:ilvl="1" w:tplc="DF4263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33F3E"/>
    <w:multiLevelType w:val="hybridMultilevel"/>
    <w:tmpl w:val="058888F8"/>
    <w:lvl w:ilvl="0" w:tplc="1C96EA68">
      <w:start w:val="1"/>
      <w:numFmt w:val="decimal"/>
      <w:lvlText w:val="%1."/>
      <w:lvlJc w:val="left"/>
      <w:pPr>
        <w:tabs>
          <w:tab w:val="num" w:pos="4500"/>
        </w:tabs>
        <w:ind w:left="4500" w:hanging="720"/>
      </w:pPr>
    </w:lvl>
    <w:lvl w:ilvl="1" w:tplc="069291EE">
      <w:start w:val="1"/>
      <w:numFmt w:val="lowerLetter"/>
      <w:lvlText w:val="(%2)"/>
      <w:lvlJc w:val="left"/>
      <w:pPr>
        <w:ind w:left="4860" w:hanging="360"/>
      </w:pPr>
      <w:rPr>
        <w:rFonts w:asciiTheme="majorBidi" w:eastAsia="Times New Roman" w:hAnsiTheme="majorBidi" w:cstheme="majorBidi" w:hint="default"/>
      </w:rPr>
    </w:lvl>
    <w:lvl w:ilvl="2" w:tplc="0409001B">
      <w:start w:val="1"/>
      <w:numFmt w:val="lowerRoman"/>
      <w:lvlText w:val="%3."/>
      <w:lvlJc w:val="right"/>
      <w:pPr>
        <w:tabs>
          <w:tab w:val="num" w:pos="5580"/>
        </w:tabs>
        <w:ind w:left="5580" w:hanging="180"/>
      </w:pPr>
    </w:lvl>
    <w:lvl w:ilvl="3" w:tplc="0409000F">
      <w:start w:val="1"/>
      <w:numFmt w:val="decimal"/>
      <w:lvlText w:val="%4."/>
      <w:lvlJc w:val="left"/>
      <w:pPr>
        <w:tabs>
          <w:tab w:val="num" w:pos="6300"/>
        </w:tabs>
        <w:ind w:left="6300" w:hanging="360"/>
      </w:pPr>
    </w:lvl>
    <w:lvl w:ilvl="4" w:tplc="04090019">
      <w:start w:val="1"/>
      <w:numFmt w:val="lowerLetter"/>
      <w:lvlText w:val="%5."/>
      <w:lvlJc w:val="left"/>
      <w:pPr>
        <w:tabs>
          <w:tab w:val="num" w:pos="7020"/>
        </w:tabs>
        <w:ind w:left="7020" w:hanging="360"/>
      </w:pPr>
    </w:lvl>
    <w:lvl w:ilvl="5" w:tplc="0409001B">
      <w:start w:val="1"/>
      <w:numFmt w:val="lowerRoman"/>
      <w:lvlText w:val="%6."/>
      <w:lvlJc w:val="right"/>
      <w:pPr>
        <w:tabs>
          <w:tab w:val="num" w:pos="7740"/>
        </w:tabs>
        <w:ind w:left="7740" w:hanging="180"/>
      </w:pPr>
    </w:lvl>
    <w:lvl w:ilvl="6" w:tplc="0409000F">
      <w:start w:val="1"/>
      <w:numFmt w:val="decimal"/>
      <w:lvlText w:val="%7."/>
      <w:lvlJc w:val="left"/>
      <w:pPr>
        <w:tabs>
          <w:tab w:val="num" w:pos="8460"/>
        </w:tabs>
        <w:ind w:left="8460" w:hanging="360"/>
      </w:pPr>
    </w:lvl>
    <w:lvl w:ilvl="7" w:tplc="04090019">
      <w:start w:val="1"/>
      <w:numFmt w:val="lowerLetter"/>
      <w:lvlText w:val="%8."/>
      <w:lvlJc w:val="left"/>
      <w:pPr>
        <w:tabs>
          <w:tab w:val="num" w:pos="9180"/>
        </w:tabs>
        <w:ind w:left="9180" w:hanging="360"/>
      </w:pPr>
    </w:lvl>
    <w:lvl w:ilvl="8" w:tplc="0409001B">
      <w:start w:val="1"/>
      <w:numFmt w:val="lowerRoman"/>
      <w:lvlText w:val="%9."/>
      <w:lvlJc w:val="right"/>
      <w:pPr>
        <w:tabs>
          <w:tab w:val="num" w:pos="9900"/>
        </w:tabs>
        <w:ind w:left="9900" w:hanging="180"/>
      </w:pPr>
    </w:lvl>
  </w:abstractNum>
  <w:abstractNum w:abstractNumId="2" w15:restartNumberingAfterBreak="0">
    <w:nsid w:val="055B1AE3"/>
    <w:multiLevelType w:val="hybridMultilevel"/>
    <w:tmpl w:val="7C3ECF5A"/>
    <w:lvl w:ilvl="0" w:tplc="CFB62B08">
      <w:start w:val="1"/>
      <w:numFmt w:val="decimal"/>
      <w:lvlText w:val="%1."/>
      <w:lvlJc w:val="left"/>
      <w:pPr>
        <w:tabs>
          <w:tab w:val="num" w:pos="1080"/>
        </w:tabs>
        <w:ind w:left="1080" w:hanging="360"/>
      </w:pPr>
      <w:rPr>
        <w:rFonts w:hint="default"/>
        <w:i w:val="0"/>
        <w:iCs/>
      </w:rPr>
    </w:lvl>
    <w:lvl w:ilvl="1" w:tplc="CAB40D4C">
      <w:start w:val="1"/>
      <w:numFmt w:val="lowerLetter"/>
      <w:lvlText w:val="(%2)"/>
      <w:lvlJc w:val="left"/>
      <w:pPr>
        <w:tabs>
          <w:tab w:val="num" w:pos="2160"/>
        </w:tabs>
        <w:ind w:left="2160" w:hanging="360"/>
      </w:pPr>
      <w:rPr>
        <w:rFonts w:hint="default"/>
        <w:b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768325B"/>
    <w:multiLevelType w:val="hybridMultilevel"/>
    <w:tmpl w:val="F138A28A"/>
    <w:lvl w:ilvl="0" w:tplc="FF2CD80A">
      <w:start w:val="1"/>
      <w:numFmt w:val="lowerLetter"/>
      <w:lvlText w:val="(%1)"/>
      <w:lvlJc w:val="left"/>
      <w:pPr>
        <w:tabs>
          <w:tab w:val="num" w:pos="2790"/>
        </w:tabs>
        <w:ind w:left="279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6"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7" w15:restartNumberingAfterBreak="0">
    <w:nsid w:val="262A4857"/>
    <w:multiLevelType w:val="hybridMultilevel"/>
    <w:tmpl w:val="5030DB70"/>
    <w:lvl w:ilvl="0" w:tplc="4B50C0F0">
      <w:start w:val="17"/>
      <w:numFmt w:val="bullet"/>
      <w:lvlText w:val="-"/>
      <w:lvlJc w:val="left"/>
      <w:pPr>
        <w:ind w:left="720" w:hanging="360"/>
      </w:pPr>
      <w:rPr>
        <w:rFonts w:ascii="Times New Roman" w:eastAsia="DengXian" w:hAnsi="Times New Roman"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9"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2B66280F"/>
    <w:multiLevelType w:val="hybridMultilevel"/>
    <w:tmpl w:val="0E82DDD8"/>
    <w:lvl w:ilvl="0" w:tplc="CAE2D4B4">
      <w:start w:val="1"/>
      <w:numFmt w:val="lowerLetter"/>
      <w:lvlText w:val="(%1)"/>
      <w:lvlJc w:val="left"/>
      <w:pPr>
        <w:ind w:left="1282" w:hanging="360"/>
      </w:pPr>
      <w:rPr>
        <w:rFonts w:hint="default"/>
      </w:rPr>
    </w:lvl>
    <w:lvl w:ilvl="1" w:tplc="04090019">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1" w15:restartNumberingAfterBreak="0">
    <w:nsid w:val="31B81F11"/>
    <w:multiLevelType w:val="hybridMultilevel"/>
    <w:tmpl w:val="33E68746"/>
    <w:lvl w:ilvl="0" w:tplc="A50AF59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63323F"/>
    <w:multiLevelType w:val="hybridMultilevel"/>
    <w:tmpl w:val="B8D8DCB6"/>
    <w:lvl w:ilvl="0" w:tplc="CF823C9C">
      <w:start w:val="2"/>
      <w:numFmt w:val="upperLetter"/>
      <w:lvlText w:val="%1."/>
      <w:lvlJc w:val="left"/>
      <w:pPr>
        <w:ind w:left="947"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918B5"/>
    <w:multiLevelType w:val="hybridMultilevel"/>
    <w:tmpl w:val="84E4AF6E"/>
    <w:lvl w:ilvl="0" w:tplc="CAE2D4B4">
      <w:start w:val="1"/>
      <w:numFmt w:val="lowerLetter"/>
      <w:lvlText w:val="(%1)"/>
      <w:lvlJc w:val="left"/>
      <w:pPr>
        <w:ind w:left="1282" w:hanging="360"/>
      </w:pPr>
      <w:rPr>
        <w:rFonts w:hint="default"/>
      </w:rPr>
    </w:lvl>
    <w:lvl w:ilvl="1" w:tplc="FFFFFFFF" w:tentative="1">
      <w:start w:val="1"/>
      <w:numFmt w:val="lowerLetter"/>
      <w:lvlText w:val="%2."/>
      <w:lvlJc w:val="left"/>
      <w:pPr>
        <w:ind w:left="2002" w:hanging="360"/>
      </w:pPr>
    </w:lvl>
    <w:lvl w:ilvl="2" w:tplc="FFFFFFFF" w:tentative="1">
      <w:start w:val="1"/>
      <w:numFmt w:val="lowerRoman"/>
      <w:lvlText w:val="%3."/>
      <w:lvlJc w:val="right"/>
      <w:pPr>
        <w:ind w:left="2722" w:hanging="180"/>
      </w:pPr>
    </w:lvl>
    <w:lvl w:ilvl="3" w:tplc="FFFFFFFF" w:tentative="1">
      <w:start w:val="1"/>
      <w:numFmt w:val="decimal"/>
      <w:lvlText w:val="%4."/>
      <w:lvlJc w:val="left"/>
      <w:pPr>
        <w:ind w:left="3442" w:hanging="360"/>
      </w:pPr>
    </w:lvl>
    <w:lvl w:ilvl="4" w:tplc="FFFFFFFF" w:tentative="1">
      <w:start w:val="1"/>
      <w:numFmt w:val="lowerLetter"/>
      <w:lvlText w:val="%5."/>
      <w:lvlJc w:val="left"/>
      <w:pPr>
        <w:ind w:left="4162" w:hanging="360"/>
      </w:pPr>
    </w:lvl>
    <w:lvl w:ilvl="5" w:tplc="FFFFFFFF" w:tentative="1">
      <w:start w:val="1"/>
      <w:numFmt w:val="lowerRoman"/>
      <w:lvlText w:val="%6."/>
      <w:lvlJc w:val="right"/>
      <w:pPr>
        <w:ind w:left="4882" w:hanging="180"/>
      </w:pPr>
    </w:lvl>
    <w:lvl w:ilvl="6" w:tplc="FFFFFFFF" w:tentative="1">
      <w:start w:val="1"/>
      <w:numFmt w:val="decimal"/>
      <w:lvlText w:val="%7."/>
      <w:lvlJc w:val="left"/>
      <w:pPr>
        <w:ind w:left="5602" w:hanging="360"/>
      </w:pPr>
    </w:lvl>
    <w:lvl w:ilvl="7" w:tplc="FFFFFFFF" w:tentative="1">
      <w:start w:val="1"/>
      <w:numFmt w:val="lowerLetter"/>
      <w:lvlText w:val="%8."/>
      <w:lvlJc w:val="left"/>
      <w:pPr>
        <w:ind w:left="6322" w:hanging="360"/>
      </w:pPr>
    </w:lvl>
    <w:lvl w:ilvl="8" w:tplc="FFFFFFFF" w:tentative="1">
      <w:start w:val="1"/>
      <w:numFmt w:val="lowerRoman"/>
      <w:lvlText w:val="%9."/>
      <w:lvlJc w:val="right"/>
      <w:pPr>
        <w:ind w:left="7042" w:hanging="180"/>
      </w:pPr>
    </w:lvl>
  </w:abstractNum>
  <w:abstractNum w:abstractNumId="14" w15:restartNumberingAfterBreak="0">
    <w:nsid w:val="3CA410CD"/>
    <w:multiLevelType w:val="hybridMultilevel"/>
    <w:tmpl w:val="883E190E"/>
    <w:lvl w:ilvl="0" w:tplc="6E482212">
      <w:start w:val="1"/>
      <w:numFmt w:val="decimal"/>
      <w:pStyle w:val="CBD-Para"/>
      <w:lvlText w:val="%1."/>
      <w:lvlJc w:val="left"/>
      <w:pPr>
        <w:tabs>
          <w:tab w:val="num" w:pos="1260"/>
        </w:tabs>
        <w:ind w:left="540" w:firstLine="0"/>
      </w:pPr>
      <w:rPr>
        <w:rFonts w:hint="default"/>
        <w:b w:val="0"/>
      </w:rPr>
    </w:lvl>
    <w:lvl w:ilvl="1" w:tplc="DF42636C">
      <w:start w:val="1"/>
      <w:numFmt w:val="lowerLetter"/>
      <w:lvlText w:val="(%2)"/>
      <w:lvlJc w:val="left"/>
      <w:pPr>
        <w:ind w:left="1647" w:hanging="360"/>
      </w:pPr>
      <w:rPr>
        <w:rFonts w:hint="default"/>
      </w:rPr>
    </w:lvl>
    <w:lvl w:ilvl="2" w:tplc="07B06256">
      <w:start w:val="1"/>
      <w:numFmt w:val="lowerLetter"/>
      <w:lvlText w:val="(%3)"/>
      <w:lvlJc w:val="left"/>
      <w:pPr>
        <w:tabs>
          <w:tab w:val="num" w:pos="2547"/>
        </w:tabs>
        <w:ind w:left="2547" w:hanging="360"/>
      </w:pPr>
      <w:rPr>
        <w:rFonts w:hint="default"/>
      </w:rPr>
    </w:lvl>
    <w:lvl w:ilvl="3" w:tplc="7E3C3020">
      <w:start w:val="1"/>
      <w:numFmt w:val="upperLetter"/>
      <w:lvlText w:val="%4."/>
      <w:lvlJc w:val="left"/>
      <w:pPr>
        <w:ind w:left="3267" w:hanging="540"/>
      </w:pPr>
      <w:rPr>
        <w:rFonts w:hint="default"/>
        <w:b/>
        <w:i/>
      </w:r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15:restartNumberingAfterBreak="0">
    <w:nsid w:val="467961CE"/>
    <w:multiLevelType w:val="hybridMultilevel"/>
    <w:tmpl w:val="AFDCF908"/>
    <w:lvl w:ilvl="0" w:tplc="371C7C0E">
      <w:start w:val="1"/>
      <w:numFmt w:val="upperRoman"/>
      <w:pStyle w:val="Titre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9521709"/>
    <w:multiLevelType w:val="hybridMultilevel"/>
    <w:tmpl w:val="FE22EEF0"/>
    <w:lvl w:ilvl="0" w:tplc="FFFFFFFF">
      <w:start w:val="1"/>
      <w:numFmt w:val="decimal"/>
      <w:lvlText w:val="%1."/>
      <w:lvlJc w:val="left"/>
      <w:pPr>
        <w:tabs>
          <w:tab w:val="num" w:pos="360"/>
        </w:tabs>
        <w:ind w:left="360" w:hanging="360"/>
      </w:pPr>
      <w:rPr>
        <w:rFonts w:hint="default"/>
        <w:i w:val="0"/>
        <w:iCs/>
      </w:rPr>
    </w:lvl>
    <w:lvl w:ilvl="1" w:tplc="FFFFFFFF">
      <w:start w:val="1"/>
      <w:numFmt w:val="lowerLetter"/>
      <w:lvlText w:val="(%2)"/>
      <w:lvlJc w:val="left"/>
      <w:pPr>
        <w:tabs>
          <w:tab w:val="num" w:pos="1440"/>
        </w:tabs>
        <w:ind w:left="1440" w:hanging="360"/>
      </w:pPr>
      <w:rPr>
        <w:rFonts w:hint="default"/>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02F6646"/>
    <w:multiLevelType w:val="hybridMultilevel"/>
    <w:tmpl w:val="4E487CE4"/>
    <w:lvl w:ilvl="0" w:tplc="95C04E8A">
      <w:start w:val="1"/>
      <w:numFmt w:val="upperLetter"/>
      <w:lvlText w:val="%1."/>
      <w:lvlJc w:val="left"/>
      <w:pPr>
        <w:ind w:left="1710" w:hanging="360"/>
      </w:pPr>
      <w:rPr>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0" w15:restartNumberingAfterBreak="0">
    <w:nsid w:val="56362CB6"/>
    <w:multiLevelType w:val="hybridMultilevel"/>
    <w:tmpl w:val="F5DA555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568C0C69"/>
    <w:multiLevelType w:val="hybridMultilevel"/>
    <w:tmpl w:val="7F569CA6"/>
    <w:lvl w:ilvl="0" w:tplc="FFFFFFFF">
      <w:start w:val="1"/>
      <w:numFmt w:val="lowerLetter"/>
      <w:lvlText w:val="(%1)"/>
      <w:lvlJc w:val="left"/>
      <w:pPr>
        <w:tabs>
          <w:tab w:val="num" w:pos="2160"/>
        </w:tabs>
        <w:ind w:left="21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6B35038"/>
    <w:multiLevelType w:val="hybridMultilevel"/>
    <w:tmpl w:val="A4EA432C"/>
    <w:lvl w:ilvl="0" w:tplc="CFB62B08">
      <w:start w:val="1"/>
      <w:numFmt w:val="decimal"/>
      <w:lvlText w:val="%1."/>
      <w:lvlJc w:val="left"/>
      <w:pPr>
        <w:tabs>
          <w:tab w:val="num" w:pos="1080"/>
        </w:tabs>
        <w:ind w:left="1080" w:hanging="360"/>
      </w:pPr>
      <w:rPr>
        <w:rFonts w:hint="default"/>
        <w:i w:val="0"/>
        <w:iCs/>
      </w:rPr>
    </w:lvl>
    <w:lvl w:ilvl="1" w:tplc="FF2CD80A">
      <w:start w:val="1"/>
      <w:numFmt w:val="lowerLetter"/>
      <w:lvlText w:val="(%2)"/>
      <w:lvlJc w:val="left"/>
      <w:pPr>
        <w:tabs>
          <w:tab w:val="num" w:pos="2160"/>
        </w:tabs>
        <w:ind w:left="2160" w:hanging="360"/>
      </w:pPr>
      <w:rPr>
        <w:rFonts w:hint="default"/>
        <w:b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99F7710"/>
    <w:multiLevelType w:val="hybridMultilevel"/>
    <w:tmpl w:val="1D280138"/>
    <w:lvl w:ilvl="0" w:tplc="3DF4418A">
      <w:start w:val="1"/>
      <w:numFmt w:val="decimal"/>
      <w:pStyle w:val="Titre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9B430A"/>
    <w:multiLevelType w:val="hybridMultilevel"/>
    <w:tmpl w:val="5106ED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26" w15:restartNumberingAfterBreak="0">
    <w:nsid w:val="6011273C"/>
    <w:multiLevelType w:val="hybridMultilevel"/>
    <w:tmpl w:val="B284EF9C"/>
    <w:lvl w:ilvl="0" w:tplc="FFFFFFFF">
      <w:start w:val="1"/>
      <w:numFmt w:val="lowerLetter"/>
      <w:lvlText w:val="(%1)"/>
      <w:lvlJc w:val="left"/>
      <w:pPr>
        <w:ind w:left="1282" w:hanging="360"/>
      </w:pPr>
      <w:rPr>
        <w:rFonts w:hint="default"/>
      </w:rPr>
    </w:lvl>
    <w:lvl w:ilvl="1" w:tplc="CAE2D4B4">
      <w:start w:val="1"/>
      <w:numFmt w:val="lowerLetter"/>
      <w:lvlText w:val="(%2)"/>
      <w:lvlJc w:val="left"/>
      <w:pPr>
        <w:ind w:left="1282" w:hanging="360"/>
      </w:pPr>
      <w:rPr>
        <w:rFonts w:hint="default"/>
      </w:rPr>
    </w:lvl>
    <w:lvl w:ilvl="2" w:tplc="FFFFFFFF" w:tentative="1">
      <w:start w:val="1"/>
      <w:numFmt w:val="lowerRoman"/>
      <w:lvlText w:val="%3."/>
      <w:lvlJc w:val="right"/>
      <w:pPr>
        <w:ind w:left="2722" w:hanging="180"/>
      </w:pPr>
    </w:lvl>
    <w:lvl w:ilvl="3" w:tplc="FFFFFFFF" w:tentative="1">
      <w:start w:val="1"/>
      <w:numFmt w:val="decimal"/>
      <w:lvlText w:val="%4."/>
      <w:lvlJc w:val="left"/>
      <w:pPr>
        <w:ind w:left="3442" w:hanging="360"/>
      </w:pPr>
    </w:lvl>
    <w:lvl w:ilvl="4" w:tplc="FFFFFFFF" w:tentative="1">
      <w:start w:val="1"/>
      <w:numFmt w:val="lowerLetter"/>
      <w:lvlText w:val="%5."/>
      <w:lvlJc w:val="left"/>
      <w:pPr>
        <w:ind w:left="4162" w:hanging="360"/>
      </w:pPr>
    </w:lvl>
    <w:lvl w:ilvl="5" w:tplc="FFFFFFFF" w:tentative="1">
      <w:start w:val="1"/>
      <w:numFmt w:val="lowerRoman"/>
      <w:lvlText w:val="%6."/>
      <w:lvlJc w:val="right"/>
      <w:pPr>
        <w:ind w:left="4882" w:hanging="180"/>
      </w:pPr>
    </w:lvl>
    <w:lvl w:ilvl="6" w:tplc="FFFFFFFF" w:tentative="1">
      <w:start w:val="1"/>
      <w:numFmt w:val="decimal"/>
      <w:lvlText w:val="%7."/>
      <w:lvlJc w:val="left"/>
      <w:pPr>
        <w:ind w:left="5602" w:hanging="360"/>
      </w:pPr>
    </w:lvl>
    <w:lvl w:ilvl="7" w:tplc="FFFFFFFF" w:tentative="1">
      <w:start w:val="1"/>
      <w:numFmt w:val="lowerLetter"/>
      <w:lvlText w:val="%8."/>
      <w:lvlJc w:val="left"/>
      <w:pPr>
        <w:ind w:left="6322" w:hanging="360"/>
      </w:pPr>
    </w:lvl>
    <w:lvl w:ilvl="8" w:tplc="FFFFFFFF" w:tentative="1">
      <w:start w:val="1"/>
      <w:numFmt w:val="lowerRoman"/>
      <w:lvlText w:val="%9."/>
      <w:lvlJc w:val="right"/>
      <w:pPr>
        <w:ind w:left="7042" w:hanging="180"/>
      </w:pPr>
    </w:lvl>
  </w:abstractNum>
  <w:abstractNum w:abstractNumId="27" w15:restartNumberingAfterBreak="0">
    <w:nsid w:val="60530ADD"/>
    <w:multiLevelType w:val="hybridMultilevel"/>
    <w:tmpl w:val="CFA8D802"/>
    <w:lvl w:ilvl="0" w:tplc="04090017">
      <w:start w:val="1"/>
      <w:numFmt w:val="lowerLetter"/>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28"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9"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0" w15:restartNumberingAfterBreak="0">
    <w:nsid w:val="67FF7523"/>
    <w:multiLevelType w:val="hybridMultilevel"/>
    <w:tmpl w:val="A4EA432C"/>
    <w:lvl w:ilvl="0" w:tplc="FFFFFFFF">
      <w:start w:val="1"/>
      <w:numFmt w:val="decimal"/>
      <w:lvlText w:val="%1."/>
      <w:lvlJc w:val="left"/>
      <w:pPr>
        <w:tabs>
          <w:tab w:val="num" w:pos="1080"/>
        </w:tabs>
        <w:ind w:left="1080" w:hanging="360"/>
      </w:pPr>
      <w:rPr>
        <w:rFonts w:hint="default"/>
        <w:i w:val="0"/>
        <w:iCs/>
      </w:rPr>
    </w:lvl>
    <w:lvl w:ilvl="1" w:tplc="FFFFFFFF">
      <w:start w:val="1"/>
      <w:numFmt w:val="lowerLetter"/>
      <w:lvlText w:val="(%2)"/>
      <w:lvlJc w:val="left"/>
      <w:pPr>
        <w:tabs>
          <w:tab w:val="num" w:pos="2160"/>
        </w:tabs>
        <w:ind w:left="2160" w:hanging="360"/>
      </w:pPr>
      <w:rPr>
        <w:rFonts w:hint="default"/>
        <w:b w:val="0"/>
      </w:r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1" w15:restartNumberingAfterBreak="0">
    <w:nsid w:val="68B70991"/>
    <w:multiLevelType w:val="hybridMultilevel"/>
    <w:tmpl w:val="98F2167C"/>
    <w:lvl w:ilvl="0" w:tplc="D61A3182">
      <w:start w:val="1"/>
      <w:numFmt w:val="decimal"/>
      <w:pStyle w:val="Para1"/>
      <w:lvlText w:val="%1."/>
      <w:lvlJc w:val="left"/>
      <w:pPr>
        <w:ind w:left="927" w:hanging="360"/>
      </w:pPr>
      <w:rPr>
        <w:rFonts w:hint="default"/>
        <w:b w:val="0"/>
        <w:color w:val="auto"/>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387943"/>
    <w:multiLevelType w:val="hybridMultilevel"/>
    <w:tmpl w:val="8B0CD9D2"/>
    <w:lvl w:ilvl="0" w:tplc="8042CC5C">
      <w:start w:val="1"/>
      <w:numFmt w:val="lowerLetter"/>
      <w:lvlText w:val="(%1)"/>
      <w:lvlJc w:val="left"/>
      <w:pPr>
        <w:tabs>
          <w:tab w:val="num" w:pos="1440"/>
        </w:tabs>
        <w:ind w:left="1440" w:hanging="360"/>
      </w:pPr>
      <w:rPr>
        <w:rFonts w:ascii="Times New Roman" w:eastAsia="Malgun Gothic" w:hAnsi="Times New Roman" w:cs="Times New Roman"/>
        <w:b w:val="0"/>
      </w:rPr>
    </w:lvl>
    <w:lvl w:ilvl="1" w:tplc="D56E9082">
      <w:start w:val="1"/>
      <w:numFmt w:val="lowerLetter"/>
      <w:lvlText w:val="(%2)"/>
      <w:lvlJc w:val="left"/>
      <w:pPr>
        <w:ind w:left="720" w:hanging="360"/>
      </w:pPr>
      <w:rPr>
        <w:rFonts w:hint="default"/>
      </w:r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4"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5"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CDC52F8"/>
    <w:multiLevelType w:val="hybridMultilevel"/>
    <w:tmpl w:val="8866473C"/>
    <w:lvl w:ilvl="0" w:tplc="DF42636C">
      <w:start w:val="1"/>
      <w:numFmt w:val="lowerLetter"/>
      <w:lvlText w:val="(%1)"/>
      <w:lvlJc w:val="left"/>
      <w:pPr>
        <w:ind w:left="164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7" w15:restartNumberingAfterBreak="0">
    <w:nsid w:val="7CE41C45"/>
    <w:multiLevelType w:val="hybridMultilevel"/>
    <w:tmpl w:val="6AB8AE26"/>
    <w:lvl w:ilvl="0" w:tplc="D83273F2">
      <w:start w:val="1"/>
      <w:numFmt w:val="upperLetter"/>
      <w:lvlText w:val="%1."/>
      <w:lvlJc w:val="left"/>
      <w:pPr>
        <w:ind w:left="947" w:hanging="3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FDE2B7B"/>
    <w:multiLevelType w:val="hybridMultilevel"/>
    <w:tmpl w:val="82D2474C"/>
    <w:lvl w:ilvl="0" w:tplc="CAB40D4C">
      <w:start w:val="1"/>
      <w:numFmt w:val="lowerLetter"/>
      <w:lvlText w:val="(%1)"/>
      <w:lvlJc w:val="left"/>
      <w:pPr>
        <w:tabs>
          <w:tab w:val="num" w:pos="2160"/>
        </w:tabs>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0582190">
    <w:abstractNumId w:val="15"/>
  </w:num>
  <w:num w:numId="2" w16cid:durableId="669480417">
    <w:abstractNumId w:val="31"/>
  </w:num>
  <w:num w:numId="3" w16cid:durableId="252788323">
    <w:abstractNumId w:val="34"/>
  </w:num>
  <w:num w:numId="4" w16cid:durableId="753429203">
    <w:abstractNumId w:val="5"/>
  </w:num>
  <w:num w:numId="5" w16cid:durableId="1571387592">
    <w:abstractNumId w:val="6"/>
  </w:num>
  <w:num w:numId="6" w16cid:durableId="738753459">
    <w:abstractNumId w:val="6"/>
  </w:num>
  <w:num w:numId="7" w16cid:durableId="1779254660">
    <w:abstractNumId w:val="9"/>
  </w:num>
  <w:num w:numId="8" w16cid:durableId="201216780">
    <w:abstractNumId w:val="23"/>
  </w:num>
  <w:num w:numId="9" w16cid:durableId="773750041">
    <w:abstractNumId w:val="29"/>
  </w:num>
  <w:num w:numId="10" w16cid:durableId="874123381">
    <w:abstractNumId w:val="28"/>
  </w:num>
  <w:num w:numId="11" w16cid:durableId="1082603302">
    <w:abstractNumId w:val="19"/>
  </w:num>
  <w:num w:numId="12" w16cid:durableId="2033452092">
    <w:abstractNumId w:val="8"/>
  </w:num>
  <w:num w:numId="13" w16cid:durableId="1520268028">
    <w:abstractNumId w:val="8"/>
    <w:lvlOverride w:ilvl="0">
      <w:startOverride w:val="1"/>
    </w:lvlOverride>
  </w:num>
  <w:num w:numId="14" w16cid:durableId="1318341657">
    <w:abstractNumId w:val="25"/>
  </w:num>
  <w:num w:numId="15" w16cid:durableId="420565338">
    <w:abstractNumId w:val="25"/>
    <w:lvlOverride w:ilvl="0">
      <w:startOverride w:val="1"/>
    </w:lvlOverride>
  </w:num>
  <w:num w:numId="16" w16cid:durableId="565996049">
    <w:abstractNumId w:val="31"/>
    <w:lvlOverride w:ilvl="0">
      <w:startOverride w:val="1"/>
    </w:lvlOverride>
  </w:num>
  <w:num w:numId="17" w16cid:durableId="1485968578">
    <w:abstractNumId w:val="25"/>
    <w:lvlOverride w:ilvl="0">
      <w:startOverride w:val="1"/>
    </w:lvlOverride>
  </w:num>
  <w:num w:numId="18" w16cid:durableId="13578917">
    <w:abstractNumId w:val="35"/>
  </w:num>
  <w:num w:numId="19" w16cid:durableId="1168207629">
    <w:abstractNumId w:val="31"/>
    <w:lvlOverride w:ilvl="0">
      <w:startOverride w:val="1"/>
    </w:lvlOverride>
  </w:num>
  <w:num w:numId="20" w16cid:durableId="2026713874">
    <w:abstractNumId w:val="31"/>
    <w:lvlOverride w:ilvl="0">
      <w:startOverride w:val="1"/>
    </w:lvlOverride>
  </w:num>
  <w:num w:numId="21" w16cid:durableId="479463884">
    <w:abstractNumId w:val="14"/>
  </w:num>
  <w:num w:numId="22" w16cid:durableId="1346589700">
    <w:abstractNumId w:val="2"/>
  </w:num>
  <w:num w:numId="23" w16cid:durableId="18651684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6600571">
    <w:abstractNumId w:val="24"/>
  </w:num>
  <w:num w:numId="25" w16cid:durableId="1754232233">
    <w:abstractNumId w:val="7"/>
  </w:num>
  <w:num w:numId="26" w16cid:durableId="1070886311">
    <w:abstractNumId w:val="22"/>
  </w:num>
  <w:num w:numId="27" w16cid:durableId="1131052178">
    <w:abstractNumId w:val="16"/>
  </w:num>
  <w:num w:numId="28" w16cid:durableId="141233813">
    <w:abstractNumId w:val="17"/>
  </w:num>
  <w:num w:numId="29" w16cid:durableId="1053194566">
    <w:abstractNumId w:val="18"/>
  </w:num>
  <w:num w:numId="30" w16cid:durableId="516235803">
    <w:abstractNumId w:val="38"/>
  </w:num>
  <w:num w:numId="31" w16cid:durableId="1814323293">
    <w:abstractNumId w:val="0"/>
  </w:num>
  <w:num w:numId="32" w16cid:durableId="1781797992">
    <w:abstractNumId w:val="4"/>
  </w:num>
  <w:num w:numId="33" w16cid:durableId="2012440869">
    <w:abstractNumId w:val="14"/>
    <w:lvlOverride w:ilvl="0">
      <w:startOverride w:val="1"/>
    </w:lvlOverride>
  </w:num>
  <w:num w:numId="34" w16cid:durableId="463501156">
    <w:abstractNumId w:val="32"/>
  </w:num>
  <w:num w:numId="35" w16cid:durableId="1687749371">
    <w:abstractNumId w:val="14"/>
    <w:lvlOverride w:ilvl="0">
      <w:startOverride w:val="1"/>
    </w:lvlOverride>
  </w:num>
  <w:num w:numId="36" w16cid:durableId="567573079">
    <w:abstractNumId w:val="3"/>
  </w:num>
  <w:num w:numId="37" w16cid:durableId="1108159013">
    <w:abstractNumId w:val="30"/>
  </w:num>
  <w:num w:numId="38" w16cid:durableId="558907317">
    <w:abstractNumId w:val="21"/>
  </w:num>
  <w:num w:numId="39" w16cid:durableId="378238999">
    <w:abstractNumId w:val="36"/>
  </w:num>
  <w:num w:numId="40" w16cid:durableId="1129937122">
    <w:abstractNumId w:val="20"/>
  </w:num>
  <w:num w:numId="41" w16cid:durableId="1392727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4681242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886570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43310131">
    <w:abstractNumId w:val="33"/>
  </w:num>
  <w:num w:numId="45" w16cid:durableId="1835951878">
    <w:abstractNumId w:val="27"/>
  </w:num>
  <w:num w:numId="46" w16cid:durableId="149299461">
    <w:abstractNumId w:val="13"/>
  </w:num>
  <w:num w:numId="47" w16cid:durableId="1615818505">
    <w:abstractNumId w:val="10"/>
  </w:num>
  <w:num w:numId="48" w16cid:durableId="277758208">
    <w:abstractNumId w:val="26"/>
  </w:num>
  <w:num w:numId="49" w16cid:durableId="2070953812">
    <w:abstractNumId w:val="31"/>
  </w:num>
  <w:num w:numId="50" w16cid:durableId="590889680">
    <w:abstractNumId w:val="31"/>
    <w:lvlOverride w:ilvl="0">
      <w:startOverride w:val="1"/>
    </w:lvlOverride>
  </w:num>
  <w:num w:numId="51" w16cid:durableId="914164792">
    <w:abstractNumId w:val="11"/>
  </w:num>
  <w:num w:numId="52" w16cid:durableId="738094699">
    <w:abstractNumId w:val="37"/>
  </w:num>
  <w:num w:numId="53" w16cid:durableId="763964565">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DF"/>
    <w:rsid w:val="00011819"/>
    <w:rsid w:val="00020975"/>
    <w:rsid w:val="000301AF"/>
    <w:rsid w:val="000310F2"/>
    <w:rsid w:val="00034CE8"/>
    <w:rsid w:val="00037B5B"/>
    <w:rsid w:val="00040598"/>
    <w:rsid w:val="00043E21"/>
    <w:rsid w:val="00064163"/>
    <w:rsid w:val="000707AC"/>
    <w:rsid w:val="00071D75"/>
    <w:rsid w:val="0007565C"/>
    <w:rsid w:val="00080A1D"/>
    <w:rsid w:val="00087390"/>
    <w:rsid w:val="00087E92"/>
    <w:rsid w:val="00090AA0"/>
    <w:rsid w:val="00094742"/>
    <w:rsid w:val="00096CA4"/>
    <w:rsid w:val="000A2136"/>
    <w:rsid w:val="000A357D"/>
    <w:rsid w:val="000A7B80"/>
    <w:rsid w:val="000B0861"/>
    <w:rsid w:val="000B30BA"/>
    <w:rsid w:val="000B3D8D"/>
    <w:rsid w:val="000C1FD6"/>
    <w:rsid w:val="000C24E6"/>
    <w:rsid w:val="000C3B9A"/>
    <w:rsid w:val="000D1507"/>
    <w:rsid w:val="000D1727"/>
    <w:rsid w:val="000D5990"/>
    <w:rsid w:val="000D7E02"/>
    <w:rsid w:val="000E62AB"/>
    <w:rsid w:val="000E76EA"/>
    <w:rsid w:val="000F0535"/>
    <w:rsid w:val="000F205A"/>
    <w:rsid w:val="000F4407"/>
    <w:rsid w:val="000F5A6A"/>
    <w:rsid w:val="000F7A32"/>
    <w:rsid w:val="00107E7E"/>
    <w:rsid w:val="001107BA"/>
    <w:rsid w:val="00111064"/>
    <w:rsid w:val="00132581"/>
    <w:rsid w:val="00141374"/>
    <w:rsid w:val="00153D39"/>
    <w:rsid w:val="00160FC6"/>
    <w:rsid w:val="00161530"/>
    <w:rsid w:val="0016785B"/>
    <w:rsid w:val="00174FCE"/>
    <w:rsid w:val="00177FDF"/>
    <w:rsid w:val="00184909"/>
    <w:rsid w:val="00194D99"/>
    <w:rsid w:val="00195951"/>
    <w:rsid w:val="001959A4"/>
    <w:rsid w:val="001A066B"/>
    <w:rsid w:val="001A35E1"/>
    <w:rsid w:val="001A3864"/>
    <w:rsid w:val="001C4D9B"/>
    <w:rsid w:val="001C51C0"/>
    <w:rsid w:val="001D2B06"/>
    <w:rsid w:val="001D35E4"/>
    <w:rsid w:val="001D7501"/>
    <w:rsid w:val="001D775B"/>
    <w:rsid w:val="001E3B64"/>
    <w:rsid w:val="001E6FE3"/>
    <w:rsid w:val="001F63F3"/>
    <w:rsid w:val="00203D60"/>
    <w:rsid w:val="00206645"/>
    <w:rsid w:val="002076CC"/>
    <w:rsid w:val="00211AC5"/>
    <w:rsid w:val="00225F85"/>
    <w:rsid w:val="002309A5"/>
    <w:rsid w:val="00231521"/>
    <w:rsid w:val="00233547"/>
    <w:rsid w:val="002359D0"/>
    <w:rsid w:val="00242580"/>
    <w:rsid w:val="002525A3"/>
    <w:rsid w:val="00260C6E"/>
    <w:rsid w:val="00271C05"/>
    <w:rsid w:val="00274E04"/>
    <w:rsid w:val="00275801"/>
    <w:rsid w:val="0027587D"/>
    <w:rsid w:val="002766B6"/>
    <w:rsid w:val="002A1FE4"/>
    <w:rsid w:val="002A3332"/>
    <w:rsid w:val="002A50C9"/>
    <w:rsid w:val="002B00CA"/>
    <w:rsid w:val="002B2AFB"/>
    <w:rsid w:val="002B559C"/>
    <w:rsid w:val="002B6D14"/>
    <w:rsid w:val="002C0A74"/>
    <w:rsid w:val="002D1F37"/>
    <w:rsid w:val="002D7C5E"/>
    <w:rsid w:val="002E0535"/>
    <w:rsid w:val="002E0FE6"/>
    <w:rsid w:val="002E7E5E"/>
    <w:rsid w:val="002F0B7C"/>
    <w:rsid w:val="002F4261"/>
    <w:rsid w:val="002F6C35"/>
    <w:rsid w:val="003073F8"/>
    <w:rsid w:val="00310608"/>
    <w:rsid w:val="00310D47"/>
    <w:rsid w:val="00311683"/>
    <w:rsid w:val="00315F89"/>
    <w:rsid w:val="00317C26"/>
    <w:rsid w:val="00320D41"/>
    <w:rsid w:val="00320EB0"/>
    <w:rsid w:val="00323F22"/>
    <w:rsid w:val="00327BB7"/>
    <w:rsid w:val="003321E1"/>
    <w:rsid w:val="003403BD"/>
    <w:rsid w:val="003476A9"/>
    <w:rsid w:val="00350455"/>
    <w:rsid w:val="00360D1B"/>
    <w:rsid w:val="00361144"/>
    <w:rsid w:val="003721F9"/>
    <w:rsid w:val="00373A9F"/>
    <w:rsid w:val="00375833"/>
    <w:rsid w:val="0037599A"/>
    <w:rsid w:val="00381367"/>
    <w:rsid w:val="00381499"/>
    <w:rsid w:val="00382432"/>
    <w:rsid w:val="00384D05"/>
    <w:rsid w:val="003A2D31"/>
    <w:rsid w:val="003A6915"/>
    <w:rsid w:val="003A692F"/>
    <w:rsid w:val="003B6C86"/>
    <w:rsid w:val="003C6F10"/>
    <w:rsid w:val="003E0A26"/>
    <w:rsid w:val="003E6E55"/>
    <w:rsid w:val="003E78D5"/>
    <w:rsid w:val="00410690"/>
    <w:rsid w:val="0041394C"/>
    <w:rsid w:val="004151D6"/>
    <w:rsid w:val="004258DF"/>
    <w:rsid w:val="004270B0"/>
    <w:rsid w:val="00431A8F"/>
    <w:rsid w:val="00432932"/>
    <w:rsid w:val="00433D83"/>
    <w:rsid w:val="00441498"/>
    <w:rsid w:val="004432DD"/>
    <w:rsid w:val="00443D69"/>
    <w:rsid w:val="004442A2"/>
    <w:rsid w:val="0045184B"/>
    <w:rsid w:val="0045389A"/>
    <w:rsid w:val="00465986"/>
    <w:rsid w:val="004701EE"/>
    <w:rsid w:val="00477172"/>
    <w:rsid w:val="00477E67"/>
    <w:rsid w:val="00480A8D"/>
    <w:rsid w:val="0048287D"/>
    <w:rsid w:val="00482A1E"/>
    <w:rsid w:val="00484C25"/>
    <w:rsid w:val="0049027F"/>
    <w:rsid w:val="00492A00"/>
    <w:rsid w:val="00495519"/>
    <w:rsid w:val="004958E0"/>
    <w:rsid w:val="00496153"/>
    <w:rsid w:val="00496C48"/>
    <w:rsid w:val="004A2A2D"/>
    <w:rsid w:val="004A4F2F"/>
    <w:rsid w:val="004A602E"/>
    <w:rsid w:val="004B02C0"/>
    <w:rsid w:val="004B27F9"/>
    <w:rsid w:val="004B2E62"/>
    <w:rsid w:val="004C384C"/>
    <w:rsid w:val="004C7CEC"/>
    <w:rsid w:val="004D0A46"/>
    <w:rsid w:val="004E039B"/>
    <w:rsid w:val="004E728D"/>
    <w:rsid w:val="004F02A2"/>
    <w:rsid w:val="004F244F"/>
    <w:rsid w:val="004F3015"/>
    <w:rsid w:val="00502A05"/>
    <w:rsid w:val="00507898"/>
    <w:rsid w:val="0051453C"/>
    <w:rsid w:val="00524191"/>
    <w:rsid w:val="005272F1"/>
    <w:rsid w:val="00537248"/>
    <w:rsid w:val="00544245"/>
    <w:rsid w:val="0054769F"/>
    <w:rsid w:val="005521BA"/>
    <w:rsid w:val="00554C2E"/>
    <w:rsid w:val="0055688D"/>
    <w:rsid w:val="00561709"/>
    <w:rsid w:val="00561836"/>
    <w:rsid w:val="005645B3"/>
    <w:rsid w:val="00574210"/>
    <w:rsid w:val="00574C84"/>
    <w:rsid w:val="005755F6"/>
    <w:rsid w:val="00581140"/>
    <w:rsid w:val="0058562E"/>
    <w:rsid w:val="00590BB3"/>
    <w:rsid w:val="00591544"/>
    <w:rsid w:val="005A12D7"/>
    <w:rsid w:val="005A206E"/>
    <w:rsid w:val="005A5182"/>
    <w:rsid w:val="005A6DE6"/>
    <w:rsid w:val="005B38A4"/>
    <w:rsid w:val="005B4840"/>
    <w:rsid w:val="005C40F1"/>
    <w:rsid w:val="005C44C6"/>
    <w:rsid w:val="005C7063"/>
    <w:rsid w:val="005D158B"/>
    <w:rsid w:val="005E2605"/>
    <w:rsid w:val="005E70C5"/>
    <w:rsid w:val="005F0BC6"/>
    <w:rsid w:val="005F1FB6"/>
    <w:rsid w:val="005F57B7"/>
    <w:rsid w:val="005F6E14"/>
    <w:rsid w:val="006016FA"/>
    <w:rsid w:val="00614006"/>
    <w:rsid w:val="00631987"/>
    <w:rsid w:val="0063467A"/>
    <w:rsid w:val="00637E56"/>
    <w:rsid w:val="006402B3"/>
    <w:rsid w:val="00646F66"/>
    <w:rsid w:val="006524B1"/>
    <w:rsid w:val="006552E0"/>
    <w:rsid w:val="00657ED6"/>
    <w:rsid w:val="00663955"/>
    <w:rsid w:val="00667CAC"/>
    <w:rsid w:val="0067277C"/>
    <w:rsid w:val="00680380"/>
    <w:rsid w:val="00686E45"/>
    <w:rsid w:val="0069669F"/>
    <w:rsid w:val="006B10D3"/>
    <w:rsid w:val="006B293D"/>
    <w:rsid w:val="006B7228"/>
    <w:rsid w:val="006C305E"/>
    <w:rsid w:val="006C571E"/>
    <w:rsid w:val="006E5837"/>
    <w:rsid w:val="006F5E88"/>
    <w:rsid w:val="006F6BFE"/>
    <w:rsid w:val="00700A22"/>
    <w:rsid w:val="007126D9"/>
    <w:rsid w:val="00715475"/>
    <w:rsid w:val="00727E77"/>
    <w:rsid w:val="00733464"/>
    <w:rsid w:val="007339A8"/>
    <w:rsid w:val="0073604B"/>
    <w:rsid w:val="007440B9"/>
    <w:rsid w:val="007451BD"/>
    <w:rsid w:val="007453D0"/>
    <w:rsid w:val="0074622B"/>
    <w:rsid w:val="00746DDD"/>
    <w:rsid w:val="0075606B"/>
    <w:rsid w:val="00757990"/>
    <w:rsid w:val="00766DFF"/>
    <w:rsid w:val="00767A71"/>
    <w:rsid w:val="007729EC"/>
    <w:rsid w:val="0077537D"/>
    <w:rsid w:val="00780D69"/>
    <w:rsid w:val="00782623"/>
    <w:rsid w:val="007856DA"/>
    <w:rsid w:val="00796818"/>
    <w:rsid w:val="007B15B0"/>
    <w:rsid w:val="007B3D58"/>
    <w:rsid w:val="007C77BC"/>
    <w:rsid w:val="007D12A4"/>
    <w:rsid w:val="007D5B2E"/>
    <w:rsid w:val="007D70E3"/>
    <w:rsid w:val="007F50CA"/>
    <w:rsid w:val="00804484"/>
    <w:rsid w:val="00807847"/>
    <w:rsid w:val="00813724"/>
    <w:rsid w:val="00821735"/>
    <w:rsid w:val="00835365"/>
    <w:rsid w:val="00836941"/>
    <w:rsid w:val="00842F5F"/>
    <w:rsid w:val="00843B20"/>
    <w:rsid w:val="00861618"/>
    <w:rsid w:val="00874541"/>
    <w:rsid w:val="0088032E"/>
    <w:rsid w:val="008819AC"/>
    <w:rsid w:val="008865BF"/>
    <w:rsid w:val="00896B7A"/>
    <w:rsid w:val="008A5DF9"/>
    <w:rsid w:val="008B1CB9"/>
    <w:rsid w:val="008B3A69"/>
    <w:rsid w:val="008C0472"/>
    <w:rsid w:val="008C4070"/>
    <w:rsid w:val="008C482A"/>
    <w:rsid w:val="008C71FC"/>
    <w:rsid w:val="008D27C8"/>
    <w:rsid w:val="008D51EC"/>
    <w:rsid w:val="008D61F7"/>
    <w:rsid w:val="008E0581"/>
    <w:rsid w:val="008F02B9"/>
    <w:rsid w:val="00901260"/>
    <w:rsid w:val="00901658"/>
    <w:rsid w:val="0092346F"/>
    <w:rsid w:val="00925D3A"/>
    <w:rsid w:val="00935461"/>
    <w:rsid w:val="00940055"/>
    <w:rsid w:val="009459E3"/>
    <w:rsid w:val="00957257"/>
    <w:rsid w:val="009628D2"/>
    <w:rsid w:val="00970E33"/>
    <w:rsid w:val="00970F8B"/>
    <w:rsid w:val="00973962"/>
    <w:rsid w:val="00985B97"/>
    <w:rsid w:val="00991502"/>
    <w:rsid w:val="00991520"/>
    <w:rsid w:val="0099167E"/>
    <w:rsid w:val="00992CC6"/>
    <w:rsid w:val="00995DDC"/>
    <w:rsid w:val="009A5659"/>
    <w:rsid w:val="009B1FC5"/>
    <w:rsid w:val="009C1114"/>
    <w:rsid w:val="009C5505"/>
    <w:rsid w:val="009C621A"/>
    <w:rsid w:val="009F3BB7"/>
    <w:rsid w:val="00A11F40"/>
    <w:rsid w:val="00A12A0E"/>
    <w:rsid w:val="00A20514"/>
    <w:rsid w:val="00A22380"/>
    <w:rsid w:val="00A24471"/>
    <w:rsid w:val="00A27304"/>
    <w:rsid w:val="00A33375"/>
    <w:rsid w:val="00A40995"/>
    <w:rsid w:val="00A42F0A"/>
    <w:rsid w:val="00A44853"/>
    <w:rsid w:val="00A50025"/>
    <w:rsid w:val="00A5494D"/>
    <w:rsid w:val="00A54FA0"/>
    <w:rsid w:val="00A67D4A"/>
    <w:rsid w:val="00A71489"/>
    <w:rsid w:val="00A755FC"/>
    <w:rsid w:val="00A81A60"/>
    <w:rsid w:val="00A848C9"/>
    <w:rsid w:val="00A85C76"/>
    <w:rsid w:val="00A91A23"/>
    <w:rsid w:val="00A95333"/>
    <w:rsid w:val="00A96B21"/>
    <w:rsid w:val="00A975DA"/>
    <w:rsid w:val="00AB2703"/>
    <w:rsid w:val="00AC5450"/>
    <w:rsid w:val="00AD1852"/>
    <w:rsid w:val="00AE0512"/>
    <w:rsid w:val="00AE1820"/>
    <w:rsid w:val="00AE1A95"/>
    <w:rsid w:val="00AE2B8F"/>
    <w:rsid w:val="00AF7553"/>
    <w:rsid w:val="00AF75B2"/>
    <w:rsid w:val="00B010A5"/>
    <w:rsid w:val="00B156F0"/>
    <w:rsid w:val="00B16B18"/>
    <w:rsid w:val="00B20472"/>
    <w:rsid w:val="00B329CB"/>
    <w:rsid w:val="00B36EA9"/>
    <w:rsid w:val="00B55414"/>
    <w:rsid w:val="00B617A4"/>
    <w:rsid w:val="00B66E81"/>
    <w:rsid w:val="00B83767"/>
    <w:rsid w:val="00B867DF"/>
    <w:rsid w:val="00B86C1F"/>
    <w:rsid w:val="00B90269"/>
    <w:rsid w:val="00B902DF"/>
    <w:rsid w:val="00B9088E"/>
    <w:rsid w:val="00B95F7F"/>
    <w:rsid w:val="00BA0472"/>
    <w:rsid w:val="00BB22A1"/>
    <w:rsid w:val="00BB30F5"/>
    <w:rsid w:val="00BC57BD"/>
    <w:rsid w:val="00BD0D0A"/>
    <w:rsid w:val="00BE1784"/>
    <w:rsid w:val="00BE734A"/>
    <w:rsid w:val="00BF3BAC"/>
    <w:rsid w:val="00BF43EB"/>
    <w:rsid w:val="00BF78A2"/>
    <w:rsid w:val="00C004F5"/>
    <w:rsid w:val="00C017C4"/>
    <w:rsid w:val="00C10AE0"/>
    <w:rsid w:val="00C16140"/>
    <w:rsid w:val="00C20967"/>
    <w:rsid w:val="00C21BCA"/>
    <w:rsid w:val="00C2354A"/>
    <w:rsid w:val="00C3084E"/>
    <w:rsid w:val="00C320FF"/>
    <w:rsid w:val="00C34D4F"/>
    <w:rsid w:val="00C35F96"/>
    <w:rsid w:val="00C37174"/>
    <w:rsid w:val="00C42566"/>
    <w:rsid w:val="00C474E9"/>
    <w:rsid w:val="00C53E83"/>
    <w:rsid w:val="00C54EC4"/>
    <w:rsid w:val="00C55F8F"/>
    <w:rsid w:val="00C606B3"/>
    <w:rsid w:val="00C648D8"/>
    <w:rsid w:val="00C658D4"/>
    <w:rsid w:val="00C66F23"/>
    <w:rsid w:val="00C70DA3"/>
    <w:rsid w:val="00C74EA7"/>
    <w:rsid w:val="00C94EFE"/>
    <w:rsid w:val="00C979B9"/>
    <w:rsid w:val="00CA2BA6"/>
    <w:rsid w:val="00CA4177"/>
    <w:rsid w:val="00CA5417"/>
    <w:rsid w:val="00CA5D39"/>
    <w:rsid w:val="00CB1200"/>
    <w:rsid w:val="00CD2A70"/>
    <w:rsid w:val="00CF5BFA"/>
    <w:rsid w:val="00CF62BB"/>
    <w:rsid w:val="00CF70AB"/>
    <w:rsid w:val="00D001CF"/>
    <w:rsid w:val="00D02A78"/>
    <w:rsid w:val="00D0481F"/>
    <w:rsid w:val="00D04964"/>
    <w:rsid w:val="00D04D99"/>
    <w:rsid w:val="00D22CF3"/>
    <w:rsid w:val="00D23061"/>
    <w:rsid w:val="00D3059B"/>
    <w:rsid w:val="00D33A0D"/>
    <w:rsid w:val="00D33A5F"/>
    <w:rsid w:val="00D41F88"/>
    <w:rsid w:val="00D4258F"/>
    <w:rsid w:val="00D528EE"/>
    <w:rsid w:val="00D546E9"/>
    <w:rsid w:val="00D60046"/>
    <w:rsid w:val="00D71FFB"/>
    <w:rsid w:val="00D778E9"/>
    <w:rsid w:val="00D82A0D"/>
    <w:rsid w:val="00D83176"/>
    <w:rsid w:val="00D83F5E"/>
    <w:rsid w:val="00D8695E"/>
    <w:rsid w:val="00D93157"/>
    <w:rsid w:val="00D941A0"/>
    <w:rsid w:val="00DA4C63"/>
    <w:rsid w:val="00DA6584"/>
    <w:rsid w:val="00DC2EB4"/>
    <w:rsid w:val="00DD1480"/>
    <w:rsid w:val="00DD1CE4"/>
    <w:rsid w:val="00DE0CD9"/>
    <w:rsid w:val="00DE3146"/>
    <w:rsid w:val="00DE78CE"/>
    <w:rsid w:val="00DE7F5E"/>
    <w:rsid w:val="00DF367F"/>
    <w:rsid w:val="00DF4989"/>
    <w:rsid w:val="00DF7DCA"/>
    <w:rsid w:val="00E12E3D"/>
    <w:rsid w:val="00E13A61"/>
    <w:rsid w:val="00E1597C"/>
    <w:rsid w:val="00E316DF"/>
    <w:rsid w:val="00E359B1"/>
    <w:rsid w:val="00E479C6"/>
    <w:rsid w:val="00E502FE"/>
    <w:rsid w:val="00E521F3"/>
    <w:rsid w:val="00E52CBF"/>
    <w:rsid w:val="00E61820"/>
    <w:rsid w:val="00E62B73"/>
    <w:rsid w:val="00E64041"/>
    <w:rsid w:val="00E6411B"/>
    <w:rsid w:val="00E6672F"/>
    <w:rsid w:val="00E70D82"/>
    <w:rsid w:val="00E72487"/>
    <w:rsid w:val="00E744F7"/>
    <w:rsid w:val="00E8032C"/>
    <w:rsid w:val="00E945BA"/>
    <w:rsid w:val="00EA7FC9"/>
    <w:rsid w:val="00EB2A44"/>
    <w:rsid w:val="00EB6CF0"/>
    <w:rsid w:val="00EC2AAC"/>
    <w:rsid w:val="00EC7254"/>
    <w:rsid w:val="00ED04D8"/>
    <w:rsid w:val="00ED3849"/>
    <w:rsid w:val="00ED77B4"/>
    <w:rsid w:val="00EE1162"/>
    <w:rsid w:val="00EE7A4A"/>
    <w:rsid w:val="00EF09CE"/>
    <w:rsid w:val="00EF5054"/>
    <w:rsid w:val="00F04F7C"/>
    <w:rsid w:val="00F104B3"/>
    <w:rsid w:val="00F14863"/>
    <w:rsid w:val="00F234C7"/>
    <w:rsid w:val="00F258FB"/>
    <w:rsid w:val="00F26CE4"/>
    <w:rsid w:val="00F273C9"/>
    <w:rsid w:val="00F37389"/>
    <w:rsid w:val="00F404B7"/>
    <w:rsid w:val="00F41B8B"/>
    <w:rsid w:val="00F44296"/>
    <w:rsid w:val="00F46108"/>
    <w:rsid w:val="00F524F2"/>
    <w:rsid w:val="00F52806"/>
    <w:rsid w:val="00F61A33"/>
    <w:rsid w:val="00F703FB"/>
    <w:rsid w:val="00F75941"/>
    <w:rsid w:val="00F75F90"/>
    <w:rsid w:val="00F81D4F"/>
    <w:rsid w:val="00F82437"/>
    <w:rsid w:val="00F8377D"/>
    <w:rsid w:val="00F8477B"/>
    <w:rsid w:val="00F87C49"/>
    <w:rsid w:val="00F90B26"/>
    <w:rsid w:val="00FA13A0"/>
    <w:rsid w:val="00FA18C9"/>
    <w:rsid w:val="00FA6047"/>
    <w:rsid w:val="00FB44CF"/>
    <w:rsid w:val="00FC78B7"/>
    <w:rsid w:val="00FD3C29"/>
    <w:rsid w:val="00FD50CC"/>
    <w:rsid w:val="00FD5262"/>
    <w:rsid w:val="00FD5418"/>
    <w:rsid w:val="00FD6526"/>
    <w:rsid w:val="00FE07E1"/>
    <w:rsid w:val="00FE21FB"/>
    <w:rsid w:val="00FE2C1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1E8BC"/>
  <w15:chartTrackingRefBased/>
  <w15:docId w15:val="{4C19E985-52E9-4CE3-84EA-8F311F19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14:ligatures w14:val="none"/>
    </w:rPr>
  </w:style>
  <w:style w:type="paragraph" w:styleId="Titre1">
    <w:name w:val="heading 1"/>
    <w:basedOn w:val="Normal"/>
    <w:next w:val="Normal"/>
    <w:link w:val="Titre1C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14:ligatures w14:val="standardContextual"/>
    </w:rPr>
  </w:style>
  <w:style w:type="paragraph" w:styleId="Titre2">
    <w:name w:val="heading 2"/>
    <w:basedOn w:val="Normal"/>
    <w:next w:val="Normal"/>
    <w:link w:val="Titre2C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Titre4">
    <w:name w:val="heading 4"/>
    <w:basedOn w:val="Normal"/>
    <w:next w:val="Normal"/>
    <w:link w:val="Titre4Car"/>
    <w:uiPriority w:val="9"/>
    <w:unhideWhenUsed/>
    <w:qFormat/>
    <w:rsid w:val="00310608"/>
    <w:pPr>
      <w:keepNext/>
      <w:spacing w:before="120" w:after="120"/>
      <w:ind w:left="567" w:hanging="567"/>
      <w:outlineLvl w:val="3"/>
    </w:pPr>
    <w:rPr>
      <w:rFonts w:eastAsiaTheme="majorEastAsia"/>
      <w:b/>
      <w:bCs/>
    </w:rPr>
  </w:style>
  <w:style w:type="paragraph" w:styleId="Titre5">
    <w:name w:val="heading 5"/>
    <w:basedOn w:val="Normal"/>
    <w:next w:val="Normal"/>
    <w:link w:val="Titre5Car"/>
    <w:uiPriority w:val="9"/>
    <w:unhideWhenUsed/>
    <w:qFormat/>
    <w:rsid w:val="00310608"/>
    <w:pPr>
      <w:keepNext/>
      <w:spacing w:before="120" w:after="120"/>
      <w:ind w:left="567" w:hanging="567"/>
      <w:outlineLvl w:val="4"/>
    </w:pPr>
    <w:rPr>
      <w:rFonts w:eastAsiaTheme="majorEastAsia"/>
      <w:i/>
      <w:iCs/>
    </w:rPr>
  </w:style>
  <w:style w:type="paragraph" w:styleId="Titre6">
    <w:name w:val="heading 6"/>
    <w:basedOn w:val="Normal"/>
    <w:next w:val="Normal"/>
    <w:link w:val="Titre6Car"/>
    <w:uiPriority w:val="9"/>
    <w:semiHidden/>
    <w:unhideWhenUsed/>
    <w:rsid w:val="004258DF"/>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tem">
    <w:name w:val="Item"/>
    <w:basedOn w:val="Corpsdetexte"/>
    <w:qFormat/>
    <w:rsid w:val="00657ED6"/>
    <w:pPr>
      <w:suppressLineNumbers/>
      <w:suppressAutoHyphens/>
      <w:spacing w:before="120" w:line="240" w:lineRule="auto"/>
    </w:pPr>
    <w:rPr>
      <w:rFonts w:ascii="Times New Roman" w:eastAsia="Times New Roman" w:hAnsi="Times New Roman" w:cs="Times New Roman"/>
      <w:b/>
      <w:iCs/>
      <w:snapToGrid w:val="0"/>
      <w:kern w:val="22"/>
      <w:sz w:val="24"/>
      <w14:ligatures w14:val="none"/>
    </w:rPr>
  </w:style>
  <w:style w:type="paragraph" w:styleId="Corpsdetexte">
    <w:name w:val="Body Text"/>
    <w:aliases w:val=" Car"/>
    <w:basedOn w:val="Normal"/>
    <w:link w:val="CorpsdetexteCar"/>
    <w:unhideWhenUsed/>
    <w:rsid w:val="00657ED6"/>
    <w:pPr>
      <w:spacing w:after="120" w:line="259" w:lineRule="auto"/>
      <w:jc w:val="left"/>
    </w:pPr>
    <w:rPr>
      <w:rFonts w:asciiTheme="minorHAnsi" w:eastAsiaTheme="minorHAnsi" w:hAnsiTheme="minorHAnsi" w:cstheme="minorBidi"/>
      <w:kern w:val="2"/>
      <w:szCs w:val="22"/>
      <w14:ligatures w14:val="standardContextual"/>
    </w:rPr>
  </w:style>
  <w:style w:type="character" w:customStyle="1" w:styleId="CorpsdetexteCar">
    <w:name w:val="Corps de texte Car"/>
    <w:aliases w:val=" Car Car"/>
    <w:basedOn w:val="Policepardfaut"/>
    <w:link w:val="Corpsdetexte"/>
    <w:rsid w:val="00657ED6"/>
  </w:style>
  <w:style w:type="paragraph" w:styleId="Titre">
    <w:name w:val="Title"/>
    <w:basedOn w:val="Normal"/>
    <w:next w:val="Normal"/>
    <w:link w:val="TitreC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reCar">
    <w:name w:val="Titre Car"/>
    <w:basedOn w:val="Policepardfaut"/>
    <w:link w:val="Titre"/>
    <w:uiPriority w:val="10"/>
    <w:rsid w:val="00ED3849"/>
    <w:rPr>
      <w:rFonts w:ascii="Times New Roman Bold" w:eastAsiaTheme="majorEastAsia" w:hAnsi="Times New Roman Bold" w:cs="Times New Roman"/>
      <w:b/>
      <w:bCs/>
      <w:spacing w:val="5"/>
      <w:kern w:val="28"/>
      <w:sz w:val="28"/>
      <w:szCs w:val="28"/>
      <w:lang w:val="ru-RU"/>
    </w:rPr>
  </w:style>
  <w:style w:type="character" w:customStyle="1" w:styleId="Titre1Car">
    <w:name w:val="Titre 1 Car"/>
    <w:basedOn w:val="Policepardfaut"/>
    <w:link w:val="Titre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auNormal"/>
    <w:next w:val="Grilledutableau"/>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unhideWhenUsed/>
    <w:qFormat/>
    <w:rsid w:val="00A96B21"/>
    <w:rPr>
      <w:sz w:val="20"/>
      <w:szCs w:val="20"/>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uiPriority w:val="99"/>
    <w:qFormat/>
    <w:rsid w:val="00A96B21"/>
    <w:rPr>
      <w:rFonts w:ascii="Times New Roman" w:eastAsia="Times New Roman" w:hAnsi="Times New Roman" w:cs="Times New Roman"/>
      <w:kern w:val="0"/>
      <w:sz w:val="20"/>
      <w:szCs w:val="20"/>
      <w:lang w:val="ru-RU"/>
      <w14:ligatures w14:val="non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basedOn w:val="Policepardfaut"/>
    <w:link w:val="BVIfnrChar"/>
    <w:uiPriority w:val="99"/>
    <w:unhideWhenUsed/>
    <w:qFormat/>
    <w:rsid w:val="00A96B21"/>
    <w:rPr>
      <w:vertAlign w:val="superscript"/>
    </w:rPr>
  </w:style>
  <w:style w:type="paragraph" w:customStyle="1" w:styleId="Footnote">
    <w:name w:val="Footnote"/>
    <w:basedOn w:val="Notedebasdepage"/>
    <w:qFormat/>
    <w:rsid w:val="00D71FFB"/>
    <w:rPr>
      <w:sz w:val="18"/>
      <w:szCs w:val="18"/>
    </w:rPr>
  </w:style>
  <w:style w:type="paragraph" w:customStyle="1" w:styleId="Cornernotation-Item">
    <w:name w:val="Corner notation - Item"/>
    <w:basedOn w:val="Venuedate"/>
    <w:qFormat/>
    <w:rsid w:val="00A96B21"/>
    <w:rPr>
      <w:b/>
    </w:rPr>
  </w:style>
  <w:style w:type="paragraph" w:styleId="Sous-titre">
    <w:name w:val="Subtitle"/>
    <w:basedOn w:val="Normal"/>
    <w:next w:val="Normal"/>
    <w:link w:val="Sous-titre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ous-titreCar">
    <w:name w:val="Sous-titre Car"/>
    <w:basedOn w:val="Policepardfaut"/>
    <w:link w:val="Sous-titre"/>
    <w:uiPriority w:val="11"/>
    <w:rsid w:val="00A96B21"/>
    <w:rPr>
      <w:rFonts w:ascii="Times New Roman Bold" w:eastAsiaTheme="minorEastAsia" w:hAnsi="Times New Roman Bold"/>
      <w:b/>
      <w:color w:val="5A5A5A" w:themeColor="text1" w:themeTint="A5"/>
      <w:kern w:val="0"/>
      <w:lang w:val="ru-RU"/>
      <w14:ligatures w14:val="none"/>
    </w:rPr>
  </w:style>
  <w:style w:type="paragraph" w:customStyle="1" w:styleId="Para1">
    <w:name w:val="Para 1"/>
    <w:basedOn w:val="Normal"/>
    <w:qFormat/>
    <w:rsid w:val="003E78D5"/>
    <w:pPr>
      <w:numPr>
        <w:numId w:val="2"/>
      </w:numPr>
      <w:tabs>
        <w:tab w:val="left" w:pos="1134"/>
      </w:tabs>
      <w:spacing w:before="120" w:after="120"/>
      <w:ind w:left="567" w:firstLine="0"/>
    </w:pPr>
    <w:rPr>
      <w:rFonts w:eastAsia="Malgun Gothic"/>
    </w:rPr>
  </w:style>
  <w:style w:type="character" w:customStyle="1" w:styleId="Titre2Car">
    <w:name w:val="Titre 2 Car"/>
    <w:basedOn w:val="Policepardfaut"/>
    <w:link w:val="Titre2"/>
    <w:uiPriority w:val="9"/>
    <w:rsid w:val="007C77BC"/>
    <w:rPr>
      <w:rFonts w:ascii="Times New Roman" w:eastAsiaTheme="majorEastAsia" w:hAnsi="Times New Roman" w:cstheme="majorBidi"/>
      <w:b/>
      <w:kern w:val="0"/>
      <w:sz w:val="24"/>
      <w:szCs w:val="26"/>
      <w:lang w:val="ru-RU"/>
      <w14:ligatures w14:val="none"/>
    </w:rPr>
  </w:style>
  <w:style w:type="character" w:styleId="Textedelespacerserv">
    <w:name w:val="Placeholder Text"/>
    <w:basedOn w:val="Policepardfaut"/>
    <w:uiPriority w:val="99"/>
    <w:semiHidden/>
    <w:rsid w:val="00995DDC"/>
    <w:rPr>
      <w:color w:val="808080"/>
    </w:rPr>
  </w:style>
  <w:style w:type="paragraph" w:styleId="En-tte">
    <w:name w:val="header"/>
    <w:basedOn w:val="Normal"/>
    <w:link w:val="En-tteCar"/>
    <w:unhideWhenUsed/>
    <w:rsid w:val="00D71FFB"/>
    <w:pPr>
      <w:tabs>
        <w:tab w:val="center" w:pos="4680"/>
        <w:tab w:val="right" w:pos="9360"/>
      </w:tabs>
    </w:pPr>
    <w:rPr>
      <w:caps/>
    </w:rPr>
  </w:style>
  <w:style w:type="character" w:customStyle="1" w:styleId="En-tteCar">
    <w:name w:val="En-tête Car"/>
    <w:basedOn w:val="Policepardfaut"/>
    <w:link w:val="En-tte"/>
    <w:rsid w:val="00D71FFB"/>
    <w:rPr>
      <w:rFonts w:ascii="Times New Roman" w:eastAsia="Times New Roman" w:hAnsi="Times New Roman" w:cs="Times New Roman"/>
      <w:caps/>
      <w:kern w:val="0"/>
      <w:szCs w:val="24"/>
      <w:lang w:val="ru-RU"/>
      <w14:ligatures w14:val="none"/>
    </w:rPr>
  </w:style>
  <w:style w:type="paragraph" w:styleId="Pieddepage">
    <w:name w:val="footer"/>
    <w:basedOn w:val="Normal"/>
    <w:link w:val="PieddepageCar"/>
    <w:uiPriority w:val="99"/>
    <w:unhideWhenUsed/>
    <w:rsid w:val="002B559C"/>
    <w:pPr>
      <w:tabs>
        <w:tab w:val="center" w:pos="4680"/>
        <w:tab w:val="right" w:pos="9360"/>
      </w:tabs>
    </w:pPr>
  </w:style>
  <w:style w:type="character" w:customStyle="1" w:styleId="PieddepageCar">
    <w:name w:val="Pied de page Car"/>
    <w:basedOn w:val="Policepardfaut"/>
    <w:link w:val="Pieddepage"/>
    <w:uiPriority w:val="99"/>
    <w:rsid w:val="002B559C"/>
    <w:rPr>
      <w:rFonts w:ascii="Times New Roman" w:eastAsia="Times New Roman" w:hAnsi="Times New Roman" w:cs="Times New Roman"/>
      <w:kern w:val="0"/>
      <w:szCs w:val="24"/>
      <w:lang w:val="ru-RU"/>
      <w14:ligatures w14:val="none"/>
    </w:rPr>
  </w:style>
  <w:style w:type="character" w:customStyle="1" w:styleId="Titre3Car">
    <w:name w:val="Titre 3 Car"/>
    <w:basedOn w:val="Policepardfaut"/>
    <w:link w:val="Titre3"/>
    <w:uiPriority w:val="9"/>
    <w:rsid w:val="007C77BC"/>
    <w:rPr>
      <w:rFonts w:ascii="Times New Roman" w:eastAsiaTheme="majorEastAsia" w:hAnsi="Times New Roman" w:cs="Times New Roman"/>
      <w:b/>
      <w:bCs/>
      <w:kern w:val="0"/>
      <w:lang w:val="ru-RU"/>
      <w14:ligatures w14:val="none"/>
    </w:rPr>
  </w:style>
  <w:style w:type="paragraph" w:customStyle="1" w:styleId="Para2">
    <w:name w:val="Para 2"/>
    <w:qFormat/>
    <w:rsid w:val="003E0A26"/>
    <w:p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Titre4Car">
    <w:name w:val="Titre 4 Car"/>
    <w:basedOn w:val="Policepardfaut"/>
    <w:link w:val="Titre4"/>
    <w:uiPriority w:val="9"/>
    <w:rsid w:val="00310608"/>
    <w:rPr>
      <w:rFonts w:ascii="Times New Roman" w:eastAsiaTheme="majorEastAsia" w:hAnsi="Times New Roman" w:cs="Times New Roman"/>
      <w:b/>
      <w:bCs/>
      <w:kern w:val="0"/>
      <w:szCs w:val="24"/>
      <w:lang w:val="ru-RU"/>
      <w14:ligatures w14:val="none"/>
    </w:rPr>
  </w:style>
  <w:style w:type="character" w:customStyle="1" w:styleId="Titre5Car">
    <w:name w:val="Titre 5 Car"/>
    <w:basedOn w:val="Policepardfaut"/>
    <w:link w:val="Titre5"/>
    <w:uiPriority w:val="9"/>
    <w:rsid w:val="00310608"/>
    <w:rPr>
      <w:rFonts w:ascii="Times New Roman" w:eastAsiaTheme="majorEastAsia" w:hAnsi="Times New Roman" w:cs="Times New Roman"/>
      <w:i/>
      <w:iCs/>
      <w:kern w:val="0"/>
      <w:szCs w:val="24"/>
      <w:lang w:val="ru-RU"/>
      <w14:ligatures w14:val="none"/>
    </w:rPr>
  </w:style>
  <w:style w:type="character" w:styleId="Marquedecommentaire">
    <w:name w:val="annotation reference"/>
    <w:basedOn w:val="Policepardfaut"/>
    <w:uiPriority w:val="99"/>
    <w:semiHidden/>
    <w:unhideWhenUsed/>
    <w:rsid w:val="00CF70AB"/>
    <w:rPr>
      <w:sz w:val="16"/>
      <w:szCs w:val="16"/>
    </w:rPr>
  </w:style>
  <w:style w:type="paragraph" w:styleId="Commentaire">
    <w:name w:val="annotation text"/>
    <w:basedOn w:val="Normal"/>
    <w:link w:val="CommentaireCar"/>
    <w:uiPriority w:val="99"/>
    <w:unhideWhenUsed/>
    <w:rsid w:val="00CF70AB"/>
    <w:rPr>
      <w:sz w:val="20"/>
      <w:szCs w:val="20"/>
    </w:rPr>
  </w:style>
  <w:style w:type="character" w:customStyle="1" w:styleId="CommentaireCar">
    <w:name w:val="Commentaire Car"/>
    <w:basedOn w:val="Policepardfaut"/>
    <w:link w:val="Commentaire"/>
    <w:uiPriority w:val="99"/>
    <w:rsid w:val="00CF70AB"/>
    <w:rPr>
      <w:rFonts w:ascii="Times New Roman" w:eastAsia="Times New Roman" w:hAnsi="Times New Roman" w:cs="Times New Roman"/>
      <w:kern w:val="0"/>
      <w:sz w:val="20"/>
      <w:szCs w:val="20"/>
      <w:lang w:val="ru-RU"/>
      <w14:ligatures w14:val="none"/>
    </w:rPr>
  </w:style>
  <w:style w:type="paragraph" w:styleId="Objetducommentaire">
    <w:name w:val="annotation subject"/>
    <w:basedOn w:val="Commentaire"/>
    <w:next w:val="Commentaire"/>
    <w:link w:val="ObjetducommentaireCar"/>
    <w:uiPriority w:val="99"/>
    <w:semiHidden/>
    <w:unhideWhenUsed/>
    <w:rsid w:val="00CF70AB"/>
    <w:rPr>
      <w:b/>
      <w:bCs/>
    </w:rPr>
  </w:style>
  <w:style w:type="character" w:customStyle="1" w:styleId="ObjetducommentaireCar">
    <w:name w:val="Objet du commentaire Car"/>
    <w:basedOn w:val="CommentaireCar"/>
    <w:link w:val="Objetducommentaire"/>
    <w:uiPriority w:val="99"/>
    <w:semiHidden/>
    <w:rsid w:val="00CF70AB"/>
    <w:rPr>
      <w:rFonts w:ascii="Times New Roman" w:eastAsia="Times New Roman" w:hAnsi="Times New Roman" w:cs="Times New Roman"/>
      <w:b/>
      <w:bCs/>
      <w:kern w:val="0"/>
      <w:sz w:val="20"/>
      <w:szCs w:val="20"/>
      <w:lang w:val="ru-RU"/>
      <w14:ligatures w14:val="none"/>
    </w:rPr>
  </w:style>
  <w:style w:type="character" w:customStyle="1" w:styleId="Titre6Car">
    <w:name w:val="Titre 6 Car"/>
    <w:basedOn w:val="Policepardfaut"/>
    <w:link w:val="Titre6"/>
    <w:uiPriority w:val="9"/>
    <w:semiHidden/>
    <w:rsid w:val="004258DF"/>
    <w:rPr>
      <w:rFonts w:asciiTheme="majorHAnsi" w:eastAsiaTheme="majorEastAsia" w:hAnsiTheme="majorHAnsi" w:cstheme="majorBidi"/>
      <w:color w:val="1F3763" w:themeColor="accent1" w:themeShade="7F"/>
      <w:kern w:val="0"/>
      <w:szCs w:val="24"/>
      <w:lang w:val="ru-RU"/>
      <w14:ligatures w14:val="none"/>
    </w:rPr>
  </w:style>
  <w:style w:type="character" w:styleId="Lienhypertexte">
    <w:name w:val="Hyperlink"/>
    <w:rsid w:val="004258DF"/>
    <w:rPr>
      <w:color w:val="0000FF"/>
      <w:sz w:val="18"/>
      <w:u w:val="single"/>
    </w:rPr>
  </w:style>
  <w:style w:type="paragraph" w:customStyle="1" w:styleId="CBD-Para">
    <w:name w:val="CBD-Para"/>
    <w:basedOn w:val="Normal"/>
    <w:link w:val="CBD-ParaCharChar"/>
    <w:rsid w:val="004258DF"/>
    <w:pPr>
      <w:keepLines/>
      <w:numPr>
        <w:numId w:val="21"/>
      </w:numPr>
      <w:spacing w:before="120" w:after="120"/>
    </w:pPr>
    <w:rPr>
      <w:szCs w:val="22"/>
    </w:rPr>
  </w:style>
  <w:style w:type="character" w:customStyle="1" w:styleId="CBD-ParaCharChar">
    <w:name w:val="CBD-Para Char Char"/>
    <w:link w:val="CBD-Para"/>
    <w:rsid w:val="004258DF"/>
    <w:rPr>
      <w:rFonts w:ascii="Times New Roman" w:eastAsia="Times New Roman" w:hAnsi="Times New Roman" w:cs="Times New Roman"/>
      <w:kern w:val="0"/>
      <w:lang w:val="ru-RU"/>
      <w14:ligatures w14:val="non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qFormat/>
    <w:rsid w:val="004258DF"/>
    <w:pPr>
      <w:spacing w:after="160" w:line="240" w:lineRule="exact"/>
    </w:pPr>
    <w:rPr>
      <w:rFonts w:asciiTheme="minorHAnsi" w:eastAsiaTheme="minorHAnsi" w:hAnsiTheme="minorHAnsi" w:cstheme="minorBidi"/>
      <w:kern w:val="2"/>
      <w:szCs w:val="22"/>
      <w:vertAlign w:val="superscript"/>
      <w14:ligatures w14:val="standardContextual"/>
    </w:rPr>
  </w:style>
  <w:style w:type="table" w:customStyle="1" w:styleId="TableGrid2">
    <w:name w:val="Table Grid2"/>
    <w:basedOn w:val="TableauNormal"/>
    <w:next w:val="Grilledutableau"/>
    <w:uiPriority w:val="59"/>
    <w:qFormat/>
    <w:rsid w:val="004258DF"/>
    <w:pPr>
      <w:spacing w:after="0" w:line="240" w:lineRule="auto"/>
    </w:pPr>
    <w:rPr>
      <w:rFonts w:eastAsia="MS Mincho"/>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aragraphedelisteCar"/>
    <w:uiPriority w:val="34"/>
    <w:qFormat/>
    <w:rsid w:val="004258DF"/>
    <w:pPr>
      <w:ind w:left="720"/>
      <w:contextualSpacing/>
    </w:pPr>
  </w:style>
  <w:style w:type="character" w:styleId="Lienhypertextesuivivisit">
    <w:name w:val="FollowedHyperlink"/>
    <w:basedOn w:val="Policepardfaut"/>
    <w:uiPriority w:val="99"/>
    <w:semiHidden/>
    <w:unhideWhenUsed/>
    <w:rsid w:val="004258DF"/>
    <w:rPr>
      <w:color w:val="954F72" w:themeColor="followedHyperlink"/>
      <w:u w:val="single"/>
    </w:rPr>
  </w:style>
  <w:style w:type="paragraph" w:styleId="Rvision">
    <w:name w:val="Revision"/>
    <w:hidden/>
    <w:uiPriority w:val="99"/>
    <w:semiHidden/>
    <w:rsid w:val="004258DF"/>
    <w:pPr>
      <w:spacing w:after="0" w:line="240" w:lineRule="auto"/>
    </w:pPr>
    <w:rPr>
      <w:rFonts w:ascii="Times New Roman" w:eastAsia="Times New Roman" w:hAnsi="Times New Roman" w:cs="Times New Roman"/>
      <w:kern w:val="0"/>
      <w:szCs w:val="24"/>
      <w14:ligatures w14:val="none"/>
    </w:rPr>
  </w:style>
  <w:style w:type="paragraph" w:customStyle="1" w:styleId="CBD-Doc">
    <w:name w:val="CBD-Doc"/>
    <w:basedOn w:val="Normal"/>
    <w:rsid w:val="004258DF"/>
    <w:pPr>
      <w:keepLines/>
      <w:numPr>
        <w:numId w:val="34"/>
      </w:numPr>
      <w:spacing w:after="120"/>
    </w:pPr>
    <w:rPr>
      <w:rFonts w:cs="Angsana New"/>
    </w:rPr>
  </w:style>
  <w:style w:type="numbering" w:customStyle="1" w:styleId="Style2">
    <w:name w:val="Style2"/>
    <w:rsid w:val="004258DF"/>
  </w:style>
  <w:style w:type="character" w:customStyle="1" w:styleId="StyleFootnoteReferencenumberFootnoteReferenceSuperscript-EF">
    <w:name w:val="Style Footnote ReferencenumberFootnote Reference Superscript-E F..."/>
    <w:basedOn w:val="Appelnotedebasdep"/>
    <w:rsid w:val="004258DF"/>
    <w:rPr>
      <w:kern w:val="22"/>
      <w:sz w:val="18"/>
      <w:u w:val="none"/>
      <w:vertAlign w:val="superscript"/>
    </w:rPr>
  </w:style>
  <w:style w:type="paragraph" w:customStyle="1" w:styleId="HEADINGNOTFORTOC">
    <w:name w:val="HEADING (NOT FOR TOC)"/>
    <w:basedOn w:val="Titre1"/>
    <w:next w:val="Titre2"/>
    <w:rsid w:val="004258DF"/>
    <w:pPr>
      <w:keepLines w:val="0"/>
      <w:numPr>
        <w:numId w:val="0"/>
      </w:numPr>
      <w:tabs>
        <w:tab w:val="left" w:pos="720"/>
      </w:tabs>
      <w:jc w:val="center"/>
    </w:pPr>
    <w:rPr>
      <w:rFonts w:eastAsia="Times New Roman" w:cs="Times New Roman"/>
      <w:bCs w:val="0"/>
      <w:caps/>
      <w:kern w:val="0"/>
      <w:sz w:val="22"/>
      <w:szCs w:val="24"/>
      <w14:ligatures w14:val="none"/>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qFormat/>
    <w:locked/>
    <w:rsid w:val="004258DF"/>
    <w:rPr>
      <w:rFonts w:ascii="Times New Roman" w:eastAsia="Times New Roman" w:hAnsi="Times New Roman" w:cs="Times New Roman"/>
      <w:kern w:val="0"/>
      <w:szCs w:val="24"/>
      <w:lang w:val="ru-RU"/>
      <w14:ligatures w14:val="none"/>
    </w:rPr>
  </w:style>
  <w:style w:type="character" w:styleId="Mentionnonrsolue">
    <w:name w:val="Unresolved Mention"/>
    <w:basedOn w:val="Policepardfaut"/>
    <w:uiPriority w:val="99"/>
    <w:semiHidden/>
    <w:unhideWhenUsed/>
    <w:rsid w:val="004258DF"/>
    <w:rPr>
      <w:color w:val="605E5C"/>
      <w:shd w:val="clear" w:color="auto" w:fill="E1DFDD"/>
    </w:rPr>
  </w:style>
  <w:style w:type="paragraph" w:styleId="Textedebulles">
    <w:name w:val="Balloon Text"/>
    <w:basedOn w:val="Normal"/>
    <w:link w:val="TextedebullesCar"/>
    <w:uiPriority w:val="99"/>
    <w:semiHidden/>
    <w:unhideWhenUsed/>
    <w:rsid w:val="004258DF"/>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58DF"/>
    <w:rPr>
      <w:rFonts w:ascii="Segoe UI" w:eastAsia="Times New Roman" w:hAnsi="Segoe UI" w:cs="Segoe UI"/>
      <w:kern w:val="0"/>
      <w:sz w:val="18"/>
      <w:szCs w:val="18"/>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397B25ED30349089A5FDD2A49786410"/>
        <w:category>
          <w:name w:val="General"/>
          <w:gallery w:val="placeholder"/>
        </w:category>
        <w:types>
          <w:type w:val="bbPlcHdr"/>
        </w:types>
        <w:behaviors>
          <w:behavior w:val="content"/>
        </w:behaviors>
        <w:guid w:val="{BFB18148-F583-498B-9B77-AF2E947C6A05}"/>
      </w:docPartPr>
      <w:docPartBody>
        <w:p w:rsidR="00020430" w:rsidRDefault="00020430">
          <w:pPr>
            <w:pStyle w:val="C397B25ED30349089A5FDD2A49786410"/>
          </w:pPr>
          <w:r w:rsidRPr="009B5A4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430"/>
    <w:rsid w:val="00020430"/>
    <w:rsid w:val="00042C86"/>
    <w:rsid w:val="00110B17"/>
    <w:rsid w:val="00261ECA"/>
    <w:rsid w:val="00332E4A"/>
    <w:rsid w:val="00373D4C"/>
    <w:rsid w:val="0065666C"/>
    <w:rsid w:val="00661D45"/>
    <w:rsid w:val="006B53C9"/>
    <w:rsid w:val="006E2940"/>
    <w:rsid w:val="00A034C3"/>
    <w:rsid w:val="00A22ED2"/>
    <w:rsid w:val="00A9778B"/>
    <w:rsid w:val="00C67FC8"/>
    <w:rsid w:val="00C71C0B"/>
    <w:rsid w:val="00DA19CF"/>
    <w:rsid w:val="00E20C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C397B25ED30349089A5FDD2A49786410">
    <w:name w:val="C397B25ED30349089A5FDD2A497864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9C8DF-2290-4D2C-9EF8-059DB715D220}">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2.xml><?xml version="1.0" encoding="utf-8"?>
<ds:datastoreItem xmlns:ds="http://schemas.openxmlformats.org/officeDocument/2006/customXml" ds:itemID="{97E56275-44AE-4911-915C-D626CB2C3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74E457-5127-4C82-9B61-07487120E273}">
  <ds:schemaRefs>
    <ds:schemaRef ds:uri="http://schemas.openxmlformats.org/officeDocument/2006/bibliography"/>
  </ds:schemaRefs>
</ds:datastoreItem>
</file>

<file path=customXml/itemProps4.xml><?xml version="1.0" encoding="utf-8"?>
<ds:datastoreItem xmlns:ds="http://schemas.openxmlformats.org/officeDocument/2006/customXml" ds:itemID="{E56DACA2-8C2E-46A4-AF4A-CE8311E2C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2322</Words>
  <Characters>12776</Characters>
  <Application>Microsoft Office Word</Application>
  <DocSecurity>0</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Порядок проведения глобального обзора коллективного прогресса в осуществлении Куньминско-Монреальской глобальной рамочной программы в области биоразнообразия</vt:lpstr>
      <vt:lpstr>Procedures for the global review of collective progress in the implementation of the Kunming-Montreal Global Biodiversity Framework</vt:lpstr>
    </vt:vector>
  </TitlesOfParts>
  <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проведения глобального обзора коллективного прогресса в осуществлении Куньминско-Монреальской глобальной рамочной программы в области биоразнообразия</dc:title>
  <dc:subject>CBD/SBI/4/4/Add.2/Rev.1</dc:subject>
  <dc:creator>hirotsugu.takahashi</dc:creator>
  <cp:keywords/>
  <dc:description/>
  <cp:lastModifiedBy>Anna Langrand</cp:lastModifiedBy>
  <cp:revision>8</cp:revision>
  <cp:lastPrinted>2024-03-13T15:48:00Z</cp:lastPrinted>
  <dcterms:created xsi:type="dcterms:W3CDTF">2024-05-02T10:39:00Z</dcterms:created>
  <dcterms:modified xsi:type="dcterms:W3CDTF">2024-05-02T10:43:00Z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