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156C1C" w:rsidTr="009C2DE6">
        <w:trPr>
          <w:trHeight w:val="851"/>
        </w:trPr>
        <w:tc>
          <w:tcPr>
            <w:tcW w:w="976" w:type="dxa"/>
            <w:tcBorders>
              <w:bottom w:val="single" w:sz="12" w:space="0" w:color="auto"/>
            </w:tcBorders>
          </w:tcPr>
          <w:p w:rsidR="00C9161D" w:rsidRPr="00156C1C" w:rsidRDefault="00C9161D" w:rsidP="00B00053">
            <w:pPr>
              <w:suppressLineNumbers/>
              <w:suppressAutoHyphens/>
              <w:kinsoku w:val="0"/>
              <w:overflowPunct w:val="0"/>
              <w:autoSpaceDE w:val="0"/>
              <w:autoSpaceDN w:val="0"/>
              <w:adjustRightInd w:val="0"/>
              <w:snapToGrid w:val="0"/>
              <w:rPr>
                <w:snapToGrid w:val="0"/>
                <w:kern w:val="22"/>
              </w:rPr>
            </w:pPr>
            <w:r w:rsidRPr="00156C1C">
              <w:rPr>
                <w:noProof/>
                <w:snapToGrid w:val="0"/>
                <w:kern w:val="22"/>
                <w:lang w:eastAsia="fr-FR"/>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FA663B" w:rsidRPr="00156C1C" w:rsidRDefault="00C161A6" w:rsidP="00B00053">
            <w:pPr>
              <w:suppressLineNumbers/>
              <w:suppressAutoHyphens/>
              <w:kinsoku w:val="0"/>
              <w:overflowPunct w:val="0"/>
              <w:autoSpaceDE w:val="0"/>
              <w:autoSpaceDN w:val="0"/>
              <w:adjustRightInd w:val="0"/>
              <w:snapToGrid w:val="0"/>
              <w:rPr>
                <w:snapToGrid w:val="0"/>
                <w:kern w:val="22"/>
              </w:rPr>
            </w:pPr>
            <w:r w:rsidRPr="00C161A6">
              <w:rPr>
                <w:noProof/>
                <w:lang w:eastAsia="fr-FR"/>
              </w:rPr>
              <w:drawing>
                <wp:inline distT="0" distB="0" distL="0" distR="0" wp14:anchorId="6674DA30" wp14:editId="2BE35B53">
                  <wp:extent cx="593725" cy="340995"/>
                  <wp:effectExtent l="0" t="0" r="0" b="1905"/>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rsidR="009D7E39" w:rsidRDefault="00D940B1">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Pr>
                <w:rFonts w:ascii="Arial" w:hAnsi="Arial" w:cs="Arial"/>
                <w:b/>
                <w:snapToGrid w:val="0"/>
                <w:kern w:val="22"/>
                <w:sz w:val="32"/>
                <w:szCs w:val="32"/>
              </w:rPr>
              <w:t>CBD</w:t>
            </w:r>
          </w:p>
        </w:tc>
      </w:tr>
      <w:tr w:rsidR="00C9161D" w:rsidRPr="00156C1C" w:rsidTr="00CF1848">
        <w:tc>
          <w:tcPr>
            <w:tcW w:w="6117" w:type="dxa"/>
            <w:gridSpan w:val="2"/>
            <w:tcBorders>
              <w:top w:val="single" w:sz="12" w:space="0" w:color="auto"/>
              <w:bottom w:val="single" w:sz="36" w:space="0" w:color="auto"/>
            </w:tcBorders>
            <w:vAlign w:val="center"/>
          </w:tcPr>
          <w:p w:rsidR="00C9161D" w:rsidRPr="00156C1C" w:rsidRDefault="00C161A6" w:rsidP="00B00053">
            <w:pPr>
              <w:suppressLineNumbers/>
              <w:suppressAutoHyphens/>
              <w:kinsoku w:val="0"/>
              <w:overflowPunct w:val="0"/>
              <w:autoSpaceDE w:val="0"/>
              <w:autoSpaceDN w:val="0"/>
              <w:adjustRightInd w:val="0"/>
              <w:snapToGrid w:val="0"/>
              <w:rPr>
                <w:snapToGrid w:val="0"/>
                <w:kern w:val="22"/>
              </w:rPr>
            </w:pPr>
            <w:r w:rsidRPr="00F32592">
              <w:rPr>
                <w:bCs/>
                <w:noProof/>
                <w:szCs w:val="22"/>
                <w:lang w:eastAsia="fr-FR"/>
              </w:rPr>
              <w:drawing>
                <wp:inline distT="0" distB="0" distL="0" distR="0" wp14:anchorId="298AFB8C" wp14:editId="53E0EABF">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9D7E39" w:rsidRDefault="00D940B1">
            <w:pPr>
              <w:suppressLineNumbers/>
              <w:suppressAutoHyphens/>
              <w:kinsoku w:val="0"/>
              <w:overflowPunct w:val="0"/>
              <w:autoSpaceDE w:val="0"/>
              <w:autoSpaceDN w:val="0"/>
              <w:adjustRightInd w:val="0"/>
              <w:snapToGrid w:val="0"/>
              <w:ind w:left="1215"/>
              <w:rPr>
                <w:snapToGrid w:val="0"/>
                <w:kern w:val="22"/>
                <w:szCs w:val="22"/>
              </w:rPr>
            </w:pPr>
            <w:r>
              <w:rPr>
                <w:snapToGrid w:val="0"/>
                <w:kern w:val="22"/>
                <w:szCs w:val="22"/>
              </w:rPr>
              <w:t>Distr.</w:t>
            </w:r>
          </w:p>
          <w:p w:rsidR="009D7E39" w:rsidRDefault="00C74CCB">
            <w:pPr>
              <w:suppressLineNumbers/>
              <w:suppressAutoHyphens/>
              <w:kinsoku w:val="0"/>
              <w:overflowPunct w:val="0"/>
              <w:autoSpaceDE w:val="0"/>
              <w:autoSpaceDN w:val="0"/>
              <w:adjustRightInd w:val="0"/>
              <w:snapToGrid w:val="0"/>
              <w:ind w:left="1215"/>
              <w:rPr>
                <w:snapToGrid w:val="0"/>
                <w:kern w:val="22"/>
                <w:szCs w:val="22"/>
              </w:rPr>
            </w:pPr>
            <w:r>
              <w:rPr>
                <w:caps/>
                <w:snapToGrid w:val="0"/>
                <w:kern w:val="22"/>
                <w:szCs w:val="22"/>
              </w:rPr>
              <w:t>GÉNÉRALe</w:t>
            </w:r>
          </w:p>
          <w:p w:rsidR="00C9161D" w:rsidRPr="00156C1C"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rsidR="009D7E39" w:rsidRDefault="00D940B1">
            <w:pPr>
              <w:suppressLineNumbers/>
              <w:suppressAutoHyphens/>
              <w:kinsoku w:val="0"/>
              <w:overflowPunct w:val="0"/>
              <w:autoSpaceDE w:val="0"/>
              <w:autoSpaceDN w:val="0"/>
              <w:adjustRightInd w:val="0"/>
              <w:snapToGrid w:val="0"/>
              <w:ind w:left="1215"/>
              <w:rPr>
                <w:snapToGrid w:val="0"/>
                <w:kern w:val="22"/>
                <w:szCs w:val="22"/>
              </w:rPr>
            </w:pPr>
            <w:r>
              <w:rPr>
                <w:snapToGrid w:val="0"/>
                <w:kern w:val="22"/>
              </w:rPr>
              <w:t>CBD/COP/15/1/Add.5</w:t>
            </w:r>
          </w:p>
          <w:p w:rsidR="009D7E39" w:rsidRDefault="00C74CCB">
            <w:pPr>
              <w:suppressLineNumbers/>
              <w:suppressAutoHyphens/>
              <w:kinsoku w:val="0"/>
              <w:overflowPunct w:val="0"/>
              <w:autoSpaceDE w:val="0"/>
              <w:autoSpaceDN w:val="0"/>
              <w:adjustRightInd w:val="0"/>
              <w:snapToGrid w:val="0"/>
              <w:ind w:left="1215"/>
              <w:rPr>
                <w:snapToGrid w:val="0"/>
                <w:kern w:val="22"/>
                <w:szCs w:val="22"/>
              </w:rPr>
            </w:pPr>
            <w:r>
              <w:rPr>
                <w:snapToGrid w:val="0"/>
                <w:kern w:val="22"/>
                <w:szCs w:val="22"/>
              </w:rPr>
              <w:t>6 s</w:t>
            </w:r>
            <w:r w:rsidR="00D940B1">
              <w:rPr>
                <w:snapToGrid w:val="0"/>
                <w:kern w:val="22"/>
                <w:szCs w:val="22"/>
              </w:rPr>
              <w:t>eptembre 2023</w:t>
            </w:r>
          </w:p>
          <w:p w:rsidR="00C9161D" w:rsidRDefault="00C9161D" w:rsidP="00B00053">
            <w:pPr>
              <w:suppressLineNumbers/>
              <w:suppressAutoHyphens/>
              <w:kinsoku w:val="0"/>
              <w:overflowPunct w:val="0"/>
              <w:autoSpaceDE w:val="0"/>
              <w:autoSpaceDN w:val="0"/>
              <w:adjustRightInd w:val="0"/>
              <w:snapToGrid w:val="0"/>
              <w:ind w:left="1215"/>
              <w:rPr>
                <w:snapToGrid w:val="0"/>
                <w:kern w:val="22"/>
                <w:szCs w:val="22"/>
              </w:rPr>
            </w:pPr>
          </w:p>
          <w:p w:rsidR="00C74CCB" w:rsidRPr="00156C1C" w:rsidRDefault="00C74CCB" w:rsidP="00B00053">
            <w:pPr>
              <w:suppressLineNumbers/>
              <w:suppressAutoHyphens/>
              <w:kinsoku w:val="0"/>
              <w:overflowPunct w:val="0"/>
              <w:autoSpaceDE w:val="0"/>
              <w:autoSpaceDN w:val="0"/>
              <w:adjustRightInd w:val="0"/>
              <w:snapToGrid w:val="0"/>
              <w:ind w:left="1215"/>
              <w:rPr>
                <w:snapToGrid w:val="0"/>
                <w:kern w:val="22"/>
                <w:szCs w:val="22"/>
              </w:rPr>
            </w:pPr>
            <w:r>
              <w:rPr>
                <w:snapToGrid w:val="0"/>
                <w:kern w:val="22"/>
                <w:szCs w:val="22"/>
              </w:rPr>
              <w:t>FRANÇAIS</w:t>
            </w:r>
          </w:p>
          <w:p w:rsidR="009D7E39" w:rsidRDefault="00D940B1">
            <w:pPr>
              <w:suppressLineNumbers/>
              <w:suppressAutoHyphens/>
              <w:kinsoku w:val="0"/>
              <w:overflowPunct w:val="0"/>
              <w:autoSpaceDE w:val="0"/>
              <w:autoSpaceDN w:val="0"/>
              <w:adjustRightInd w:val="0"/>
              <w:snapToGrid w:val="0"/>
              <w:ind w:left="1215"/>
              <w:rPr>
                <w:snapToGrid w:val="0"/>
                <w:kern w:val="22"/>
                <w:szCs w:val="22"/>
              </w:rPr>
            </w:pPr>
            <w:r>
              <w:rPr>
                <w:snapToGrid w:val="0"/>
                <w:kern w:val="22"/>
                <w:szCs w:val="22"/>
              </w:rPr>
              <w:t>ORIGINAL : ANGLAIS</w:t>
            </w:r>
          </w:p>
          <w:p w:rsidR="00C9161D" w:rsidRPr="00156C1C" w:rsidRDefault="00C9161D" w:rsidP="00B00053">
            <w:pPr>
              <w:suppressLineNumbers/>
              <w:suppressAutoHyphens/>
              <w:kinsoku w:val="0"/>
              <w:overflowPunct w:val="0"/>
              <w:autoSpaceDE w:val="0"/>
              <w:autoSpaceDN w:val="0"/>
              <w:adjustRightInd w:val="0"/>
              <w:snapToGrid w:val="0"/>
              <w:rPr>
                <w:snapToGrid w:val="0"/>
                <w:kern w:val="22"/>
              </w:rPr>
            </w:pPr>
          </w:p>
        </w:tc>
      </w:tr>
    </w:tbl>
    <w:p w:rsidR="009D7E39" w:rsidRDefault="00D940B1" w:rsidP="00C161A6">
      <w:pPr>
        <w:pStyle w:val="Cornernotation"/>
        <w:suppressLineNumbers/>
        <w:suppressAutoHyphens/>
        <w:kinsoku w:val="0"/>
        <w:overflowPunct w:val="0"/>
        <w:autoSpaceDE w:val="0"/>
        <w:autoSpaceDN w:val="0"/>
        <w:adjustRightInd w:val="0"/>
        <w:snapToGrid w:val="0"/>
        <w:spacing w:before="60"/>
        <w:ind w:left="142" w:right="4642" w:hanging="142"/>
        <w:rPr>
          <w:snapToGrid w:val="0"/>
          <w:kern w:val="22"/>
        </w:rPr>
      </w:pPr>
      <w:r>
        <w:rPr>
          <w:snapToGrid w:val="0"/>
          <w:kern w:val="22"/>
        </w:rPr>
        <w:t>CONFÉRENCE DES PARTIES À LA CONVENTION SUR LA DIVERSITÉ BIOLOGIQUE</w:t>
      </w:r>
    </w:p>
    <w:p w:rsidR="009D7E39" w:rsidRDefault="00C74CCB">
      <w:pPr>
        <w:pStyle w:val="Cornernotation"/>
        <w:suppressLineNumbers/>
        <w:suppressAutoHyphens/>
        <w:kinsoku w:val="0"/>
        <w:overflowPunct w:val="0"/>
        <w:autoSpaceDE w:val="0"/>
        <w:autoSpaceDN w:val="0"/>
        <w:adjustRightInd w:val="0"/>
        <w:snapToGrid w:val="0"/>
        <w:rPr>
          <w:snapToGrid w:val="0"/>
          <w:kern w:val="22"/>
        </w:rPr>
      </w:pPr>
      <w:r>
        <w:rPr>
          <w:snapToGrid w:val="0"/>
          <w:kern w:val="22"/>
        </w:rPr>
        <w:t>Quinzième réunion</w:t>
      </w:r>
      <w:r w:rsidR="00D940B1">
        <w:rPr>
          <w:snapToGrid w:val="0"/>
          <w:kern w:val="22"/>
        </w:rPr>
        <w:t xml:space="preserve">, </w:t>
      </w:r>
      <w:r w:rsidR="00051268">
        <w:rPr>
          <w:snapToGrid w:val="0"/>
          <w:kern w:val="22"/>
        </w:rPr>
        <w:t>suite</w:t>
      </w:r>
      <w:r w:rsidR="00D940B1">
        <w:rPr>
          <w:snapToGrid w:val="0"/>
          <w:kern w:val="22"/>
        </w:rPr>
        <w:t xml:space="preserve"> de la </w:t>
      </w:r>
      <w:r w:rsidR="00051268">
        <w:rPr>
          <w:snapToGrid w:val="0"/>
          <w:kern w:val="22"/>
        </w:rPr>
        <w:t>deuxième partie</w:t>
      </w:r>
    </w:p>
    <w:p w:rsidR="009D7E39" w:rsidRDefault="00D940B1">
      <w:pPr>
        <w:pStyle w:val="Cornernotation"/>
        <w:suppressLineNumbers/>
        <w:suppressAutoHyphens/>
        <w:kinsoku w:val="0"/>
        <w:overflowPunct w:val="0"/>
        <w:autoSpaceDE w:val="0"/>
        <w:autoSpaceDN w:val="0"/>
        <w:adjustRightInd w:val="0"/>
        <w:snapToGrid w:val="0"/>
        <w:ind w:right="4116"/>
        <w:rPr>
          <w:snapToGrid w:val="0"/>
          <w:kern w:val="22"/>
        </w:rPr>
      </w:pPr>
      <w:bookmarkStart w:id="0" w:name="OLE_LINK1"/>
      <w:bookmarkStart w:id="1" w:name="OLE_LINK2"/>
      <w:r>
        <w:rPr>
          <w:snapToGrid w:val="0"/>
          <w:kern w:val="22"/>
        </w:rPr>
        <w:t xml:space="preserve">Nairobi, </w:t>
      </w:r>
      <w:bookmarkEnd w:id="0"/>
      <w:bookmarkEnd w:id="1"/>
      <w:r>
        <w:rPr>
          <w:snapToGrid w:val="0"/>
          <w:kern w:val="22"/>
        </w:rPr>
        <w:t xml:space="preserve">19 et 20 octobre 2023 </w:t>
      </w:r>
    </w:p>
    <w:p w:rsidR="009D7E39" w:rsidRDefault="00D940B1">
      <w:pPr>
        <w:suppressLineNumbers/>
        <w:suppressAutoHyphens/>
        <w:kinsoku w:val="0"/>
        <w:overflowPunct w:val="0"/>
        <w:autoSpaceDE w:val="0"/>
        <w:autoSpaceDN w:val="0"/>
        <w:adjustRightInd w:val="0"/>
        <w:snapToGrid w:val="0"/>
        <w:rPr>
          <w:snapToGrid w:val="0"/>
          <w:kern w:val="22"/>
        </w:rPr>
      </w:pPr>
      <w:r>
        <w:rPr>
          <w:snapToGrid w:val="0"/>
          <w:kern w:val="22"/>
          <w:szCs w:val="22"/>
        </w:rPr>
        <w:t xml:space="preserve">Point 2 de l'ordre du jour </w:t>
      </w:r>
    </w:p>
    <w:p w:rsidR="009D7E39" w:rsidRDefault="00D940B1">
      <w:pPr>
        <w:suppressLineNumbers/>
        <w:suppressAutoHyphens/>
        <w:kinsoku w:val="0"/>
        <w:overflowPunct w:val="0"/>
        <w:autoSpaceDE w:val="0"/>
        <w:autoSpaceDN w:val="0"/>
        <w:adjustRightInd w:val="0"/>
        <w:snapToGrid w:val="0"/>
        <w:spacing w:before="240" w:after="120"/>
        <w:jc w:val="center"/>
        <w:rPr>
          <w:rFonts w:cs="Times New Roman Bold"/>
          <w:b/>
          <w:caps/>
          <w:snapToGrid w:val="0"/>
          <w:kern w:val="22"/>
        </w:rPr>
      </w:pPr>
      <w:r>
        <w:rPr>
          <w:rFonts w:ascii="Times New Roman Bold" w:hAnsi="Times New Roman Bold" w:cs="Times New Roman Bold"/>
          <w:b/>
          <w:bCs/>
          <w:caps/>
          <w:snapToGrid w:val="0"/>
          <w:kern w:val="22"/>
        </w:rPr>
        <w:t>Annotations À L'ordre du jour</w:t>
      </w:r>
    </w:p>
    <w:p w:rsidR="009D7E39" w:rsidRDefault="00D940B1">
      <w:pPr>
        <w:keepNext/>
        <w:suppressLineNumbers/>
        <w:suppressAutoHyphens/>
        <w:kinsoku w:val="0"/>
        <w:overflowPunct w:val="0"/>
        <w:autoSpaceDE w:val="0"/>
        <w:autoSpaceDN w:val="0"/>
        <w:adjustRightInd w:val="0"/>
        <w:snapToGrid w:val="0"/>
        <w:spacing w:before="240" w:after="120"/>
        <w:jc w:val="center"/>
        <w:outlineLvl w:val="0"/>
        <w:rPr>
          <w:rFonts w:ascii="Times New Roman Bold" w:hAnsi="Times New Roman Bold" w:cs="Times New Roman Bold"/>
          <w:b/>
          <w:snapToGrid w:val="0"/>
          <w:kern w:val="22"/>
          <w:szCs w:val="22"/>
        </w:rPr>
      </w:pPr>
      <w:r>
        <w:rPr>
          <w:rFonts w:ascii="Times New Roman Bold" w:hAnsi="Times New Roman Bold" w:cs="Times New Roman Bold"/>
          <w:b/>
          <w:snapToGrid w:val="0"/>
          <w:kern w:val="22"/>
          <w:szCs w:val="22"/>
        </w:rPr>
        <w:t>Introduction</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 xml:space="preserve">À l'invitation du Gouvernement chinois, et comme l'a décidé la Conférence des Parties à la Convention dans sa </w:t>
      </w:r>
      <w:hyperlink r:id="rId15" w:history="1">
        <w:r>
          <w:rPr>
            <w:snapToGrid w:val="0"/>
            <w:kern w:val="22"/>
            <w:szCs w:val="22"/>
          </w:rPr>
          <w:t xml:space="preserve">décision </w:t>
        </w:r>
      </w:hyperlink>
      <w:hyperlink r:id="rId16" w:history="1">
        <w:r>
          <w:rPr>
            <w:snapToGrid w:val="0"/>
            <w:color w:val="0000FF"/>
            <w:kern w:val="22"/>
            <w:szCs w:val="22"/>
            <w:u w:val="single"/>
          </w:rPr>
          <w:t>XIII/33</w:t>
        </w:r>
      </w:hyperlink>
      <w:r>
        <w:rPr>
          <w:snapToGrid w:val="0"/>
          <w:kern w:val="22"/>
          <w:szCs w:val="22"/>
        </w:rPr>
        <w:t xml:space="preserve">, la quinzième réunion de la Conférence des Parties devait se tenir à Kunming (Chine) en octobre 2020. La dixième réunion de la Conférence des Parties </w:t>
      </w:r>
      <w:r w:rsidR="00C74CCB">
        <w:rPr>
          <w:snapToGrid w:val="0"/>
          <w:kern w:val="22"/>
          <w:szCs w:val="22"/>
        </w:rPr>
        <w:t>siégeant en tant que</w:t>
      </w:r>
      <w:r>
        <w:rPr>
          <w:snapToGrid w:val="0"/>
          <w:kern w:val="22"/>
          <w:szCs w:val="22"/>
        </w:rPr>
        <w:t xml:space="preserve"> réunion des Parties au Protocole de </w:t>
      </w:r>
      <w:r w:rsidR="00C6668A">
        <w:rPr>
          <w:snapToGrid w:val="0"/>
          <w:kern w:val="22"/>
          <w:szCs w:val="22"/>
        </w:rPr>
        <w:t>Cartagena</w:t>
      </w:r>
      <w:r w:rsidR="00710FAE">
        <w:rPr>
          <w:snapToGrid w:val="0"/>
          <w:kern w:val="22"/>
          <w:szCs w:val="22"/>
        </w:rPr>
        <w:t xml:space="preserve"> sur la prévention </w:t>
      </w:r>
      <w:r>
        <w:rPr>
          <w:snapToGrid w:val="0"/>
          <w:kern w:val="22"/>
          <w:szCs w:val="22"/>
        </w:rPr>
        <w:t xml:space="preserve">des risques biotechnologiques et la quatrième réunion de la Conférence des Parties </w:t>
      </w:r>
      <w:r w:rsidR="00C74CCB">
        <w:rPr>
          <w:snapToGrid w:val="0"/>
          <w:kern w:val="22"/>
          <w:szCs w:val="22"/>
        </w:rPr>
        <w:t>siégeant en tant que</w:t>
      </w:r>
      <w:r>
        <w:rPr>
          <w:snapToGrid w:val="0"/>
          <w:kern w:val="22"/>
          <w:szCs w:val="22"/>
        </w:rPr>
        <w:t xml:space="preserve"> réunion des Parties au Protocole de Nagoya sur l'accès aux ressources génétiques et le partage juste et équitable des avantages découlant de leur utilisation devaient se tenir en même temps que la quinzième réunion de la Conférence des Parties. Toutefois, en raison de la pandémie de la maladie à coronavirus (COVID-19), les réunions ont été reportées. </w:t>
      </w:r>
    </w:p>
    <w:p w:rsidR="009D7E39" w:rsidRDefault="00C6668A">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Suite à la décision</w:t>
      </w:r>
      <w:r w:rsidR="00D940B1">
        <w:rPr>
          <w:snapToGrid w:val="0"/>
          <w:kern w:val="22"/>
          <w:szCs w:val="22"/>
        </w:rPr>
        <w:t xml:space="preserve"> de tenir les réunions en deux parties, et compte tenu de l'impératif de tenir la quinzième réunion de la Conférence des Parties avant la fin de 2022, la première partie des trois réunions s'est tenue dans un format hybride, à la fois en ligne et en personne à Kunming, du 11 au 15 octobre 2021. La deuxième partie s'est tenue en personne à Montréal, au C</w:t>
      </w:r>
      <w:r>
        <w:rPr>
          <w:snapToGrid w:val="0"/>
          <w:kern w:val="22"/>
          <w:szCs w:val="22"/>
        </w:rPr>
        <w:t>anada, du 7 au 19 décembre 2022; cependant</w:t>
      </w:r>
      <w:r w:rsidR="00D940B1">
        <w:rPr>
          <w:snapToGrid w:val="0"/>
          <w:kern w:val="22"/>
          <w:szCs w:val="22"/>
        </w:rPr>
        <w:t xml:space="preserve">, en raison d'obstacles procéduraux, la deuxième partie a été suspendue avant que l'examen de certains points de l'ordre du jour puisse être achevé. </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Conformément à la décision prise par le Bureau de la Conférence</w:t>
      </w:r>
      <w:r w:rsidR="00C6668A">
        <w:rPr>
          <w:snapToGrid w:val="0"/>
          <w:kern w:val="22"/>
          <w:szCs w:val="22"/>
        </w:rPr>
        <w:t xml:space="preserve"> des Parties à sa réunion du 31 </w:t>
      </w:r>
      <w:r>
        <w:rPr>
          <w:snapToGrid w:val="0"/>
          <w:kern w:val="22"/>
          <w:szCs w:val="22"/>
        </w:rPr>
        <w:t xml:space="preserve">juillet 2023, la </w:t>
      </w:r>
      <w:r w:rsidR="00C6668A">
        <w:rPr>
          <w:snapToGrid w:val="0"/>
          <w:kern w:val="22"/>
          <w:szCs w:val="22"/>
        </w:rPr>
        <w:t>suit</w:t>
      </w:r>
      <w:r w:rsidR="00051268">
        <w:rPr>
          <w:snapToGrid w:val="0"/>
          <w:kern w:val="22"/>
          <w:szCs w:val="22"/>
        </w:rPr>
        <w:t>e</w:t>
      </w:r>
      <w:r>
        <w:rPr>
          <w:snapToGrid w:val="0"/>
          <w:kern w:val="22"/>
          <w:szCs w:val="22"/>
        </w:rPr>
        <w:t xml:space="preserve"> de la deuxième partie de la quinzième réunion de la Conférence des Parties se tiendra les 19 et 20 octobre 2023, à Nairobi, immédiatement après la vingt-cinquième ré</w:t>
      </w:r>
      <w:r w:rsidR="00C6668A">
        <w:rPr>
          <w:snapToGrid w:val="0"/>
          <w:kern w:val="22"/>
          <w:szCs w:val="22"/>
        </w:rPr>
        <w:t xml:space="preserve">union de l'Organe subsidiaire chargé de fournir des avis </w:t>
      </w:r>
      <w:r>
        <w:rPr>
          <w:snapToGrid w:val="0"/>
          <w:kern w:val="22"/>
          <w:szCs w:val="22"/>
        </w:rPr>
        <w:t>scientifique</w:t>
      </w:r>
      <w:r w:rsidR="00C6668A">
        <w:rPr>
          <w:snapToGrid w:val="0"/>
          <w:kern w:val="22"/>
          <w:szCs w:val="22"/>
        </w:rPr>
        <w:t>s</w:t>
      </w:r>
      <w:r>
        <w:rPr>
          <w:snapToGrid w:val="0"/>
          <w:kern w:val="22"/>
          <w:szCs w:val="22"/>
        </w:rPr>
        <w:t>, technique</w:t>
      </w:r>
      <w:r w:rsidR="00C6668A">
        <w:rPr>
          <w:snapToGrid w:val="0"/>
          <w:kern w:val="22"/>
          <w:szCs w:val="22"/>
        </w:rPr>
        <w:t>s</w:t>
      </w:r>
      <w:r>
        <w:rPr>
          <w:snapToGrid w:val="0"/>
          <w:kern w:val="22"/>
          <w:szCs w:val="22"/>
        </w:rPr>
        <w:t xml:space="preserve"> et technologique</w:t>
      </w:r>
      <w:r w:rsidR="00C6668A">
        <w:rPr>
          <w:snapToGrid w:val="0"/>
          <w:kern w:val="22"/>
          <w:szCs w:val="22"/>
        </w:rPr>
        <w:t>s</w:t>
      </w:r>
      <w:r>
        <w:rPr>
          <w:snapToGrid w:val="0"/>
          <w:kern w:val="22"/>
          <w:szCs w:val="22"/>
        </w:rPr>
        <w:t>.</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L'ordre du jour de la quinzième réunion de la Conférence des Parties</w:t>
      </w:r>
      <w:r w:rsidR="003B5339" w:rsidRPr="00295F61">
        <w:rPr>
          <w:rStyle w:val="FootnoteReference"/>
          <w:snapToGrid w:val="0"/>
          <w:kern w:val="22"/>
          <w:szCs w:val="22"/>
        </w:rPr>
        <w:footnoteReference w:id="2"/>
      </w:r>
      <w:r>
        <w:rPr>
          <w:snapToGrid w:val="0"/>
          <w:kern w:val="22"/>
          <w:szCs w:val="22"/>
        </w:rPr>
        <w:t xml:space="preserve"> a été a</w:t>
      </w:r>
      <w:r w:rsidR="00C6668A">
        <w:rPr>
          <w:snapToGrid w:val="0"/>
          <w:kern w:val="22"/>
          <w:szCs w:val="22"/>
        </w:rPr>
        <w:t>dopté à la première partie de la</w:t>
      </w:r>
      <w:r>
        <w:rPr>
          <w:snapToGrid w:val="0"/>
          <w:kern w:val="22"/>
          <w:szCs w:val="22"/>
        </w:rPr>
        <w:t xml:space="preserve"> réunion. Le présent document c</w:t>
      </w:r>
      <w:r w:rsidR="00C6668A">
        <w:rPr>
          <w:snapToGrid w:val="0"/>
          <w:kern w:val="22"/>
          <w:szCs w:val="22"/>
        </w:rPr>
        <w:t xml:space="preserve">ontient des annotations aux </w:t>
      </w:r>
      <w:r>
        <w:rPr>
          <w:snapToGrid w:val="0"/>
          <w:kern w:val="22"/>
          <w:szCs w:val="22"/>
        </w:rPr>
        <w:t>points de l'or</w:t>
      </w:r>
      <w:r w:rsidR="00C6668A">
        <w:rPr>
          <w:snapToGrid w:val="0"/>
          <w:kern w:val="22"/>
          <w:szCs w:val="22"/>
        </w:rPr>
        <w:t>dre du jour qui seront abordés lors de</w:t>
      </w:r>
      <w:r>
        <w:rPr>
          <w:snapToGrid w:val="0"/>
          <w:kern w:val="22"/>
          <w:szCs w:val="22"/>
        </w:rPr>
        <w:t xml:space="preserve"> la </w:t>
      </w:r>
      <w:r w:rsidR="00C6668A">
        <w:rPr>
          <w:snapToGrid w:val="0"/>
          <w:kern w:val="22"/>
          <w:szCs w:val="22"/>
        </w:rPr>
        <w:t>reprise</w:t>
      </w:r>
      <w:r>
        <w:rPr>
          <w:snapToGrid w:val="0"/>
          <w:kern w:val="22"/>
          <w:szCs w:val="22"/>
        </w:rPr>
        <w:t xml:space="preserve"> de la deuxième partie, à savoir ceux qui n'ont pas été examinés ou qui n'ont pas</w:t>
      </w:r>
      <w:r w:rsidR="00C161A6">
        <w:rPr>
          <w:snapToGrid w:val="0"/>
          <w:kern w:val="22"/>
          <w:szCs w:val="22"/>
        </w:rPr>
        <w:t xml:space="preserve"> été achevés lors de</w:t>
      </w:r>
      <w:r w:rsidR="00C6668A">
        <w:rPr>
          <w:snapToGrid w:val="0"/>
          <w:kern w:val="22"/>
          <w:szCs w:val="22"/>
        </w:rPr>
        <w:t xml:space="preserve"> la première ou </w:t>
      </w:r>
      <w:r>
        <w:rPr>
          <w:snapToGrid w:val="0"/>
          <w:kern w:val="22"/>
          <w:szCs w:val="22"/>
        </w:rPr>
        <w:t xml:space="preserve">deuxième partie. </w:t>
      </w:r>
    </w:p>
    <w:p w:rsidR="009D7E39" w:rsidRDefault="00D940B1">
      <w:pPr>
        <w:keepNext/>
        <w:suppressLineNumbers/>
        <w:suppressAutoHyphens/>
        <w:kinsoku w:val="0"/>
        <w:overflowPunct w:val="0"/>
        <w:autoSpaceDE w:val="0"/>
        <w:autoSpaceDN w:val="0"/>
        <w:adjustRightInd w:val="0"/>
        <w:snapToGrid w:val="0"/>
        <w:spacing w:before="240" w:after="120"/>
        <w:jc w:val="center"/>
        <w:outlineLvl w:val="0"/>
        <w:rPr>
          <w:b/>
          <w:bCs/>
          <w:snapToGrid w:val="0"/>
          <w:kern w:val="22"/>
          <w:szCs w:val="22"/>
        </w:rPr>
      </w:pPr>
      <w:r>
        <w:rPr>
          <w:b/>
          <w:bCs/>
          <w:snapToGrid w:val="0"/>
          <w:kern w:val="22"/>
          <w:szCs w:val="22"/>
        </w:rPr>
        <w:t>I.</w:t>
      </w:r>
      <w:r>
        <w:rPr>
          <w:b/>
          <w:bCs/>
          <w:snapToGrid w:val="0"/>
          <w:kern w:val="22"/>
          <w:szCs w:val="22"/>
        </w:rPr>
        <w:tab/>
        <w:t>QUESTIONS D'ORGANISATION</w:t>
      </w:r>
    </w:p>
    <w:p w:rsidR="009D7E39" w:rsidRDefault="00D940B1">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iCs/>
          <w:snapToGrid w:val="0"/>
          <w:kern w:val="22"/>
          <w:szCs w:val="22"/>
        </w:rPr>
      </w:pPr>
      <w:bookmarkStart w:id="2" w:name="Item01"/>
      <w:r>
        <w:rPr>
          <w:b/>
          <w:bCs/>
          <w:iCs/>
          <w:snapToGrid w:val="0"/>
          <w:kern w:val="22"/>
          <w:szCs w:val="22"/>
        </w:rPr>
        <w:t>Point 1.</w:t>
      </w:r>
      <w:r>
        <w:rPr>
          <w:b/>
          <w:bCs/>
          <w:iCs/>
          <w:snapToGrid w:val="0"/>
          <w:kern w:val="22"/>
          <w:szCs w:val="22"/>
        </w:rPr>
        <w:tab/>
        <w:t>Ouverture de la réunion</w:t>
      </w:r>
      <w:bookmarkEnd w:id="2"/>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 xml:space="preserve">La </w:t>
      </w:r>
      <w:r w:rsidR="00051268">
        <w:rPr>
          <w:snapToGrid w:val="0"/>
          <w:kern w:val="22"/>
          <w:szCs w:val="22"/>
        </w:rPr>
        <w:t>suite</w:t>
      </w:r>
      <w:r>
        <w:rPr>
          <w:snapToGrid w:val="0"/>
          <w:kern w:val="22"/>
          <w:szCs w:val="22"/>
        </w:rPr>
        <w:t xml:space="preserve"> de la deuxième partie de la réunion débutera à 15 heures, le 19 octobre 2023. </w:t>
      </w:r>
    </w:p>
    <w:p w:rsidR="009D7E39" w:rsidRDefault="00C6668A">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lastRenderedPageBreak/>
        <w:t>Le p</w:t>
      </w:r>
      <w:r w:rsidR="00D940B1">
        <w:rPr>
          <w:snapToGrid w:val="0"/>
          <w:kern w:val="22"/>
          <w:szCs w:val="22"/>
        </w:rPr>
        <w:t xml:space="preserve">résident de la quinzième réunion de la Conférence des Parties ou son représentant ouvrira la réunion. </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Le Secrétaire exécutif par intérim s'adressera aux participants et décrira l'objet de la réunion.</w:t>
      </w:r>
    </w:p>
    <w:p w:rsidR="009D7E39" w:rsidRDefault="00C161A6">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L</w:t>
      </w:r>
      <w:r w:rsidR="00A54F10">
        <w:rPr>
          <w:snapToGrid w:val="0"/>
          <w:kern w:val="22"/>
          <w:szCs w:val="22"/>
        </w:rPr>
        <w:t>’ouverture de la</w:t>
      </w:r>
      <w:r w:rsidR="00D940B1">
        <w:rPr>
          <w:snapToGrid w:val="0"/>
          <w:kern w:val="22"/>
          <w:szCs w:val="22"/>
        </w:rPr>
        <w:t xml:space="preserve"> </w:t>
      </w:r>
      <w:r>
        <w:rPr>
          <w:snapToGrid w:val="0"/>
          <w:kern w:val="22"/>
          <w:szCs w:val="22"/>
        </w:rPr>
        <w:t>suite</w:t>
      </w:r>
      <w:r w:rsidR="00D940B1">
        <w:rPr>
          <w:snapToGrid w:val="0"/>
          <w:kern w:val="22"/>
          <w:szCs w:val="22"/>
        </w:rPr>
        <w:t xml:space="preserve"> de la deuxième partie de la dixième réunion de la Conférence des Parties </w:t>
      </w:r>
      <w:r w:rsidR="00C74CCB">
        <w:rPr>
          <w:snapToGrid w:val="0"/>
          <w:kern w:val="22"/>
          <w:szCs w:val="22"/>
        </w:rPr>
        <w:t>siégeant en tant que</w:t>
      </w:r>
      <w:r w:rsidR="00D940B1">
        <w:rPr>
          <w:snapToGrid w:val="0"/>
          <w:kern w:val="22"/>
          <w:szCs w:val="22"/>
        </w:rPr>
        <w:t xml:space="preserve"> réunion des Parties au Protocole de </w:t>
      </w:r>
      <w:r w:rsidR="00C6668A">
        <w:rPr>
          <w:snapToGrid w:val="0"/>
          <w:kern w:val="22"/>
          <w:szCs w:val="22"/>
        </w:rPr>
        <w:t>Cartagena</w:t>
      </w:r>
      <w:r w:rsidR="00A54F10">
        <w:rPr>
          <w:snapToGrid w:val="0"/>
          <w:kern w:val="22"/>
          <w:szCs w:val="22"/>
        </w:rPr>
        <w:t xml:space="preserve"> et </w:t>
      </w:r>
      <w:r w:rsidR="00D940B1">
        <w:rPr>
          <w:snapToGrid w:val="0"/>
          <w:kern w:val="22"/>
          <w:szCs w:val="22"/>
        </w:rPr>
        <w:t>de</w:t>
      </w:r>
      <w:r w:rsidR="00A54F10">
        <w:rPr>
          <w:snapToGrid w:val="0"/>
          <w:kern w:val="22"/>
          <w:szCs w:val="22"/>
        </w:rPr>
        <w:t xml:space="preserve"> la suite de</w:t>
      </w:r>
      <w:r w:rsidR="00D940B1">
        <w:rPr>
          <w:snapToGrid w:val="0"/>
          <w:kern w:val="22"/>
          <w:szCs w:val="22"/>
        </w:rPr>
        <w:t xml:space="preserve"> la deuxième partie de la quatrième réunion de la Conférence des Parties </w:t>
      </w:r>
      <w:r w:rsidR="00C74CCB">
        <w:rPr>
          <w:snapToGrid w:val="0"/>
          <w:kern w:val="22"/>
          <w:szCs w:val="22"/>
        </w:rPr>
        <w:t>siégeant en tant que</w:t>
      </w:r>
      <w:r w:rsidR="00D940B1">
        <w:rPr>
          <w:snapToGrid w:val="0"/>
          <w:kern w:val="22"/>
          <w:szCs w:val="22"/>
        </w:rPr>
        <w:t xml:space="preserve"> réunion des Parties au Protocol</w:t>
      </w:r>
      <w:r>
        <w:rPr>
          <w:snapToGrid w:val="0"/>
          <w:kern w:val="22"/>
          <w:szCs w:val="22"/>
        </w:rPr>
        <w:t>e</w:t>
      </w:r>
      <w:r w:rsidR="00A54F10">
        <w:rPr>
          <w:snapToGrid w:val="0"/>
          <w:kern w:val="22"/>
          <w:szCs w:val="22"/>
        </w:rPr>
        <w:t xml:space="preserve"> de Nagoya aura lieu</w:t>
      </w:r>
      <w:r w:rsidR="00D940B1">
        <w:rPr>
          <w:snapToGrid w:val="0"/>
          <w:kern w:val="22"/>
          <w:szCs w:val="22"/>
        </w:rPr>
        <w:t xml:space="preserve"> </w:t>
      </w:r>
      <w:r>
        <w:rPr>
          <w:snapToGrid w:val="0"/>
          <w:kern w:val="22"/>
          <w:szCs w:val="22"/>
        </w:rPr>
        <w:t>en même temps que</w:t>
      </w:r>
      <w:r w:rsidR="00A54F10">
        <w:rPr>
          <w:snapToGrid w:val="0"/>
          <w:kern w:val="22"/>
          <w:szCs w:val="22"/>
        </w:rPr>
        <w:t xml:space="preserve"> l’ouverture de la</w:t>
      </w:r>
      <w:r w:rsidR="00D940B1">
        <w:rPr>
          <w:snapToGrid w:val="0"/>
          <w:kern w:val="22"/>
          <w:szCs w:val="22"/>
        </w:rPr>
        <w:t xml:space="preserve"> </w:t>
      </w:r>
      <w:r>
        <w:rPr>
          <w:snapToGrid w:val="0"/>
          <w:kern w:val="22"/>
          <w:szCs w:val="22"/>
        </w:rPr>
        <w:t>suit</w:t>
      </w:r>
      <w:r w:rsidR="00051268">
        <w:rPr>
          <w:snapToGrid w:val="0"/>
          <w:kern w:val="22"/>
          <w:szCs w:val="22"/>
        </w:rPr>
        <w:t>e</w:t>
      </w:r>
      <w:r w:rsidR="00D940B1">
        <w:rPr>
          <w:snapToGrid w:val="0"/>
          <w:kern w:val="22"/>
          <w:szCs w:val="22"/>
        </w:rPr>
        <w:t xml:space="preserve"> de la deuxième partie de la quinzième réunion de la Conférence des Parties.</w:t>
      </w:r>
    </w:p>
    <w:p w:rsidR="009D7E39" w:rsidRDefault="00D940B1">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snapToGrid w:val="0"/>
          <w:kern w:val="22"/>
          <w:szCs w:val="22"/>
        </w:rPr>
      </w:pPr>
      <w:r>
        <w:rPr>
          <w:b/>
          <w:bCs/>
          <w:snapToGrid w:val="0"/>
          <w:kern w:val="22"/>
          <w:szCs w:val="22"/>
        </w:rPr>
        <w:t>Point 2.</w:t>
      </w:r>
      <w:r>
        <w:rPr>
          <w:b/>
          <w:bCs/>
          <w:snapToGrid w:val="0"/>
          <w:kern w:val="22"/>
          <w:szCs w:val="22"/>
        </w:rPr>
        <w:tab/>
      </w:r>
      <w:r>
        <w:rPr>
          <w:b/>
          <w:bCs/>
          <w:iCs/>
          <w:snapToGrid w:val="0"/>
          <w:kern w:val="22"/>
          <w:szCs w:val="22"/>
        </w:rPr>
        <w:t xml:space="preserve">Questions </w:t>
      </w:r>
      <w:r>
        <w:rPr>
          <w:b/>
          <w:bCs/>
          <w:snapToGrid w:val="0"/>
          <w:kern w:val="22"/>
          <w:szCs w:val="22"/>
        </w:rPr>
        <w:t>d'organisation</w:t>
      </w:r>
    </w:p>
    <w:p w:rsidR="009D7E39" w:rsidRDefault="00C6668A">
      <w:pPr>
        <w:keepNext/>
        <w:suppressLineNumbers/>
        <w:tabs>
          <w:tab w:val="left" w:pos="567"/>
        </w:tabs>
        <w:suppressAutoHyphens/>
        <w:kinsoku w:val="0"/>
        <w:overflowPunct w:val="0"/>
        <w:autoSpaceDE w:val="0"/>
        <w:autoSpaceDN w:val="0"/>
        <w:adjustRightInd w:val="0"/>
        <w:snapToGrid w:val="0"/>
        <w:spacing w:before="120" w:after="120"/>
        <w:outlineLvl w:val="2"/>
        <w:rPr>
          <w:i/>
          <w:iCs/>
          <w:snapToGrid w:val="0"/>
          <w:kern w:val="22"/>
          <w:szCs w:val="22"/>
        </w:rPr>
      </w:pPr>
      <w:r>
        <w:rPr>
          <w:i/>
          <w:iCs/>
          <w:snapToGrid w:val="0"/>
          <w:kern w:val="22"/>
          <w:szCs w:val="22"/>
        </w:rPr>
        <w:t>Membres du Bureau</w:t>
      </w:r>
      <w:r w:rsidR="00D940B1">
        <w:rPr>
          <w:i/>
          <w:iCs/>
          <w:snapToGrid w:val="0"/>
          <w:kern w:val="22"/>
          <w:szCs w:val="22"/>
        </w:rPr>
        <w:t xml:space="preserve"> </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lang w:eastAsia="en-CA"/>
        </w:rPr>
      </w:pPr>
      <w:r>
        <w:rPr>
          <w:kern w:val="22"/>
          <w:szCs w:val="22"/>
        </w:rPr>
        <w:t xml:space="preserve">Le </w:t>
      </w:r>
      <w:r w:rsidR="00C6668A">
        <w:rPr>
          <w:snapToGrid w:val="0"/>
          <w:kern w:val="22"/>
          <w:szCs w:val="22"/>
        </w:rPr>
        <w:t>p</w:t>
      </w:r>
      <w:r>
        <w:rPr>
          <w:snapToGrid w:val="0"/>
          <w:kern w:val="22"/>
          <w:szCs w:val="22"/>
        </w:rPr>
        <w:t>résident</w:t>
      </w:r>
      <w:r>
        <w:rPr>
          <w:kern w:val="22"/>
          <w:szCs w:val="22"/>
        </w:rPr>
        <w:t xml:space="preserve"> de la quinzième réunion de la Conférence des Parties, le Ministre chinois de l'écologie et de l'environnement, Runqiu Huang, continuera de siéger pendant la</w:t>
      </w:r>
      <w:r w:rsidR="00C6668A">
        <w:rPr>
          <w:kern w:val="22"/>
          <w:szCs w:val="22"/>
        </w:rPr>
        <w:t xml:space="preserve"> suite de la deuxième partie de la réunion</w:t>
      </w:r>
      <w:r>
        <w:rPr>
          <w:kern w:val="22"/>
          <w:szCs w:val="22"/>
        </w:rPr>
        <w:t xml:space="preserve"> et jusqu'à ce qu'un nouveau président soit élu à l'ouverture de la seizième réunion. Conformément à l'article 21 de son règlement intérieur, la Conférence des Parties, à sa quatorzième réunion, a élu 10 vice-présidents parmi les représentants des Parties présents à la réunion pour un mandat commençant à la clôture de la quatorzième réunion et se terminant à la clôture de la quinzième réunion. Trois membres du Bureau ont ensuite été remplacés, tandis qu'un poste est vacant en attendant la nomination d'un remplaçant. </w:t>
      </w:r>
      <w:r>
        <w:rPr>
          <w:rFonts w:asciiTheme="majorBidi" w:hAnsiTheme="majorBidi" w:cstheme="majorBidi"/>
          <w:snapToGrid w:val="0"/>
          <w:szCs w:val="18"/>
        </w:rPr>
        <w:t>En conséquence,</w:t>
      </w:r>
      <w:r w:rsidR="00C6668A">
        <w:rPr>
          <w:rFonts w:asciiTheme="majorBidi" w:hAnsiTheme="majorBidi" w:cstheme="majorBidi"/>
          <w:snapToGrid w:val="0"/>
          <w:szCs w:val="18"/>
        </w:rPr>
        <w:t xml:space="preserve"> le Bureau comprend, outre son p</w:t>
      </w:r>
      <w:r>
        <w:rPr>
          <w:rFonts w:asciiTheme="majorBidi" w:hAnsiTheme="majorBidi" w:cstheme="majorBidi"/>
          <w:snapToGrid w:val="0"/>
          <w:szCs w:val="18"/>
        </w:rPr>
        <w:t>résident, les membres suivants :</w:t>
      </w:r>
    </w:p>
    <w:p w:rsidR="009D7E39" w:rsidRPr="00C74CCB" w:rsidRDefault="00D940B1">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lang w:val="en-AU"/>
        </w:rPr>
      </w:pPr>
      <w:r w:rsidRPr="00C74CCB">
        <w:rPr>
          <w:noProof/>
          <w:snapToGrid w:val="0"/>
          <w:kern w:val="22"/>
          <w:szCs w:val="22"/>
          <w:lang w:val="en-AU"/>
        </w:rPr>
        <w:t>-</w:t>
      </w:r>
      <w:r w:rsidRPr="00C74CCB">
        <w:rPr>
          <w:noProof/>
          <w:snapToGrid w:val="0"/>
          <w:kern w:val="22"/>
          <w:szCs w:val="22"/>
          <w:lang w:val="en-AU"/>
        </w:rPr>
        <w:tab/>
        <w:t>Eric Okoree</w:t>
      </w:r>
      <w:r w:rsidRPr="00C74CCB">
        <w:rPr>
          <w:snapToGrid w:val="0"/>
          <w:kern w:val="22"/>
          <w:szCs w:val="22"/>
          <w:lang w:val="en-AU"/>
        </w:rPr>
        <w:t xml:space="preserve"> (Ghana)</w:t>
      </w:r>
    </w:p>
    <w:p w:rsidR="009D7E39" w:rsidRPr="00C74CCB" w:rsidRDefault="00D940B1">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lang w:val="en-AU"/>
        </w:rPr>
      </w:pPr>
      <w:r w:rsidRPr="00C74CCB">
        <w:rPr>
          <w:noProof/>
          <w:snapToGrid w:val="0"/>
          <w:kern w:val="22"/>
          <w:szCs w:val="22"/>
          <w:lang w:val="en-AU"/>
        </w:rPr>
        <w:t>-</w:t>
      </w:r>
      <w:r w:rsidRPr="00C74CCB">
        <w:rPr>
          <w:noProof/>
          <w:snapToGrid w:val="0"/>
          <w:kern w:val="22"/>
          <w:szCs w:val="22"/>
          <w:lang w:val="en-AU"/>
        </w:rPr>
        <w:tab/>
        <w:t>Melesse Maryo</w:t>
      </w:r>
      <w:r w:rsidRPr="00C74CCB">
        <w:rPr>
          <w:snapToGrid w:val="0"/>
          <w:kern w:val="22"/>
          <w:szCs w:val="22"/>
          <w:lang w:val="en-AU"/>
        </w:rPr>
        <w:t xml:space="preserve"> (Éthiopie)</w:t>
      </w:r>
    </w:p>
    <w:p w:rsidR="009D7E39" w:rsidRPr="00C74CCB" w:rsidRDefault="00D940B1">
      <w:pPr>
        <w:suppressLineNumbers/>
        <w:tabs>
          <w:tab w:val="left" w:pos="360"/>
          <w:tab w:val="left" w:pos="720"/>
        </w:tabs>
        <w:suppressAutoHyphens/>
        <w:kinsoku w:val="0"/>
        <w:overflowPunct w:val="0"/>
        <w:autoSpaceDE w:val="0"/>
        <w:autoSpaceDN w:val="0"/>
        <w:adjustRightInd w:val="0"/>
        <w:snapToGrid w:val="0"/>
        <w:spacing w:before="120" w:after="120"/>
        <w:rPr>
          <w:rFonts w:asciiTheme="majorBidi" w:hAnsiTheme="majorBidi" w:cstheme="majorBidi"/>
          <w:szCs w:val="22"/>
          <w:lang w:val="en-AU"/>
        </w:rPr>
      </w:pPr>
      <w:r w:rsidRPr="00C74CCB">
        <w:rPr>
          <w:noProof/>
          <w:snapToGrid w:val="0"/>
          <w:kern w:val="22"/>
          <w:szCs w:val="22"/>
          <w:lang w:val="en-AU"/>
        </w:rPr>
        <w:t>-</w:t>
      </w:r>
      <w:r w:rsidRPr="00C74CCB">
        <w:rPr>
          <w:noProof/>
          <w:snapToGrid w:val="0"/>
          <w:kern w:val="22"/>
          <w:szCs w:val="22"/>
          <w:lang w:val="en-AU"/>
        </w:rPr>
        <w:tab/>
      </w:r>
      <w:r w:rsidRPr="00C74CCB">
        <w:rPr>
          <w:rStyle w:val="ui-provider"/>
          <w:lang w:val="en-AU"/>
        </w:rPr>
        <w:t>Raghu Kumar Kodali</w:t>
      </w:r>
      <w:r w:rsidRPr="00C74CCB">
        <w:rPr>
          <w:rFonts w:asciiTheme="majorBidi" w:hAnsiTheme="majorBidi" w:cstheme="majorBidi"/>
          <w:szCs w:val="22"/>
          <w:lang w:val="en-AU"/>
        </w:rPr>
        <w:t xml:space="preserve"> (Inde)</w:t>
      </w:r>
      <w:r w:rsidRPr="00156C1C">
        <w:rPr>
          <w:rStyle w:val="FootnoteReference"/>
          <w:rFonts w:asciiTheme="majorBidi" w:hAnsiTheme="majorBidi" w:cstheme="majorBidi"/>
          <w:szCs w:val="22"/>
        </w:rPr>
        <w:footnoteReference w:id="3"/>
      </w:r>
    </w:p>
    <w:p w:rsidR="009D7E39" w:rsidRPr="00C74CCB" w:rsidRDefault="00D940B1">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lang w:val="en-AU"/>
        </w:rPr>
      </w:pPr>
      <w:r w:rsidRPr="00C74CCB">
        <w:rPr>
          <w:noProof/>
          <w:snapToGrid w:val="0"/>
          <w:kern w:val="22"/>
          <w:szCs w:val="22"/>
          <w:lang w:val="en-AU"/>
        </w:rPr>
        <w:t>-</w:t>
      </w:r>
      <w:r w:rsidRPr="00C74CCB">
        <w:rPr>
          <w:noProof/>
          <w:snapToGrid w:val="0"/>
          <w:kern w:val="22"/>
          <w:szCs w:val="22"/>
          <w:lang w:val="en-AU"/>
        </w:rPr>
        <w:tab/>
        <w:t>Leina El-Awadhi</w:t>
      </w:r>
      <w:r w:rsidRPr="00C74CCB">
        <w:rPr>
          <w:snapToGrid w:val="0"/>
          <w:kern w:val="22"/>
          <w:szCs w:val="22"/>
          <w:lang w:val="en-AU"/>
        </w:rPr>
        <w:t xml:space="preserve"> (Koweït)</w:t>
      </w:r>
    </w:p>
    <w:p w:rsidR="009D7E39" w:rsidRPr="00C74CCB" w:rsidRDefault="00D940B1">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lang w:val="en-AU"/>
        </w:rPr>
      </w:pPr>
      <w:r w:rsidRPr="00C74CCB">
        <w:rPr>
          <w:noProof/>
          <w:snapToGrid w:val="0"/>
          <w:kern w:val="22"/>
          <w:szCs w:val="22"/>
          <w:lang w:val="en-AU"/>
        </w:rPr>
        <w:t>-</w:t>
      </w:r>
      <w:r w:rsidRPr="00C74CCB">
        <w:rPr>
          <w:noProof/>
          <w:snapToGrid w:val="0"/>
          <w:kern w:val="22"/>
          <w:szCs w:val="22"/>
          <w:lang w:val="en-AU"/>
        </w:rPr>
        <w:tab/>
        <w:t>Teona Karchava</w:t>
      </w:r>
      <w:r w:rsidRPr="00C74CCB">
        <w:rPr>
          <w:snapToGrid w:val="0"/>
          <w:kern w:val="22"/>
          <w:szCs w:val="22"/>
          <w:lang w:val="en-AU"/>
        </w:rPr>
        <w:t xml:space="preserve"> (Géorgie)</w:t>
      </w:r>
    </w:p>
    <w:p w:rsidR="009D7E39" w:rsidRPr="00C74CCB" w:rsidRDefault="00D940B1">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lang w:val="en-AU"/>
        </w:rPr>
      </w:pPr>
      <w:r w:rsidRPr="00C74CCB">
        <w:rPr>
          <w:noProof/>
          <w:snapToGrid w:val="0"/>
          <w:kern w:val="22"/>
          <w:szCs w:val="22"/>
          <w:lang w:val="en-AU"/>
        </w:rPr>
        <w:t>-</w:t>
      </w:r>
      <w:r w:rsidRPr="00C74CCB">
        <w:rPr>
          <w:noProof/>
          <w:snapToGrid w:val="0"/>
          <w:kern w:val="22"/>
          <w:szCs w:val="22"/>
          <w:lang w:val="en-AU"/>
        </w:rPr>
        <w:tab/>
        <w:t>Klodiana Marika</w:t>
      </w:r>
      <w:r w:rsidRPr="00C74CCB">
        <w:rPr>
          <w:snapToGrid w:val="0"/>
          <w:kern w:val="22"/>
          <w:szCs w:val="22"/>
          <w:lang w:val="en-AU"/>
        </w:rPr>
        <w:t xml:space="preserve"> (Albanie)</w:t>
      </w:r>
      <w:r w:rsidRPr="00156C1C">
        <w:rPr>
          <w:rStyle w:val="FootnoteReference"/>
          <w:snapToGrid w:val="0"/>
          <w:kern w:val="22"/>
          <w:szCs w:val="22"/>
        </w:rPr>
        <w:footnoteReference w:id="4"/>
      </w:r>
    </w:p>
    <w:p w:rsidR="009D7E39" w:rsidRPr="00C74CCB" w:rsidRDefault="00D940B1">
      <w:pPr>
        <w:suppressLineNumbers/>
        <w:tabs>
          <w:tab w:val="left" w:pos="360"/>
          <w:tab w:val="left" w:pos="720"/>
        </w:tabs>
        <w:suppressAutoHyphens/>
        <w:kinsoku w:val="0"/>
        <w:overflowPunct w:val="0"/>
        <w:autoSpaceDE w:val="0"/>
        <w:autoSpaceDN w:val="0"/>
        <w:adjustRightInd w:val="0"/>
        <w:snapToGrid w:val="0"/>
        <w:spacing w:before="120" w:after="120"/>
        <w:rPr>
          <w:rFonts w:asciiTheme="majorBidi" w:hAnsiTheme="majorBidi" w:cstheme="majorBidi"/>
          <w:szCs w:val="22"/>
          <w:lang w:val="en-AU"/>
        </w:rPr>
      </w:pPr>
      <w:r w:rsidRPr="00C74CCB">
        <w:rPr>
          <w:noProof/>
          <w:snapToGrid w:val="0"/>
          <w:kern w:val="22"/>
          <w:szCs w:val="22"/>
          <w:lang w:val="en-AU"/>
        </w:rPr>
        <w:t>-</w:t>
      </w:r>
      <w:r w:rsidRPr="00C74CCB">
        <w:rPr>
          <w:noProof/>
          <w:snapToGrid w:val="0"/>
          <w:kern w:val="22"/>
          <w:szCs w:val="22"/>
          <w:lang w:val="en-AU"/>
        </w:rPr>
        <w:tab/>
      </w:r>
      <w:r w:rsidRPr="00C74CCB">
        <w:rPr>
          <w:rFonts w:asciiTheme="majorBidi" w:hAnsiTheme="majorBidi" w:cstheme="majorBidi"/>
          <w:szCs w:val="22"/>
          <w:lang w:val="en-AU"/>
        </w:rPr>
        <w:t xml:space="preserve">Eugenia Arguedas </w:t>
      </w:r>
      <w:r w:rsidR="00C74CCB">
        <w:rPr>
          <w:rFonts w:asciiTheme="majorBidi" w:hAnsiTheme="majorBidi" w:cstheme="majorBidi"/>
          <w:szCs w:val="22"/>
          <w:lang w:val="en-AU"/>
        </w:rPr>
        <w:t>(</w:t>
      </w:r>
      <w:r w:rsidRPr="00C74CCB">
        <w:rPr>
          <w:rFonts w:asciiTheme="majorBidi" w:hAnsiTheme="majorBidi" w:cstheme="majorBidi"/>
          <w:szCs w:val="22"/>
          <w:lang w:val="en-AU"/>
        </w:rPr>
        <w:t>Montezuma, Costa Rica</w:t>
      </w:r>
      <w:r w:rsidR="00C74CCB">
        <w:rPr>
          <w:rFonts w:asciiTheme="majorBidi" w:hAnsiTheme="majorBidi" w:cstheme="majorBidi"/>
          <w:szCs w:val="22"/>
          <w:lang w:val="en-AU"/>
        </w:rPr>
        <w:t>)</w:t>
      </w:r>
      <w:r w:rsidRPr="00156C1C">
        <w:rPr>
          <w:rStyle w:val="FootnoteReference"/>
          <w:rFonts w:asciiTheme="majorBidi" w:hAnsiTheme="majorBidi" w:cstheme="majorBidi"/>
          <w:szCs w:val="22"/>
        </w:rPr>
        <w:footnoteReference w:id="5"/>
      </w:r>
    </w:p>
    <w:p w:rsidR="009D7E39" w:rsidRDefault="00D940B1">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noProof/>
          <w:snapToGrid w:val="0"/>
          <w:kern w:val="22"/>
          <w:szCs w:val="22"/>
        </w:rPr>
        <w:t>-</w:t>
      </w:r>
      <w:r>
        <w:rPr>
          <w:noProof/>
          <w:snapToGrid w:val="0"/>
          <w:kern w:val="22"/>
          <w:szCs w:val="22"/>
        </w:rPr>
        <w:tab/>
        <w:t>Helena Jeffery Brown</w:t>
      </w:r>
      <w:r>
        <w:rPr>
          <w:snapToGrid w:val="0"/>
          <w:kern w:val="22"/>
          <w:szCs w:val="22"/>
        </w:rPr>
        <w:t xml:space="preserve"> (Antigua-et-Barbuda)</w:t>
      </w:r>
    </w:p>
    <w:p w:rsidR="009D7E39" w:rsidRDefault="00D940B1">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noProof/>
          <w:snapToGrid w:val="0"/>
          <w:kern w:val="22"/>
          <w:szCs w:val="22"/>
        </w:rPr>
        <w:t>-</w:t>
      </w:r>
      <w:r>
        <w:rPr>
          <w:noProof/>
          <w:snapToGrid w:val="0"/>
          <w:kern w:val="22"/>
          <w:szCs w:val="22"/>
        </w:rPr>
        <w:tab/>
        <w:t>Gabriele Obermayr</w:t>
      </w:r>
      <w:r>
        <w:rPr>
          <w:snapToGrid w:val="0"/>
          <w:kern w:val="22"/>
          <w:szCs w:val="22"/>
        </w:rPr>
        <w:t xml:space="preserve"> (Autriche)</w:t>
      </w:r>
    </w:p>
    <w:p w:rsidR="009D7E39" w:rsidRDefault="00D940B1">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lang w:eastAsia="en-CA"/>
        </w:rPr>
      </w:pPr>
      <w:r>
        <w:rPr>
          <w:noProof/>
          <w:snapToGrid w:val="0"/>
          <w:kern w:val="22"/>
          <w:szCs w:val="22"/>
        </w:rPr>
        <w:t>-</w:t>
      </w:r>
      <w:r>
        <w:rPr>
          <w:noProof/>
          <w:snapToGrid w:val="0"/>
          <w:kern w:val="22"/>
          <w:szCs w:val="22"/>
        </w:rPr>
        <w:tab/>
      </w:r>
      <w:r>
        <w:rPr>
          <w:snapToGrid w:val="0"/>
          <w:kern w:val="22"/>
          <w:szCs w:val="22"/>
        </w:rPr>
        <w:t>Nouvelle-Zélande (vacant)</w:t>
      </w:r>
      <w:r w:rsidRPr="00156C1C">
        <w:rPr>
          <w:rStyle w:val="FootnoteReference"/>
          <w:noProof/>
          <w:snapToGrid w:val="0"/>
          <w:kern w:val="22"/>
          <w:szCs w:val="22"/>
        </w:rPr>
        <w:footnoteReference w:id="6"/>
      </w:r>
    </w:p>
    <w:p w:rsidR="009D7E39" w:rsidRDefault="00D940B1">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3" w:name="Item03"/>
      <w:r>
        <w:rPr>
          <w:i/>
          <w:iCs/>
          <w:snapToGrid w:val="0"/>
          <w:kern w:val="22"/>
          <w:szCs w:val="22"/>
        </w:rPr>
        <w:t>Ordre du jour</w:t>
      </w:r>
      <w:bookmarkEnd w:id="3"/>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 xml:space="preserve">Comme indiqué au paragraphe 4, l'ordre du jour provisoire a été adopté à la première partie de la quinzième réunion. </w:t>
      </w:r>
      <w:bookmarkStart w:id="4" w:name="TEN"/>
      <w:bookmarkEnd w:id="4"/>
      <w:r>
        <w:rPr>
          <w:snapToGrid w:val="0"/>
          <w:kern w:val="22"/>
          <w:szCs w:val="22"/>
        </w:rPr>
        <w:t>La Conférence des Parties a achevé l'examen des points 4 e</w:t>
      </w:r>
      <w:r w:rsidR="00C6668A">
        <w:rPr>
          <w:snapToGrid w:val="0"/>
          <w:kern w:val="22"/>
          <w:szCs w:val="22"/>
        </w:rPr>
        <w:t>t 6 à 27 de l'ordre du jour aux</w:t>
      </w:r>
      <w:r>
        <w:rPr>
          <w:snapToGrid w:val="0"/>
          <w:kern w:val="22"/>
          <w:szCs w:val="22"/>
        </w:rPr>
        <w:t xml:space="preserve"> </w:t>
      </w:r>
      <w:r w:rsidR="00C6668A">
        <w:rPr>
          <w:snapToGrid w:val="0"/>
          <w:kern w:val="22"/>
          <w:szCs w:val="22"/>
        </w:rPr>
        <w:t xml:space="preserve">première et </w:t>
      </w:r>
      <w:r>
        <w:rPr>
          <w:snapToGrid w:val="0"/>
          <w:kern w:val="22"/>
          <w:szCs w:val="22"/>
        </w:rPr>
        <w:t>deuxième parties de sa quinzième réunion, mais n'a pas achevé l'examen du point 2 de l'ordre du</w:t>
      </w:r>
      <w:r w:rsidR="00C6668A">
        <w:rPr>
          <w:snapToGrid w:val="0"/>
          <w:kern w:val="22"/>
          <w:szCs w:val="22"/>
        </w:rPr>
        <w:t xml:space="preserve"> jour concernant l'élection du B</w:t>
      </w:r>
      <w:r>
        <w:rPr>
          <w:snapToGrid w:val="0"/>
          <w:kern w:val="22"/>
          <w:szCs w:val="22"/>
        </w:rPr>
        <w:t xml:space="preserve">ureau. Du fait de la </w:t>
      </w:r>
      <w:r w:rsidR="00F37AEE">
        <w:rPr>
          <w:snapToGrid w:val="0"/>
          <w:kern w:val="22"/>
          <w:szCs w:val="22"/>
        </w:rPr>
        <w:t>reprise de la réunion</w:t>
      </w:r>
      <w:r>
        <w:rPr>
          <w:snapToGrid w:val="0"/>
          <w:kern w:val="22"/>
          <w:szCs w:val="22"/>
        </w:rPr>
        <w:t>, les points 1 et 3 de l'ordre du jour restent pertinents. En outre, à la suite du retrait d</w:t>
      </w:r>
      <w:r w:rsidR="00F37AEE">
        <w:rPr>
          <w:snapToGrid w:val="0"/>
          <w:kern w:val="22"/>
          <w:szCs w:val="22"/>
        </w:rPr>
        <w:t>e l'hôte précédemment désigné pour</w:t>
      </w:r>
      <w:r>
        <w:rPr>
          <w:snapToGrid w:val="0"/>
          <w:kern w:val="22"/>
          <w:szCs w:val="22"/>
        </w:rPr>
        <w:t xml:space="preserve"> la seizième </w:t>
      </w:r>
      <w:r>
        <w:rPr>
          <w:snapToGrid w:val="0"/>
          <w:kern w:val="22"/>
          <w:szCs w:val="22"/>
        </w:rPr>
        <w:lastRenderedPageBreak/>
        <w:t>réunion de la Conférence des Parties, un nouveau pays hôte doit être identifié. Enfin, les points 28 à 30 de l'ordre du jour n'ont pas été examinés par la Conférence des Parties. Les points 1 à 3, 5 et 28 à 30 devront donc êt</w:t>
      </w:r>
      <w:r w:rsidR="00F37AEE">
        <w:rPr>
          <w:snapToGrid w:val="0"/>
          <w:kern w:val="22"/>
          <w:szCs w:val="22"/>
        </w:rPr>
        <w:t>re examinés à la présente réunion</w:t>
      </w:r>
      <w:r>
        <w:rPr>
          <w:snapToGrid w:val="0"/>
          <w:kern w:val="22"/>
          <w:szCs w:val="22"/>
        </w:rPr>
        <w:t>.</w:t>
      </w:r>
    </w:p>
    <w:p w:rsidR="009D7E39" w:rsidRDefault="00D940B1">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5" w:name="Item04"/>
      <w:r>
        <w:rPr>
          <w:i/>
          <w:iCs/>
          <w:snapToGrid w:val="0"/>
          <w:kern w:val="22"/>
          <w:szCs w:val="22"/>
        </w:rPr>
        <w:t>Organisation des travaux</w:t>
      </w:r>
      <w:bookmarkEnd w:id="5"/>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rFonts w:asciiTheme="majorBidi" w:hAnsiTheme="majorBidi" w:cstheme="majorBidi"/>
        </w:rPr>
        <w:t xml:space="preserve">La Conférence des Parties sera invitée à examiner et à adopter le projet d'organisation des travaux figurant à l'annexe II. </w:t>
      </w:r>
      <w:r>
        <w:rPr>
          <w:snapToGrid w:val="0"/>
          <w:kern w:val="22"/>
          <w:szCs w:val="22"/>
        </w:rPr>
        <w:t xml:space="preserve">Étant donné le nombre limité et la nature procédurale des points à traiter, il est proposé que tous les travaux </w:t>
      </w:r>
      <w:r>
        <w:rPr>
          <w:rFonts w:asciiTheme="majorBidi" w:hAnsiTheme="majorBidi" w:cstheme="majorBidi"/>
        </w:rPr>
        <w:t>soient menés en séance plénière</w:t>
      </w:r>
      <w:r>
        <w:rPr>
          <w:snapToGrid w:val="0"/>
          <w:kern w:val="22"/>
          <w:szCs w:val="22"/>
        </w:rPr>
        <w:t>.</w:t>
      </w:r>
    </w:p>
    <w:p w:rsidR="009D7E39" w:rsidRDefault="00F37AEE">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Des services d’interprétation seront fournis pour les séance</w:t>
      </w:r>
      <w:r w:rsidR="00D940B1">
        <w:rPr>
          <w:snapToGrid w:val="0"/>
          <w:kern w:val="22"/>
          <w:szCs w:val="22"/>
        </w:rPr>
        <w:t>s plénières.</w:t>
      </w:r>
    </w:p>
    <w:p w:rsidR="009D7E39" w:rsidRDefault="00D940B1">
      <w:pPr>
        <w:suppressLineNumbers/>
        <w:tabs>
          <w:tab w:val="left" w:pos="360"/>
          <w:tab w:val="left" w:pos="720"/>
        </w:tabs>
        <w:suppressAutoHyphens/>
        <w:kinsoku w:val="0"/>
        <w:overflowPunct w:val="0"/>
        <w:autoSpaceDE w:val="0"/>
        <w:autoSpaceDN w:val="0"/>
        <w:adjustRightInd w:val="0"/>
        <w:snapToGrid w:val="0"/>
        <w:spacing w:before="120" w:after="120"/>
        <w:rPr>
          <w:i/>
          <w:iCs/>
          <w:snapToGrid w:val="0"/>
          <w:kern w:val="22"/>
          <w:szCs w:val="22"/>
        </w:rPr>
      </w:pPr>
      <w:r>
        <w:rPr>
          <w:i/>
          <w:iCs/>
          <w:snapToGrid w:val="0"/>
          <w:kern w:val="22"/>
          <w:szCs w:val="22"/>
        </w:rPr>
        <w:t>Rapporteur</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Lors de la séance plénière d'ouverture de la première partie de la réunion, tenue le 11 octobre 2021, la Conférence des Parties a convenu d'élire Elvana Ramaj (Albanie) comme Rapporteuse pour la réunion. À la suite du départ de Mme Ramaj du Bureau, un nouveau rapporteur sera proposé par le Bureau pour être élu par la Conférence des Parties.</w:t>
      </w:r>
    </w:p>
    <w:p w:rsidR="009D7E39" w:rsidRDefault="00D940B1">
      <w:pPr>
        <w:keepNext/>
        <w:suppressLineNumbers/>
        <w:tabs>
          <w:tab w:val="left" w:pos="360"/>
          <w:tab w:val="left" w:pos="720"/>
        </w:tabs>
        <w:suppressAutoHyphens/>
        <w:kinsoku w:val="0"/>
        <w:overflowPunct w:val="0"/>
        <w:autoSpaceDE w:val="0"/>
        <w:autoSpaceDN w:val="0"/>
        <w:adjustRightInd w:val="0"/>
        <w:snapToGrid w:val="0"/>
        <w:spacing w:before="120" w:after="120"/>
        <w:rPr>
          <w:i/>
          <w:iCs/>
          <w:snapToGrid w:val="0"/>
          <w:kern w:val="22"/>
          <w:szCs w:val="22"/>
        </w:rPr>
      </w:pPr>
      <w:r>
        <w:rPr>
          <w:i/>
          <w:iCs/>
          <w:snapToGrid w:val="0"/>
          <w:kern w:val="22"/>
          <w:szCs w:val="22"/>
        </w:rPr>
        <w:t>Élections</w:t>
      </w:r>
    </w:p>
    <w:p w:rsidR="009D7E39" w:rsidRDefault="00F37AEE">
      <w:pPr>
        <w:keepNext/>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outlineLvl w:val="2"/>
        <w:rPr>
          <w:i/>
          <w:iCs/>
          <w:snapToGrid w:val="0"/>
          <w:kern w:val="22"/>
          <w:szCs w:val="22"/>
        </w:rPr>
      </w:pPr>
      <w:r>
        <w:rPr>
          <w:kern w:val="22"/>
        </w:rPr>
        <w:t>Lors de</w:t>
      </w:r>
      <w:r w:rsidR="00D940B1">
        <w:rPr>
          <w:kern w:val="22"/>
        </w:rPr>
        <w:t xml:space="preserve"> la </w:t>
      </w:r>
      <w:r>
        <w:rPr>
          <w:kern w:val="22"/>
        </w:rPr>
        <w:t>reprise</w:t>
      </w:r>
      <w:r w:rsidR="00D940B1">
        <w:rPr>
          <w:kern w:val="22"/>
        </w:rPr>
        <w:t xml:space="preserve"> de la </w:t>
      </w:r>
      <w:r w:rsidR="00D940B1">
        <w:rPr>
          <w:rFonts w:asciiTheme="majorBidi" w:hAnsiTheme="majorBidi" w:cstheme="majorBidi"/>
        </w:rPr>
        <w:t>deuxième</w:t>
      </w:r>
      <w:r w:rsidR="00D940B1">
        <w:rPr>
          <w:kern w:val="22"/>
        </w:rPr>
        <w:t xml:space="preserve"> partie de sa quinzième réunion, la Conférence des Parties </w:t>
      </w:r>
      <w:r w:rsidR="00D940B1">
        <w:rPr>
          <w:snapToGrid w:val="0"/>
          <w:kern w:val="22"/>
          <w:szCs w:val="22"/>
        </w:rPr>
        <w:t>élira de nouveaux vice-présidents pour le Bureau. Leur mandat commencera à la clôture de la quinzième réunion de la Conférence des Parties et prendra fin à la clôture de la seizième réunion, conformément à l'</w:t>
      </w:r>
      <w:r w:rsidR="00D940B1">
        <w:rPr>
          <w:kern w:val="22"/>
        </w:rPr>
        <w:t>article 21 du règlement intérieur</w:t>
      </w:r>
      <w:r w:rsidR="00D940B1">
        <w:rPr>
          <w:snapToGrid w:val="0"/>
          <w:kern w:val="22"/>
          <w:szCs w:val="22"/>
        </w:rPr>
        <w:t xml:space="preserve">. </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L'article 26 du règlement intérieur dispose que le président de tout organe subsidiaire est élu par la Conférence des Parties. La Conférence des Parties devra do</w:t>
      </w:r>
      <w:r w:rsidR="00F37AEE">
        <w:rPr>
          <w:snapToGrid w:val="0"/>
          <w:kern w:val="22"/>
          <w:szCs w:val="22"/>
        </w:rPr>
        <w:t>nc élire le p</w:t>
      </w:r>
      <w:r>
        <w:rPr>
          <w:snapToGrid w:val="0"/>
          <w:kern w:val="22"/>
          <w:szCs w:val="22"/>
        </w:rPr>
        <w:t>résident de</w:t>
      </w:r>
      <w:r w:rsidR="00F37AEE">
        <w:rPr>
          <w:snapToGrid w:val="0"/>
          <w:kern w:val="22"/>
          <w:szCs w:val="22"/>
        </w:rPr>
        <w:t xml:space="preserve"> l'Organe subsidiaire chargé de fournir des avis</w:t>
      </w:r>
      <w:r>
        <w:rPr>
          <w:snapToGrid w:val="0"/>
          <w:kern w:val="22"/>
          <w:szCs w:val="22"/>
        </w:rPr>
        <w:t xml:space="preserve"> scientifique</w:t>
      </w:r>
      <w:r w:rsidR="00F37AEE">
        <w:rPr>
          <w:snapToGrid w:val="0"/>
          <w:kern w:val="22"/>
          <w:szCs w:val="22"/>
        </w:rPr>
        <w:t>s</w:t>
      </w:r>
      <w:r>
        <w:rPr>
          <w:snapToGrid w:val="0"/>
          <w:kern w:val="22"/>
          <w:szCs w:val="22"/>
        </w:rPr>
        <w:t>, technique</w:t>
      </w:r>
      <w:r w:rsidR="00F37AEE">
        <w:rPr>
          <w:snapToGrid w:val="0"/>
          <w:kern w:val="22"/>
          <w:szCs w:val="22"/>
        </w:rPr>
        <w:t>s</w:t>
      </w:r>
      <w:r>
        <w:rPr>
          <w:snapToGrid w:val="0"/>
          <w:kern w:val="22"/>
          <w:szCs w:val="22"/>
        </w:rPr>
        <w:t xml:space="preserve"> et technologique</w:t>
      </w:r>
      <w:r w:rsidR="00F37AEE">
        <w:rPr>
          <w:snapToGrid w:val="0"/>
          <w:kern w:val="22"/>
          <w:szCs w:val="22"/>
        </w:rPr>
        <w:t>s et le p</w:t>
      </w:r>
      <w:r>
        <w:rPr>
          <w:snapToGrid w:val="0"/>
          <w:kern w:val="22"/>
          <w:szCs w:val="22"/>
        </w:rPr>
        <w:t>résident de l'Org</w:t>
      </w:r>
      <w:r w:rsidR="00F37AEE">
        <w:rPr>
          <w:snapToGrid w:val="0"/>
          <w:kern w:val="22"/>
          <w:szCs w:val="22"/>
        </w:rPr>
        <w:t>ane subsidiaire chargé de l’application</w:t>
      </w:r>
      <w:r>
        <w:rPr>
          <w:snapToGrid w:val="0"/>
          <w:kern w:val="22"/>
          <w:szCs w:val="22"/>
        </w:rPr>
        <w:t xml:space="preserve"> pour présider les organes respectifs</w:t>
      </w:r>
      <w:r w:rsidR="00F37AEE">
        <w:rPr>
          <w:snapToGrid w:val="0"/>
          <w:kern w:val="22"/>
          <w:szCs w:val="22"/>
        </w:rPr>
        <w:t>,</w:t>
      </w:r>
      <w:r>
        <w:rPr>
          <w:snapToGrid w:val="0"/>
          <w:kern w:val="22"/>
          <w:szCs w:val="22"/>
        </w:rPr>
        <w:t xml:space="preserve"> pour un mandat qui commencera à la clôture de la quinzième réunion et se terminera à la clôture de la seizième réunion de la Conférence des Parties. </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 xml:space="preserve">Selon la </w:t>
      </w:r>
      <w:r w:rsidR="00F37AEE">
        <w:rPr>
          <w:snapToGrid w:val="0"/>
          <w:kern w:val="22"/>
          <w:szCs w:val="22"/>
        </w:rPr>
        <w:t>rotation régionale établie, le p</w:t>
      </w:r>
      <w:r>
        <w:rPr>
          <w:snapToGrid w:val="0"/>
          <w:kern w:val="22"/>
          <w:szCs w:val="22"/>
        </w:rPr>
        <w:t xml:space="preserve">résident de l'Organe subsidiaire </w:t>
      </w:r>
      <w:r w:rsidR="00F37AEE">
        <w:rPr>
          <w:snapToGrid w:val="0"/>
          <w:kern w:val="22"/>
          <w:szCs w:val="22"/>
        </w:rPr>
        <w:t xml:space="preserve">chargé de fournir des avis </w:t>
      </w:r>
      <w:r>
        <w:rPr>
          <w:snapToGrid w:val="0"/>
          <w:kern w:val="22"/>
          <w:szCs w:val="22"/>
        </w:rPr>
        <w:t>scientifique</w:t>
      </w:r>
      <w:r w:rsidR="00F37AEE">
        <w:rPr>
          <w:snapToGrid w:val="0"/>
          <w:kern w:val="22"/>
          <w:szCs w:val="22"/>
        </w:rPr>
        <w:t>s</w:t>
      </w:r>
      <w:r>
        <w:rPr>
          <w:snapToGrid w:val="0"/>
          <w:kern w:val="22"/>
          <w:szCs w:val="22"/>
        </w:rPr>
        <w:t>, technique</w:t>
      </w:r>
      <w:r w:rsidR="00F37AEE">
        <w:rPr>
          <w:snapToGrid w:val="0"/>
          <w:kern w:val="22"/>
          <w:szCs w:val="22"/>
        </w:rPr>
        <w:t>s</w:t>
      </w:r>
      <w:r>
        <w:rPr>
          <w:snapToGrid w:val="0"/>
          <w:kern w:val="22"/>
          <w:szCs w:val="22"/>
        </w:rPr>
        <w:t xml:space="preserve"> et technologique</w:t>
      </w:r>
      <w:r w:rsidR="00F37AEE">
        <w:rPr>
          <w:snapToGrid w:val="0"/>
          <w:kern w:val="22"/>
          <w:szCs w:val="22"/>
        </w:rPr>
        <w:t>s sera élu parmi l</w:t>
      </w:r>
      <w:r>
        <w:rPr>
          <w:snapToGrid w:val="0"/>
          <w:kern w:val="22"/>
          <w:szCs w:val="22"/>
        </w:rPr>
        <w:t xml:space="preserve">es États d'Europe orientale </w:t>
      </w:r>
      <w:r w:rsidR="00F37AEE">
        <w:rPr>
          <w:snapToGrid w:val="0"/>
          <w:kern w:val="22"/>
          <w:szCs w:val="22"/>
        </w:rPr>
        <w:t>et le p</w:t>
      </w:r>
      <w:r>
        <w:rPr>
          <w:snapToGrid w:val="0"/>
          <w:kern w:val="22"/>
          <w:szCs w:val="22"/>
        </w:rPr>
        <w:t>résident de l'Org</w:t>
      </w:r>
      <w:r w:rsidR="00F37AEE">
        <w:rPr>
          <w:snapToGrid w:val="0"/>
          <w:kern w:val="22"/>
          <w:szCs w:val="22"/>
        </w:rPr>
        <w:t>ane subsidiaire chargé de l’application sera élu</w:t>
      </w:r>
      <w:r>
        <w:rPr>
          <w:snapToGrid w:val="0"/>
          <w:kern w:val="22"/>
          <w:szCs w:val="22"/>
        </w:rPr>
        <w:t xml:space="preserve"> parmi les États d'Asie et du Pacifique.</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De plus amples informations sur les procédures d'élection des membres du Bureau seront fournies dans le document d'information CBD/COP/15/INF/28, et le Secrétariat présentera un exposé sur le processus d'élection avant la date de l'élection.</w:t>
      </w:r>
    </w:p>
    <w:p w:rsidR="009D7E39" w:rsidRDefault="00D940B1">
      <w:pPr>
        <w:keepNext/>
        <w:suppressLineNumbers/>
        <w:tabs>
          <w:tab w:val="left" w:pos="810"/>
        </w:tabs>
        <w:suppressAutoHyphens/>
        <w:kinsoku w:val="0"/>
        <w:overflowPunct w:val="0"/>
        <w:autoSpaceDE w:val="0"/>
        <w:autoSpaceDN w:val="0"/>
        <w:adjustRightInd w:val="0"/>
        <w:snapToGrid w:val="0"/>
        <w:spacing w:before="240" w:after="120"/>
        <w:ind w:left="1560" w:hanging="1134"/>
        <w:jc w:val="left"/>
        <w:outlineLvl w:val="1"/>
        <w:rPr>
          <w:b/>
          <w:bCs/>
          <w:snapToGrid w:val="0"/>
          <w:kern w:val="22"/>
          <w:szCs w:val="22"/>
        </w:rPr>
      </w:pPr>
      <w:r>
        <w:rPr>
          <w:b/>
          <w:bCs/>
          <w:snapToGrid w:val="0"/>
          <w:kern w:val="22"/>
          <w:szCs w:val="22"/>
        </w:rPr>
        <w:t>Point 3.</w:t>
      </w:r>
      <w:r>
        <w:rPr>
          <w:b/>
          <w:bCs/>
          <w:snapToGrid w:val="0"/>
          <w:kern w:val="22"/>
          <w:szCs w:val="22"/>
        </w:rPr>
        <w:tab/>
        <w:t xml:space="preserve">Rapport sur les pouvoirs des </w:t>
      </w:r>
      <w:r>
        <w:rPr>
          <w:b/>
          <w:bCs/>
          <w:iCs/>
          <w:snapToGrid w:val="0"/>
          <w:kern w:val="22"/>
          <w:szCs w:val="22"/>
        </w:rPr>
        <w:t>représentants</w:t>
      </w:r>
      <w:r>
        <w:rPr>
          <w:b/>
          <w:bCs/>
          <w:snapToGrid w:val="0"/>
          <w:kern w:val="22"/>
          <w:szCs w:val="22"/>
        </w:rPr>
        <w:t xml:space="preserve"> à la quinzième réunion de la Conférence des Parties</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L'article 18 du règlement intérieur dispose ce qui suit :</w:t>
      </w:r>
    </w:p>
    <w:p w:rsidR="009D7E39" w:rsidRDefault="00D940B1">
      <w:pPr>
        <w:suppressLineNumbers/>
        <w:suppressAutoHyphens/>
        <w:kinsoku w:val="0"/>
        <w:overflowPunct w:val="0"/>
        <w:autoSpaceDE w:val="0"/>
        <w:autoSpaceDN w:val="0"/>
        <w:adjustRightInd w:val="0"/>
        <w:snapToGrid w:val="0"/>
        <w:spacing w:before="120" w:after="120"/>
        <w:ind w:left="1440" w:right="-36"/>
        <w:rPr>
          <w:snapToGrid w:val="0"/>
          <w:kern w:val="22"/>
          <w:szCs w:val="22"/>
        </w:rPr>
      </w:pPr>
      <w:r>
        <w:rPr>
          <w:snapToGrid w:val="0"/>
          <w:kern w:val="22"/>
          <w:szCs w:val="22"/>
        </w:rPr>
        <w:t>Les pouvoirs des représentants et les noms des représentants suppléants et des conseillers sont communiqués au Secrétaire exécutif de la Conférence des Parties ou au représentant du Secrétaire exécutif si possible au plus tard vingt-quatre heures après l'ouverture de la réunion. Toute modification ultérieure de la composition de la</w:t>
      </w:r>
      <w:r w:rsidR="00F37AEE">
        <w:rPr>
          <w:snapToGrid w:val="0"/>
          <w:kern w:val="22"/>
          <w:szCs w:val="22"/>
        </w:rPr>
        <w:t xml:space="preserve"> délégation est également soumis</w:t>
      </w:r>
      <w:r>
        <w:rPr>
          <w:snapToGrid w:val="0"/>
          <w:kern w:val="22"/>
          <w:szCs w:val="22"/>
        </w:rPr>
        <w:t>e au Secrétaire exécutif ou au représentant du Secrétaire exécutif. Les pouvoirs sont délivrés soit par le chef d'État ou de gouvernement, soit par le ministre des affaires étrangères ou, dans le cas d'une organisation d'intégration économique régionale, par l'autorité compétente de cette organisation.</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L'article 19 dispose également que « le Bureau de toute réunion examine les pouvoirs et soumet son rapport à la Conférence des Parties pour décision ».</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lastRenderedPageBreak/>
        <w:t>Afin d'aider</w:t>
      </w:r>
      <w:r w:rsidR="00952674">
        <w:rPr>
          <w:snapToGrid w:val="0"/>
          <w:kern w:val="22"/>
          <w:szCs w:val="22"/>
        </w:rPr>
        <w:t xml:space="preserve"> les Parties à se conformer aux</w:t>
      </w:r>
      <w:r>
        <w:rPr>
          <w:snapToGrid w:val="0"/>
          <w:kern w:val="22"/>
          <w:szCs w:val="22"/>
        </w:rPr>
        <w:t xml:space="preserve"> disposition</w:t>
      </w:r>
      <w:r w:rsidR="00952674">
        <w:rPr>
          <w:snapToGrid w:val="0"/>
          <w:kern w:val="22"/>
          <w:szCs w:val="22"/>
        </w:rPr>
        <w:t>s</w:t>
      </w:r>
      <w:r>
        <w:rPr>
          <w:snapToGrid w:val="0"/>
          <w:kern w:val="22"/>
          <w:szCs w:val="22"/>
        </w:rPr>
        <w:t xml:space="preserve"> de l'article 18, le Secrétaire exécutif a publié la notification </w:t>
      </w:r>
      <w:r w:rsidR="00952674">
        <w:rPr>
          <w:rStyle w:val="Hyperlink"/>
          <w:snapToGrid w:val="0"/>
          <w:kern w:val="22"/>
          <w:sz w:val="22"/>
          <w:szCs w:val="22"/>
        </w:rPr>
        <w:t>N</w:t>
      </w:r>
      <w:r>
        <w:rPr>
          <w:rStyle w:val="Hyperlink"/>
          <w:snapToGrid w:val="0"/>
          <w:kern w:val="22"/>
          <w:sz w:val="22"/>
          <w:szCs w:val="22"/>
        </w:rPr>
        <w:t>o</w:t>
      </w:r>
      <w:r w:rsidR="00952674">
        <w:rPr>
          <w:rStyle w:val="Hyperlink"/>
          <w:snapToGrid w:val="0"/>
          <w:kern w:val="22"/>
          <w:sz w:val="22"/>
          <w:szCs w:val="22"/>
        </w:rPr>
        <w:t>.</w:t>
      </w:r>
      <w:r>
        <w:rPr>
          <w:rStyle w:val="Hyperlink"/>
          <w:snapToGrid w:val="0"/>
          <w:kern w:val="22"/>
          <w:sz w:val="22"/>
          <w:szCs w:val="22"/>
        </w:rPr>
        <w:t xml:space="preserve">2023-081 </w:t>
      </w:r>
      <w:r>
        <w:rPr>
          <w:snapToGrid w:val="0"/>
          <w:kern w:val="22"/>
          <w:szCs w:val="22"/>
        </w:rPr>
        <w:t>et a mis à disposition des modèles de présentation des pouvoirs appropriés.</w:t>
      </w:r>
      <w:r w:rsidR="005B5728" w:rsidRPr="00156C1C">
        <w:rPr>
          <w:rStyle w:val="FootnoteReference"/>
          <w:snapToGrid w:val="0"/>
          <w:kern w:val="22"/>
          <w:szCs w:val="22"/>
        </w:rPr>
        <w:footnoteReference w:id="7"/>
      </w:r>
      <w:r>
        <w:rPr>
          <w:snapToGrid w:val="0"/>
          <w:kern w:val="22"/>
          <w:szCs w:val="22"/>
        </w:rPr>
        <w:t xml:space="preserve"> Comme indiqué dans la </w:t>
      </w:r>
      <w:r w:rsidR="00952674">
        <w:t>not</w:t>
      </w:r>
      <w:r>
        <w:t>ification</w:t>
      </w:r>
      <w:r>
        <w:rPr>
          <w:snapToGrid w:val="0"/>
          <w:kern w:val="22"/>
          <w:szCs w:val="22"/>
        </w:rPr>
        <w:t xml:space="preserve">, les Parties qui ont déjà présenté des pouvoirs valides pour leur représentant en vue de participer à la deuxième partie de la quinzième réunion de la Conférence des Parties en décembre 2022 peuvent confirmer, par une note verbale, que les pouvoirs restent valables aux fins de la présente réunion. Comme expliqué également dans la notification, une telle note verbale devrait être émise par un haut fonctionnaire du ministère des affaires étrangères de la Partie concernée et devrait faire spécifiquement référence aux pouvoirs présentés pour la réunion tenue en décembre 2022. </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t>Les Parties qui n'ont pas présenté de pouvoirs valides pour la réunion tenue en décembre 2022 devront présenter de</w:t>
      </w:r>
      <w:r w:rsidR="00952674">
        <w:t>s pouvoirs pour être en mesure de</w:t>
      </w:r>
      <w:r>
        <w:t xml:space="preserve"> participer à la prise de décision pendant la présente réunion. Les Parties qui enverront de nouveaux représentants à la présente réunion devront présenter leurs pouvoirs.</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Les pouvoirs originaux ou la note verbale,</w:t>
      </w:r>
      <w:r w:rsidR="00952674">
        <w:rPr>
          <w:snapToGrid w:val="0"/>
          <w:kern w:val="22"/>
          <w:szCs w:val="22"/>
        </w:rPr>
        <w:t xml:space="preserve"> selon le cas, doivent être rem</w:t>
      </w:r>
      <w:r>
        <w:rPr>
          <w:snapToGrid w:val="0"/>
          <w:kern w:val="22"/>
          <w:szCs w:val="22"/>
        </w:rPr>
        <w:t>is au Secrétariat dès que possible, de préférence avant le 6 octobre et au plus tard le 15 octobre 2023.</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La Conférence des Parties sera invitée à examiner et à adopter le rapport sur les pouvoirs</w:t>
      </w:r>
      <w:r w:rsidR="00952674">
        <w:rPr>
          <w:snapToGrid w:val="0"/>
          <w:kern w:val="22"/>
          <w:szCs w:val="22"/>
        </w:rPr>
        <w:t xml:space="preserve"> </w:t>
      </w:r>
      <w:r>
        <w:rPr>
          <w:snapToGrid w:val="0"/>
          <w:kern w:val="22"/>
          <w:szCs w:val="22"/>
        </w:rPr>
        <w:t>qui</w:t>
      </w:r>
      <w:r w:rsidR="00952674">
        <w:rPr>
          <w:snapToGrid w:val="0"/>
          <w:kern w:val="22"/>
          <w:szCs w:val="22"/>
        </w:rPr>
        <w:t xml:space="preserve"> lui sera remis</w:t>
      </w:r>
      <w:r>
        <w:rPr>
          <w:snapToGrid w:val="0"/>
          <w:kern w:val="22"/>
          <w:szCs w:val="22"/>
        </w:rPr>
        <w:t xml:space="preserve"> par le Bureau.</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Lors de la séance plénière d'ouverture de la première partie de la réunion, Eric Okoree (Ghana) a été élu représentant du Bureau pour l'examen des pouvoirs.</w:t>
      </w:r>
    </w:p>
    <w:p w:rsidR="009D7E39" w:rsidRDefault="00D940B1">
      <w:pPr>
        <w:keepNext/>
        <w:suppressLineNumbers/>
        <w:tabs>
          <w:tab w:val="left" w:pos="810"/>
        </w:tabs>
        <w:suppressAutoHyphens/>
        <w:kinsoku w:val="0"/>
        <w:overflowPunct w:val="0"/>
        <w:autoSpaceDE w:val="0"/>
        <w:autoSpaceDN w:val="0"/>
        <w:adjustRightInd w:val="0"/>
        <w:snapToGrid w:val="0"/>
        <w:spacing w:before="240" w:after="120"/>
        <w:jc w:val="center"/>
        <w:outlineLvl w:val="1"/>
        <w:rPr>
          <w:b/>
          <w:bCs/>
        </w:rPr>
      </w:pPr>
      <w:r>
        <w:rPr>
          <w:b/>
          <w:bCs/>
        </w:rPr>
        <w:t>Point 5.</w:t>
      </w:r>
      <w:r>
        <w:rPr>
          <w:b/>
          <w:bCs/>
        </w:rPr>
        <w:tab/>
        <w:t>Date</w:t>
      </w:r>
      <w:r w:rsidR="00CD0D90">
        <w:rPr>
          <w:b/>
          <w:bCs/>
        </w:rPr>
        <w:t>s</w:t>
      </w:r>
      <w:r>
        <w:rPr>
          <w:b/>
          <w:bCs/>
        </w:rPr>
        <w:t xml:space="preserve"> et lieu des futures réunions de </w:t>
      </w:r>
      <w:r>
        <w:rPr>
          <w:b/>
          <w:bCs/>
          <w:iCs/>
          <w:snapToGrid w:val="0"/>
          <w:kern w:val="22"/>
          <w:szCs w:val="22"/>
        </w:rPr>
        <w:t>la</w:t>
      </w:r>
      <w:r>
        <w:rPr>
          <w:b/>
          <w:bCs/>
        </w:rPr>
        <w:t xml:space="preserve"> Conférence des Parties</w:t>
      </w:r>
    </w:p>
    <w:p w:rsidR="009D7E39" w:rsidRDefault="00D940B1">
      <w:pPr>
        <w:pStyle w:val="Para1"/>
        <w:numPr>
          <w:ilvl w:val="0"/>
          <w:numId w:val="21"/>
        </w:numPr>
        <w:tabs>
          <w:tab w:val="clear" w:pos="360"/>
          <w:tab w:val="left" w:pos="720"/>
        </w:tabs>
        <w:kinsoku w:val="0"/>
        <w:overflowPunct w:val="0"/>
        <w:autoSpaceDE w:val="0"/>
        <w:autoSpaceDN w:val="0"/>
        <w:snapToGrid w:val="0"/>
        <w:rPr>
          <w:kern w:val="22"/>
          <w:szCs w:val="22"/>
          <w:lang w:eastAsia="en-CA"/>
        </w:rPr>
      </w:pPr>
      <w:r>
        <w:rPr>
          <w:kern w:val="22"/>
          <w:szCs w:val="22"/>
        </w:rPr>
        <w:t>Conformément au paragraphe 2 de l'article 4 de son règlement intérieur, la Conférence des Parties déci</w:t>
      </w:r>
      <w:r w:rsidR="00952674">
        <w:rPr>
          <w:kern w:val="22"/>
          <w:szCs w:val="22"/>
        </w:rPr>
        <w:t xml:space="preserve">de à chaque réunion ordinaire quelles seront les dates et </w:t>
      </w:r>
      <w:r>
        <w:rPr>
          <w:kern w:val="22"/>
          <w:szCs w:val="22"/>
        </w:rPr>
        <w:t xml:space="preserve">la durée de la réunion ordinaire suivante. Conformément également à l'article 4, des réunions ordinaires doivent avoir lieu tous les deux ans. Dans sa </w:t>
      </w:r>
      <w:hyperlink r:id="rId17" w:history="1">
        <w:r>
          <w:rPr>
            <w:rStyle w:val="Hyperlink"/>
            <w:color w:val="auto"/>
            <w:kern w:val="22"/>
            <w:sz w:val="22"/>
            <w:szCs w:val="22"/>
            <w:u w:val="none"/>
          </w:rPr>
          <w:t xml:space="preserve">décision </w:t>
        </w:r>
      </w:hyperlink>
      <w:hyperlink r:id="rId18" w:history="1">
        <w:r>
          <w:rPr>
            <w:rStyle w:val="Hyperlink"/>
            <w:kern w:val="22"/>
            <w:sz w:val="22"/>
            <w:szCs w:val="22"/>
          </w:rPr>
          <w:t>XIII</w:t>
        </w:r>
        <w:r>
          <w:rPr>
            <w:rStyle w:val="Hyperlink"/>
            <w:kern w:val="22"/>
            <w:sz w:val="22"/>
            <w:szCs w:val="22"/>
          </w:rPr>
          <w:t>/</w:t>
        </w:r>
        <w:r>
          <w:rPr>
            <w:rStyle w:val="Hyperlink"/>
            <w:kern w:val="22"/>
            <w:sz w:val="22"/>
            <w:szCs w:val="22"/>
          </w:rPr>
          <w:t>33</w:t>
        </w:r>
      </w:hyperlink>
      <w:r>
        <w:rPr>
          <w:kern w:val="22"/>
          <w:szCs w:val="22"/>
        </w:rPr>
        <w:t xml:space="preserve">, la Conférence des Parties a décidé que sa seizième réunion (ainsi que la onzième réunion de la Conférence des Parties </w:t>
      </w:r>
      <w:r w:rsidR="00C74CCB">
        <w:rPr>
          <w:kern w:val="22"/>
          <w:szCs w:val="22"/>
        </w:rPr>
        <w:t>siégeant en tant que</w:t>
      </w:r>
      <w:r>
        <w:rPr>
          <w:kern w:val="22"/>
          <w:szCs w:val="22"/>
        </w:rPr>
        <w:t xml:space="preserve"> réunion des Parties au Protocole de </w:t>
      </w:r>
      <w:r w:rsidR="00C6668A">
        <w:rPr>
          <w:kern w:val="22"/>
          <w:szCs w:val="22"/>
        </w:rPr>
        <w:t>Cartagena</w:t>
      </w:r>
      <w:r w:rsidR="00952674">
        <w:rPr>
          <w:kern w:val="22"/>
          <w:szCs w:val="22"/>
        </w:rPr>
        <w:t>,</w:t>
      </w:r>
      <w:r>
        <w:rPr>
          <w:kern w:val="22"/>
          <w:szCs w:val="22"/>
        </w:rPr>
        <w:t xml:space="preserve"> et la cinquième réunion de </w:t>
      </w:r>
      <w:bookmarkStart w:id="6" w:name="_GoBack"/>
      <w:bookmarkEnd w:id="6"/>
      <w:r>
        <w:rPr>
          <w:kern w:val="22"/>
          <w:szCs w:val="22"/>
        </w:rPr>
        <w:t xml:space="preserve">la Conférence des Parties </w:t>
      </w:r>
      <w:r w:rsidR="00C74CCB">
        <w:rPr>
          <w:kern w:val="22"/>
          <w:szCs w:val="22"/>
        </w:rPr>
        <w:t>siégeant en tant que</w:t>
      </w:r>
      <w:r>
        <w:rPr>
          <w:kern w:val="22"/>
          <w:szCs w:val="22"/>
        </w:rPr>
        <w:t xml:space="preserve"> réunion des Parties au Protocole de Nagoya) se tiendrait à Türkiye. Cependant, le 25 juillet 2023, Volker Türkiye a informé le Secrétariat de sa décision de se retirer de l'organisation et de la présidence de la seizième réunion de la Conférence des Parties</w:t>
      </w:r>
      <w:r w:rsidR="00952674">
        <w:rPr>
          <w:kern w:val="22"/>
          <w:szCs w:val="22"/>
        </w:rPr>
        <w:t>,</w:t>
      </w:r>
      <w:r>
        <w:rPr>
          <w:kern w:val="22"/>
          <w:szCs w:val="22"/>
        </w:rPr>
        <w:t xml:space="preserve"> en raison d'une situation de force majeure causée par les tremblements de terre qui se sont produits en février 2023. Ces informa</w:t>
      </w:r>
      <w:r w:rsidR="00952674">
        <w:rPr>
          <w:kern w:val="22"/>
          <w:szCs w:val="22"/>
        </w:rPr>
        <w:t>tions ont été communiquées aux Parties par la notification No.2023-82 du 31 </w:t>
      </w:r>
      <w:r>
        <w:rPr>
          <w:kern w:val="22"/>
          <w:szCs w:val="22"/>
        </w:rPr>
        <w:t>juillet 2023.</w:t>
      </w:r>
    </w:p>
    <w:p w:rsidR="009D7E39" w:rsidRDefault="00952674">
      <w:pPr>
        <w:pStyle w:val="Para1"/>
        <w:numPr>
          <w:ilvl w:val="0"/>
          <w:numId w:val="21"/>
        </w:numPr>
        <w:tabs>
          <w:tab w:val="clear" w:pos="360"/>
          <w:tab w:val="left" w:pos="720"/>
        </w:tabs>
        <w:kinsoku w:val="0"/>
        <w:overflowPunct w:val="0"/>
        <w:autoSpaceDE w:val="0"/>
        <w:autoSpaceDN w:val="0"/>
        <w:snapToGrid w:val="0"/>
        <w:rPr>
          <w:kern w:val="22"/>
          <w:szCs w:val="22"/>
          <w:lang w:eastAsia="en-CA"/>
        </w:rPr>
      </w:pPr>
      <w:r>
        <w:rPr>
          <w:kern w:val="22"/>
          <w:szCs w:val="22"/>
        </w:rPr>
        <w:t>Une mise à jour sur cette</w:t>
      </w:r>
      <w:r w:rsidR="00D940B1">
        <w:rPr>
          <w:kern w:val="22"/>
          <w:szCs w:val="22"/>
        </w:rPr>
        <w:t xml:space="preserve"> question sera communiquée à la Conférence des Parties à la présente réunion.</w:t>
      </w:r>
    </w:p>
    <w:p w:rsidR="009D7E39" w:rsidRDefault="00D940B1">
      <w:pPr>
        <w:keepNext/>
        <w:suppressLineNumbers/>
        <w:tabs>
          <w:tab w:val="left" w:pos="540"/>
        </w:tabs>
        <w:suppressAutoHyphens/>
        <w:kinsoku w:val="0"/>
        <w:overflowPunct w:val="0"/>
        <w:autoSpaceDE w:val="0"/>
        <w:autoSpaceDN w:val="0"/>
        <w:adjustRightInd w:val="0"/>
        <w:snapToGrid w:val="0"/>
        <w:spacing w:before="120" w:after="120"/>
        <w:jc w:val="center"/>
        <w:outlineLvl w:val="0"/>
        <w:rPr>
          <w:b/>
          <w:bCs/>
          <w:snapToGrid w:val="0"/>
          <w:kern w:val="22"/>
          <w:szCs w:val="22"/>
        </w:rPr>
      </w:pPr>
      <w:r>
        <w:rPr>
          <w:b/>
          <w:bCs/>
          <w:snapToGrid w:val="0"/>
          <w:kern w:val="22"/>
          <w:szCs w:val="22"/>
        </w:rPr>
        <w:t>II.</w:t>
      </w:r>
      <w:r>
        <w:rPr>
          <w:b/>
          <w:bCs/>
          <w:snapToGrid w:val="0"/>
          <w:kern w:val="22"/>
          <w:szCs w:val="22"/>
        </w:rPr>
        <w:tab/>
        <w:t>QUESTIONS FINALES</w:t>
      </w:r>
    </w:p>
    <w:p w:rsidR="009D7E39" w:rsidRDefault="00D940B1">
      <w:pPr>
        <w:keepNext/>
        <w:suppressLineNumbers/>
        <w:tabs>
          <w:tab w:val="left" w:pos="900"/>
        </w:tabs>
        <w:suppressAutoHyphens/>
        <w:kinsoku w:val="0"/>
        <w:overflowPunct w:val="0"/>
        <w:autoSpaceDE w:val="0"/>
        <w:autoSpaceDN w:val="0"/>
        <w:adjustRightInd w:val="0"/>
        <w:snapToGrid w:val="0"/>
        <w:spacing w:before="240" w:after="120"/>
        <w:jc w:val="center"/>
        <w:outlineLvl w:val="1"/>
        <w:rPr>
          <w:b/>
          <w:bCs/>
          <w:snapToGrid w:val="0"/>
          <w:kern w:val="22"/>
          <w:szCs w:val="22"/>
        </w:rPr>
      </w:pPr>
      <w:bookmarkStart w:id="7" w:name="_heading=h.30j0zll" w:colFirst="0" w:colLast="0"/>
      <w:bookmarkStart w:id="8" w:name="_heading=h.3znysh7" w:colFirst="0" w:colLast="0"/>
      <w:bookmarkStart w:id="9" w:name="_heading=h.nkgw0ii72cmr" w:colFirst="0" w:colLast="0"/>
      <w:bookmarkStart w:id="10" w:name="_heading=h.gjdgxs" w:colFirst="0" w:colLast="0"/>
      <w:bookmarkStart w:id="11" w:name="_heading=h.xuy1qui6wltd" w:colFirst="0" w:colLast="0"/>
      <w:bookmarkEnd w:id="7"/>
      <w:bookmarkEnd w:id="8"/>
      <w:bookmarkEnd w:id="9"/>
      <w:bookmarkEnd w:id="10"/>
      <w:bookmarkEnd w:id="11"/>
      <w:r>
        <w:rPr>
          <w:b/>
          <w:bCs/>
          <w:snapToGrid w:val="0"/>
          <w:kern w:val="22"/>
          <w:szCs w:val="22"/>
        </w:rPr>
        <w:t>Point 28.</w:t>
      </w:r>
      <w:r>
        <w:rPr>
          <w:b/>
          <w:bCs/>
          <w:snapToGrid w:val="0"/>
          <w:kern w:val="22"/>
          <w:szCs w:val="22"/>
        </w:rPr>
        <w:tab/>
        <w:t>Autres questions</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 xml:space="preserve">La Conférence des Parties souhaitera peut-être examiner d'autres questions soulevées et acceptées pour examen, conformément à l'article 12 de son règlement intérieur et </w:t>
      </w:r>
      <w:r w:rsidR="00952674">
        <w:rPr>
          <w:snapToGrid w:val="0"/>
          <w:kern w:val="22"/>
          <w:szCs w:val="22"/>
        </w:rPr>
        <w:t>au paragraphe 7 de la décision </w:t>
      </w:r>
      <w:hyperlink r:id="rId19" w:history="1">
        <w:r>
          <w:rPr>
            <w:snapToGrid w:val="0"/>
            <w:color w:val="0000FF"/>
            <w:kern w:val="22"/>
            <w:szCs w:val="22"/>
            <w:u w:val="single"/>
          </w:rPr>
          <w:t>IV</w:t>
        </w:r>
        <w:r>
          <w:rPr>
            <w:snapToGrid w:val="0"/>
            <w:color w:val="0000FF"/>
            <w:kern w:val="22"/>
            <w:szCs w:val="22"/>
            <w:u w:val="single"/>
          </w:rPr>
          <w:t>/</w:t>
        </w:r>
        <w:r>
          <w:rPr>
            <w:snapToGrid w:val="0"/>
            <w:color w:val="0000FF"/>
            <w:kern w:val="22"/>
            <w:szCs w:val="22"/>
            <w:u w:val="single"/>
          </w:rPr>
          <w:t>16</w:t>
        </w:r>
      </w:hyperlink>
      <w:r>
        <w:rPr>
          <w:snapToGrid w:val="0"/>
          <w:kern w:val="22"/>
          <w:szCs w:val="22"/>
        </w:rPr>
        <w:t>.</w:t>
      </w:r>
    </w:p>
    <w:p w:rsidR="009D7E39" w:rsidRDefault="00D940B1">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rPr>
      </w:pPr>
      <w:r>
        <w:rPr>
          <w:b/>
          <w:bCs/>
          <w:snapToGrid w:val="0"/>
          <w:kern w:val="22"/>
          <w:szCs w:val="22"/>
        </w:rPr>
        <w:t>Point 29.</w:t>
      </w:r>
      <w:r>
        <w:rPr>
          <w:b/>
          <w:bCs/>
          <w:snapToGrid w:val="0"/>
          <w:kern w:val="22"/>
          <w:szCs w:val="22"/>
        </w:rPr>
        <w:tab/>
        <w:t>Adoption du rapport</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 xml:space="preserve">La Conférence des Parties sera invitée à examiner et à adopter le projet de rapport de la deuxième partie de sa quinzième réunion, qui sera établi par le Rapporteur sur la base du document </w:t>
      </w:r>
      <w:bookmarkStart w:id="12" w:name="_Hlk144983212"/>
      <w:r>
        <w:rPr>
          <w:snapToGrid w:val="0"/>
          <w:kern w:val="22"/>
          <w:szCs w:val="22"/>
        </w:rPr>
        <w:lastRenderedPageBreak/>
        <w:t xml:space="preserve">CBD/COP/15/Part-II/L.1/Rev.1, </w:t>
      </w:r>
      <w:bookmarkEnd w:id="12"/>
      <w:r>
        <w:rPr>
          <w:snapToGrid w:val="0"/>
          <w:kern w:val="22"/>
          <w:szCs w:val="22"/>
        </w:rPr>
        <w:t xml:space="preserve">tel qu'il aura été achevé, afin de tenir compte des travaux de la </w:t>
      </w:r>
      <w:r w:rsidR="00952674">
        <w:rPr>
          <w:snapToGrid w:val="0"/>
          <w:kern w:val="22"/>
          <w:szCs w:val="22"/>
        </w:rPr>
        <w:t>suit</w:t>
      </w:r>
      <w:r w:rsidR="00051268">
        <w:rPr>
          <w:snapToGrid w:val="0"/>
          <w:kern w:val="22"/>
          <w:szCs w:val="22"/>
        </w:rPr>
        <w:t>e</w:t>
      </w:r>
      <w:r>
        <w:rPr>
          <w:snapToGrid w:val="0"/>
          <w:kern w:val="22"/>
          <w:szCs w:val="22"/>
        </w:rPr>
        <w:t xml:space="preserve"> de la deuxième partie de sa quinzième réunion.</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Ensemble, les rapports de la première partie</w:t>
      </w:r>
      <w:r w:rsidR="00E52D07">
        <w:rPr>
          <w:rStyle w:val="FootnoteReference"/>
          <w:snapToGrid w:val="0"/>
          <w:kern w:val="22"/>
          <w:szCs w:val="22"/>
        </w:rPr>
        <w:footnoteReference w:id="8"/>
      </w:r>
      <w:r>
        <w:rPr>
          <w:snapToGrid w:val="0"/>
          <w:kern w:val="22"/>
          <w:szCs w:val="22"/>
        </w:rPr>
        <w:t xml:space="preserve"> et de la deuxième partie de la réunion constitueront les travaux de la quinzième réunion de la Conférence des Parties.</w:t>
      </w:r>
    </w:p>
    <w:p w:rsidR="009D7E39" w:rsidRDefault="00D940B1">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La Conférence des Parties souhaitera peut-être également</w:t>
      </w:r>
      <w:r w:rsidR="00952674">
        <w:rPr>
          <w:snapToGrid w:val="0"/>
          <w:kern w:val="22"/>
          <w:szCs w:val="22"/>
        </w:rPr>
        <w:t xml:space="preserve"> joindre en annexe</w:t>
      </w:r>
      <w:r>
        <w:rPr>
          <w:snapToGrid w:val="0"/>
          <w:kern w:val="22"/>
          <w:szCs w:val="22"/>
        </w:rPr>
        <w:t xml:space="preserve"> à ses travaux les résultats du débat de haut niveau de sa réunion et d</w:t>
      </w:r>
      <w:r w:rsidR="00952674">
        <w:rPr>
          <w:snapToGrid w:val="0"/>
          <w:kern w:val="22"/>
          <w:szCs w:val="22"/>
        </w:rPr>
        <w:t>'autres évènements organisé</w:t>
      </w:r>
      <w:r>
        <w:rPr>
          <w:snapToGrid w:val="0"/>
          <w:kern w:val="22"/>
          <w:szCs w:val="22"/>
        </w:rPr>
        <w:t>s à l'occasion de sa quinzième réunion. Confor</w:t>
      </w:r>
      <w:r w:rsidR="00952674">
        <w:rPr>
          <w:snapToGrid w:val="0"/>
          <w:kern w:val="22"/>
          <w:szCs w:val="22"/>
        </w:rPr>
        <w:t>mément à la pratique établie, elle</w:t>
      </w:r>
      <w:r>
        <w:rPr>
          <w:snapToGrid w:val="0"/>
          <w:kern w:val="22"/>
          <w:szCs w:val="22"/>
        </w:rPr>
        <w:t xml:space="preserve"> souhaitera peut-être autoriser le Rapporteur à achever le rapport final après la</w:t>
      </w:r>
      <w:r w:rsidR="00952674">
        <w:rPr>
          <w:snapToGrid w:val="0"/>
          <w:kern w:val="22"/>
          <w:szCs w:val="22"/>
        </w:rPr>
        <w:t xml:space="preserve"> réunion, avec les conseils du p</w:t>
      </w:r>
      <w:r>
        <w:rPr>
          <w:snapToGrid w:val="0"/>
          <w:kern w:val="22"/>
          <w:szCs w:val="22"/>
        </w:rPr>
        <w:t>résident et l'assistance du Secrétariat.</w:t>
      </w:r>
    </w:p>
    <w:p w:rsidR="009D7E39" w:rsidRDefault="00D940B1">
      <w:pPr>
        <w:keepNext/>
        <w:suppressLineNumbers/>
        <w:tabs>
          <w:tab w:val="left" w:pos="990"/>
        </w:tabs>
        <w:suppressAutoHyphens/>
        <w:kinsoku w:val="0"/>
        <w:overflowPunct w:val="0"/>
        <w:autoSpaceDE w:val="0"/>
        <w:autoSpaceDN w:val="0"/>
        <w:adjustRightInd w:val="0"/>
        <w:snapToGrid w:val="0"/>
        <w:spacing w:before="240" w:after="120"/>
        <w:jc w:val="center"/>
        <w:outlineLvl w:val="1"/>
        <w:rPr>
          <w:b/>
          <w:bCs/>
          <w:snapToGrid w:val="0"/>
          <w:kern w:val="22"/>
          <w:szCs w:val="22"/>
        </w:rPr>
      </w:pPr>
      <w:r>
        <w:rPr>
          <w:b/>
          <w:bCs/>
          <w:snapToGrid w:val="0"/>
          <w:kern w:val="22"/>
          <w:szCs w:val="22"/>
        </w:rPr>
        <w:t>Point 30.</w:t>
      </w:r>
      <w:r>
        <w:rPr>
          <w:b/>
          <w:bCs/>
          <w:snapToGrid w:val="0"/>
          <w:kern w:val="22"/>
          <w:szCs w:val="22"/>
        </w:rPr>
        <w:tab/>
        <w:t>Clôture de la réunion</w:t>
      </w:r>
    </w:p>
    <w:p w:rsidR="009D7E39" w:rsidRDefault="00952674">
      <w:pPr>
        <w:numPr>
          <w:ilvl w:val="0"/>
          <w:numId w:val="21"/>
        </w:numPr>
        <w:suppressLineNumbers/>
        <w:tabs>
          <w:tab w:val="clear" w:pos="360"/>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kern w:val="22"/>
          <w:szCs w:val="22"/>
        </w:rPr>
        <w:t>Il est prévu que la</w:t>
      </w:r>
      <w:r w:rsidR="00D940B1">
        <w:rPr>
          <w:snapToGrid w:val="0"/>
          <w:kern w:val="22"/>
          <w:szCs w:val="22"/>
        </w:rPr>
        <w:t xml:space="preserve"> </w:t>
      </w:r>
      <w:r w:rsidR="00051268">
        <w:rPr>
          <w:snapToGrid w:val="0"/>
          <w:kern w:val="22"/>
          <w:szCs w:val="22"/>
        </w:rPr>
        <w:t>suite</w:t>
      </w:r>
      <w:r w:rsidR="00D940B1">
        <w:rPr>
          <w:snapToGrid w:val="0"/>
          <w:kern w:val="22"/>
          <w:szCs w:val="22"/>
        </w:rPr>
        <w:t xml:space="preserve"> de la deuxième partie de la quinzième réunion de la Con</w:t>
      </w:r>
      <w:r>
        <w:rPr>
          <w:snapToGrid w:val="0"/>
          <w:kern w:val="22"/>
          <w:szCs w:val="22"/>
        </w:rPr>
        <w:t>fé</w:t>
      </w:r>
      <w:r w:rsidR="00C161A6">
        <w:rPr>
          <w:snapToGrid w:val="0"/>
          <w:kern w:val="22"/>
          <w:szCs w:val="22"/>
        </w:rPr>
        <w:t xml:space="preserve">rence des Parties soit </w:t>
      </w:r>
      <w:r w:rsidR="00D940B1">
        <w:rPr>
          <w:snapToGrid w:val="0"/>
          <w:kern w:val="22"/>
          <w:szCs w:val="22"/>
        </w:rPr>
        <w:t xml:space="preserve">close le 20 octobre 2023 à 13 heures. </w:t>
      </w:r>
    </w:p>
    <w:p w:rsidR="009D7E39" w:rsidRDefault="00D940B1">
      <w:pPr>
        <w:jc w:val="left"/>
        <w:rPr>
          <w:snapToGrid w:val="0"/>
          <w:kern w:val="22"/>
          <w:szCs w:val="22"/>
        </w:rPr>
      </w:pPr>
      <w:r>
        <w:rPr>
          <w:snapToGrid w:val="0"/>
          <w:kern w:val="22"/>
          <w:szCs w:val="22"/>
        </w:rPr>
        <w:br w:type="page"/>
      </w:r>
    </w:p>
    <w:p w:rsidR="009D7E39" w:rsidRDefault="00D940B1">
      <w:pPr>
        <w:pStyle w:val="Heading3"/>
        <w:suppressLineNumbers/>
        <w:suppressAutoHyphens/>
        <w:kinsoku w:val="0"/>
        <w:overflowPunct w:val="0"/>
        <w:autoSpaceDE w:val="0"/>
        <w:autoSpaceDN w:val="0"/>
        <w:spacing w:before="0"/>
        <w:rPr>
          <w:snapToGrid w:val="0"/>
          <w:kern w:val="22"/>
          <w:szCs w:val="22"/>
        </w:rPr>
      </w:pPr>
      <w:r>
        <w:rPr>
          <w:snapToGrid w:val="0"/>
          <w:kern w:val="22"/>
          <w:szCs w:val="22"/>
        </w:rPr>
        <w:lastRenderedPageBreak/>
        <w:t>Annexe I</w:t>
      </w:r>
    </w:p>
    <w:p w:rsidR="009D7E39" w:rsidRDefault="00D940B1">
      <w:pPr>
        <w:pStyle w:val="Heading-plainbold"/>
        <w:keepNext/>
        <w:numPr>
          <w:ilvl w:val="2"/>
          <w:numId w:val="38"/>
        </w:numPr>
        <w:suppressLineNumbers/>
        <w:suppressAutoHyphens/>
        <w:kinsoku w:val="0"/>
        <w:overflowPunct w:val="0"/>
        <w:autoSpaceDE w:val="0"/>
        <w:autoSpaceDN w:val="0"/>
        <w:ind w:left="0" w:firstLine="0"/>
        <w:rPr>
          <w:i w:val="0"/>
          <w:iCs/>
          <w:snapToGrid w:val="0"/>
          <w:kern w:val="22"/>
          <w:szCs w:val="22"/>
        </w:rPr>
      </w:pPr>
      <w:r>
        <w:rPr>
          <w:i w:val="0"/>
          <w:iCs/>
          <w:snapToGrid w:val="0"/>
          <w:kern w:val="22"/>
          <w:szCs w:val="22"/>
        </w:rPr>
        <w:t xml:space="preserve">Documents de travail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5524"/>
        <w:gridCol w:w="710"/>
      </w:tblGrid>
      <w:tr w:rsidR="002E2D1B" w:rsidRPr="00156C1C" w:rsidTr="00311C9B">
        <w:tc>
          <w:tcPr>
            <w:tcW w:w="3116" w:type="dxa"/>
          </w:tcPr>
          <w:p w:rsidR="009D7E39" w:rsidRDefault="00D940B1">
            <w:pPr>
              <w:spacing w:before="120" w:after="120"/>
              <w:jc w:val="left"/>
              <w:rPr>
                <w:i/>
                <w:iCs/>
                <w:snapToGrid w:val="0"/>
                <w:kern w:val="22"/>
                <w:szCs w:val="22"/>
              </w:rPr>
            </w:pPr>
            <w:r>
              <w:rPr>
                <w:i/>
                <w:iCs/>
                <w:snapToGrid w:val="0"/>
                <w:kern w:val="22"/>
                <w:szCs w:val="22"/>
              </w:rPr>
              <w:t>Symbole</w:t>
            </w:r>
          </w:p>
        </w:tc>
        <w:tc>
          <w:tcPr>
            <w:tcW w:w="5524" w:type="dxa"/>
          </w:tcPr>
          <w:p w:rsidR="009D7E39" w:rsidRDefault="00D940B1">
            <w:pPr>
              <w:spacing w:before="120" w:after="120"/>
              <w:jc w:val="left"/>
              <w:rPr>
                <w:i/>
                <w:iCs/>
                <w:snapToGrid w:val="0"/>
                <w:kern w:val="22"/>
                <w:szCs w:val="22"/>
              </w:rPr>
            </w:pPr>
            <w:r>
              <w:rPr>
                <w:i/>
                <w:iCs/>
                <w:snapToGrid w:val="0"/>
                <w:kern w:val="22"/>
                <w:szCs w:val="22"/>
              </w:rPr>
              <w:t>Titre</w:t>
            </w:r>
          </w:p>
        </w:tc>
        <w:tc>
          <w:tcPr>
            <w:tcW w:w="710" w:type="dxa"/>
          </w:tcPr>
          <w:p w:rsidR="009D7E39" w:rsidRDefault="008B5E1E">
            <w:pPr>
              <w:spacing w:before="120" w:after="120"/>
              <w:jc w:val="right"/>
              <w:rPr>
                <w:i/>
                <w:iCs/>
                <w:snapToGrid w:val="0"/>
                <w:kern w:val="22"/>
                <w:szCs w:val="22"/>
              </w:rPr>
            </w:pPr>
            <w:r>
              <w:rPr>
                <w:i/>
                <w:iCs/>
                <w:snapToGrid w:val="0"/>
                <w:kern w:val="22"/>
                <w:szCs w:val="22"/>
              </w:rPr>
              <w:t>Poi</w:t>
            </w:r>
            <w:r w:rsidR="00D940B1">
              <w:rPr>
                <w:i/>
                <w:iCs/>
                <w:snapToGrid w:val="0"/>
                <w:kern w:val="22"/>
                <w:szCs w:val="22"/>
              </w:rPr>
              <w:t>nt</w:t>
            </w:r>
          </w:p>
        </w:tc>
      </w:tr>
      <w:tr w:rsidR="002E2D1B" w:rsidRPr="00156C1C" w:rsidTr="00311C9B">
        <w:tc>
          <w:tcPr>
            <w:tcW w:w="3116" w:type="dxa"/>
          </w:tcPr>
          <w:p w:rsidR="009D7E39" w:rsidRDefault="00D940B1">
            <w:pPr>
              <w:spacing w:before="120" w:after="120"/>
              <w:jc w:val="left"/>
              <w:rPr>
                <w:i/>
                <w:iCs/>
                <w:snapToGrid w:val="0"/>
                <w:kern w:val="22"/>
                <w:szCs w:val="22"/>
              </w:rPr>
            </w:pPr>
            <w:r>
              <w:rPr>
                <w:snapToGrid w:val="0"/>
                <w:kern w:val="22"/>
                <w:szCs w:val="22"/>
              </w:rPr>
              <w:t>CBD/COP/15/1/Rev.1</w:t>
            </w:r>
          </w:p>
        </w:tc>
        <w:tc>
          <w:tcPr>
            <w:tcW w:w="5524" w:type="dxa"/>
          </w:tcPr>
          <w:p w:rsidR="009D7E39" w:rsidRDefault="00D940B1">
            <w:pPr>
              <w:spacing w:before="120" w:after="120"/>
              <w:jc w:val="left"/>
              <w:rPr>
                <w:i/>
                <w:iCs/>
                <w:snapToGrid w:val="0"/>
                <w:kern w:val="22"/>
                <w:szCs w:val="22"/>
              </w:rPr>
            </w:pPr>
            <w:r>
              <w:rPr>
                <w:snapToGrid w:val="0"/>
                <w:kern w:val="22"/>
                <w:szCs w:val="22"/>
              </w:rPr>
              <w:t>Ordre du jour provisoire</w:t>
            </w:r>
          </w:p>
        </w:tc>
        <w:tc>
          <w:tcPr>
            <w:tcW w:w="710" w:type="dxa"/>
          </w:tcPr>
          <w:p w:rsidR="009D7E39" w:rsidRDefault="00D940B1">
            <w:pPr>
              <w:spacing w:before="120" w:after="120"/>
              <w:jc w:val="right"/>
              <w:rPr>
                <w:snapToGrid w:val="0"/>
                <w:kern w:val="22"/>
                <w:szCs w:val="22"/>
              </w:rPr>
            </w:pPr>
            <w:r>
              <w:rPr>
                <w:snapToGrid w:val="0"/>
                <w:kern w:val="22"/>
                <w:szCs w:val="22"/>
              </w:rPr>
              <w:t>2</w:t>
            </w:r>
          </w:p>
        </w:tc>
      </w:tr>
      <w:tr w:rsidR="002E2D1B" w:rsidRPr="00156C1C" w:rsidTr="00311C9B">
        <w:tc>
          <w:tcPr>
            <w:tcW w:w="3116" w:type="dxa"/>
          </w:tcPr>
          <w:p w:rsidR="009D7E39" w:rsidRDefault="00D940B1">
            <w:pPr>
              <w:spacing w:before="120" w:after="120"/>
              <w:jc w:val="left"/>
              <w:rPr>
                <w:i/>
                <w:iCs/>
                <w:snapToGrid w:val="0"/>
                <w:kern w:val="22"/>
                <w:szCs w:val="22"/>
              </w:rPr>
            </w:pPr>
            <w:r>
              <w:rPr>
                <w:snapToGrid w:val="0"/>
                <w:kern w:val="22"/>
                <w:szCs w:val="22"/>
              </w:rPr>
              <w:t>CBD/COP/15/1/Add.5</w:t>
            </w:r>
          </w:p>
        </w:tc>
        <w:tc>
          <w:tcPr>
            <w:tcW w:w="5524" w:type="dxa"/>
          </w:tcPr>
          <w:p w:rsidR="009D7E39" w:rsidRDefault="00D940B1">
            <w:pPr>
              <w:spacing w:before="120" w:after="120"/>
              <w:jc w:val="left"/>
              <w:rPr>
                <w:i/>
                <w:iCs/>
                <w:snapToGrid w:val="0"/>
                <w:kern w:val="22"/>
                <w:szCs w:val="22"/>
              </w:rPr>
            </w:pPr>
            <w:r>
              <w:rPr>
                <w:snapToGrid w:val="0"/>
                <w:kern w:val="22"/>
                <w:szCs w:val="22"/>
              </w:rPr>
              <w:t>Annotations à l'ordre du jour</w:t>
            </w:r>
          </w:p>
        </w:tc>
        <w:tc>
          <w:tcPr>
            <w:tcW w:w="710" w:type="dxa"/>
          </w:tcPr>
          <w:p w:rsidR="009D7E39" w:rsidRDefault="00D940B1">
            <w:pPr>
              <w:spacing w:before="120" w:after="120"/>
              <w:jc w:val="right"/>
              <w:rPr>
                <w:snapToGrid w:val="0"/>
                <w:kern w:val="22"/>
                <w:szCs w:val="22"/>
              </w:rPr>
            </w:pPr>
            <w:r>
              <w:rPr>
                <w:snapToGrid w:val="0"/>
                <w:kern w:val="22"/>
                <w:szCs w:val="22"/>
              </w:rPr>
              <w:t>2</w:t>
            </w:r>
          </w:p>
        </w:tc>
      </w:tr>
      <w:tr w:rsidR="002E2D1B" w:rsidRPr="00156C1C" w:rsidTr="00311C9B">
        <w:tc>
          <w:tcPr>
            <w:tcW w:w="3116" w:type="dxa"/>
          </w:tcPr>
          <w:p w:rsidR="009D7E39" w:rsidRDefault="00D940B1">
            <w:pPr>
              <w:spacing w:before="120" w:after="120"/>
              <w:jc w:val="left"/>
              <w:rPr>
                <w:i/>
                <w:iCs/>
                <w:snapToGrid w:val="0"/>
                <w:kern w:val="22"/>
                <w:szCs w:val="22"/>
              </w:rPr>
            </w:pPr>
            <w:r>
              <w:rPr>
                <w:snapToGrid w:val="0"/>
                <w:kern w:val="22"/>
                <w:szCs w:val="22"/>
              </w:rPr>
              <w:t>CBD/COP/15/4</w:t>
            </w:r>
          </w:p>
        </w:tc>
        <w:tc>
          <w:tcPr>
            <w:tcW w:w="5524" w:type="dxa"/>
          </w:tcPr>
          <w:p w:rsidR="009D7E39" w:rsidRDefault="00D940B1">
            <w:pPr>
              <w:spacing w:before="120" w:after="120"/>
              <w:jc w:val="left"/>
              <w:rPr>
                <w:i/>
                <w:iCs/>
                <w:snapToGrid w:val="0"/>
                <w:kern w:val="22"/>
                <w:szCs w:val="22"/>
              </w:rPr>
            </w:pPr>
            <w:r>
              <w:rPr>
                <w:snapToGrid w:val="0"/>
                <w:kern w:val="22"/>
                <w:szCs w:val="22"/>
              </w:rPr>
              <w:t>Rapport de la Conférence des Parties à la Convention sur la diversité biologique sur les travaux de sa quinzième réunion (première partie)</w:t>
            </w:r>
          </w:p>
        </w:tc>
        <w:tc>
          <w:tcPr>
            <w:tcW w:w="710" w:type="dxa"/>
          </w:tcPr>
          <w:p w:rsidR="009D7E39" w:rsidRDefault="00D940B1">
            <w:pPr>
              <w:spacing w:before="120" w:after="120"/>
              <w:jc w:val="right"/>
              <w:rPr>
                <w:snapToGrid w:val="0"/>
                <w:kern w:val="22"/>
                <w:szCs w:val="22"/>
              </w:rPr>
            </w:pPr>
            <w:r>
              <w:rPr>
                <w:snapToGrid w:val="0"/>
                <w:kern w:val="22"/>
                <w:szCs w:val="22"/>
              </w:rPr>
              <w:t>29</w:t>
            </w:r>
          </w:p>
        </w:tc>
      </w:tr>
      <w:tr w:rsidR="002E2D1B" w:rsidRPr="00156C1C" w:rsidTr="00311C9B">
        <w:tc>
          <w:tcPr>
            <w:tcW w:w="3116" w:type="dxa"/>
          </w:tcPr>
          <w:p w:rsidR="009D7E39" w:rsidRPr="00C74CCB" w:rsidRDefault="00D940B1">
            <w:pPr>
              <w:spacing w:before="120" w:after="120"/>
              <w:jc w:val="left"/>
              <w:rPr>
                <w:i/>
                <w:iCs/>
                <w:snapToGrid w:val="0"/>
                <w:kern w:val="22"/>
                <w:szCs w:val="22"/>
                <w:lang w:val="en-AU"/>
              </w:rPr>
            </w:pPr>
            <w:r w:rsidRPr="00C74CCB">
              <w:rPr>
                <w:snapToGrid w:val="0"/>
                <w:kern w:val="22"/>
                <w:szCs w:val="22"/>
                <w:lang w:val="en-AU"/>
              </w:rPr>
              <w:t>CBD/COP/15/Part-II/L.1/Rev.1</w:t>
            </w:r>
          </w:p>
        </w:tc>
        <w:tc>
          <w:tcPr>
            <w:tcW w:w="5524" w:type="dxa"/>
          </w:tcPr>
          <w:p w:rsidR="009D7E39" w:rsidRDefault="00D940B1">
            <w:pPr>
              <w:spacing w:before="120" w:after="120"/>
              <w:jc w:val="left"/>
              <w:rPr>
                <w:i/>
                <w:iCs/>
                <w:snapToGrid w:val="0"/>
                <w:kern w:val="22"/>
                <w:szCs w:val="22"/>
              </w:rPr>
            </w:pPr>
            <w:r>
              <w:rPr>
                <w:snapToGrid w:val="0"/>
                <w:kern w:val="22"/>
                <w:szCs w:val="22"/>
              </w:rPr>
              <w:t>Projet de rapport de la réunion</w:t>
            </w:r>
          </w:p>
        </w:tc>
        <w:tc>
          <w:tcPr>
            <w:tcW w:w="710" w:type="dxa"/>
          </w:tcPr>
          <w:p w:rsidR="009D7E39" w:rsidRDefault="00D940B1">
            <w:pPr>
              <w:spacing w:before="120" w:after="120"/>
              <w:jc w:val="right"/>
              <w:rPr>
                <w:snapToGrid w:val="0"/>
                <w:kern w:val="22"/>
                <w:szCs w:val="22"/>
              </w:rPr>
            </w:pPr>
            <w:r>
              <w:rPr>
                <w:snapToGrid w:val="0"/>
                <w:kern w:val="22"/>
                <w:szCs w:val="22"/>
              </w:rPr>
              <w:t>29</w:t>
            </w:r>
          </w:p>
        </w:tc>
      </w:tr>
    </w:tbl>
    <w:p w:rsidR="009D7E39" w:rsidRDefault="00D940B1">
      <w:pPr>
        <w:pStyle w:val="Heading-plainbold"/>
        <w:keepNext/>
        <w:numPr>
          <w:ilvl w:val="2"/>
          <w:numId w:val="38"/>
        </w:numPr>
        <w:suppressLineNumbers/>
        <w:suppressAutoHyphens/>
        <w:kinsoku w:val="0"/>
        <w:overflowPunct w:val="0"/>
        <w:autoSpaceDE w:val="0"/>
        <w:autoSpaceDN w:val="0"/>
        <w:ind w:left="0" w:firstLine="0"/>
        <w:rPr>
          <w:i w:val="0"/>
          <w:iCs/>
          <w:snapToGrid w:val="0"/>
          <w:kern w:val="22"/>
          <w:szCs w:val="22"/>
        </w:rPr>
      </w:pPr>
      <w:r>
        <w:rPr>
          <w:i w:val="0"/>
          <w:iCs/>
          <w:snapToGrid w:val="0"/>
          <w:kern w:val="22"/>
          <w:szCs w:val="22"/>
        </w:rPr>
        <w:t xml:space="preserve">Documents d'information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5490"/>
        <w:gridCol w:w="720"/>
      </w:tblGrid>
      <w:tr w:rsidR="00082F78" w:rsidRPr="00156C1C" w:rsidTr="00311C9B">
        <w:tc>
          <w:tcPr>
            <w:tcW w:w="3150" w:type="dxa"/>
          </w:tcPr>
          <w:p w:rsidR="009D7E39" w:rsidRDefault="00D940B1">
            <w:pPr>
              <w:spacing w:before="120" w:after="120"/>
              <w:rPr>
                <w:szCs w:val="22"/>
              </w:rPr>
            </w:pPr>
            <w:r>
              <w:rPr>
                <w:i/>
                <w:iCs/>
                <w:snapToGrid w:val="0"/>
                <w:kern w:val="22"/>
                <w:szCs w:val="22"/>
              </w:rPr>
              <w:t>Symbole</w:t>
            </w:r>
          </w:p>
        </w:tc>
        <w:tc>
          <w:tcPr>
            <w:tcW w:w="5490" w:type="dxa"/>
          </w:tcPr>
          <w:p w:rsidR="009D7E39" w:rsidRDefault="00D940B1">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Cs w:val="22"/>
              </w:rPr>
            </w:pPr>
            <w:r>
              <w:rPr>
                <w:i/>
                <w:iCs/>
                <w:snapToGrid w:val="0"/>
                <w:kern w:val="22"/>
                <w:szCs w:val="22"/>
              </w:rPr>
              <w:t>Titre</w:t>
            </w:r>
          </w:p>
        </w:tc>
        <w:tc>
          <w:tcPr>
            <w:tcW w:w="720" w:type="dxa"/>
          </w:tcPr>
          <w:p w:rsidR="009D7E39" w:rsidRDefault="008B5E1E">
            <w:pPr>
              <w:suppressLineNumbers/>
              <w:tabs>
                <w:tab w:val="left" w:pos="360"/>
                <w:tab w:val="left" w:pos="720"/>
              </w:tabs>
              <w:suppressAutoHyphens/>
              <w:kinsoku w:val="0"/>
              <w:overflowPunct w:val="0"/>
              <w:autoSpaceDE w:val="0"/>
              <w:autoSpaceDN w:val="0"/>
              <w:adjustRightInd w:val="0"/>
              <w:snapToGrid w:val="0"/>
              <w:spacing w:before="120" w:after="120"/>
              <w:jc w:val="right"/>
              <w:rPr>
                <w:snapToGrid w:val="0"/>
                <w:kern w:val="22"/>
                <w:szCs w:val="22"/>
              </w:rPr>
            </w:pPr>
            <w:r>
              <w:rPr>
                <w:i/>
                <w:iCs/>
                <w:snapToGrid w:val="0"/>
                <w:kern w:val="22"/>
                <w:szCs w:val="22"/>
              </w:rPr>
              <w:t>Poi</w:t>
            </w:r>
            <w:r w:rsidR="00D940B1">
              <w:rPr>
                <w:i/>
                <w:iCs/>
                <w:snapToGrid w:val="0"/>
                <w:kern w:val="22"/>
                <w:szCs w:val="22"/>
              </w:rPr>
              <w:t>nt</w:t>
            </w:r>
          </w:p>
        </w:tc>
      </w:tr>
      <w:tr w:rsidR="00300F4B" w:rsidRPr="00156C1C" w:rsidTr="00311C9B">
        <w:tc>
          <w:tcPr>
            <w:tcW w:w="3150" w:type="dxa"/>
          </w:tcPr>
          <w:p w:rsidR="009D7E39" w:rsidRDefault="00D940B1">
            <w:pPr>
              <w:spacing w:before="120" w:after="120"/>
              <w:rPr>
                <w:szCs w:val="22"/>
              </w:rPr>
            </w:pPr>
            <w:r>
              <w:rPr>
                <w:szCs w:val="22"/>
              </w:rPr>
              <w:t>CBD/COP/15/INF/27</w:t>
            </w:r>
          </w:p>
        </w:tc>
        <w:tc>
          <w:tcPr>
            <w:tcW w:w="5490" w:type="dxa"/>
          </w:tcPr>
          <w:p w:rsidR="009D7E39" w:rsidRDefault="00D940B1">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Cs w:val="22"/>
              </w:rPr>
            </w:pPr>
            <w:r>
              <w:rPr>
                <w:snapToGrid w:val="0"/>
                <w:kern w:val="22"/>
                <w:szCs w:val="22"/>
              </w:rPr>
              <w:t>Admission d'or</w:t>
            </w:r>
            <w:r w:rsidR="0068290C">
              <w:rPr>
                <w:snapToGrid w:val="0"/>
                <w:kern w:val="22"/>
                <w:szCs w:val="22"/>
              </w:rPr>
              <w:t>ganes et d'institutions compétent</w:t>
            </w:r>
            <w:r>
              <w:rPr>
                <w:snapToGrid w:val="0"/>
                <w:kern w:val="22"/>
                <w:szCs w:val="22"/>
              </w:rPr>
              <w:t xml:space="preserve">s à la </w:t>
            </w:r>
            <w:r w:rsidR="0068290C">
              <w:rPr>
                <w:snapToGrid w:val="0"/>
                <w:kern w:val="22"/>
                <w:szCs w:val="22"/>
              </w:rPr>
              <w:t>repris</w:t>
            </w:r>
            <w:r w:rsidR="00051268">
              <w:rPr>
                <w:snapToGrid w:val="0"/>
                <w:kern w:val="22"/>
                <w:szCs w:val="22"/>
              </w:rPr>
              <w:t>e</w:t>
            </w:r>
            <w:r>
              <w:rPr>
                <w:snapToGrid w:val="0"/>
                <w:kern w:val="22"/>
                <w:szCs w:val="22"/>
              </w:rPr>
              <w:t xml:space="preserve"> de la deuxième partie de la quinzième réunion de la Conférence des Parties et aux réunions simultanées de la Conférence des Parties </w:t>
            </w:r>
            <w:r w:rsidR="00C74CCB">
              <w:rPr>
                <w:snapToGrid w:val="0"/>
                <w:kern w:val="22"/>
                <w:szCs w:val="22"/>
              </w:rPr>
              <w:t>siégeant en tant que</w:t>
            </w:r>
            <w:r>
              <w:rPr>
                <w:snapToGrid w:val="0"/>
                <w:kern w:val="22"/>
                <w:szCs w:val="22"/>
              </w:rPr>
              <w:t xml:space="preserve"> réunions des Parties aux Protocoles </w:t>
            </w:r>
          </w:p>
        </w:tc>
        <w:tc>
          <w:tcPr>
            <w:tcW w:w="720" w:type="dxa"/>
          </w:tcPr>
          <w:p w:rsidR="009D7E39" w:rsidRDefault="00D940B1">
            <w:pPr>
              <w:suppressLineNumbers/>
              <w:tabs>
                <w:tab w:val="left" w:pos="360"/>
                <w:tab w:val="left" w:pos="720"/>
              </w:tabs>
              <w:suppressAutoHyphens/>
              <w:kinsoku w:val="0"/>
              <w:overflowPunct w:val="0"/>
              <w:autoSpaceDE w:val="0"/>
              <w:autoSpaceDN w:val="0"/>
              <w:adjustRightInd w:val="0"/>
              <w:snapToGrid w:val="0"/>
              <w:spacing w:before="120" w:after="120"/>
              <w:jc w:val="right"/>
              <w:rPr>
                <w:snapToGrid w:val="0"/>
                <w:kern w:val="22"/>
                <w:szCs w:val="22"/>
              </w:rPr>
            </w:pPr>
            <w:r>
              <w:rPr>
                <w:snapToGrid w:val="0"/>
                <w:kern w:val="22"/>
                <w:szCs w:val="22"/>
              </w:rPr>
              <w:t>3</w:t>
            </w:r>
          </w:p>
        </w:tc>
      </w:tr>
      <w:tr w:rsidR="0000126C" w:rsidRPr="00156C1C" w:rsidTr="00311C9B">
        <w:tc>
          <w:tcPr>
            <w:tcW w:w="3150" w:type="dxa"/>
          </w:tcPr>
          <w:p w:rsidR="009D7E39" w:rsidRDefault="00D940B1">
            <w:pPr>
              <w:spacing w:before="120" w:after="120"/>
              <w:rPr>
                <w:snapToGrid w:val="0"/>
                <w:kern w:val="22"/>
                <w:szCs w:val="22"/>
              </w:rPr>
            </w:pPr>
            <w:r>
              <w:rPr>
                <w:snapToGrid w:val="0"/>
                <w:kern w:val="22"/>
                <w:szCs w:val="22"/>
              </w:rPr>
              <w:t>CBD/COP/15/INF/28</w:t>
            </w:r>
          </w:p>
        </w:tc>
        <w:tc>
          <w:tcPr>
            <w:tcW w:w="5490" w:type="dxa"/>
          </w:tcPr>
          <w:p w:rsidR="009D7E39" w:rsidRDefault="0068290C">
            <w:pPr>
              <w:suppressLineNumbers/>
              <w:tabs>
                <w:tab w:val="left" w:pos="360"/>
                <w:tab w:val="left" w:pos="720"/>
              </w:tabs>
              <w:suppressAutoHyphens/>
              <w:kinsoku w:val="0"/>
              <w:overflowPunct w:val="0"/>
              <w:autoSpaceDE w:val="0"/>
              <w:autoSpaceDN w:val="0"/>
              <w:adjustRightInd w:val="0"/>
              <w:snapToGrid w:val="0"/>
              <w:spacing w:before="120" w:after="120"/>
              <w:jc w:val="left"/>
              <w:rPr>
                <w:snapToGrid w:val="0"/>
                <w:kern w:val="22"/>
                <w:szCs w:val="22"/>
              </w:rPr>
            </w:pPr>
            <w:r>
              <w:rPr>
                <w:snapToGrid w:val="0"/>
                <w:kern w:val="22"/>
                <w:szCs w:val="22"/>
              </w:rPr>
              <w:t>Procédures d'élection des vice-p</w:t>
            </w:r>
            <w:r w:rsidR="00D940B1">
              <w:rPr>
                <w:snapToGrid w:val="0"/>
                <w:kern w:val="22"/>
                <w:szCs w:val="22"/>
              </w:rPr>
              <w:t>résidents du Bureau de la Conférenc</w:t>
            </w:r>
            <w:r>
              <w:rPr>
                <w:snapToGrid w:val="0"/>
                <w:kern w:val="22"/>
                <w:szCs w:val="22"/>
              </w:rPr>
              <w:t>e des Parties à la Convention, du p</w:t>
            </w:r>
            <w:r w:rsidR="00D940B1">
              <w:rPr>
                <w:snapToGrid w:val="0"/>
                <w:kern w:val="22"/>
                <w:szCs w:val="22"/>
              </w:rPr>
              <w:t>résident de l'Organe subsidiaire chargé de fournir des avis scientifiques, t</w:t>
            </w:r>
            <w:r>
              <w:rPr>
                <w:snapToGrid w:val="0"/>
                <w:kern w:val="22"/>
                <w:szCs w:val="22"/>
              </w:rPr>
              <w:t>echniques et technologiques et du p</w:t>
            </w:r>
            <w:r w:rsidR="00D940B1">
              <w:rPr>
                <w:snapToGrid w:val="0"/>
                <w:kern w:val="22"/>
                <w:szCs w:val="22"/>
              </w:rPr>
              <w:t>résident de l'Organe subsidiaire chargé de l'application</w:t>
            </w:r>
          </w:p>
        </w:tc>
        <w:tc>
          <w:tcPr>
            <w:tcW w:w="720" w:type="dxa"/>
          </w:tcPr>
          <w:p w:rsidR="009D7E39" w:rsidRDefault="00D940B1">
            <w:pPr>
              <w:suppressLineNumbers/>
              <w:tabs>
                <w:tab w:val="left" w:pos="360"/>
                <w:tab w:val="left" w:pos="720"/>
              </w:tabs>
              <w:suppressAutoHyphens/>
              <w:kinsoku w:val="0"/>
              <w:overflowPunct w:val="0"/>
              <w:autoSpaceDE w:val="0"/>
              <w:autoSpaceDN w:val="0"/>
              <w:adjustRightInd w:val="0"/>
              <w:snapToGrid w:val="0"/>
              <w:spacing w:before="120" w:after="120"/>
              <w:jc w:val="right"/>
              <w:rPr>
                <w:snapToGrid w:val="0"/>
                <w:kern w:val="22"/>
                <w:szCs w:val="22"/>
              </w:rPr>
            </w:pPr>
            <w:r>
              <w:rPr>
                <w:snapToGrid w:val="0"/>
                <w:kern w:val="22"/>
                <w:szCs w:val="22"/>
              </w:rPr>
              <w:t>2</w:t>
            </w:r>
          </w:p>
        </w:tc>
      </w:tr>
    </w:tbl>
    <w:p w:rsidR="00300F4B" w:rsidRPr="00156C1C" w:rsidRDefault="00300F4B" w:rsidP="00942CC3">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p>
    <w:p w:rsidR="00462F28" w:rsidRPr="00156C1C" w:rsidRDefault="00462F28" w:rsidP="00311C9B">
      <w:pPr>
        <w:suppressLineNumbers/>
        <w:tabs>
          <w:tab w:val="left" w:pos="360"/>
        </w:tabs>
        <w:suppressAutoHyphens/>
        <w:kinsoku w:val="0"/>
        <w:overflowPunct w:val="0"/>
        <w:autoSpaceDE w:val="0"/>
        <w:autoSpaceDN w:val="0"/>
        <w:adjustRightInd w:val="0"/>
        <w:snapToGrid w:val="0"/>
        <w:spacing w:before="120"/>
        <w:ind w:left="2880" w:hanging="2880"/>
        <w:rPr>
          <w:snapToGrid w:val="0"/>
          <w:kern w:val="22"/>
          <w:szCs w:val="22"/>
        </w:rPr>
      </w:pPr>
    </w:p>
    <w:p w:rsidR="009D7E39" w:rsidRDefault="00D940B1">
      <w:pPr>
        <w:jc w:val="left"/>
        <w:rPr>
          <w:i/>
          <w:iCs/>
          <w:snapToGrid w:val="0"/>
          <w:kern w:val="22"/>
          <w:szCs w:val="22"/>
        </w:rPr>
      </w:pPr>
      <w:r>
        <w:rPr>
          <w:i/>
          <w:iCs/>
          <w:snapToGrid w:val="0"/>
          <w:kern w:val="22"/>
          <w:szCs w:val="22"/>
        </w:rPr>
        <w:br w:type="page"/>
      </w:r>
    </w:p>
    <w:p w:rsidR="009D7E39" w:rsidRDefault="00D940B1">
      <w:pPr>
        <w:suppressLineNumbers/>
        <w:tabs>
          <w:tab w:val="left" w:pos="360"/>
          <w:tab w:val="left" w:pos="720"/>
        </w:tabs>
        <w:suppressAutoHyphens/>
        <w:kinsoku w:val="0"/>
        <w:overflowPunct w:val="0"/>
        <w:autoSpaceDE w:val="0"/>
        <w:autoSpaceDN w:val="0"/>
        <w:adjustRightInd w:val="0"/>
        <w:snapToGrid w:val="0"/>
        <w:spacing w:before="120" w:after="120"/>
        <w:jc w:val="center"/>
        <w:rPr>
          <w:i/>
          <w:iCs/>
          <w:snapToGrid w:val="0"/>
          <w:kern w:val="22"/>
          <w:szCs w:val="22"/>
        </w:rPr>
      </w:pPr>
      <w:r>
        <w:rPr>
          <w:i/>
          <w:iCs/>
          <w:snapToGrid w:val="0"/>
          <w:kern w:val="22"/>
          <w:szCs w:val="22"/>
        </w:rPr>
        <w:lastRenderedPageBreak/>
        <w:t>Annexe II</w:t>
      </w:r>
    </w:p>
    <w:p w:rsidR="009D7E39" w:rsidRDefault="00D940B1">
      <w:pPr>
        <w:suppressLineNumbers/>
        <w:tabs>
          <w:tab w:val="left" w:pos="360"/>
          <w:tab w:val="left" w:pos="720"/>
        </w:tabs>
        <w:suppressAutoHyphens/>
        <w:kinsoku w:val="0"/>
        <w:overflowPunct w:val="0"/>
        <w:autoSpaceDE w:val="0"/>
        <w:autoSpaceDN w:val="0"/>
        <w:adjustRightInd w:val="0"/>
        <w:snapToGrid w:val="0"/>
        <w:spacing w:before="120" w:after="120"/>
        <w:jc w:val="center"/>
        <w:rPr>
          <w:b/>
          <w:snapToGrid w:val="0"/>
          <w:kern w:val="22"/>
          <w:szCs w:val="22"/>
        </w:rPr>
      </w:pPr>
      <w:r>
        <w:rPr>
          <w:b/>
          <w:snapToGrid w:val="0"/>
          <w:kern w:val="22"/>
          <w:szCs w:val="22"/>
        </w:rPr>
        <w:t>ORGA</w:t>
      </w:r>
      <w:r w:rsidR="00CD0D90">
        <w:rPr>
          <w:b/>
          <w:snapToGrid w:val="0"/>
          <w:kern w:val="22"/>
          <w:szCs w:val="22"/>
        </w:rPr>
        <w:t>NISATION</w:t>
      </w:r>
      <w:r w:rsidR="0068290C">
        <w:rPr>
          <w:b/>
          <w:snapToGrid w:val="0"/>
          <w:kern w:val="22"/>
          <w:szCs w:val="22"/>
        </w:rPr>
        <w:t xml:space="preserve"> DES TRAVAUX </w:t>
      </w:r>
      <w:r w:rsidR="00CD0D90">
        <w:rPr>
          <w:b/>
          <w:snapToGrid w:val="0"/>
          <w:kern w:val="22"/>
          <w:szCs w:val="22"/>
        </w:rPr>
        <w:t xml:space="preserve">PROPOSÉE </w:t>
      </w:r>
      <w:r w:rsidR="0068290C">
        <w:rPr>
          <w:b/>
          <w:snapToGrid w:val="0"/>
          <w:kern w:val="22"/>
          <w:szCs w:val="22"/>
        </w:rPr>
        <w:t>POUR</w:t>
      </w:r>
      <w:r>
        <w:rPr>
          <w:b/>
          <w:snapToGrid w:val="0"/>
          <w:kern w:val="22"/>
          <w:szCs w:val="22"/>
        </w:rPr>
        <w:t xml:space="preserve"> LA </w:t>
      </w:r>
      <w:r w:rsidR="00051268">
        <w:rPr>
          <w:b/>
          <w:snapToGrid w:val="0"/>
          <w:kern w:val="22"/>
          <w:szCs w:val="22"/>
        </w:rPr>
        <w:t>SUITE</w:t>
      </w:r>
      <w:r w:rsidR="0068290C">
        <w:rPr>
          <w:b/>
          <w:snapToGrid w:val="0"/>
          <w:kern w:val="22"/>
          <w:szCs w:val="22"/>
        </w:rPr>
        <w:t xml:space="preserve"> DE LA DEUXIÈME PARTIE DE </w:t>
      </w:r>
      <w:r>
        <w:rPr>
          <w:b/>
          <w:snapToGrid w:val="0"/>
          <w:kern w:val="22"/>
          <w:szCs w:val="22"/>
        </w:rPr>
        <w:t xml:space="preserve">LA QUINZIÈME RÉUNION DE LA CONFÉRENCE DES PARTIES À </w:t>
      </w:r>
      <w:r>
        <w:rPr>
          <w:b/>
          <w:snapToGrid w:val="0"/>
          <w:kern w:val="22"/>
          <w:szCs w:val="22"/>
        </w:rPr>
        <w:br/>
        <w:t>LA CONVENTION SUR LA DIVERSITÉ BIOLOGIQUE</w:t>
      </w:r>
    </w:p>
    <w:p w:rsidR="00257770" w:rsidRPr="00156C1C" w:rsidRDefault="00257770" w:rsidP="00304F22">
      <w:pPr>
        <w:suppressLineNumbers/>
        <w:tabs>
          <w:tab w:val="left" w:pos="360"/>
          <w:tab w:val="left" w:pos="720"/>
        </w:tabs>
        <w:suppressAutoHyphens/>
        <w:kinsoku w:val="0"/>
        <w:overflowPunct w:val="0"/>
        <w:autoSpaceDE w:val="0"/>
        <w:autoSpaceDN w:val="0"/>
        <w:adjustRightInd w:val="0"/>
        <w:snapToGrid w:val="0"/>
        <w:spacing w:before="120" w:after="120"/>
        <w:jc w:val="left"/>
        <w:rPr>
          <w:bCs/>
          <w:i/>
          <w:iCs/>
          <w:snapToGrid w:val="0"/>
          <w:kern w:val="22"/>
          <w:szCs w:val="22"/>
        </w:rPr>
      </w:pPr>
    </w:p>
    <w:tbl>
      <w:tblPr>
        <w:tblStyle w:val="TableGrid"/>
        <w:tblW w:w="10070" w:type="dxa"/>
        <w:tblLook w:val="04A0" w:firstRow="1" w:lastRow="0" w:firstColumn="1" w:lastColumn="0" w:noHBand="0" w:noVBand="1"/>
      </w:tblPr>
      <w:tblGrid>
        <w:gridCol w:w="1706"/>
        <w:gridCol w:w="669"/>
        <w:gridCol w:w="626"/>
        <w:gridCol w:w="666"/>
        <w:gridCol w:w="6403"/>
      </w:tblGrid>
      <w:tr w:rsidR="00E022E0" w:rsidRPr="00156C1C" w:rsidTr="00311C9B">
        <w:tc>
          <w:tcPr>
            <w:tcW w:w="1706" w:type="dxa"/>
            <w:tcBorders>
              <w:left w:val="nil"/>
              <w:bottom w:val="double" w:sz="4" w:space="0" w:color="000000"/>
              <w:right w:val="dotted" w:sz="4" w:space="0" w:color="000000"/>
            </w:tcBorders>
          </w:tcPr>
          <w:p w:rsidR="009D7E39" w:rsidRDefault="00D940B1">
            <w:pPr>
              <w:snapToGrid w:val="0"/>
              <w:spacing w:before="40" w:after="40"/>
              <w:rPr>
                <w:rFonts w:cs="Calibri"/>
                <w:i/>
                <w:iCs/>
                <w:kern w:val="22"/>
                <w:szCs w:val="22"/>
              </w:rPr>
            </w:pPr>
            <w:r>
              <w:rPr>
                <w:rFonts w:cs="Calibri"/>
                <w:i/>
                <w:iCs/>
                <w:kern w:val="22"/>
                <w:szCs w:val="22"/>
              </w:rPr>
              <w:t>Date</w:t>
            </w:r>
          </w:p>
        </w:tc>
        <w:tc>
          <w:tcPr>
            <w:tcW w:w="8364" w:type="dxa"/>
            <w:gridSpan w:val="4"/>
            <w:tcBorders>
              <w:left w:val="dotted" w:sz="4" w:space="0" w:color="000000"/>
              <w:bottom w:val="single" w:sz="4" w:space="0" w:color="auto"/>
              <w:right w:val="nil"/>
            </w:tcBorders>
          </w:tcPr>
          <w:p w:rsidR="009D7E39" w:rsidRDefault="00D940B1">
            <w:pPr>
              <w:snapToGrid w:val="0"/>
              <w:spacing w:before="40" w:after="40"/>
              <w:jc w:val="center"/>
              <w:rPr>
                <w:rFonts w:cs="Calibri"/>
                <w:b/>
                <w:bCs/>
                <w:i/>
                <w:iCs/>
                <w:kern w:val="22"/>
                <w:szCs w:val="22"/>
              </w:rPr>
            </w:pPr>
            <w:r>
              <w:rPr>
                <w:rFonts w:cs="Calibri"/>
                <w:i/>
                <w:iCs/>
                <w:kern w:val="22"/>
                <w:szCs w:val="22"/>
              </w:rPr>
              <w:t xml:space="preserve">Points </w:t>
            </w:r>
            <w:r w:rsidR="00AC7294">
              <w:rPr>
                <w:rFonts w:cs="Calibri"/>
                <w:i/>
                <w:iCs/>
                <w:kern w:val="22"/>
                <w:szCs w:val="22"/>
              </w:rPr>
              <w:t>de</w:t>
            </w:r>
            <w:r>
              <w:rPr>
                <w:rFonts w:cs="Calibri"/>
                <w:i/>
                <w:iCs/>
                <w:kern w:val="22"/>
                <w:szCs w:val="22"/>
              </w:rPr>
              <w:t xml:space="preserve"> l'ordre du jour</w:t>
            </w:r>
          </w:p>
        </w:tc>
      </w:tr>
      <w:tr w:rsidR="00E022E0" w:rsidRPr="00156C1C" w:rsidTr="00311C9B">
        <w:tc>
          <w:tcPr>
            <w:tcW w:w="1706" w:type="dxa"/>
            <w:vMerge w:val="restart"/>
            <w:tcBorders>
              <w:top w:val="double" w:sz="4" w:space="0" w:color="000000"/>
              <w:bottom w:val="double" w:sz="4" w:space="0" w:color="000000"/>
              <w:right w:val="single" w:sz="4" w:space="0" w:color="auto"/>
            </w:tcBorders>
          </w:tcPr>
          <w:p w:rsidR="009D7E39" w:rsidRDefault="00D940B1">
            <w:pPr>
              <w:snapToGrid w:val="0"/>
              <w:spacing w:before="40" w:after="40"/>
              <w:jc w:val="left"/>
              <w:rPr>
                <w:rFonts w:cs="Calibri"/>
                <w:kern w:val="22"/>
                <w:szCs w:val="22"/>
              </w:rPr>
            </w:pPr>
            <w:r>
              <w:rPr>
                <w:rFonts w:cs="Calibri"/>
                <w:kern w:val="22"/>
                <w:szCs w:val="22"/>
              </w:rPr>
              <w:t xml:space="preserve">Jeudi 19 </w:t>
            </w:r>
            <w:r w:rsidR="00AC7294">
              <w:rPr>
                <w:rFonts w:cs="Calibri"/>
                <w:kern w:val="22"/>
                <w:szCs w:val="22"/>
              </w:rPr>
              <w:t>o</w:t>
            </w:r>
            <w:r>
              <w:rPr>
                <w:rFonts w:cs="Calibri"/>
                <w:kern w:val="22"/>
                <w:szCs w:val="22"/>
              </w:rPr>
              <w:t>ctobre</w:t>
            </w:r>
          </w:p>
          <w:p w:rsidR="009D7E39" w:rsidRDefault="008B5E1E">
            <w:pPr>
              <w:snapToGrid w:val="0"/>
              <w:spacing w:before="40" w:after="40"/>
              <w:jc w:val="left"/>
              <w:rPr>
                <w:rFonts w:cs="Calibri"/>
                <w:kern w:val="22"/>
                <w:szCs w:val="22"/>
              </w:rPr>
            </w:pPr>
            <w:r>
              <w:rPr>
                <w:rFonts w:cs="Calibri"/>
                <w:kern w:val="22"/>
                <w:szCs w:val="22"/>
              </w:rPr>
              <w:t>(15h à 18</w:t>
            </w:r>
            <w:r w:rsidR="00D940B1">
              <w:rPr>
                <w:rFonts w:cs="Calibri"/>
                <w:kern w:val="22"/>
                <w:szCs w:val="22"/>
              </w:rPr>
              <w:t>h)</w:t>
            </w:r>
          </w:p>
        </w:tc>
        <w:tc>
          <w:tcPr>
            <w:tcW w:w="669" w:type="dxa"/>
            <w:tcBorders>
              <w:top w:val="double" w:sz="4" w:space="0" w:color="000000"/>
              <w:left w:val="single" w:sz="4" w:space="0" w:color="auto"/>
              <w:bottom w:val="dotted" w:sz="4" w:space="0" w:color="000000"/>
              <w:right w:val="dotted" w:sz="4" w:space="0" w:color="000000"/>
            </w:tcBorders>
          </w:tcPr>
          <w:p w:rsidR="009D7E39" w:rsidRDefault="00D940B1">
            <w:pPr>
              <w:shd w:val="clear" w:color="auto" w:fill="92D050"/>
              <w:snapToGrid w:val="0"/>
              <w:spacing w:before="40" w:after="40"/>
              <w:rPr>
                <w:rFonts w:cs="Calibri"/>
                <w:kern w:val="22"/>
                <w:szCs w:val="22"/>
              </w:rPr>
            </w:pPr>
            <w:r>
              <w:rPr>
                <w:rFonts w:cs="Calibri"/>
                <w:kern w:val="22"/>
                <w:szCs w:val="22"/>
              </w:rPr>
              <w:t>CBD</w:t>
            </w:r>
          </w:p>
        </w:tc>
        <w:tc>
          <w:tcPr>
            <w:tcW w:w="626" w:type="dxa"/>
            <w:tcBorders>
              <w:top w:val="double" w:sz="4" w:space="0" w:color="000000"/>
              <w:left w:val="dotted" w:sz="4" w:space="0" w:color="000000"/>
              <w:bottom w:val="dotted" w:sz="4" w:space="0" w:color="000000"/>
              <w:right w:val="dotted" w:sz="4" w:space="0" w:color="000000"/>
            </w:tcBorders>
          </w:tcPr>
          <w:p w:rsidR="009D7E39" w:rsidRDefault="00D940B1">
            <w:pPr>
              <w:shd w:val="clear" w:color="auto" w:fill="FFC000"/>
              <w:tabs>
                <w:tab w:val="left" w:pos="154"/>
                <w:tab w:val="left" w:pos="208"/>
              </w:tabs>
              <w:snapToGrid w:val="0"/>
              <w:spacing w:before="40" w:after="40"/>
              <w:ind w:right="-612"/>
              <w:rPr>
                <w:rFonts w:cs="Calibri"/>
                <w:kern w:val="22"/>
                <w:szCs w:val="22"/>
              </w:rPr>
            </w:pPr>
            <w:r>
              <w:rPr>
                <w:rFonts w:cs="Calibri"/>
                <w:kern w:val="22"/>
                <w:szCs w:val="22"/>
              </w:rPr>
              <w:t>CP</w:t>
            </w:r>
          </w:p>
        </w:tc>
        <w:tc>
          <w:tcPr>
            <w:tcW w:w="666" w:type="dxa"/>
            <w:tcBorders>
              <w:top w:val="double" w:sz="4" w:space="0" w:color="000000"/>
              <w:left w:val="dotted" w:sz="4" w:space="0" w:color="000000"/>
              <w:bottom w:val="dotted" w:sz="4" w:space="0" w:color="000000"/>
              <w:right w:val="dotted" w:sz="4" w:space="0" w:color="000000"/>
            </w:tcBorders>
          </w:tcPr>
          <w:p w:rsidR="009D7E39" w:rsidRDefault="00D940B1">
            <w:pPr>
              <w:shd w:val="clear" w:color="auto" w:fill="00B0F0"/>
              <w:snapToGrid w:val="0"/>
              <w:spacing w:before="40" w:after="40"/>
              <w:rPr>
                <w:rFonts w:cs="Calibri"/>
                <w:kern w:val="22"/>
                <w:szCs w:val="22"/>
              </w:rPr>
            </w:pPr>
            <w:r>
              <w:rPr>
                <w:rFonts w:cs="Calibri"/>
                <w:kern w:val="22"/>
                <w:szCs w:val="22"/>
              </w:rPr>
              <w:t>NP</w:t>
            </w:r>
          </w:p>
        </w:tc>
        <w:tc>
          <w:tcPr>
            <w:tcW w:w="6403" w:type="dxa"/>
            <w:tcBorders>
              <w:top w:val="double" w:sz="4" w:space="0" w:color="000000"/>
              <w:left w:val="dotted" w:sz="4" w:space="0" w:color="000000"/>
              <w:bottom w:val="dotted" w:sz="4" w:space="0" w:color="000000"/>
            </w:tcBorders>
          </w:tcPr>
          <w:p w:rsidR="00E022E0" w:rsidRPr="00156C1C" w:rsidRDefault="00E022E0" w:rsidP="00DC748A">
            <w:pPr>
              <w:snapToGrid w:val="0"/>
              <w:spacing w:before="40" w:after="40"/>
              <w:rPr>
                <w:rFonts w:cs="Calibri"/>
                <w:kern w:val="22"/>
                <w:szCs w:val="22"/>
              </w:rPr>
            </w:pPr>
          </w:p>
        </w:tc>
      </w:tr>
      <w:tr w:rsidR="00E022E0" w:rsidRPr="00156C1C" w:rsidTr="00311C9B">
        <w:tc>
          <w:tcPr>
            <w:tcW w:w="1706" w:type="dxa"/>
            <w:vMerge/>
            <w:tcBorders>
              <w:bottom w:val="double" w:sz="4" w:space="0" w:color="000000"/>
              <w:right w:val="single" w:sz="4" w:space="0" w:color="auto"/>
            </w:tcBorders>
          </w:tcPr>
          <w:p w:rsidR="00E022E0" w:rsidRPr="00156C1C"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rsidR="009D7E39" w:rsidRDefault="00D940B1">
            <w:pPr>
              <w:shd w:val="clear" w:color="auto" w:fill="92D050"/>
              <w:snapToGrid w:val="0"/>
              <w:spacing w:before="40" w:after="40"/>
              <w:rPr>
                <w:rFonts w:cs="Calibri"/>
                <w:kern w:val="22"/>
                <w:szCs w:val="22"/>
              </w:rPr>
            </w:pPr>
            <w:r>
              <w:rPr>
                <w:rFonts w:cs="Calibri"/>
                <w:kern w:val="22"/>
                <w:szCs w:val="22"/>
              </w:rPr>
              <w:t>1</w:t>
            </w:r>
          </w:p>
        </w:tc>
        <w:tc>
          <w:tcPr>
            <w:tcW w:w="626" w:type="dxa"/>
            <w:tcBorders>
              <w:top w:val="dotted" w:sz="4" w:space="0" w:color="000000"/>
              <w:left w:val="dotted" w:sz="4" w:space="0" w:color="000000"/>
              <w:bottom w:val="dotted" w:sz="4" w:space="0" w:color="000000"/>
              <w:right w:val="dotted" w:sz="4" w:space="0" w:color="000000"/>
            </w:tcBorders>
          </w:tcPr>
          <w:p w:rsidR="009D7E39" w:rsidRDefault="00D940B1">
            <w:pPr>
              <w:shd w:val="clear" w:color="auto" w:fill="FFC000"/>
              <w:tabs>
                <w:tab w:val="left" w:pos="154"/>
                <w:tab w:val="left" w:pos="208"/>
              </w:tabs>
              <w:snapToGrid w:val="0"/>
              <w:spacing w:before="40" w:after="40"/>
              <w:ind w:right="-612"/>
              <w:rPr>
                <w:rFonts w:cs="Calibri"/>
                <w:kern w:val="22"/>
                <w:szCs w:val="22"/>
              </w:rPr>
            </w:pPr>
            <w:r>
              <w:rPr>
                <w:rFonts w:cs="Calibri"/>
                <w:kern w:val="22"/>
                <w:szCs w:val="22"/>
              </w:rPr>
              <w:t>1</w:t>
            </w:r>
          </w:p>
        </w:tc>
        <w:tc>
          <w:tcPr>
            <w:tcW w:w="666" w:type="dxa"/>
            <w:tcBorders>
              <w:top w:val="dotted" w:sz="4" w:space="0" w:color="000000"/>
              <w:left w:val="dotted" w:sz="4" w:space="0" w:color="000000"/>
              <w:bottom w:val="dotted" w:sz="4" w:space="0" w:color="000000"/>
              <w:right w:val="dotted" w:sz="4" w:space="0" w:color="000000"/>
            </w:tcBorders>
          </w:tcPr>
          <w:p w:rsidR="009D7E39" w:rsidRDefault="00D940B1">
            <w:pPr>
              <w:shd w:val="clear" w:color="auto" w:fill="00B0F0"/>
              <w:snapToGrid w:val="0"/>
              <w:spacing w:before="40" w:after="40"/>
              <w:rPr>
                <w:rFonts w:cs="Calibri"/>
                <w:kern w:val="22"/>
                <w:szCs w:val="22"/>
              </w:rPr>
            </w:pPr>
            <w:r>
              <w:rPr>
                <w:rFonts w:cs="Calibri"/>
                <w:kern w:val="22"/>
                <w:szCs w:val="22"/>
              </w:rPr>
              <w:t>1</w:t>
            </w:r>
          </w:p>
        </w:tc>
        <w:tc>
          <w:tcPr>
            <w:tcW w:w="6403" w:type="dxa"/>
            <w:tcBorders>
              <w:top w:val="dotted" w:sz="4" w:space="0" w:color="000000"/>
              <w:left w:val="dotted" w:sz="4" w:space="0" w:color="000000"/>
              <w:bottom w:val="dotted" w:sz="4" w:space="0" w:color="000000"/>
            </w:tcBorders>
          </w:tcPr>
          <w:p w:rsidR="009D7E39" w:rsidRDefault="00D940B1">
            <w:pPr>
              <w:snapToGrid w:val="0"/>
              <w:spacing w:before="40" w:after="40"/>
              <w:rPr>
                <w:rFonts w:cs="Calibri"/>
                <w:kern w:val="22"/>
                <w:szCs w:val="22"/>
              </w:rPr>
            </w:pPr>
            <w:r>
              <w:rPr>
                <w:rFonts w:cs="Calibri"/>
                <w:kern w:val="22"/>
                <w:szCs w:val="22"/>
              </w:rPr>
              <w:t>Ouverture de la réunion</w:t>
            </w:r>
          </w:p>
        </w:tc>
      </w:tr>
      <w:tr w:rsidR="00E022E0" w:rsidRPr="00156C1C" w:rsidTr="00311C9B">
        <w:tc>
          <w:tcPr>
            <w:tcW w:w="1706" w:type="dxa"/>
            <w:vMerge/>
            <w:tcBorders>
              <w:bottom w:val="double" w:sz="4" w:space="0" w:color="000000"/>
              <w:right w:val="single" w:sz="4" w:space="0" w:color="auto"/>
            </w:tcBorders>
          </w:tcPr>
          <w:p w:rsidR="00E022E0" w:rsidRPr="00156C1C"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rsidR="009D7E39" w:rsidRDefault="00D940B1">
            <w:pPr>
              <w:shd w:val="clear" w:color="auto" w:fill="92D050"/>
              <w:snapToGrid w:val="0"/>
              <w:spacing w:before="40" w:after="40"/>
              <w:rPr>
                <w:rFonts w:cs="Calibri"/>
                <w:kern w:val="22"/>
                <w:szCs w:val="22"/>
              </w:rPr>
            </w:pPr>
            <w:r>
              <w:rPr>
                <w:rFonts w:cs="Calibri"/>
                <w:kern w:val="22"/>
                <w:szCs w:val="22"/>
              </w:rPr>
              <w:t>2</w:t>
            </w:r>
          </w:p>
        </w:tc>
        <w:tc>
          <w:tcPr>
            <w:tcW w:w="626" w:type="dxa"/>
            <w:tcBorders>
              <w:top w:val="dotted" w:sz="4" w:space="0" w:color="000000"/>
              <w:left w:val="dotted" w:sz="4" w:space="0" w:color="000000"/>
              <w:bottom w:val="dotted" w:sz="4" w:space="0" w:color="000000"/>
              <w:right w:val="dotted" w:sz="4" w:space="0" w:color="000000"/>
            </w:tcBorders>
          </w:tcPr>
          <w:p w:rsidR="009D7E39" w:rsidRDefault="00D940B1">
            <w:pPr>
              <w:shd w:val="clear" w:color="auto" w:fill="FFC000"/>
              <w:tabs>
                <w:tab w:val="left" w:pos="154"/>
                <w:tab w:val="left" w:pos="208"/>
              </w:tabs>
              <w:snapToGrid w:val="0"/>
              <w:spacing w:before="40" w:after="40"/>
              <w:ind w:right="-612"/>
              <w:rPr>
                <w:rFonts w:cs="Calibri"/>
                <w:kern w:val="22"/>
                <w:szCs w:val="22"/>
              </w:rPr>
            </w:pPr>
            <w:r>
              <w:rPr>
                <w:rFonts w:cs="Calibri"/>
                <w:kern w:val="22"/>
                <w:szCs w:val="22"/>
              </w:rPr>
              <w:t>2</w:t>
            </w:r>
          </w:p>
        </w:tc>
        <w:tc>
          <w:tcPr>
            <w:tcW w:w="666" w:type="dxa"/>
            <w:tcBorders>
              <w:top w:val="dotted" w:sz="4" w:space="0" w:color="000000"/>
              <w:left w:val="dotted" w:sz="4" w:space="0" w:color="000000"/>
              <w:bottom w:val="dotted" w:sz="4" w:space="0" w:color="000000"/>
              <w:right w:val="dotted" w:sz="4" w:space="0" w:color="000000"/>
            </w:tcBorders>
          </w:tcPr>
          <w:p w:rsidR="009D7E39" w:rsidRDefault="00D940B1">
            <w:pPr>
              <w:shd w:val="clear" w:color="auto" w:fill="00B0F0"/>
              <w:snapToGrid w:val="0"/>
              <w:spacing w:before="40" w:after="40"/>
              <w:rPr>
                <w:rFonts w:cs="Calibri"/>
                <w:kern w:val="22"/>
                <w:szCs w:val="22"/>
              </w:rPr>
            </w:pPr>
            <w:r>
              <w:rPr>
                <w:rFonts w:cs="Calibri"/>
                <w:kern w:val="22"/>
                <w:szCs w:val="22"/>
              </w:rPr>
              <w:t>2</w:t>
            </w:r>
          </w:p>
        </w:tc>
        <w:tc>
          <w:tcPr>
            <w:tcW w:w="6403" w:type="dxa"/>
            <w:tcBorders>
              <w:top w:val="dotted" w:sz="4" w:space="0" w:color="000000"/>
              <w:left w:val="dotted" w:sz="4" w:space="0" w:color="000000"/>
              <w:bottom w:val="dotted" w:sz="4" w:space="0" w:color="000000"/>
            </w:tcBorders>
          </w:tcPr>
          <w:p w:rsidR="009D7E39" w:rsidRDefault="00D940B1">
            <w:pPr>
              <w:snapToGrid w:val="0"/>
              <w:spacing w:before="40" w:after="40"/>
              <w:rPr>
                <w:rFonts w:cs="Calibri"/>
                <w:kern w:val="22"/>
                <w:szCs w:val="22"/>
              </w:rPr>
            </w:pPr>
            <w:r>
              <w:rPr>
                <w:rFonts w:cs="Calibri"/>
                <w:kern w:val="22"/>
                <w:szCs w:val="22"/>
              </w:rPr>
              <w:t>Questions d'organisation (organisation des travaux)</w:t>
            </w:r>
          </w:p>
        </w:tc>
      </w:tr>
      <w:tr w:rsidR="00E022E0" w:rsidRPr="00156C1C" w:rsidTr="00311C9B">
        <w:tc>
          <w:tcPr>
            <w:tcW w:w="1706" w:type="dxa"/>
            <w:vMerge/>
            <w:tcBorders>
              <w:bottom w:val="double" w:sz="4" w:space="0" w:color="000000"/>
              <w:right w:val="single" w:sz="4" w:space="0" w:color="auto"/>
            </w:tcBorders>
          </w:tcPr>
          <w:p w:rsidR="00E022E0" w:rsidRPr="00156C1C"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rsidR="009D7E39" w:rsidRDefault="00D940B1">
            <w:pPr>
              <w:shd w:val="clear" w:color="auto" w:fill="92D050"/>
              <w:snapToGrid w:val="0"/>
              <w:spacing w:before="40" w:after="40"/>
              <w:rPr>
                <w:rFonts w:cs="Calibri"/>
                <w:kern w:val="22"/>
                <w:szCs w:val="22"/>
              </w:rPr>
            </w:pPr>
            <w:r>
              <w:rPr>
                <w:rFonts w:cs="Calibri"/>
                <w:kern w:val="22"/>
                <w:szCs w:val="22"/>
              </w:rPr>
              <w:t>3</w:t>
            </w:r>
          </w:p>
        </w:tc>
        <w:tc>
          <w:tcPr>
            <w:tcW w:w="626" w:type="dxa"/>
            <w:tcBorders>
              <w:top w:val="dotted" w:sz="4" w:space="0" w:color="000000"/>
              <w:left w:val="dotted" w:sz="4" w:space="0" w:color="000000"/>
              <w:bottom w:val="dotted" w:sz="4" w:space="0" w:color="000000"/>
              <w:right w:val="dotted" w:sz="4" w:space="0" w:color="000000"/>
            </w:tcBorders>
          </w:tcPr>
          <w:p w:rsidR="009D7E39" w:rsidRDefault="00D940B1">
            <w:pPr>
              <w:shd w:val="clear" w:color="auto" w:fill="FFC000"/>
              <w:tabs>
                <w:tab w:val="left" w:pos="154"/>
                <w:tab w:val="left" w:pos="208"/>
              </w:tabs>
              <w:snapToGrid w:val="0"/>
              <w:spacing w:before="40" w:after="40"/>
              <w:ind w:right="-612"/>
              <w:rPr>
                <w:rFonts w:cs="Calibri"/>
                <w:kern w:val="22"/>
                <w:szCs w:val="22"/>
              </w:rPr>
            </w:pPr>
            <w:r>
              <w:rPr>
                <w:rFonts w:cs="Calibri"/>
                <w:kern w:val="22"/>
                <w:szCs w:val="22"/>
              </w:rPr>
              <w:t>3</w:t>
            </w:r>
          </w:p>
        </w:tc>
        <w:tc>
          <w:tcPr>
            <w:tcW w:w="666" w:type="dxa"/>
            <w:tcBorders>
              <w:top w:val="dotted" w:sz="4" w:space="0" w:color="000000"/>
              <w:left w:val="dotted" w:sz="4" w:space="0" w:color="000000"/>
              <w:bottom w:val="dotted" w:sz="4" w:space="0" w:color="000000"/>
              <w:right w:val="dotted" w:sz="4" w:space="0" w:color="000000"/>
            </w:tcBorders>
          </w:tcPr>
          <w:p w:rsidR="009D7E39" w:rsidRDefault="00D940B1">
            <w:pPr>
              <w:shd w:val="clear" w:color="auto" w:fill="00B0F0"/>
              <w:snapToGrid w:val="0"/>
              <w:spacing w:before="40" w:after="40"/>
              <w:rPr>
                <w:rFonts w:cs="Calibri"/>
                <w:kern w:val="22"/>
                <w:szCs w:val="22"/>
              </w:rPr>
            </w:pPr>
            <w:r>
              <w:rPr>
                <w:rFonts w:cs="Calibri"/>
                <w:kern w:val="22"/>
                <w:szCs w:val="22"/>
              </w:rPr>
              <w:t>3</w:t>
            </w:r>
          </w:p>
        </w:tc>
        <w:tc>
          <w:tcPr>
            <w:tcW w:w="6403" w:type="dxa"/>
            <w:tcBorders>
              <w:top w:val="dotted" w:sz="4" w:space="0" w:color="000000"/>
              <w:left w:val="dotted" w:sz="4" w:space="0" w:color="000000"/>
              <w:bottom w:val="dotted" w:sz="4" w:space="0" w:color="000000"/>
            </w:tcBorders>
          </w:tcPr>
          <w:p w:rsidR="009D7E39" w:rsidRDefault="00D940B1">
            <w:pPr>
              <w:snapToGrid w:val="0"/>
              <w:spacing w:before="40" w:after="40"/>
              <w:rPr>
                <w:rFonts w:cs="Calibri"/>
                <w:kern w:val="22"/>
                <w:szCs w:val="22"/>
              </w:rPr>
            </w:pPr>
            <w:r>
              <w:rPr>
                <w:rFonts w:cs="Calibri"/>
                <w:kern w:val="22"/>
                <w:szCs w:val="22"/>
              </w:rPr>
              <w:t>Rapport sur les pouvoirs des représentants des Parties</w:t>
            </w:r>
          </w:p>
        </w:tc>
      </w:tr>
      <w:tr w:rsidR="00E022E0" w:rsidRPr="00156C1C" w:rsidTr="00311C9B">
        <w:tc>
          <w:tcPr>
            <w:tcW w:w="1706" w:type="dxa"/>
            <w:vMerge/>
            <w:tcBorders>
              <w:bottom w:val="double" w:sz="4" w:space="0" w:color="000000"/>
              <w:right w:val="single" w:sz="4" w:space="0" w:color="auto"/>
            </w:tcBorders>
          </w:tcPr>
          <w:p w:rsidR="00E022E0" w:rsidRPr="00156C1C" w:rsidRDefault="00E022E0" w:rsidP="00DC748A">
            <w:pPr>
              <w:snapToGrid w:val="0"/>
              <w:spacing w:before="40" w:after="40"/>
              <w:jc w:val="left"/>
              <w:rPr>
                <w:rFonts w:cs="Calibri"/>
                <w:kern w:val="22"/>
                <w:szCs w:val="22"/>
              </w:rPr>
            </w:pPr>
            <w:bookmarkStart w:id="13" w:name="_Hlk115959280"/>
          </w:p>
        </w:tc>
        <w:tc>
          <w:tcPr>
            <w:tcW w:w="669" w:type="dxa"/>
            <w:tcBorders>
              <w:top w:val="dotted" w:sz="4" w:space="0" w:color="000000"/>
              <w:left w:val="single" w:sz="4" w:space="0" w:color="auto"/>
              <w:bottom w:val="dotted" w:sz="4" w:space="0" w:color="000000"/>
              <w:right w:val="dotted" w:sz="4" w:space="0" w:color="000000"/>
            </w:tcBorders>
          </w:tcPr>
          <w:p w:rsidR="009D7E39" w:rsidRDefault="00D940B1">
            <w:pPr>
              <w:shd w:val="clear" w:color="auto" w:fill="92D050"/>
              <w:snapToGrid w:val="0"/>
              <w:spacing w:before="40" w:after="40"/>
              <w:rPr>
                <w:rFonts w:cs="Calibri"/>
                <w:kern w:val="22"/>
                <w:szCs w:val="22"/>
              </w:rPr>
            </w:pPr>
            <w:r>
              <w:rPr>
                <w:rFonts w:cs="Calibri"/>
                <w:kern w:val="22"/>
                <w:szCs w:val="22"/>
              </w:rPr>
              <w:t>5</w:t>
            </w:r>
          </w:p>
        </w:tc>
        <w:tc>
          <w:tcPr>
            <w:tcW w:w="626" w:type="dxa"/>
            <w:tcBorders>
              <w:top w:val="dotted" w:sz="4" w:space="0" w:color="000000"/>
              <w:left w:val="dotted" w:sz="4" w:space="0" w:color="000000"/>
              <w:bottom w:val="dotted" w:sz="4" w:space="0" w:color="000000"/>
              <w:right w:val="dotted" w:sz="4" w:space="0" w:color="000000"/>
            </w:tcBorders>
          </w:tcPr>
          <w:p w:rsidR="009D7E39" w:rsidRDefault="00D940B1">
            <w:pPr>
              <w:snapToGrid w:val="0"/>
              <w:spacing w:before="40" w:after="40"/>
              <w:rPr>
                <w:rFonts w:cs="Calibri"/>
                <w:kern w:val="22"/>
                <w:szCs w:val="22"/>
              </w:rPr>
            </w:pPr>
            <w:r>
              <w:rPr>
                <w:rFonts w:cs="Calibri"/>
                <w:kern w:val="22"/>
                <w:szCs w:val="22"/>
              </w:rPr>
              <w:t>s/o</w:t>
            </w:r>
          </w:p>
        </w:tc>
        <w:tc>
          <w:tcPr>
            <w:tcW w:w="666" w:type="dxa"/>
            <w:tcBorders>
              <w:top w:val="dotted" w:sz="4" w:space="0" w:color="000000"/>
              <w:left w:val="dotted" w:sz="4" w:space="0" w:color="000000"/>
              <w:bottom w:val="dotted" w:sz="4" w:space="0" w:color="000000"/>
              <w:right w:val="dotted" w:sz="4" w:space="0" w:color="000000"/>
            </w:tcBorders>
          </w:tcPr>
          <w:p w:rsidR="009D7E39" w:rsidRDefault="00D940B1">
            <w:pPr>
              <w:snapToGrid w:val="0"/>
              <w:spacing w:before="40" w:after="40"/>
              <w:rPr>
                <w:rFonts w:cs="Calibri"/>
                <w:kern w:val="22"/>
                <w:szCs w:val="22"/>
              </w:rPr>
            </w:pPr>
            <w:r>
              <w:rPr>
                <w:rFonts w:cs="Calibri"/>
                <w:kern w:val="22"/>
                <w:szCs w:val="22"/>
              </w:rPr>
              <w:t>s/o</w:t>
            </w:r>
          </w:p>
        </w:tc>
        <w:tc>
          <w:tcPr>
            <w:tcW w:w="6403" w:type="dxa"/>
            <w:tcBorders>
              <w:top w:val="dotted" w:sz="4" w:space="0" w:color="000000"/>
              <w:left w:val="dotted" w:sz="4" w:space="0" w:color="000000"/>
              <w:bottom w:val="dotted" w:sz="4" w:space="0" w:color="000000"/>
            </w:tcBorders>
          </w:tcPr>
          <w:p w:rsidR="009D7E39" w:rsidRDefault="00D940B1">
            <w:pPr>
              <w:snapToGrid w:val="0"/>
              <w:spacing w:before="40" w:after="40"/>
              <w:rPr>
                <w:rFonts w:cs="Calibri"/>
                <w:kern w:val="22"/>
                <w:szCs w:val="22"/>
              </w:rPr>
            </w:pPr>
            <w:r>
              <w:rPr>
                <w:rFonts w:cs="Calibri"/>
                <w:kern w:val="22"/>
                <w:szCs w:val="22"/>
              </w:rPr>
              <w:t>Date</w:t>
            </w:r>
            <w:r w:rsidR="00AC7294">
              <w:rPr>
                <w:rFonts w:cs="Calibri"/>
                <w:kern w:val="22"/>
                <w:szCs w:val="22"/>
              </w:rPr>
              <w:t>s</w:t>
            </w:r>
            <w:r>
              <w:rPr>
                <w:rFonts w:cs="Calibri"/>
                <w:kern w:val="22"/>
                <w:szCs w:val="22"/>
              </w:rPr>
              <w:t xml:space="preserve"> et lieu des futures réunions de la Conférence des Parties</w:t>
            </w:r>
          </w:p>
        </w:tc>
      </w:tr>
      <w:bookmarkEnd w:id="13"/>
      <w:tr w:rsidR="00E022E0" w:rsidRPr="00156C1C" w:rsidTr="00311C9B">
        <w:tc>
          <w:tcPr>
            <w:tcW w:w="1706" w:type="dxa"/>
            <w:vMerge/>
            <w:tcBorders>
              <w:bottom w:val="double" w:sz="4" w:space="0" w:color="000000"/>
              <w:right w:val="single" w:sz="4" w:space="0" w:color="auto"/>
            </w:tcBorders>
          </w:tcPr>
          <w:p w:rsidR="00E022E0" w:rsidRPr="00156C1C"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rsidR="009D7E39" w:rsidRDefault="00D940B1">
            <w:pPr>
              <w:snapToGrid w:val="0"/>
              <w:spacing w:before="40" w:after="40"/>
              <w:rPr>
                <w:rFonts w:cs="Calibri"/>
                <w:kern w:val="22"/>
                <w:szCs w:val="22"/>
              </w:rPr>
            </w:pPr>
            <w:r>
              <w:rPr>
                <w:rFonts w:cs="Calibri"/>
                <w:kern w:val="22"/>
                <w:szCs w:val="22"/>
              </w:rPr>
              <w:t>s/o</w:t>
            </w:r>
          </w:p>
        </w:tc>
        <w:tc>
          <w:tcPr>
            <w:tcW w:w="626" w:type="dxa"/>
            <w:tcBorders>
              <w:top w:val="dotted" w:sz="4" w:space="0" w:color="000000"/>
              <w:left w:val="dotted" w:sz="4" w:space="0" w:color="000000"/>
              <w:bottom w:val="dotted" w:sz="4" w:space="0" w:color="000000"/>
              <w:right w:val="dotted" w:sz="4" w:space="0" w:color="000000"/>
            </w:tcBorders>
          </w:tcPr>
          <w:p w:rsidR="009D7E39" w:rsidRDefault="00D940B1">
            <w:pPr>
              <w:shd w:val="clear" w:color="auto" w:fill="FFC000"/>
              <w:tabs>
                <w:tab w:val="left" w:pos="154"/>
                <w:tab w:val="left" w:pos="208"/>
              </w:tabs>
              <w:snapToGrid w:val="0"/>
              <w:spacing w:before="40" w:after="40"/>
              <w:ind w:right="-612"/>
              <w:rPr>
                <w:rFonts w:cs="Calibri"/>
                <w:kern w:val="22"/>
                <w:szCs w:val="22"/>
              </w:rPr>
            </w:pPr>
            <w:r>
              <w:rPr>
                <w:rFonts w:cs="Calibri"/>
                <w:kern w:val="22"/>
                <w:szCs w:val="22"/>
              </w:rPr>
              <w:t>5</w:t>
            </w:r>
          </w:p>
        </w:tc>
        <w:tc>
          <w:tcPr>
            <w:tcW w:w="666" w:type="dxa"/>
            <w:tcBorders>
              <w:top w:val="dotted" w:sz="4" w:space="0" w:color="000000"/>
              <w:left w:val="dotted" w:sz="4" w:space="0" w:color="000000"/>
              <w:bottom w:val="dotted" w:sz="4" w:space="0" w:color="000000"/>
              <w:right w:val="dotted" w:sz="4" w:space="0" w:color="000000"/>
            </w:tcBorders>
          </w:tcPr>
          <w:p w:rsidR="009D7E39" w:rsidRDefault="00D940B1">
            <w:pPr>
              <w:shd w:val="clear" w:color="auto" w:fill="00B0F0"/>
              <w:snapToGrid w:val="0"/>
              <w:spacing w:before="40" w:after="40"/>
              <w:rPr>
                <w:rFonts w:cs="Calibri"/>
                <w:kern w:val="22"/>
                <w:szCs w:val="22"/>
              </w:rPr>
            </w:pPr>
            <w:r>
              <w:rPr>
                <w:rFonts w:cs="Calibri"/>
                <w:kern w:val="22"/>
                <w:szCs w:val="22"/>
              </w:rPr>
              <w:t>5</w:t>
            </w:r>
          </w:p>
        </w:tc>
        <w:tc>
          <w:tcPr>
            <w:tcW w:w="6403" w:type="dxa"/>
            <w:tcBorders>
              <w:top w:val="dotted" w:sz="4" w:space="0" w:color="000000"/>
              <w:left w:val="dotted" w:sz="4" w:space="0" w:color="000000"/>
              <w:bottom w:val="dotted" w:sz="4" w:space="0" w:color="000000"/>
            </w:tcBorders>
          </w:tcPr>
          <w:p w:rsidR="009D7E39" w:rsidRDefault="00AC7294">
            <w:pPr>
              <w:snapToGrid w:val="0"/>
              <w:spacing w:before="40" w:after="40"/>
              <w:rPr>
                <w:rFonts w:cs="Calibri"/>
                <w:kern w:val="22"/>
                <w:szCs w:val="22"/>
              </w:rPr>
            </w:pPr>
            <w:r>
              <w:rPr>
                <w:rFonts w:cs="Calibri"/>
                <w:kern w:val="22"/>
                <w:szCs w:val="22"/>
              </w:rPr>
              <w:t xml:space="preserve">Rapport du Comité chargé </w:t>
            </w:r>
            <w:r w:rsidR="00D940B1">
              <w:rPr>
                <w:rFonts w:cs="Calibri"/>
                <w:kern w:val="22"/>
                <w:szCs w:val="22"/>
              </w:rPr>
              <w:t>du respect des dispositions</w:t>
            </w:r>
          </w:p>
        </w:tc>
      </w:tr>
      <w:tr w:rsidR="00E022E0" w:rsidRPr="00156C1C" w:rsidTr="00311C9B">
        <w:tc>
          <w:tcPr>
            <w:tcW w:w="1706" w:type="dxa"/>
            <w:vMerge/>
            <w:tcBorders>
              <w:bottom w:val="double" w:sz="4" w:space="0" w:color="000000"/>
              <w:right w:val="single" w:sz="4" w:space="0" w:color="auto"/>
            </w:tcBorders>
          </w:tcPr>
          <w:p w:rsidR="00E022E0" w:rsidRPr="00156C1C" w:rsidRDefault="00E022E0" w:rsidP="00DC748A">
            <w:pPr>
              <w:snapToGrid w:val="0"/>
              <w:spacing w:before="40" w:after="40"/>
              <w:jc w:val="left"/>
              <w:rPr>
                <w:rFonts w:cs="Calibri"/>
                <w:kern w:val="22"/>
                <w:szCs w:val="22"/>
              </w:rPr>
            </w:pPr>
          </w:p>
        </w:tc>
        <w:tc>
          <w:tcPr>
            <w:tcW w:w="669" w:type="dxa"/>
            <w:tcBorders>
              <w:top w:val="dotted" w:sz="4" w:space="0" w:color="000000"/>
              <w:left w:val="single" w:sz="4" w:space="0" w:color="auto"/>
              <w:bottom w:val="double" w:sz="4" w:space="0" w:color="000000"/>
              <w:right w:val="dotted" w:sz="4" w:space="0" w:color="000000"/>
            </w:tcBorders>
          </w:tcPr>
          <w:p w:rsidR="009D7E39" w:rsidRDefault="00D940B1">
            <w:pPr>
              <w:shd w:val="clear" w:color="auto" w:fill="92D050"/>
              <w:snapToGrid w:val="0"/>
              <w:spacing w:before="40" w:after="40"/>
              <w:rPr>
                <w:rFonts w:cs="Calibri"/>
                <w:kern w:val="22"/>
                <w:szCs w:val="22"/>
              </w:rPr>
            </w:pPr>
            <w:r>
              <w:rPr>
                <w:rFonts w:cs="Calibri"/>
                <w:kern w:val="22"/>
                <w:szCs w:val="22"/>
              </w:rPr>
              <w:t>2</w:t>
            </w:r>
          </w:p>
        </w:tc>
        <w:tc>
          <w:tcPr>
            <w:tcW w:w="626" w:type="dxa"/>
            <w:tcBorders>
              <w:top w:val="dotted" w:sz="4" w:space="0" w:color="000000"/>
              <w:left w:val="dotted" w:sz="4" w:space="0" w:color="000000"/>
              <w:bottom w:val="double" w:sz="4" w:space="0" w:color="000000"/>
              <w:right w:val="dotted" w:sz="4" w:space="0" w:color="000000"/>
            </w:tcBorders>
          </w:tcPr>
          <w:p w:rsidR="009D7E39" w:rsidRDefault="00D940B1">
            <w:pPr>
              <w:shd w:val="clear" w:color="auto" w:fill="FFC000"/>
              <w:tabs>
                <w:tab w:val="left" w:pos="154"/>
                <w:tab w:val="left" w:pos="208"/>
              </w:tabs>
              <w:snapToGrid w:val="0"/>
              <w:spacing w:before="40" w:after="40"/>
              <w:ind w:right="-612"/>
              <w:rPr>
                <w:rFonts w:cs="Calibri"/>
                <w:kern w:val="22"/>
                <w:szCs w:val="22"/>
              </w:rPr>
            </w:pPr>
            <w:r>
              <w:rPr>
                <w:rFonts w:cs="Calibri"/>
                <w:kern w:val="22"/>
                <w:szCs w:val="22"/>
              </w:rPr>
              <w:t>2</w:t>
            </w:r>
          </w:p>
        </w:tc>
        <w:tc>
          <w:tcPr>
            <w:tcW w:w="666" w:type="dxa"/>
            <w:tcBorders>
              <w:top w:val="dotted" w:sz="4" w:space="0" w:color="000000"/>
              <w:left w:val="dotted" w:sz="4" w:space="0" w:color="000000"/>
              <w:bottom w:val="double" w:sz="4" w:space="0" w:color="000000"/>
              <w:right w:val="dotted" w:sz="4" w:space="0" w:color="000000"/>
            </w:tcBorders>
          </w:tcPr>
          <w:p w:rsidR="009D7E39" w:rsidRDefault="00D940B1">
            <w:pPr>
              <w:shd w:val="clear" w:color="auto" w:fill="00B0F0"/>
              <w:snapToGrid w:val="0"/>
              <w:spacing w:before="40" w:after="40"/>
              <w:rPr>
                <w:rFonts w:cs="Calibri"/>
                <w:kern w:val="22"/>
                <w:szCs w:val="22"/>
              </w:rPr>
            </w:pPr>
            <w:r>
              <w:rPr>
                <w:rFonts w:cs="Calibri"/>
                <w:kern w:val="22"/>
                <w:szCs w:val="22"/>
              </w:rPr>
              <w:t>2</w:t>
            </w:r>
          </w:p>
        </w:tc>
        <w:tc>
          <w:tcPr>
            <w:tcW w:w="6403" w:type="dxa"/>
            <w:tcBorders>
              <w:top w:val="dotted" w:sz="4" w:space="0" w:color="000000"/>
              <w:left w:val="dotted" w:sz="4" w:space="0" w:color="000000"/>
              <w:bottom w:val="double" w:sz="4" w:space="0" w:color="000000"/>
            </w:tcBorders>
          </w:tcPr>
          <w:p w:rsidR="009D7E39" w:rsidRDefault="00D940B1">
            <w:pPr>
              <w:snapToGrid w:val="0"/>
              <w:spacing w:before="40" w:after="40"/>
              <w:rPr>
                <w:rFonts w:cs="Calibri"/>
                <w:kern w:val="22"/>
                <w:szCs w:val="22"/>
              </w:rPr>
            </w:pPr>
            <w:r>
              <w:rPr>
                <w:rFonts w:cs="Calibri"/>
                <w:kern w:val="22"/>
                <w:szCs w:val="22"/>
              </w:rPr>
              <w:t>Questio</w:t>
            </w:r>
            <w:r w:rsidR="00AC7294">
              <w:rPr>
                <w:rFonts w:cs="Calibri"/>
                <w:kern w:val="22"/>
                <w:szCs w:val="22"/>
              </w:rPr>
              <w:t>ns d'organisation (élection du B</w:t>
            </w:r>
            <w:r>
              <w:rPr>
                <w:rFonts w:cs="Calibri"/>
                <w:kern w:val="22"/>
                <w:szCs w:val="22"/>
              </w:rPr>
              <w:t>ureau)</w:t>
            </w:r>
          </w:p>
        </w:tc>
      </w:tr>
      <w:tr w:rsidR="00E022E0" w:rsidRPr="00156C1C" w:rsidTr="00311C9B">
        <w:tc>
          <w:tcPr>
            <w:tcW w:w="1706" w:type="dxa"/>
            <w:tcBorders>
              <w:top w:val="double" w:sz="4" w:space="0" w:color="000000"/>
              <w:left w:val="nil"/>
              <w:bottom w:val="nil"/>
              <w:right w:val="nil"/>
            </w:tcBorders>
            <w:shd w:val="clear" w:color="auto" w:fill="FFFFFF"/>
          </w:tcPr>
          <w:p w:rsidR="00E022E0" w:rsidRPr="00156C1C" w:rsidRDefault="00E022E0" w:rsidP="00DC748A">
            <w:pPr>
              <w:snapToGrid w:val="0"/>
              <w:spacing w:before="40" w:after="40"/>
              <w:jc w:val="left"/>
              <w:rPr>
                <w:rFonts w:cs="Calibri"/>
                <w:b/>
                <w:bCs/>
                <w:kern w:val="22"/>
                <w:szCs w:val="22"/>
              </w:rPr>
            </w:pPr>
          </w:p>
        </w:tc>
        <w:tc>
          <w:tcPr>
            <w:tcW w:w="1961" w:type="dxa"/>
            <w:gridSpan w:val="3"/>
            <w:tcBorders>
              <w:top w:val="double" w:sz="4" w:space="0" w:color="000000"/>
              <w:left w:val="nil"/>
              <w:bottom w:val="nil"/>
              <w:right w:val="nil"/>
            </w:tcBorders>
            <w:shd w:val="clear" w:color="auto" w:fill="FFFFFF"/>
          </w:tcPr>
          <w:p w:rsidR="00E022E0" w:rsidRPr="00156C1C" w:rsidRDefault="00E022E0" w:rsidP="00DC748A">
            <w:pPr>
              <w:snapToGrid w:val="0"/>
              <w:spacing w:before="40" w:after="40"/>
              <w:jc w:val="left"/>
              <w:rPr>
                <w:rFonts w:cs="Calibri"/>
                <w:kern w:val="22"/>
                <w:szCs w:val="22"/>
              </w:rPr>
            </w:pPr>
          </w:p>
        </w:tc>
        <w:tc>
          <w:tcPr>
            <w:tcW w:w="6403" w:type="dxa"/>
            <w:tcBorders>
              <w:top w:val="double" w:sz="4" w:space="0" w:color="000000"/>
              <w:left w:val="nil"/>
              <w:bottom w:val="nil"/>
              <w:right w:val="nil"/>
            </w:tcBorders>
            <w:shd w:val="clear" w:color="auto" w:fill="FFFFFF"/>
          </w:tcPr>
          <w:p w:rsidR="00E022E0" w:rsidRPr="00156C1C" w:rsidRDefault="00E022E0" w:rsidP="00DC748A">
            <w:pPr>
              <w:snapToGrid w:val="0"/>
              <w:spacing w:before="40" w:after="40"/>
              <w:jc w:val="left"/>
              <w:rPr>
                <w:rFonts w:cs="Calibri"/>
                <w:kern w:val="22"/>
                <w:szCs w:val="22"/>
              </w:rPr>
            </w:pPr>
          </w:p>
        </w:tc>
      </w:tr>
      <w:tr w:rsidR="00E022E0" w:rsidRPr="00156C1C" w:rsidTr="00311C9B">
        <w:tc>
          <w:tcPr>
            <w:tcW w:w="1706" w:type="dxa"/>
            <w:vMerge w:val="restart"/>
            <w:tcBorders>
              <w:top w:val="double" w:sz="4" w:space="0" w:color="000000"/>
              <w:bottom w:val="double" w:sz="4" w:space="0" w:color="000000"/>
              <w:right w:val="single" w:sz="4" w:space="0" w:color="auto"/>
            </w:tcBorders>
          </w:tcPr>
          <w:p w:rsidR="009D7E39" w:rsidRDefault="00AC7294">
            <w:pPr>
              <w:snapToGrid w:val="0"/>
              <w:spacing w:before="40" w:after="40"/>
              <w:jc w:val="left"/>
              <w:rPr>
                <w:rFonts w:cs="Calibri"/>
                <w:kern w:val="22"/>
                <w:szCs w:val="22"/>
              </w:rPr>
            </w:pPr>
            <w:r>
              <w:rPr>
                <w:rFonts w:cs="Calibri"/>
                <w:kern w:val="22"/>
                <w:szCs w:val="22"/>
              </w:rPr>
              <w:t>Vendredi 20 o</w:t>
            </w:r>
            <w:r w:rsidR="00D940B1">
              <w:rPr>
                <w:rFonts w:cs="Calibri"/>
                <w:kern w:val="22"/>
                <w:szCs w:val="22"/>
              </w:rPr>
              <w:t>ctobre</w:t>
            </w:r>
          </w:p>
          <w:p w:rsidR="009D7E39" w:rsidRDefault="008B5E1E">
            <w:pPr>
              <w:snapToGrid w:val="0"/>
              <w:spacing w:before="40" w:after="40"/>
              <w:jc w:val="left"/>
              <w:rPr>
                <w:rFonts w:cs="Calibri"/>
                <w:kern w:val="22"/>
                <w:szCs w:val="22"/>
              </w:rPr>
            </w:pPr>
            <w:r>
              <w:rPr>
                <w:rFonts w:cs="Calibri"/>
                <w:kern w:val="22"/>
                <w:szCs w:val="22"/>
              </w:rPr>
              <w:t>(10h à 13</w:t>
            </w:r>
            <w:r w:rsidR="00D940B1">
              <w:rPr>
                <w:rFonts w:cs="Calibri"/>
                <w:kern w:val="22"/>
                <w:szCs w:val="22"/>
              </w:rPr>
              <w:t>h)</w:t>
            </w:r>
          </w:p>
        </w:tc>
        <w:tc>
          <w:tcPr>
            <w:tcW w:w="669" w:type="dxa"/>
            <w:tcBorders>
              <w:top w:val="double" w:sz="4" w:space="0" w:color="000000"/>
              <w:left w:val="single" w:sz="4" w:space="0" w:color="auto"/>
              <w:bottom w:val="dotted" w:sz="4" w:space="0" w:color="000000"/>
              <w:right w:val="dotted" w:sz="4" w:space="0" w:color="000000"/>
            </w:tcBorders>
          </w:tcPr>
          <w:p w:rsidR="009D7E39" w:rsidRDefault="00D940B1">
            <w:pPr>
              <w:shd w:val="clear" w:color="auto" w:fill="92D050"/>
              <w:snapToGrid w:val="0"/>
              <w:spacing w:before="40" w:after="40"/>
              <w:rPr>
                <w:rFonts w:cs="Calibri"/>
                <w:kern w:val="22"/>
                <w:szCs w:val="22"/>
              </w:rPr>
            </w:pPr>
            <w:r>
              <w:rPr>
                <w:rFonts w:cs="Calibri"/>
                <w:kern w:val="22"/>
                <w:szCs w:val="22"/>
              </w:rPr>
              <w:t>CBD</w:t>
            </w:r>
          </w:p>
        </w:tc>
        <w:tc>
          <w:tcPr>
            <w:tcW w:w="626" w:type="dxa"/>
            <w:tcBorders>
              <w:top w:val="double" w:sz="4" w:space="0" w:color="000000"/>
              <w:left w:val="dotted" w:sz="4" w:space="0" w:color="000000"/>
              <w:bottom w:val="dotted" w:sz="4" w:space="0" w:color="000000"/>
              <w:right w:val="dotted" w:sz="4" w:space="0" w:color="000000"/>
            </w:tcBorders>
          </w:tcPr>
          <w:p w:rsidR="009D7E39" w:rsidRDefault="00D940B1">
            <w:pPr>
              <w:shd w:val="clear" w:color="auto" w:fill="FFC000"/>
              <w:tabs>
                <w:tab w:val="left" w:pos="154"/>
                <w:tab w:val="left" w:pos="208"/>
              </w:tabs>
              <w:snapToGrid w:val="0"/>
              <w:spacing w:before="40" w:after="40"/>
              <w:ind w:right="-612"/>
              <w:rPr>
                <w:rFonts w:cs="Calibri"/>
                <w:kern w:val="22"/>
                <w:szCs w:val="22"/>
              </w:rPr>
            </w:pPr>
            <w:r>
              <w:rPr>
                <w:rFonts w:cs="Calibri"/>
                <w:kern w:val="22"/>
                <w:szCs w:val="22"/>
              </w:rPr>
              <w:t>CP</w:t>
            </w:r>
          </w:p>
        </w:tc>
        <w:tc>
          <w:tcPr>
            <w:tcW w:w="666" w:type="dxa"/>
            <w:tcBorders>
              <w:top w:val="double" w:sz="4" w:space="0" w:color="000000"/>
              <w:left w:val="dotted" w:sz="4" w:space="0" w:color="000000"/>
              <w:bottom w:val="dotted" w:sz="4" w:space="0" w:color="000000"/>
              <w:right w:val="dotted" w:sz="4" w:space="0" w:color="000000"/>
            </w:tcBorders>
          </w:tcPr>
          <w:p w:rsidR="009D7E39" w:rsidRDefault="00D940B1">
            <w:pPr>
              <w:shd w:val="clear" w:color="auto" w:fill="00B0F0"/>
              <w:snapToGrid w:val="0"/>
              <w:spacing w:before="40" w:after="40"/>
              <w:rPr>
                <w:rFonts w:cs="Calibri"/>
                <w:kern w:val="22"/>
                <w:szCs w:val="22"/>
              </w:rPr>
            </w:pPr>
            <w:r>
              <w:rPr>
                <w:rFonts w:cs="Calibri"/>
                <w:kern w:val="22"/>
                <w:szCs w:val="22"/>
              </w:rPr>
              <w:t>NP</w:t>
            </w:r>
          </w:p>
        </w:tc>
        <w:tc>
          <w:tcPr>
            <w:tcW w:w="6403" w:type="dxa"/>
            <w:tcBorders>
              <w:top w:val="double" w:sz="4" w:space="0" w:color="000000"/>
              <w:left w:val="dotted" w:sz="4" w:space="0" w:color="000000"/>
              <w:bottom w:val="dotted" w:sz="4" w:space="0" w:color="000000"/>
            </w:tcBorders>
          </w:tcPr>
          <w:p w:rsidR="00E022E0" w:rsidRPr="00156C1C" w:rsidRDefault="00E022E0" w:rsidP="00DC748A">
            <w:pPr>
              <w:snapToGrid w:val="0"/>
              <w:spacing w:before="40" w:after="40"/>
              <w:rPr>
                <w:rFonts w:cs="Calibri"/>
                <w:kern w:val="22"/>
                <w:szCs w:val="22"/>
              </w:rPr>
            </w:pPr>
          </w:p>
        </w:tc>
      </w:tr>
      <w:tr w:rsidR="00E022E0" w:rsidRPr="00156C1C" w:rsidTr="00311C9B">
        <w:tc>
          <w:tcPr>
            <w:tcW w:w="1706" w:type="dxa"/>
            <w:vMerge/>
            <w:tcBorders>
              <w:bottom w:val="double" w:sz="4" w:space="0" w:color="000000"/>
              <w:right w:val="single" w:sz="4" w:space="0" w:color="auto"/>
            </w:tcBorders>
          </w:tcPr>
          <w:p w:rsidR="00E022E0" w:rsidRPr="00156C1C" w:rsidRDefault="00E022E0" w:rsidP="00DC748A">
            <w:pPr>
              <w:snapToGrid w:val="0"/>
              <w:spacing w:before="40" w:after="40"/>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rsidR="009D7E39" w:rsidRDefault="00D940B1">
            <w:pPr>
              <w:shd w:val="clear" w:color="auto" w:fill="92D050"/>
              <w:snapToGrid w:val="0"/>
              <w:spacing w:before="40" w:after="40"/>
              <w:rPr>
                <w:rFonts w:cs="Calibri"/>
                <w:kern w:val="22"/>
                <w:szCs w:val="22"/>
              </w:rPr>
            </w:pPr>
            <w:r>
              <w:rPr>
                <w:rFonts w:cs="Calibri"/>
                <w:kern w:val="22"/>
                <w:szCs w:val="22"/>
              </w:rPr>
              <w:t>28</w:t>
            </w:r>
          </w:p>
        </w:tc>
        <w:tc>
          <w:tcPr>
            <w:tcW w:w="626" w:type="dxa"/>
            <w:tcBorders>
              <w:top w:val="dotted" w:sz="4" w:space="0" w:color="000000"/>
              <w:left w:val="dotted" w:sz="4" w:space="0" w:color="000000"/>
              <w:bottom w:val="dotted" w:sz="4" w:space="0" w:color="000000"/>
              <w:right w:val="dotted" w:sz="4" w:space="0" w:color="000000"/>
            </w:tcBorders>
          </w:tcPr>
          <w:p w:rsidR="009D7E39" w:rsidRDefault="00D940B1">
            <w:pPr>
              <w:shd w:val="clear" w:color="auto" w:fill="FFC000"/>
              <w:tabs>
                <w:tab w:val="left" w:pos="154"/>
                <w:tab w:val="left" w:pos="208"/>
              </w:tabs>
              <w:snapToGrid w:val="0"/>
              <w:spacing w:before="40" w:after="40"/>
              <w:ind w:right="-612"/>
              <w:rPr>
                <w:rFonts w:cs="Calibri"/>
                <w:kern w:val="22"/>
                <w:szCs w:val="22"/>
              </w:rPr>
            </w:pPr>
            <w:r>
              <w:rPr>
                <w:rFonts w:cs="Calibri"/>
                <w:kern w:val="22"/>
                <w:szCs w:val="22"/>
              </w:rPr>
              <w:t>18</w:t>
            </w:r>
          </w:p>
        </w:tc>
        <w:tc>
          <w:tcPr>
            <w:tcW w:w="666" w:type="dxa"/>
            <w:tcBorders>
              <w:top w:val="dotted" w:sz="4" w:space="0" w:color="000000"/>
              <w:left w:val="dotted" w:sz="4" w:space="0" w:color="000000"/>
              <w:bottom w:val="dotted" w:sz="4" w:space="0" w:color="000000"/>
              <w:right w:val="dotted" w:sz="4" w:space="0" w:color="000000"/>
            </w:tcBorders>
          </w:tcPr>
          <w:p w:rsidR="009D7E39" w:rsidRDefault="00D940B1">
            <w:pPr>
              <w:shd w:val="clear" w:color="auto" w:fill="00B0F0"/>
              <w:snapToGrid w:val="0"/>
              <w:spacing w:before="40" w:after="40"/>
              <w:rPr>
                <w:rFonts w:cs="Calibri"/>
                <w:kern w:val="22"/>
                <w:szCs w:val="22"/>
              </w:rPr>
            </w:pPr>
            <w:r>
              <w:rPr>
                <w:rFonts w:cs="Calibri"/>
                <w:kern w:val="22"/>
                <w:szCs w:val="22"/>
              </w:rPr>
              <w:t>17</w:t>
            </w:r>
          </w:p>
        </w:tc>
        <w:tc>
          <w:tcPr>
            <w:tcW w:w="6403" w:type="dxa"/>
            <w:tcBorders>
              <w:top w:val="dotted" w:sz="4" w:space="0" w:color="000000"/>
              <w:left w:val="dotted" w:sz="4" w:space="0" w:color="000000"/>
              <w:bottom w:val="dotted" w:sz="4" w:space="0" w:color="000000"/>
            </w:tcBorders>
          </w:tcPr>
          <w:p w:rsidR="009D7E39" w:rsidRDefault="00D940B1">
            <w:pPr>
              <w:snapToGrid w:val="0"/>
              <w:spacing w:before="40" w:after="40"/>
              <w:rPr>
                <w:rFonts w:cs="Calibri"/>
                <w:kern w:val="22"/>
                <w:szCs w:val="22"/>
              </w:rPr>
            </w:pPr>
            <w:r>
              <w:rPr>
                <w:rFonts w:cs="Calibri"/>
                <w:kern w:val="22"/>
                <w:szCs w:val="22"/>
              </w:rPr>
              <w:t>Autres questions</w:t>
            </w:r>
          </w:p>
        </w:tc>
      </w:tr>
      <w:tr w:rsidR="00E022E0" w:rsidRPr="00156C1C" w:rsidTr="00311C9B">
        <w:tc>
          <w:tcPr>
            <w:tcW w:w="1706" w:type="dxa"/>
            <w:vMerge/>
            <w:tcBorders>
              <w:bottom w:val="double" w:sz="4" w:space="0" w:color="000000"/>
              <w:right w:val="single" w:sz="4" w:space="0" w:color="auto"/>
            </w:tcBorders>
          </w:tcPr>
          <w:p w:rsidR="00E022E0" w:rsidRPr="00156C1C" w:rsidRDefault="00E022E0" w:rsidP="00DC748A">
            <w:pPr>
              <w:snapToGrid w:val="0"/>
              <w:spacing w:before="40" w:after="40"/>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rsidR="009D7E39" w:rsidRDefault="00D940B1">
            <w:pPr>
              <w:shd w:val="clear" w:color="auto" w:fill="92D050"/>
              <w:snapToGrid w:val="0"/>
              <w:spacing w:before="40" w:after="40"/>
              <w:rPr>
                <w:rFonts w:cs="Calibri"/>
                <w:kern w:val="22"/>
                <w:szCs w:val="22"/>
              </w:rPr>
            </w:pPr>
            <w:r>
              <w:rPr>
                <w:rFonts w:cs="Calibri"/>
                <w:kern w:val="22"/>
                <w:szCs w:val="22"/>
              </w:rPr>
              <w:t>29</w:t>
            </w:r>
          </w:p>
        </w:tc>
        <w:tc>
          <w:tcPr>
            <w:tcW w:w="626" w:type="dxa"/>
            <w:tcBorders>
              <w:top w:val="dotted" w:sz="4" w:space="0" w:color="000000"/>
              <w:left w:val="dotted" w:sz="4" w:space="0" w:color="000000"/>
              <w:bottom w:val="dotted" w:sz="4" w:space="0" w:color="000000"/>
              <w:right w:val="dotted" w:sz="4" w:space="0" w:color="000000"/>
            </w:tcBorders>
          </w:tcPr>
          <w:p w:rsidR="009D7E39" w:rsidRDefault="00D940B1">
            <w:pPr>
              <w:shd w:val="clear" w:color="auto" w:fill="FFC000"/>
              <w:tabs>
                <w:tab w:val="left" w:pos="154"/>
                <w:tab w:val="left" w:pos="208"/>
              </w:tabs>
              <w:snapToGrid w:val="0"/>
              <w:spacing w:before="40" w:after="40"/>
              <w:ind w:right="-612"/>
              <w:rPr>
                <w:rFonts w:cs="Calibri"/>
                <w:kern w:val="22"/>
                <w:szCs w:val="22"/>
              </w:rPr>
            </w:pPr>
            <w:r>
              <w:rPr>
                <w:rFonts w:cs="Calibri"/>
                <w:kern w:val="22"/>
                <w:szCs w:val="22"/>
              </w:rPr>
              <w:t>19</w:t>
            </w:r>
          </w:p>
        </w:tc>
        <w:tc>
          <w:tcPr>
            <w:tcW w:w="666" w:type="dxa"/>
            <w:tcBorders>
              <w:top w:val="dotted" w:sz="4" w:space="0" w:color="000000"/>
              <w:left w:val="dotted" w:sz="4" w:space="0" w:color="000000"/>
              <w:bottom w:val="dotted" w:sz="4" w:space="0" w:color="000000"/>
              <w:right w:val="dotted" w:sz="4" w:space="0" w:color="000000"/>
            </w:tcBorders>
          </w:tcPr>
          <w:p w:rsidR="009D7E39" w:rsidRDefault="00D940B1">
            <w:pPr>
              <w:shd w:val="clear" w:color="auto" w:fill="00B0F0"/>
              <w:snapToGrid w:val="0"/>
              <w:spacing w:before="40" w:after="40"/>
              <w:rPr>
                <w:rFonts w:cs="Calibri"/>
                <w:kern w:val="22"/>
                <w:szCs w:val="22"/>
              </w:rPr>
            </w:pPr>
            <w:r>
              <w:rPr>
                <w:rFonts w:cs="Calibri"/>
                <w:kern w:val="22"/>
                <w:szCs w:val="22"/>
              </w:rPr>
              <w:t>18</w:t>
            </w:r>
          </w:p>
        </w:tc>
        <w:tc>
          <w:tcPr>
            <w:tcW w:w="6403" w:type="dxa"/>
            <w:tcBorders>
              <w:top w:val="dotted" w:sz="4" w:space="0" w:color="000000"/>
              <w:left w:val="dotted" w:sz="4" w:space="0" w:color="000000"/>
              <w:bottom w:val="dotted" w:sz="4" w:space="0" w:color="000000"/>
            </w:tcBorders>
          </w:tcPr>
          <w:p w:rsidR="009D7E39" w:rsidRDefault="00D940B1">
            <w:pPr>
              <w:snapToGrid w:val="0"/>
              <w:spacing w:before="40" w:after="40"/>
              <w:rPr>
                <w:rFonts w:cs="Calibri"/>
                <w:kern w:val="22"/>
                <w:szCs w:val="22"/>
              </w:rPr>
            </w:pPr>
            <w:r>
              <w:rPr>
                <w:rFonts w:cs="Calibri"/>
                <w:kern w:val="22"/>
                <w:szCs w:val="22"/>
              </w:rPr>
              <w:t>Adoption du rapport</w:t>
            </w:r>
          </w:p>
        </w:tc>
      </w:tr>
      <w:tr w:rsidR="00E022E0" w:rsidRPr="00156C1C" w:rsidTr="00311C9B">
        <w:tc>
          <w:tcPr>
            <w:tcW w:w="1706" w:type="dxa"/>
            <w:vMerge/>
            <w:tcBorders>
              <w:bottom w:val="double" w:sz="4" w:space="0" w:color="000000"/>
              <w:right w:val="single" w:sz="4" w:space="0" w:color="auto"/>
            </w:tcBorders>
          </w:tcPr>
          <w:p w:rsidR="00E022E0" w:rsidRPr="00156C1C" w:rsidRDefault="00E022E0" w:rsidP="00DC748A">
            <w:pPr>
              <w:snapToGrid w:val="0"/>
              <w:spacing w:before="40" w:after="40"/>
              <w:rPr>
                <w:rFonts w:cs="Calibri"/>
                <w:kern w:val="22"/>
                <w:szCs w:val="22"/>
              </w:rPr>
            </w:pPr>
          </w:p>
        </w:tc>
        <w:tc>
          <w:tcPr>
            <w:tcW w:w="669" w:type="dxa"/>
            <w:tcBorders>
              <w:top w:val="dotted" w:sz="4" w:space="0" w:color="000000"/>
              <w:left w:val="single" w:sz="4" w:space="0" w:color="auto"/>
              <w:bottom w:val="dotted" w:sz="4" w:space="0" w:color="000000"/>
              <w:right w:val="dotted" w:sz="4" w:space="0" w:color="000000"/>
            </w:tcBorders>
          </w:tcPr>
          <w:p w:rsidR="009D7E39" w:rsidRDefault="00D940B1">
            <w:pPr>
              <w:shd w:val="clear" w:color="auto" w:fill="92D050"/>
              <w:snapToGrid w:val="0"/>
              <w:spacing w:before="40" w:after="40"/>
              <w:rPr>
                <w:rFonts w:cs="Calibri"/>
                <w:kern w:val="22"/>
                <w:szCs w:val="22"/>
              </w:rPr>
            </w:pPr>
            <w:r>
              <w:rPr>
                <w:rFonts w:cs="Calibri"/>
                <w:kern w:val="22"/>
                <w:szCs w:val="22"/>
              </w:rPr>
              <w:t>30</w:t>
            </w:r>
          </w:p>
        </w:tc>
        <w:tc>
          <w:tcPr>
            <w:tcW w:w="626" w:type="dxa"/>
            <w:tcBorders>
              <w:top w:val="dotted" w:sz="4" w:space="0" w:color="000000"/>
              <w:left w:val="dotted" w:sz="4" w:space="0" w:color="000000"/>
              <w:bottom w:val="dotted" w:sz="4" w:space="0" w:color="000000"/>
              <w:right w:val="dotted" w:sz="4" w:space="0" w:color="000000"/>
            </w:tcBorders>
          </w:tcPr>
          <w:p w:rsidR="009D7E39" w:rsidRDefault="00D940B1">
            <w:pPr>
              <w:shd w:val="clear" w:color="auto" w:fill="FFC000"/>
              <w:tabs>
                <w:tab w:val="left" w:pos="154"/>
                <w:tab w:val="left" w:pos="208"/>
              </w:tabs>
              <w:snapToGrid w:val="0"/>
              <w:spacing w:before="40" w:after="40"/>
              <w:ind w:right="-612"/>
              <w:rPr>
                <w:rFonts w:cs="Calibri"/>
                <w:kern w:val="22"/>
                <w:szCs w:val="22"/>
              </w:rPr>
            </w:pPr>
            <w:r>
              <w:rPr>
                <w:rFonts w:cs="Calibri"/>
                <w:kern w:val="22"/>
                <w:szCs w:val="22"/>
              </w:rPr>
              <w:t>20</w:t>
            </w:r>
          </w:p>
        </w:tc>
        <w:tc>
          <w:tcPr>
            <w:tcW w:w="666" w:type="dxa"/>
            <w:tcBorders>
              <w:top w:val="dotted" w:sz="4" w:space="0" w:color="000000"/>
              <w:left w:val="dotted" w:sz="4" w:space="0" w:color="000000"/>
              <w:bottom w:val="dotted" w:sz="4" w:space="0" w:color="000000"/>
              <w:right w:val="dotted" w:sz="4" w:space="0" w:color="000000"/>
            </w:tcBorders>
          </w:tcPr>
          <w:p w:rsidR="009D7E39" w:rsidRDefault="00D940B1">
            <w:pPr>
              <w:shd w:val="clear" w:color="auto" w:fill="00B0F0"/>
              <w:snapToGrid w:val="0"/>
              <w:spacing w:before="40" w:after="40"/>
              <w:rPr>
                <w:rFonts w:cs="Calibri"/>
                <w:kern w:val="22"/>
                <w:szCs w:val="22"/>
              </w:rPr>
            </w:pPr>
            <w:r>
              <w:rPr>
                <w:rFonts w:cs="Calibri"/>
                <w:kern w:val="22"/>
                <w:szCs w:val="22"/>
              </w:rPr>
              <w:t>19</w:t>
            </w:r>
          </w:p>
        </w:tc>
        <w:tc>
          <w:tcPr>
            <w:tcW w:w="6403" w:type="dxa"/>
            <w:tcBorders>
              <w:top w:val="dotted" w:sz="4" w:space="0" w:color="000000"/>
              <w:left w:val="dotted" w:sz="4" w:space="0" w:color="000000"/>
              <w:bottom w:val="dotted" w:sz="4" w:space="0" w:color="000000"/>
            </w:tcBorders>
          </w:tcPr>
          <w:p w:rsidR="009D7E39" w:rsidRDefault="00D940B1">
            <w:pPr>
              <w:snapToGrid w:val="0"/>
              <w:spacing w:before="40" w:after="40"/>
              <w:rPr>
                <w:rFonts w:cs="Calibri"/>
                <w:kern w:val="22"/>
                <w:szCs w:val="22"/>
              </w:rPr>
            </w:pPr>
            <w:r>
              <w:rPr>
                <w:rFonts w:cs="Calibri"/>
                <w:kern w:val="22"/>
                <w:szCs w:val="22"/>
              </w:rPr>
              <w:t>Clôture de la réunion</w:t>
            </w:r>
          </w:p>
        </w:tc>
      </w:tr>
    </w:tbl>
    <w:p w:rsidR="009D7E39" w:rsidRDefault="00D940B1">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i/>
          <w:iCs/>
          <w:snapToGrid w:val="0"/>
          <w:kern w:val="22"/>
          <w:szCs w:val="22"/>
        </w:rPr>
        <w:t>Abréviations</w:t>
      </w:r>
      <w:r>
        <w:rPr>
          <w:snapToGrid w:val="0"/>
          <w:kern w:val="22"/>
          <w:szCs w:val="22"/>
        </w:rPr>
        <w:t xml:space="preserve"> : CDB, Conférence des Parties à la Convent</w:t>
      </w:r>
      <w:r w:rsidR="008B5E1E">
        <w:rPr>
          <w:snapToGrid w:val="0"/>
          <w:kern w:val="22"/>
          <w:szCs w:val="22"/>
        </w:rPr>
        <w:t>ion sur la diversité biologique</w:t>
      </w:r>
      <w:r>
        <w:rPr>
          <w:snapToGrid w:val="0"/>
          <w:kern w:val="22"/>
          <w:szCs w:val="22"/>
        </w:rPr>
        <w:t xml:space="preserve">; CP : Conférence des Parties </w:t>
      </w:r>
      <w:r w:rsidR="00C74CCB">
        <w:rPr>
          <w:snapToGrid w:val="0"/>
          <w:kern w:val="22"/>
          <w:szCs w:val="22"/>
        </w:rPr>
        <w:t>siégeant en tant que</w:t>
      </w:r>
      <w:r>
        <w:rPr>
          <w:snapToGrid w:val="0"/>
          <w:kern w:val="22"/>
          <w:szCs w:val="22"/>
        </w:rPr>
        <w:t xml:space="preserve"> réunion des Parties au Protocole de Cartagena sur la préventio</w:t>
      </w:r>
      <w:r w:rsidR="008B5E1E">
        <w:rPr>
          <w:snapToGrid w:val="0"/>
          <w:kern w:val="22"/>
          <w:szCs w:val="22"/>
        </w:rPr>
        <w:t>n des risques biotechnologiques</w:t>
      </w:r>
      <w:r>
        <w:rPr>
          <w:snapToGrid w:val="0"/>
          <w:kern w:val="22"/>
          <w:szCs w:val="22"/>
        </w:rPr>
        <w:t xml:space="preserve">; NP : Conférence des Parties </w:t>
      </w:r>
      <w:r w:rsidR="00C74CCB">
        <w:rPr>
          <w:snapToGrid w:val="0"/>
          <w:kern w:val="22"/>
          <w:szCs w:val="22"/>
        </w:rPr>
        <w:t>siégeant en tant que</w:t>
      </w:r>
      <w:r>
        <w:rPr>
          <w:snapToGrid w:val="0"/>
          <w:kern w:val="22"/>
          <w:szCs w:val="22"/>
        </w:rPr>
        <w:t xml:space="preserve"> réunion des Parties au Protocole de Nagoya sur l'accès aux ressources génétiques et le partage juste et équitable des avantages découlant de leur utilisation.</w:t>
      </w:r>
    </w:p>
    <w:p w:rsidR="009D7E39" w:rsidRDefault="00D940B1">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Cs w:val="22"/>
        </w:rPr>
      </w:pPr>
      <w:r>
        <w:rPr>
          <w:i/>
          <w:iCs/>
          <w:snapToGrid w:val="0"/>
          <w:kern w:val="22"/>
          <w:szCs w:val="22"/>
        </w:rPr>
        <w:t>Note</w:t>
      </w:r>
      <w:r>
        <w:rPr>
          <w:snapToGrid w:val="0"/>
          <w:kern w:val="22"/>
          <w:szCs w:val="22"/>
        </w:rPr>
        <w:t xml:space="preserve"> : </w:t>
      </w:r>
      <w:r w:rsidR="008B5E1E">
        <w:rPr>
          <w:bCs/>
          <w:snapToGrid w:val="0"/>
          <w:kern w:val="22"/>
          <w:szCs w:val="22"/>
        </w:rPr>
        <w:t>Les colonnes indiquant les points examinés au titre</w:t>
      </w:r>
      <w:r>
        <w:rPr>
          <w:bCs/>
          <w:snapToGrid w:val="0"/>
          <w:kern w:val="22"/>
          <w:szCs w:val="22"/>
        </w:rPr>
        <w:t xml:space="preserve"> de la Conférence des Parties </w:t>
      </w:r>
      <w:r w:rsidR="00C74CCB">
        <w:rPr>
          <w:bCs/>
          <w:snapToGrid w:val="0"/>
          <w:kern w:val="22"/>
          <w:szCs w:val="22"/>
        </w:rPr>
        <w:t>siégeant en tant que</w:t>
      </w:r>
      <w:r>
        <w:rPr>
          <w:bCs/>
          <w:snapToGrid w:val="0"/>
          <w:kern w:val="22"/>
          <w:szCs w:val="22"/>
        </w:rPr>
        <w:t xml:space="preserve"> réunions des Parties aux Protocoles sont incluses à titre d'</w:t>
      </w:r>
      <w:r w:rsidR="008B5E1E">
        <w:rPr>
          <w:bCs/>
          <w:snapToGrid w:val="0"/>
          <w:kern w:val="22"/>
          <w:szCs w:val="22"/>
        </w:rPr>
        <w:t>information et pour faciliter la</w:t>
      </w:r>
      <w:r>
        <w:rPr>
          <w:bCs/>
          <w:snapToGrid w:val="0"/>
          <w:kern w:val="22"/>
          <w:szCs w:val="22"/>
        </w:rPr>
        <w:t xml:space="preserve"> consultation.</w:t>
      </w:r>
    </w:p>
    <w:p w:rsidR="009D7E39" w:rsidRDefault="00D940B1">
      <w:pPr>
        <w:pStyle w:val="Para1"/>
        <w:numPr>
          <w:ilvl w:val="0"/>
          <w:numId w:val="0"/>
        </w:numPr>
        <w:suppressLineNumbers/>
        <w:suppressAutoHyphens/>
        <w:kinsoku w:val="0"/>
        <w:overflowPunct w:val="0"/>
        <w:autoSpaceDE w:val="0"/>
        <w:autoSpaceDN w:val="0"/>
        <w:adjustRightInd w:val="0"/>
        <w:snapToGrid w:val="0"/>
        <w:jc w:val="center"/>
        <w:rPr>
          <w:kern w:val="22"/>
          <w:szCs w:val="22"/>
        </w:rPr>
      </w:pPr>
      <w:r>
        <w:rPr>
          <w:kern w:val="22"/>
          <w:szCs w:val="22"/>
        </w:rPr>
        <w:t>_________</w:t>
      </w:r>
    </w:p>
    <w:sectPr w:rsidR="009D7E39" w:rsidSect="0090075A">
      <w:headerReference w:type="even" r:id="rId20"/>
      <w:head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386F" w:rsidRDefault="004D386F">
      <w:r>
        <w:separator/>
      </w:r>
    </w:p>
  </w:endnote>
  <w:endnote w:type="continuationSeparator" w:id="0">
    <w:p w:rsidR="004D386F" w:rsidRDefault="004D386F">
      <w:r>
        <w:continuationSeparator/>
      </w:r>
    </w:p>
  </w:endnote>
  <w:endnote w:type="continuationNotice" w:id="1">
    <w:p w:rsidR="004D386F" w:rsidRDefault="004D38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386F" w:rsidRDefault="004D386F">
      <w:r>
        <w:separator/>
      </w:r>
    </w:p>
  </w:footnote>
  <w:footnote w:type="continuationSeparator" w:id="0">
    <w:p w:rsidR="004D386F" w:rsidRDefault="004D386F">
      <w:r>
        <w:continuationSeparator/>
      </w:r>
    </w:p>
  </w:footnote>
  <w:footnote w:type="continuationNotice" w:id="1">
    <w:p w:rsidR="004D386F" w:rsidRDefault="004D386F"/>
  </w:footnote>
  <w:footnote w:id="2">
    <w:p w:rsidR="009D7E39" w:rsidRDefault="00D940B1">
      <w:pPr>
        <w:pStyle w:val="FootnoteText"/>
      </w:pPr>
      <w:r>
        <w:rPr>
          <w:rStyle w:val="FootnoteReference"/>
        </w:rPr>
        <w:footnoteRef/>
      </w:r>
      <w:r>
        <w:t xml:space="preserve"> </w:t>
      </w:r>
      <w:r>
        <w:rPr>
          <w:snapToGrid w:val="0"/>
          <w:kern w:val="22"/>
          <w:szCs w:val="22"/>
        </w:rPr>
        <w:t>CBD/COP/15/1/Rev.1.</w:t>
      </w:r>
    </w:p>
  </w:footnote>
  <w:footnote w:id="3">
    <w:p w:rsidR="009D7E39" w:rsidRDefault="00D940B1">
      <w:pPr>
        <w:pStyle w:val="FootnoteText"/>
        <w:spacing w:after="0"/>
      </w:pPr>
      <w:r>
        <w:rPr>
          <w:rStyle w:val="FootnoteReference"/>
        </w:rPr>
        <w:footnoteRef/>
      </w:r>
      <w:r>
        <w:t xml:space="preserve"> Sujata Arora (Inde) a été élue à la quatorzième réunion </w:t>
      </w:r>
      <w:r w:rsidR="00F37AEE">
        <w:t>de la Conférence des Parties et a été remplacée par Vinod Mathur, puis</w:t>
      </w:r>
      <w:r>
        <w:t xml:space="preserve"> Naresh Pal Gangwar, puis </w:t>
      </w:r>
      <w:r>
        <w:rPr>
          <w:rStyle w:val="ui-provider"/>
        </w:rPr>
        <w:t>Raghu Kumar Kodali</w:t>
      </w:r>
      <w:r>
        <w:t>.</w:t>
      </w:r>
    </w:p>
  </w:footnote>
  <w:footnote w:id="4">
    <w:p w:rsidR="009D7E39" w:rsidRPr="00C74CCB" w:rsidRDefault="00D940B1">
      <w:pPr>
        <w:pStyle w:val="FootnoteText"/>
        <w:spacing w:after="0"/>
      </w:pPr>
      <w:r w:rsidRPr="002D096C">
        <w:rPr>
          <w:rStyle w:val="FootnoteReference"/>
        </w:rPr>
        <w:footnoteRef/>
      </w:r>
      <w:r>
        <w:t xml:space="preserve"> Elvana Ramaj (Albanie) a été élue à la quatorzième réunion et a ensuite été remplacée par Klodiana Marika.</w:t>
      </w:r>
    </w:p>
  </w:footnote>
  <w:footnote w:id="5">
    <w:p w:rsidR="009D7E39" w:rsidRDefault="00D940B1">
      <w:pPr>
        <w:pStyle w:val="FootnoteText"/>
        <w:spacing w:after="0"/>
      </w:pPr>
      <w:r w:rsidRPr="002D096C">
        <w:rPr>
          <w:rStyle w:val="FootnoteReference"/>
        </w:rPr>
        <w:footnoteRef/>
      </w:r>
      <w:r>
        <w:t xml:space="preserve"> Carlos Manuel Rodríguez (Costa Rica) a été élu à la quatorzième réunion et </w:t>
      </w:r>
      <w:r w:rsidR="00F37AEE">
        <w:t xml:space="preserve">a été </w:t>
      </w:r>
      <w:r>
        <w:t>remplacé par Andrea Meza Murillo</w:t>
      </w:r>
      <w:r w:rsidR="00F37AEE">
        <w:t>,</w:t>
      </w:r>
      <w:r>
        <w:t xml:space="preserve"> puis Eugenia Argüedas Montezuma.</w:t>
      </w:r>
    </w:p>
  </w:footnote>
  <w:footnote w:id="6">
    <w:p w:rsidR="009D7E39" w:rsidRPr="00C74CCB" w:rsidRDefault="00D940B1">
      <w:pPr>
        <w:pStyle w:val="FootnoteText"/>
        <w:spacing w:after="0"/>
      </w:pPr>
      <w:r w:rsidRPr="002D096C">
        <w:rPr>
          <w:rStyle w:val="FootnoteReference"/>
        </w:rPr>
        <w:footnoteRef/>
      </w:r>
      <w:r>
        <w:t xml:space="preserve"> À la suite de son départ à la retraite du gouvernement de la Nouvelle-Zélande, Mme Paterson a démissionné du Bureau. Entre-temps, en attendant que la Nouvelle-Zélande nomme un remplaçant (</w:t>
      </w:r>
      <w:r w:rsidR="00F37AEE">
        <w:t>conformément à l'article 24 du r</w:t>
      </w:r>
      <w:r>
        <w:t xml:space="preserve">èglement intérieur), Marie Haraldstad (Norvège), qui remplace la Nouvelle-Zélande au Bureau pour les questions concernant le Protocole de Nagoya, a fourni une assistance pour la communication d'informations à la région. </w:t>
      </w:r>
    </w:p>
  </w:footnote>
  <w:footnote w:id="7">
    <w:p w:rsidR="009D7E39" w:rsidRPr="00C74CCB" w:rsidRDefault="00D940B1">
      <w:pPr>
        <w:pStyle w:val="FootnoteText"/>
      </w:pPr>
      <w:r w:rsidRPr="00594F0F">
        <w:rPr>
          <w:rStyle w:val="FootnoteReference"/>
        </w:rPr>
        <w:footnoteRef/>
      </w:r>
      <w:r>
        <w:t xml:space="preserve"> Voir </w:t>
      </w:r>
      <w:hyperlink r:id="rId1" w:history="1">
        <w:r>
          <w:rPr>
            <w:rStyle w:val="Hyperlink"/>
          </w:rPr>
          <w:t>www.cbd.int/doc/meetings/cop/cop-15/cop-credentials-template-en.docx</w:t>
        </w:r>
      </w:hyperlink>
      <w:r>
        <w:t xml:space="preserve">. </w:t>
      </w:r>
    </w:p>
  </w:footnote>
  <w:footnote w:id="8">
    <w:p w:rsidR="009D7E39" w:rsidRDefault="00D940B1">
      <w:pPr>
        <w:pStyle w:val="FootnoteText"/>
        <w:rPr>
          <w:lang w:val="en-US"/>
        </w:rPr>
      </w:pPr>
      <w:r>
        <w:rPr>
          <w:rStyle w:val="FootnoteReference"/>
        </w:rPr>
        <w:footnoteRef/>
      </w:r>
      <w:r>
        <w:t xml:space="preserve"> </w:t>
      </w:r>
      <w:r>
        <w:rPr>
          <w:snapToGrid w:val="0"/>
          <w:kern w:val="22"/>
          <w:szCs w:val="22"/>
        </w:rPr>
        <w:t>CBD/COP/15/4</w:t>
      </w:r>
      <w:r>
        <w:rPr>
          <w:b/>
          <w:bCs/>
          <w:snapToGrid w:val="0"/>
          <w:kern w:val="22"/>
          <w:szCs w:val="22"/>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E39" w:rsidRDefault="00D940B1">
    <w:pPr>
      <w:pStyle w:val="Header"/>
      <w:tabs>
        <w:tab w:val="clear" w:pos="4320"/>
        <w:tab w:val="clear" w:pos="8640"/>
      </w:tabs>
      <w:kinsoku w:val="0"/>
      <w:overflowPunct w:val="0"/>
      <w:autoSpaceDE w:val="0"/>
      <w:autoSpaceDN w:val="0"/>
      <w:jc w:val="left"/>
      <w:rPr>
        <w:noProof/>
      </w:rPr>
    </w:pPr>
    <w:r>
      <w:rPr>
        <w:noProof/>
      </w:rPr>
      <w:t>CBD/COP/15/1/Add.5</w:t>
    </w:r>
  </w:p>
  <w:p w:rsidR="009D7E39" w:rsidRDefault="00D940B1">
    <w:pPr>
      <w:pStyle w:val="Header"/>
      <w:tabs>
        <w:tab w:val="clear" w:pos="4320"/>
        <w:tab w:val="clear" w:pos="8640"/>
      </w:tabs>
      <w:kinsoku w:val="0"/>
      <w:overflowPunct w:val="0"/>
      <w:autoSpaceDE w:val="0"/>
      <w:autoSpaceDN w:val="0"/>
      <w:jc w:val="left"/>
      <w:rPr>
        <w:noProof/>
      </w:rPr>
    </w:pPr>
    <w:r>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A826EC">
      <w:rPr>
        <w:noProof/>
      </w:rPr>
      <w:t>6</w:t>
    </w:r>
    <w:r w:rsidRPr="00B00053">
      <w:rPr>
        <w:noProof/>
      </w:rPr>
      <w:fldChar w:fldCharType="end"/>
    </w:r>
  </w:p>
  <w:p w:rsidR="00534681" w:rsidRPr="00B00053" w:rsidRDefault="00534681" w:rsidP="00B00053">
    <w:pPr>
      <w:pStyle w:val="Header"/>
      <w:tabs>
        <w:tab w:val="clear" w:pos="4320"/>
        <w:tab w:val="clear" w:pos="8640"/>
      </w:tabs>
      <w:kinsoku w:val="0"/>
      <w:overflowPunct w:val="0"/>
      <w:autoSpaceDE w:val="0"/>
      <w:autoSpaceDN w:val="0"/>
      <w:jc w:val="left"/>
      <w:rPr>
        <w:noProo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E39" w:rsidRDefault="00D940B1">
    <w:pPr>
      <w:pStyle w:val="Header"/>
      <w:tabs>
        <w:tab w:val="clear" w:pos="4320"/>
        <w:tab w:val="clear" w:pos="8640"/>
      </w:tabs>
      <w:kinsoku w:val="0"/>
      <w:overflowPunct w:val="0"/>
      <w:autoSpaceDE w:val="0"/>
      <w:autoSpaceDN w:val="0"/>
      <w:jc w:val="right"/>
      <w:rPr>
        <w:noProof/>
      </w:rPr>
    </w:pPr>
    <w:r>
      <w:rPr>
        <w:noProof/>
      </w:rPr>
      <w:t>CBD/COP/15/1/Add.5</w:t>
    </w:r>
  </w:p>
  <w:p w:rsidR="009D7E39" w:rsidRDefault="00D940B1">
    <w:pPr>
      <w:pStyle w:val="Header"/>
      <w:tabs>
        <w:tab w:val="clear" w:pos="4320"/>
        <w:tab w:val="clear" w:pos="8640"/>
      </w:tabs>
      <w:kinsoku w:val="0"/>
      <w:overflowPunct w:val="0"/>
      <w:autoSpaceDE w:val="0"/>
      <w:autoSpaceDN w:val="0"/>
      <w:jc w:val="right"/>
      <w:rPr>
        <w:noProof/>
      </w:rPr>
    </w:pPr>
    <w:r>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A826EC">
      <w:rPr>
        <w:noProof/>
      </w:rPr>
      <w:t>5</w:t>
    </w:r>
    <w:r w:rsidRPr="00B00053">
      <w:rPr>
        <w:noProof/>
      </w:rPr>
      <w:fldChar w:fldCharType="end"/>
    </w:r>
  </w:p>
  <w:p w:rsidR="009505C9" w:rsidRPr="00B00053" w:rsidRDefault="009505C9" w:rsidP="00B00053">
    <w:pPr>
      <w:pStyle w:val="Header"/>
      <w:tabs>
        <w:tab w:val="clear" w:pos="4320"/>
        <w:tab w:val="clear" w:pos="8640"/>
      </w:tabs>
      <w:kinsoku w:val="0"/>
      <w:overflowPunct w:val="0"/>
      <w:autoSpaceDE w:val="0"/>
      <w:autoSpaceDN w:val="0"/>
      <w:jc w:val="right"/>
      <w:rPr>
        <w:noProo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C29BB"/>
    <w:multiLevelType w:val="hybridMultilevel"/>
    <w:tmpl w:val="53A427DA"/>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 w15:restartNumberingAfterBreak="0">
    <w:nsid w:val="07377E6A"/>
    <w:multiLevelType w:val="multilevel"/>
    <w:tmpl w:val="13D4FB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9C875DB"/>
    <w:multiLevelType w:val="hybridMultilevel"/>
    <w:tmpl w:val="6ABC0B52"/>
    <w:lvl w:ilvl="0" w:tplc="759A2078">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46592A"/>
    <w:multiLevelType w:val="multilevel"/>
    <w:tmpl w:val="E08E282C"/>
    <w:lvl w:ilvl="0">
      <w:start w:val="1"/>
      <w:numFmt w:val="decimal"/>
      <w:lvlText w:val="%1"/>
      <w:lvlJc w:val="left"/>
      <w:pPr>
        <w:tabs>
          <w:tab w:val="num" w:pos="540"/>
        </w:tabs>
        <w:ind w:left="540" w:hanging="540"/>
      </w:pPr>
      <w:rPr>
        <w:rFonts w:cs="Times New Roman"/>
      </w:rPr>
    </w:lvl>
    <w:lvl w:ilvl="1">
      <w:start w:val="1"/>
      <w:numFmt w:val="decimal"/>
      <w:lvlText w:val="%2."/>
      <w:lvlJc w:val="left"/>
      <w:pPr>
        <w:tabs>
          <w:tab w:val="num" w:pos="540"/>
        </w:tabs>
        <w:ind w:left="540" w:hanging="540"/>
      </w:pPr>
      <w:rPr>
        <w:rFonts w:ascii="Times New Roman" w:eastAsia="Times New Roman" w:hAnsi="Times New Roman" w:cs="Times New Roman"/>
      </w:rPr>
    </w:lvl>
    <w:lvl w:ilvl="2">
      <w:start w:val="1"/>
      <w:numFmt w:val="decimal"/>
      <w:lvlText w:val="%1.%2.%3"/>
      <w:lvlJc w:val="left"/>
      <w:pPr>
        <w:tabs>
          <w:tab w:val="num" w:pos="540"/>
        </w:tabs>
        <w:ind w:left="540" w:hanging="54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720"/>
        </w:tabs>
        <w:ind w:left="720" w:hanging="720"/>
      </w:pPr>
      <w:rPr>
        <w:rFonts w:cs="Times New Roman"/>
      </w:rPr>
    </w:lvl>
    <w:lvl w:ilvl="5">
      <w:start w:val="1"/>
      <w:numFmt w:val="decimal"/>
      <w:lvlText w:val="%1.%2.%3.%4.%5.%6"/>
      <w:lvlJc w:val="left"/>
      <w:pPr>
        <w:tabs>
          <w:tab w:val="num" w:pos="720"/>
        </w:tabs>
        <w:ind w:left="720" w:hanging="720"/>
      </w:pPr>
      <w:rPr>
        <w:rFonts w:cs="Times New Roman"/>
      </w:rPr>
    </w:lvl>
    <w:lvl w:ilvl="6">
      <w:start w:val="1"/>
      <w:numFmt w:val="decimal"/>
      <w:lvlText w:val="%1.%2.%3.%4.%5.%6.%7"/>
      <w:lvlJc w:val="left"/>
      <w:pPr>
        <w:tabs>
          <w:tab w:val="num" w:pos="1080"/>
        </w:tabs>
        <w:ind w:left="1080" w:hanging="1080"/>
      </w:pPr>
      <w:rPr>
        <w:rFonts w:cs="Times New Roman"/>
      </w:rPr>
    </w:lvl>
    <w:lvl w:ilvl="7">
      <w:start w:val="1"/>
      <w:numFmt w:val="decimal"/>
      <w:lvlText w:val="%1.%2.%3.%4.%5.%6.%7.%8"/>
      <w:lvlJc w:val="left"/>
      <w:pPr>
        <w:tabs>
          <w:tab w:val="num" w:pos="1080"/>
        </w:tabs>
        <w:ind w:left="1080" w:hanging="1080"/>
      </w:pPr>
      <w:rPr>
        <w:rFonts w:cs="Times New Roman"/>
      </w:rPr>
    </w:lvl>
    <w:lvl w:ilvl="8">
      <w:start w:val="1"/>
      <w:numFmt w:val="decimal"/>
      <w:lvlText w:val="%1.%2.%3.%4.%5.%6.%7.%8.%9"/>
      <w:lvlJc w:val="left"/>
      <w:pPr>
        <w:tabs>
          <w:tab w:val="num" w:pos="1080"/>
        </w:tabs>
        <w:ind w:left="1080" w:hanging="1080"/>
      </w:pPr>
      <w:rPr>
        <w:rFonts w:cs="Times New Roman"/>
      </w:rPr>
    </w:lvl>
  </w:abstractNum>
  <w:abstractNum w:abstractNumId="7" w15:restartNumberingAfterBreak="0">
    <w:nsid w:val="10A54367"/>
    <w:multiLevelType w:val="hybridMultilevel"/>
    <w:tmpl w:val="EFBCB176"/>
    <w:lvl w:ilvl="0" w:tplc="51F0FC34">
      <w:start w:val="1"/>
      <w:numFmt w:val="upperLetter"/>
      <w:lvlText w:val="%1."/>
      <w:lvlJc w:val="left"/>
      <w:pPr>
        <w:ind w:left="785" w:hanging="360"/>
      </w:pPr>
      <w:rPr>
        <w:rFonts w:hint="default"/>
        <w:i w:val="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8"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22501B37"/>
    <w:multiLevelType w:val="hybridMultilevel"/>
    <w:tmpl w:val="E5EE7A56"/>
    <w:lvl w:ilvl="0" w:tplc="2758B3F8">
      <w:start w:val="3"/>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28FD26D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E2821CF"/>
    <w:multiLevelType w:val="hybridMultilevel"/>
    <w:tmpl w:val="D1BC9C9C"/>
    <w:lvl w:ilvl="0" w:tplc="355C92E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F221F5E"/>
    <w:multiLevelType w:val="hybridMultilevel"/>
    <w:tmpl w:val="0744334C"/>
    <w:lvl w:ilvl="0" w:tplc="A53C7FB8">
      <w:start w:val="1"/>
      <w:numFmt w:val="decimal"/>
      <w:lvlText w:val="%1."/>
      <w:lvlJc w:val="left"/>
      <w:pPr>
        <w:ind w:left="720" w:hanging="360"/>
      </w:pPr>
      <w:rPr>
        <w:i w:val="0"/>
        <w:i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511026E0"/>
    <w:multiLevelType w:val="hybridMultilevel"/>
    <w:tmpl w:val="126E825C"/>
    <w:lvl w:ilvl="0" w:tplc="A53C7FB8">
      <w:start w:val="1"/>
      <w:numFmt w:val="decimal"/>
      <w:lvlText w:val="%1."/>
      <w:lvlJc w:val="left"/>
      <w:pPr>
        <w:ind w:left="720" w:hanging="360"/>
      </w:pPr>
      <w:rPr>
        <w:i w:val="0"/>
        <w:i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8" w15:restartNumberingAfterBreak="0">
    <w:nsid w:val="56391F7A"/>
    <w:multiLevelType w:val="hybridMultilevel"/>
    <w:tmpl w:val="028C3604"/>
    <w:lvl w:ilvl="0" w:tplc="46B85A5C">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ED3A2B"/>
    <w:multiLevelType w:val="hybridMultilevel"/>
    <w:tmpl w:val="B2B66EEC"/>
    <w:lvl w:ilvl="0" w:tplc="A3488B70">
      <w:start w:val="3"/>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620D6AEB"/>
    <w:multiLevelType w:val="multilevel"/>
    <w:tmpl w:val="620D6AEB"/>
    <w:lvl w:ilvl="0">
      <w:start w:val="1"/>
      <w:numFmt w:val="decimal"/>
      <w:lvlText w:val="%1."/>
      <w:lvlJc w:val="left"/>
      <w:pPr>
        <w:tabs>
          <w:tab w:val="left"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left" w:pos="1481"/>
        </w:tabs>
        <w:ind w:left="41" w:firstLine="720"/>
      </w:pPr>
      <w:rPr>
        <w:rFonts w:cs="Times New Roman" w:hint="default"/>
        <w:b w:val="0"/>
        <w:i w:val="0"/>
      </w:rPr>
    </w:lvl>
    <w:lvl w:ilvl="2">
      <w:start w:val="1"/>
      <w:numFmt w:val="lowerRoman"/>
      <w:lvlText w:val="(%3)"/>
      <w:lvlJc w:val="right"/>
      <w:pPr>
        <w:tabs>
          <w:tab w:val="left" w:pos="1350"/>
        </w:tabs>
        <w:ind w:left="1350" w:hanging="360"/>
      </w:pPr>
      <w:rPr>
        <w:rFonts w:cs="Times New Roman" w:hint="default"/>
      </w:rPr>
    </w:lvl>
    <w:lvl w:ilvl="3">
      <w:start w:val="1"/>
      <w:numFmt w:val="bullet"/>
      <w:lvlText w:val=""/>
      <w:lvlJc w:val="left"/>
      <w:pPr>
        <w:tabs>
          <w:tab w:val="left" w:pos="2070"/>
        </w:tabs>
        <w:ind w:left="2070" w:hanging="720"/>
      </w:pPr>
      <w:rPr>
        <w:rFonts w:ascii="Symbol" w:hAnsi="Symbol" w:hint="default"/>
        <w:color w:val="auto"/>
        <w:sz w:val="28"/>
      </w:rPr>
    </w:lvl>
    <w:lvl w:ilvl="4">
      <w:start w:val="1"/>
      <w:numFmt w:val="lowerLetter"/>
      <w:lvlText w:val="(%5)"/>
      <w:lvlJc w:val="left"/>
      <w:pPr>
        <w:tabs>
          <w:tab w:val="left" w:pos="1710"/>
        </w:tabs>
        <w:ind w:left="1710" w:hanging="360"/>
      </w:pPr>
      <w:rPr>
        <w:rFonts w:cs="Times New Roman" w:hint="default"/>
      </w:rPr>
    </w:lvl>
    <w:lvl w:ilvl="5">
      <w:start w:val="1"/>
      <w:numFmt w:val="lowerRoman"/>
      <w:lvlText w:val="(%6)"/>
      <w:lvlJc w:val="left"/>
      <w:pPr>
        <w:tabs>
          <w:tab w:val="left" w:pos="2070"/>
        </w:tabs>
        <w:ind w:left="2070" w:hanging="360"/>
      </w:pPr>
      <w:rPr>
        <w:rFonts w:cs="Times New Roman" w:hint="default"/>
      </w:rPr>
    </w:lvl>
    <w:lvl w:ilvl="6">
      <w:start w:val="1"/>
      <w:numFmt w:val="decimal"/>
      <w:lvlText w:val="%7."/>
      <w:lvlJc w:val="left"/>
      <w:pPr>
        <w:tabs>
          <w:tab w:val="left" w:pos="2430"/>
        </w:tabs>
        <w:ind w:left="2430" w:hanging="360"/>
      </w:pPr>
      <w:rPr>
        <w:rFonts w:cs="Times New Roman" w:hint="default"/>
      </w:rPr>
    </w:lvl>
    <w:lvl w:ilvl="7">
      <w:start w:val="1"/>
      <w:numFmt w:val="lowerLetter"/>
      <w:lvlText w:val="%8."/>
      <w:lvlJc w:val="left"/>
      <w:pPr>
        <w:tabs>
          <w:tab w:val="left" w:pos="2790"/>
        </w:tabs>
        <w:ind w:left="2790" w:hanging="360"/>
      </w:pPr>
      <w:rPr>
        <w:rFonts w:cs="Times New Roman" w:hint="default"/>
      </w:rPr>
    </w:lvl>
    <w:lvl w:ilvl="8">
      <w:start w:val="1"/>
      <w:numFmt w:val="lowerRoman"/>
      <w:lvlText w:val="%9."/>
      <w:lvlJc w:val="left"/>
      <w:pPr>
        <w:tabs>
          <w:tab w:val="left" w:pos="3150"/>
        </w:tabs>
        <w:ind w:left="3150" w:hanging="360"/>
      </w:pPr>
      <w:rPr>
        <w:rFonts w:cs="Times New Roman" w:hint="default"/>
      </w:rPr>
    </w:lvl>
  </w:abstractNum>
  <w:abstractNum w:abstractNumId="23" w15:restartNumberingAfterBreak="0">
    <w:nsid w:val="646D7EAF"/>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5D7EC2"/>
    <w:multiLevelType w:val="hybridMultilevel"/>
    <w:tmpl w:val="4426B32E"/>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6C25FC"/>
    <w:multiLevelType w:val="hybridMultilevel"/>
    <w:tmpl w:val="FEDA9954"/>
    <w:lvl w:ilvl="0" w:tplc="069291EE">
      <w:start w:val="1"/>
      <w:numFmt w:val="lowerLetter"/>
      <w:lvlText w:val="(%1)"/>
      <w:lvlJc w:val="left"/>
      <w:pPr>
        <w:ind w:left="720" w:hanging="360"/>
      </w:pPr>
      <w:rPr>
        <w:rFonts w:asciiTheme="majorBidi" w:eastAsia="Times New Roman" w:hAnsiTheme="majorBidi" w:cstheme="maj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5D5521"/>
    <w:multiLevelType w:val="hybridMultilevel"/>
    <w:tmpl w:val="B2EEFAF2"/>
    <w:lvl w:ilvl="0" w:tplc="E738D59E">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1"/>
  </w:num>
  <w:num w:numId="2">
    <w:abstractNumId w:val="14"/>
  </w:num>
  <w:num w:numId="3">
    <w:abstractNumId w:val="12"/>
  </w:num>
  <w:num w:numId="4">
    <w:abstractNumId w:val="14"/>
  </w:num>
  <w:num w:numId="5">
    <w:abstractNumId w:val="13"/>
  </w:num>
  <w:num w:numId="6">
    <w:abstractNumId w:val="4"/>
  </w:num>
  <w:num w:numId="7">
    <w:abstractNumId w:val="8"/>
  </w:num>
  <w:num w:numId="8">
    <w:abstractNumId w:val="12"/>
    <w:lvlOverride w:ilvl="0">
      <w:startOverride w:val="1"/>
    </w:lvlOverride>
  </w:num>
  <w:num w:numId="9">
    <w:abstractNumId w:val="26"/>
  </w:num>
  <w:num w:numId="10">
    <w:abstractNumId w:val="12"/>
    <w:lvlOverride w:ilvl="0">
      <w:startOverride w:val="1"/>
    </w:lvlOverride>
  </w:num>
  <w:num w:numId="11">
    <w:abstractNumId w:val="12"/>
    <w:lvlOverride w:ilvl="0">
      <w:startOverride w:val="1"/>
    </w:lvlOverride>
  </w:num>
  <w:num w:numId="12">
    <w:abstractNumId w:val="12"/>
    <w:lvlOverride w:ilvl="0">
      <w:startOverride w:val="1"/>
    </w:lvlOverride>
  </w:num>
  <w:num w:numId="13">
    <w:abstractNumId w:val="12"/>
    <w:lvlOverride w:ilvl="0">
      <w:startOverride w:val="1"/>
    </w:lvlOverride>
  </w:num>
  <w:num w:numId="14">
    <w:abstractNumId w:val="20"/>
  </w:num>
  <w:num w:numId="15">
    <w:abstractNumId w:val="19"/>
  </w:num>
  <w:num w:numId="16">
    <w:abstractNumId w:val="5"/>
  </w:num>
  <w:num w:numId="17">
    <w:abstractNumId w:val="27"/>
  </w:num>
  <w:num w:numId="18">
    <w:abstractNumId w:val="29"/>
  </w:num>
  <w:num w:numId="19">
    <w:abstractNumId w:val="22"/>
    <w:lvlOverride w:ilvl="0">
      <w:startOverride w:val="1"/>
    </w:lvlOverride>
    <w:lvlOverride w:ilvl="1">
      <w:startOverride w:val="1"/>
    </w:lvlOverride>
    <w:lvlOverride w:ilvl="2">
      <w:startOverride w:val="1"/>
    </w:lvlOverride>
  </w:num>
  <w:num w:numId="20">
    <w:abstractNumId w:val="22"/>
  </w:num>
  <w:num w:numId="21">
    <w:abstractNumId w:val="22"/>
  </w:num>
  <w:num w:numId="22">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15"/>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28"/>
  </w:num>
  <w:num w:numId="34">
    <w:abstractNumId w:val="0"/>
  </w:num>
  <w:num w:numId="35">
    <w:abstractNumId w:val="16"/>
  </w:num>
  <w:num w:numId="36">
    <w:abstractNumId w:val="3"/>
  </w:num>
  <w:num w:numId="37">
    <w:abstractNumId w:val="7"/>
  </w:num>
  <w:num w:numId="38">
    <w:abstractNumId w:val="24"/>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21"/>
  </w:num>
  <w:num w:numId="42">
    <w:abstractNumId w:val="9"/>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removePersonalInformation/>
  <w:removeDateAndTime/>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126C"/>
    <w:rsid w:val="00001305"/>
    <w:rsid w:val="0000296B"/>
    <w:rsid w:val="00002BAD"/>
    <w:rsid w:val="000037C4"/>
    <w:rsid w:val="00004584"/>
    <w:rsid w:val="00006D47"/>
    <w:rsid w:val="00006E4F"/>
    <w:rsid w:val="00010FE8"/>
    <w:rsid w:val="00011BF4"/>
    <w:rsid w:val="000127D7"/>
    <w:rsid w:val="00014B2D"/>
    <w:rsid w:val="00015D93"/>
    <w:rsid w:val="000176FD"/>
    <w:rsid w:val="00017CF9"/>
    <w:rsid w:val="00020B77"/>
    <w:rsid w:val="00020D56"/>
    <w:rsid w:val="00025214"/>
    <w:rsid w:val="00025EE6"/>
    <w:rsid w:val="00026BD0"/>
    <w:rsid w:val="0002734E"/>
    <w:rsid w:val="00030969"/>
    <w:rsid w:val="00031B78"/>
    <w:rsid w:val="00037C10"/>
    <w:rsid w:val="00041CFD"/>
    <w:rsid w:val="0004412C"/>
    <w:rsid w:val="0004487C"/>
    <w:rsid w:val="000455AA"/>
    <w:rsid w:val="00045B23"/>
    <w:rsid w:val="00046CF6"/>
    <w:rsid w:val="00051268"/>
    <w:rsid w:val="00054BA5"/>
    <w:rsid w:val="0005550C"/>
    <w:rsid w:val="00056FA9"/>
    <w:rsid w:val="000654A2"/>
    <w:rsid w:val="00067369"/>
    <w:rsid w:val="0006786C"/>
    <w:rsid w:val="0007171B"/>
    <w:rsid w:val="000735C6"/>
    <w:rsid w:val="00080354"/>
    <w:rsid w:val="00080A7A"/>
    <w:rsid w:val="000814BE"/>
    <w:rsid w:val="00082188"/>
    <w:rsid w:val="00082F78"/>
    <w:rsid w:val="00085FB4"/>
    <w:rsid w:val="000921FE"/>
    <w:rsid w:val="000927CF"/>
    <w:rsid w:val="00092971"/>
    <w:rsid w:val="000935C2"/>
    <w:rsid w:val="000954AB"/>
    <w:rsid w:val="00095E1D"/>
    <w:rsid w:val="00096859"/>
    <w:rsid w:val="00097273"/>
    <w:rsid w:val="0009729E"/>
    <w:rsid w:val="00097C19"/>
    <w:rsid w:val="000A03B9"/>
    <w:rsid w:val="000A06C2"/>
    <w:rsid w:val="000A2175"/>
    <w:rsid w:val="000A2897"/>
    <w:rsid w:val="000A2E96"/>
    <w:rsid w:val="000A6C61"/>
    <w:rsid w:val="000B0805"/>
    <w:rsid w:val="000B1F31"/>
    <w:rsid w:val="000B3BF1"/>
    <w:rsid w:val="000B67A5"/>
    <w:rsid w:val="000B7ABE"/>
    <w:rsid w:val="000C02F7"/>
    <w:rsid w:val="000C0EB7"/>
    <w:rsid w:val="000C0F70"/>
    <w:rsid w:val="000C19B0"/>
    <w:rsid w:val="000C1C09"/>
    <w:rsid w:val="000C3EE9"/>
    <w:rsid w:val="000C5796"/>
    <w:rsid w:val="000C7188"/>
    <w:rsid w:val="000D0863"/>
    <w:rsid w:val="000D2441"/>
    <w:rsid w:val="000D3319"/>
    <w:rsid w:val="000D3568"/>
    <w:rsid w:val="000D3660"/>
    <w:rsid w:val="000D53B2"/>
    <w:rsid w:val="000D6A86"/>
    <w:rsid w:val="000D7F8C"/>
    <w:rsid w:val="000E07BF"/>
    <w:rsid w:val="000E4E02"/>
    <w:rsid w:val="000E5900"/>
    <w:rsid w:val="000E5D43"/>
    <w:rsid w:val="000E64F8"/>
    <w:rsid w:val="000E673A"/>
    <w:rsid w:val="000E7DCA"/>
    <w:rsid w:val="000F0C8D"/>
    <w:rsid w:val="000F1571"/>
    <w:rsid w:val="000F46CF"/>
    <w:rsid w:val="000F74F5"/>
    <w:rsid w:val="001014C2"/>
    <w:rsid w:val="00101F0B"/>
    <w:rsid w:val="00102D00"/>
    <w:rsid w:val="00103C86"/>
    <w:rsid w:val="0010438A"/>
    <w:rsid w:val="0010470E"/>
    <w:rsid w:val="00105372"/>
    <w:rsid w:val="0010669D"/>
    <w:rsid w:val="00106D24"/>
    <w:rsid w:val="00107D96"/>
    <w:rsid w:val="00110094"/>
    <w:rsid w:val="00110358"/>
    <w:rsid w:val="001127E8"/>
    <w:rsid w:val="00112F45"/>
    <w:rsid w:val="00113E77"/>
    <w:rsid w:val="00120533"/>
    <w:rsid w:val="00121D74"/>
    <w:rsid w:val="001227F1"/>
    <w:rsid w:val="00122D6F"/>
    <w:rsid w:val="00123765"/>
    <w:rsid w:val="001244FA"/>
    <w:rsid w:val="00127706"/>
    <w:rsid w:val="001312AD"/>
    <w:rsid w:val="001318DD"/>
    <w:rsid w:val="00131E7A"/>
    <w:rsid w:val="0013356A"/>
    <w:rsid w:val="00134846"/>
    <w:rsid w:val="00135C09"/>
    <w:rsid w:val="0014172A"/>
    <w:rsid w:val="00142052"/>
    <w:rsid w:val="00142423"/>
    <w:rsid w:val="001424BF"/>
    <w:rsid w:val="00142DB4"/>
    <w:rsid w:val="00143CB9"/>
    <w:rsid w:val="00143EE5"/>
    <w:rsid w:val="00144E68"/>
    <w:rsid w:val="0014691A"/>
    <w:rsid w:val="0014770D"/>
    <w:rsid w:val="00154839"/>
    <w:rsid w:val="0015612D"/>
    <w:rsid w:val="00156C1C"/>
    <w:rsid w:val="0015739F"/>
    <w:rsid w:val="00157D17"/>
    <w:rsid w:val="001600A2"/>
    <w:rsid w:val="001605BC"/>
    <w:rsid w:val="001605D7"/>
    <w:rsid w:val="00160E08"/>
    <w:rsid w:val="001615C7"/>
    <w:rsid w:val="001617EB"/>
    <w:rsid w:val="00161807"/>
    <w:rsid w:val="001631A9"/>
    <w:rsid w:val="00164F1D"/>
    <w:rsid w:val="00167E9C"/>
    <w:rsid w:val="00172AF6"/>
    <w:rsid w:val="001749B6"/>
    <w:rsid w:val="00175765"/>
    <w:rsid w:val="001761E2"/>
    <w:rsid w:val="00176838"/>
    <w:rsid w:val="00176CEE"/>
    <w:rsid w:val="00177EA9"/>
    <w:rsid w:val="001814D8"/>
    <w:rsid w:val="00181AE9"/>
    <w:rsid w:val="00184442"/>
    <w:rsid w:val="00184DB7"/>
    <w:rsid w:val="001850EC"/>
    <w:rsid w:val="0018555F"/>
    <w:rsid w:val="001867BB"/>
    <w:rsid w:val="00186DD8"/>
    <w:rsid w:val="001870C6"/>
    <w:rsid w:val="00192478"/>
    <w:rsid w:val="00192541"/>
    <w:rsid w:val="001949E9"/>
    <w:rsid w:val="00196232"/>
    <w:rsid w:val="001A0D3F"/>
    <w:rsid w:val="001A14EB"/>
    <w:rsid w:val="001A5E0D"/>
    <w:rsid w:val="001A77EF"/>
    <w:rsid w:val="001B0221"/>
    <w:rsid w:val="001B0F28"/>
    <w:rsid w:val="001B13FE"/>
    <w:rsid w:val="001B2417"/>
    <w:rsid w:val="001B2BA6"/>
    <w:rsid w:val="001B2D36"/>
    <w:rsid w:val="001B36EC"/>
    <w:rsid w:val="001B3ED7"/>
    <w:rsid w:val="001B4EE1"/>
    <w:rsid w:val="001C0C36"/>
    <w:rsid w:val="001C18A6"/>
    <w:rsid w:val="001C27D5"/>
    <w:rsid w:val="001C2B6F"/>
    <w:rsid w:val="001C326A"/>
    <w:rsid w:val="001C32A3"/>
    <w:rsid w:val="001C45D3"/>
    <w:rsid w:val="001C6079"/>
    <w:rsid w:val="001D11B6"/>
    <w:rsid w:val="001D2E2A"/>
    <w:rsid w:val="001D4FE1"/>
    <w:rsid w:val="001D6EAA"/>
    <w:rsid w:val="001D6FBD"/>
    <w:rsid w:val="001D75DC"/>
    <w:rsid w:val="001E01C7"/>
    <w:rsid w:val="001E195A"/>
    <w:rsid w:val="001E1ACD"/>
    <w:rsid w:val="001E3E77"/>
    <w:rsid w:val="001E4B07"/>
    <w:rsid w:val="001E54A6"/>
    <w:rsid w:val="001E7AF2"/>
    <w:rsid w:val="001F0A8A"/>
    <w:rsid w:val="001F12CF"/>
    <w:rsid w:val="001F130C"/>
    <w:rsid w:val="001F1FC0"/>
    <w:rsid w:val="001F2B81"/>
    <w:rsid w:val="001F772B"/>
    <w:rsid w:val="00200E8D"/>
    <w:rsid w:val="00201589"/>
    <w:rsid w:val="00204856"/>
    <w:rsid w:val="00205D80"/>
    <w:rsid w:val="00206A52"/>
    <w:rsid w:val="00211E79"/>
    <w:rsid w:val="00212E25"/>
    <w:rsid w:val="002141DA"/>
    <w:rsid w:val="002142CC"/>
    <w:rsid w:val="00214BF9"/>
    <w:rsid w:val="00220268"/>
    <w:rsid w:val="00221432"/>
    <w:rsid w:val="00226F00"/>
    <w:rsid w:val="00227B39"/>
    <w:rsid w:val="002301DA"/>
    <w:rsid w:val="00231494"/>
    <w:rsid w:val="00231AC0"/>
    <w:rsid w:val="00233EB0"/>
    <w:rsid w:val="00240AEE"/>
    <w:rsid w:val="00246A53"/>
    <w:rsid w:val="00247810"/>
    <w:rsid w:val="00250071"/>
    <w:rsid w:val="00251296"/>
    <w:rsid w:val="002518B1"/>
    <w:rsid w:val="00251BC8"/>
    <w:rsid w:val="00252935"/>
    <w:rsid w:val="0025441C"/>
    <w:rsid w:val="00254F05"/>
    <w:rsid w:val="0025508D"/>
    <w:rsid w:val="00256649"/>
    <w:rsid w:val="00257770"/>
    <w:rsid w:val="00257D53"/>
    <w:rsid w:val="00261165"/>
    <w:rsid w:val="00264A71"/>
    <w:rsid w:val="00264C3A"/>
    <w:rsid w:val="00265106"/>
    <w:rsid w:val="00265B49"/>
    <w:rsid w:val="00266F04"/>
    <w:rsid w:val="00280564"/>
    <w:rsid w:val="002809EA"/>
    <w:rsid w:val="00281772"/>
    <w:rsid w:val="00282356"/>
    <w:rsid w:val="0028367B"/>
    <w:rsid w:val="002839C9"/>
    <w:rsid w:val="00285CDD"/>
    <w:rsid w:val="002901D8"/>
    <w:rsid w:val="0029069C"/>
    <w:rsid w:val="00292011"/>
    <w:rsid w:val="00294783"/>
    <w:rsid w:val="002949B3"/>
    <w:rsid w:val="00295020"/>
    <w:rsid w:val="00295EAE"/>
    <w:rsid w:val="00295F61"/>
    <w:rsid w:val="00296749"/>
    <w:rsid w:val="002977F7"/>
    <w:rsid w:val="002A06EE"/>
    <w:rsid w:val="002A0823"/>
    <w:rsid w:val="002A17FC"/>
    <w:rsid w:val="002A3F88"/>
    <w:rsid w:val="002A441C"/>
    <w:rsid w:val="002A701D"/>
    <w:rsid w:val="002B0FE0"/>
    <w:rsid w:val="002B16C1"/>
    <w:rsid w:val="002B1E4A"/>
    <w:rsid w:val="002C044A"/>
    <w:rsid w:val="002C303F"/>
    <w:rsid w:val="002C3049"/>
    <w:rsid w:val="002C5784"/>
    <w:rsid w:val="002C6649"/>
    <w:rsid w:val="002C6BBB"/>
    <w:rsid w:val="002C7C3F"/>
    <w:rsid w:val="002D041A"/>
    <w:rsid w:val="002D096C"/>
    <w:rsid w:val="002D28C6"/>
    <w:rsid w:val="002D35B3"/>
    <w:rsid w:val="002D3D84"/>
    <w:rsid w:val="002D433E"/>
    <w:rsid w:val="002D45BF"/>
    <w:rsid w:val="002D5CFF"/>
    <w:rsid w:val="002D643D"/>
    <w:rsid w:val="002E23BF"/>
    <w:rsid w:val="002E2916"/>
    <w:rsid w:val="002E2D1B"/>
    <w:rsid w:val="002E376B"/>
    <w:rsid w:val="002E4E4C"/>
    <w:rsid w:val="002E5B29"/>
    <w:rsid w:val="002F3FD3"/>
    <w:rsid w:val="002F6006"/>
    <w:rsid w:val="002F7C9C"/>
    <w:rsid w:val="00300524"/>
    <w:rsid w:val="00300F4B"/>
    <w:rsid w:val="0030169D"/>
    <w:rsid w:val="003019DC"/>
    <w:rsid w:val="00301CB6"/>
    <w:rsid w:val="00301EF0"/>
    <w:rsid w:val="00302953"/>
    <w:rsid w:val="00302CD2"/>
    <w:rsid w:val="00303E7C"/>
    <w:rsid w:val="00304795"/>
    <w:rsid w:val="00304F22"/>
    <w:rsid w:val="003051B3"/>
    <w:rsid w:val="00305E8D"/>
    <w:rsid w:val="003060EB"/>
    <w:rsid w:val="003065BD"/>
    <w:rsid w:val="00310B05"/>
    <w:rsid w:val="00311741"/>
    <w:rsid w:val="003119EF"/>
    <w:rsid w:val="00311C9B"/>
    <w:rsid w:val="00313996"/>
    <w:rsid w:val="00314AB1"/>
    <w:rsid w:val="003153EB"/>
    <w:rsid w:val="00315A97"/>
    <w:rsid w:val="00316FF4"/>
    <w:rsid w:val="003179A1"/>
    <w:rsid w:val="00317CB8"/>
    <w:rsid w:val="00317D13"/>
    <w:rsid w:val="0032036A"/>
    <w:rsid w:val="00320379"/>
    <w:rsid w:val="00321985"/>
    <w:rsid w:val="003259E6"/>
    <w:rsid w:val="003262B9"/>
    <w:rsid w:val="003274C0"/>
    <w:rsid w:val="003318E9"/>
    <w:rsid w:val="00331A61"/>
    <w:rsid w:val="0033387D"/>
    <w:rsid w:val="0033609A"/>
    <w:rsid w:val="003366D2"/>
    <w:rsid w:val="00336DBB"/>
    <w:rsid w:val="0034225F"/>
    <w:rsid w:val="00344327"/>
    <w:rsid w:val="0034780A"/>
    <w:rsid w:val="00350821"/>
    <w:rsid w:val="00351205"/>
    <w:rsid w:val="00351875"/>
    <w:rsid w:val="003541AD"/>
    <w:rsid w:val="00354668"/>
    <w:rsid w:val="00355AED"/>
    <w:rsid w:val="0035699C"/>
    <w:rsid w:val="00357248"/>
    <w:rsid w:val="003607F3"/>
    <w:rsid w:val="00360959"/>
    <w:rsid w:val="00361270"/>
    <w:rsid w:val="003616AD"/>
    <w:rsid w:val="00365A57"/>
    <w:rsid w:val="003660CD"/>
    <w:rsid w:val="003677F9"/>
    <w:rsid w:val="00372846"/>
    <w:rsid w:val="00372F55"/>
    <w:rsid w:val="00372F74"/>
    <w:rsid w:val="00373BA2"/>
    <w:rsid w:val="003743D0"/>
    <w:rsid w:val="003744D1"/>
    <w:rsid w:val="0037732D"/>
    <w:rsid w:val="003806F1"/>
    <w:rsid w:val="00380B8E"/>
    <w:rsid w:val="00381840"/>
    <w:rsid w:val="00382D7C"/>
    <w:rsid w:val="0038313E"/>
    <w:rsid w:val="0038397E"/>
    <w:rsid w:val="00385F13"/>
    <w:rsid w:val="003864F7"/>
    <w:rsid w:val="0038664D"/>
    <w:rsid w:val="00387409"/>
    <w:rsid w:val="00387502"/>
    <w:rsid w:val="00387C7D"/>
    <w:rsid w:val="00390B0A"/>
    <w:rsid w:val="00392534"/>
    <w:rsid w:val="00392CD7"/>
    <w:rsid w:val="00393383"/>
    <w:rsid w:val="00393F0C"/>
    <w:rsid w:val="00396826"/>
    <w:rsid w:val="003A0B6D"/>
    <w:rsid w:val="003A0CC2"/>
    <w:rsid w:val="003A0DE8"/>
    <w:rsid w:val="003A6DCF"/>
    <w:rsid w:val="003A70DE"/>
    <w:rsid w:val="003A7262"/>
    <w:rsid w:val="003B0C2F"/>
    <w:rsid w:val="003B44F9"/>
    <w:rsid w:val="003B4504"/>
    <w:rsid w:val="003B49B7"/>
    <w:rsid w:val="003B5339"/>
    <w:rsid w:val="003B59E7"/>
    <w:rsid w:val="003B7A2C"/>
    <w:rsid w:val="003B7C04"/>
    <w:rsid w:val="003C0645"/>
    <w:rsid w:val="003C08EE"/>
    <w:rsid w:val="003C09FA"/>
    <w:rsid w:val="003C1543"/>
    <w:rsid w:val="003C2B7A"/>
    <w:rsid w:val="003C31B5"/>
    <w:rsid w:val="003D16F4"/>
    <w:rsid w:val="003D1AB7"/>
    <w:rsid w:val="003D3609"/>
    <w:rsid w:val="003D5516"/>
    <w:rsid w:val="003E0282"/>
    <w:rsid w:val="003E04B8"/>
    <w:rsid w:val="003E3AE3"/>
    <w:rsid w:val="003E3D67"/>
    <w:rsid w:val="003E5301"/>
    <w:rsid w:val="003E54D8"/>
    <w:rsid w:val="003E666E"/>
    <w:rsid w:val="003E69D9"/>
    <w:rsid w:val="003E7CE4"/>
    <w:rsid w:val="003E7D82"/>
    <w:rsid w:val="003F264D"/>
    <w:rsid w:val="003F393A"/>
    <w:rsid w:val="003F3D55"/>
    <w:rsid w:val="003F411A"/>
    <w:rsid w:val="003F581B"/>
    <w:rsid w:val="003F612F"/>
    <w:rsid w:val="003F6F74"/>
    <w:rsid w:val="003F7224"/>
    <w:rsid w:val="003F742C"/>
    <w:rsid w:val="003F7ABC"/>
    <w:rsid w:val="004003AE"/>
    <w:rsid w:val="00402565"/>
    <w:rsid w:val="0040290E"/>
    <w:rsid w:val="004044AE"/>
    <w:rsid w:val="00411137"/>
    <w:rsid w:val="00411E55"/>
    <w:rsid w:val="0041329A"/>
    <w:rsid w:val="0041576B"/>
    <w:rsid w:val="00415B28"/>
    <w:rsid w:val="0041623B"/>
    <w:rsid w:val="00417435"/>
    <w:rsid w:val="00420210"/>
    <w:rsid w:val="004211DC"/>
    <w:rsid w:val="00421881"/>
    <w:rsid w:val="00421997"/>
    <w:rsid w:val="004245BB"/>
    <w:rsid w:val="00426D92"/>
    <w:rsid w:val="00427D21"/>
    <w:rsid w:val="00434F5D"/>
    <w:rsid w:val="004366D3"/>
    <w:rsid w:val="0043707D"/>
    <w:rsid w:val="00437EB0"/>
    <w:rsid w:val="004423E1"/>
    <w:rsid w:val="00442714"/>
    <w:rsid w:val="00442C94"/>
    <w:rsid w:val="00442F09"/>
    <w:rsid w:val="004440CB"/>
    <w:rsid w:val="0044436A"/>
    <w:rsid w:val="00447124"/>
    <w:rsid w:val="004471D2"/>
    <w:rsid w:val="00447AE6"/>
    <w:rsid w:val="00450881"/>
    <w:rsid w:val="00451CD4"/>
    <w:rsid w:val="0045358C"/>
    <w:rsid w:val="004559BE"/>
    <w:rsid w:val="00456380"/>
    <w:rsid w:val="004572BA"/>
    <w:rsid w:val="004608CC"/>
    <w:rsid w:val="004608DF"/>
    <w:rsid w:val="0046261F"/>
    <w:rsid w:val="00462F28"/>
    <w:rsid w:val="004644C2"/>
    <w:rsid w:val="004670AA"/>
    <w:rsid w:val="0046760A"/>
    <w:rsid w:val="00467F9C"/>
    <w:rsid w:val="00471C5B"/>
    <w:rsid w:val="00471F26"/>
    <w:rsid w:val="00475718"/>
    <w:rsid w:val="00475A41"/>
    <w:rsid w:val="00477270"/>
    <w:rsid w:val="00477F27"/>
    <w:rsid w:val="0048156B"/>
    <w:rsid w:val="004928C3"/>
    <w:rsid w:val="004A12EB"/>
    <w:rsid w:val="004A1ADD"/>
    <w:rsid w:val="004A202D"/>
    <w:rsid w:val="004A3D84"/>
    <w:rsid w:val="004A632A"/>
    <w:rsid w:val="004B1BB7"/>
    <w:rsid w:val="004B3A5F"/>
    <w:rsid w:val="004B4CE8"/>
    <w:rsid w:val="004B4D67"/>
    <w:rsid w:val="004B5647"/>
    <w:rsid w:val="004B66D0"/>
    <w:rsid w:val="004C0DAC"/>
    <w:rsid w:val="004C37CE"/>
    <w:rsid w:val="004C478A"/>
    <w:rsid w:val="004C5B17"/>
    <w:rsid w:val="004C6DE0"/>
    <w:rsid w:val="004C7211"/>
    <w:rsid w:val="004C7DC2"/>
    <w:rsid w:val="004D13C9"/>
    <w:rsid w:val="004D1450"/>
    <w:rsid w:val="004D2815"/>
    <w:rsid w:val="004D386F"/>
    <w:rsid w:val="004D7231"/>
    <w:rsid w:val="004D73F6"/>
    <w:rsid w:val="004D790E"/>
    <w:rsid w:val="004D7D08"/>
    <w:rsid w:val="004E0233"/>
    <w:rsid w:val="004E0B8D"/>
    <w:rsid w:val="004E3DB0"/>
    <w:rsid w:val="004E4620"/>
    <w:rsid w:val="004E59C0"/>
    <w:rsid w:val="004F129F"/>
    <w:rsid w:val="004F16E7"/>
    <w:rsid w:val="004F3A42"/>
    <w:rsid w:val="004F4B47"/>
    <w:rsid w:val="004F5513"/>
    <w:rsid w:val="004F68DD"/>
    <w:rsid w:val="004F6914"/>
    <w:rsid w:val="004F70A8"/>
    <w:rsid w:val="00501C81"/>
    <w:rsid w:val="00503C9B"/>
    <w:rsid w:val="00507B89"/>
    <w:rsid w:val="00514387"/>
    <w:rsid w:val="00514C15"/>
    <w:rsid w:val="00516F61"/>
    <w:rsid w:val="0052286D"/>
    <w:rsid w:val="0052368A"/>
    <w:rsid w:val="00524C27"/>
    <w:rsid w:val="005264F8"/>
    <w:rsid w:val="00527AC7"/>
    <w:rsid w:val="005301D0"/>
    <w:rsid w:val="00530E1E"/>
    <w:rsid w:val="0053139E"/>
    <w:rsid w:val="00534681"/>
    <w:rsid w:val="00535DFC"/>
    <w:rsid w:val="00535FF5"/>
    <w:rsid w:val="005366CB"/>
    <w:rsid w:val="00537AE3"/>
    <w:rsid w:val="00540496"/>
    <w:rsid w:val="0054114E"/>
    <w:rsid w:val="0054429B"/>
    <w:rsid w:val="00546A5B"/>
    <w:rsid w:val="00546C1D"/>
    <w:rsid w:val="00546CC2"/>
    <w:rsid w:val="00547135"/>
    <w:rsid w:val="00547207"/>
    <w:rsid w:val="0054779C"/>
    <w:rsid w:val="00547BEA"/>
    <w:rsid w:val="005501D6"/>
    <w:rsid w:val="0055227A"/>
    <w:rsid w:val="00552F66"/>
    <w:rsid w:val="00554206"/>
    <w:rsid w:val="00555238"/>
    <w:rsid w:val="005556A5"/>
    <w:rsid w:val="00555C32"/>
    <w:rsid w:val="005600AC"/>
    <w:rsid w:val="005601BE"/>
    <w:rsid w:val="00562B2C"/>
    <w:rsid w:val="0056328A"/>
    <w:rsid w:val="00563442"/>
    <w:rsid w:val="00563672"/>
    <w:rsid w:val="00565B42"/>
    <w:rsid w:val="00565FB5"/>
    <w:rsid w:val="00566507"/>
    <w:rsid w:val="005703A9"/>
    <w:rsid w:val="00571244"/>
    <w:rsid w:val="005719F3"/>
    <w:rsid w:val="00571DB7"/>
    <w:rsid w:val="00573D1D"/>
    <w:rsid w:val="00580B6E"/>
    <w:rsid w:val="00584A6C"/>
    <w:rsid w:val="00586637"/>
    <w:rsid w:val="005910FD"/>
    <w:rsid w:val="005940DB"/>
    <w:rsid w:val="00594F0F"/>
    <w:rsid w:val="005957E3"/>
    <w:rsid w:val="005975ED"/>
    <w:rsid w:val="00597E6C"/>
    <w:rsid w:val="005A07CA"/>
    <w:rsid w:val="005A0988"/>
    <w:rsid w:val="005A107A"/>
    <w:rsid w:val="005A177C"/>
    <w:rsid w:val="005A1D2E"/>
    <w:rsid w:val="005A2CA5"/>
    <w:rsid w:val="005A7363"/>
    <w:rsid w:val="005A7C3C"/>
    <w:rsid w:val="005A7C3E"/>
    <w:rsid w:val="005A7E00"/>
    <w:rsid w:val="005A7FC6"/>
    <w:rsid w:val="005B0AF6"/>
    <w:rsid w:val="005B35EB"/>
    <w:rsid w:val="005B4401"/>
    <w:rsid w:val="005B5728"/>
    <w:rsid w:val="005B7258"/>
    <w:rsid w:val="005C058B"/>
    <w:rsid w:val="005C1FD4"/>
    <w:rsid w:val="005C34B1"/>
    <w:rsid w:val="005C3A5A"/>
    <w:rsid w:val="005C4CE6"/>
    <w:rsid w:val="005C684E"/>
    <w:rsid w:val="005D3014"/>
    <w:rsid w:val="005D45D9"/>
    <w:rsid w:val="005D4BD3"/>
    <w:rsid w:val="005D4C81"/>
    <w:rsid w:val="005D6EB7"/>
    <w:rsid w:val="005E0ED2"/>
    <w:rsid w:val="005E2C07"/>
    <w:rsid w:val="005E30AD"/>
    <w:rsid w:val="005E3D69"/>
    <w:rsid w:val="005E4CFE"/>
    <w:rsid w:val="005F2933"/>
    <w:rsid w:val="005F4FC6"/>
    <w:rsid w:val="005F56AE"/>
    <w:rsid w:val="005F7AF3"/>
    <w:rsid w:val="00602098"/>
    <w:rsid w:val="00602115"/>
    <w:rsid w:val="00602495"/>
    <w:rsid w:val="006039FB"/>
    <w:rsid w:val="00603FF3"/>
    <w:rsid w:val="00604C67"/>
    <w:rsid w:val="006054BB"/>
    <w:rsid w:val="0060697D"/>
    <w:rsid w:val="00607055"/>
    <w:rsid w:val="006122BA"/>
    <w:rsid w:val="0061275F"/>
    <w:rsid w:val="00613496"/>
    <w:rsid w:val="00615288"/>
    <w:rsid w:val="006157F9"/>
    <w:rsid w:val="006179E6"/>
    <w:rsid w:val="00620877"/>
    <w:rsid w:val="00620FDE"/>
    <w:rsid w:val="00621EA1"/>
    <w:rsid w:val="006239F2"/>
    <w:rsid w:val="00627DEB"/>
    <w:rsid w:val="006312EF"/>
    <w:rsid w:val="00632C11"/>
    <w:rsid w:val="00632E72"/>
    <w:rsid w:val="00633828"/>
    <w:rsid w:val="00633BA2"/>
    <w:rsid w:val="00637078"/>
    <w:rsid w:val="00637757"/>
    <w:rsid w:val="00640937"/>
    <w:rsid w:val="006412B3"/>
    <w:rsid w:val="00641CF8"/>
    <w:rsid w:val="00642EA7"/>
    <w:rsid w:val="00646638"/>
    <w:rsid w:val="0065034B"/>
    <w:rsid w:val="00650665"/>
    <w:rsid w:val="00651927"/>
    <w:rsid w:val="00651A27"/>
    <w:rsid w:val="0065263A"/>
    <w:rsid w:val="006578C5"/>
    <w:rsid w:val="00661094"/>
    <w:rsid w:val="00661755"/>
    <w:rsid w:val="006622B4"/>
    <w:rsid w:val="00662AA2"/>
    <w:rsid w:val="00663606"/>
    <w:rsid w:val="00664A9F"/>
    <w:rsid w:val="006654C6"/>
    <w:rsid w:val="00666B21"/>
    <w:rsid w:val="00666F2F"/>
    <w:rsid w:val="00667382"/>
    <w:rsid w:val="00667C38"/>
    <w:rsid w:val="00667F41"/>
    <w:rsid w:val="00671160"/>
    <w:rsid w:val="00671C6D"/>
    <w:rsid w:val="006720BF"/>
    <w:rsid w:val="006739D0"/>
    <w:rsid w:val="00676129"/>
    <w:rsid w:val="0068012A"/>
    <w:rsid w:val="00680DFC"/>
    <w:rsid w:val="0068290C"/>
    <w:rsid w:val="00682EBC"/>
    <w:rsid w:val="00683C43"/>
    <w:rsid w:val="00684665"/>
    <w:rsid w:val="00685244"/>
    <w:rsid w:val="00685C13"/>
    <w:rsid w:val="00690988"/>
    <w:rsid w:val="00690DBC"/>
    <w:rsid w:val="006930D4"/>
    <w:rsid w:val="006943AE"/>
    <w:rsid w:val="00694DB6"/>
    <w:rsid w:val="0069525C"/>
    <w:rsid w:val="0069571F"/>
    <w:rsid w:val="0069603A"/>
    <w:rsid w:val="0069760B"/>
    <w:rsid w:val="00697C81"/>
    <w:rsid w:val="006A0AF6"/>
    <w:rsid w:val="006A0E5B"/>
    <w:rsid w:val="006A170B"/>
    <w:rsid w:val="006A1943"/>
    <w:rsid w:val="006A393F"/>
    <w:rsid w:val="006A6251"/>
    <w:rsid w:val="006B197C"/>
    <w:rsid w:val="006B1FB4"/>
    <w:rsid w:val="006B21B9"/>
    <w:rsid w:val="006B2290"/>
    <w:rsid w:val="006B3178"/>
    <w:rsid w:val="006B4A0C"/>
    <w:rsid w:val="006B5CAB"/>
    <w:rsid w:val="006B684D"/>
    <w:rsid w:val="006B6A2D"/>
    <w:rsid w:val="006B76A8"/>
    <w:rsid w:val="006B7F14"/>
    <w:rsid w:val="006C01A8"/>
    <w:rsid w:val="006C16C8"/>
    <w:rsid w:val="006C1F1A"/>
    <w:rsid w:val="006C777B"/>
    <w:rsid w:val="006C7F56"/>
    <w:rsid w:val="006D136E"/>
    <w:rsid w:val="006D22E6"/>
    <w:rsid w:val="006D2A57"/>
    <w:rsid w:val="006D2FAF"/>
    <w:rsid w:val="006D34C8"/>
    <w:rsid w:val="006D36EA"/>
    <w:rsid w:val="006D44FF"/>
    <w:rsid w:val="006D590C"/>
    <w:rsid w:val="006D63E5"/>
    <w:rsid w:val="006D6CE1"/>
    <w:rsid w:val="006E18EC"/>
    <w:rsid w:val="006E3A75"/>
    <w:rsid w:val="006E3CDD"/>
    <w:rsid w:val="006E5688"/>
    <w:rsid w:val="006E5A71"/>
    <w:rsid w:val="006E6304"/>
    <w:rsid w:val="006E743F"/>
    <w:rsid w:val="006F3B7E"/>
    <w:rsid w:val="006F3F07"/>
    <w:rsid w:val="006F4123"/>
    <w:rsid w:val="006F57D7"/>
    <w:rsid w:val="006F6AF2"/>
    <w:rsid w:val="006F6FA2"/>
    <w:rsid w:val="006F7AA2"/>
    <w:rsid w:val="006F7F5D"/>
    <w:rsid w:val="00700096"/>
    <w:rsid w:val="00700F04"/>
    <w:rsid w:val="00701028"/>
    <w:rsid w:val="00703A10"/>
    <w:rsid w:val="00705AA8"/>
    <w:rsid w:val="00705C3D"/>
    <w:rsid w:val="00706339"/>
    <w:rsid w:val="00707AC2"/>
    <w:rsid w:val="00710269"/>
    <w:rsid w:val="00710A13"/>
    <w:rsid w:val="00710FAE"/>
    <w:rsid w:val="00711B3E"/>
    <w:rsid w:val="0071202E"/>
    <w:rsid w:val="007130D3"/>
    <w:rsid w:val="007137CD"/>
    <w:rsid w:val="007147E2"/>
    <w:rsid w:val="00717D88"/>
    <w:rsid w:val="00720771"/>
    <w:rsid w:val="00720E75"/>
    <w:rsid w:val="00722C3B"/>
    <w:rsid w:val="00724DDF"/>
    <w:rsid w:val="00725E29"/>
    <w:rsid w:val="0073048B"/>
    <w:rsid w:val="00732E9E"/>
    <w:rsid w:val="00733FC4"/>
    <w:rsid w:val="00735756"/>
    <w:rsid w:val="00736A73"/>
    <w:rsid w:val="0073799D"/>
    <w:rsid w:val="007400AA"/>
    <w:rsid w:val="00740795"/>
    <w:rsid w:val="0074092C"/>
    <w:rsid w:val="00741B00"/>
    <w:rsid w:val="007429C1"/>
    <w:rsid w:val="00743CD3"/>
    <w:rsid w:val="00745B42"/>
    <w:rsid w:val="00747098"/>
    <w:rsid w:val="00752F13"/>
    <w:rsid w:val="00754202"/>
    <w:rsid w:val="00755215"/>
    <w:rsid w:val="00755DEE"/>
    <w:rsid w:val="007600A1"/>
    <w:rsid w:val="00761E13"/>
    <w:rsid w:val="007629C1"/>
    <w:rsid w:val="00764597"/>
    <w:rsid w:val="00770FA9"/>
    <w:rsid w:val="00772B87"/>
    <w:rsid w:val="0077351F"/>
    <w:rsid w:val="00773F9A"/>
    <w:rsid w:val="00775A1C"/>
    <w:rsid w:val="00781C23"/>
    <w:rsid w:val="00782B96"/>
    <w:rsid w:val="0078442C"/>
    <w:rsid w:val="00785F32"/>
    <w:rsid w:val="00786056"/>
    <w:rsid w:val="00786958"/>
    <w:rsid w:val="0079171C"/>
    <w:rsid w:val="00791BAF"/>
    <w:rsid w:val="0079266A"/>
    <w:rsid w:val="007933A1"/>
    <w:rsid w:val="007942D3"/>
    <w:rsid w:val="00795C00"/>
    <w:rsid w:val="007967EA"/>
    <w:rsid w:val="00797307"/>
    <w:rsid w:val="007A00EF"/>
    <w:rsid w:val="007A01A7"/>
    <w:rsid w:val="007A185D"/>
    <w:rsid w:val="007A21AD"/>
    <w:rsid w:val="007A2BB2"/>
    <w:rsid w:val="007A3FEE"/>
    <w:rsid w:val="007A4ABD"/>
    <w:rsid w:val="007A5297"/>
    <w:rsid w:val="007A69F0"/>
    <w:rsid w:val="007A707F"/>
    <w:rsid w:val="007B00CD"/>
    <w:rsid w:val="007B0623"/>
    <w:rsid w:val="007B1ECB"/>
    <w:rsid w:val="007B2099"/>
    <w:rsid w:val="007B2531"/>
    <w:rsid w:val="007B341C"/>
    <w:rsid w:val="007B42F3"/>
    <w:rsid w:val="007B59C2"/>
    <w:rsid w:val="007B5E4C"/>
    <w:rsid w:val="007B62D6"/>
    <w:rsid w:val="007B6C09"/>
    <w:rsid w:val="007B6FCB"/>
    <w:rsid w:val="007B7741"/>
    <w:rsid w:val="007B789B"/>
    <w:rsid w:val="007B7EF2"/>
    <w:rsid w:val="007C1227"/>
    <w:rsid w:val="007C1268"/>
    <w:rsid w:val="007C3261"/>
    <w:rsid w:val="007C3366"/>
    <w:rsid w:val="007C4169"/>
    <w:rsid w:val="007C47FA"/>
    <w:rsid w:val="007C4DFD"/>
    <w:rsid w:val="007C79CF"/>
    <w:rsid w:val="007D00D9"/>
    <w:rsid w:val="007D0676"/>
    <w:rsid w:val="007D250F"/>
    <w:rsid w:val="007D4B87"/>
    <w:rsid w:val="007D5202"/>
    <w:rsid w:val="007D59F3"/>
    <w:rsid w:val="007D5E4F"/>
    <w:rsid w:val="007E09DA"/>
    <w:rsid w:val="007E0DA2"/>
    <w:rsid w:val="007E3150"/>
    <w:rsid w:val="007E3C65"/>
    <w:rsid w:val="007E3E5D"/>
    <w:rsid w:val="007E702F"/>
    <w:rsid w:val="007E7267"/>
    <w:rsid w:val="007F027C"/>
    <w:rsid w:val="007F0A7C"/>
    <w:rsid w:val="007F0CA8"/>
    <w:rsid w:val="007F0CE8"/>
    <w:rsid w:val="007F0D04"/>
    <w:rsid w:val="007F20F0"/>
    <w:rsid w:val="00800DA6"/>
    <w:rsid w:val="0080279B"/>
    <w:rsid w:val="00803E64"/>
    <w:rsid w:val="00803FCA"/>
    <w:rsid w:val="008068EB"/>
    <w:rsid w:val="00806A02"/>
    <w:rsid w:val="00807192"/>
    <w:rsid w:val="0081018E"/>
    <w:rsid w:val="00811965"/>
    <w:rsid w:val="008127F1"/>
    <w:rsid w:val="0081331F"/>
    <w:rsid w:val="008178B6"/>
    <w:rsid w:val="0082010B"/>
    <w:rsid w:val="008213B9"/>
    <w:rsid w:val="00821DE4"/>
    <w:rsid w:val="00822EE0"/>
    <w:rsid w:val="00824D43"/>
    <w:rsid w:val="00827FEE"/>
    <w:rsid w:val="00831B95"/>
    <w:rsid w:val="008331D8"/>
    <w:rsid w:val="00835078"/>
    <w:rsid w:val="00835E06"/>
    <w:rsid w:val="00836CC0"/>
    <w:rsid w:val="00841DFF"/>
    <w:rsid w:val="00844530"/>
    <w:rsid w:val="00846496"/>
    <w:rsid w:val="00846C5C"/>
    <w:rsid w:val="00853231"/>
    <w:rsid w:val="00853271"/>
    <w:rsid w:val="00854EA8"/>
    <w:rsid w:val="00855AFF"/>
    <w:rsid w:val="008561B7"/>
    <w:rsid w:val="00860236"/>
    <w:rsid w:val="00860832"/>
    <w:rsid w:val="008615BB"/>
    <w:rsid w:val="00862947"/>
    <w:rsid w:val="00862C6C"/>
    <w:rsid w:val="00864098"/>
    <w:rsid w:val="00864A31"/>
    <w:rsid w:val="00865729"/>
    <w:rsid w:val="00865B05"/>
    <w:rsid w:val="00865B74"/>
    <w:rsid w:val="008703E8"/>
    <w:rsid w:val="00870557"/>
    <w:rsid w:val="00870B5E"/>
    <w:rsid w:val="00870DA1"/>
    <w:rsid w:val="00870FD9"/>
    <w:rsid w:val="00871654"/>
    <w:rsid w:val="00871FF7"/>
    <w:rsid w:val="0087323D"/>
    <w:rsid w:val="008736E8"/>
    <w:rsid w:val="00873CDB"/>
    <w:rsid w:val="00875D3A"/>
    <w:rsid w:val="00877CD0"/>
    <w:rsid w:val="00877FF2"/>
    <w:rsid w:val="00880BFC"/>
    <w:rsid w:val="0088174B"/>
    <w:rsid w:val="00883074"/>
    <w:rsid w:val="008832EC"/>
    <w:rsid w:val="008844BD"/>
    <w:rsid w:val="00884632"/>
    <w:rsid w:val="00884F6A"/>
    <w:rsid w:val="008870DF"/>
    <w:rsid w:val="008905BE"/>
    <w:rsid w:val="00891D4C"/>
    <w:rsid w:val="0089394D"/>
    <w:rsid w:val="00893BA5"/>
    <w:rsid w:val="00894EAA"/>
    <w:rsid w:val="008974F0"/>
    <w:rsid w:val="008A01F7"/>
    <w:rsid w:val="008A19E5"/>
    <w:rsid w:val="008A3533"/>
    <w:rsid w:val="008A3F64"/>
    <w:rsid w:val="008A6810"/>
    <w:rsid w:val="008A7637"/>
    <w:rsid w:val="008B012A"/>
    <w:rsid w:val="008B2708"/>
    <w:rsid w:val="008B3CFD"/>
    <w:rsid w:val="008B5E1E"/>
    <w:rsid w:val="008B740B"/>
    <w:rsid w:val="008B78EC"/>
    <w:rsid w:val="008C203D"/>
    <w:rsid w:val="008C25D7"/>
    <w:rsid w:val="008C378F"/>
    <w:rsid w:val="008C723A"/>
    <w:rsid w:val="008C7F8A"/>
    <w:rsid w:val="008D32D8"/>
    <w:rsid w:val="008D4178"/>
    <w:rsid w:val="008D4E5D"/>
    <w:rsid w:val="008D5232"/>
    <w:rsid w:val="008D5532"/>
    <w:rsid w:val="008E4707"/>
    <w:rsid w:val="008E564B"/>
    <w:rsid w:val="008E6D9C"/>
    <w:rsid w:val="008E789F"/>
    <w:rsid w:val="008F16FF"/>
    <w:rsid w:val="008F5B10"/>
    <w:rsid w:val="008F5BBF"/>
    <w:rsid w:val="008F626F"/>
    <w:rsid w:val="008F7614"/>
    <w:rsid w:val="00900639"/>
    <w:rsid w:val="0090075A"/>
    <w:rsid w:val="009033D3"/>
    <w:rsid w:val="00906AF9"/>
    <w:rsid w:val="00906E17"/>
    <w:rsid w:val="00910AF6"/>
    <w:rsid w:val="009122B6"/>
    <w:rsid w:val="00913E02"/>
    <w:rsid w:val="00914008"/>
    <w:rsid w:val="00915A52"/>
    <w:rsid w:val="00917564"/>
    <w:rsid w:val="009219D6"/>
    <w:rsid w:val="00923A6F"/>
    <w:rsid w:val="00923CF8"/>
    <w:rsid w:val="009251DA"/>
    <w:rsid w:val="00925F15"/>
    <w:rsid w:val="009261B7"/>
    <w:rsid w:val="00927B64"/>
    <w:rsid w:val="00930BA1"/>
    <w:rsid w:val="0093132A"/>
    <w:rsid w:val="0093157A"/>
    <w:rsid w:val="0093169E"/>
    <w:rsid w:val="009337CF"/>
    <w:rsid w:val="00933E3B"/>
    <w:rsid w:val="00933F2C"/>
    <w:rsid w:val="00934F5C"/>
    <w:rsid w:val="009403BC"/>
    <w:rsid w:val="00942C1C"/>
    <w:rsid w:val="00942CC3"/>
    <w:rsid w:val="0094458E"/>
    <w:rsid w:val="009450C5"/>
    <w:rsid w:val="009505C9"/>
    <w:rsid w:val="00950752"/>
    <w:rsid w:val="00951B1F"/>
    <w:rsid w:val="00952674"/>
    <w:rsid w:val="0095385B"/>
    <w:rsid w:val="009603A8"/>
    <w:rsid w:val="00961CC8"/>
    <w:rsid w:val="00961EDE"/>
    <w:rsid w:val="00965397"/>
    <w:rsid w:val="00966424"/>
    <w:rsid w:val="00967183"/>
    <w:rsid w:val="00970814"/>
    <w:rsid w:val="00971AFF"/>
    <w:rsid w:val="009722A4"/>
    <w:rsid w:val="00972CDC"/>
    <w:rsid w:val="00977913"/>
    <w:rsid w:val="00984CBA"/>
    <w:rsid w:val="009850A8"/>
    <w:rsid w:val="00987896"/>
    <w:rsid w:val="00993CF1"/>
    <w:rsid w:val="00993D71"/>
    <w:rsid w:val="00994069"/>
    <w:rsid w:val="00996828"/>
    <w:rsid w:val="009970CF"/>
    <w:rsid w:val="00997FFD"/>
    <w:rsid w:val="009A0A69"/>
    <w:rsid w:val="009A3D3A"/>
    <w:rsid w:val="009A48E2"/>
    <w:rsid w:val="009A738F"/>
    <w:rsid w:val="009B1493"/>
    <w:rsid w:val="009B1706"/>
    <w:rsid w:val="009B1A75"/>
    <w:rsid w:val="009B2B67"/>
    <w:rsid w:val="009B373B"/>
    <w:rsid w:val="009B5F63"/>
    <w:rsid w:val="009B7C8F"/>
    <w:rsid w:val="009C042B"/>
    <w:rsid w:val="009C2DE6"/>
    <w:rsid w:val="009C3025"/>
    <w:rsid w:val="009C3F87"/>
    <w:rsid w:val="009C487F"/>
    <w:rsid w:val="009C56F5"/>
    <w:rsid w:val="009C5D0F"/>
    <w:rsid w:val="009C71E8"/>
    <w:rsid w:val="009C7D6B"/>
    <w:rsid w:val="009D0451"/>
    <w:rsid w:val="009D1097"/>
    <w:rsid w:val="009D1DC6"/>
    <w:rsid w:val="009D476F"/>
    <w:rsid w:val="009D4FF8"/>
    <w:rsid w:val="009D54E8"/>
    <w:rsid w:val="009D5729"/>
    <w:rsid w:val="009D5E7C"/>
    <w:rsid w:val="009D5FC6"/>
    <w:rsid w:val="009D6B84"/>
    <w:rsid w:val="009D7E39"/>
    <w:rsid w:val="009E2B55"/>
    <w:rsid w:val="009E3373"/>
    <w:rsid w:val="009E3CF1"/>
    <w:rsid w:val="009E497C"/>
    <w:rsid w:val="009E6273"/>
    <w:rsid w:val="009F0F54"/>
    <w:rsid w:val="009F501F"/>
    <w:rsid w:val="009F649B"/>
    <w:rsid w:val="00A016CD"/>
    <w:rsid w:val="00A02098"/>
    <w:rsid w:val="00A05D7D"/>
    <w:rsid w:val="00A0691E"/>
    <w:rsid w:val="00A069AB"/>
    <w:rsid w:val="00A077D8"/>
    <w:rsid w:val="00A10442"/>
    <w:rsid w:val="00A12E3E"/>
    <w:rsid w:val="00A12E7B"/>
    <w:rsid w:val="00A135B7"/>
    <w:rsid w:val="00A14FBF"/>
    <w:rsid w:val="00A2310E"/>
    <w:rsid w:val="00A247FB"/>
    <w:rsid w:val="00A2484C"/>
    <w:rsid w:val="00A25BF7"/>
    <w:rsid w:val="00A2669D"/>
    <w:rsid w:val="00A27548"/>
    <w:rsid w:val="00A3019A"/>
    <w:rsid w:val="00A301C7"/>
    <w:rsid w:val="00A30A64"/>
    <w:rsid w:val="00A324AA"/>
    <w:rsid w:val="00A3266B"/>
    <w:rsid w:val="00A32B76"/>
    <w:rsid w:val="00A3381A"/>
    <w:rsid w:val="00A33B2A"/>
    <w:rsid w:val="00A34181"/>
    <w:rsid w:val="00A34197"/>
    <w:rsid w:val="00A36FC9"/>
    <w:rsid w:val="00A3724C"/>
    <w:rsid w:val="00A40223"/>
    <w:rsid w:val="00A41501"/>
    <w:rsid w:val="00A439DF"/>
    <w:rsid w:val="00A43F25"/>
    <w:rsid w:val="00A4665C"/>
    <w:rsid w:val="00A46A4B"/>
    <w:rsid w:val="00A50395"/>
    <w:rsid w:val="00A54F10"/>
    <w:rsid w:val="00A57577"/>
    <w:rsid w:val="00A5774A"/>
    <w:rsid w:val="00A6132C"/>
    <w:rsid w:val="00A65286"/>
    <w:rsid w:val="00A668A6"/>
    <w:rsid w:val="00A66ED3"/>
    <w:rsid w:val="00A700C4"/>
    <w:rsid w:val="00A710E9"/>
    <w:rsid w:val="00A730BC"/>
    <w:rsid w:val="00A74C55"/>
    <w:rsid w:val="00A75B2C"/>
    <w:rsid w:val="00A76686"/>
    <w:rsid w:val="00A76DC1"/>
    <w:rsid w:val="00A803E6"/>
    <w:rsid w:val="00A81589"/>
    <w:rsid w:val="00A826EC"/>
    <w:rsid w:val="00A83D3E"/>
    <w:rsid w:val="00A85B00"/>
    <w:rsid w:val="00A86370"/>
    <w:rsid w:val="00A86545"/>
    <w:rsid w:val="00A8716D"/>
    <w:rsid w:val="00A87E81"/>
    <w:rsid w:val="00A93F76"/>
    <w:rsid w:val="00A951E4"/>
    <w:rsid w:val="00A95887"/>
    <w:rsid w:val="00AA107F"/>
    <w:rsid w:val="00AA1264"/>
    <w:rsid w:val="00AA1E98"/>
    <w:rsid w:val="00AA1F6A"/>
    <w:rsid w:val="00AA2126"/>
    <w:rsid w:val="00AA2528"/>
    <w:rsid w:val="00AA4B96"/>
    <w:rsid w:val="00AA4D53"/>
    <w:rsid w:val="00AA588F"/>
    <w:rsid w:val="00AA6F92"/>
    <w:rsid w:val="00AA76BC"/>
    <w:rsid w:val="00AB0D18"/>
    <w:rsid w:val="00AB4416"/>
    <w:rsid w:val="00AB4CF5"/>
    <w:rsid w:val="00AB6934"/>
    <w:rsid w:val="00AB7864"/>
    <w:rsid w:val="00AB7ECF"/>
    <w:rsid w:val="00AC3C36"/>
    <w:rsid w:val="00AC6BD3"/>
    <w:rsid w:val="00AC7294"/>
    <w:rsid w:val="00AC7699"/>
    <w:rsid w:val="00AD009D"/>
    <w:rsid w:val="00AD3098"/>
    <w:rsid w:val="00AD4CCA"/>
    <w:rsid w:val="00AD6A97"/>
    <w:rsid w:val="00AD6BA0"/>
    <w:rsid w:val="00AE15DE"/>
    <w:rsid w:val="00AE221C"/>
    <w:rsid w:val="00AE555C"/>
    <w:rsid w:val="00AE5F46"/>
    <w:rsid w:val="00AF1AF7"/>
    <w:rsid w:val="00AF3251"/>
    <w:rsid w:val="00AF42DE"/>
    <w:rsid w:val="00AF46F4"/>
    <w:rsid w:val="00AF5D9B"/>
    <w:rsid w:val="00AF6F82"/>
    <w:rsid w:val="00AF77BA"/>
    <w:rsid w:val="00B00053"/>
    <w:rsid w:val="00B013C2"/>
    <w:rsid w:val="00B027F7"/>
    <w:rsid w:val="00B039D0"/>
    <w:rsid w:val="00B053AF"/>
    <w:rsid w:val="00B05642"/>
    <w:rsid w:val="00B058CA"/>
    <w:rsid w:val="00B05AA6"/>
    <w:rsid w:val="00B0640B"/>
    <w:rsid w:val="00B06710"/>
    <w:rsid w:val="00B07CE5"/>
    <w:rsid w:val="00B1288E"/>
    <w:rsid w:val="00B14748"/>
    <w:rsid w:val="00B16F09"/>
    <w:rsid w:val="00B20E1C"/>
    <w:rsid w:val="00B210E4"/>
    <w:rsid w:val="00B2648E"/>
    <w:rsid w:val="00B26923"/>
    <w:rsid w:val="00B3369F"/>
    <w:rsid w:val="00B357DF"/>
    <w:rsid w:val="00B46E42"/>
    <w:rsid w:val="00B50E31"/>
    <w:rsid w:val="00B51A15"/>
    <w:rsid w:val="00B52173"/>
    <w:rsid w:val="00B543AA"/>
    <w:rsid w:val="00B545A9"/>
    <w:rsid w:val="00B547C8"/>
    <w:rsid w:val="00B55AEB"/>
    <w:rsid w:val="00B55FBC"/>
    <w:rsid w:val="00B57916"/>
    <w:rsid w:val="00B60D6B"/>
    <w:rsid w:val="00B615CC"/>
    <w:rsid w:val="00B65B86"/>
    <w:rsid w:val="00B666AE"/>
    <w:rsid w:val="00B668F0"/>
    <w:rsid w:val="00B71E32"/>
    <w:rsid w:val="00B73B78"/>
    <w:rsid w:val="00B7524B"/>
    <w:rsid w:val="00B75D01"/>
    <w:rsid w:val="00B768ED"/>
    <w:rsid w:val="00B77B3C"/>
    <w:rsid w:val="00B77EA9"/>
    <w:rsid w:val="00B80FE8"/>
    <w:rsid w:val="00B82E53"/>
    <w:rsid w:val="00B8441C"/>
    <w:rsid w:val="00B84FB2"/>
    <w:rsid w:val="00B86DB8"/>
    <w:rsid w:val="00B87290"/>
    <w:rsid w:val="00B90C26"/>
    <w:rsid w:val="00B91B4D"/>
    <w:rsid w:val="00B92687"/>
    <w:rsid w:val="00B92E83"/>
    <w:rsid w:val="00B93330"/>
    <w:rsid w:val="00B93D9F"/>
    <w:rsid w:val="00B94E6C"/>
    <w:rsid w:val="00B95308"/>
    <w:rsid w:val="00B95630"/>
    <w:rsid w:val="00B9567C"/>
    <w:rsid w:val="00B96B20"/>
    <w:rsid w:val="00B9785B"/>
    <w:rsid w:val="00BA1062"/>
    <w:rsid w:val="00BA3726"/>
    <w:rsid w:val="00BA3B8D"/>
    <w:rsid w:val="00BA3C10"/>
    <w:rsid w:val="00BA4C2E"/>
    <w:rsid w:val="00BA4FB1"/>
    <w:rsid w:val="00BA693E"/>
    <w:rsid w:val="00BA6E9C"/>
    <w:rsid w:val="00BA73FF"/>
    <w:rsid w:val="00BB1679"/>
    <w:rsid w:val="00BB1B67"/>
    <w:rsid w:val="00BB3F08"/>
    <w:rsid w:val="00BB4606"/>
    <w:rsid w:val="00BB533E"/>
    <w:rsid w:val="00BB6B8E"/>
    <w:rsid w:val="00BB6D1F"/>
    <w:rsid w:val="00BC048A"/>
    <w:rsid w:val="00BC11AD"/>
    <w:rsid w:val="00BC3784"/>
    <w:rsid w:val="00BC4984"/>
    <w:rsid w:val="00BD00B3"/>
    <w:rsid w:val="00BD0F35"/>
    <w:rsid w:val="00BD1CE2"/>
    <w:rsid w:val="00BD1E1F"/>
    <w:rsid w:val="00BD37D3"/>
    <w:rsid w:val="00BD4D97"/>
    <w:rsid w:val="00BD5469"/>
    <w:rsid w:val="00BD6000"/>
    <w:rsid w:val="00BE1D1B"/>
    <w:rsid w:val="00BE2363"/>
    <w:rsid w:val="00BE4F38"/>
    <w:rsid w:val="00BE791B"/>
    <w:rsid w:val="00BE7D5E"/>
    <w:rsid w:val="00BF0005"/>
    <w:rsid w:val="00BF0CA5"/>
    <w:rsid w:val="00BF13B2"/>
    <w:rsid w:val="00BF29D2"/>
    <w:rsid w:val="00BF4C5D"/>
    <w:rsid w:val="00BF54C7"/>
    <w:rsid w:val="00BF5A18"/>
    <w:rsid w:val="00C0061D"/>
    <w:rsid w:val="00C00703"/>
    <w:rsid w:val="00C041C1"/>
    <w:rsid w:val="00C04AA2"/>
    <w:rsid w:val="00C10CD9"/>
    <w:rsid w:val="00C13493"/>
    <w:rsid w:val="00C15D15"/>
    <w:rsid w:val="00C161A6"/>
    <w:rsid w:val="00C20D59"/>
    <w:rsid w:val="00C2152D"/>
    <w:rsid w:val="00C218F6"/>
    <w:rsid w:val="00C232CE"/>
    <w:rsid w:val="00C23D2F"/>
    <w:rsid w:val="00C24596"/>
    <w:rsid w:val="00C255E4"/>
    <w:rsid w:val="00C2594C"/>
    <w:rsid w:val="00C26924"/>
    <w:rsid w:val="00C27338"/>
    <w:rsid w:val="00C27396"/>
    <w:rsid w:val="00C304E6"/>
    <w:rsid w:val="00C30FEC"/>
    <w:rsid w:val="00C3190F"/>
    <w:rsid w:val="00C31AC6"/>
    <w:rsid w:val="00C3306F"/>
    <w:rsid w:val="00C34B69"/>
    <w:rsid w:val="00C356E0"/>
    <w:rsid w:val="00C415DA"/>
    <w:rsid w:val="00C41A2E"/>
    <w:rsid w:val="00C41B1A"/>
    <w:rsid w:val="00C41C95"/>
    <w:rsid w:val="00C439A2"/>
    <w:rsid w:val="00C4417F"/>
    <w:rsid w:val="00C443BD"/>
    <w:rsid w:val="00C44475"/>
    <w:rsid w:val="00C451C5"/>
    <w:rsid w:val="00C453AE"/>
    <w:rsid w:val="00C455AE"/>
    <w:rsid w:val="00C45FA1"/>
    <w:rsid w:val="00C47142"/>
    <w:rsid w:val="00C47826"/>
    <w:rsid w:val="00C5073C"/>
    <w:rsid w:val="00C528FD"/>
    <w:rsid w:val="00C53EF7"/>
    <w:rsid w:val="00C5407C"/>
    <w:rsid w:val="00C55B82"/>
    <w:rsid w:val="00C57C86"/>
    <w:rsid w:val="00C611F1"/>
    <w:rsid w:val="00C64049"/>
    <w:rsid w:val="00C651B2"/>
    <w:rsid w:val="00C6623C"/>
    <w:rsid w:val="00C6648D"/>
    <w:rsid w:val="00C6668A"/>
    <w:rsid w:val="00C6686B"/>
    <w:rsid w:val="00C673C5"/>
    <w:rsid w:val="00C67634"/>
    <w:rsid w:val="00C70CA4"/>
    <w:rsid w:val="00C7145B"/>
    <w:rsid w:val="00C7387B"/>
    <w:rsid w:val="00C74CCB"/>
    <w:rsid w:val="00C75062"/>
    <w:rsid w:val="00C75939"/>
    <w:rsid w:val="00C75974"/>
    <w:rsid w:val="00C76584"/>
    <w:rsid w:val="00C8155C"/>
    <w:rsid w:val="00C831BA"/>
    <w:rsid w:val="00C83DB1"/>
    <w:rsid w:val="00C8446A"/>
    <w:rsid w:val="00C8466B"/>
    <w:rsid w:val="00C85596"/>
    <w:rsid w:val="00C8573F"/>
    <w:rsid w:val="00C85C82"/>
    <w:rsid w:val="00C8784E"/>
    <w:rsid w:val="00C907FD"/>
    <w:rsid w:val="00C90A14"/>
    <w:rsid w:val="00C9161D"/>
    <w:rsid w:val="00C92407"/>
    <w:rsid w:val="00C963EA"/>
    <w:rsid w:val="00C97C56"/>
    <w:rsid w:val="00CA0AB1"/>
    <w:rsid w:val="00CA0C1D"/>
    <w:rsid w:val="00CA312C"/>
    <w:rsid w:val="00CA3DF0"/>
    <w:rsid w:val="00CA56C3"/>
    <w:rsid w:val="00CA5762"/>
    <w:rsid w:val="00CA658B"/>
    <w:rsid w:val="00CA6C38"/>
    <w:rsid w:val="00CA7519"/>
    <w:rsid w:val="00CB1709"/>
    <w:rsid w:val="00CB29E2"/>
    <w:rsid w:val="00CB2EBD"/>
    <w:rsid w:val="00CB5BBD"/>
    <w:rsid w:val="00CB62A9"/>
    <w:rsid w:val="00CB693D"/>
    <w:rsid w:val="00CB7FE9"/>
    <w:rsid w:val="00CC05EE"/>
    <w:rsid w:val="00CC072B"/>
    <w:rsid w:val="00CC5BBA"/>
    <w:rsid w:val="00CD0D90"/>
    <w:rsid w:val="00CD1654"/>
    <w:rsid w:val="00CD1CEF"/>
    <w:rsid w:val="00CD292B"/>
    <w:rsid w:val="00CD29C5"/>
    <w:rsid w:val="00CD2E99"/>
    <w:rsid w:val="00CD5462"/>
    <w:rsid w:val="00CD5A8E"/>
    <w:rsid w:val="00CD6275"/>
    <w:rsid w:val="00CD6390"/>
    <w:rsid w:val="00CD69F3"/>
    <w:rsid w:val="00CD702A"/>
    <w:rsid w:val="00CE02A8"/>
    <w:rsid w:val="00CE07CE"/>
    <w:rsid w:val="00CE2663"/>
    <w:rsid w:val="00CE4D10"/>
    <w:rsid w:val="00CE604B"/>
    <w:rsid w:val="00CE737B"/>
    <w:rsid w:val="00CF08E3"/>
    <w:rsid w:val="00CF1466"/>
    <w:rsid w:val="00CF1848"/>
    <w:rsid w:val="00CF3FEB"/>
    <w:rsid w:val="00CF4DAC"/>
    <w:rsid w:val="00CF60ED"/>
    <w:rsid w:val="00CF6D5A"/>
    <w:rsid w:val="00CF7A56"/>
    <w:rsid w:val="00D0241E"/>
    <w:rsid w:val="00D0307F"/>
    <w:rsid w:val="00D037DF"/>
    <w:rsid w:val="00D039D9"/>
    <w:rsid w:val="00D06F85"/>
    <w:rsid w:val="00D100F7"/>
    <w:rsid w:val="00D11FE2"/>
    <w:rsid w:val="00D12044"/>
    <w:rsid w:val="00D12EAF"/>
    <w:rsid w:val="00D13149"/>
    <w:rsid w:val="00D14492"/>
    <w:rsid w:val="00D14E16"/>
    <w:rsid w:val="00D1520E"/>
    <w:rsid w:val="00D17E9D"/>
    <w:rsid w:val="00D21850"/>
    <w:rsid w:val="00D22E8F"/>
    <w:rsid w:val="00D2411F"/>
    <w:rsid w:val="00D24F4C"/>
    <w:rsid w:val="00D26D28"/>
    <w:rsid w:val="00D33EFC"/>
    <w:rsid w:val="00D33FB0"/>
    <w:rsid w:val="00D3437E"/>
    <w:rsid w:val="00D34515"/>
    <w:rsid w:val="00D35DAF"/>
    <w:rsid w:val="00D36515"/>
    <w:rsid w:val="00D37C01"/>
    <w:rsid w:val="00D4071D"/>
    <w:rsid w:val="00D40DBC"/>
    <w:rsid w:val="00D41088"/>
    <w:rsid w:val="00D41C08"/>
    <w:rsid w:val="00D43907"/>
    <w:rsid w:val="00D4421E"/>
    <w:rsid w:val="00D443C5"/>
    <w:rsid w:val="00D464B1"/>
    <w:rsid w:val="00D540A5"/>
    <w:rsid w:val="00D5478E"/>
    <w:rsid w:val="00D54820"/>
    <w:rsid w:val="00D55ABE"/>
    <w:rsid w:val="00D56DC3"/>
    <w:rsid w:val="00D57AED"/>
    <w:rsid w:val="00D57B62"/>
    <w:rsid w:val="00D60B00"/>
    <w:rsid w:val="00D6399C"/>
    <w:rsid w:val="00D63B7F"/>
    <w:rsid w:val="00D67730"/>
    <w:rsid w:val="00D72317"/>
    <w:rsid w:val="00D75F7B"/>
    <w:rsid w:val="00D765EE"/>
    <w:rsid w:val="00D76605"/>
    <w:rsid w:val="00D76A18"/>
    <w:rsid w:val="00D77560"/>
    <w:rsid w:val="00D77B46"/>
    <w:rsid w:val="00D8015F"/>
    <w:rsid w:val="00D80849"/>
    <w:rsid w:val="00D82E8F"/>
    <w:rsid w:val="00D8487C"/>
    <w:rsid w:val="00D8607B"/>
    <w:rsid w:val="00D87EA2"/>
    <w:rsid w:val="00D9027C"/>
    <w:rsid w:val="00D910BB"/>
    <w:rsid w:val="00D91513"/>
    <w:rsid w:val="00D92850"/>
    <w:rsid w:val="00D92A35"/>
    <w:rsid w:val="00D92D2F"/>
    <w:rsid w:val="00D930F7"/>
    <w:rsid w:val="00D934B1"/>
    <w:rsid w:val="00D93531"/>
    <w:rsid w:val="00D940B1"/>
    <w:rsid w:val="00D94633"/>
    <w:rsid w:val="00D952A9"/>
    <w:rsid w:val="00D962BC"/>
    <w:rsid w:val="00D96B72"/>
    <w:rsid w:val="00DA1E51"/>
    <w:rsid w:val="00DA2529"/>
    <w:rsid w:val="00DA2738"/>
    <w:rsid w:val="00DA36D8"/>
    <w:rsid w:val="00DA4458"/>
    <w:rsid w:val="00DA5439"/>
    <w:rsid w:val="00DA56DD"/>
    <w:rsid w:val="00DB09DC"/>
    <w:rsid w:val="00DB1208"/>
    <w:rsid w:val="00DB4BFE"/>
    <w:rsid w:val="00DB5BD2"/>
    <w:rsid w:val="00DC073B"/>
    <w:rsid w:val="00DC0B54"/>
    <w:rsid w:val="00DC12D8"/>
    <w:rsid w:val="00DC2CC8"/>
    <w:rsid w:val="00DC36F8"/>
    <w:rsid w:val="00DC54A9"/>
    <w:rsid w:val="00DC748A"/>
    <w:rsid w:val="00DD0AA1"/>
    <w:rsid w:val="00DD118C"/>
    <w:rsid w:val="00DD32AF"/>
    <w:rsid w:val="00DD33CC"/>
    <w:rsid w:val="00DE0123"/>
    <w:rsid w:val="00DE04BF"/>
    <w:rsid w:val="00DE0C35"/>
    <w:rsid w:val="00DE1768"/>
    <w:rsid w:val="00DE1F31"/>
    <w:rsid w:val="00DE49BC"/>
    <w:rsid w:val="00DE4F53"/>
    <w:rsid w:val="00DE55AD"/>
    <w:rsid w:val="00DF0079"/>
    <w:rsid w:val="00DF00DD"/>
    <w:rsid w:val="00DF1073"/>
    <w:rsid w:val="00DF15CB"/>
    <w:rsid w:val="00DF3B80"/>
    <w:rsid w:val="00DF4036"/>
    <w:rsid w:val="00DF4DEF"/>
    <w:rsid w:val="00E022E0"/>
    <w:rsid w:val="00E02789"/>
    <w:rsid w:val="00E053B9"/>
    <w:rsid w:val="00E05B97"/>
    <w:rsid w:val="00E105B6"/>
    <w:rsid w:val="00E11100"/>
    <w:rsid w:val="00E13C78"/>
    <w:rsid w:val="00E155BF"/>
    <w:rsid w:val="00E15CF3"/>
    <w:rsid w:val="00E16199"/>
    <w:rsid w:val="00E17703"/>
    <w:rsid w:val="00E21C50"/>
    <w:rsid w:val="00E231FB"/>
    <w:rsid w:val="00E23E91"/>
    <w:rsid w:val="00E24FAC"/>
    <w:rsid w:val="00E253DB"/>
    <w:rsid w:val="00E2626B"/>
    <w:rsid w:val="00E27936"/>
    <w:rsid w:val="00E30CE6"/>
    <w:rsid w:val="00E30F64"/>
    <w:rsid w:val="00E32CE2"/>
    <w:rsid w:val="00E33655"/>
    <w:rsid w:val="00E360C5"/>
    <w:rsid w:val="00E3622B"/>
    <w:rsid w:val="00E367CE"/>
    <w:rsid w:val="00E40222"/>
    <w:rsid w:val="00E41240"/>
    <w:rsid w:val="00E4237E"/>
    <w:rsid w:val="00E42551"/>
    <w:rsid w:val="00E42FCC"/>
    <w:rsid w:val="00E43F0E"/>
    <w:rsid w:val="00E50824"/>
    <w:rsid w:val="00E509BA"/>
    <w:rsid w:val="00E52D07"/>
    <w:rsid w:val="00E53442"/>
    <w:rsid w:val="00E54AD6"/>
    <w:rsid w:val="00E54F19"/>
    <w:rsid w:val="00E55CAD"/>
    <w:rsid w:val="00E56000"/>
    <w:rsid w:val="00E57609"/>
    <w:rsid w:val="00E57DCE"/>
    <w:rsid w:val="00E6159A"/>
    <w:rsid w:val="00E65AC7"/>
    <w:rsid w:val="00E66235"/>
    <w:rsid w:val="00E663FD"/>
    <w:rsid w:val="00E66CB3"/>
    <w:rsid w:val="00E7060A"/>
    <w:rsid w:val="00E71D23"/>
    <w:rsid w:val="00E721B5"/>
    <w:rsid w:val="00E745DD"/>
    <w:rsid w:val="00E74EED"/>
    <w:rsid w:val="00E76FCD"/>
    <w:rsid w:val="00E810AF"/>
    <w:rsid w:val="00E82291"/>
    <w:rsid w:val="00E82989"/>
    <w:rsid w:val="00E830DC"/>
    <w:rsid w:val="00E83C24"/>
    <w:rsid w:val="00E84BA0"/>
    <w:rsid w:val="00E85BFD"/>
    <w:rsid w:val="00E869CB"/>
    <w:rsid w:val="00E86AB4"/>
    <w:rsid w:val="00E86DA3"/>
    <w:rsid w:val="00E90CF9"/>
    <w:rsid w:val="00E90E97"/>
    <w:rsid w:val="00E913E9"/>
    <w:rsid w:val="00E91804"/>
    <w:rsid w:val="00E926F5"/>
    <w:rsid w:val="00E92F23"/>
    <w:rsid w:val="00E9318D"/>
    <w:rsid w:val="00E940E5"/>
    <w:rsid w:val="00E969A8"/>
    <w:rsid w:val="00E97813"/>
    <w:rsid w:val="00EA087D"/>
    <w:rsid w:val="00EA3FC7"/>
    <w:rsid w:val="00EA453A"/>
    <w:rsid w:val="00EA551A"/>
    <w:rsid w:val="00EA7346"/>
    <w:rsid w:val="00EB179D"/>
    <w:rsid w:val="00EB73CC"/>
    <w:rsid w:val="00EC10FF"/>
    <w:rsid w:val="00EC20FF"/>
    <w:rsid w:val="00EC2369"/>
    <w:rsid w:val="00EC4396"/>
    <w:rsid w:val="00EC4E33"/>
    <w:rsid w:val="00EC6295"/>
    <w:rsid w:val="00ED2FE1"/>
    <w:rsid w:val="00ED372C"/>
    <w:rsid w:val="00ED4F77"/>
    <w:rsid w:val="00EE370F"/>
    <w:rsid w:val="00EE5647"/>
    <w:rsid w:val="00EE5F41"/>
    <w:rsid w:val="00EE67E6"/>
    <w:rsid w:val="00EE7975"/>
    <w:rsid w:val="00EE7F52"/>
    <w:rsid w:val="00EF0482"/>
    <w:rsid w:val="00EF0CB3"/>
    <w:rsid w:val="00EF1DCB"/>
    <w:rsid w:val="00EF3D6D"/>
    <w:rsid w:val="00EF3D85"/>
    <w:rsid w:val="00EF4248"/>
    <w:rsid w:val="00EF5240"/>
    <w:rsid w:val="00EF6215"/>
    <w:rsid w:val="00EF7577"/>
    <w:rsid w:val="00EF768C"/>
    <w:rsid w:val="00F046D0"/>
    <w:rsid w:val="00F04A06"/>
    <w:rsid w:val="00F04B98"/>
    <w:rsid w:val="00F078CF"/>
    <w:rsid w:val="00F11E5D"/>
    <w:rsid w:val="00F14F8C"/>
    <w:rsid w:val="00F150F0"/>
    <w:rsid w:val="00F15BFC"/>
    <w:rsid w:val="00F2084A"/>
    <w:rsid w:val="00F2503F"/>
    <w:rsid w:val="00F30A1E"/>
    <w:rsid w:val="00F312ED"/>
    <w:rsid w:val="00F33A28"/>
    <w:rsid w:val="00F354D2"/>
    <w:rsid w:val="00F35D1E"/>
    <w:rsid w:val="00F35F3B"/>
    <w:rsid w:val="00F376EF"/>
    <w:rsid w:val="00F37AEE"/>
    <w:rsid w:val="00F402F8"/>
    <w:rsid w:val="00F40369"/>
    <w:rsid w:val="00F40783"/>
    <w:rsid w:val="00F433E3"/>
    <w:rsid w:val="00F45276"/>
    <w:rsid w:val="00F463E3"/>
    <w:rsid w:val="00F468EC"/>
    <w:rsid w:val="00F46F61"/>
    <w:rsid w:val="00F47DB2"/>
    <w:rsid w:val="00F511FE"/>
    <w:rsid w:val="00F53193"/>
    <w:rsid w:val="00F5357E"/>
    <w:rsid w:val="00F539D1"/>
    <w:rsid w:val="00F601EC"/>
    <w:rsid w:val="00F61343"/>
    <w:rsid w:val="00F64705"/>
    <w:rsid w:val="00F64AFC"/>
    <w:rsid w:val="00F6586C"/>
    <w:rsid w:val="00F663E3"/>
    <w:rsid w:val="00F66C62"/>
    <w:rsid w:val="00F73120"/>
    <w:rsid w:val="00F734CE"/>
    <w:rsid w:val="00F73793"/>
    <w:rsid w:val="00F80396"/>
    <w:rsid w:val="00F827FA"/>
    <w:rsid w:val="00F84FE5"/>
    <w:rsid w:val="00F865A0"/>
    <w:rsid w:val="00F87C3C"/>
    <w:rsid w:val="00F90649"/>
    <w:rsid w:val="00F91028"/>
    <w:rsid w:val="00F93285"/>
    <w:rsid w:val="00F94774"/>
    <w:rsid w:val="00F96B55"/>
    <w:rsid w:val="00F979E6"/>
    <w:rsid w:val="00F97D1F"/>
    <w:rsid w:val="00FA1661"/>
    <w:rsid w:val="00FA3F77"/>
    <w:rsid w:val="00FA4014"/>
    <w:rsid w:val="00FA5708"/>
    <w:rsid w:val="00FA5F4E"/>
    <w:rsid w:val="00FA663B"/>
    <w:rsid w:val="00FB0587"/>
    <w:rsid w:val="00FB120E"/>
    <w:rsid w:val="00FB219B"/>
    <w:rsid w:val="00FB45DB"/>
    <w:rsid w:val="00FB7D33"/>
    <w:rsid w:val="00FC1A4D"/>
    <w:rsid w:val="00FC3E8D"/>
    <w:rsid w:val="00FC4BA7"/>
    <w:rsid w:val="00FC53DB"/>
    <w:rsid w:val="00FC595B"/>
    <w:rsid w:val="00FD2066"/>
    <w:rsid w:val="00FD278A"/>
    <w:rsid w:val="00FD3B18"/>
    <w:rsid w:val="00FD4A2D"/>
    <w:rsid w:val="00FD4CCD"/>
    <w:rsid w:val="00FD536B"/>
    <w:rsid w:val="00FD6070"/>
    <w:rsid w:val="00FD70AE"/>
    <w:rsid w:val="00FD761E"/>
    <w:rsid w:val="00FE2C47"/>
    <w:rsid w:val="00FE2EAF"/>
    <w:rsid w:val="00FE50A2"/>
    <w:rsid w:val="00FE51DB"/>
    <w:rsid w:val="00FE6571"/>
    <w:rsid w:val="00FE6672"/>
    <w:rsid w:val="00FE79A5"/>
    <w:rsid w:val="00FF0394"/>
    <w:rsid w:val="00FF0FF6"/>
    <w:rsid w:val="00FF2488"/>
    <w:rsid w:val="00FF38DE"/>
    <w:rsid w:val="00FF5977"/>
    <w:rsid w:val="00FF6442"/>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7211"/>
    <w:pPr>
      <w:jc w:val="both"/>
    </w:pPr>
    <w:rPr>
      <w:rFonts w:ascii="Times New Roman" w:eastAsia="Times New Roman" w:hAnsi="Times New Roman" w:cs="Times New Roman"/>
      <w:sz w:val="22"/>
      <w:lang w:val="fr-FR"/>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fr-FR"/>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fr-FR"/>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fr-FR"/>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fr-FR"/>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fr-FR"/>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fr-FR"/>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fr-FR"/>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fr-FR"/>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fr-FR"/>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3B5339"/>
    <w:pPr>
      <w:keepLines/>
      <w:spacing w:after="6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3B5339"/>
    <w:rPr>
      <w:rFonts w:ascii="Times New Roman" w:eastAsia="Times New Roman" w:hAnsi="Times New Roman" w:cs="Times New Roman"/>
      <w:sz w:val="18"/>
      <w:lang w:val="fr-FR"/>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fr-FR"/>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fr-FR"/>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fr-FR"/>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fr-FR"/>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fr-FR"/>
    </w:rPr>
  </w:style>
  <w:style w:type="character" w:customStyle="1" w:styleId="Heading7Char">
    <w:name w:val="Heading 7 Char"/>
    <w:basedOn w:val="DefaultParagraphFont"/>
    <w:link w:val="Heading7"/>
    <w:rsid w:val="007E09DA"/>
    <w:rPr>
      <w:rFonts w:ascii="Univers" w:eastAsia="Times New Roman" w:hAnsi="Univers" w:cs="Times New Roman"/>
      <w:b/>
      <w:sz w:val="28"/>
      <w:lang w:val="fr-FR"/>
    </w:rPr>
  </w:style>
  <w:style w:type="character" w:customStyle="1" w:styleId="Heading8Char">
    <w:name w:val="Heading 8 Char"/>
    <w:basedOn w:val="DefaultParagraphFont"/>
    <w:link w:val="Heading8"/>
    <w:rsid w:val="007E09DA"/>
    <w:rPr>
      <w:rFonts w:ascii="Univers" w:eastAsia="Times New Roman" w:hAnsi="Univers" w:cs="Times New Roman"/>
      <w:b/>
      <w:sz w:val="32"/>
      <w:lang w:val="fr-FR"/>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fr-FR"/>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D77560"/>
    <w:pPr>
      <w:spacing w:after="160" w:line="240" w:lineRule="exact"/>
    </w:pPr>
    <w:rPr>
      <w:rFonts w:asciiTheme="minorHAnsi" w:eastAsiaTheme="minorEastAsia" w:hAnsiTheme="minorHAnsi" w:cstheme="minorBidi"/>
      <w:vertAlign w:val="superscript"/>
      <w:lang w:val="fr-CA"/>
    </w:rPr>
  </w:style>
  <w:style w:type="character" w:customStyle="1" w:styleId="UnresolvedMention">
    <w:name w:val="Unresolved Mention"/>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fr-FR"/>
    </w:rPr>
  </w:style>
  <w:style w:type="paragraph" w:styleId="Revision">
    <w:name w:val="Revision"/>
    <w:hidden/>
    <w:uiPriority w:val="99"/>
    <w:semiHidden/>
    <w:rsid w:val="005A107A"/>
    <w:rPr>
      <w:rFonts w:ascii="Times New Roman" w:eastAsia="Times New Roman" w:hAnsi="Times New Roman" w:cs="Times New Roman"/>
      <w:sz w:val="22"/>
      <w:lang w:val="fr-FR"/>
    </w:rPr>
  </w:style>
  <w:style w:type="paragraph" w:customStyle="1" w:styleId="paragraph">
    <w:name w:val="paragraph"/>
    <w:basedOn w:val="Normal"/>
    <w:rsid w:val="006A0AF6"/>
    <w:pPr>
      <w:spacing w:before="100" w:beforeAutospacing="1" w:after="100" w:afterAutospacing="1"/>
      <w:jc w:val="left"/>
    </w:pPr>
    <w:rPr>
      <w:sz w:val="24"/>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lang w:eastAsia="x-none"/>
    </w:rPr>
  </w:style>
  <w:style w:type="paragraph" w:styleId="NormalWeb">
    <w:name w:val="Normal (Web)"/>
    <w:basedOn w:val="Normal"/>
    <w:uiPriority w:val="99"/>
    <w:semiHidden/>
    <w:unhideWhenUsed/>
    <w:rsid w:val="006D22E6"/>
    <w:rPr>
      <w:sz w:val="24"/>
    </w:rPr>
  </w:style>
  <w:style w:type="character" w:customStyle="1" w:styleId="ui-provider">
    <w:name w:val="ui-provider"/>
    <w:basedOn w:val="DefaultParagraphFont"/>
    <w:rsid w:val="001C1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3/cop-13-dec-33-fr.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3/cop-13-dec-33-en.pdf" TargetMode="External"/><Relationship Id="rId2" Type="http://schemas.openxmlformats.org/officeDocument/2006/relationships/customXml" Target="../customXml/item2.xml"/><Relationship Id="rId16" Type="http://schemas.openxmlformats.org/officeDocument/2006/relationships/hyperlink" Target="https://www.cbd.int/doc/decisions/cop-13/cop-13-dec-33-f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3/cop-13-dec-33-en.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doc/meetings/cop/cop-15/cop-credentials-template-e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2D4ECB1-7010-4E2B-9C4B-E98303302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764D0A-FE1D-440C-8094-625A9A8AAD8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6095DDB4-50C6-4A11-A859-6704D03BFAE0}">
  <ds:schemaRefs>
    <ds:schemaRef ds:uri="http://schemas.microsoft.com/sharepoint/v3/contenttype/forms"/>
  </ds:schemaRefs>
</ds:datastoreItem>
</file>

<file path=customXml/itemProps5.xml><?xml version="1.0" encoding="utf-8"?>
<ds:datastoreItem xmlns:ds="http://schemas.openxmlformats.org/officeDocument/2006/customXml" ds:itemID="{8CE01CA3-EA8D-4DF6-8B2D-7D8D56FB8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2358</Words>
  <Characters>12975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15303</CharactersWithSpaces>
  <SharedDoc>false</SharedDoc>
  <HyperlinkBase/>
  <HLinks>
    <vt:vector size="30" baseType="variant">
      <vt:variant>
        <vt:i4>7274593</vt:i4>
      </vt:variant>
      <vt:variant>
        <vt:i4>12</vt:i4>
      </vt:variant>
      <vt:variant>
        <vt:i4>0</vt:i4>
      </vt:variant>
      <vt:variant>
        <vt:i4>5</vt:i4>
      </vt:variant>
      <vt:variant>
        <vt:lpwstr>https://www.cbd.int/decisions/cop/?m=cop-04</vt:lpwstr>
      </vt:variant>
      <vt:variant>
        <vt:lpwstr/>
      </vt:variant>
      <vt:variant>
        <vt:i4>720974</vt:i4>
      </vt:variant>
      <vt:variant>
        <vt:i4>9</vt:i4>
      </vt:variant>
      <vt:variant>
        <vt:i4>0</vt:i4>
      </vt:variant>
      <vt:variant>
        <vt:i4>5</vt:i4>
      </vt:variant>
      <vt:variant>
        <vt:lpwstr>https://www.cbd.int/doc/decisions/cop-13/cop-13-dec-33-en.pdf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ariant>
        <vt:i4>8060968</vt:i4>
      </vt:variant>
      <vt:variant>
        <vt:i4>0</vt:i4>
      </vt:variant>
      <vt:variant>
        <vt:i4>0</vt:i4>
      </vt:variant>
      <vt:variant>
        <vt:i4>5</vt:i4>
      </vt:variant>
      <vt:variant>
        <vt:lpwstr>http://www.cbd.int/doc/meetings/cop/cop-15/cop-credentials-template-en.docx</vt:lpwstr>
      </vt:variant>
      <vt:variant>
        <vt:lpwstr/>
      </vt:variant>
      <vt:variant>
        <vt:i4>7798819</vt:i4>
      </vt:variant>
      <vt:variant>
        <vt:i4>0</vt:i4>
      </vt:variant>
      <vt:variant>
        <vt:i4>0</vt:i4>
      </vt:variant>
      <vt:variant>
        <vt:i4>5</vt:i4>
      </vt:variant>
      <vt:variant>
        <vt:lpwstr>https://www.un.org/dgacm/en/content/editorial-manual/quotations</vt:lpwstr>
      </vt:variant>
      <vt:variant>
        <vt:lpwstr>Block</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2023-09-19T19:10:00Z</dcterms:created>
  <dcterms:modified xsi:type="dcterms:W3CDTF">2023-09-25T10:41:00Z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