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4"/>
      </w:tblGrid>
      <w:tr w:rsidR="00660CB5" w:rsidRPr="00B84670" w14:paraId="2F15BC55" w14:textId="77777777" w:rsidTr="5C3699A0">
        <w:trPr>
          <w:trHeight w:val="709"/>
        </w:trPr>
        <w:tc>
          <w:tcPr>
            <w:tcW w:w="976" w:type="dxa"/>
            <w:tcBorders>
              <w:bottom w:val="single" w:sz="12" w:space="0" w:color="auto"/>
            </w:tcBorders>
          </w:tcPr>
          <w:p w14:paraId="451A5BF4" w14:textId="77777777"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en-US"/>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25770B8C" w:rsidR="00660CB5" w:rsidRPr="001E6565" w:rsidRDefault="004C551D" w:rsidP="002A0E0A">
            <w:pPr>
              <w:spacing w:line="276" w:lineRule="auto"/>
              <w:rPr>
                <w:rFonts w:asciiTheme="majorBidi" w:hAnsiTheme="majorBidi" w:cstheme="majorBidi"/>
              </w:rPr>
            </w:pPr>
            <w:r w:rsidRPr="004C551D">
              <w:rPr>
                <w:noProof/>
              </w:rPr>
              <w:drawing>
                <wp:inline distT="0" distB="0" distL="0" distR="0" wp14:anchorId="6302CC6E" wp14:editId="7D69783E">
                  <wp:extent cx="593725" cy="340995"/>
                  <wp:effectExtent l="0" t="0" r="0" b="190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C64379" w:rsidRPr="004C551D">
              <w:rPr>
                <w:rFonts w:asciiTheme="majorBidi" w:hAnsiTheme="majorBidi" w:cstheme="majorBidi"/>
              </w:rPr>
              <w:t xml:space="preserve"> </w:t>
            </w:r>
          </w:p>
        </w:tc>
        <w:tc>
          <w:tcPr>
            <w:tcW w:w="4090" w:type="dxa"/>
            <w:tcBorders>
              <w:bottom w:val="single" w:sz="12" w:space="0" w:color="auto"/>
            </w:tcBorders>
          </w:tcPr>
          <w:p w14:paraId="6B8A2E0E" w14:textId="77777777"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Pr>
                <w:rFonts w:asciiTheme="minorBidi" w:eastAsiaTheme="minorEastAsia" w:hAnsiTheme="minorBidi" w:cstheme="minorBidi"/>
                <w:b/>
                <w:snapToGrid w:val="0"/>
                <w:kern w:val="22"/>
                <w:sz w:val="32"/>
                <w:szCs w:val="32"/>
              </w:rPr>
              <w:t>CBD</w:t>
            </w:r>
          </w:p>
        </w:tc>
      </w:tr>
      <w:tr w:rsidR="00660CB5" w:rsidRPr="00106B4E" w14:paraId="7A608A6E" w14:textId="77777777" w:rsidTr="5C3699A0">
        <w:tc>
          <w:tcPr>
            <w:tcW w:w="6117" w:type="dxa"/>
            <w:gridSpan w:val="2"/>
            <w:tcBorders>
              <w:top w:val="single" w:sz="12" w:space="0" w:color="auto"/>
              <w:bottom w:val="single" w:sz="36" w:space="0" w:color="auto"/>
            </w:tcBorders>
            <w:vAlign w:val="center"/>
          </w:tcPr>
          <w:p w14:paraId="6FE6DC6C" w14:textId="68F892DC" w:rsidR="00660CB5" w:rsidRPr="00106B4E" w:rsidRDefault="004C551D" w:rsidP="002A0E0A">
            <w:pPr>
              <w:spacing w:line="276" w:lineRule="auto"/>
              <w:rPr>
                <w:rFonts w:asciiTheme="majorBidi" w:hAnsiTheme="majorBidi" w:cstheme="majorBidi"/>
              </w:rPr>
            </w:pPr>
            <w:r w:rsidRPr="00BD440E">
              <w:rPr>
                <w:noProof/>
                <w:kern w:val="22"/>
                <w:lang w:eastAsia="fr-CA"/>
              </w:rPr>
              <w:drawing>
                <wp:inline distT="0" distB="0" distL="0" distR="0" wp14:anchorId="2326DFBC" wp14:editId="2561F2A9">
                  <wp:extent cx="2855595" cy="1078230"/>
                  <wp:effectExtent l="0" t="0" r="1905" b="7620"/>
                  <wp:docPr id="3"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106B4E" w:rsidRDefault="00660CB5" w:rsidP="002A0E0A">
            <w:pPr>
              <w:spacing w:line="276" w:lineRule="auto"/>
              <w:ind w:left="1575"/>
              <w:rPr>
                <w:rFonts w:asciiTheme="majorBidi" w:hAnsiTheme="majorBidi" w:cstheme="majorBidi"/>
                <w:szCs w:val="22"/>
              </w:rPr>
            </w:pPr>
            <w:proofErr w:type="spellStart"/>
            <w:r>
              <w:rPr>
                <w:rFonts w:asciiTheme="majorBidi" w:hAnsiTheme="majorBidi" w:cstheme="majorBidi"/>
                <w:szCs w:val="22"/>
              </w:rPr>
              <w:t>Distr</w:t>
            </w:r>
            <w:proofErr w:type="spellEnd"/>
            <w:r>
              <w:rPr>
                <w:rFonts w:asciiTheme="majorBidi" w:hAnsiTheme="majorBidi" w:cstheme="majorBidi"/>
                <w:szCs w:val="22"/>
              </w:rPr>
              <w:t>.</w:t>
            </w:r>
          </w:p>
          <w:p w14:paraId="37ABA8AD" w14:textId="7284016C" w:rsidR="00660CB5" w:rsidRPr="00106B4E" w:rsidRDefault="00BB6DDC" w:rsidP="002A0E0A">
            <w:pPr>
              <w:spacing w:line="276" w:lineRule="auto"/>
              <w:ind w:left="1575"/>
              <w:rPr>
                <w:rFonts w:asciiTheme="majorBidi" w:hAnsiTheme="majorBidi" w:cstheme="majorBidi"/>
                <w:szCs w:val="22"/>
              </w:rPr>
            </w:pPr>
            <w:r>
              <w:rPr>
                <w:rFonts w:asciiTheme="majorBidi" w:hAnsiTheme="majorBidi" w:cstheme="majorBidi"/>
                <w:caps/>
                <w:szCs w:val="22"/>
              </w:rPr>
              <w:t>GÉNÉRALE</w:t>
            </w:r>
          </w:p>
          <w:p w14:paraId="4F72D7E7" w14:textId="77777777" w:rsidR="00660CB5" w:rsidRPr="00106B4E" w:rsidRDefault="00660CB5" w:rsidP="002A0E0A">
            <w:pPr>
              <w:spacing w:line="276" w:lineRule="auto"/>
              <w:ind w:left="1575"/>
              <w:rPr>
                <w:rFonts w:asciiTheme="majorBidi" w:hAnsiTheme="majorBidi" w:cstheme="majorBidi"/>
                <w:szCs w:val="22"/>
              </w:rPr>
            </w:pPr>
          </w:p>
          <w:p w14:paraId="03D197B5" w14:textId="7462ADDE" w:rsidR="00660CB5" w:rsidRPr="004C551D" w:rsidRDefault="00000000" w:rsidP="00FB0D24">
            <w:pPr>
              <w:ind w:left="1570"/>
              <w:rPr>
                <w:rFonts w:asciiTheme="majorBidi" w:hAnsiTheme="majorBidi" w:cstheme="majorBidi"/>
              </w:rPr>
            </w:pPr>
            <w:sdt>
              <w:sdtPr>
                <w:rPr>
                  <w:rFonts w:asciiTheme="majorBidi" w:hAnsiTheme="majorBidi" w:cstheme="majorBidi"/>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Content>
                <w:r w:rsidR="00E7179D" w:rsidRPr="004C551D">
                  <w:rPr>
                    <w:rFonts w:asciiTheme="majorBidi" w:hAnsiTheme="majorBidi" w:cstheme="majorBidi"/>
                  </w:rPr>
                  <w:t>CBD/CP/MOP/10/1/Add.6</w:t>
                </w:r>
              </w:sdtContent>
            </w:sdt>
          </w:p>
          <w:p w14:paraId="30A3C7A6" w14:textId="5E8B52F7" w:rsidR="00FB0D24" w:rsidRPr="00106B4E" w:rsidRDefault="00AE27D9" w:rsidP="00FB0D24">
            <w:pPr>
              <w:ind w:left="1570"/>
              <w:rPr>
                <w:rFonts w:asciiTheme="majorBidi" w:hAnsiTheme="majorBidi" w:cstheme="majorBidi"/>
              </w:rPr>
            </w:pPr>
            <w:r>
              <w:rPr>
                <w:rFonts w:asciiTheme="majorBidi" w:hAnsiTheme="majorBidi" w:cstheme="majorBidi"/>
              </w:rPr>
              <w:t>14 septembre 2023</w:t>
            </w:r>
          </w:p>
          <w:p w14:paraId="459F4DFA" w14:textId="77777777" w:rsidR="00660CB5" w:rsidRPr="00106B4E" w:rsidRDefault="00660CB5" w:rsidP="002A0E0A">
            <w:pPr>
              <w:spacing w:line="276" w:lineRule="auto"/>
              <w:ind w:left="1575"/>
              <w:rPr>
                <w:rFonts w:asciiTheme="majorBidi" w:hAnsiTheme="majorBidi" w:cstheme="majorBidi"/>
                <w:szCs w:val="22"/>
              </w:rPr>
            </w:pPr>
          </w:p>
          <w:p w14:paraId="2F30B370" w14:textId="3DB70F88" w:rsidR="00660CB5" w:rsidRPr="00106B4E" w:rsidRDefault="00660CB5" w:rsidP="00FB0D24">
            <w:pPr>
              <w:ind w:left="1570"/>
              <w:rPr>
                <w:rFonts w:asciiTheme="majorBidi" w:hAnsiTheme="majorBidi" w:cstheme="majorBidi"/>
              </w:rPr>
            </w:pPr>
            <w:r>
              <w:rPr>
                <w:rFonts w:asciiTheme="majorBidi" w:hAnsiTheme="majorBidi" w:cstheme="majorBidi"/>
                <w:szCs w:val="22"/>
              </w:rPr>
              <w:t xml:space="preserve">FRANÇAIS </w:t>
            </w:r>
            <w:r>
              <w:rPr>
                <w:rFonts w:asciiTheme="majorBidi" w:hAnsiTheme="majorBidi" w:cstheme="majorBidi"/>
                <w:szCs w:val="22"/>
              </w:rPr>
              <w:br/>
              <w:t>ORIGINAL : ANGLAIS</w:t>
            </w:r>
          </w:p>
        </w:tc>
      </w:tr>
    </w:tbl>
    <w:p w14:paraId="221C01DC" w14:textId="75C37AE4" w:rsidR="001C3FBA" w:rsidRPr="00106B4E" w:rsidRDefault="001C3FBA"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Pr>
          <w:rFonts w:asciiTheme="majorBidi" w:hAnsiTheme="majorBidi" w:cstheme="majorBidi"/>
          <w:snapToGrid w:val="0"/>
          <w:kern w:val="22"/>
        </w:rPr>
        <w:t>CONFÉRENCE DES PARTIES À LA CONVENTION SUR LA DIVERSITÉ BIOLOGIQUE SIÉGEANT EN TANT QUE RÉUNION DES PARTIES AU PROTOCOLE DE CARTAGENA SUR LA PRÉVENTION DES RISQUES BIOTECHNOLOGIQUES</w:t>
      </w:r>
    </w:p>
    <w:p w14:paraId="278015D0" w14:textId="34F2A16D" w:rsidR="00660370" w:rsidRPr="00106B4E" w:rsidRDefault="00151E2B"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Pr>
          <w:rFonts w:asciiTheme="majorBidi" w:hAnsiTheme="majorBidi" w:cstheme="majorBidi"/>
          <w:snapToGrid w:val="0"/>
          <w:kern w:val="22"/>
        </w:rPr>
        <w:t xml:space="preserve">Dixième réunion – reprise de la </w:t>
      </w:r>
      <w:r w:rsidR="00B82C79">
        <w:rPr>
          <w:rFonts w:asciiTheme="majorBidi" w:hAnsiTheme="majorBidi" w:cstheme="majorBidi"/>
          <w:snapToGrid w:val="0"/>
          <w:kern w:val="22"/>
        </w:rPr>
        <w:t>deuxième</w:t>
      </w:r>
      <w:r>
        <w:rPr>
          <w:rFonts w:asciiTheme="majorBidi" w:hAnsiTheme="majorBidi" w:cstheme="majorBidi"/>
          <w:snapToGrid w:val="0"/>
          <w:kern w:val="22"/>
        </w:rPr>
        <w:t xml:space="preserve"> partie</w:t>
      </w:r>
    </w:p>
    <w:p w14:paraId="1BDB827A" w14:textId="6795B757" w:rsidR="5C3699A0" w:rsidRPr="00106B4E" w:rsidRDefault="00871B04" w:rsidP="00446233">
      <w:pPr>
        <w:pStyle w:val="Cornernotation"/>
        <w:kinsoku w:val="0"/>
        <w:overflowPunct w:val="0"/>
        <w:autoSpaceDE w:val="0"/>
        <w:autoSpaceDN w:val="0"/>
        <w:ind w:left="227" w:right="3831" w:hanging="227"/>
        <w:jc w:val="both"/>
        <w:rPr>
          <w:rFonts w:asciiTheme="majorBidi" w:hAnsiTheme="majorBidi" w:cstheme="majorBidi"/>
          <w:szCs w:val="22"/>
          <w:lang w:eastAsia="nb-NO"/>
        </w:rPr>
      </w:pPr>
      <w:r>
        <w:rPr>
          <w:rFonts w:asciiTheme="majorBidi" w:hAnsiTheme="majorBidi" w:cstheme="majorBidi"/>
          <w:snapToGrid w:val="0"/>
          <w:kern w:val="22"/>
        </w:rPr>
        <w:t>Nairobi, 19 et 20 octobre 2023</w:t>
      </w:r>
    </w:p>
    <w:p w14:paraId="3535B321" w14:textId="4539104B" w:rsidR="00954B4F" w:rsidRPr="001E6565" w:rsidRDefault="00FD757D" w:rsidP="00446233">
      <w:pPr>
        <w:pStyle w:val="Cornernotation"/>
        <w:kinsoku w:val="0"/>
        <w:overflowPunct w:val="0"/>
        <w:autoSpaceDE w:val="0"/>
        <w:autoSpaceDN w:val="0"/>
        <w:ind w:right="3831"/>
        <w:jc w:val="both"/>
        <w:rPr>
          <w:rFonts w:asciiTheme="majorBidi" w:hAnsiTheme="majorBidi" w:cstheme="majorBidi"/>
          <w:snapToGrid w:val="0"/>
          <w:kern w:val="22"/>
          <w:szCs w:val="22"/>
          <w:lang w:eastAsia="nb-NO"/>
        </w:rPr>
      </w:pPr>
      <w:r>
        <w:rPr>
          <w:rFonts w:asciiTheme="majorBidi" w:hAnsiTheme="majorBidi" w:cstheme="majorBidi"/>
          <w:snapToGrid w:val="0"/>
          <w:kern w:val="22"/>
          <w:szCs w:val="22"/>
        </w:rPr>
        <w:t>Point 2 de l'ordre du jou</w:t>
      </w:r>
      <w:r w:rsidR="000358D4">
        <w:rPr>
          <w:rFonts w:asciiTheme="majorBidi" w:hAnsiTheme="majorBidi" w:cstheme="majorBidi"/>
          <w:snapToGrid w:val="0"/>
          <w:kern w:val="22"/>
          <w:szCs w:val="22"/>
        </w:rPr>
        <w:t>r</w:t>
      </w:r>
    </w:p>
    <w:p w14:paraId="3A2EF13A" w14:textId="77777777" w:rsidR="00E562FE" w:rsidRPr="001E6565" w:rsidRDefault="00E562FE" w:rsidP="001C2531">
      <w:pPr>
        <w:pStyle w:val="Cornernotation"/>
        <w:kinsoku w:val="0"/>
        <w:overflowPunct w:val="0"/>
        <w:autoSpaceDE w:val="0"/>
        <w:autoSpaceDN w:val="0"/>
        <w:ind w:right="4512"/>
        <w:jc w:val="both"/>
        <w:rPr>
          <w:rFonts w:asciiTheme="majorBidi" w:hAnsiTheme="majorBidi" w:cstheme="majorBidi"/>
          <w:snapToGrid w:val="0"/>
          <w:kern w:val="22"/>
          <w:szCs w:val="22"/>
          <w:lang w:eastAsia="nb-NO"/>
        </w:rPr>
      </w:pPr>
    </w:p>
    <w:p w14:paraId="3CE47D64" w14:textId="008D065A" w:rsidR="00176CEE" w:rsidRPr="001E6565" w:rsidRDefault="00000000" w:rsidP="00FB0D24">
      <w:pPr>
        <w:kinsoku w:val="0"/>
        <w:overflowPunct w:val="0"/>
        <w:autoSpaceDE w:val="0"/>
        <w:autoSpaceDN w:val="0"/>
        <w:spacing w:before="120" w:after="240"/>
        <w:jc w:val="center"/>
        <w:rPr>
          <w:rFonts w:asciiTheme="majorBidi" w:hAnsiTheme="majorBidi" w:cstheme="majorBidi"/>
          <w:b/>
          <w:bCs/>
          <w:caps/>
          <w:snapToGrid w:val="0"/>
          <w:kern w:val="22"/>
        </w:rPr>
      </w:pPr>
      <w:sdt>
        <w:sdtPr>
          <w:rPr>
            <w:rFonts w:asciiTheme="majorBidi" w:eastAsia="MS Mincho" w:hAnsiTheme="majorBidi" w:cstheme="majorBidi"/>
            <w:b/>
            <w:bCs/>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4C551D">
            <w:rPr>
              <w:rFonts w:asciiTheme="majorBidi" w:eastAsia="MS Mincho" w:hAnsiTheme="majorBidi" w:cstheme="majorBidi"/>
              <w:b/>
              <w:bCs/>
              <w:caps/>
              <w:snapToGrid w:val="0"/>
              <w:kern w:val="22"/>
              <w:szCs w:val="22"/>
            </w:rPr>
            <w:t>ORDRE DU JOUR ANNOTÉ</w:t>
          </w:r>
        </w:sdtContent>
      </w:sdt>
    </w:p>
    <w:p w14:paraId="0486A22E" w14:textId="215DEC95" w:rsidR="00E562FE" w:rsidRPr="008D1183" w:rsidRDefault="00AB49DA" w:rsidP="00012BEA">
      <w:pPr>
        <w:kinsoku w:val="0"/>
        <w:overflowPunct w:val="0"/>
        <w:autoSpaceDE w:val="0"/>
        <w:autoSpaceDN w:val="0"/>
        <w:spacing w:before="120" w:after="240"/>
        <w:jc w:val="center"/>
        <w:rPr>
          <w:rFonts w:asciiTheme="majorBidi" w:hAnsiTheme="majorBidi" w:cstheme="majorBidi"/>
          <w:b/>
          <w:bCs/>
          <w:caps/>
          <w:snapToGrid w:val="0"/>
          <w:kern w:val="22"/>
        </w:rPr>
      </w:pPr>
      <w:r>
        <w:rPr>
          <w:rFonts w:asciiTheme="majorBidi" w:hAnsiTheme="majorBidi" w:cstheme="majorBidi"/>
          <w:b/>
          <w:bCs/>
          <w:snapToGrid w:val="0"/>
          <w:kern w:val="22"/>
        </w:rPr>
        <w:t>Introduction</w:t>
      </w:r>
    </w:p>
    <w:p w14:paraId="248D7D93" w14:textId="438813A2" w:rsidR="00E562FE" w:rsidRPr="008D1183" w:rsidDel="00954B4F" w:rsidRDefault="00E562FE" w:rsidP="008E0A7C">
      <w:pPr>
        <w:pStyle w:val="Para1"/>
        <w:numPr>
          <w:ilvl w:val="0"/>
          <w:numId w:val="37"/>
        </w:numPr>
        <w:suppressLineNumbers/>
        <w:suppressAutoHyphens/>
        <w:kinsoku w:val="0"/>
        <w:overflowPunct w:val="0"/>
        <w:autoSpaceDE w:val="0"/>
        <w:autoSpaceDN w:val="0"/>
        <w:ind w:left="0" w:firstLine="0"/>
        <w:rPr>
          <w:rFonts w:asciiTheme="minorHAnsi" w:eastAsiaTheme="minorEastAsia" w:hAnsiTheme="minorHAnsi" w:cstheme="minorBidi"/>
          <w:color w:val="000000" w:themeColor="text1"/>
          <w:kern w:val="22"/>
          <w:szCs w:val="22"/>
        </w:rPr>
      </w:pPr>
      <w:r>
        <w:rPr>
          <w:rFonts w:asciiTheme="majorBidi" w:eastAsia="MS Mincho" w:hAnsiTheme="majorBidi" w:cstheme="majorBidi"/>
          <w:color w:val="000000"/>
          <w:kern w:val="22"/>
        </w:rPr>
        <w:t>Donnant suite à l'invitation du Gouvernement chinois</w:t>
      </w:r>
      <w:bookmarkStart w:id="0" w:name="_Hlk89176057"/>
      <w:r>
        <w:t xml:space="preserve">, </w:t>
      </w:r>
      <w:r>
        <w:rPr>
          <w:rFonts w:asciiTheme="majorBidi" w:eastAsia="MS Mincho" w:hAnsiTheme="majorBidi" w:cstheme="majorBidi"/>
          <w:color w:val="000000"/>
          <w:kern w:val="22"/>
        </w:rPr>
        <w:t>et comme décidé par la Conférence des Parties à la Convention dans sa</w:t>
      </w:r>
      <w:bookmarkEnd w:id="0"/>
      <w:r>
        <w:rPr>
          <w:rFonts w:asciiTheme="majorBidi" w:eastAsia="MS Mincho" w:hAnsiTheme="majorBidi" w:cstheme="majorBidi"/>
          <w:color w:val="000000"/>
          <w:kern w:val="22"/>
        </w:rPr>
        <w:t xml:space="preserve"> </w:t>
      </w:r>
      <w:hyperlink r:id="rId15" w:history="1">
        <w:r>
          <w:rPr>
            <w:kern w:val="22"/>
            <w:szCs w:val="22"/>
          </w:rPr>
          <w:t>décision </w:t>
        </w:r>
        <w:r>
          <w:rPr>
            <w:color w:val="0000FF"/>
            <w:kern w:val="22"/>
            <w:szCs w:val="22"/>
            <w:u w:val="single"/>
          </w:rPr>
          <w:t>XIII/33</w:t>
        </w:r>
      </w:hyperlink>
      <w:r>
        <w:rPr>
          <w:rFonts w:eastAsia="MS Mincho"/>
          <w:color w:val="000000"/>
          <w:kern w:val="22"/>
        </w:rPr>
        <w:t xml:space="preserve">, il était prévu que la dixième réunion de la Conférence des Parties siégeant en tant que réunion des Parties au Protocole de Cartagena sur la prévention des risques biotechnologiques </w:t>
      </w:r>
      <w:r>
        <w:rPr>
          <w:rFonts w:eastAsia="MS Mincho"/>
          <w:color w:val="000000" w:themeColor="text1"/>
        </w:rPr>
        <w:t>se tienne à</w:t>
      </w:r>
      <w:r>
        <w:rPr>
          <w:rFonts w:eastAsia="MS Mincho"/>
          <w:color w:val="000000"/>
          <w:kern w:val="22"/>
        </w:rPr>
        <w:t xml:space="preserve"> Kunming, en Chine, en </w:t>
      </w:r>
      <w:bookmarkStart w:id="1" w:name="_Hlk89175176"/>
      <w:r>
        <w:rPr>
          <w:rFonts w:eastAsia="MS Mincho"/>
          <w:color w:val="000000"/>
          <w:kern w:val="22"/>
        </w:rPr>
        <w:t xml:space="preserve">octobre </w:t>
      </w:r>
      <w:bookmarkEnd w:id="1"/>
      <w:r>
        <w:rPr>
          <w:rFonts w:eastAsia="MS Mincho"/>
          <w:color w:val="000000"/>
          <w:kern w:val="22"/>
        </w:rPr>
        <w:t>2020 en parallèle de la quinzième réunion de la Conférence des Parties à la Convention sur la diversité biologique et de la quatrième réunion de la Conférence des Parties siégeant en tant que réunion des Parties au Protocole de Nagoya sur l'accès aux ressources génétiques et le partage juste et équitable des avantages découlant de leur utilisation</w:t>
      </w:r>
      <w:r>
        <w:t xml:space="preserve">. Cependant, du fait de la pandémie de </w:t>
      </w:r>
      <w:r>
        <w:rPr>
          <w:kern w:val="22"/>
          <w:szCs w:val="22"/>
        </w:rPr>
        <w:t>coronavirus (</w:t>
      </w:r>
      <w:r>
        <w:rPr>
          <w:rFonts w:eastAsia="MS Mincho"/>
        </w:rPr>
        <w:t>COVID</w:t>
      </w:r>
      <w:r>
        <w:rPr>
          <w:rFonts w:eastAsia="MS Mincho"/>
        </w:rPr>
        <w:noBreakHyphen/>
        <w:t>19), les réunions ont été reportées</w:t>
      </w:r>
      <w:r>
        <w:t>.</w:t>
      </w:r>
    </w:p>
    <w:p w14:paraId="650EA977" w14:textId="1451DD6B" w:rsidR="00C1227C" w:rsidRPr="00BD40C0" w:rsidRDefault="00EA6D13"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Pr>
          <w:snapToGrid w:val="0"/>
          <w:kern w:val="22"/>
          <w:szCs w:val="22"/>
        </w:rPr>
        <w:t>Suite à l'accord fixant la tenue des réunions en deux parties, et compte tenu de la nécessité de tenir la quinzième réunion de la Conférence des Parties à la Convention sur la diversité biologique, la dixième réunion de la</w:t>
      </w:r>
      <w:r>
        <w:rPr>
          <w:rFonts w:eastAsia="MS Mincho"/>
          <w:color w:val="000000"/>
          <w:kern w:val="22"/>
        </w:rPr>
        <w:t xml:space="preserve"> Conférence des Parties siégeant en tant que réunion des Parties au Protocole de Cartagena sur la prévention des risques biotechnologiques et la quatrième réunion de la Conférence des Parties siégeant en tant que réunion des Parties au Protocole de Nagoya avant la fin de l'année</w:t>
      </w:r>
      <w:r>
        <w:rPr>
          <w:snapToGrid w:val="0"/>
          <w:kern w:val="22"/>
          <w:szCs w:val="22"/>
        </w:rPr>
        <w:t> 2022, la première partie des trois réunions s'est tenue dans un cadre hybride, en ligne et en personne à Kunming, du</w:t>
      </w:r>
      <w:r w:rsidR="00C0616A">
        <w:rPr>
          <w:snapToGrid w:val="0"/>
          <w:kern w:val="22"/>
          <w:szCs w:val="22"/>
        </w:rPr>
        <w:t> </w:t>
      </w:r>
      <w:r>
        <w:rPr>
          <w:snapToGrid w:val="0"/>
          <w:kern w:val="22"/>
          <w:szCs w:val="22"/>
        </w:rPr>
        <w:t xml:space="preserve">11 au 15 octobre 2021. La deuxième partie s'est tenue en personne à Montréal, au Canada, du 7 au 19 décembre 2022. Toutefois, en raison d'obstacles de nature procédurale, la deuxième partie a été suspendue avant que l'examen de certains points de l'ordre du jour n'ait pu être achevé. </w:t>
      </w:r>
    </w:p>
    <w:p w14:paraId="64877B95" w14:textId="550F216A" w:rsidR="00E562FE" w:rsidRPr="00BB6DDC" w:rsidDel="00954B4F" w:rsidRDefault="00C06E58"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Pr>
          <w:rFonts w:eastAsia="MS Mincho"/>
          <w:color w:val="000000"/>
          <w:kern w:val="22"/>
        </w:rPr>
        <w:t>En vertu de la décision du Bureau de la Conférence des Parties adoptée à sa réunion du 31 juillet 2023, la reprise de la deuxième partie de la dixième réunion de la Conférence des Parties siégeant en tant que réunion des Parties au Protocole de Cartagena sur la prévention des risques biotechnologiques se tiendra les 19 et 20 octobre 2023, à Nairobi, immédiatement après la vingt-cinquième réunion de l'Organe subsidiaire chargé de fournir des avis scientifiques, techniques et technologiques.</w:t>
      </w:r>
      <w:r>
        <w:rPr>
          <w:snapToGrid w:val="0"/>
          <w:kern w:val="22"/>
          <w:szCs w:val="22"/>
        </w:rPr>
        <w:t xml:space="preserve"> </w:t>
      </w:r>
    </w:p>
    <w:p w14:paraId="5791F29F" w14:textId="113BAEBB" w:rsidR="00E562FE" w:rsidRPr="001E6565" w:rsidRDefault="2B27A79E" w:rsidP="00CC4E92">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t xml:space="preserve">L'ordre du jour de la dixième réunion de la </w:t>
      </w:r>
      <w:r>
        <w:rPr>
          <w:rFonts w:eastAsia="MS Mincho"/>
          <w:color w:val="000000" w:themeColor="text1"/>
        </w:rPr>
        <w:t>Conférence des Parties siégeant en tant que réunion des Parties au Protocole de Cartagena sur la prévention des risques biotechnologiques</w:t>
      </w:r>
      <w:r>
        <w:rPr>
          <w:rStyle w:val="Appelnotedebasdep"/>
          <w:rFonts w:eastAsia="MS Mincho"/>
          <w:color w:val="000000" w:themeColor="text1"/>
          <w:u w:val="none"/>
          <w:vertAlign w:val="superscript"/>
        </w:rPr>
        <w:footnoteReference w:id="2"/>
      </w:r>
      <w:r>
        <w:t xml:space="preserve"> a été adopté lors de la première partie de la réunion. Le présent document contient des annotations sur les points de l'ordre du jour </w:t>
      </w:r>
      <w:r>
        <w:lastRenderedPageBreak/>
        <w:t>qui seront abordés lors de la reprise de la deuxième partie, à savoir ceux qui n'ont pas été examinés ou achevés, tant à la première qu'à la deuxième partie.</w:t>
      </w:r>
    </w:p>
    <w:p w14:paraId="20322965" w14:textId="158B7C05" w:rsidR="00BC629F" w:rsidRPr="001E6565" w:rsidRDefault="00C11C47" w:rsidP="00AA6D02">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snapToGrid w:val="0"/>
          <w:kern w:val="22"/>
        </w:rPr>
        <w:t>Point 1.</w:t>
      </w:r>
      <w:r>
        <w:rPr>
          <w:rFonts w:asciiTheme="majorBidi" w:hAnsiTheme="majorBidi" w:cstheme="majorBidi"/>
          <w:b/>
          <w:bCs/>
          <w:snapToGrid w:val="0"/>
          <w:kern w:val="22"/>
        </w:rPr>
        <w:tab/>
        <w:t xml:space="preserve">Ouverture de la réunion </w:t>
      </w:r>
    </w:p>
    <w:p w14:paraId="716990AE" w14:textId="6806006F" w:rsidR="00BC629F" w:rsidRPr="004C551D" w:rsidRDefault="5D833CCA" w:rsidP="00BB6DDC">
      <w:pPr>
        <w:pStyle w:val="Paragraphedeliste"/>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color w:val="000000" w:themeColor="text1"/>
          <w:kern w:val="22"/>
          <w:szCs w:val="22"/>
        </w:rPr>
      </w:pPr>
      <w:r>
        <w:rPr>
          <w:rFonts w:asciiTheme="majorBidi" w:hAnsiTheme="majorBidi" w:cstheme="majorBidi"/>
          <w:kern w:val="22"/>
        </w:rPr>
        <w:t xml:space="preserve">La reprise de la deuxième partie de la réunion débutera à 15 heures le 19 octobre 2023, concomitamment à l'ouverture de la reprise de la deuxième partie de la quinzième réunion de la Conférence des Parties et de la quatrième réunion de la Conférence des Parties siégeant en tant que réunion des Parties au Protocole de Nagoya sur l'accès et le partage des avantages. </w:t>
      </w:r>
    </w:p>
    <w:p w14:paraId="1A81D48B" w14:textId="3D2B64AC" w:rsidR="00BC629F" w:rsidRPr="008D1183" w:rsidRDefault="2B27A79E" w:rsidP="00BB6DDC">
      <w:pPr>
        <w:pStyle w:val="Paragraphedeliste"/>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Pr>
          <w:rFonts w:asciiTheme="majorBidi" w:hAnsiTheme="majorBidi" w:cstheme="majorBidi"/>
        </w:rPr>
        <w:t>La réunion sera ouverte par le président de la quinzième réunion de la Conférence des Parties ou son représentant.</w:t>
      </w:r>
    </w:p>
    <w:p w14:paraId="504F037C" w14:textId="71AD547E" w:rsidR="00BC629F" w:rsidRPr="00F04608" w:rsidRDefault="2B27A79E" w:rsidP="00F04608">
      <w:pPr>
        <w:pStyle w:val="Paragraphedeliste"/>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Pr>
          <w:rFonts w:asciiTheme="majorBidi" w:hAnsiTheme="majorBidi" w:cstheme="majorBidi"/>
        </w:rPr>
        <w:t>Le Secrétaire exécutif par intérim s'adressera aux participants et exposera l'objet de la réunion.</w:t>
      </w:r>
    </w:p>
    <w:p w14:paraId="5572CB05" w14:textId="2F80BAFB" w:rsidR="00D623E5" w:rsidRPr="008D1183" w:rsidRDefault="00F35748" w:rsidP="00AA6D02">
      <w:pPr>
        <w:tabs>
          <w:tab w:val="left" w:pos="993"/>
        </w:tabs>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snapToGrid w:val="0"/>
          <w:kern w:val="22"/>
        </w:rPr>
        <w:t>Point 2</w:t>
      </w:r>
      <w:r>
        <w:rPr>
          <w:rFonts w:asciiTheme="majorBidi" w:hAnsiTheme="majorBidi" w:cstheme="majorBidi"/>
          <w:b/>
          <w:bCs/>
          <w:caps/>
        </w:rPr>
        <w:t>.</w:t>
      </w:r>
      <w:r>
        <w:rPr>
          <w:rFonts w:asciiTheme="majorBidi" w:hAnsiTheme="majorBidi" w:cstheme="majorBidi"/>
          <w:b/>
          <w:bCs/>
          <w:snapToGrid w:val="0"/>
          <w:kern w:val="22"/>
        </w:rPr>
        <w:tab/>
        <w:t>Questions d'organisation</w:t>
      </w:r>
    </w:p>
    <w:p w14:paraId="339D1940" w14:textId="1818BEC7" w:rsidR="2B27A79E" w:rsidRPr="008D1183" w:rsidRDefault="2B27A79E" w:rsidP="00BB6DDC">
      <w:pPr>
        <w:tabs>
          <w:tab w:val="left" w:pos="567"/>
        </w:tabs>
        <w:rPr>
          <w:rFonts w:asciiTheme="majorBidi" w:hAnsiTheme="majorBidi" w:cstheme="majorBidi"/>
          <w:szCs w:val="22"/>
        </w:rPr>
      </w:pPr>
      <w:r>
        <w:rPr>
          <w:rFonts w:asciiTheme="majorBidi" w:hAnsiTheme="majorBidi" w:cstheme="majorBidi"/>
          <w:i/>
          <w:iCs/>
          <w:szCs w:val="22"/>
        </w:rPr>
        <w:t>Membres du bureau</w:t>
      </w:r>
    </w:p>
    <w:p w14:paraId="72DB1D4B" w14:textId="278CCADC" w:rsidR="00F21C65" w:rsidRPr="004C551D" w:rsidRDefault="00EA6D13" w:rsidP="00F21C65">
      <w:pPr>
        <w:pStyle w:val="Para1"/>
        <w:numPr>
          <w:ilvl w:val="0"/>
          <w:numId w:val="37"/>
        </w:numPr>
        <w:suppressLineNumbers/>
        <w:suppressAutoHyphens/>
        <w:kinsoku w:val="0"/>
        <w:overflowPunct w:val="0"/>
        <w:autoSpaceDE w:val="0"/>
        <w:autoSpaceDN w:val="0"/>
        <w:ind w:left="0" w:firstLine="0"/>
        <w:rPr>
          <w:kern w:val="22"/>
          <w:szCs w:val="22"/>
          <w:lang w:eastAsia="en-CA"/>
        </w:rPr>
      </w:pPr>
      <w:r>
        <w:rPr>
          <w:kern w:val="22"/>
          <w:szCs w:val="22"/>
        </w:rPr>
        <w:t xml:space="preserve">Le président de la quinzième réunion de la Conférence des Parties, le ministre de l'Environnement et de l'Écologie de la Chine, </w:t>
      </w:r>
      <w:proofErr w:type="spellStart"/>
      <w:r>
        <w:rPr>
          <w:kern w:val="22"/>
          <w:szCs w:val="22"/>
        </w:rPr>
        <w:t>Runqiu</w:t>
      </w:r>
      <w:proofErr w:type="spellEnd"/>
      <w:r>
        <w:rPr>
          <w:kern w:val="22"/>
          <w:szCs w:val="22"/>
        </w:rPr>
        <w:t xml:space="preserve"> Huang, continuera </w:t>
      </w:r>
      <w:r w:rsidR="00577829">
        <w:rPr>
          <w:kern w:val="22"/>
          <w:szCs w:val="22"/>
        </w:rPr>
        <w:t>d’</w:t>
      </w:r>
      <w:r>
        <w:rPr>
          <w:kern w:val="22"/>
          <w:szCs w:val="22"/>
        </w:rPr>
        <w:t>exercer ses fonctions jusqu'à la reprise de la deuxième partie et jusqu'à ce qu'un nouveau président soit élu à l'ouverture de la seizième réunion de la Conférence des Parties. Conformément à l'article 21 du règlement intérieur, la Conférence des Parties à la Convention sur la diversité biologique, à sa quatorzième réunion, a élu 10 vice-présidents parmi les représentants des Parties présentes à la réunion pour un mandat prenant effet à la clôture de sa quatorzième réunion et prenant fin à la clôture de sa quinzième réunion. Trois membres du Bureau ont été remplacés ultérieurement, tandis qu'un mandat est vacant dans l'attente de la nomination d'un remplaçant.</w:t>
      </w:r>
    </w:p>
    <w:p w14:paraId="3169944F" w14:textId="1D48BA64" w:rsidR="2B27A79E" w:rsidRDefault="00F21C65" w:rsidP="2B27A79E">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Pr>
          <w:rFonts w:asciiTheme="majorBidi" w:hAnsiTheme="majorBidi" w:cstheme="majorBidi"/>
        </w:rPr>
        <w:t xml:space="preserve">Le Bureau </w:t>
      </w:r>
      <w:r>
        <w:rPr>
          <w:kern w:val="22"/>
          <w:szCs w:val="22"/>
        </w:rPr>
        <w:t>de la</w:t>
      </w:r>
      <w:r>
        <w:rPr>
          <w:rFonts w:asciiTheme="majorBidi" w:hAnsiTheme="majorBidi" w:cstheme="majorBidi"/>
        </w:rPr>
        <w:t xml:space="preserve"> Conférence des Parties à la Convention siégera en tant que Bureau de la Conférence des Parties siégeant en tant que réunion des Parties au Protocole de Cartagena et M. </w:t>
      </w:r>
      <w:proofErr w:type="spellStart"/>
      <w:r>
        <w:rPr>
          <w:rFonts w:asciiTheme="majorBidi" w:hAnsiTheme="majorBidi" w:cstheme="majorBidi"/>
        </w:rPr>
        <w:t>Runqiu</w:t>
      </w:r>
      <w:proofErr w:type="spellEnd"/>
      <w:r>
        <w:rPr>
          <w:rFonts w:asciiTheme="majorBidi" w:hAnsiTheme="majorBidi" w:cstheme="majorBidi"/>
        </w:rPr>
        <w:t xml:space="preserve"> agira également à titre de président de la dixième réunion de la Conférence des Parties siégeant en tant que réunion des Parties au Protocole de Cartagena. </w:t>
      </w:r>
      <w:r>
        <w:t>Tous les pays représentés étant Parties au Protocole, le Bureau est composé des membres suivants, outre son président :</w:t>
      </w:r>
    </w:p>
    <w:p w14:paraId="44B7FFBD" w14:textId="634A6E71"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proofErr w:type="spellStart"/>
      <w:r>
        <w:rPr>
          <w:rFonts w:asciiTheme="majorBidi" w:hAnsiTheme="majorBidi" w:cstheme="majorBidi"/>
        </w:rPr>
        <w:t>Eric</w:t>
      </w:r>
      <w:proofErr w:type="spellEnd"/>
      <w:r>
        <w:rPr>
          <w:rFonts w:asciiTheme="majorBidi" w:hAnsiTheme="majorBidi" w:cstheme="majorBidi"/>
        </w:rPr>
        <w:t xml:space="preserve"> </w:t>
      </w:r>
      <w:proofErr w:type="spellStart"/>
      <w:r>
        <w:rPr>
          <w:rFonts w:asciiTheme="majorBidi" w:hAnsiTheme="majorBidi" w:cstheme="majorBidi"/>
        </w:rPr>
        <w:t>Okoree</w:t>
      </w:r>
      <w:proofErr w:type="spellEnd"/>
      <w:r>
        <w:rPr>
          <w:rFonts w:asciiTheme="majorBidi" w:hAnsiTheme="majorBidi" w:cstheme="majorBidi"/>
        </w:rPr>
        <w:t xml:space="preserve"> (Ghana)</w:t>
      </w:r>
    </w:p>
    <w:p w14:paraId="61DADD0F" w14:textId="69CFB2DF"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Pr>
          <w:rFonts w:asciiTheme="majorBidi" w:hAnsiTheme="majorBidi" w:cstheme="majorBidi"/>
        </w:rPr>
        <w:t xml:space="preserve">Melesse </w:t>
      </w:r>
      <w:proofErr w:type="spellStart"/>
      <w:r>
        <w:rPr>
          <w:rFonts w:asciiTheme="majorBidi" w:hAnsiTheme="majorBidi" w:cstheme="majorBidi"/>
        </w:rPr>
        <w:t>Maryo</w:t>
      </w:r>
      <w:proofErr w:type="spellEnd"/>
      <w:r>
        <w:rPr>
          <w:rFonts w:asciiTheme="majorBidi" w:hAnsiTheme="majorBidi" w:cstheme="majorBidi"/>
        </w:rPr>
        <w:t xml:space="preserve"> (Éthiopie)</w:t>
      </w:r>
    </w:p>
    <w:p w14:paraId="245F7BC4" w14:textId="1F8C0B36"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Pr>
          <w:rFonts w:asciiTheme="majorBidi" w:hAnsiTheme="majorBidi" w:cstheme="majorBidi"/>
        </w:rPr>
        <w:t xml:space="preserve">Raghu Kumar </w:t>
      </w:r>
      <w:proofErr w:type="spellStart"/>
      <w:r>
        <w:rPr>
          <w:rFonts w:asciiTheme="majorBidi" w:hAnsiTheme="majorBidi" w:cstheme="majorBidi"/>
        </w:rPr>
        <w:t>Kodali</w:t>
      </w:r>
      <w:proofErr w:type="spellEnd"/>
      <w:r>
        <w:rPr>
          <w:rFonts w:asciiTheme="majorBidi" w:hAnsiTheme="majorBidi" w:cstheme="majorBidi"/>
        </w:rPr>
        <w:t xml:space="preserve"> (Inde)</w:t>
      </w:r>
      <w:r>
        <w:rPr>
          <w:rStyle w:val="Appelnotedebasdep"/>
          <w:rFonts w:asciiTheme="majorBidi" w:hAnsiTheme="majorBidi" w:cstheme="majorBidi"/>
          <w:szCs w:val="22"/>
          <w:u w:val="none"/>
          <w:vertAlign w:val="superscript"/>
        </w:rPr>
        <w:footnoteReference w:id="3"/>
      </w:r>
    </w:p>
    <w:p w14:paraId="7E1BD695" w14:textId="66D80DFA"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proofErr w:type="spellStart"/>
      <w:r>
        <w:rPr>
          <w:rFonts w:asciiTheme="majorBidi" w:hAnsiTheme="majorBidi" w:cstheme="majorBidi"/>
        </w:rPr>
        <w:t>Leina</w:t>
      </w:r>
      <w:proofErr w:type="spellEnd"/>
      <w:r>
        <w:rPr>
          <w:rFonts w:asciiTheme="majorBidi" w:hAnsiTheme="majorBidi" w:cstheme="majorBidi"/>
        </w:rPr>
        <w:t xml:space="preserve"> El-Awadhi (Koweït)</w:t>
      </w:r>
    </w:p>
    <w:p w14:paraId="0D03FDCE" w14:textId="1D6E83AD"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proofErr w:type="spellStart"/>
      <w:r>
        <w:rPr>
          <w:rFonts w:asciiTheme="majorBidi" w:hAnsiTheme="majorBidi" w:cstheme="majorBidi"/>
        </w:rPr>
        <w:t>Teona</w:t>
      </w:r>
      <w:proofErr w:type="spellEnd"/>
      <w:r>
        <w:rPr>
          <w:rFonts w:asciiTheme="majorBidi" w:hAnsiTheme="majorBidi" w:cstheme="majorBidi"/>
        </w:rPr>
        <w:t xml:space="preserve"> </w:t>
      </w:r>
      <w:proofErr w:type="spellStart"/>
      <w:r>
        <w:rPr>
          <w:rFonts w:asciiTheme="majorBidi" w:hAnsiTheme="majorBidi" w:cstheme="majorBidi"/>
        </w:rPr>
        <w:t>Karchava</w:t>
      </w:r>
      <w:proofErr w:type="spellEnd"/>
      <w:r>
        <w:rPr>
          <w:rFonts w:asciiTheme="majorBidi" w:hAnsiTheme="majorBidi" w:cstheme="majorBidi"/>
        </w:rPr>
        <w:t xml:space="preserve"> (Géorgie)</w:t>
      </w:r>
    </w:p>
    <w:p w14:paraId="6D2C7C0F" w14:textId="41436BA4"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proofErr w:type="spellStart"/>
      <w:r>
        <w:rPr>
          <w:rFonts w:asciiTheme="majorBidi" w:hAnsiTheme="majorBidi" w:cstheme="majorBidi"/>
        </w:rPr>
        <w:t>Klodiana</w:t>
      </w:r>
      <w:proofErr w:type="spellEnd"/>
      <w:r>
        <w:rPr>
          <w:rFonts w:asciiTheme="majorBidi" w:hAnsiTheme="majorBidi" w:cstheme="majorBidi"/>
        </w:rPr>
        <w:t xml:space="preserve"> Marika (Albanie)</w:t>
      </w:r>
      <w:r>
        <w:rPr>
          <w:rStyle w:val="Appelnotedebasdep"/>
          <w:rFonts w:asciiTheme="majorBidi" w:hAnsiTheme="majorBidi" w:cstheme="majorBidi"/>
          <w:szCs w:val="22"/>
          <w:u w:val="none"/>
          <w:vertAlign w:val="superscript"/>
        </w:rPr>
        <w:footnoteReference w:id="4"/>
      </w:r>
    </w:p>
    <w:p w14:paraId="5EA03C71" w14:textId="54E3809C"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Pr>
          <w:rFonts w:asciiTheme="majorBidi" w:hAnsiTheme="majorBidi" w:cstheme="majorBidi"/>
        </w:rPr>
        <w:t>Eugenia Arg</w:t>
      </w:r>
      <w:r>
        <w:t>ü</w:t>
      </w:r>
      <w:r>
        <w:rPr>
          <w:rFonts w:asciiTheme="majorBidi" w:hAnsiTheme="majorBidi" w:cstheme="majorBidi"/>
        </w:rPr>
        <w:t>edas Montezuma (Costa Rica)</w:t>
      </w:r>
      <w:r>
        <w:rPr>
          <w:rStyle w:val="Appelnotedebasdep"/>
          <w:rFonts w:asciiTheme="majorBidi" w:hAnsiTheme="majorBidi" w:cstheme="majorBidi"/>
          <w:szCs w:val="22"/>
          <w:u w:val="none"/>
          <w:vertAlign w:val="superscript"/>
        </w:rPr>
        <w:footnoteReference w:id="5"/>
      </w:r>
    </w:p>
    <w:p w14:paraId="443B9198" w14:textId="7BD30452"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Pr>
          <w:rFonts w:asciiTheme="majorBidi" w:hAnsiTheme="majorBidi" w:cstheme="majorBidi"/>
        </w:rPr>
        <w:t xml:space="preserve">Helena </w:t>
      </w:r>
      <w:proofErr w:type="spellStart"/>
      <w:r>
        <w:rPr>
          <w:rFonts w:asciiTheme="majorBidi" w:hAnsiTheme="majorBidi" w:cstheme="majorBidi"/>
        </w:rPr>
        <w:t>Jeffery</w:t>
      </w:r>
      <w:proofErr w:type="spellEnd"/>
      <w:r>
        <w:rPr>
          <w:rFonts w:asciiTheme="majorBidi" w:hAnsiTheme="majorBidi" w:cstheme="majorBidi"/>
        </w:rPr>
        <w:t xml:space="preserve"> Brown (Antigua-et-Barbuda)</w:t>
      </w:r>
    </w:p>
    <w:p w14:paraId="3C4D4631" w14:textId="66E86AE9"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Pr>
          <w:rFonts w:asciiTheme="majorBidi" w:hAnsiTheme="majorBidi" w:cstheme="majorBidi"/>
        </w:rPr>
        <w:t xml:space="preserve">Gabriele </w:t>
      </w:r>
      <w:proofErr w:type="spellStart"/>
      <w:r>
        <w:rPr>
          <w:rFonts w:asciiTheme="majorBidi" w:hAnsiTheme="majorBidi" w:cstheme="majorBidi"/>
        </w:rPr>
        <w:t>Obermayr</w:t>
      </w:r>
      <w:proofErr w:type="spellEnd"/>
      <w:r>
        <w:rPr>
          <w:rFonts w:asciiTheme="majorBidi" w:hAnsiTheme="majorBidi" w:cstheme="majorBidi"/>
        </w:rPr>
        <w:t xml:space="preserve"> (Autriche)</w:t>
      </w:r>
    </w:p>
    <w:p w14:paraId="078342A2" w14:textId="0DCA33D1" w:rsidR="006C0C8D" w:rsidRPr="00631F58"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Pr>
          <w:rFonts w:asciiTheme="majorBidi" w:hAnsiTheme="majorBidi" w:cstheme="majorBidi"/>
        </w:rPr>
        <w:t>Nouvelle-Zélande (vacant)</w:t>
      </w:r>
      <w:r w:rsidRPr="00F176FD">
        <w:rPr>
          <w:rStyle w:val="Appelnotedebasdep"/>
          <w:rFonts w:asciiTheme="majorBidi" w:hAnsiTheme="majorBidi" w:cstheme="majorBidi"/>
          <w:szCs w:val="22"/>
          <w:u w:val="none"/>
          <w:vertAlign w:val="superscript"/>
        </w:rPr>
        <w:footnoteReference w:id="6"/>
      </w:r>
    </w:p>
    <w:p w14:paraId="0B4AF43E" w14:textId="7514EC56" w:rsidR="00BC629F" w:rsidRPr="004212F1" w:rsidRDefault="00BC629F" w:rsidP="2B27A79E">
      <w:pPr>
        <w:pStyle w:val="Titre3"/>
        <w:tabs>
          <w:tab w:val="clear" w:pos="567"/>
        </w:tabs>
        <w:kinsoku w:val="0"/>
        <w:overflowPunct w:val="0"/>
        <w:autoSpaceDE w:val="0"/>
        <w:autoSpaceDN w:val="0"/>
        <w:jc w:val="both"/>
        <w:rPr>
          <w:rFonts w:asciiTheme="majorBidi" w:hAnsiTheme="majorBidi" w:cstheme="majorBidi"/>
          <w:bCs/>
          <w:snapToGrid w:val="0"/>
          <w:kern w:val="22"/>
          <w:szCs w:val="22"/>
        </w:rPr>
      </w:pPr>
      <w:r>
        <w:rPr>
          <w:rFonts w:asciiTheme="majorBidi" w:hAnsiTheme="majorBidi" w:cstheme="majorBidi"/>
          <w:snapToGrid w:val="0"/>
          <w:kern w:val="22"/>
        </w:rPr>
        <w:t>Adoption de l’ordre du jour</w:t>
      </w:r>
    </w:p>
    <w:p w14:paraId="26A58D2D" w14:textId="23776916" w:rsidR="00B861DE" w:rsidRPr="003A3A72" w:rsidRDefault="00D15B44" w:rsidP="001E6565">
      <w:pPr>
        <w:pStyle w:val="Para1"/>
        <w:numPr>
          <w:ilvl w:val="0"/>
          <w:numId w:val="37"/>
        </w:numPr>
        <w:ind w:left="0" w:firstLine="0"/>
        <w:rPr>
          <w:rFonts w:asciiTheme="majorBidi" w:eastAsiaTheme="minorEastAsia" w:hAnsiTheme="majorBidi" w:cstheme="majorBidi"/>
          <w:color w:val="000000" w:themeColor="text1"/>
          <w:szCs w:val="22"/>
        </w:rPr>
      </w:pPr>
      <w:r>
        <w:rPr>
          <w:kern w:val="22"/>
        </w:rPr>
        <w:t>Comme indiqué au paragraphe 4, l'ordre du jour provisoire a été adopté à la première partie de la dixième réunion. La Conférence des Parties siégeant en tant que réunion des Parties au Protocole a achevé l'examen des points 4 et 6 à 17 de l'ordre du jour à la deuxième partie de sa dixième réunion, mais n'a pas achevé l'examen du point 2 de l'ordre du jour relatif à l'élection du Bureau et du point 5 relatif à l'élection des membres du Comité de conformité. Compte tenu de la reprise de la réunion, les points 1 et 3 de l'ordre du jour restent d'actualité. Enfin, les points 18 à 20 de l'ordre du jour n'ont pas encore été examinés. En conséquence, il conviendra d'examiner les points 1 à 3, 5 et 18 à 20 au cours de la présente réunion.</w:t>
      </w:r>
    </w:p>
    <w:p w14:paraId="744E9C18" w14:textId="6E08401C" w:rsidR="00BC629F" w:rsidRPr="004C5DAE" w:rsidRDefault="00BC629F" w:rsidP="00915862">
      <w:pPr>
        <w:pStyle w:val="bodytextnoindent"/>
        <w:kinsoku w:val="0"/>
        <w:overflowPunct w:val="0"/>
        <w:autoSpaceDE w:val="0"/>
        <w:autoSpaceDN w:val="0"/>
        <w:spacing w:before="120" w:after="120"/>
        <w:rPr>
          <w:rFonts w:asciiTheme="majorBidi" w:hAnsiTheme="majorBidi" w:cstheme="majorBidi"/>
          <w:i/>
          <w:iCs/>
          <w:snapToGrid w:val="0"/>
          <w:kern w:val="22"/>
        </w:rPr>
      </w:pPr>
      <w:r>
        <w:rPr>
          <w:rFonts w:asciiTheme="majorBidi" w:hAnsiTheme="majorBidi" w:cstheme="majorBidi"/>
          <w:i/>
          <w:iCs/>
          <w:snapToGrid w:val="0"/>
          <w:kern w:val="22"/>
        </w:rPr>
        <w:t>Organisation des travaux</w:t>
      </w:r>
    </w:p>
    <w:p w14:paraId="44F59D7B" w14:textId="2EC3CEE0" w:rsidR="007D43A5" w:rsidRPr="007D43A5" w:rsidRDefault="00571209" w:rsidP="007D43A5">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Pr>
          <w:rFonts w:asciiTheme="majorBidi" w:hAnsiTheme="majorBidi" w:cstheme="majorBidi"/>
        </w:rPr>
        <w:t xml:space="preserve">La Conférence des Parties siégeant en tant que réunion des Parties sera invitée à examiner et adopter la proposition relative à l'organisation des travaux telle qu'elle figure à l'annexe II. </w:t>
      </w:r>
      <w:r>
        <w:t>Compte tenu du nombre limité et de la nature procédurale des points à traiter, il est proposé que tous les travaux soient menés en séance plénière.</w:t>
      </w:r>
      <w:r>
        <w:rPr>
          <w:rFonts w:asciiTheme="majorBidi" w:hAnsiTheme="majorBidi" w:cstheme="majorBidi"/>
        </w:rPr>
        <w:t xml:space="preserve"> </w:t>
      </w:r>
    </w:p>
    <w:p w14:paraId="0528014B" w14:textId="5C2023FA" w:rsidR="004C5DAE" w:rsidRPr="004C551D" w:rsidRDefault="004C5DAE" w:rsidP="00BB6DDC">
      <w:pPr>
        <w:pStyle w:val="Para1"/>
        <w:numPr>
          <w:ilvl w:val="0"/>
          <w:numId w:val="37"/>
        </w:numPr>
        <w:suppressLineNumbers/>
        <w:suppressAutoHyphens/>
        <w:kinsoku w:val="0"/>
        <w:overflowPunct w:val="0"/>
        <w:autoSpaceDE w:val="0"/>
        <w:autoSpaceDN w:val="0"/>
        <w:ind w:left="0" w:firstLine="0"/>
        <w:rPr>
          <w:kern w:val="22"/>
          <w:szCs w:val="22"/>
        </w:rPr>
      </w:pPr>
      <w:r>
        <w:t>Une interprétation sera disponible pour les séances plénières</w:t>
      </w:r>
      <w:r>
        <w:rPr>
          <w:kern w:val="22"/>
          <w:szCs w:val="22"/>
        </w:rPr>
        <w:t xml:space="preserve">. </w:t>
      </w:r>
    </w:p>
    <w:p w14:paraId="6623400E" w14:textId="5B8752BE" w:rsidR="2B27A79E" w:rsidRPr="00782347" w:rsidRDefault="004C5DAE" w:rsidP="00BB6DDC">
      <w:pPr>
        <w:pStyle w:val="Para1"/>
        <w:numPr>
          <w:ilvl w:val="0"/>
          <w:numId w:val="37"/>
        </w:numPr>
        <w:suppressLineNumbers/>
        <w:suppressAutoHyphens/>
        <w:kinsoku w:val="0"/>
        <w:overflowPunct w:val="0"/>
        <w:autoSpaceDE w:val="0"/>
        <w:autoSpaceDN w:val="0"/>
        <w:ind w:left="0" w:firstLine="0"/>
      </w:pPr>
      <w:r>
        <w:rPr>
          <w:kern w:val="22"/>
          <w:szCs w:val="22"/>
        </w:rPr>
        <w:t>La liste des documents destinés à la reprise de la réunion est présentée dans l'annexe au présent document.</w:t>
      </w:r>
    </w:p>
    <w:p w14:paraId="34393F82" w14:textId="1486BCAB" w:rsidR="00782347" w:rsidRPr="00B02B4D" w:rsidRDefault="00782347" w:rsidP="00782347">
      <w:pPr>
        <w:pStyle w:val="Para1"/>
        <w:suppressLineNumbers/>
        <w:suppressAutoHyphens/>
        <w:kinsoku w:val="0"/>
        <w:overflowPunct w:val="0"/>
        <w:autoSpaceDE w:val="0"/>
        <w:autoSpaceDN w:val="0"/>
        <w:rPr>
          <w:i/>
          <w:iCs/>
        </w:rPr>
      </w:pPr>
      <w:r>
        <w:rPr>
          <w:rFonts w:asciiTheme="majorBidi" w:hAnsiTheme="majorBidi" w:cstheme="majorBidi"/>
          <w:i/>
          <w:iCs/>
          <w:kern w:val="22"/>
        </w:rPr>
        <w:t>Élection du Bureau</w:t>
      </w:r>
    </w:p>
    <w:p w14:paraId="3F763EED" w14:textId="04A30070" w:rsidR="00782347" w:rsidRPr="004C551D" w:rsidRDefault="00782347" w:rsidP="00782347">
      <w:pPr>
        <w:pStyle w:val="Para1"/>
        <w:numPr>
          <w:ilvl w:val="0"/>
          <w:numId w:val="37"/>
        </w:numPr>
        <w:suppressLineNumbers/>
        <w:suppressAutoHyphens/>
        <w:kinsoku w:val="0"/>
        <w:overflowPunct w:val="0"/>
        <w:autoSpaceDE w:val="0"/>
        <w:autoSpaceDN w:val="0"/>
        <w:ind w:left="0" w:firstLine="0"/>
        <w:rPr>
          <w:kern w:val="22"/>
        </w:rPr>
      </w:pPr>
      <w:r>
        <w:rPr>
          <w:kern w:val="22"/>
        </w:rPr>
        <w:t xml:space="preserve">À la reprise de la deuxième partie de sa quinzième réunion, la Conférence des Parties à la Convention élira de nouveaux vice-présidents pour le </w:t>
      </w:r>
      <w:r w:rsidR="00D202CF">
        <w:rPr>
          <w:kern w:val="22"/>
        </w:rPr>
        <w:t>B</w:t>
      </w:r>
      <w:r>
        <w:rPr>
          <w:kern w:val="22"/>
        </w:rPr>
        <w:t xml:space="preserve">ureau. </w:t>
      </w:r>
      <w:r>
        <w:rPr>
          <w:kern w:val="22"/>
          <w:szCs w:val="22"/>
        </w:rPr>
        <w:t>Leur mandat débutera à la clôture de la quinzième réunion de la Conférence des Parties et prendra fin à la clôture de la seizième réunion, conformément à l'article 21 du règlement intérieur.</w:t>
      </w:r>
      <w:r>
        <w:rPr>
          <w:kern w:val="22"/>
        </w:rPr>
        <w:t xml:space="preserve"> Si un ou plusieurs membres du Bureau sont élus par des Parties à la Convention qui ne sont pas Parties au Protocole de Cartagena, des membres remplaçants seront élus par la réunion des Parties au Protocole de Cartagena (conformément à l'article 29, paragraphe 3 du Protocole de Cartagena).</w:t>
      </w:r>
    </w:p>
    <w:p w14:paraId="0AB7652A" w14:textId="754F7F67" w:rsidR="00782347" w:rsidRPr="004C551D" w:rsidRDefault="00782347" w:rsidP="00782347">
      <w:pPr>
        <w:pStyle w:val="Para1"/>
        <w:numPr>
          <w:ilvl w:val="0"/>
          <w:numId w:val="37"/>
        </w:numPr>
        <w:suppressLineNumbers/>
        <w:suppressAutoHyphens/>
        <w:kinsoku w:val="0"/>
        <w:overflowPunct w:val="0"/>
        <w:autoSpaceDE w:val="0"/>
        <w:autoSpaceDN w:val="0"/>
        <w:ind w:left="0" w:firstLine="0"/>
        <w:rPr>
          <w:kern w:val="22"/>
        </w:rPr>
      </w:pPr>
      <w:r>
        <w:rPr>
          <w:kern w:val="22"/>
          <w:szCs w:val="22"/>
        </w:rPr>
        <w:t>L'article 26 du règlement intérieur stipule que le président d'un organe subsidiaire doit être élu par la Conférence des Parties. Par conséquent, la Conférence des Parties élira le président de l'Organe subsidiaire chargé de fournir des avis scientifiques, techniques et technologiques et le président de l'Organe subsidiaire chargé de l'application, qui présideront les organes respectifs pour un mandat qui débutera à la clôture de la quinzième réunion et prendra fin à la clôture de la seizième réunion de la Conférence des Parties. Selon le système de rotation régionale établi</w:t>
      </w:r>
      <w:bookmarkStart w:id="2" w:name="_Hlk508782738"/>
      <w:r>
        <w:rPr>
          <w:kern w:val="22"/>
          <w:szCs w:val="22"/>
        </w:rPr>
        <w:t>, il est prévu que le président de l'Organe subsidiaire chargé de fournir des avis scientifiques, techniques et technologiques soit élu parmi les représentants des États d'Europe orientale et que le président de l'Organe subsidiaire chargé de l'application soit élu parmi les représentants des États de l'Asie et du Pacifique.</w:t>
      </w:r>
      <w:bookmarkEnd w:id="2"/>
    </w:p>
    <w:p w14:paraId="4376E78B" w14:textId="3E054790" w:rsidR="00782347" w:rsidRPr="004C551D" w:rsidRDefault="00782347" w:rsidP="00782347">
      <w:pPr>
        <w:pStyle w:val="Para1"/>
        <w:numPr>
          <w:ilvl w:val="0"/>
          <w:numId w:val="37"/>
        </w:numPr>
        <w:suppressLineNumbers/>
        <w:suppressAutoHyphens/>
        <w:kinsoku w:val="0"/>
        <w:overflowPunct w:val="0"/>
        <w:autoSpaceDE w:val="0"/>
        <w:autoSpaceDN w:val="0"/>
        <w:ind w:left="0" w:firstLine="0"/>
        <w:rPr>
          <w:kern w:val="22"/>
        </w:rPr>
      </w:pPr>
      <w:r>
        <w:rPr>
          <w:kern w:val="22"/>
        </w:rPr>
        <w:t>Si le président de l'un ou l'autre des organes est élu par des Parties à la Convention qui ne sont pas Parties au Protocole de Cartagena, des présidents remplaçants seront élus par la Conférence des Parties siégeant en tant que réunion des Parties au Protocole de Cartagena (conformément à l'article 30, paragraphe 3 du Protocole de Cartagena).</w:t>
      </w:r>
    </w:p>
    <w:p w14:paraId="570D266E" w14:textId="46C82C80" w:rsidR="00CB62E4" w:rsidRPr="004C551D" w:rsidRDefault="00CB62E4" w:rsidP="00782347">
      <w:pPr>
        <w:pStyle w:val="Para1"/>
        <w:numPr>
          <w:ilvl w:val="0"/>
          <w:numId w:val="37"/>
        </w:numPr>
        <w:suppressLineNumbers/>
        <w:suppressAutoHyphens/>
        <w:kinsoku w:val="0"/>
        <w:overflowPunct w:val="0"/>
        <w:autoSpaceDE w:val="0"/>
        <w:autoSpaceDN w:val="0"/>
        <w:ind w:left="0" w:firstLine="0"/>
        <w:rPr>
          <w:kern w:val="22"/>
        </w:rPr>
      </w:pPr>
      <w:r>
        <w:rPr>
          <w:kern w:val="22"/>
          <w:szCs w:val="22"/>
        </w:rPr>
        <w:t>De plus amples informations sur les procédures d'élection du bureau seront fournies dans le document d'information CBD/CP/MOP/10/INF/10 et le Secrétariat organisera une réunion d'information sur le processus d'élection avant la date de l'élection.</w:t>
      </w:r>
    </w:p>
    <w:p w14:paraId="2FE36BB0" w14:textId="56943CAF" w:rsidR="00D623E5" w:rsidRPr="001E6565" w:rsidRDefault="00F35748"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rPr>
      </w:pPr>
      <w:r>
        <w:rPr>
          <w:rFonts w:asciiTheme="majorBidi" w:eastAsia="MS Mincho" w:hAnsiTheme="majorBidi" w:cstheme="majorBidi"/>
          <w:b/>
          <w:snapToGrid w:val="0"/>
          <w:kern w:val="22"/>
          <w:szCs w:val="22"/>
        </w:rPr>
        <w:t>Point 3.</w:t>
      </w:r>
      <w:r>
        <w:rPr>
          <w:rFonts w:asciiTheme="majorBidi" w:eastAsia="MS Mincho" w:hAnsiTheme="majorBidi" w:cstheme="majorBidi"/>
          <w:b/>
          <w:snapToGrid w:val="0"/>
          <w:kern w:val="22"/>
          <w:szCs w:val="22"/>
        </w:rPr>
        <w:tab/>
        <w:t>Rapport sur la vérification des pouvoirs des représentants à la dixième réunion de la Conférence des Parties siégeant en tant que réunion des Parties au Protocole de Cartagena</w:t>
      </w:r>
    </w:p>
    <w:p w14:paraId="1787A38B" w14:textId="0FE8E02A" w:rsidR="00C300AD" w:rsidRPr="001E6565"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L'article</w:t>
      </w:r>
      <w:r>
        <w:t> 18</w:t>
      </w:r>
      <w:r>
        <w:rPr>
          <w:rFonts w:asciiTheme="majorBidi" w:eastAsia="MS Mincho" w:hAnsiTheme="majorBidi" w:cstheme="majorBidi"/>
          <w:color w:val="000000"/>
          <w:kern w:val="22"/>
        </w:rPr>
        <w:t xml:space="preserve"> du règlement intérieur stipule que :</w:t>
      </w:r>
    </w:p>
    <w:p w14:paraId="6247EF64" w14:textId="2335B6E4" w:rsidR="00637D16" w:rsidRPr="001E6565" w:rsidRDefault="00C300AD" w:rsidP="00AA6D02">
      <w:pPr>
        <w:suppressLineNumbers/>
        <w:suppressAutoHyphens/>
        <w:kinsoku w:val="0"/>
        <w:overflowPunct w:val="0"/>
        <w:autoSpaceDE w:val="0"/>
        <w:autoSpaceDN w:val="0"/>
        <w:adjustRightInd w:val="0"/>
        <w:snapToGrid w:val="0"/>
        <w:spacing w:before="120" w:after="120"/>
        <w:ind w:left="709" w:right="-36"/>
        <w:rPr>
          <w:rFonts w:asciiTheme="majorBidi" w:hAnsiTheme="majorBidi" w:cstheme="majorBidi"/>
          <w:snapToGrid w:val="0"/>
          <w:spacing w:val="-2"/>
          <w:kern w:val="22"/>
          <w:szCs w:val="22"/>
        </w:rPr>
      </w:pPr>
      <w:r>
        <w:rPr>
          <w:rFonts w:asciiTheme="majorBidi" w:hAnsiTheme="majorBidi" w:cstheme="majorBidi"/>
          <w:snapToGrid w:val="0"/>
          <w:spacing w:val="-2"/>
          <w:kern w:val="22"/>
          <w:szCs w:val="22"/>
        </w:rPr>
        <w:t xml:space="preserve">« Les </w:t>
      </w:r>
      <w:r w:rsidR="00577829">
        <w:rPr>
          <w:rFonts w:asciiTheme="majorBidi" w:hAnsiTheme="majorBidi" w:cstheme="majorBidi"/>
          <w:snapToGrid w:val="0"/>
          <w:spacing w:val="-2"/>
          <w:kern w:val="22"/>
          <w:szCs w:val="22"/>
        </w:rPr>
        <w:t>lettres de créance</w:t>
      </w:r>
      <w:r>
        <w:rPr>
          <w:rFonts w:asciiTheme="majorBidi" w:hAnsiTheme="majorBidi" w:cstheme="majorBidi"/>
          <w:snapToGrid w:val="0"/>
          <w:spacing w:val="-2"/>
          <w:kern w:val="22"/>
          <w:szCs w:val="22"/>
        </w:rPr>
        <w:t xml:space="preserve"> des représentants et les noms des représentants suppléants et des conseillers doivent, si possible, être communiqués au Secrétaire exécutif de la Conférence des Parties ou à son représentant, si possible au plus tard vingt-quatre heures après l'ouverture de la réunion. Toute modification ultérieure de la composition de la délégation doit également être soumise au Secrétaire exécutif ou au représentant du Secrétaire exécutif. Les lettres de créance doivent être délivrées soit par le Chef de l'État ou de gouvernement ou par le ministre des Affaires étrangères ou, dans le cas d'une organisation d'intégration économique régionale, par l'autorité compétente de cette organisation. » </w:t>
      </w:r>
    </w:p>
    <w:p w14:paraId="3E56F4F6" w14:textId="7A68B808" w:rsidR="004C0A0D"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L'article 19 stipule également que « Le Bureau de la réunion doit examiner les lettres de créance et soumettre son rapport à la Conférence des Parties pour décision ». Le règlement intérieur s'applique aux réunions des Parties au Protocole de Cartagena, avec les modifications qui s’imposent.</w:t>
      </w:r>
    </w:p>
    <w:p w14:paraId="4CECEB60" w14:textId="0688EEEB" w:rsidR="00743ADC" w:rsidRPr="00CE43B7"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Afin d'aider les Parties à se conformer aux dispositions de l'article 18, la Secrétaire exécutive a publié la notification n° 2023-081 et a mis à disposition des exemples de formats des </w:t>
      </w:r>
      <w:r w:rsidR="00577829">
        <w:rPr>
          <w:rFonts w:asciiTheme="majorBidi" w:eastAsia="MS Mincho" w:hAnsiTheme="majorBidi" w:cstheme="majorBidi"/>
          <w:color w:val="000000"/>
          <w:kern w:val="22"/>
        </w:rPr>
        <w:t>lettres de créance</w:t>
      </w:r>
      <w:r>
        <w:rPr>
          <w:rFonts w:asciiTheme="majorBidi" w:eastAsia="MS Mincho" w:hAnsiTheme="majorBidi" w:cstheme="majorBidi"/>
          <w:color w:val="000000"/>
          <w:kern w:val="22"/>
        </w:rPr>
        <w:t xml:space="preserve"> appropriées</w:t>
      </w:r>
      <w:r>
        <w:rPr>
          <w:rStyle w:val="Appelnotedebasdep"/>
          <w:rFonts w:asciiTheme="majorBidi" w:eastAsia="MS Mincho" w:hAnsiTheme="majorBidi" w:cstheme="majorBidi"/>
          <w:color w:val="000000"/>
          <w:kern w:val="22"/>
          <w:u w:val="none"/>
          <w:vertAlign w:val="superscript"/>
        </w:rPr>
        <w:footnoteReference w:id="7"/>
      </w:r>
      <w:r>
        <w:rPr>
          <w:rFonts w:asciiTheme="majorBidi" w:eastAsia="MS Mincho" w:hAnsiTheme="majorBidi" w:cstheme="majorBidi"/>
          <w:color w:val="000000"/>
          <w:kern w:val="22"/>
        </w:rPr>
        <w:t>.</w:t>
      </w:r>
      <w:r>
        <w:t xml:space="preserve"> Comme le précise la notification, les Parties ayant déjà présenté des lettres de créance en bonne et due forme pour leurs représentants en vue de leur participation à la deuxième partie de la dixième réunion de la Conférence des Parties siégeant en tant que réunion des Parties au Protocole de Cartagena en décembre 2022 peuvent confirmer, par une note verbale, que ces lettres de créance restent valables aux fins de la présente réunion. Comme le précise également la notification, cette note verbale doit être émise par un haut fonctionnaire du ministère des Affaires étrangères de la Partie concernée et faire expressément référence aux lettres de créance présentées pour la réunion qui s'est tenue en décembre 2022.</w:t>
      </w:r>
    </w:p>
    <w:p w14:paraId="144305D8" w14:textId="7673D131" w:rsidR="00BC286C" w:rsidRPr="00BC286C" w:rsidRDefault="00743ADC"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t xml:space="preserve">Les Parties qui n'ont pas soumis de lettres de créance valides pour la réunion de décembre 2022 devront soumettre des lettres de créance pour pouvoir participer à la prise de décision lors de la présente réunion. Les Parties qui prévoient d'envoyer de nouveaux représentants à la présente réunion devront présenter leurs lettres de créance. </w:t>
      </w:r>
    </w:p>
    <w:p w14:paraId="42F57706" w14:textId="2990431D" w:rsidR="00637D16" w:rsidRPr="00435D2F" w:rsidRDefault="004C0A0D"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Conformément à la pratique habituelle, les représentants des Parties à la Convention qui sont également Parties au Protocole de Cartagena et au Protocole de Nagoya peuvent soumettre une seule série de lettres de créance pour la reprise de la deuxième partie de la quinzième réunion de la Conférence des Parties à la Convention, la dixième réunion des Parties au Protocole de Cartagena et la quatrième réunion des Parties au Protocole de Nagoya.</w:t>
      </w:r>
    </w:p>
    <w:p w14:paraId="2AEE65E0" w14:textId="37A8F0C1" w:rsidR="009467E3" w:rsidRPr="00C02D3F" w:rsidRDefault="0099116A" w:rsidP="009467E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t xml:space="preserve">Les lettres de créance originales ou la note verbale, le cas échéant, doivent être soumises au Secrétariat dès que possible, de préférence avant le 6 octobre et au plus tard le 15 octobre 2023. </w:t>
      </w:r>
    </w:p>
    <w:p w14:paraId="29C82D2D" w14:textId="3D0DF767" w:rsidR="00BC629F"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La Conférence des Parties siégeant en tant que réunion des Parties au Protocole de Cartagena sera invitée à examiner et adopter le rapport sur les lettres de créance que le Bureau lui a soumis.</w:t>
      </w:r>
    </w:p>
    <w:p w14:paraId="1EFE4103" w14:textId="274E52E4" w:rsidR="00D623E5" w:rsidRPr="001E6565" w:rsidRDefault="00F35748" w:rsidP="00AA6D02">
      <w:pPr>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rPr>
      </w:pPr>
      <w:r>
        <w:rPr>
          <w:rFonts w:asciiTheme="majorBidi" w:hAnsiTheme="majorBidi" w:cstheme="majorBidi"/>
          <w:b/>
          <w:bCs/>
          <w:snapToGrid w:val="0"/>
          <w:kern w:val="22"/>
        </w:rPr>
        <w:t>Point 5</w:t>
      </w:r>
      <w:r>
        <w:rPr>
          <w:rFonts w:asciiTheme="majorBidi" w:hAnsiTheme="majorBidi" w:cstheme="majorBidi"/>
          <w:b/>
          <w:bCs/>
          <w:caps/>
          <w:snapToGrid w:val="0"/>
          <w:kern w:val="22"/>
        </w:rPr>
        <w:t>.</w:t>
      </w:r>
      <w:r>
        <w:rPr>
          <w:rFonts w:asciiTheme="majorBidi" w:hAnsiTheme="majorBidi" w:cstheme="majorBidi"/>
          <w:b/>
          <w:bCs/>
          <w:snapToGrid w:val="0"/>
          <w:kern w:val="22"/>
        </w:rPr>
        <w:tab/>
        <w:t>Rapport du Comité de conformité</w:t>
      </w:r>
    </w:p>
    <w:p w14:paraId="66E92F3C" w14:textId="49BB8CF5" w:rsidR="001164EE" w:rsidRDefault="001164EE"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Lors de la deuxième partie de sa dixième réunion, en décembre 2022, la Conférence des Parties siégeant en tant que réunion des Parties au Protocole de Cartagena a examiné le rapport du Comité de conformité au titre du protocole et a adopté des décisions connexes. Toutefois, en raison d'obstacles de nature procédurale, la réunion a été suspendue avant que l'élection des membres du Comité de conformité n'ait pu être achevée.</w:t>
      </w:r>
    </w:p>
    <w:p w14:paraId="7DA6754C" w14:textId="20A2337E" w:rsidR="00C300AD" w:rsidRPr="009070ED" w:rsidRDefault="009F15D8" w:rsidP="009070ED">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Pr>
          <w:rFonts w:asciiTheme="majorBidi" w:eastAsia="MS Mincho" w:hAnsiTheme="majorBidi" w:cstheme="majorBidi"/>
          <w:color w:val="000000"/>
          <w:kern w:val="22"/>
        </w:rPr>
        <w:t xml:space="preserve">Compte tenu de l'incertitude quant à la date de reprise de la réunion et pour permettre au Comité de poursuivre ses travaux importants pendant la période intersessions, le Bureau, à sa réunion tenue en mai 2023, a décidé de prolonger jusqu'au 31 décembre 2024 les mandats des membres dont les sièges étaient à pourvoir. Le Secrétaire exécutif a publié la notification 2023-92 sur cette question en août 2023. La </w:t>
      </w:r>
      <w:r>
        <w:rPr>
          <w:rFonts w:asciiTheme="majorBidi" w:hAnsiTheme="majorBidi" w:cstheme="majorBidi"/>
        </w:rPr>
        <w:t xml:space="preserve">Conférence des Parties siégeant en tant que réunion des </w:t>
      </w:r>
      <w:r>
        <w:rPr>
          <w:rFonts w:asciiTheme="majorBidi" w:hAnsiTheme="majorBidi" w:cstheme="majorBidi"/>
          <w:color w:val="000000" w:themeColor="text1"/>
          <w:szCs w:val="22"/>
        </w:rPr>
        <w:t xml:space="preserve">Parties au Protocole de Cartagena sera invitée à </w:t>
      </w:r>
      <w:r>
        <w:rPr>
          <w:rFonts w:asciiTheme="majorBidi" w:eastAsia="MS Mincho" w:hAnsiTheme="majorBidi" w:cstheme="majorBidi"/>
          <w:color w:val="000000"/>
          <w:kern w:val="22"/>
        </w:rPr>
        <w:t>approuver la prolongation des mandats.</w:t>
      </w:r>
    </w:p>
    <w:p w14:paraId="03C38553" w14:textId="08FC99E9" w:rsidR="004C0A0D" w:rsidRPr="001E6565" w:rsidRDefault="00F35748" w:rsidP="00AA6D02">
      <w:pPr>
        <w:pStyle w:val="Para1"/>
        <w:suppressLineNumbers/>
        <w:tabs>
          <w:tab w:val="left" w:pos="993"/>
        </w:tabs>
        <w:suppressAutoHyphens/>
        <w:kinsoku w:val="0"/>
        <w:overflowPunct w:val="0"/>
        <w:autoSpaceDE w:val="0"/>
        <w:autoSpaceDN w:val="0"/>
        <w:spacing w:before="240"/>
        <w:jc w:val="center"/>
        <w:outlineLvl w:val="0"/>
        <w:rPr>
          <w:rFonts w:eastAsia="MS Mincho"/>
        </w:rPr>
      </w:pPr>
      <w:r>
        <w:rPr>
          <w:rFonts w:asciiTheme="majorBidi" w:hAnsiTheme="majorBidi" w:cstheme="majorBidi"/>
          <w:b/>
          <w:bCs/>
          <w:kern w:val="22"/>
        </w:rPr>
        <w:t xml:space="preserve">Point </w:t>
      </w:r>
      <w:r>
        <w:rPr>
          <w:rFonts w:asciiTheme="majorBidi" w:hAnsiTheme="majorBidi" w:cstheme="majorBidi"/>
          <w:b/>
          <w:bCs/>
          <w:caps/>
          <w:kern w:val="22"/>
        </w:rPr>
        <w:t>18.</w:t>
      </w:r>
      <w:r>
        <w:rPr>
          <w:rFonts w:asciiTheme="majorBidi" w:hAnsiTheme="majorBidi" w:cstheme="majorBidi"/>
          <w:b/>
          <w:bCs/>
          <w:kern w:val="22"/>
        </w:rPr>
        <w:tab/>
        <w:t>Questions diverses</w:t>
      </w:r>
    </w:p>
    <w:p w14:paraId="734890C5" w14:textId="099E2685" w:rsidR="004C0A0D" w:rsidRPr="004C551D" w:rsidRDefault="004C0A0D" w:rsidP="001E6565">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eastAsia="en-CA"/>
        </w:rPr>
      </w:pPr>
      <w:r>
        <w:rPr>
          <w:snapToGrid w:val="0"/>
          <w:kern w:val="22"/>
        </w:rPr>
        <w:t>La Conférence des Parties siégeant en tant que réunion des Parties au Protocole de Cartagena souhaitera peut-être examiner d'autres questions soulevées et retenues aux fins de débats conformément au règlement intérieur.</w:t>
      </w:r>
    </w:p>
    <w:p w14:paraId="2EA5DC6C" w14:textId="0AE72B2D" w:rsidR="00AD3AFD" w:rsidRPr="001E6565" w:rsidRDefault="00F35748" w:rsidP="00AA6D02">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kern w:val="22"/>
        </w:rPr>
        <w:t xml:space="preserve">Point </w:t>
      </w:r>
      <w:r>
        <w:rPr>
          <w:rFonts w:asciiTheme="majorBidi" w:hAnsiTheme="majorBidi" w:cstheme="majorBidi"/>
          <w:b/>
          <w:bCs/>
          <w:caps/>
          <w:kern w:val="22"/>
        </w:rPr>
        <w:t xml:space="preserve">19. </w:t>
      </w:r>
      <w:r>
        <w:rPr>
          <w:rFonts w:asciiTheme="majorBidi" w:hAnsiTheme="majorBidi" w:cstheme="majorBidi"/>
          <w:b/>
          <w:bCs/>
          <w:caps/>
          <w:kern w:val="22"/>
        </w:rPr>
        <w:tab/>
      </w:r>
      <w:r>
        <w:rPr>
          <w:rFonts w:asciiTheme="majorBidi" w:hAnsiTheme="majorBidi" w:cstheme="majorBidi"/>
          <w:b/>
          <w:bCs/>
          <w:kern w:val="22"/>
        </w:rPr>
        <w:t>Adoption du rapport</w:t>
      </w:r>
    </w:p>
    <w:p w14:paraId="29BAD7F1" w14:textId="04E85A5A" w:rsidR="00624296" w:rsidRPr="004C551D"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kern w:val="22"/>
        </w:rPr>
        <w:t>La Conférence des Parties siégeant en tant que réunion des Parties au Protocole de Cartagena sera invitée à examiner et adopter le projet de rapport de la deuxième partie de sa dixième réunion, qui sera établi par le rapporteur sur la base du document CBD/CP/MOP/10/L.1/Rev.1, tel qu'il aura été complété pour permettre de prendre en considération le compte rendu de la reprise de la deuxième partie de sa dixième réunion.</w:t>
      </w:r>
    </w:p>
    <w:p w14:paraId="4A93921B" w14:textId="6F3FFF3A" w:rsidR="00814858" w:rsidRPr="004C551D" w:rsidRDefault="00273DA7"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kern w:val="22"/>
        </w:rPr>
        <w:t xml:space="preserve">Les rapports des première </w:t>
      </w:r>
      <w:r>
        <w:rPr>
          <w:rStyle w:val="Appelnotedebasdep"/>
          <w:snapToGrid w:val="0"/>
          <w:kern w:val="22"/>
          <w:u w:val="none"/>
          <w:vertAlign w:val="superscript"/>
        </w:rPr>
        <w:footnoteReference w:id="8"/>
      </w:r>
      <w:r>
        <w:rPr>
          <w:snapToGrid w:val="0"/>
          <w:kern w:val="22"/>
        </w:rPr>
        <w:t xml:space="preserve"> et deuxième parties de la réunion constituent ensemble le compte rendu de la dixième réunion de la Conférence des Parties siégeant en tant que réunion des Parties au Protocole.</w:t>
      </w:r>
    </w:p>
    <w:p w14:paraId="014A5AB8" w14:textId="11EC5E28" w:rsidR="00814858" w:rsidRPr="004C551D"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Pr>
          <w:snapToGrid w:val="0"/>
          <w:kern w:val="22"/>
        </w:rPr>
        <w:t>Conformément à la pratique établie, la Conférence des Parties siégeant en tant que réunion des Parties au Protocole ser</w:t>
      </w:r>
      <w:r w:rsidR="00A91670">
        <w:rPr>
          <w:snapToGrid w:val="0"/>
          <w:kern w:val="22"/>
        </w:rPr>
        <w:t>a</w:t>
      </w:r>
      <w:r>
        <w:rPr>
          <w:snapToGrid w:val="0"/>
          <w:kern w:val="22"/>
        </w:rPr>
        <w:t xml:space="preserve"> invitée à autoriser le rapporteur à compléter le rapport final après la réunion, en s’appuyant sur les orientations du président et avec l’aide du Secrétariat.</w:t>
      </w:r>
    </w:p>
    <w:p w14:paraId="7C0C5F17" w14:textId="78E7D680" w:rsidR="00D623E5" w:rsidRPr="001E6565" w:rsidRDefault="00F35748" w:rsidP="00AA6D02">
      <w:pPr>
        <w:pStyle w:val="Para1"/>
        <w:suppressLineNumbers/>
        <w:tabs>
          <w:tab w:val="left" w:pos="1134"/>
        </w:tab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kern w:val="22"/>
        </w:rPr>
        <w:t xml:space="preserve">Point </w:t>
      </w:r>
      <w:r>
        <w:rPr>
          <w:rFonts w:asciiTheme="majorBidi" w:hAnsiTheme="majorBidi" w:cstheme="majorBidi"/>
          <w:b/>
          <w:bCs/>
          <w:caps/>
          <w:kern w:val="22"/>
        </w:rPr>
        <w:t>20.</w:t>
      </w:r>
      <w:r>
        <w:rPr>
          <w:rFonts w:asciiTheme="majorBidi" w:hAnsiTheme="majorBidi" w:cstheme="majorBidi"/>
          <w:b/>
          <w:bCs/>
          <w:kern w:val="22"/>
        </w:rPr>
        <w:tab/>
        <w:t>Clôture de la réunion</w:t>
      </w:r>
    </w:p>
    <w:p w14:paraId="2DF326CD" w14:textId="59B1FEE4" w:rsidR="007F2CFF" w:rsidRPr="00F02D4A" w:rsidRDefault="00097384" w:rsidP="00784C8E">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snapToGrid w:val="0"/>
          <w:color w:val="000000"/>
          <w:kern w:val="22"/>
          <w:szCs w:val="22"/>
        </w:rPr>
      </w:pPr>
      <w:r>
        <w:rPr>
          <w:rFonts w:asciiTheme="majorBidi" w:eastAsia="MS Mincho" w:hAnsiTheme="majorBidi" w:cstheme="majorBidi"/>
          <w:color w:val="000000" w:themeColor="text1"/>
        </w:rPr>
        <w:t>La dixième réunion de la Conférence des Parties siégeant en tant que réunion des Parties au Protocole de Cartagena sur la prévention des risques biotechnologiques devrait être clôturée le 20 octobre 2023, à environ 13 heures.</w:t>
      </w:r>
    </w:p>
    <w:p w14:paraId="43028F26" w14:textId="76A3D75B" w:rsidR="007F2CFF" w:rsidRDefault="007F2CFF">
      <w:pPr>
        <w:jc w:val="left"/>
        <w:rPr>
          <w:rFonts w:asciiTheme="majorBidi" w:eastAsia="MS Mincho" w:hAnsiTheme="majorBidi" w:cstheme="majorBidi"/>
          <w:snapToGrid w:val="0"/>
          <w:color w:val="000000"/>
          <w:kern w:val="22"/>
          <w:szCs w:val="22"/>
        </w:rPr>
      </w:pPr>
    </w:p>
    <w:p w14:paraId="0689B978" w14:textId="5C04D7F5" w:rsidR="007F2CFF" w:rsidRDefault="007F2CFF">
      <w:pPr>
        <w:jc w:val="left"/>
        <w:rPr>
          <w:rFonts w:asciiTheme="majorBidi" w:eastAsia="MS Mincho" w:hAnsiTheme="majorBidi" w:cstheme="majorBidi"/>
          <w:snapToGrid w:val="0"/>
          <w:color w:val="000000"/>
          <w:kern w:val="22"/>
          <w:szCs w:val="22"/>
        </w:rPr>
      </w:pPr>
    </w:p>
    <w:p w14:paraId="40DDC3F8" w14:textId="7A9F85EA" w:rsidR="007F2CFF" w:rsidRDefault="007F2CFF">
      <w:pPr>
        <w:jc w:val="left"/>
        <w:rPr>
          <w:rFonts w:asciiTheme="majorBidi" w:eastAsia="MS Mincho" w:hAnsiTheme="majorBidi" w:cstheme="majorBidi"/>
          <w:snapToGrid w:val="0"/>
          <w:color w:val="000000"/>
          <w:kern w:val="22"/>
          <w:szCs w:val="22"/>
        </w:rPr>
      </w:pPr>
      <w:r>
        <w:rPr>
          <w:rFonts w:asciiTheme="majorBidi" w:eastAsia="MS Mincho" w:hAnsiTheme="majorBidi" w:cstheme="majorBidi"/>
          <w:snapToGrid w:val="0"/>
          <w:color w:val="000000"/>
          <w:kern w:val="22"/>
          <w:szCs w:val="22"/>
        </w:rPr>
        <w:br w:type="page"/>
      </w:r>
    </w:p>
    <w:p w14:paraId="1728213D" w14:textId="7BB33BBA" w:rsidR="00C46880" w:rsidRPr="004C551D" w:rsidRDefault="00C46880" w:rsidP="00C46880">
      <w:pPr>
        <w:pStyle w:val="Titre3"/>
        <w:suppressLineNumbers/>
        <w:suppressAutoHyphens/>
        <w:kinsoku w:val="0"/>
        <w:overflowPunct w:val="0"/>
        <w:autoSpaceDE w:val="0"/>
        <w:autoSpaceDN w:val="0"/>
        <w:spacing w:before="0"/>
        <w:rPr>
          <w:rFonts w:asciiTheme="majorBidi" w:hAnsiTheme="majorBidi" w:cstheme="majorBidi"/>
          <w:snapToGrid w:val="0"/>
          <w:kern w:val="22"/>
          <w:szCs w:val="22"/>
        </w:rPr>
      </w:pPr>
      <w:r>
        <w:rPr>
          <w:rFonts w:asciiTheme="majorBidi" w:hAnsiTheme="majorBidi" w:cstheme="majorBidi"/>
          <w:snapToGrid w:val="0"/>
          <w:kern w:val="22"/>
          <w:szCs w:val="22"/>
        </w:rPr>
        <w:t>Annexe I</w:t>
      </w:r>
    </w:p>
    <w:p w14:paraId="798FD83B" w14:textId="77777777" w:rsidR="00C46880" w:rsidRPr="00414896" w:rsidRDefault="00C46880"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Pr>
          <w:rFonts w:asciiTheme="majorBidi" w:hAnsiTheme="majorBidi" w:cstheme="majorBidi"/>
          <w:b/>
          <w:bCs/>
          <w:caps/>
          <w:kern w:val="22"/>
        </w:rPr>
        <w:t>LISTE PROVISOIRE DE DOCUMENTS</w:t>
      </w:r>
    </w:p>
    <w:p w14:paraId="558AC14F" w14:textId="00CACB3B" w:rsidR="00A0220E" w:rsidRPr="00E32F49" w:rsidRDefault="00C46880" w:rsidP="00E32F49">
      <w:pPr>
        <w:pStyle w:val="Heading-plainbold"/>
        <w:keepNext/>
        <w:numPr>
          <w:ilvl w:val="2"/>
          <w:numId w:val="49"/>
        </w:numPr>
        <w:suppressLineNumbers/>
        <w:suppressAutoHyphens/>
        <w:kinsoku w:val="0"/>
        <w:overflowPunct w:val="0"/>
        <w:autoSpaceDE w:val="0"/>
        <w:autoSpaceDN w:val="0"/>
        <w:ind w:left="720"/>
        <w:rPr>
          <w:rFonts w:asciiTheme="majorBidi" w:hAnsiTheme="majorBidi" w:cstheme="majorBidi"/>
          <w:i w:val="0"/>
          <w:lang w:val="en-CA"/>
        </w:rPr>
      </w:pPr>
      <w:r>
        <w:rPr>
          <w:rFonts w:asciiTheme="majorBidi" w:hAnsiTheme="majorBidi" w:cstheme="majorBidi"/>
          <w:i w:val="0"/>
          <w:iCs/>
          <w:snapToGrid w:val="0"/>
          <w:kern w:val="22"/>
          <w:szCs w:val="22"/>
        </w:rPr>
        <w:t xml:space="preserve">Documents de travail </w:t>
      </w:r>
    </w:p>
    <w:tbl>
      <w:tblPr>
        <w:tblW w:w="10587" w:type="dxa"/>
        <w:jc w:val="center"/>
        <w:tblLook w:val="04A0" w:firstRow="1" w:lastRow="0" w:firstColumn="1" w:lastColumn="0" w:noHBand="0" w:noVBand="1"/>
      </w:tblPr>
      <w:tblGrid>
        <w:gridCol w:w="3231"/>
        <w:gridCol w:w="6431"/>
        <w:gridCol w:w="925"/>
      </w:tblGrid>
      <w:tr w:rsidR="00A0220E" w:rsidRPr="00B84670" w14:paraId="483A0CE1" w14:textId="77777777" w:rsidTr="00784C8E">
        <w:trPr>
          <w:cantSplit/>
          <w:jc w:val="center"/>
        </w:trPr>
        <w:tc>
          <w:tcPr>
            <w:tcW w:w="3234" w:type="dxa"/>
            <w:shd w:val="clear" w:color="auto" w:fill="auto"/>
          </w:tcPr>
          <w:p w14:paraId="4726D28F"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Symbole</w:t>
            </w:r>
          </w:p>
        </w:tc>
        <w:tc>
          <w:tcPr>
            <w:tcW w:w="6464" w:type="dxa"/>
            <w:shd w:val="clear" w:color="auto" w:fill="auto"/>
          </w:tcPr>
          <w:p w14:paraId="37689024"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Intitulé</w:t>
            </w:r>
          </w:p>
        </w:tc>
        <w:tc>
          <w:tcPr>
            <w:tcW w:w="889" w:type="dxa"/>
            <w:shd w:val="clear" w:color="auto" w:fill="auto"/>
          </w:tcPr>
          <w:p w14:paraId="416E86E6" w14:textId="77777777" w:rsidR="00A0220E" w:rsidRPr="004C551D"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cstheme="majorBidi"/>
                <w:i/>
                <w:snapToGrid w:val="0"/>
                <w:kern w:val="22"/>
                <w:szCs w:val="22"/>
              </w:rPr>
              <w:t>Point(s) de l’ordre du jour</w:t>
            </w:r>
          </w:p>
        </w:tc>
      </w:tr>
      <w:tr w:rsidR="0054299D" w:rsidRPr="00B84670" w14:paraId="4D515592" w14:textId="77777777" w:rsidTr="00784C8E">
        <w:trPr>
          <w:cantSplit/>
          <w:jc w:val="center"/>
        </w:trPr>
        <w:tc>
          <w:tcPr>
            <w:tcW w:w="3234" w:type="dxa"/>
            <w:shd w:val="clear" w:color="auto" w:fill="auto"/>
          </w:tcPr>
          <w:p w14:paraId="09263206" w14:textId="68396B46"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CBD/CP/MOP/10/1/Rev.1</w:t>
            </w:r>
          </w:p>
        </w:tc>
        <w:tc>
          <w:tcPr>
            <w:tcW w:w="6464" w:type="dxa"/>
            <w:shd w:val="clear" w:color="auto" w:fill="auto"/>
          </w:tcPr>
          <w:p w14:paraId="1959B619" w14:textId="0B9BF7CF" w:rsidR="0054299D" w:rsidRPr="00986C80" w:rsidRDefault="00986059"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Ordre du jour provisoire</w:t>
            </w:r>
          </w:p>
        </w:tc>
        <w:tc>
          <w:tcPr>
            <w:tcW w:w="889" w:type="dxa"/>
            <w:shd w:val="clear" w:color="auto" w:fill="auto"/>
          </w:tcPr>
          <w:p w14:paraId="21AB8D1D" w14:textId="0BECE3C1"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2</w:t>
            </w:r>
          </w:p>
        </w:tc>
      </w:tr>
      <w:tr w:rsidR="0054299D" w:rsidRPr="00B84670" w14:paraId="6F8C8E3C" w14:textId="77777777" w:rsidTr="00784C8E">
        <w:trPr>
          <w:cantSplit/>
          <w:jc w:val="center"/>
        </w:trPr>
        <w:tc>
          <w:tcPr>
            <w:tcW w:w="3234" w:type="dxa"/>
            <w:shd w:val="clear" w:color="auto" w:fill="auto"/>
          </w:tcPr>
          <w:p w14:paraId="06CC339F" w14:textId="33D217CB"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CBD/CP/MOP/10/1/Add.6</w:t>
            </w:r>
          </w:p>
        </w:tc>
        <w:tc>
          <w:tcPr>
            <w:tcW w:w="6464" w:type="dxa"/>
            <w:shd w:val="clear" w:color="auto" w:fill="auto"/>
          </w:tcPr>
          <w:p w14:paraId="62E50F49" w14:textId="1C8C49D8" w:rsidR="0054299D" w:rsidRPr="00986C80" w:rsidRDefault="009E4B85"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Ordre du jour annoté</w:t>
            </w:r>
          </w:p>
        </w:tc>
        <w:tc>
          <w:tcPr>
            <w:tcW w:w="889" w:type="dxa"/>
            <w:shd w:val="clear" w:color="auto" w:fill="auto"/>
          </w:tcPr>
          <w:p w14:paraId="08884A06" w14:textId="393D9E41"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2</w:t>
            </w:r>
          </w:p>
        </w:tc>
      </w:tr>
      <w:tr w:rsidR="0054299D" w:rsidRPr="00B84670" w14:paraId="1398537F" w14:textId="77777777" w:rsidTr="00784C8E">
        <w:trPr>
          <w:cantSplit/>
          <w:jc w:val="center"/>
        </w:trPr>
        <w:tc>
          <w:tcPr>
            <w:tcW w:w="3234" w:type="dxa"/>
            <w:shd w:val="clear" w:color="auto" w:fill="auto"/>
          </w:tcPr>
          <w:p w14:paraId="44CEEFF4" w14:textId="28165C01"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CBD/CP/MOP/10/4</w:t>
            </w:r>
          </w:p>
        </w:tc>
        <w:tc>
          <w:tcPr>
            <w:tcW w:w="6464" w:type="dxa"/>
            <w:shd w:val="clear" w:color="auto" w:fill="auto"/>
          </w:tcPr>
          <w:p w14:paraId="51D83AB5" w14:textId="2828C030" w:rsidR="0054299D" w:rsidRPr="004C551D" w:rsidRDefault="00D74BBC"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Pr>
                <w:rFonts w:asciiTheme="majorBidi" w:hAnsiTheme="majorBidi" w:cstheme="majorBidi"/>
                <w:iCs/>
                <w:snapToGrid w:val="0"/>
                <w:kern w:val="22"/>
                <w:szCs w:val="22"/>
              </w:rPr>
              <w:t>Rapport de la Conférence des Parties siégeant en tant que réunion des Parties au Protocole de Cartagena sur la prévention des risques biotechnologiques, portant sur sa dixième réunion (première partie)</w:t>
            </w:r>
          </w:p>
        </w:tc>
        <w:tc>
          <w:tcPr>
            <w:tcW w:w="889" w:type="dxa"/>
            <w:shd w:val="clear" w:color="auto" w:fill="auto"/>
          </w:tcPr>
          <w:p w14:paraId="6F510E23" w14:textId="03DF8B00" w:rsidR="0054299D" w:rsidRPr="00DE343B" w:rsidRDefault="00F40668" w:rsidP="002A4498">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19</w:t>
            </w:r>
          </w:p>
        </w:tc>
      </w:tr>
      <w:tr w:rsidR="00F379A6" w:rsidRPr="00F379A6" w14:paraId="1E34CB8C" w14:textId="77777777" w:rsidTr="00784C8E">
        <w:trPr>
          <w:cantSplit/>
          <w:jc w:val="center"/>
        </w:trPr>
        <w:tc>
          <w:tcPr>
            <w:tcW w:w="3234" w:type="dxa"/>
            <w:shd w:val="clear" w:color="auto" w:fill="auto"/>
          </w:tcPr>
          <w:p w14:paraId="41763788" w14:textId="4F87DA3A"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4C551D">
              <w:rPr>
                <w:rFonts w:asciiTheme="majorBidi" w:eastAsia="MS Mincho" w:hAnsiTheme="majorBidi" w:cstheme="majorBidi"/>
                <w:color w:val="000000"/>
                <w:kern w:val="22"/>
                <w:szCs w:val="22"/>
                <w:lang w:val="en-GB"/>
              </w:rPr>
              <w:t>CBD/CP/MOP/10/L.1/Rev.1</w:t>
            </w:r>
          </w:p>
        </w:tc>
        <w:tc>
          <w:tcPr>
            <w:tcW w:w="6464" w:type="dxa"/>
            <w:shd w:val="clear" w:color="auto" w:fill="auto"/>
          </w:tcPr>
          <w:p w14:paraId="6F3D2456" w14:textId="60E7C957" w:rsidR="00F379A6" w:rsidRPr="004C551D" w:rsidRDefault="009B1631"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r>
              <w:rPr>
                <w:rFonts w:asciiTheme="majorBidi" w:eastAsia="MS Mincho" w:hAnsiTheme="majorBidi" w:cstheme="majorBidi"/>
                <w:color w:val="000000"/>
                <w:kern w:val="22"/>
                <w:szCs w:val="22"/>
              </w:rPr>
              <w:t>Projet de rapport de la réunion</w:t>
            </w:r>
          </w:p>
        </w:tc>
        <w:tc>
          <w:tcPr>
            <w:tcW w:w="889" w:type="dxa"/>
            <w:shd w:val="clear" w:color="auto" w:fill="auto"/>
          </w:tcPr>
          <w:p w14:paraId="17A7DF78" w14:textId="77CC7596" w:rsidR="00F379A6" w:rsidRPr="001E6565" w:rsidRDefault="00F40668"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rPr>
              <w:t>19</w:t>
            </w:r>
          </w:p>
        </w:tc>
      </w:tr>
      <w:tr w:rsidR="007F0F85" w:rsidRPr="00F379A6" w14:paraId="433E014A" w14:textId="77777777" w:rsidTr="00784C8E">
        <w:trPr>
          <w:cantSplit/>
          <w:jc w:val="center"/>
        </w:trPr>
        <w:tc>
          <w:tcPr>
            <w:tcW w:w="3234" w:type="dxa"/>
            <w:shd w:val="clear" w:color="auto" w:fill="auto"/>
          </w:tcPr>
          <w:p w14:paraId="6D2FD0E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464" w:type="dxa"/>
            <w:shd w:val="clear" w:color="auto" w:fill="auto"/>
          </w:tcPr>
          <w:p w14:paraId="5E6D808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shd w:val="clear" w:color="auto" w:fill="auto"/>
          </w:tcPr>
          <w:p w14:paraId="29E7F8BC"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14:paraId="19329B91" w14:textId="31CF8463" w:rsidR="00F379A6" w:rsidRPr="00BB6DDC" w:rsidRDefault="004B7AAC" w:rsidP="00BB6DDC">
      <w:pPr>
        <w:pStyle w:val="Heading-plainbold"/>
        <w:keepNext/>
        <w:numPr>
          <w:ilvl w:val="2"/>
          <w:numId w:val="49"/>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Pr>
          <w:rFonts w:asciiTheme="majorBidi" w:hAnsiTheme="majorBidi" w:cstheme="majorBidi"/>
          <w:i w:val="0"/>
          <w:iCs/>
          <w:snapToGrid w:val="0"/>
          <w:kern w:val="22"/>
          <w:szCs w:val="22"/>
        </w:rPr>
        <w:t>Documents d’information</w:t>
      </w:r>
    </w:p>
    <w:tbl>
      <w:tblPr>
        <w:tblW w:w="10587" w:type="dxa"/>
        <w:jc w:val="center"/>
        <w:tblLook w:val="04A0" w:firstRow="1" w:lastRow="0" w:firstColumn="1" w:lastColumn="0" w:noHBand="0" w:noVBand="1"/>
      </w:tblPr>
      <w:tblGrid>
        <w:gridCol w:w="3110"/>
        <w:gridCol w:w="6552"/>
        <w:gridCol w:w="925"/>
      </w:tblGrid>
      <w:tr w:rsidR="00415939" w:rsidRPr="007F7FCA" w14:paraId="50514324" w14:textId="77777777" w:rsidTr="00112E28">
        <w:trPr>
          <w:cantSplit/>
          <w:jc w:val="center"/>
        </w:trPr>
        <w:tc>
          <w:tcPr>
            <w:tcW w:w="3114" w:type="dxa"/>
            <w:shd w:val="clear" w:color="auto" w:fill="auto"/>
          </w:tcPr>
          <w:p w14:paraId="325C7D62"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Symbole</w:t>
            </w:r>
          </w:p>
        </w:tc>
        <w:tc>
          <w:tcPr>
            <w:tcW w:w="6584" w:type="dxa"/>
            <w:shd w:val="clear" w:color="auto" w:fill="auto"/>
          </w:tcPr>
          <w:p w14:paraId="2142F211"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Pr>
                <w:rFonts w:asciiTheme="majorBidi" w:hAnsiTheme="majorBidi" w:cstheme="majorBidi"/>
                <w:i/>
                <w:snapToGrid w:val="0"/>
                <w:kern w:val="22"/>
                <w:szCs w:val="22"/>
              </w:rPr>
              <w:t>Intitulé</w:t>
            </w:r>
          </w:p>
        </w:tc>
        <w:tc>
          <w:tcPr>
            <w:tcW w:w="889" w:type="dxa"/>
            <w:shd w:val="clear" w:color="auto" w:fill="auto"/>
          </w:tcPr>
          <w:p w14:paraId="204D4B5F" w14:textId="77777777" w:rsidR="00415939" w:rsidRPr="004C551D"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Pr>
                <w:rFonts w:asciiTheme="majorBidi" w:hAnsiTheme="majorBidi" w:cstheme="majorBidi"/>
                <w:i/>
                <w:snapToGrid w:val="0"/>
                <w:kern w:val="22"/>
                <w:szCs w:val="22"/>
              </w:rPr>
              <w:t>Point(s) de l’ordre du jour</w:t>
            </w:r>
          </w:p>
        </w:tc>
      </w:tr>
      <w:tr w:rsidR="004B7AAC" w:rsidRPr="007F7FCA" w14:paraId="0031EB78" w14:textId="77777777" w:rsidTr="001E6565">
        <w:trPr>
          <w:cantSplit/>
          <w:jc w:val="center"/>
        </w:trPr>
        <w:tc>
          <w:tcPr>
            <w:tcW w:w="3114" w:type="dxa"/>
            <w:shd w:val="clear" w:color="auto" w:fill="auto"/>
          </w:tcPr>
          <w:p w14:paraId="03DEB24D" w14:textId="2DFE95C0"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CBD/CP/MOP/10/INF/10</w:t>
            </w:r>
          </w:p>
        </w:tc>
        <w:tc>
          <w:tcPr>
            <w:tcW w:w="6584" w:type="dxa"/>
            <w:shd w:val="clear" w:color="auto" w:fill="auto"/>
          </w:tcPr>
          <w:p w14:paraId="116AE282" w14:textId="54026093" w:rsidR="004B7AAC" w:rsidRPr="004C551D" w:rsidRDefault="00370129"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Pr>
                <w:snapToGrid w:val="0"/>
                <w:kern w:val="22"/>
                <w:szCs w:val="22"/>
              </w:rPr>
              <w:t>Procédures d'élection aux postes de vice-président du Bureau de la Conférence des Parties, de président de l'Organe subsidiaire chargé de fournir des avis scientifiques, techniques et technologiques et de président de l'Organe subsidiaire chargé de l'application</w:t>
            </w:r>
          </w:p>
        </w:tc>
        <w:tc>
          <w:tcPr>
            <w:tcW w:w="889" w:type="dxa"/>
            <w:shd w:val="clear" w:color="auto" w:fill="auto"/>
          </w:tcPr>
          <w:p w14:paraId="4C8040FC" w14:textId="28245481" w:rsidR="004B7AAC" w:rsidRPr="00DE343B" w:rsidRDefault="00DE343B"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2</w:t>
            </w:r>
          </w:p>
          <w:p w14:paraId="6F49E061"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bl>
    <w:p w14:paraId="43CD1456" w14:textId="77777777" w:rsidR="005533B2" w:rsidRDefault="005533B2" w:rsidP="00E32F49">
      <w:pPr>
        <w:pStyle w:val="Para1"/>
        <w:suppressLineNumbers/>
        <w:suppressAutoHyphens/>
        <w:kinsoku w:val="0"/>
        <w:overflowPunct w:val="0"/>
        <w:autoSpaceDE w:val="0"/>
        <w:autoSpaceDN w:val="0"/>
        <w:spacing w:after="0"/>
        <w:jc w:val="center"/>
      </w:pPr>
    </w:p>
    <w:p w14:paraId="54D8D8F5" w14:textId="77777777" w:rsidR="005533B2" w:rsidRDefault="005533B2">
      <w:pPr>
        <w:jc w:val="left"/>
        <w:rPr>
          <w:snapToGrid w:val="0"/>
          <w:szCs w:val="18"/>
        </w:rPr>
      </w:pPr>
      <w:r>
        <w:br w:type="page"/>
      </w:r>
    </w:p>
    <w:p w14:paraId="39F32B9D" w14:textId="77777777" w:rsidR="00D90013" w:rsidRPr="00AA6D02" w:rsidRDefault="00D90013" w:rsidP="00D90013">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rPr>
      </w:pPr>
      <w:r>
        <w:rPr>
          <w:i/>
          <w:iCs/>
          <w:snapToGrid w:val="0"/>
          <w:kern w:val="22"/>
          <w:szCs w:val="22"/>
        </w:rPr>
        <w:t>Annexe II</w:t>
      </w:r>
    </w:p>
    <w:p w14:paraId="40DCF323" w14:textId="77777777" w:rsidR="00D90013" w:rsidRDefault="00D90013" w:rsidP="00D90013">
      <w:pPr>
        <w:suppressLineNumbers/>
        <w:tabs>
          <w:tab w:val="left" w:pos="360"/>
          <w:tab w:val="left" w:pos="720"/>
        </w:tabs>
        <w:suppressAutoHyphens/>
        <w:kinsoku w:val="0"/>
        <w:overflowPunct w:val="0"/>
        <w:autoSpaceDE w:val="0"/>
        <w:autoSpaceDN w:val="0"/>
        <w:adjustRightInd w:val="0"/>
        <w:snapToGrid w:val="0"/>
        <w:spacing w:before="120" w:after="120"/>
        <w:jc w:val="center"/>
        <w:rPr>
          <w:b/>
          <w:snapToGrid w:val="0"/>
          <w:kern w:val="22"/>
          <w:szCs w:val="22"/>
        </w:rPr>
      </w:pPr>
      <w:r>
        <w:rPr>
          <w:b/>
          <w:snapToGrid w:val="0"/>
          <w:kern w:val="22"/>
          <w:szCs w:val="22"/>
        </w:rPr>
        <w:t>PROPOSITION D'ORGANISATION DES TRAVAUX POUR LA REPRISE DE LA DEUXIÈME PARTIE DE LA DIXIÈME RÉUNION DE LA CONFÉRENCE DES PARTIES SIÉGEANT EN TANT QUE RÉUNION DES PARTIES AU PROTOCOLE DE CARTAGENA SUR LA PRÉVENTION DES RISQUES BIOTECHNOLOGIQUES</w:t>
      </w:r>
    </w:p>
    <w:p w14:paraId="580DA435" w14:textId="77777777" w:rsidR="007F05D1" w:rsidRDefault="007F05D1" w:rsidP="00D90013">
      <w:pPr>
        <w:suppressLineNumbers/>
        <w:tabs>
          <w:tab w:val="left" w:pos="360"/>
          <w:tab w:val="left" w:pos="720"/>
        </w:tabs>
        <w:suppressAutoHyphens/>
        <w:kinsoku w:val="0"/>
        <w:overflowPunct w:val="0"/>
        <w:autoSpaceDE w:val="0"/>
        <w:autoSpaceDN w:val="0"/>
        <w:adjustRightInd w:val="0"/>
        <w:snapToGrid w:val="0"/>
        <w:spacing w:before="120" w:after="120"/>
        <w:jc w:val="left"/>
        <w:rPr>
          <w:bCs/>
          <w:i/>
          <w:iCs/>
          <w:snapToGrid w:val="0"/>
          <w:kern w:val="22"/>
          <w:szCs w:val="22"/>
        </w:rPr>
      </w:pPr>
    </w:p>
    <w:tbl>
      <w:tblPr>
        <w:tblStyle w:val="Grilledutableau"/>
        <w:tblW w:w="10490" w:type="dxa"/>
        <w:tblInd w:w="-572" w:type="dxa"/>
        <w:tblLook w:val="04A0" w:firstRow="1" w:lastRow="0" w:firstColumn="1" w:lastColumn="0" w:noHBand="0" w:noVBand="1"/>
      </w:tblPr>
      <w:tblGrid>
        <w:gridCol w:w="1131"/>
        <w:gridCol w:w="686"/>
        <w:gridCol w:w="700"/>
        <w:gridCol w:w="749"/>
        <w:gridCol w:w="2535"/>
        <w:gridCol w:w="4689"/>
      </w:tblGrid>
      <w:tr w:rsidR="00264069" w:rsidRPr="00264069" w14:paraId="56304261" w14:textId="77777777" w:rsidTr="005109E5">
        <w:tc>
          <w:tcPr>
            <w:tcW w:w="1131" w:type="dxa"/>
            <w:tcBorders>
              <w:left w:val="nil"/>
              <w:bottom w:val="double" w:sz="4" w:space="0" w:color="000000"/>
              <w:right w:val="dotted" w:sz="4" w:space="0" w:color="000000"/>
            </w:tcBorders>
          </w:tcPr>
          <w:p w14:paraId="1F0C4131" w14:textId="77777777" w:rsidR="00264069" w:rsidRPr="00264069" w:rsidRDefault="00264069" w:rsidP="00264069">
            <w:pPr>
              <w:spacing w:before="40" w:after="40"/>
              <w:rPr>
                <w:rFonts w:cs="Calibri"/>
                <w:kern w:val="22"/>
                <w:sz w:val="18"/>
                <w:szCs w:val="18"/>
              </w:rPr>
            </w:pPr>
            <w:r>
              <w:rPr>
                <w:rFonts w:cs="Calibri"/>
                <w:kern w:val="22"/>
                <w:sz w:val="18"/>
                <w:szCs w:val="18"/>
              </w:rPr>
              <w:t>Date</w:t>
            </w:r>
          </w:p>
        </w:tc>
        <w:tc>
          <w:tcPr>
            <w:tcW w:w="9359" w:type="dxa"/>
            <w:gridSpan w:val="5"/>
            <w:tcBorders>
              <w:left w:val="dotted" w:sz="4" w:space="0" w:color="000000"/>
              <w:bottom w:val="single" w:sz="4" w:space="0" w:color="auto"/>
              <w:right w:val="nil"/>
            </w:tcBorders>
          </w:tcPr>
          <w:p w14:paraId="342DA56E" w14:textId="599109F3" w:rsidR="00264069" w:rsidRPr="00AA6D02" w:rsidRDefault="00264069" w:rsidP="00AA6D02">
            <w:pPr>
              <w:spacing w:before="40" w:after="40"/>
              <w:jc w:val="center"/>
              <w:rPr>
                <w:rFonts w:cs="Calibri"/>
                <w:b/>
                <w:bCs/>
                <w:i/>
                <w:iCs/>
                <w:kern w:val="22"/>
                <w:sz w:val="20"/>
                <w:szCs w:val="20"/>
              </w:rPr>
            </w:pPr>
            <w:r>
              <w:rPr>
                <w:rFonts w:cs="Calibri"/>
                <w:i/>
                <w:iCs/>
                <w:kern w:val="22"/>
                <w:sz w:val="20"/>
                <w:szCs w:val="20"/>
              </w:rPr>
              <w:t>Points de l'ordre du jour</w:t>
            </w:r>
          </w:p>
        </w:tc>
      </w:tr>
      <w:tr w:rsidR="00264069" w:rsidRPr="00264069" w14:paraId="31004D48" w14:textId="77777777" w:rsidTr="00AA6D02">
        <w:tc>
          <w:tcPr>
            <w:tcW w:w="1131" w:type="dxa"/>
            <w:vMerge w:val="restart"/>
            <w:tcBorders>
              <w:top w:val="double" w:sz="4" w:space="0" w:color="000000"/>
              <w:bottom w:val="double" w:sz="4" w:space="0" w:color="000000"/>
              <w:right w:val="single" w:sz="4" w:space="0" w:color="auto"/>
            </w:tcBorders>
          </w:tcPr>
          <w:p w14:paraId="146F5FC7" w14:textId="69356145" w:rsidR="00264069" w:rsidRPr="00264069" w:rsidRDefault="00264069" w:rsidP="00264069">
            <w:pPr>
              <w:spacing w:before="40" w:after="40"/>
              <w:rPr>
                <w:rFonts w:cs="Calibri"/>
                <w:kern w:val="22"/>
                <w:sz w:val="18"/>
                <w:szCs w:val="18"/>
              </w:rPr>
            </w:pPr>
            <w:r>
              <w:rPr>
                <w:rFonts w:cs="Calibri"/>
                <w:kern w:val="22"/>
                <w:sz w:val="18"/>
                <w:szCs w:val="18"/>
              </w:rPr>
              <w:t xml:space="preserve">Jeudi </w:t>
            </w:r>
            <w:r w:rsidR="00697E30">
              <w:rPr>
                <w:rFonts w:cs="Calibri"/>
                <w:kern w:val="22"/>
                <w:sz w:val="18"/>
                <w:szCs w:val="18"/>
              </w:rPr>
              <w:br/>
            </w:r>
            <w:r>
              <w:rPr>
                <w:rFonts w:cs="Calibri"/>
                <w:kern w:val="22"/>
                <w:sz w:val="18"/>
                <w:szCs w:val="18"/>
              </w:rPr>
              <w:t>19 octobre</w:t>
            </w:r>
          </w:p>
          <w:p w14:paraId="70CF49A3" w14:textId="2959AA5F" w:rsidR="00264069" w:rsidRPr="00264069" w:rsidRDefault="00264069" w:rsidP="00264069">
            <w:pPr>
              <w:spacing w:before="40" w:after="40"/>
              <w:rPr>
                <w:rFonts w:cs="Calibri"/>
                <w:kern w:val="22"/>
                <w:sz w:val="18"/>
                <w:szCs w:val="18"/>
              </w:rPr>
            </w:pPr>
            <w:r>
              <w:rPr>
                <w:rFonts w:cs="Calibri"/>
                <w:kern w:val="22"/>
                <w:sz w:val="18"/>
                <w:szCs w:val="18"/>
              </w:rPr>
              <w:t>(15h00 - 18h00)</w:t>
            </w:r>
          </w:p>
        </w:tc>
        <w:tc>
          <w:tcPr>
            <w:tcW w:w="686" w:type="dxa"/>
            <w:tcBorders>
              <w:top w:val="double" w:sz="4" w:space="0" w:color="000000"/>
              <w:left w:val="single" w:sz="4" w:space="0" w:color="auto"/>
              <w:bottom w:val="dotted" w:sz="4" w:space="0" w:color="000000"/>
              <w:right w:val="dotted" w:sz="4" w:space="0" w:color="000000"/>
            </w:tcBorders>
          </w:tcPr>
          <w:p w14:paraId="5B48F44A"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CBD</w:t>
            </w:r>
          </w:p>
        </w:tc>
        <w:tc>
          <w:tcPr>
            <w:tcW w:w="700" w:type="dxa"/>
            <w:tcBorders>
              <w:top w:val="double" w:sz="4" w:space="0" w:color="000000"/>
              <w:left w:val="dotted" w:sz="4" w:space="0" w:color="000000"/>
              <w:bottom w:val="dotted" w:sz="4" w:space="0" w:color="000000"/>
              <w:right w:val="dotted" w:sz="4" w:space="0" w:color="000000"/>
            </w:tcBorders>
          </w:tcPr>
          <w:p w14:paraId="18D0A150"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CP</w:t>
            </w:r>
          </w:p>
        </w:tc>
        <w:tc>
          <w:tcPr>
            <w:tcW w:w="749" w:type="dxa"/>
            <w:tcBorders>
              <w:top w:val="double" w:sz="4" w:space="0" w:color="000000"/>
              <w:left w:val="dotted" w:sz="4" w:space="0" w:color="000000"/>
              <w:bottom w:val="dotted" w:sz="4" w:space="0" w:color="000000"/>
              <w:right w:val="dotted" w:sz="4" w:space="0" w:color="000000"/>
            </w:tcBorders>
          </w:tcPr>
          <w:p w14:paraId="16C93928"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NP</w:t>
            </w:r>
          </w:p>
        </w:tc>
        <w:tc>
          <w:tcPr>
            <w:tcW w:w="7224" w:type="dxa"/>
            <w:gridSpan w:val="2"/>
            <w:tcBorders>
              <w:top w:val="double" w:sz="4" w:space="0" w:color="000000"/>
              <w:left w:val="dotted" w:sz="4" w:space="0" w:color="000000"/>
              <w:bottom w:val="dotted" w:sz="4" w:space="0" w:color="000000"/>
            </w:tcBorders>
          </w:tcPr>
          <w:p w14:paraId="40A264C2" w14:textId="77777777" w:rsidR="00264069" w:rsidRPr="00264069" w:rsidRDefault="00264069" w:rsidP="00264069">
            <w:pPr>
              <w:spacing w:before="40" w:after="40"/>
              <w:rPr>
                <w:rFonts w:cs="Calibri"/>
                <w:kern w:val="22"/>
                <w:sz w:val="18"/>
                <w:szCs w:val="18"/>
              </w:rPr>
            </w:pPr>
          </w:p>
        </w:tc>
      </w:tr>
      <w:tr w:rsidR="00264069" w:rsidRPr="00264069" w14:paraId="52CE9B48" w14:textId="77777777" w:rsidTr="00AA6D02">
        <w:tc>
          <w:tcPr>
            <w:tcW w:w="1131" w:type="dxa"/>
            <w:vMerge/>
            <w:tcBorders>
              <w:bottom w:val="double" w:sz="4" w:space="0" w:color="000000"/>
              <w:right w:val="single" w:sz="4" w:space="0" w:color="auto"/>
            </w:tcBorders>
          </w:tcPr>
          <w:p w14:paraId="73A17EB9"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1587688F"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1</w:t>
            </w:r>
          </w:p>
        </w:tc>
        <w:tc>
          <w:tcPr>
            <w:tcW w:w="700" w:type="dxa"/>
            <w:tcBorders>
              <w:top w:val="dotted" w:sz="4" w:space="0" w:color="000000"/>
              <w:left w:val="dotted" w:sz="4" w:space="0" w:color="000000"/>
              <w:bottom w:val="dotted" w:sz="4" w:space="0" w:color="000000"/>
              <w:right w:val="dotted" w:sz="4" w:space="0" w:color="000000"/>
            </w:tcBorders>
          </w:tcPr>
          <w:p w14:paraId="06C2F86A"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1</w:t>
            </w:r>
          </w:p>
        </w:tc>
        <w:tc>
          <w:tcPr>
            <w:tcW w:w="749" w:type="dxa"/>
            <w:tcBorders>
              <w:top w:val="dotted" w:sz="4" w:space="0" w:color="000000"/>
              <w:left w:val="dotted" w:sz="4" w:space="0" w:color="000000"/>
              <w:bottom w:val="dotted" w:sz="4" w:space="0" w:color="000000"/>
              <w:right w:val="dotted" w:sz="4" w:space="0" w:color="000000"/>
            </w:tcBorders>
          </w:tcPr>
          <w:p w14:paraId="00C0B269"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1</w:t>
            </w:r>
          </w:p>
        </w:tc>
        <w:tc>
          <w:tcPr>
            <w:tcW w:w="7224" w:type="dxa"/>
            <w:gridSpan w:val="2"/>
            <w:tcBorders>
              <w:top w:val="dotted" w:sz="4" w:space="0" w:color="000000"/>
              <w:left w:val="dotted" w:sz="4" w:space="0" w:color="000000"/>
              <w:bottom w:val="dotted" w:sz="4" w:space="0" w:color="000000"/>
            </w:tcBorders>
          </w:tcPr>
          <w:p w14:paraId="7B890696" w14:textId="77777777" w:rsidR="00264069" w:rsidRPr="00264069" w:rsidRDefault="00264069" w:rsidP="00264069">
            <w:pPr>
              <w:spacing w:before="40" w:after="40"/>
              <w:rPr>
                <w:rFonts w:cs="Calibri"/>
                <w:kern w:val="22"/>
                <w:sz w:val="18"/>
                <w:szCs w:val="18"/>
              </w:rPr>
            </w:pPr>
            <w:r>
              <w:rPr>
                <w:rFonts w:cs="Calibri"/>
                <w:kern w:val="22"/>
                <w:sz w:val="18"/>
                <w:szCs w:val="18"/>
              </w:rPr>
              <w:t>Ouverture de la réunion</w:t>
            </w:r>
          </w:p>
        </w:tc>
      </w:tr>
      <w:tr w:rsidR="00264069" w:rsidRPr="00264069" w14:paraId="258E0593" w14:textId="77777777" w:rsidTr="00AA6D02">
        <w:tc>
          <w:tcPr>
            <w:tcW w:w="1131" w:type="dxa"/>
            <w:vMerge/>
            <w:tcBorders>
              <w:bottom w:val="double" w:sz="4" w:space="0" w:color="000000"/>
              <w:right w:val="single" w:sz="4" w:space="0" w:color="auto"/>
            </w:tcBorders>
          </w:tcPr>
          <w:p w14:paraId="5B280906"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29EF0C4A"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2</w:t>
            </w:r>
          </w:p>
        </w:tc>
        <w:tc>
          <w:tcPr>
            <w:tcW w:w="700" w:type="dxa"/>
            <w:tcBorders>
              <w:top w:val="dotted" w:sz="4" w:space="0" w:color="000000"/>
              <w:left w:val="dotted" w:sz="4" w:space="0" w:color="000000"/>
              <w:bottom w:val="dotted" w:sz="4" w:space="0" w:color="000000"/>
              <w:right w:val="dotted" w:sz="4" w:space="0" w:color="000000"/>
            </w:tcBorders>
          </w:tcPr>
          <w:p w14:paraId="52B735F1"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2</w:t>
            </w:r>
          </w:p>
        </w:tc>
        <w:tc>
          <w:tcPr>
            <w:tcW w:w="749" w:type="dxa"/>
            <w:tcBorders>
              <w:top w:val="dotted" w:sz="4" w:space="0" w:color="000000"/>
              <w:left w:val="dotted" w:sz="4" w:space="0" w:color="000000"/>
              <w:bottom w:val="dotted" w:sz="4" w:space="0" w:color="000000"/>
              <w:right w:val="dotted" w:sz="4" w:space="0" w:color="000000"/>
            </w:tcBorders>
          </w:tcPr>
          <w:p w14:paraId="599D4E31"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2</w:t>
            </w:r>
          </w:p>
        </w:tc>
        <w:tc>
          <w:tcPr>
            <w:tcW w:w="7224" w:type="dxa"/>
            <w:gridSpan w:val="2"/>
            <w:tcBorders>
              <w:top w:val="dotted" w:sz="4" w:space="0" w:color="000000"/>
              <w:left w:val="dotted" w:sz="4" w:space="0" w:color="000000"/>
              <w:bottom w:val="dotted" w:sz="4" w:space="0" w:color="000000"/>
            </w:tcBorders>
          </w:tcPr>
          <w:p w14:paraId="02CDA05F" w14:textId="77777777" w:rsidR="00264069" w:rsidRPr="00264069" w:rsidRDefault="00264069" w:rsidP="00264069">
            <w:pPr>
              <w:spacing w:before="40" w:after="40"/>
              <w:rPr>
                <w:rFonts w:cs="Calibri"/>
                <w:kern w:val="22"/>
                <w:sz w:val="18"/>
                <w:szCs w:val="18"/>
              </w:rPr>
            </w:pPr>
            <w:r>
              <w:rPr>
                <w:rFonts w:cs="Calibri"/>
                <w:kern w:val="22"/>
                <w:sz w:val="18"/>
                <w:szCs w:val="18"/>
              </w:rPr>
              <w:t>Questions d'organisation (organisation des travaux)</w:t>
            </w:r>
          </w:p>
        </w:tc>
      </w:tr>
      <w:tr w:rsidR="00264069" w:rsidRPr="00264069" w14:paraId="4CBF18C4" w14:textId="77777777" w:rsidTr="00AA6D02">
        <w:tc>
          <w:tcPr>
            <w:tcW w:w="1131" w:type="dxa"/>
            <w:vMerge/>
            <w:tcBorders>
              <w:bottom w:val="double" w:sz="4" w:space="0" w:color="000000"/>
              <w:right w:val="single" w:sz="4" w:space="0" w:color="auto"/>
            </w:tcBorders>
          </w:tcPr>
          <w:p w14:paraId="5478A08F"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2B47BB8"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3</w:t>
            </w:r>
          </w:p>
        </w:tc>
        <w:tc>
          <w:tcPr>
            <w:tcW w:w="700" w:type="dxa"/>
            <w:tcBorders>
              <w:top w:val="dotted" w:sz="4" w:space="0" w:color="000000"/>
              <w:left w:val="dotted" w:sz="4" w:space="0" w:color="000000"/>
              <w:bottom w:val="dotted" w:sz="4" w:space="0" w:color="000000"/>
              <w:right w:val="dotted" w:sz="4" w:space="0" w:color="000000"/>
            </w:tcBorders>
          </w:tcPr>
          <w:p w14:paraId="50FB1FA7"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3</w:t>
            </w:r>
          </w:p>
        </w:tc>
        <w:tc>
          <w:tcPr>
            <w:tcW w:w="749" w:type="dxa"/>
            <w:tcBorders>
              <w:top w:val="dotted" w:sz="4" w:space="0" w:color="000000"/>
              <w:left w:val="dotted" w:sz="4" w:space="0" w:color="000000"/>
              <w:bottom w:val="dotted" w:sz="4" w:space="0" w:color="000000"/>
              <w:right w:val="dotted" w:sz="4" w:space="0" w:color="000000"/>
            </w:tcBorders>
          </w:tcPr>
          <w:p w14:paraId="4CFA3364"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3</w:t>
            </w:r>
          </w:p>
        </w:tc>
        <w:tc>
          <w:tcPr>
            <w:tcW w:w="7224" w:type="dxa"/>
            <w:gridSpan w:val="2"/>
            <w:tcBorders>
              <w:top w:val="dotted" w:sz="4" w:space="0" w:color="000000"/>
              <w:left w:val="dotted" w:sz="4" w:space="0" w:color="000000"/>
              <w:bottom w:val="dotted" w:sz="4" w:space="0" w:color="000000"/>
            </w:tcBorders>
          </w:tcPr>
          <w:p w14:paraId="3592687B" w14:textId="1C4E1277" w:rsidR="00264069" w:rsidRPr="00264069" w:rsidRDefault="00264069" w:rsidP="00264069">
            <w:pPr>
              <w:spacing w:before="40" w:after="40"/>
              <w:rPr>
                <w:rFonts w:cs="Calibri"/>
                <w:kern w:val="22"/>
                <w:sz w:val="18"/>
                <w:szCs w:val="18"/>
              </w:rPr>
            </w:pPr>
            <w:r>
              <w:rPr>
                <w:rFonts w:cs="Calibri"/>
                <w:kern w:val="22"/>
                <w:sz w:val="18"/>
                <w:szCs w:val="18"/>
              </w:rPr>
              <w:t>Rapport sur la vérification des pouvoirs des représentants des Parties</w:t>
            </w:r>
          </w:p>
        </w:tc>
      </w:tr>
      <w:tr w:rsidR="00264069" w:rsidRPr="00264069" w14:paraId="0500C9FA" w14:textId="77777777" w:rsidTr="00AA6D02">
        <w:tc>
          <w:tcPr>
            <w:tcW w:w="1131" w:type="dxa"/>
            <w:vMerge/>
            <w:tcBorders>
              <w:bottom w:val="double" w:sz="4" w:space="0" w:color="000000"/>
              <w:right w:val="single" w:sz="4" w:space="0" w:color="auto"/>
            </w:tcBorders>
          </w:tcPr>
          <w:p w14:paraId="5A25E820" w14:textId="77777777" w:rsidR="00264069" w:rsidRPr="00264069" w:rsidRDefault="00264069" w:rsidP="00264069">
            <w:pPr>
              <w:spacing w:before="40" w:after="40"/>
              <w:rPr>
                <w:rFonts w:cs="Calibri"/>
                <w:kern w:val="22"/>
                <w:sz w:val="18"/>
                <w:szCs w:val="18"/>
              </w:rPr>
            </w:pPr>
            <w:bookmarkStart w:id="3" w:name="_Hlk115959280"/>
          </w:p>
        </w:tc>
        <w:tc>
          <w:tcPr>
            <w:tcW w:w="686" w:type="dxa"/>
            <w:tcBorders>
              <w:top w:val="dotted" w:sz="4" w:space="0" w:color="000000"/>
              <w:left w:val="single" w:sz="4" w:space="0" w:color="auto"/>
              <w:bottom w:val="dotted" w:sz="4" w:space="0" w:color="000000"/>
              <w:right w:val="dotted" w:sz="4" w:space="0" w:color="000000"/>
            </w:tcBorders>
          </w:tcPr>
          <w:p w14:paraId="7B46F40E"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5</w:t>
            </w:r>
          </w:p>
        </w:tc>
        <w:tc>
          <w:tcPr>
            <w:tcW w:w="700" w:type="dxa"/>
            <w:tcBorders>
              <w:top w:val="dotted" w:sz="4" w:space="0" w:color="000000"/>
              <w:left w:val="dotted" w:sz="4" w:space="0" w:color="000000"/>
              <w:bottom w:val="dotted" w:sz="4" w:space="0" w:color="000000"/>
              <w:right w:val="dotted" w:sz="4" w:space="0" w:color="000000"/>
            </w:tcBorders>
          </w:tcPr>
          <w:p w14:paraId="6C0DB485" w14:textId="28301300" w:rsidR="00264069" w:rsidRPr="00264069" w:rsidRDefault="00FA5B06" w:rsidP="00264069">
            <w:pPr>
              <w:spacing w:before="40" w:after="40"/>
              <w:rPr>
                <w:rFonts w:cs="Calibri"/>
                <w:kern w:val="22"/>
                <w:sz w:val="18"/>
                <w:szCs w:val="18"/>
              </w:rPr>
            </w:pPr>
            <w:r>
              <w:rPr>
                <w:rFonts w:cs="Calibri"/>
                <w:kern w:val="22"/>
                <w:sz w:val="18"/>
                <w:szCs w:val="18"/>
              </w:rPr>
              <w:t>n/a</w:t>
            </w:r>
          </w:p>
        </w:tc>
        <w:tc>
          <w:tcPr>
            <w:tcW w:w="749" w:type="dxa"/>
            <w:tcBorders>
              <w:top w:val="dotted" w:sz="4" w:space="0" w:color="000000"/>
              <w:left w:val="dotted" w:sz="4" w:space="0" w:color="000000"/>
              <w:bottom w:val="dotted" w:sz="4" w:space="0" w:color="000000"/>
              <w:right w:val="dotted" w:sz="4" w:space="0" w:color="000000"/>
            </w:tcBorders>
          </w:tcPr>
          <w:p w14:paraId="64D340D5" w14:textId="405A96A0" w:rsidR="00264069" w:rsidRPr="00264069" w:rsidRDefault="00FA5B06" w:rsidP="00264069">
            <w:pPr>
              <w:spacing w:before="40" w:after="40"/>
              <w:rPr>
                <w:rFonts w:cs="Calibri"/>
                <w:kern w:val="22"/>
                <w:sz w:val="18"/>
                <w:szCs w:val="18"/>
              </w:rPr>
            </w:pPr>
            <w:r>
              <w:rPr>
                <w:rFonts w:cs="Calibri"/>
                <w:kern w:val="22"/>
                <w:sz w:val="18"/>
                <w:szCs w:val="18"/>
              </w:rPr>
              <w:t>n/a</w:t>
            </w:r>
          </w:p>
        </w:tc>
        <w:tc>
          <w:tcPr>
            <w:tcW w:w="7224" w:type="dxa"/>
            <w:gridSpan w:val="2"/>
            <w:tcBorders>
              <w:top w:val="dotted" w:sz="4" w:space="0" w:color="000000"/>
              <w:left w:val="dotted" w:sz="4" w:space="0" w:color="000000"/>
              <w:bottom w:val="dotted" w:sz="4" w:space="0" w:color="000000"/>
            </w:tcBorders>
          </w:tcPr>
          <w:p w14:paraId="176B2896" w14:textId="77777777" w:rsidR="00264069" w:rsidRPr="00264069" w:rsidRDefault="00264069" w:rsidP="00264069">
            <w:pPr>
              <w:spacing w:before="40" w:after="40"/>
              <w:rPr>
                <w:rFonts w:cs="Calibri"/>
                <w:kern w:val="22"/>
                <w:sz w:val="18"/>
                <w:szCs w:val="18"/>
              </w:rPr>
            </w:pPr>
            <w:r>
              <w:rPr>
                <w:rFonts w:cs="Calibri"/>
                <w:kern w:val="22"/>
                <w:sz w:val="18"/>
                <w:szCs w:val="18"/>
              </w:rPr>
              <w:t>Date et lieu des futures réunions de la Conférence des Parties</w:t>
            </w:r>
          </w:p>
        </w:tc>
      </w:tr>
      <w:bookmarkEnd w:id="3"/>
      <w:tr w:rsidR="00264069" w:rsidRPr="00264069" w14:paraId="453AB6B4" w14:textId="77777777" w:rsidTr="00AA6D02">
        <w:tc>
          <w:tcPr>
            <w:tcW w:w="1131" w:type="dxa"/>
            <w:vMerge/>
            <w:tcBorders>
              <w:bottom w:val="double" w:sz="4" w:space="0" w:color="000000"/>
              <w:right w:val="single" w:sz="4" w:space="0" w:color="auto"/>
            </w:tcBorders>
          </w:tcPr>
          <w:p w14:paraId="0A513A3D"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933F566" w14:textId="0331A268" w:rsidR="00264069" w:rsidRPr="00264069" w:rsidRDefault="00FA5B06" w:rsidP="00264069">
            <w:pPr>
              <w:spacing w:before="40" w:after="40"/>
              <w:rPr>
                <w:rFonts w:cs="Calibri"/>
                <w:kern w:val="22"/>
                <w:sz w:val="18"/>
                <w:szCs w:val="18"/>
              </w:rPr>
            </w:pPr>
            <w:r>
              <w:rPr>
                <w:rFonts w:cs="Calibri"/>
                <w:kern w:val="22"/>
                <w:sz w:val="18"/>
                <w:szCs w:val="18"/>
              </w:rPr>
              <w:t>n/a</w:t>
            </w:r>
          </w:p>
        </w:tc>
        <w:tc>
          <w:tcPr>
            <w:tcW w:w="700" w:type="dxa"/>
            <w:tcBorders>
              <w:top w:val="dotted" w:sz="4" w:space="0" w:color="000000"/>
              <w:left w:val="dotted" w:sz="4" w:space="0" w:color="000000"/>
              <w:bottom w:val="dotted" w:sz="4" w:space="0" w:color="000000"/>
              <w:right w:val="dotted" w:sz="4" w:space="0" w:color="000000"/>
            </w:tcBorders>
          </w:tcPr>
          <w:p w14:paraId="095A2F96"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5</w:t>
            </w:r>
          </w:p>
        </w:tc>
        <w:tc>
          <w:tcPr>
            <w:tcW w:w="749" w:type="dxa"/>
            <w:tcBorders>
              <w:top w:val="dotted" w:sz="4" w:space="0" w:color="000000"/>
              <w:left w:val="dotted" w:sz="4" w:space="0" w:color="000000"/>
              <w:bottom w:val="dotted" w:sz="4" w:space="0" w:color="000000"/>
              <w:right w:val="dotted" w:sz="4" w:space="0" w:color="000000"/>
            </w:tcBorders>
          </w:tcPr>
          <w:p w14:paraId="63E045B0"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5</w:t>
            </w:r>
          </w:p>
        </w:tc>
        <w:tc>
          <w:tcPr>
            <w:tcW w:w="7224" w:type="dxa"/>
            <w:gridSpan w:val="2"/>
            <w:tcBorders>
              <w:top w:val="dotted" w:sz="4" w:space="0" w:color="000000"/>
              <w:left w:val="dotted" w:sz="4" w:space="0" w:color="000000"/>
              <w:bottom w:val="dotted" w:sz="4" w:space="0" w:color="000000"/>
            </w:tcBorders>
          </w:tcPr>
          <w:p w14:paraId="2DDE539F" w14:textId="77777777" w:rsidR="00264069" w:rsidRPr="00264069" w:rsidRDefault="00264069" w:rsidP="00264069">
            <w:pPr>
              <w:spacing w:before="40" w:after="40"/>
              <w:rPr>
                <w:rFonts w:cs="Calibri"/>
                <w:kern w:val="22"/>
                <w:sz w:val="18"/>
                <w:szCs w:val="18"/>
              </w:rPr>
            </w:pPr>
            <w:r>
              <w:rPr>
                <w:rFonts w:cs="Calibri"/>
                <w:kern w:val="22"/>
                <w:sz w:val="18"/>
                <w:szCs w:val="18"/>
              </w:rPr>
              <w:t>Rapport du Comité de conformité</w:t>
            </w:r>
          </w:p>
        </w:tc>
      </w:tr>
      <w:tr w:rsidR="00264069" w:rsidRPr="00264069" w14:paraId="1897CDCE" w14:textId="77777777" w:rsidTr="00AA6D02">
        <w:tc>
          <w:tcPr>
            <w:tcW w:w="1131" w:type="dxa"/>
            <w:vMerge/>
            <w:tcBorders>
              <w:bottom w:val="double" w:sz="4" w:space="0" w:color="000000"/>
              <w:right w:val="single" w:sz="4" w:space="0" w:color="auto"/>
            </w:tcBorders>
          </w:tcPr>
          <w:p w14:paraId="787FFD37"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uble" w:sz="4" w:space="0" w:color="000000"/>
              <w:right w:val="dotted" w:sz="4" w:space="0" w:color="000000"/>
            </w:tcBorders>
          </w:tcPr>
          <w:p w14:paraId="61222169"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2</w:t>
            </w:r>
          </w:p>
        </w:tc>
        <w:tc>
          <w:tcPr>
            <w:tcW w:w="700" w:type="dxa"/>
            <w:tcBorders>
              <w:top w:val="dotted" w:sz="4" w:space="0" w:color="000000"/>
              <w:left w:val="dotted" w:sz="4" w:space="0" w:color="000000"/>
              <w:bottom w:val="double" w:sz="4" w:space="0" w:color="000000"/>
              <w:right w:val="dotted" w:sz="4" w:space="0" w:color="000000"/>
            </w:tcBorders>
          </w:tcPr>
          <w:p w14:paraId="7568B1DA"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2</w:t>
            </w:r>
          </w:p>
        </w:tc>
        <w:tc>
          <w:tcPr>
            <w:tcW w:w="749" w:type="dxa"/>
            <w:tcBorders>
              <w:top w:val="dotted" w:sz="4" w:space="0" w:color="000000"/>
              <w:left w:val="dotted" w:sz="4" w:space="0" w:color="000000"/>
              <w:bottom w:val="double" w:sz="4" w:space="0" w:color="000000"/>
              <w:right w:val="dotted" w:sz="4" w:space="0" w:color="000000"/>
            </w:tcBorders>
          </w:tcPr>
          <w:p w14:paraId="4C7BE9F0"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2</w:t>
            </w:r>
          </w:p>
        </w:tc>
        <w:tc>
          <w:tcPr>
            <w:tcW w:w="7224" w:type="dxa"/>
            <w:gridSpan w:val="2"/>
            <w:tcBorders>
              <w:top w:val="dotted" w:sz="4" w:space="0" w:color="000000"/>
              <w:left w:val="dotted" w:sz="4" w:space="0" w:color="000000"/>
              <w:bottom w:val="double" w:sz="4" w:space="0" w:color="000000"/>
            </w:tcBorders>
          </w:tcPr>
          <w:p w14:paraId="48CA6BD6" w14:textId="77777777" w:rsidR="00264069" w:rsidRPr="00264069" w:rsidRDefault="00264069" w:rsidP="00264069">
            <w:pPr>
              <w:spacing w:before="40" w:after="40"/>
              <w:rPr>
                <w:rFonts w:cs="Calibri"/>
                <w:kern w:val="22"/>
                <w:sz w:val="18"/>
                <w:szCs w:val="18"/>
              </w:rPr>
            </w:pPr>
            <w:r>
              <w:rPr>
                <w:rFonts w:cs="Calibri"/>
                <w:kern w:val="22"/>
                <w:sz w:val="18"/>
                <w:szCs w:val="18"/>
              </w:rPr>
              <w:t>Questions d'organisation (élection du bureau)</w:t>
            </w:r>
          </w:p>
        </w:tc>
      </w:tr>
      <w:tr w:rsidR="00F2531F" w:rsidRPr="00264069" w14:paraId="78E6D235" w14:textId="77777777" w:rsidTr="00264069">
        <w:tc>
          <w:tcPr>
            <w:tcW w:w="1131" w:type="dxa"/>
            <w:tcBorders>
              <w:top w:val="double" w:sz="4" w:space="0" w:color="000000"/>
              <w:left w:val="nil"/>
              <w:bottom w:val="nil"/>
              <w:right w:val="nil"/>
            </w:tcBorders>
            <w:shd w:val="clear" w:color="auto" w:fill="FFFFFF"/>
          </w:tcPr>
          <w:p w14:paraId="12BF223E" w14:textId="77777777" w:rsidR="00264069" w:rsidRPr="00264069" w:rsidRDefault="00264069" w:rsidP="00264069">
            <w:pPr>
              <w:spacing w:before="40" w:after="40"/>
              <w:rPr>
                <w:rFonts w:cs="Calibri"/>
                <w:b/>
                <w:bCs/>
                <w:kern w:val="22"/>
                <w:sz w:val="18"/>
                <w:szCs w:val="18"/>
              </w:rPr>
            </w:pPr>
          </w:p>
        </w:tc>
        <w:tc>
          <w:tcPr>
            <w:tcW w:w="4670" w:type="dxa"/>
            <w:gridSpan w:val="4"/>
            <w:tcBorders>
              <w:top w:val="double" w:sz="4" w:space="0" w:color="000000"/>
              <w:left w:val="nil"/>
              <w:bottom w:val="nil"/>
              <w:right w:val="nil"/>
            </w:tcBorders>
            <w:shd w:val="clear" w:color="auto" w:fill="FFFFFF"/>
          </w:tcPr>
          <w:p w14:paraId="49916629" w14:textId="77777777" w:rsidR="00264069" w:rsidRPr="00264069" w:rsidRDefault="00264069" w:rsidP="00264069">
            <w:pPr>
              <w:spacing w:before="40" w:after="40"/>
              <w:jc w:val="left"/>
              <w:rPr>
                <w:rFonts w:cs="Calibri"/>
                <w:kern w:val="22"/>
                <w:sz w:val="16"/>
                <w:szCs w:val="16"/>
              </w:rPr>
            </w:pPr>
          </w:p>
        </w:tc>
        <w:tc>
          <w:tcPr>
            <w:tcW w:w="4689" w:type="dxa"/>
            <w:tcBorders>
              <w:top w:val="double" w:sz="4" w:space="0" w:color="000000"/>
              <w:left w:val="nil"/>
              <w:bottom w:val="nil"/>
              <w:right w:val="nil"/>
            </w:tcBorders>
            <w:shd w:val="clear" w:color="auto" w:fill="FFFFFF"/>
          </w:tcPr>
          <w:p w14:paraId="6A09113A" w14:textId="77777777" w:rsidR="00264069" w:rsidRPr="00264069" w:rsidRDefault="00264069" w:rsidP="00264069">
            <w:pPr>
              <w:spacing w:before="40" w:after="40"/>
              <w:jc w:val="left"/>
              <w:rPr>
                <w:rFonts w:cs="Calibri"/>
                <w:kern w:val="22"/>
                <w:sz w:val="16"/>
                <w:szCs w:val="16"/>
              </w:rPr>
            </w:pPr>
          </w:p>
        </w:tc>
      </w:tr>
      <w:tr w:rsidR="00264069" w:rsidRPr="00264069" w14:paraId="1D589366" w14:textId="77777777" w:rsidTr="00AA6D02">
        <w:tc>
          <w:tcPr>
            <w:tcW w:w="1131" w:type="dxa"/>
            <w:vMerge w:val="restart"/>
            <w:tcBorders>
              <w:top w:val="double" w:sz="4" w:space="0" w:color="000000"/>
              <w:bottom w:val="double" w:sz="4" w:space="0" w:color="000000"/>
              <w:right w:val="single" w:sz="4" w:space="0" w:color="auto"/>
            </w:tcBorders>
          </w:tcPr>
          <w:p w14:paraId="4A1B29EC" w14:textId="23D7F4D8" w:rsidR="00264069" w:rsidRPr="00264069" w:rsidRDefault="00264069" w:rsidP="00AA6D02">
            <w:pPr>
              <w:spacing w:before="40" w:after="40"/>
              <w:jc w:val="left"/>
              <w:rPr>
                <w:rFonts w:cs="Calibri"/>
                <w:kern w:val="22"/>
                <w:sz w:val="18"/>
                <w:szCs w:val="18"/>
              </w:rPr>
            </w:pPr>
            <w:r>
              <w:rPr>
                <w:rFonts w:cs="Calibri"/>
                <w:kern w:val="22"/>
                <w:sz w:val="18"/>
                <w:szCs w:val="18"/>
              </w:rPr>
              <w:t xml:space="preserve">Vendredi </w:t>
            </w:r>
            <w:r w:rsidR="00164E1E">
              <w:rPr>
                <w:rFonts w:cs="Calibri"/>
                <w:kern w:val="22"/>
                <w:sz w:val="18"/>
                <w:szCs w:val="18"/>
              </w:rPr>
              <w:br/>
            </w:r>
            <w:r>
              <w:rPr>
                <w:rFonts w:cs="Calibri"/>
                <w:kern w:val="22"/>
                <w:sz w:val="18"/>
                <w:szCs w:val="18"/>
              </w:rPr>
              <w:t>20 octobre</w:t>
            </w:r>
          </w:p>
          <w:p w14:paraId="790CB230" w14:textId="3D2A0FE7" w:rsidR="00264069" w:rsidRPr="00264069" w:rsidRDefault="00264069" w:rsidP="00AA6D02">
            <w:pPr>
              <w:spacing w:before="40" w:after="40"/>
              <w:jc w:val="left"/>
              <w:rPr>
                <w:rFonts w:cs="Calibri"/>
                <w:kern w:val="22"/>
                <w:sz w:val="18"/>
                <w:szCs w:val="18"/>
              </w:rPr>
            </w:pPr>
            <w:r>
              <w:rPr>
                <w:rFonts w:cs="Calibri"/>
                <w:kern w:val="22"/>
                <w:sz w:val="18"/>
                <w:szCs w:val="18"/>
              </w:rPr>
              <w:t>(10h00 - 13h00)</w:t>
            </w:r>
          </w:p>
        </w:tc>
        <w:tc>
          <w:tcPr>
            <w:tcW w:w="686" w:type="dxa"/>
            <w:tcBorders>
              <w:top w:val="double" w:sz="4" w:space="0" w:color="000000"/>
              <w:left w:val="single" w:sz="4" w:space="0" w:color="auto"/>
              <w:bottom w:val="dotted" w:sz="4" w:space="0" w:color="000000"/>
              <w:right w:val="dotted" w:sz="4" w:space="0" w:color="000000"/>
            </w:tcBorders>
          </w:tcPr>
          <w:p w14:paraId="771CE753"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CBD</w:t>
            </w:r>
          </w:p>
        </w:tc>
        <w:tc>
          <w:tcPr>
            <w:tcW w:w="700" w:type="dxa"/>
            <w:tcBorders>
              <w:top w:val="double" w:sz="4" w:space="0" w:color="000000"/>
              <w:left w:val="dotted" w:sz="4" w:space="0" w:color="000000"/>
              <w:bottom w:val="dotted" w:sz="4" w:space="0" w:color="000000"/>
              <w:right w:val="dotted" w:sz="4" w:space="0" w:color="000000"/>
            </w:tcBorders>
          </w:tcPr>
          <w:p w14:paraId="2AE36027"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CP</w:t>
            </w:r>
          </w:p>
        </w:tc>
        <w:tc>
          <w:tcPr>
            <w:tcW w:w="749" w:type="dxa"/>
            <w:tcBorders>
              <w:top w:val="double" w:sz="4" w:space="0" w:color="000000"/>
              <w:left w:val="dotted" w:sz="4" w:space="0" w:color="000000"/>
              <w:bottom w:val="dotted" w:sz="4" w:space="0" w:color="000000"/>
              <w:right w:val="dotted" w:sz="4" w:space="0" w:color="000000"/>
            </w:tcBorders>
          </w:tcPr>
          <w:p w14:paraId="6FEC7B87"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NP</w:t>
            </w:r>
          </w:p>
        </w:tc>
        <w:tc>
          <w:tcPr>
            <w:tcW w:w="7224" w:type="dxa"/>
            <w:gridSpan w:val="2"/>
            <w:tcBorders>
              <w:top w:val="double" w:sz="4" w:space="0" w:color="000000"/>
              <w:left w:val="dotted" w:sz="4" w:space="0" w:color="000000"/>
              <w:bottom w:val="dotted" w:sz="4" w:space="0" w:color="000000"/>
            </w:tcBorders>
          </w:tcPr>
          <w:p w14:paraId="5E4BCF32" w14:textId="77777777" w:rsidR="00264069" w:rsidRPr="00264069" w:rsidRDefault="00264069" w:rsidP="00264069">
            <w:pPr>
              <w:spacing w:before="40" w:after="40"/>
              <w:rPr>
                <w:rFonts w:cs="Calibri"/>
                <w:kern w:val="22"/>
                <w:sz w:val="18"/>
                <w:szCs w:val="18"/>
              </w:rPr>
            </w:pPr>
          </w:p>
        </w:tc>
      </w:tr>
      <w:tr w:rsidR="00264069" w:rsidRPr="00264069" w14:paraId="57027CA4" w14:textId="77777777" w:rsidTr="00AA6D02">
        <w:tc>
          <w:tcPr>
            <w:tcW w:w="1131" w:type="dxa"/>
            <w:vMerge/>
            <w:tcBorders>
              <w:bottom w:val="double" w:sz="4" w:space="0" w:color="000000"/>
              <w:right w:val="single" w:sz="4" w:space="0" w:color="auto"/>
            </w:tcBorders>
          </w:tcPr>
          <w:p w14:paraId="6A1B688C"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886C16A"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28</w:t>
            </w:r>
          </w:p>
        </w:tc>
        <w:tc>
          <w:tcPr>
            <w:tcW w:w="700" w:type="dxa"/>
            <w:tcBorders>
              <w:top w:val="dotted" w:sz="4" w:space="0" w:color="000000"/>
              <w:left w:val="dotted" w:sz="4" w:space="0" w:color="000000"/>
              <w:bottom w:val="dotted" w:sz="4" w:space="0" w:color="000000"/>
              <w:right w:val="dotted" w:sz="4" w:space="0" w:color="000000"/>
            </w:tcBorders>
          </w:tcPr>
          <w:p w14:paraId="24B6D155"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18</w:t>
            </w:r>
          </w:p>
        </w:tc>
        <w:tc>
          <w:tcPr>
            <w:tcW w:w="749" w:type="dxa"/>
            <w:tcBorders>
              <w:top w:val="dotted" w:sz="4" w:space="0" w:color="000000"/>
              <w:left w:val="dotted" w:sz="4" w:space="0" w:color="000000"/>
              <w:bottom w:val="dotted" w:sz="4" w:space="0" w:color="000000"/>
              <w:right w:val="dotted" w:sz="4" w:space="0" w:color="000000"/>
            </w:tcBorders>
          </w:tcPr>
          <w:p w14:paraId="14896AD8"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17</w:t>
            </w:r>
          </w:p>
        </w:tc>
        <w:tc>
          <w:tcPr>
            <w:tcW w:w="7224" w:type="dxa"/>
            <w:gridSpan w:val="2"/>
            <w:tcBorders>
              <w:top w:val="dotted" w:sz="4" w:space="0" w:color="000000"/>
              <w:left w:val="dotted" w:sz="4" w:space="0" w:color="000000"/>
              <w:bottom w:val="dotted" w:sz="4" w:space="0" w:color="000000"/>
            </w:tcBorders>
          </w:tcPr>
          <w:p w14:paraId="76D4A673" w14:textId="77777777" w:rsidR="00264069" w:rsidRPr="00264069" w:rsidRDefault="00264069" w:rsidP="00264069">
            <w:pPr>
              <w:spacing w:before="40" w:after="40"/>
              <w:rPr>
                <w:rFonts w:cs="Calibri"/>
                <w:kern w:val="22"/>
                <w:sz w:val="18"/>
                <w:szCs w:val="18"/>
              </w:rPr>
            </w:pPr>
            <w:r>
              <w:rPr>
                <w:rFonts w:cs="Calibri"/>
                <w:kern w:val="22"/>
                <w:sz w:val="18"/>
                <w:szCs w:val="18"/>
              </w:rPr>
              <w:t>Questions diverses</w:t>
            </w:r>
          </w:p>
        </w:tc>
      </w:tr>
      <w:tr w:rsidR="00264069" w:rsidRPr="00264069" w14:paraId="228E192C" w14:textId="77777777" w:rsidTr="00AA6D02">
        <w:tc>
          <w:tcPr>
            <w:tcW w:w="1131" w:type="dxa"/>
            <w:vMerge/>
            <w:tcBorders>
              <w:bottom w:val="double" w:sz="4" w:space="0" w:color="000000"/>
              <w:right w:val="single" w:sz="4" w:space="0" w:color="auto"/>
            </w:tcBorders>
          </w:tcPr>
          <w:p w14:paraId="15748AF4"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3037148"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29</w:t>
            </w:r>
          </w:p>
        </w:tc>
        <w:tc>
          <w:tcPr>
            <w:tcW w:w="700" w:type="dxa"/>
            <w:tcBorders>
              <w:top w:val="dotted" w:sz="4" w:space="0" w:color="000000"/>
              <w:left w:val="dotted" w:sz="4" w:space="0" w:color="000000"/>
              <w:bottom w:val="dotted" w:sz="4" w:space="0" w:color="000000"/>
              <w:right w:val="dotted" w:sz="4" w:space="0" w:color="000000"/>
            </w:tcBorders>
          </w:tcPr>
          <w:p w14:paraId="261DAB4D"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19</w:t>
            </w:r>
          </w:p>
        </w:tc>
        <w:tc>
          <w:tcPr>
            <w:tcW w:w="749" w:type="dxa"/>
            <w:tcBorders>
              <w:top w:val="dotted" w:sz="4" w:space="0" w:color="000000"/>
              <w:left w:val="dotted" w:sz="4" w:space="0" w:color="000000"/>
              <w:bottom w:val="dotted" w:sz="4" w:space="0" w:color="000000"/>
              <w:right w:val="dotted" w:sz="4" w:space="0" w:color="000000"/>
            </w:tcBorders>
          </w:tcPr>
          <w:p w14:paraId="5B418223"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18</w:t>
            </w:r>
          </w:p>
        </w:tc>
        <w:tc>
          <w:tcPr>
            <w:tcW w:w="7224" w:type="dxa"/>
            <w:gridSpan w:val="2"/>
            <w:tcBorders>
              <w:top w:val="dotted" w:sz="4" w:space="0" w:color="000000"/>
              <w:left w:val="dotted" w:sz="4" w:space="0" w:color="000000"/>
              <w:bottom w:val="dotted" w:sz="4" w:space="0" w:color="000000"/>
            </w:tcBorders>
          </w:tcPr>
          <w:p w14:paraId="7B2A5865" w14:textId="77777777" w:rsidR="00264069" w:rsidRPr="00264069" w:rsidRDefault="00264069" w:rsidP="00264069">
            <w:pPr>
              <w:spacing w:before="40" w:after="40"/>
              <w:rPr>
                <w:rFonts w:cs="Calibri"/>
                <w:kern w:val="22"/>
                <w:sz w:val="18"/>
                <w:szCs w:val="18"/>
              </w:rPr>
            </w:pPr>
            <w:r>
              <w:rPr>
                <w:rFonts w:cs="Calibri"/>
                <w:kern w:val="22"/>
                <w:sz w:val="18"/>
                <w:szCs w:val="18"/>
              </w:rPr>
              <w:t>Adoption du rapport</w:t>
            </w:r>
          </w:p>
        </w:tc>
      </w:tr>
      <w:tr w:rsidR="00264069" w:rsidRPr="00264069" w14:paraId="6B1BED5A" w14:textId="77777777" w:rsidTr="00AA6D02">
        <w:tc>
          <w:tcPr>
            <w:tcW w:w="1131" w:type="dxa"/>
            <w:vMerge/>
            <w:tcBorders>
              <w:bottom w:val="double" w:sz="4" w:space="0" w:color="000000"/>
              <w:right w:val="single" w:sz="4" w:space="0" w:color="auto"/>
            </w:tcBorders>
          </w:tcPr>
          <w:p w14:paraId="406877D7"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02CA3832" w14:textId="77777777" w:rsidR="00264069" w:rsidRPr="00264069" w:rsidRDefault="00264069" w:rsidP="00264069">
            <w:pPr>
              <w:shd w:val="clear" w:color="auto" w:fill="92D050"/>
              <w:spacing w:before="40" w:after="40"/>
              <w:rPr>
                <w:rFonts w:cs="Calibri"/>
                <w:kern w:val="22"/>
                <w:sz w:val="18"/>
                <w:szCs w:val="18"/>
              </w:rPr>
            </w:pPr>
            <w:r>
              <w:rPr>
                <w:rFonts w:cs="Calibri"/>
                <w:kern w:val="22"/>
                <w:sz w:val="18"/>
                <w:szCs w:val="18"/>
              </w:rPr>
              <w:t>30</w:t>
            </w:r>
          </w:p>
        </w:tc>
        <w:tc>
          <w:tcPr>
            <w:tcW w:w="700" w:type="dxa"/>
            <w:tcBorders>
              <w:top w:val="dotted" w:sz="4" w:space="0" w:color="000000"/>
              <w:left w:val="dotted" w:sz="4" w:space="0" w:color="000000"/>
              <w:bottom w:val="dotted" w:sz="4" w:space="0" w:color="000000"/>
              <w:right w:val="dotted" w:sz="4" w:space="0" w:color="000000"/>
            </w:tcBorders>
          </w:tcPr>
          <w:p w14:paraId="22DA7569"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Pr>
                <w:rFonts w:cs="Calibri"/>
                <w:kern w:val="22"/>
                <w:sz w:val="18"/>
                <w:szCs w:val="18"/>
              </w:rPr>
              <w:t>20</w:t>
            </w:r>
          </w:p>
        </w:tc>
        <w:tc>
          <w:tcPr>
            <w:tcW w:w="749" w:type="dxa"/>
            <w:tcBorders>
              <w:top w:val="dotted" w:sz="4" w:space="0" w:color="000000"/>
              <w:left w:val="dotted" w:sz="4" w:space="0" w:color="000000"/>
              <w:bottom w:val="dotted" w:sz="4" w:space="0" w:color="000000"/>
              <w:right w:val="dotted" w:sz="4" w:space="0" w:color="000000"/>
            </w:tcBorders>
          </w:tcPr>
          <w:p w14:paraId="31D70D2C" w14:textId="77777777" w:rsidR="00264069" w:rsidRPr="00264069" w:rsidRDefault="00264069" w:rsidP="00264069">
            <w:pPr>
              <w:shd w:val="clear" w:color="auto" w:fill="00B0F0"/>
              <w:spacing w:before="40" w:after="40"/>
              <w:rPr>
                <w:rFonts w:cs="Calibri"/>
                <w:kern w:val="22"/>
                <w:sz w:val="18"/>
                <w:szCs w:val="18"/>
              </w:rPr>
            </w:pPr>
            <w:r>
              <w:rPr>
                <w:rFonts w:cs="Calibri"/>
                <w:kern w:val="22"/>
                <w:sz w:val="18"/>
                <w:szCs w:val="18"/>
              </w:rPr>
              <w:t>19</w:t>
            </w:r>
          </w:p>
        </w:tc>
        <w:tc>
          <w:tcPr>
            <w:tcW w:w="7224" w:type="dxa"/>
            <w:gridSpan w:val="2"/>
            <w:tcBorders>
              <w:top w:val="dotted" w:sz="4" w:space="0" w:color="000000"/>
              <w:left w:val="dotted" w:sz="4" w:space="0" w:color="000000"/>
              <w:bottom w:val="dotted" w:sz="4" w:space="0" w:color="000000"/>
            </w:tcBorders>
          </w:tcPr>
          <w:p w14:paraId="22211B2A" w14:textId="77777777" w:rsidR="00264069" w:rsidRPr="00264069" w:rsidRDefault="00264069" w:rsidP="00264069">
            <w:pPr>
              <w:spacing w:before="40" w:after="40"/>
              <w:rPr>
                <w:rFonts w:cs="Calibri"/>
                <w:kern w:val="22"/>
                <w:sz w:val="18"/>
                <w:szCs w:val="18"/>
              </w:rPr>
            </w:pPr>
            <w:r>
              <w:rPr>
                <w:rFonts w:cs="Calibri"/>
                <w:kern w:val="22"/>
                <w:sz w:val="18"/>
                <w:szCs w:val="18"/>
              </w:rPr>
              <w:t>Clôture de la réunion</w:t>
            </w:r>
          </w:p>
        </w:tc>
      </w:tr>
      <w:tr w:rsidR="00F2531F" w:rsidRPr="00264069" w14:paraId="6470EEE5" w14:textId="77777777" w:rsidTr="00264069">
        <w:tc>
          <w:tcPr>
            <w:tcW w:w="1131" w:type="dxa"/>
            <w:tcBorders>
              <w:top w:val="double" w:sz="4" w:space="0" w:color="000000"/>
              <w:left w:val="nil"/>
              <w:bottom w:val="nil"/>
              <w:right w:val="nil"/>
            </w:tcBorders>
            <w:shd w:val="clear" w:color="auto" w:fill="FFFFFF"/>
          </w:tcPr>
          <w:p w14:paraId="296D8065" w14:textId="77777777" w:rsidR="00264069" w:rsidRPr="00264069" w:rsidRDefault="00264069" w:rsidP="00264069">
            <w:pPr>
              <w:spacing w:before="40" w:after="40"/>
              <w:rPr>
                <w:rFonts w:cs="Calibri"/>
                <w:b/>
                <w:bCs/>
                <w:kern w:val="22"/>
                <w:sz w:val="18"/>
                <w:szCs w:val="18"/>
              </w:rPr>
            </w:pPr>
          </w:p>
        </w:tc>
        <w:tc>
          <w:tcPr>
            <w:tcW w:w="4670" w:type="dxa"/>
            <w:gridSpan w:val="4"/>
            <w:tcBorders>
              <w:top w:val="double" w:sz="4" w:space="0" w:color="000000"/>
              <w:left w:val="nil"/>
              <w:bottom w:val="nil"/>
              <w:right w:val="nil"/>
            </w:tcBorders>
            <w:shd w:val="clear" w:color="auto" w:fill="FFFFFF"/>
          </w:tcPr>
          <w:p w14:paraId="68E36F57" w14:textId="77777777" w:rsidR="00264069" w:rsidRPr="00264069" w:rsidRDefault="00264069" w:rsidP="00264069">
            <w:pPr>
              <w:spacing w:before="40" w:after="40"/>
              <w:jc w:val="left"/>
              <w:rPr>
                <w:rFonts w:cs="Calibri"/>
                <w:kern w:val="22"/>
                <w:sz w:val="16"/>
                <w:szCs w:val="16"/>
              </w:rPr>
            </w:pPr>
          </w:p>
        </w:tc>
        <w:tc>
          <w:tcPr>
            <w:tcW w:w="4689" w:type="dxa"/>
            <w:tcBorders>
              <w:top w:val="double" w:sz="4" w:space="0" w:color="000000"/>
              <w:left w:val="nil"/>
              <w:bottom w:val="nil"/>
              <w:right w:val="nil"/>
            </w:tcBorders>
            <w:shd w:val="clear" w:color="auto" w:fill="FFFFFF"/>
          </w:tcPr>
          <w:p w14:paraId="783355D6" w14:textId="77777777" w:rsidR="00264069" w:rsidRPr="00264069" w:rsidRDefault="00264069" w:rsidP="00264069">
            <w:pPr>
              <w:spacing w:before="40" w:after="40"/>
              <w:jc w:val="left"/>
              <w:rPr>
                <w:rFonts w:cs="Calibri"/>
                <w:kern w:val="22"/>
                <w:sz w:val="16"/>
                <w:szCs w:val="16"/>
              </w:rPr>
            </w:pPr>
          </w:p>
        </w:tc>
      </w:tr>
    </w:tbl>
    <w:p w14:paraId="0900D45B" w14:textId="4FC23D4B" w:rsidR="00433ECD" w:rsidRPr="00AA6D02" w:rsidRDefault="00433ECD" w:rsidP="00AA6D02">
      <w:pPr>
        <w:suppressLineNumbers/>
        <w:tabs>
          <w:tab w:val="left" w:pos="360"/>
          <w:tab w:val="left" w:pos="720"/>
        </w:tabs>
        <w:suppressAutoHyphens/>
        <w:kinsoku w:val="0"/>
        <w:overflowPunct w:val="0"/>
        <w:autoSpaceDE w:val="0"/>
        <w:autoSpaceDN w:val="0"/>
        <w:adjustRightInd w:val="0"/>
        <w:snapToGrid w:val="0"/>
        <w:spacing w:before="120"/>
        <w:rPr>
          <w:snapToGrid w:val="0"/>
          <w:kern w:val="22"/>
          <w:sz w:val="20"/>
          <w:szCs w:val="20"/>
        </w:rPr>
      </w:pPr>
      <w:r>
        <w:rPr>
          <w:i/>
          <w:iCs/>
          <w:snapToGrid w:val="0"/>
          <w:kern w:val="22"/>
          <w:sz w:val="20"/>
          <w:szCs w:val="20"/>
        </w:rPr>
        <w:t>Abréviations</w:t>
      </w:r>
      <w:r>
        <w:rPr>
          <w:snapToGrid w:val="0"/>
          <w:kern w:val="22"/>
          <w:sz w:val="20"/>
          <w:szCs w:val="20"/>
        </w:rPr>
        <w:t> : CDB, Conférence des Parties à la Convention sur la diversité biologique ; CP : Conférence des Parties siégeant en tant que réunion des Parties au Protocole de Cartagena sur la prévention des risques biotechnologiques ; NP : Conférence des Parties siégeant en tant que réunion des Parties au Protocole de Nagoya sur l'accès aux ressources génétiques et le partage juste et équitable des avantages découlant de leur utilisation.</w:t>
      </w:r>
    </w:p>
    <w:p w14:paraId="341B3DF1" w14:textId="0ED18EBE" w:rsidR="005533B2" w:rsidRDefault="00433ECD" w:rsidP="00AA6D02">
      <w:pPr>
        <w:pStyle w:val="Para1"/>
        <w:suppressLineNumbers/>
        <w:suppressAutoHyphens/>
        <w:kinsoku w:val="0"/>
        <w:overflowPunct w:val="0"/>
        <w:autoSpaceDE w:val="0"/>
        <w:autoSpaceDN w:val="0"/>
        <w:spacing w:after="0"/>
      </w:pPr>
      <w:r>
        <w:rPr>
          <w:i/>
          <w:iCs/>
          <w:kern w:val="22"/>
          <w:sz w:val="20"/>
          <w:szCs w:val="20"/>
        </w:rPr>
        <w:t>Remarque</w:t>
      </w:r>
      <w:r>
        <w:rPr>
          <w:bCs/>
          <w:kern w:val="22"/>
          <w:sz w:val="20"/>
          <w:szCs w:val="20"/>
        </w:rPr>
        <w:t> </w:t>
      </w:r>
      <w:r>
        <w:rPr>
          <w:kern w:val="22"/>
          <w:sz w:val="20"/>
          <w:szCs w:val="20"/>
        </w:rPr>
        <w:t xml:space="preserve">: </w:t>
      </w:r>
      <w:r>
        <w:rPr>
          <w:bCs/>
          <w:kern w:val="22"/>
          <w:sz w:val="20"/>
          <w:szCs w:val="20"/>
        </w:rPr>
        <w:t>les colonnes relatives aux points inscrits à l'ordre du jour de la Conférence des Parties siégeant en tant que réunions des Parties aux Protocoles sont indiquées à titre d'information et pour en faciliter la consultation.</w:t>
      </w:r>
    </w:p>
    <w:p w14:paraId="01A8F749" w14:textId="43913140" w:rsidR="00B3778F" w:rsidRPr="001E6565" w:rsidRDefault="00866204" w:rsidP="00E32F49">
      <w:pPr>
        <w:pStyle w:val="Para1"/>
        <w:suppressLineNumbers/>
        <w:suppressAutoHyphens/>
        <w:kinsoku w:val="0"/>
        <w:overflowPunct w:val="0"/>
        <w:autoSpaceDE w:val="0"/>
        <w:autoSpaceDN w:val="0"/>
        <w:spacing w:after="0"/>
        <w:jc w:val="center"/>
      </w:pPr>
      <w:r>
        <w:t>__________</w:t>
      </w:r>
    </w:p>
    <w:sectPr w:rsidR="00B3778F" w:rsidRPr="001E6565" w:rsidSect="00BB6DDC">
      <w:headerReference w:type="even" r:id="rId16"/>
      <w:headerReference w:type="default" r:id="rId17"/>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2C534" w14:textId="77777777" w:rsidR="00DB2FDC" w:rsidRDefault="00DB2FDC" w:rsidP="00CF1848">
      <w:r>
        <w:separator/>
      </w:r>
    </w:p>
  </w:endnote>
  <w:endnote w:type="continuationSeparator" w:id="0">
    <w:p w14:paraId="351C168A" w14:textId="77777777" w:rsidR="00DB2FDC" w:rsidRDefault="00DB2FDC" w:rsidP="00CF1848">
      <w:r>
        <w:continuationSeparator/>
      </w:r>
    </w:p>
  </w:endnote>
  <w:endnote w:type="continuationNotice" w:id="1">
    <w:p w14:paraId="4582637F" w14:textId="77777777" w:rsidR="00DB2FDC" w:rsidRDefault="00DB2F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57082" w14:textId="77777777" w:rsidR="00DB2FDC" w:rsidRDefault="00DB2FDC" w:rsidP="00CF1848">
      <w:r>
        <w:separator/>
      </w:r>
    </w:p>
  </w:footnote>
  <w:footnote w:type="continuationSeparator" w:id="0">
    <w:p w14:paraId="471B49BF" w14:textId="77777777" w:rsidR="00DB2FDC" w:rsidRDefault="00DB2FDC" w:rsidP="00CF1848">
      <w:r>
        <w:continuationSeparator/>
      </w:r>
    </w:p>
  </w:footnote>
  <w:footnote w:type="continuationNotice" w:id="1">
    <w:p w14:paraId="135672C3" w14:textId="77777777" w:rsidR="00DB2FDC" w:rsidRDefault="00DB2FDC"/>
  </w:footnote>
  <w:footnote w:id="2">
    <w:p w14:paraId="3125F13D" w14:textId="50EDDF4C" w:rsidR="00A3501F" w:rsidRPr="004C551D" w:rsidRDefault="00A3501F" w:rsidP="00AA6D02">
      <w:pPr>
        <w:pStyle w:val="Notedebasdepage"/>
        <w:ind w:firstLine="0"/>
      </w:pPr>
      <w:r>
        <w:rPr>
          <w:rStyle w:val="Appelnotedebasdep"/>
          <w:u w:val="none"/>
          <w:vertAlign w:val="superscript"/>
        </w:rPr>
        <w:footnoteRef/>
      </w:r>
      <w:r>
        <w:t xml:space="preserve"> CBD/CP/MOP/10/1/Rev.1.</w:t>
      </w:r>
    </w:p>
  </w:footnote>
  <w:footnote w:id="3">
    <w:p w14:paraId="756AA865" w14:textId="0B131FB3" w:rsidR="00E9727B" w:rsidRPr="00262284" w:rsidRDefault="00E9727B" w:rsidP="00AA6D02">
      <w:pPr>
        <w:pStyle w:val="Notedebasdepage"/>
        <w:spacing w:after="0"/>
        <w:ind w:firstLine="0"/>
      </w:pPr>
      <w:r>
        <w:rPr>
          <w:rStyle w:val="Appelnotedebasdep"/>
          <w:u w:val="none"/>
          <w:vertAlign w:val="superscript"/>
        </w:rPr>
        <w:footnoteRef/>
      </w:r>
      <w:r>
        <w:t xml:space="preserve"> Sujata Arora (Inde) qui a été élue à la quatorzième réunion de la Conférence des Parties à la Convention sur la diversité biologique a été remplacée par Vinod Mathur, puis par Naresh Pal </w:t>
      </w:r>
      <w:proofErr w:type="spellStart"/>
      <w:r>
        <w:t>Gangwar</w:t>
      </w:r>
      <w:proofErr w:type="spellEnd"/>
      <w:r>
        <w:t xml:space="preserve">, puis </w:t>
      </w:r>
      <w:r>
        <w:rPr>
          <w:rStyle w:val="ui-provider"/>
        </w:rPr>
        <w:t xml:space="preserve">Raghu Kumar </w:t>
      </w:r>
      <w:proofErr w:type="spellStart"/>
      <w:r>
        <w:rPr>
          <w:rStyle w:val="ui-provider"/>
        </w:rPr>
        <w:t>Kodali</w:t>
      </w:r>
      <w:proofErr w:type="spellEnd"/>
      <w:r>
        <w:t>.</w:t>
      </w:r>
    </w:p>
  </w:footnote>
  <w:footnote w:id="4">
    <w:p w14:paraId="602C4C9F" w14:textId="68D5887F" w:rsidR="00E9727B" w:rsidRPr="004C551D" w:rsidRDefault="00E9727B" w:rsidP="00AA6D02">
      <w:pPr>
        <w:pStyle w:val="Notedebasdepage"/>
        <w:spacing w:after="0"/>
        <w:ind w:firstLine="0"/>
        <w:jc w:val="left"/>
      </w:pPr>
      <w:r>
        <w:rPr>
          <w:rStyle w:val="Appelnotedebasdep"/>
          <w:u w:val="none"/>
          <w:vertAlign w:val="superscript"/>
        </w:rPr>
        <w:footnoteRef/>
      </w:r>
      <w:r>
        <w:t xml:space="preserve"> </w:t>
      </w:r>
      <w:proofErr w:type="spellStart"/>
      <w:r>
        <w:t>Elvana</w:t>
      </w:r>
      <w:proofErr w:type="spellEnd"/>
      <w:r>
        <w:t xml:space="preserve"> </w:t>
      </w:r>
      <w:proofErr w:type="spellStart"/>
      <w:r>
        <w:t>Ramaj</w:t>
      </w:r>
      <w:proofErr w:type="spellEnd"/>
      <w:r>
        <w:t xml:space="preserve"> (Albanie) qui a été élue à la quatorzième réunion de la Conférence des Parties à la Convention a été remplacée par </w:t>
      </w:r>
      <w:proofErr w:type="spellStart"/>
      <w:r>
        <w:t>Klodiana</w:t>
      </w:r>
      <w:proofErr w:type="spellEnd"/>
      <w:r>
        <w:t xml:space="preserve"> Marika.</w:t>
      </w:r>
    </w:p>
  </w:footnote>
  <w:footnote w:id="5">
    <w:p w14:paraId="0E2261CA" w14:textId="4E57527A" w:rsidR="00E9727B" w:rsidRPr="00106B4E" w:rsidRDefault="00E9727B" w:rsidP="00AA6D02">
      <w:pPr>
        <w:pStyle w:val="Notedebasdepage"/>
        <w:spacing w:after="0"/>
        <w:ind w:firstLine="0"/>
      </w:pPr>
      <w:r w:rsidRPr="00A80264">
        <w:rPr>
          <w:rStyle w:val="Appelnotedebasdep"/>
          <w:u w:val="none"/>
          <w:vertAlign w:val="superscript"/>
        </w:rPr>
        <w:footnoteRef/>
      </w:r>
      <w:r>
        <w:t xml:space="preserve"> Carlos Manuel Rodriguez (Costa Rica) qui a été élu à la quatorzième réunion de la Conférence des Parties à la Convention, a été remplacé par Andrea </w:t>
      </w:r>
      <w:proofErr w:type="spellStart"/>
      <w:r>
        <w:t>Meza</w:t>
      </w:r>
      <w:proofErr w:type="spellEnd"/>
      <w:r>
        <w:t xml:space="preserve"> Murillo, puis par Eugenia Argüedas Montezuma.</w:t>
      </w:r>
    </w:p>
  </w:footnote>
  <w:footnote w:id="6">
    <w:p w14:paraId="55D8EEFC" w14:textId="372A7755" w:rsidR="00E9727B" w:rsidRPr="004C551D" w:rsidRDefault="00E9727B" w:rsidP="00AA6D02">
      <w:pPr>
        <w:pStyle w:val="Notedebasdepage"/>
        <w:spacing w:after="0"/>
        <w:ind w:firstLine="0"/>
      </w:pPr>
      <w:r w:rsidRPr="00A80264">
        <w:rPr>
          <w:rStyle w:val="Appelnotedebasdep"/>
          <w:u w:val="none"/>
          <w:vertAlign w:val="superscript"/>
        </w:rPr>
        <w:footnoteRef/>
      </w:r>
      <w:r>
        <w:t xml:space="preserve"> Suite à sa retraite du gouvernement de Nouvelle-Zélande, Mme Paterson a démissionné du Bureau. Dans l'intervalle, en attendant que la Nouvelle-Zélande nomme un remplaçant (conformément à l'article 24 du règlement intérieur), Marie </w:t>
      </w:r>
      <w:proofErr w:type="spellStart"/>
      <w:r>
        <w:t>Haraldstad</w:t>
      </w:r>
      <w:proofErr w:type="spellEnd"/>
      <w:r>
        <w:t xml:space="preserve"> (Norvège), qui siège au Bureau en tant que suppléante de la Nouvelle-Zélande pour les questions relatives au Protocole de Nagoya, a prêté son concours à la communication d'informations à la région.</w:t>
      </w:r>
    </w:p>
  </w:footnote>
  <w:footnote w:id="7">
    <w:p w14:paraId="5BBF0D4E" w14:textId="185DC367" w:rsidR="004D57BB" w:rsidRPr="004C551D" w:rsidRDefault="004D57BB" w:rsidP="00AA6D02">
      <w:pPr>
        <w:pStyle w:val="Notedebasdepage"/>
        <w:ind w:firstLine="0"/>
      </w:pPr>
      <w:r w:rsidRPr="00A80264">
        <w:rPr>
          <w:rStyle w:val="Appelnotedebasdep"/>
          <w:u w:val="none"/>
          <w:vertAlign w:val="superscript"/>
        </w:rPr>
        <w:footnoteRef/>
      </w:r>
      <w:r>
        <w:t xml:space="preserve"> Les modèles de lettres de créance sont disponibles à l'adresse suivante : www.cbd.int/doc/meetings/cop/cop-15/cop-credentials-template-en.docx.</w:t>
      </w:r>
    </w:p>
  </w:footnote>
  <w:footnote w:id="8">
    <w:p w14:paraId="77CFA42F" w14:textId="6522BC20" w:rsidR="00981ED3" w:rsidRPr="00AA6D02" w:rsidRDefault="00981ED3" w:rsidP="00AA6D02">
      <w:pPr>
        <w:pStyle w:val="Notedebasdepage"/>
        <w:ind w:firstLine="0"/>
        <w:rPr>
          <w:lang w:val="en-US"/>
        </w:rPr>
      </w:pPr>
      <w:r>
        <w:rPr>
          <w:rStyle w:val="Appelnotedebasdep"/>
          <w:u w:val="none"/>
          <w:vertAlign w:val="superscript"/>
        </w:rPr>
        <w:footnoteRef/>
      </w:r>
      <w:r>
        <w:t xml:space="preserve"> </w:t>
      </w:r>
      <w:r>
        <w:rPr>
          <w:snapToGrid w:val="0"/>
          <w:kern w:val="22"/>
        </w:rPr>
        <w:t>CBD/CP/MOP/10/4.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29DE" w14:textId="141C8AEC" w:rsidR="00112E28" w:rsidRPr="001E6565" w:rsidRDefault="00112E28" w:rsidP="00910961">
    <w:pPr>
      <w:pStyle w:val="En-tte"/>
      <w:tabs>
        <w:tab w:val="clear" w:pos="4320"/>
        <w:tab w:val="clear" w:pos="8640"/>
      </w:tabs>
      <w:rPr>
        <w:lang w:val="en-US"/>
      </w:rPr>
    </w:pPr>
    <w:r w:rsidRPr="004C551D">
      <w:rPr>
        <w:lang w:val="en-GB"/>
      </w:rPr>
      <w:t>CBD/CP/MOP/10/1/Add.6</w:t>
    </w:r>
  </w:p>
  <w:p w14:paraId="2417E9CA" w14:textId="77777777" w:rsidR="00112E28" w:rsidRPr="00BB6DDC" w:rsidRDefault="00112E28" w:rsidP="00910961">
    <w:pPr>
      <w:pStyle w:val="En-tte"/>
      <w:tabs>
        <w:tab w:val="clear" w:pos="4320"/>
        <w:tab w:val="clear" w:pos="8640"/>
      </w:tabs>
      <w:rPr>
        <w:lang w:val="en-US"/>
      </w:rPr>
    </w:pPr>
    <w:r w:rsidRPr="004C551D">
      <w:rPr>
        <w:lang w:val="en-GB"/>
      </w:rPr>
      <w:t xml:space="preserve">Page </w:t>
    </w:r>
    <w:r>
      <w:fldChar w:fldCharType="begin"/>
    </w:r>
    <w:r w:rsidRPr="004C551D">
      <w:rPr>
        <w:noProof/>
        <w:lang w:val="en-GB"/>
      </w:rPr>
      <w:instrText xml:space="preserve"> PAGE   \* MERGEFORMAT </w:instrText>
    </w:r>
    <w:r>
      <w:fldChar w:fldCharType="separate"/>
    </w:r>
    <w:r w:rsidRPr="004C551D">
      <w:rPr>
        <w:noProof/>
        <w:lang w:val="en-GB"/>
      </w:rPr>
      <w:t>4</w:t>
    </w:r>
    <w:r>
      <w:fldChar w:fldCharType="end"/>
    </w:r>
  </w:p>
  <w:p w14:paraId="4470B071" w14:textId="77777777" w:rsidR="00112E28" w:rsidRPr="00BB6DDC" w:rsidRDefault="00112E28" w:rsidP="00910961">
    <w:pPr>
      <w:pStyle w:val="En-tte"/>
      <w:tabs>
        <w:tab w:val="clear" w:pos="4320"/>
        <w:tab w:val="clear" w:pos="864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E267F7F" w14:textId="08B520ED" w:rsidR="00112E28" w:rsidRPr="001E6565" w:rsidRDefault="00E7179D" w:rsidP="009505C9">
        <w:pPr>
          <w:pStyle w:val="En-tte"/>
          <w:jc w:val="right"/>
          <w:rPr>
            <w:lang w:val="en-US"/>
          </w:rPr>
        </w:pPr>
        <w:r w:rsidRPr="004C551D">
          <w:rPr>
            <w:lang w:val="en-GB"/>
          </w:rPr>
          <w:t>CBD/CP/MOP/10/1/Add.6</w:t>
        </w:r>
      </w:p>
    </w:sdtContent>
  </w:sdt>
  <w:p w14:paraId="45F5E32F" w14:textId="77777777" w:rsidR="00112E28" w:rsidRPr="001E6565" w:rsidRDefault="00112E28" w:rsidP="009505C9">
    <w:pPr>
      <w:pStyle w:val="En-tte"/>
      <w:jc w:val="right"/>
      <w:rPr>
        <w:lang w:val="en-US"/>
      </w:rPr>
    </w:pPr>
    <w:r w:rsidRPr="004C551D">
      <w:rPr>
        <w:lang w:val="en-GB"/>
      </w:rPr>
      <w:t xml:space="preserve">Page </w:t>
    </w:r>
    <w:r>
      <w:fldChar w:fldCharType="begin"/>
    </w:r>
    <w:r w:rsidRPr="004C551D">
      <w:rPr>
        <w:noProof/>
        <w:lang w:val="en-GB"/>
      </w:rPr>
      <w:instrText xml:space="preserve"> PAGE   \* MERGEFORMAT </w:instrText>
    </w:r>
    <w:r>
      <w:fldChar w:fldCharType="separate"/>
    </w:r>
    <w:r w:rsidRPr="004C551D">
      <w:rPr>
        <w:noProof/>
        <w:lang w:val="en-GB"/>
      </w:rPr>
      <w:t>3</w:t>
    </w:r>
    <w:r>
      <w:fldChar w:fldCharType="end"/>
    </w:r>
  </w:p>
  <w:p w14:paraId="051956D2" w14:textId="77777777" w:rsidR="00112E28" w:rsidRPr="001E6565" w:rsidRDefault="00112E28">
    <w:pPr>
      <w:pStyle w:val="En-tte"/>
      <w:rPr>
        <w:lang w:val="en-US"/>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CC27C76"/>
    <w:multiLevelType w:val="hybridMultilevel"/>
    <w:tmpl w:val="D87EF7C8"/>
    <w:lvl w:ilvl="0" w:tplc="739460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20"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3"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7"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7"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9"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40"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2" w15:restartNumberingAfterBreak="0">
    <w:nsid w:val="620D6AEB"/>
    <w:multiLevelType w:val="multilevel"/>
    <w:tmpl w:val="62248C90"/>
    <w:lvl w:ilvl="0">
      <w:start w:val="5"/>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4"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7"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50"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4"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3301583">
    <w:abstractNumId w:val="24"/>
  </w:num>
  <w:num w:numId="2" w16cid:durableId="1494495170">
    <w:abstractNumId w:val="35"/>
  </w:num>
  <w:num w:numId="3" w16cid:durableId="1345862615">
    <w:abstractNumId w:val="32"/>
  </w:num>
  <w:num w:numId="4" w16cid:durableId="346248009">
    <w:abstractNumId w:val="35"/>
  </w:num>
  <w:num w:numId="5" w16cid:durableId="1433277496">
    <w:abstractNumId w:val="33"/>
  </w:num>
  <w:num w:numId="6" w16cid:durableId="1681422144">
    <w:abstractNumId w:val="9"/>
  </w:num>
  <w:num w:numId="7" w16cid:durableId="185869925">
    <w:abstractNumId w:val="15"/>
  </w:num>
  <w:num w:numId="8" w16cid:durableId="28146109">
    <w:abstractNumId w:val="32"/>
    <w:lvlOverride w:ilvl="0">
      <w:startOverride w:val="1"/>
    </w:lvlOverride>
  </w:num>
  <w:num w:numId="9" w16cid:durableId="1944612193">
    <w:abstractNumId w:val="52"/>
  </w:num>
  <w:num w:numId="10" w16cid:durableId="950207435">
    <w:abstractNumId w:val="32"/>
    <w:lvlOverride w:ilvl="0">
      <w:startOverride w:val="1"/>
    </w:lvlOverride>
  </w:num>
  <w:num w:numId="11" w16cid:durableId="68306533">
    <w:abstractNumId w:val="32"/>
    <w:lvlOverride w:ilvl="0">
      <w:startOverride w:val="1"/>
    </w:lvlOverride>
  </w:num>
  <w:num w:numId="12" w16cid:durableId="1932884294">
    <w:abstractNumId w:val="32"/>
    <w:lvlOverride w:ilvl="0">
      <w:startOverride w:val="1"/>
    </w:lvlOverride>
  </w:num>
  <w:num w:numId="13" w16cid:durableId="1488323081">
    <w:abstractNumId w:val="32"/>
    <w:lvlOverride w:ilvl="0">
      <w:startOverride w:val="1"/>
    </w:lvlOverride>
  </w:num>
  <w:num w:numId="14" w16cid:durableId="1662851437">
    <w:abstractNumId w:val="38"/>
    <w:lvlOverride w:ilvl="0">
      <w:startOverride w:val="1"/>
    </w:lvlOverride>
    <w:lvlOverride w:ilvl="1"/>
    <w:lvlOverride w:ilvl="2"/>
    <w:lvlOverride w:ilvl="3"/>
    <w:lvlOverride w:ilvl="4"/>
    <w:lvlOverride w:ilvl="5"/>
    <w:lvlOverride w:ilvl="6"/>
    <w:lvlOverride w:ilvl="7"/>
    <w:lvlOverride w:ilvl="8"/>
  </w:num>
  <w:num w:numId="15" w16cid:durableId="204151431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127873">
    <w:abstractNumId w:val="30"/>
  </w:num>
  <w:num w:numId="17" w16cid:durableId="1983272063">
    <w:abstractNumId w:val="49"/>
  </w:num>
  <w:num w:numId="18" w16cid:durableId="235289668">
    <w:abstractNumId w:val="20"/>
  </w:num>
  <w:num w:numId="19" w16cid:durableId="1663969391">
    <w:abstractNumId w:val="56"/>
  </w:num>
  <w:num w:numId="20" w16cid:durableId="2002006161">
    <w:abstractNumId w:val="12"/>
  </w:num>
  <w:num w:numId="21" w16cid:durableId="1468626365">
    <w:abstractNumId w:val="5"/>
  </w:num>
  <w:num w:numId="22" w16cid:durableId="1383864855">
    <w:abstractNumId w:val="23"/>
  </w:num>
  <w:num w:numId="23" w16cid:durableId="1234313834">
    <w:abstractNumId w:val="25"/>
  </w:num>
  <w:num w:numId="24" w16cid:durableId="1168323570">
    <w:abstractNumId w:val="11"/>
  </w:num>
  <w:num w:numId="25" w16cid:durableId="979918678">
    <w:abstractNumId w:val="60"/>
  </w:num>
  <w:num w:numId="26" w16cid:durableId="1833133786">
    <w:abstractNumId w:val="3"/>
  </w:num>
  <w:num w:numId="27" w16cid:durableId="726957628">
    <w:abstractNumId w:val="21"/>
  </w:num>
  <w:num w:numId="28" w16cid:durableId="450318743">
    <w:abstractNumId w:val="48"/>
  </w:num>
  <w:num w:numId="29" w16cid:durableId="1356610576">
    <w:abstractNumId w:val="2"/>
  </w:num>
  <w:num w:numId="30" w16cid:durableId="1581062670">
    <w:abstractNumId w:val="55"/>
  </w:num>
  <w:num w:numId="31" w16cid:durableId="1517691373">
    <w:abstractNumId w:val="1"/>
  </w:num>
  <w:num w:numId="32" w16cid:durableId="1703288274">
    <w:abstractNumId w:val="13"/>
  </w:num>
  <w:num w:numId="33" w16cid:durableId="1910844146">
    <w:abstractNumId w:val="28"/>
  </w:num>
  <w:num w:numId="34" w16cid:durableId="319358431">
    <w:abstractNumId w:val="17"/>
  </w:num>
  <w:num w:numId="35" w16cid:durableId="1181312860">
    <w:abstractNumId w:val="51"/>
  </w:num>
  <w:num w:numId="36" w16cid:durableId="1621455851">
    <w:abstractNumId w:val="42"/>
  </w:num>
  <w:num w:numId="37" w16cid:durableId="1820464621">
    <w:abstractNumId w:val="8"/>
  </w:num>
  <w:num w:numId="38" w16cid:durableId="1466897022">
    <w:abstractNumId w:val="10"/>
  </w:num>
  <w:num w:numId="39" w16cid:durableId="612515467">
    <w:abstractNumId w:val="59"/>
  </w:num>
  <w:num w:numId="40" w16cid:durableId="1741126618">
    <w:abstractNumId w:val="0"/>
  </w:num>
  <w:num w:numId="41" w16cid:durableId="906189637">
    <w:abstractNumId w:val="47"/>
  </w:num>
  <w:num w:numId="42" w16cid:durableId="1741436813">
    <w:abstractNumId w:val="50"/>
  </w:num>
  <w:num w:numId="43" w16cid:durableId="1622228561">
    <w:abstractNumId w:val="27"/>
  </w:num>
  <w:num w:numId="44" w16cid:durableId="1999576355">
    <w:abstractNumId w:val="37"/>
  </w:num>
  <w:num w:numId="45" w16cid:durableId="1683435014">
    <w:abstractNumId w:val="41"/>
  </w:num>
  <w:num w:numId="46" w16cid:durableId="152649480">
    <w:abstractNumId w:val="34"/>
  </w:num>
  <w:num w:numId="47" w16cid:durableId="911157566">
    <w:abstractNumId w:val="53"/>
  </w:num>
  <w:num w:numId="48" w16cid:durableId="5788003">
    <w:abstractNumId w:val="58"/>
  </w:num>
  <w:num w:numId="49" w16cid:durableId="1352298579">
    <w:abstractNumId w:val="45"/>
  </w:num>
  <w:num w:numId="50" w16cid:durableId="1412855180">
    <w:abstractNumId w:val="36"/>
  </w:num>
  <w:num w:numId="51" w16cid:durableId="995380418">
    <w:abstractNumId w:val="46"/>
  </w:num>
  <w:num w:numId="52" w16cid:durableId="1865745980">
    <w:abstractNumId w:val="7"/>
  </w:num>
  <w:num w:numId="53" w16cid:durableId="180897906">
    <w:abstractNumId w:val="43"/>
  </w:num>
  <w:num w:numId="54" w16cid:durableId="1464075921">
    <w:abstractNumId w:val="19"/>
  </w:num>
  <w:num w:numId="55" w16cid:durableId="1495881198">
    <w:abstractNumId w:val="14"/>
  </w:num>
  <w:num w:numId="56" w16cid:durableId="1464079849">
    <w:abstractNumId w:val="4"/>
  </w:num>
  <w:num w:numId="57" w16cid:durableId="901870339">
    <w:abstractNumId w:val="31"/>
  </w:num>
  <w:num w:numId="58" w16cid:durableId="795831478">
    <w:abstractNumId w:val="22"/>
  </w:num>
  <w:num w:numId="59" w16cid:durableId="2083792614">
    <w:abstractNumId w:val="39"/>
  </w:num>
  <w:num w:numId="60" w16cid:durableId="2055612474">
    <w:abstractNumId w:val="16"/>
  </w:num>
  <w:num w:numId="61" w16cid:durableId="2134132050">
    <w:abstractNumId w:val="26"/>
  </w:num>
  <w:num w:numId="62" w16cid:durableId="1176727713">
    <w:abstractNumId w:val="44"/>
  </w:num>
  <w:num w:numId="63" w16cid:durableId="730464458">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61944751">
    <w:abstractNumId w:val="42"/>
  </w:num>
  <w:num w:numId="65" w16cid:durableId="1081950761">
    <w:abstractNumId w:val="57"/>
  </w:num>
  <w:num w:numId="66" w16cid:durableId="119955152">
    <w:abstractNumId w:val="54"/>
  </w:num>
  <w:num w:numId="67" w16cid:durableId="440732227">
    <w:abstractNumId w:val="40"/>
  </w:num>
  <w:num w:numId="68" w16cid:durableId="851800679">
    <w:abstractNumId w:val="29"/>
  </w:num>
  <w:num w:numId="69" w16cid:durableId="746921940">
    <w:abstractNumId w:val="1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775E"/>
    <w:rsid w:val="00007BDE"/>
    <w:rsid w:val="00012BEA"/>
    <w:rsid w:val="00013696"/>
    <w:rsid w:val="000166FC"/>
    <w:rsid w:val="00017488"/>
    <w:rsid w:val="00020A5D"/>
    <w:rsid w:val="00022609"/>
    <w:rsid w:val="00022C52"/>
    <w:rsid w:val="00024A55"/>
    <w:rsid w:val="00025D61"/>
    <w:rsid w:val="00026DC7"/>
    <w:rsid w:val="000274F0"/>
    <w:rsid w:val="00027E53"/>
    <w:rsid w:val="000302BF"/>
    <w:rsid w:val="000347A1"/>
    <w:rsid w:val="000358D4"/>
    <w:rsid w:val="00042057"/>
    <w:rsid w:val="0004420E"/>
    <w:rsid w:val="00044389"/>
    <w:rsid w:val="00046679"/>
    <w:rsid w:val="000473BD"/>
    <w:rsid w:val="0005153E"/>
    <w:rsid w:val="00052001"/>
    <w:rsid w:val="00052091"/>
    <w:rsid w:val="00053982"/>
    <w:rsid w:val="00053A3A"/>
    <w:rsid w:val="00053C25"/>
    <w:rsid w:val="000554B4"/>
    <w:rsid w:val="000558FE"/>
    <w:rsid w:val="00055EB5"/>
    <w:rsid w:val="00060F22"/>
    <w:rsid w:val="0006202C"/>
    <w:rsid w:val="00062058"/>
    <w:rsid w:val="00062942"/>
    <w:rsid w:val="00066F26"/>
    <w:rsid w:val="000702BA"/>
    <w:rsid w:val="000704FE"/>
    <w:rsid w:val="00070D5F"/>
    <w:rsid w:val="00071921"/>
    <w:rsid w:val="00071FAE"/>
    <w:rsid w:val="000733FC"/>
    <w:rsid w:val="00074C61"/>
    <w:rsid w:val="000769AF"/>
    <w:rsid w:val="00077BE8"/>
    <w:rsid w:val="0008014A"/>
    <w:rsid w:val="00080D1E"/>
    <w:rsid w:val="00080D2D"/>
    <w:rsid w:val="000875B0"/>
    <w:rsid w:val="0008773E"/>
    <w:rsid w:val="00093F6B"/>
    <w:rsid w:val="00094467"/>
    <w:rsid w:val="00094A41"/>
    <w:rsid w:val="000957F6"/>
    <w:rsid w:val="00095A2C"/>
    <w:rsid w:val="00097384"/>
    <w:rsid w:val="00097F5F"/>
    <w:rsid w:val="000A0830"/>
    <w:rsid w:val="000A0AC1"/>
    <w:rsid w:val="000A1873"/>
    <w:rsid w:val="000A3D17"/>
    <w:rsid w:val="000A42B2"/>
    <w:rsid w:val="000A53AA"/>
    <w:rsid w:val="000A79C8"/>
    <w:rsid w:val="000B4A47"/>
    <w:rsid w:val="000B59B8"/>
    <w:rsid w:val="000B7783"/>
    <w:rsid w:val="000B7FDD"/>
    <w:rsid w:val="000C0101"/>
    <w:rsid w:val="000C3F36"/>
    <w:rsid w:val="000C3FE6"/>
    <w:rsid w:val="000C4CFC"/>
    <w:rsid w:val="000C59F5"/>
    <w:rsid w:val="000D0253"/>
    <w:rsid w:val="000D1F98"/>
    <w:rsid w:val="000D34CA"/>
    <w:rsid w:val="000D419C"/>
    <w:rsid w:val="000D553B"/>
    <w:rsid w:val="000D57E7"/>
    <w:rsid w:val="000D707C"/>
    <w:rsid w:val="000D7F83"/>
    <w:rsid w:val="000E1AEE"/>
    <w:rsid w:val="000E2694"/>
    <w:rsid w:val="000E2888"/>
    <w:rsid w:val="000E4E70"/>
    <w:rsid w:val="000E673A"/>
    <w:rsid w:val="000F468E"/>
    <w:rsid w:val="000F5A13"/>
    <w:rsid w:val="000F74F5"/>
    <w:rsid w:val="00102D2A"/>
    <w:rsid w:val="00104E38"/>
    <w:rsid w:val="00105372"/>
    <w:rsid w:val="00106B4E"/>
    <w:rsid w:val="00111F11"/>
    <w:rsid w:val="00112E28"/>
    <w:rsid w:val="00112EA9"/>
    <w:rsid w:val="001133E5"/>
    <w:rsid w:val="001164EE"/>
    <w:rsid w:val="00116B44"/>
    <w:rsid w:val="00117CBC"/>
    <w:rsid w:val="00121058"/>
    <w:rsid w:val="00121613"/>
    <w:rsid w:val="00122ECF"/>
    <w:rsid w:val="001243DD"/>
    <w:rsid w:val="001249F6"/>
    <w:rsid w:val="00130187"/>
    <w:rsid w:val="00131529"/>
    <w:rsid w:val="00131C42"/>
    <w:rsid w:val="00131E7A"/>
    <w:rsid w:val="0013330A"/>
    <w:rsid w:val="00134717"/>
    <w:rsid w:val="00134719"/>
    <w:rsid w:val="00135992"/>
    <w:rsid w:val="001414C9"/>
    <w:rsid w:val="00142CEE"/>
    <w:rsid w:val="0014465B"/>
    <w:rsid w:val="001471B9"/>
    <w:rsid w:val="00151E2B"/>
    <w:rsid w:val="00160872"/>
    <w:rsid w:val="0016286A"/>
    <w:rsid w:val="00164E1E"/>
    <w:rsid w:val="00165323"/>
    <w:rsid w:val="00165478"/>
    <w:rsid w:val="00166AEA"/>
    <w:rsid w:val="00172AF6"/>
    <w:rsid w:val="00173AEF"/>
    <w:rsid w:val="00174982"/>
    <w:rsid w:val="00176586"/>
    <w:rsid w:val="0017659E"/>
    <w:rsid w:val="00176CEE"/>
    <w:rsid w:val="001779A1"/>
    <w:rsid w:val="00177EFB"/>
    <w:rsid w:val="00183022"/>
    <w:rsid w:val="0018461B"/>
    <w:rsid w:val="00184870"/>
    <w:rsid w:val="0018494C"/>
    <w:rsid w:val="00185151"/>
    <w:rsid w:val="0018765F"/>
    <w:rsid w:val="001879DF"/>
    <w:rsid w:val="00190281"/>
    <w:rsid w:val="001929FF"/>
    <w:rsid w:val="001977AA"/>
    <w:rsid w:val="001A0379"/>
    <w:rsid w:val="001A1267"/>
    <w:rsid w:val="001A12D8"/>
    <w:rsid w:val="001A1E0C"/>
    <w:rsid w:val="001A548B"/>
    <w:rsid w:val="001A5B91"/>
    <w:rsid w:val="001A62F7"/>
    <w:rsid w:val="001B0178"/>
    <w:rsid w:val="001B09F5"/>
    <w:rsid w:val="001B1CCF"/>
    <w:rsid w:val="001B24B8"/>
    <w:rsid w:val="001B5293"/>
    <w:rsid w:val="001C083C"/>
    <w:rsid w:val="001C2531"/>
    <w:rsid w:val="001C3A11"/>
    <w:rsid w:val="001C3FBA"/>
    <w:rsid w:val="001C5C27"/>
    <w:rsid w:val="001D3CE8"/>
    <w:rsid w:val="001D725B"/>
    <w:rsid w:val="001E0869"/>
    <w:rsid w:val="001E09E8"/>
    <w:rsid w:val="001E4B29"/>
    <w:rsid w:val="001E6565"/>
    <w:rsid w:val="001E7CBE"/>
    <w:rsid w:val="001F20DA"/>
    <w:rsid w:val="001F470B"/>
    <w:rsid w:val="001F4D3C"/>
    <w:rsid w:val="001F4FC7"/>
    <w:rsid w:val="001F544A"/>
    <w:rsid w:val="001F544B"/>
    <w:rsid w:val="001F7D0C"/>
    <w:rsid w:val="00205993"/>
    <w:rsid w:val="00207B73"/>
    <w:rsid w:val="00211F85"/>
    <w:rsid w:val="00216000"/>
    <w:rsid w:val="002167ED"/>
    <w:rsid w:val="0022173B"/>
    <w:rsid w:val="00222239"/>
    <w:rsid w:val="002231C6"/>
    <w:rsid w:val="002250E9"/>
    <w:rsid w:val="002278B7"/>
    <w:rsid w:val="00227A7C"/>
    <w:rsid w:val="00230661"/>
    <w:rsid w:val="00232989"/>
    <w:rsid w:val="00235276"/>
    <w:rsid w:val="00235BB4"/>
    <w:rsid w:val="00235C05"/>
    <w:rsid w:val="00237502"/>
    <w:rsid w:val="00237BE3"/>
    <w:rsid w:val="00241B02"/>
    <w:rsid w:val="00243292"/>
    <w:rsid w:val="00245235"/>
    <w:rsid w:val="00245596"/>
    <w:rsid w:val="00250A35"/>
    <w:rsid w:val="00252FAE"/>
    <w:rsid w:val="00262284"/>
    <w:rsid w:val="00262614"/>
    <w:rsid w:val="00264069"/>
    <w:rsid w:val="002656CA"/>
    <w:rsid w:val="00267F4F"/>
    <w:rsid w:val="00270151"/>
    <w:rsid w:val="00273893"/>
    <w:rsid w:val="00273DA7"/>
    <w:rsid w:val="00274A85"/>
    <w:rsid w:val="002759AB"/>
    <w:rsid w:val="00276535"/>
    <w:rsid w:val="002807BF"/>
    <w:rsid w:val="002810B2"/>
    <w:rsid w:val="00281B22"/>
    <w:rsid w:val="002830C4"/>
    <w:rsid w:val="002862AB"/>
    <w:rsid w:val="00287939"/>
    <w:rsid w:val="002879C1"/>
    <w:rsid w:val="00287CD5"/>
    <w:rsid w:val="00292DD1"/>
    <w:rsid w:val="0029368B"/>
    <w:rsid w:val="002936E0"/>
    <w:rsid w:val="002949DB"/>
    <w:rsid w:val="00294D07"/>
    <w:rsid w:val="00295AE3"/>
    <w:rsid w:val="00295DF4"/>
    <w:rsid w:val="00297827"/>
    <w:rsid w:val="002A09E0"/>
    <w:rsid w:val="002A0E0A"/>
    <w:rsid w:val="002A4498"/>
    <w:rsid w:val="002A48EE"/>
    <w:rsid w:val="002A721A"/>
    <w:rsid w:val="002B3B68"/>
    <w:rsid w:val="002B4215"/>
    <w:rsid w:val="002B4748"/>
    <w:rsid w:val="002B4897"/>
    <w:rsid w:val="002B6574"/>
    <w:rsid w:val="002B6BAD"/>
    <w:rsid w:val="002C059D"/>
    <w:rsid w:val="002C1AE2"/>
    <w:rsid w:val="002C1F25"/>
    <w:rsid w:val="002C43D0"/>
    <w:rsid w:val="002C4B39"/>
    <w:rsid w:val="002C580E"/>
    <w:rsid w:val="002D10FC"/>
    <w:rsid w:val="002D2802"/>
    <w:rsid w:val="002D2B28"/>
    <w:rsid w:val="002D6108"/>
    <w:rsid w:val="002D677D"/>
    <w:rsid w:val="002E01C5"/>
    <w:rsid w:val="002E1EEC"/>
    <w:rsid w:val="002E2ACE"/>
    <w:rsid w:val="002E3BCC"/>
    <w:rsid w:val="002E5F58"/>
    <w:rsid w:val="002E6D38"/>
    <w:rsid w:val="002F1336"/>
    <w:rsid w:val="002F26BA"/>
    <w:rsid w:val="002F5A76"/>
    <w:rsid w:val="002F672F"/>
    <w:rsid w:val="002F7849"/>
    <w:rsid w:val="003001BA"/>
    <w:rsid w:val="00303570"/>
    <w:rsid w:val="00303CCB"/>
    <w:rsid w:val="0030536C"/>
    <w:rsid w:val="00306FF0"/>
    <w:rsid w:val="00316048"/>
    <w:rsid w:val="0032181E"/>
    <w:rsid w:val="00325218"/>
    <w:rsid w:val="00326BA0"/>
    <w:rsid w:val="00332C99"/>
    <w:rsid w:val="00334674"/>
    <w:rsid w:val="003365C2"/>
    <w:rsid w:val="003371AF"/>
    <w:rsid w:val="003413A7"/>
    <w:rsid w:val="00341403"/>
    <w:rsid w:val="00341D12"/>
    <w:rsid w:val="003463BB"/>
    <w:rsid w:val="0034721B"/>
    <w:rsid w:val="00350C09"/>
    <w:rsid w:val="00353DA9"/>
    <w:rsid w:val="003548FB"/>
    <w:rsid w:val="003576D0"/>
    <w:rsid w:val="00360039"/>
    <w:rsid w:val="003612B7"/>
    <w:rsid w:val="003644B1"/>
    <w:rsid w:val="0036503A"/>
    <w:rsid w:val="003659C7"/>
    <w:rsid w:val="00365DE4"/>
    <w:rsid w:val="00370129"/>
    <w:rsid w:val="0037069B"/>
    <w:rsid w:val="003718A6"/>
    <w:rsid w:val="00372F74"/>
    <w:rsid w:val="003730B6"/>
    <w:rsid w:val="00374398"/>
    <w:rsid w:val="00375A02"/>
    <w:rsid w:val="003768E5"/>
    <w:rsid w:val="003819BA"/>
    <w:rsid w:val="00383D97"/>
    <w:rsid w:val="003842FC"/>
    <w:rsid w:val="0038448C"/>
    <w:rsid w:val="00386392"/>
    <w:rsid w:val="00387257"/>
    <w:rsid w:val="00387F84"/>
    <w:rsid w:val="00393029"/>
    <w:rsid w:val="00395487"/>
    <w:rsid w:val="00396027"/>
    <w:rsid w:val="00397B8D"/>
    <w:rsid w:val="003A03BF"/>
    <w:rsid w:val="003A05FB"/>
    <w:rsid w:val="003A1274"/>
    <w:rsid w:val="003A1339"/>
    <w:rsid w:val="003A29D9"/>
    <w:rsid w:val="003A385C"/>
    <w:rsid w:val="003A3A72"/>
    <w:rsid w:val="003A49C3"/>
    <w:rsid w:val="003B4172"/>
    <w:rsid w:val="003B74B8"/>
    <w:rsid w:val="003B7F67"/>
    <w:rsid w:val="003C13D8"/>
    <w:rsid w:val="003C4261"/>
    <w:rsid w:val="003D007D"/>
    <w:rsid w:val="003D062A"/>
    <w:rsid w:val="003D216A"/>
    <w:rsid w:val="003D27DA"/>
    <w:rsid w:val="003D2909"/>
    <w:rsid w:val="003D3A9B"/>
    <w:rsid w:val="003D4F09"/>
    <w:rsid w:val="003D5054"/>
    <w:rsid w:val="003D56AA"/>
    <w:rsid w:val="003D7B56"/>
    <w:rsid w:val="003E1109"/>
    <w:rsid w:val="003E364F"/>
    <w:rsid w:val="003E5517"/>
    <w:rsid w:val="003E571E"/>
    <w:rsid w:val="003E687F"/>
    <w:rsid w:val="003E7594"/>
    <w:rsid w:val="003E7DAE"/>
    <w:rsid w:val="003F16B7"/>
    <w:rsid w:val="003F21DC"/>
    <w:rsid w:val="003F2FC2"/>
    <w:rsid w:val="003F4184"/>
    <w:rsid w:val="003F4329"/>
    <w:rsid w:val="003F46EC"/>
    <w:rsid w:val="003F74D3"/>
    <w:rsid w:val="003F757C"/>
    <w:rsid w:val="00401AF1"/>
    <w:rsid w:val="0040268C"/>
    <w:rsid w:val="0040383C"/>
    <w:rsid w:val="00404734"/>
    <w:rsid w:val="00404ABD"/>
    <w:rsid w:val="004065F3"/>
    <w:rsid w:val="00411329"/>
    <w:rsid w:val="0041335B"/>
    <w:rsid w:val="00414896"/>
    <w:rsid w:val="00414A41"/>
    <w:rsid w:val="00414D19"/>
    <w:rsid w:val="00415390"/>
    <w:rsid w:val="00415939"/>
    <w:rsid w:val="00415C19"/>
    <w:rsid w:val="004202C3"/>
    <w:rsid w:val="00420479"/>
    <w:rsid w:val="004212F1"/>
    <w:rsid w:val="004213B6"/>
    <w:rsid w:val="00421DC1"/>
    <w:rsid w:val="00422F60"/>
    <w:rsid w:val="00424C9F"/>
    <w:rsid w:val="00426AD7"/>
    <w:rsid w:val="00427B3B"/>
    <w:rsid w:val="00430BAB"/>
    <w:rsid w:val="004310B6"/>
    <w:rsid w:val="00431DDD"/>
    <w:rsid w:val="00432875"/>
    <w:rsid w:val="00433ECD"/>
    <w:rsid w:val="00435D2F"/>
    <w:rsid w:val="0043637E"/>
    <w:rsid w:val="0043653C"/>
    <w:rsid w:val="00436819"/>
    <w:rsid w:val="0044007E"/>
    <w:rsid w:val="004409A7"/>
    <w:rsid w:val="00446233"/>
    <w:rsid w:val="0045100A"/>
    <w:rsid w:val="004521D2"/>
    <w:rsid w:val="004529D0"/>
    <w:rsid w:val="00453D57"/>
    <w:rsid w:val="004552E0"/>
    <w:rsid w:val="004563E0"/>
    <w:rsid w:val="00460D02"/>
    <w:rsid w:val="00461254"/>
    <w:rsid w:val="00462967"/>
    <w:rsid w:val="00462C14"/>
    <w:rsid w:val="00462C1C"/>
    <w:rsid w:val="00462D4F"/>
    <w:rsid w:val="004644C2"/>
    <w:rsid w:val="00465EDC"/>
    <w:rsid w:val="00465EF5"/>
    <w:rsid w:val="004676AB"/>
    <w:rsid w:val="00471DC6"/>
    <w:rsid w:val="00474FB1"/>
    <w:rsid w:val="00475064"/>
    <w:rsid w:val="00475734"/>
    <w:rsid w:val="00480386"/>
    <w:rsid w:val="00480876"/>
    <w:rsid w:val="004931F0"/>
    <w:rsid w:val="0049624C"/>
    <w:rsid w:val="0049640E"/>
    <w:rsid w:val="004A44D2"/>
    <w:rsid w:val="004A48F7"/>
    <w:rsid w:val="004A5DEA"/>
    <w:rsid w:val="004A7C57"/>
    <w:rsid w:val="004A7CB0"/>
    <w:rsid w:val="004B2DDA"/>
    <w:rsid w:val="004B32E3"/>
    <w:rsid w:val="004B4451"/>
    <w:rsid w:val="004B7758"/>
    <w:rsid w:val="004B7853"/>
    <w:rsid w:val="004B7A01"/>
    <w:rsid w:val="004B7AAC"/>
    <w:rsid w:val="004C0A0D"/>
    <w:rsid w:val="004C2ABB"/>
    <w:rsid w:val="004C34B3"/>
    <w:rsid w:val="004C551D"/>
    <w:rsid w:val="004C5DAE"/>
    <w:rsid w:val="004C75D8"/>
    <w:rsid w:val="004D0309"/>
    <w:rsid w:val="004D073D"/>
    <w:rsid w:val="004D3DFC"/>
    <w:rsid w:val="004D436C"/>
    <w:rsid w:val="004D57BB"/>
    <w:rsid w:val="004D5EB2"/>
    <w:rsid w:val="004D5F8B"/>
    <w:rsid w:val="004D6601"/>
    <w:rsid w:val="004D674C"/>
    <w:rsid w:val="004E027D"/>
    <w:rsid w:val="004E42EE"/>
    <w:rsid w:val="004E59B3"/>
    <w:rsid w:val="004E5F63"/>
    <w:rsid w:val="004F091A"/>
    <w:rsid w:val="004F2306"/>
    <w:rsid w:val="004F344F"/>
    <w:rsid w:val="004F39C9"/>
    <w:rsid w:val="004F4B3F"/>
    <w:rsid w:val="004F5A7E"/>
    <w:rsid w:val="004F5B46"/>
    <w:rsid w:val="004F5CB3"/>
    <w:rsid w:val="004F7B5A"/>
    <w:rsid w:val="00500144"/>
    <w:rsid w:val="00500CB9"/>
    <w:rsid w:val="00502226"/>
    <w:rsid w:val="005109E5"/>
    <w:rsid w:val="00512C57"/>
    <w:rsid w:val="00515A33"/>
    <w:rsid w:val="0052231B"/>
    <w:rsid w:val="00523E4C"/>
    <w:rsid w:val="00524ED5"/>
    <w:rsid w:val="00526582"/>
    <w:rsid w:val="005268FB"/>
    <w:rsid w:val="00530B24"/>
    <w:rsid w:val="0053298E"/>
    <w:rsid w:val="0053369C"/>
    <w:rsid w:val="00534681"/>
    <w:rsid w:val="0053472E"/>
    <w:rsid w:val="005358B9"/>
    <w:rsid w:val="00541C1F"/>
    <w:rsid w:val="0054299D"/>
    <w:rsid w:val="005430AD"/>
    <w:rsid w:val="00544E3F"/>
    <w:rsid w:val="00544F9A"/>
    <w:rsid w:val="005507C1"/>
    <w:rsid w:val="005533B2"/>
    <w:rsid w:val="00553AF9"/>
    <w:rsid w:val="005541EA"/>
    <w:rsid w:val="00555D31"/>
    <w:rsid w:val="005565EE"/>
    <w:rsid w:val="005635DB"/>
    <w:rsid w:val="0057042F"/>
    <w:rsid w:val="00570A1D"/>
    <w:rsid w:val="00571209"/>
    <w:rsid w:val="005717C6"/>
    <w:rsid w:val="00576754"/>
    <w:rsid w:val="00577829"/>
    <w:rsid w:val="005821B8"/>
    <w:rsid w:val="00584781"/>
    <w:rsid w:val="00584A88"/>
    <w:rsid w:val="00587489"/>
    <w:rsid w:val="00590D94"/>
    <w:rsid w:val="00594ADE"/>
    <w:rsid w:val="005960AF"/>
    <w:rsid w:val="005967E4"/>
    <w:rsid w:val="00596B16"/>
    <w:rsid w:val="00596D6F"/>
    <w:rsid w:val="005A36B8"/>
    <w:rsid w:val="005A432B"/>
    <w:rsid w:val="005A5E26"/>
    <w:rsid w:val="005A6E55"/>
    <w:rsid w:val="005A7036"/>
    <w:rsid w:val="005A7FD7"/>
    <w:rsid w:val="005B079C"/>
    <w:rsid w:val="005B25AE"/>
    <w:rsid w:val="005B2C84"/>
    <w:rsid w:val="005B5791"/>
    <w:rsid w:val="005B6BD7"/>
    <w:rsid w:val="005B719A"/>
    <w:rsid w:val="005B79AB"/>
    <w:rsid w:val="005C4FB3"/>
    <w:rsid w:val="005C50AF"/>
    <w:rsid w:val="005C68EF"/>
    <w:rsid w:val="005D02B7"/>
    <w:rsid w:val="005D1F85"/>
    <w:rsid w:val="005D20FA"/>
    <w:rsid w:val="005D3461"/>
    <w:rsid w:val="005D5A58"/>
    <w:rsid w:val="005D6441"/>
    <w:rsid w:val="005D6B30"/>
    <w:rsid w:val="005D7B82"/>
    <w:rsid w:val="005E0389"/>
    <w:rsid w:val="005E052A"/>
    <w:rsid w:val="005E2146"/>
    <w:rsid w:val="005E2394"/>
    <w:rsid w:val="005E5999"/>
    <w:rsid w:val="005E6CA4"/>
    <w:rsid w:val="005E7635"/>
    <w:rsid w:val="005F0B02"/>
    <w:rsid w:val="005F5432"/>
    <w:rsid w:val="005F7B3C"/>
    <w:rsid w:val="00601C97"/>
    <w:rsid w:val="0060215B"/>
    <w:rsid w:val="00602BFA"/>
    <w:rsid w:val="006106C2"/>
    <w:rsid w:val="00610955"/>
    <w:rsid w:val="006133D7"/>
    <w:rsid w:val="006156A6"/>
    <w:rsid w:val="00615BC9"/>
    <w:rsid w:val="00616397"/>
    <w:rsid w:val="006171A7"/>
    <w:rsid w:val="006179D9"/>
    <w:rsid w:val="006209F0"/>
    <w:rsid w:val="00621BE3"/>
    <w:rsid w:val="00623556"/>
    <w:rsid w:val="00624296"/>
    <w:rsid w:val="00624746"/>
    <w:rsid w:val="006264FB"/>
    <w:rsid w:val="006309DE"/>
    <w:rsid w:val="00631308"/>
    <w:rsid w:val="00631F58"/>
    <w:rsid w:val="006340BF"/>
    <w:rsid w:val="00635B96"/>
    <w:rsid w:val="00635F47"/>
    <w:rsid w:val="006373D8"/>
    <w:rsid w:val="00637D16"/>
    <w:rsid w:val="00641E0B"/>
    <w:rsid w:val="00642D32"/>
    <w:rsid w:val="00642F7E"/>
    <w:rsid w:val="006435F9"/>
    <w:rsid w:val="0064615B"/>
    <w:rsid w:val="0064796E"/>
    <w:rsid w:val="00650B8B"/>
    <w:rsid w:val="00653535"/>
    <w:rsid w:val="006578D1"/>
    <w:rsid w:val="00660370"/>
    <w:rsid w:val="00660CB5"/>
    <w:rsid w:val="006617FB"/>
    <w:rsid w:val="00662272"/>
    <w:rsid w:val="006630E6"/>
    <w:rsid w:val="00663AF3"/>
    <w:rsid w:val="00664F8C"/>
    <w:rsid w:val="006655B7"/>
    <w:rsid w:val="0066578E"/>
    <w:rsid w:val="00665907"/>
    <w:rsid w:val="00667203"/>
    <w:rsid w:val="00675499"/>
    <w:rsid w:val="0068142A"/>
    <w:rsid w:val="006824CE"/>
    <w:rsid w:val="006832B4"/>
    <w:rsid w:val="00684857"/>
    <w:rsid w:val="006867E0"/>
    <w:rsid w:val="0068745F"/>
    <w:rsid w:val="006913EA"/>
    <w:rsid w:val="006921E4"/>
    <w:rsid w:val="00692A1A"/>
    <w:rsid w:val="00694334"/>
    <w:rsid w:val="006958BC"/>
    <w:rsid w:val="00696A66"/>
    <w:rsid w:val="00697E30"/>
    <w:rsid w:val="006A072A"/>
    <w:rsid w:val="006A1DE3"/>
    <w:rsid w:val="006A6DAD"/>
    <w:rsid w:val="006B1230"/>
    <w:rsid w:val="006B2A77"/>
    <w:rsid w:val="006B3049"/>
    <w:rsid w:val="006B44C0"/>
    <w:rsid w:val="006B6C07"/>
    <w:rsid w:val="006B75A0"/>
    <w:rsid w:val="006C0C8D"/>
    <w:rsid w:val="006C15A9"/>
    <w:rsid w:val="006C1EC8"/>
    <w:rsid w:val="006C2038"/>
    <w:rsid w:val="006C377A"/>
    <w:rsid w:val="006C6EE7"/>
    <w:rsid w:val="006C72F0"/>
    <w:rsid w:val="006C76FC"/>
    <w:rsid w:val="006C772A"/>
    <w:rsid w:val="006D1134"/>
    <w:rsid w:val="006D1152"/>
    <w:rsid w:val="006D55E0"/>
    <w:rsid w:val="006D6A26"/>
    <w:rsid w:val="006E250A"/>
    <w:rsid w:val="006E2A11"/>
    <w:rsid w:val="006E3847"/>
    <w:rsid w:val="006E5103"/>
    <w:rsid w:val="006E52E0"/>
    <w:rsid w:val="006E6BFE"/>
    <w:rsid w:val="006E6CA6"/>
    <w:rsid w:val="006E7B27"/>
    <w:rsid w:val="006F02BF"/>
    <w:rsid w:val="006F02E4"/>
    <w:rsid w:val="006F294D"/>
    <w:rsid w:val="007001F6"/>
    <w:rsid w:val="00702520"/>
    <w:rsid w:val="00704410"/>
    <w:rsid w:val="0070673A"/>
    <w:rsid w:val="00706ACD"/>
    <w:rsid w:val="007102D0"/>
    <w:rsid w:val="00711006"/>
    <w:rsid w:val="007124E5"/>
    <w:rsid w:val="00713852"/>
    <w:rsid w:val="00714E40"/>
    <w:rsid w:val="00715C39"/>
    <w:rsid w:val="00716011"/>
    <w:rsid w:val="00716716"/>
    <w:rsid w:val="00716C1D"/>
    <w:rsid w:val="00717D88"/>
    <w:rsid w:val="0072132C"/>
    <w:rsid w:val="007245A7"/>
    <w:rsid w:val="007256B7"/>
    <w:rsid w:val="00725BF2"/>
    <w:rsid w:val="007301A8"/>
    <w:rsid w:val="007302B4"/>
    <w:rsid w:val="00731430"/>
    <w:rsid w:val="007415C9"/>
    <w:rsid w:val="007421F5"/>
    <w:rsid w:val="00742FA5"/>
    <w:rsid w:val="007437A5"/>
    <w:rsid w:val="00743A53"/>
    <w:rsid w:val="00743ADC"/>
    <w:rsid w:val="0074412F"/>
    <w:rsid w:val="00745039"/>
    <w:rsid w:val="00746EF4"/>
    <w:rsid w:val="00751800"/>
    <w:rsid w:val="007542BC"/>
    <w:rsid w:val="00755B17"/>
    <w:rsid w:val="00755EB7"/>
    <w:rsid w:val="00760E0C"/>
    <w:rsid w:val="00761472"/>
    <w:rsid w:val="0076186C"/>
    <w:rsid w:val="00766799"/>
    <w:rsid w:val="007704E7"/>
    <w:rsid w:val="00771A99"/>
    <w:rsid w:val="00771F0B"/>
    <w:rsid w:val="00775BBF"/>
    <w:rsid w:val="00776B8D"/>
    <w:rsid w:val="00780CC3"/>
    <w:rsid w:val="0078145C"/>
    <w:rsid w:val="00781AB7"/>
    <w:rsid w:val="00782213"/>
    <w:rsid w:val="00782347"/>
    <w:rsid w:val="00783258"/>
    <w:rsid w:val="00784C8E"/>
    <w:rsid w:val="007852F1"/>
    <w:rsid w:val="00785A5C"/>
    <w:rsid w:val="007915AC"/>
    <w:rsid w:val="007924FC"/>
    <w:rsid w:val="00792C8D"/>
    <w:rsid w:val="007942D3"/>
    <w:rsid w:val="007951C5"/>
    <w:rsid w:val="00797984"/>
    <w:rsid w:val="007A19CC"/>
    <w:rsid w:val="007A3516"/>
    <w:rsid w:val="007A3C07"/>
    <w:rsid w:val="007A496F"/>
    <w:rsid w:val="007A4D35"/>
    <w:rsid w:val="007B19AB"/>
    <w:rsid w:val="007B1E20"/>
    <w:rsid w:val="007B4BB8"/>
    <w:rsid w:val="007B631C"/>
    <w:rsid w:val="007B6C09"/>
    <w:rsid w:val="007B7EDB"/>
    <w:rsid w:val="007C3B23"/>
    <w:rsid w:val="007C4396"/>
    <w:rsid w:val="007C5F7D"/>
    <w:rsid w:val="007C69A4"/>
    <w:rsid w:val="007C7485"/>
    <w:rsid w:val="007C78AE"/>
    <w:rsid w:val="007D1291"/>
    <w:rsid w:val="007D2CFA"/>
    <w:rsid w:val="007D2D7D"/>
    <w:rsid w:val="007D4114"/>
    <w:rsid w:val="007D43A5"/>
    <w:rsid w:val="007D490D"/>
    <w:rsid w:val="007D4C44"/>
    <w:rsid w:val="007D5118"/>
    <w:rsid w:val="007D698F"/>
    <w:rsid w:val="007D6EA3"/>
    <w:rsid w:val="007E09DA"/>
    <w:rsid w:val="007E204A"/>
    <w:rsid w:val="007E6546"/>
    <w:rsid w:val="007F05D1"/>
    <w:rsid w:val="007F0719"/>
    <w:rsid w:val="007F0F85"/>
    <w:rsid w:val="007F1B7B"/>
    <w:rsid w:val="007F2CFF"/>
    <w:rsid w:val="007F4C9C"/>
    <w:rsid w:val="007F7462"/>
    <w:rsid w:val="00800197"/>
    <w:rsid w:val="00800AB6"/>
    <w:rsid w:val="00802BAB"/>
    <w:rsid w:val="008034E9"/>
    <w:rsid w:val="0080403F"/>
    <w:rsid w:val="00807D83"/>
    <w:rsid w:val="00810572"/>
    <w:rsid w:val="00810A55"/>
    <w:rsid w:val="0081195A"/>
    <w:rsid w:val="00812E12"/>
    <w:rsid w:val="008131A0"/>
    <w:rsid w:val="00814858"/>
    <w:rsid w:val="008157D1"/>
    <w:rsid w:val="008178B6"/>
    <w:rsid w:val="00821CDB"/>
    <w:rsid w:val="00822CB9"/>
    <w:rsid w:val="00822DF6"/>
    <w:rsid w:val="00822E4A"/>
    <w:rsid w:val="008247AB"/>
    <w:rsid w:val="00825070"/>
    <w:rsid w:val="00825B54"/>
    <w:rsid w:val="00825E56"/>
    <w:rsid w:val="008265B0"/>
    <w:rsid w:val="00827332"/>
    <w:rsid w:val="00827FC7"/>
    <w:rsid w:val="0083076C"/>
    <w:rsid w:val="00833068"/>
    <w:rsid w:val="00834F14"/>
    <w:rsid w:val="00835D29"/>
    <w:rsid w:val="00835E2C"/>
    <w:rsid w:val="00836A94"/>
    <w:rsid w:val="00840ED3"/>
    <w:rsid w:val="0084217D"/>
    <w:rsid w:val="008425A3"/>
    <w:rsid w:val="00842DAF"/>
    <w:rsid w:val="008430F1"/>
    <w:rsid w:val="0084429C"/>
    <w:rsid w:val="00853388"/>
    <w:rsid w:val="00853B87"/>
    <w:rsid w:val="0085428A"/>
    <w:rsid w:val="008645B5"/>
    <w:rsid w:val="00866204"/>
    <w:rsid w:val="008707A9"/>
    <w:rsid w:val="00870B09"/>
    <w:rsid w:val="00871684"/>
    <w:rsid w:val="00871B04"/>
    <w:rsid w:val="008720C2"/>
    <w:rsid w:val="008722D9"/>
    <w:rsid w:val="00880878"/>
    <w:rsid w:val="00880EBD"/>
    <w:rsid w:val="0088375F"/>
    <w:rsid w:val="00885ED0"/>
    <w:rsid w:val="008907A5"/>
    <w:rsid w:val="00890BC5"/>
    <w:rsid w:val="00891A7B"/>
    <w:rsid w:val="00892151"/>
    <w:rsid w:val="00892333"/>
    <w:rsid w:val="00892E67"/>
    <w:rsid w:val="008936DF"/>
    <w:rsid w:val="00895A8B"/>
    <w:rsid w:val="008966F1"/>
    <w:rsid w:val="008A411C"/>
    <w:rsid w:val="008A5F16"/>
    <w:rsid w:val="008B2B26"/>
    <w:rsid w:val="008B7C35"/>
    <w:rsid w:val="008C00DF"/>
    <w:rsid w:val="008C012E"/>
    <w:rsid w:val="008C1DEB"/>
    <w:rsid w:val="008C52BD"/>
    <w:rsid w:val="008C6619"/>
    <w:rsid w:val="008C7E9D"/>
    <w:rsid w:val="008D1183"/>
    <w:rsid w:val="008D15DB"/>
    <w:rsid w:val="008D1689"/>
    <w:rsid w:val="008D3F81"/>
    <w:rsid w:val="008D57DD"/>
    <w:rsid w:val="008D5E8B"/>
    <w:rsid w:val="008D6A02"/>
    <w:rsid w:val="008D7F66"/>
    <w:rsid w:val="008E0A7C"/>
    <w:rsid w:val="008E1054"/>
    <w:rsid w:val="008E24C6"/>
    <w:rsid w:val="008E3AAF"/>
    <w:rsid w:val="008E52D4"/>
    <w:rsid w:val="008F01DE"/>
    <w:rsid w:val="008F043E"/>
    <w:rsid w:val="008F050B"/>
    <w:rsid w:val="008F18FE"/>
    <w:rsid w:val="008F26B8"/>
    <w:rsid w:val="008F395B"/>
    <w:rsid w:val="008F3B6B"/>
    <w:rsid w:val="008F6780"/>
    <w:rsid w:val="009004B7"/>
    <w:rsid w:val="009004E1"/>
    <w:rsid w:val="00901289"/>
    <w:rsid w:val="0090161B"/>
    <w:rsid w:val="00902894"/>
    <w:rsid w:val="0090531F"/>
    <w:rsid w:val="009070ED"/>
    <w:rsid w:val="00910961"/>
    <w:rsid w:val="00910B3B"/>
    <w:rsid w:val="00911742"/>
    <w:rsid w:val="00912210"/>
    <w:rsid w:val="0091321D"/>
    <w:rsid w:val="00915862"/>
    <w:rsid w:val="009202DF"/>
    <w:rsid w:val="00921062"/>
    <w:rsid w:val="0092273C"/>
    <w:rsid w:val="00925E92"/>
    <w:rsid w:val="00927F30"/>
    <w:rsid w:val="009311E6"/>
    <w:rsid w:val="00935832"/>
    <w:rsid w:val="00936B8B"/>
    <w:rsid w:val="00941A60"/>
    <w:rsid w:val="00941C44"/>
    <w:rsid w:val="00943084"/>
    <w:rsid w:val="00944586"/>
    <w:rsid w:val="009448D9"/>
    <w:rsid w:val="0094516D"/>
    <w:rsid w:val="009467E3"/>
    <w:rsid w:val="00946A16"/>
    <w:rsid w:val="00947C39"/>
    <w:rsid w:val="009505C9"/>
    <w:rsid w:val="00952A0F"/>
    <w:rsid w:val="00952F27"/>
    <w:rsid w:val="00954B4F"/>
    <w:rsid w:val="00954ED3"/>
    <w:rsid w:val="00956483"/>
    <w:rsid w:val="009573A6"/>
    <w:rsid w:val="00963855"/>
    <w:rsid w:val="009654E1"/>
    <w:rsid w:val="00970A79"/>
    <w:rsid w:val="0097276A"/>
    <w:rsid w:val="00972FC6"/>
    <w:rsid w:val="00973926"/>
    <w:rsid w:val="00975A5D"/>
    <w:rsid w:val="009802CE"/>
    <w:rsid w:val="00981ED3"/>
    <w:rsid w:val="00983095"/>
    <w:rsid w:val="00986059"/>
    <w:rsid w:val="00986C80"/>
    <w:rsid w:val="0099116A"/>
    <w:rsid w:val="00992F67"/>
    <w:rsid w:val="00995263"/>
    <w:rsid w:val="00996C5C"/>
    <w:rsid w:val="00997A6B"/>
    <w:rsid w:val="009A2B52"/>
    <w:rsid w:val="009A3AA2"/>
    <w:rsid w:val="009A400B"/>
    <w:rsid w:val="009A5B2A"/>
    <w:rsid w:val="009A6C26"/>
    <w:rsid w:val="009B03C7"/>
    <w:rsid w:val="009B1631"/>
    <w:rsid w:val="009B1EA9"/>
    <w:rsid w:val="009B56FD"/>
    <w:rsid w:val="009B682D"/>
    <w:rsid w:val="009C1C4C"/>
    <w:rsid w:val="009C2A4A"/>
    <w:rsid w:val="009C33FB"/>
    <w:rsid w:val="009C3AA9"/>
    <w:rsid w:val="009C42C8"/>
    <w:rsid w:val="009C541C"/>
    <w:rsid w:val="009C55E0"/>
    <w:rsid w:val="009D0111"/>
    <w:rsid w:val="009D2CD4"/>
    <w:rsid w:val="009D4408"/>
    <w:rsid w:val="009D662F"/>
    <w:rsid w:val="009D6E60"/>
    <w:rsid w:val="009E08EA"/>
    <w:rsid w:val="009E1635"/>
    <w:rsid w:val="009E2075"/>
    <w:rsid w:val="009E4B85"/>
    <w:rsid w:val="009E5726"/>
    <w:rsid w:val="009E5D15"/>
    <w:rsid w:val="009E669C"/>
    <w:rsid w:val="009E66B0"/>
    <w:rsid w:val="009F15D8"/>
    <w:rsid w:val="009F1CED"/>
    <w:rsid w:val="009F3137"/>
    <w:rsid w:val="009F5E62"/>
    <w:rsid w:val="009F65D9"/>
    <w:rsid w:val="00A00625"/>
    <w:rsid w:val="00A00709"/>
    <w:rsid w:val="00A0220E"/>
    <w:rsid w:val="00A030C0"/>
    <w:rsid w:val="00A06D07"/>
    <w:rsid w:val="00A0730E"/>
    <w:rsid w:val="00A10046"/>
    <w:rsid w:val="00A113B9"/>
    <w:rsid w:val="00A11B01"/>
    <w:rsid w:val="00A12F8F"/>
    <w:rsid w:val="00A1521A"/>
    <w:rsid w:val="00A15413"/>
    <w:rsid w:val="00A17437"/>
    <w:rsid w:val="00A23C06"/>
    <w:rsid w:val="00A24FDD"/>
    <w:rsid w:val="00A25E86"/>
    <w:rsid w:val="00A273FC"/>
    <w:rsid w:val="00A3094C"/>
    <w:rsid w:val="00A31D0B"/>
    <w:rsid w:val="00A32C8F"/>
    <w:rsid w:val="00A3501F"/>
    <w:rsid w:val="00A352AF"/>
    <w:rsid w:val="00A3771B"/>
    <w:rsid w:val="00A42A70"/>
    <w:rsid w:val="00A44201"/>
    <w:rsid w:val="00A464FB"/>
    <w:rsid w:val="00A47D3E"/>
    <w:rsid w:val="00A51D07"/>
    <w:rsid w:val="00A53F6B"/>
    <w:rsid w:val="00A55582"/>
    <w:rsid w:val="00A555F3"/>
    <w:rsid w:val="00A56EF9"/>
    <w:rsid w:val="00A63BF7"/>
    <w:rsid w:val="00A65B07"/>
    <w:rsid w:val="00A662C5"/>
    <w:rsid w:val="00A7067A"/>
    <w:rsid w:val="00A7078E"/>
    <w:rsid w:val="00A716F5"/>
    <w:rsid w:val="00A72033"/>
    <w:rsid w:val="00A7435F"/>
    <w:rsid w:val="00A74B69"/>
    <w:rsid w:val="00A77848"/>
    <w:rsid w:val="00A80264"/>
    <w:rsid w:val="00A82BF6"/>
    <w:rsid w:val="00A84728"/>
    <w:rsid w:val="00A859BF"/>
    <w:rsid w:val="00A86970"/>
    <w:rsid w:val="00A909D4"/>
    <w:rsid w:val="00A91670"/>
    <w:rsid w:val="00A920E4"/>
    <w:rsid w:val="00A9462A"/>
    <w:rsid w:val="00A94F45"/>
    <w:rsid w:val="00AA25F7"/>
    <w:rsid w:val="00AA2A51"/>
    <w:rsid w:val="00AA46A2"/>
    <w:rsid w:val="00AA4F9C"/>
    <w:rsid w:val="00AA525E"/>
    <w:rsid w:val="00AA5918"/>
    <w:rsid w:val="00AA641E"/>
    <w:rsid w:val="00AA6D02"/>
    <w:rsid w:val="00AB2885"/>
    <w:rsid w:val="00AB32A5"/>
    <w:rsid w:val="00AB3845"/>
    <w:rsid w:val="00AB4249"/>
    <w:rsid w:val="00AB4914"/>
    <w:rsid w:val="00AB49DA"/>
    <w:rsid w:val="00AB638C"/>
    <w:rsid w:val="00AC0A8F"/>
    <w:rsid w:val="00AC0ED3"/>
    <w:rsid w:val="00AC256D"/>
    <w:rsid w:val="00AC77CE"/>
    <w:rsid w:val="00AD1345"/>
    <w:rsid w:val="00AD1F29"/>
    <w:rsid w:val="00AD2418"/>
    <w:rsid w:val="00AD3AFD"/>
    <w:rsid w:val="00AD4A5A"/>
    <w:rsid w:val="00AD4EC2"/>
    <w:rsid w:val="00AD51BB"/>
    <w:rsid w:val="00AD629E"/>
    <w:rsid w:val="00AE144F"/>
    <w:rsid w:val="00AE1913"/>
    <w:rsid w:val="00AE27D9"/>
    <w:rsid w:val="00AE6F91"/>
    <w:rsid w:val="00AE7F21"/>
    <w:rsid w:val="00AF3156"/>
    <w:rsid w:val="00AF6052"/>
    <w:rsid w:val="00AF7B19"/>
    <w:rsid w:val="00B00704"/>
    <w:rsid w:val="00B009D1"/>
    <w:rsid w:val="00B02B4D"/>
    <w:rsid w:val="00B0326A"/>
    <w:rsid w:val="00B103D9"/>
    <w:rsid w:val="00B1072C"/>
    <w:rsid w:val="00B1270C"/>
    <w:rsid w:val="00B14BF9"/>
    <w:rsid w:val="00B156C6"/>
    <w:rsid w:val="00B16BB3"/>
    <w:rsid w:val="00B20765"/>
    <w:rsid w:val="00B21237"/>
    <w:rsid w:val="00B24386"/>
    <w:rsid w:val="00B2513F"/>
    <w:rsid w:val="00B31B83"/>
    <w:rsid w:val="00B3369F"/>
    <w:rsid w:val="00B35785"/>
    <w:rsid w:val="00B35BC3"/>
    <w:rsid w:val="00B3775B"/>
    <w:rsid w:val="00B3778F"/>
    <w:rsid w:val="00B378F5"/>
    <w:rsid w:val="00B40F4F"/>
    <w:rsid w:val="00B42E9A"/>
    <w:rsid w:val="00B46B37"/>
    <w:rsid w:val="00B46EB4"/>
    <w:rsid w:val="00B472CE"/>
    <w:rsid w:val="00B47E13"/>
    <w:rsid w:val="00B512CB"/>
    <w:rsid w:val="00B52874"/>
    <w:rsid w:val="00B53059"/>
    <w:rsid w:val="00B556D9"/>
    <w:rsid w:val="00B61605"/>
    <w:rsid w:val="00B62998"/>
    <w:rsid w:val="00B63D34"/>
    <w:rsid w:val="00B64831"/>
    <w:rsid w:val="00B66D10"/>
    <w:rsid w:val="00B72916"/>
    <w:rsid w:val="00B74C47"/>
    <w:rsid w:val="00B75DB3"/>
    <w:rsid w:val="00B76776"/>
    <w:rsid w:val="00B77829"/>
    <w:rsid w:val="00B80657"/>
    <w:rsid w:val="00B80D06"/>
    <w:rsid w:val="00B82C79"/>
    <w:rsid w:val="00B84670"/>
    <w:rsid w:val="00B861DE"/>
    <w:rsid w:val="00B90618"/>
    <w:rsid w:val="00B90638"/>
    <w:rsid w:val="00B90DD5"/>
    <w:rsid w:val="00B924F2"/>
    <w:rsid w:val="00B927C2"/>
    <w:rsid w:val="00B93CC8"/>
    <w:rsid w:val="00B94FCA"/>
    <w:rsid w:val="00B95BF2"/>
    <w:rsid w:val="00BA0BBA"/>
    <w:rsid w:val="00BA2243"/>
    <w:rsid w:val="00BB0CAF"/>
    <w:rsid w:val="00BB219E"/>
    <w:rsid w:val="00BB2E20"/>
    <w:rsid w:val="00BB392B"/>
    <w:rsid w:val="00BB3B65"/>
    <w:rsid w:val="00BB5533"/>
    <w:rsid w:val="00BB6DDC"/>
    <w:rsid w:val="00BB7AB0"/>
    <w:rsid w:val="00BC006E"/>
    <w:rsid w:val="00BC286C"/>
    <w:rsid w:val="00BC629F"/>
    <w:rsid w:val="00BC6E32"/>
    <w:rsid w:val="00BD11DF"/>
    <w:rsid w:val="00BD2EC3"/>
    <w:rsid w:val="00BD40C0"/>
    <w:rsid w:val="00BD440A"/>
    <w:rsid w:val="00BD5520"/>
    <w:rsid w:val="00BD61C6"/>
    <w:rsid w:val="00BE01CC"/>
    <w:rsid w:val="00BE18D0"/>
    <w:rsid w:val="00BE1BD0"/>
    <w:rsid w:val="00BE343F"/>
    <w:rsid w:val="00BE45EE"/>
    <w:rsid w:val="00BE6DAC"/>
    <w:rsid w:val="00BE771C"/>
    <w:rsid w:val="00BE7B1D"/>
    <w:rsid w:val="00BF0507"/>
    <w:rsid w:val="00BF4DB8"/>
    <w:rsid w:val="00BF565A"/>
    <w:rsid w:val="00BF56AC"/>
    <w:rsid w:val="00C03499"/>
    <w:rsid w:val="00C0454B"/>
    <w:rsid w:val="00C0461E"/>
    <w:rsid w:val="00C0616A"/>
    <w:rsid w:val="00C06550"/>
    <w:rsid w:val="00C06E58"/>
    <w:rsid w:val="00C11A54"/>
    <w:rsid w:val="00C11C47"/>
    <w:rsid w:val="00C1227C"/>
    <w:rsid w:val="00C1301F"/>
    <w:rsid w:val="00C20047"/>
    <w:rsid w:val="00C20BF8"/>
    <w:rsid w:val="00C242FA"/>
    <w:rsid w:val="00C24660"/>
    <w:rsid w:val="00C254BA"/>
    <w:rsid w:val="00C300AD"/>
    <w:rsid w:val="00C3080A"/>
    <w:rsid w:val="00C35CC2"/>
    <w:rsid w:val="00C37DF4"/>
    <w:rsid w:val="00C40DD5"/>
    <w:rsid w:val="00C42E51"/>
    <w:rsid w:val="00C46880"/>
    <w:rsid w:val="00C50421"/>
    <w:rsid w:val="00C51498"/>
    <w:rsid w:val="00C5197E"/>
    <w:rsid w:val="00C55AFA"/>
    <w:rsid w:val="00C56165"/>
    <w:rsid w:val="00C613E3"/>
    <w:rsid w:val="00C61BB4"/>
    <w:rsid w:val="00C62CFF"/>
    <w:rsid w:val="00C63175"/>
    <w:rsid w:val="00C64379"/>
    <w:rsid w:val="00C65246"/>
    <w:rsid w:val="00C65B60"/>
    <w:rsid w:val="00C67A07"/>
    <w:rsid w:val="00C71388"/>
    <w:rsid w:val="00C74936"/>
    <w:rsid w:val="00C778CC"/>
    <w:rsid w:val="00C814C9"/>
    <w:rsid w:val="00C83552"/>
    <w:rsid w:val="00C85B3F"/>
    <w:rsid w:val="00C865FF"/>
    <w:rsid w:val="00C91614"/>
    <w:rsid w:val="00C9161D"/>
    <w:rsid w:val="00C92960"/>
    <w:rsid w:val="00C96778"/>
    <w:rsid w:val="00C96F1F"/>
    <w:rsid w:val="00C97640"/>
    <w:rsid w:val="00C97673"/>
    <w:rsid w:val="00C97F53"/>
    <w:rsid w:val="00CA1574"/>
    <w:rsid w:val="00CA190D"/>
    <w:rsid w:val="00CA2494"/>
    <w:rsid w:val="00CA69C8"/>
    <w:rsid w:val="00CA7B0D"/>
    <w:rsid w:val="00CB278D"/>
    <w:rsid w:val="00CB453E"/>
    <w:rsid w:val="00CB5437"/>
    <w:rsid w:val="00CB62E4"/>
    <w:rsid w:val="00CB6AB2"/>
    <w:rsid w:val="00CB7C2C"/>
    <w:rsid w:val="00CB7C33"/>
    <w:rsid w:val="00CC15F1"/>
    <w:rsid w:val="00CC23FC"/>
    <w:rsid w:val="00CC3CB2"/>
    <w:rsid w:val="00CC4E92"/>
    <w:rsid w:val="00CD07BF"/>
    <w:rsid w:val="00CD2B7F"/>
    <w:rsid w:val="00CD5F8E"/>
    <w:rsid w:val="00CD754A"/>
    <w:rsid w:val="00CE00AB"/>
    <w:rsid w:val="00CE43B7"/>
    <w:rsid w:val="00CE4962"/>
    <w:rsid w:val="00CE5115"/>
    <w:rsid w:val="00CE53E0"/>
    <w:rsid w:val="00CF1848"/>
    <w:rsid w:val="00CF2BA9"/>
    <w:rsid w:val="00CF6AF0"/>
    <w:rsid w:val="00D00999"/>
    <w:rsid w:val="00D01BF0"/>
    <w:rsid w:val="00D03320"/>
    <w:rsid w:val="00D05B40"/>
    <w:rsid w:val="00D0790F"/>
    <w:rsid w:val="00D10451"/>
    <w:rsid w:val="00D13D28"/>
    <w:rsid w:val="00D1561C"/>
    <w:rsid w:val="00D15B44"/>
    <w:rsid w:val="00D202CF"/>
    <w:rsid w:val="00D239D9"/>
    <w:rsid w:val="00D25F6A"/>
    <w:rsid w:val="00D267DD"/>
    <w:rsid w:val="00D315CD"/>
    <w:rsid w:val="00D31A74"/>
    <w:rsid w:val="00D35C99"/>
    <w:rsid w:val="00D40F66"/>
    <w:rsid w:val="00D41870"/>
    <w:rsid w:val="00D43B3C"/>
    <w:rsid w:val="00D45D00"/>
    <w:rsid w:val="00D4601B"/>
    <w:rsid w:val="00D46349"/>
    <w:rsid w:val="00D515E4"/>
    <w:rsid w:val="00D53446"/>
    <w:rsid w:val="00D5395D"/>
    <w:rsid w:val="00D60036"/>
    <w:rsid w:val="00D61679"/>
    <w:rsid w:val="00D61A1C"/>
    <w:rsid w:val="00D623E5"/>
    <w:rsid w:val="00D627B3"/>
    <w:rsid w:val="00D648AE"/>
    <w:rsid w:val="00D655EB"/>
    <w:rsid w:val="00D65C5D"/>
    <w:rsid w:val="00D65D28"/>
    <w:rsid w:val="00D669A5"/>
    <w:rsid w:val="00D672F2"/>
    <w:rsid w:val="00D713A3"/>
    <w:rsid w:val="00D72748"/>
    <w:rsid w:val="00D7480A"/>
    <w:rsid w:val="00D74BBC"/>
    <w:rsid w:val="00D76A18"/>
    <w:rsid w:val="00D833D3"/>
    <w:rsid w:val="00D87312"/>
    <w:rsid w:val="00D90013"/>
    <w:rsid w:val="00D9248D"/>
    <w:rsid w:val="00D941CD"/>
    <w:rsid w:val="00DA187E"/>
    <w:rsid w:val="00DA1AB7"/>
    <w:rsid w:val="00DA21FA"/>
    <w:rsid w:val="00DA3A79"/>
    <w:rsid w:val="00DA4364"/>
    <w:rsid w:val="00DA4BD0"/>
    <w:rsid w:val="00DA5B22"/>
    <w:rsid w:val="00DA70B9"/>
    <w:rsid w:val="00DB084E"/>
    <w:rsid w:val="00DB29B7"/>
    <w:rsid w:val="00DB2FDC"/>
    <w:rsid w:val="00DC013A"/>
    <w:rsid w:val="00DC0907"/>
    <w:rsid w:val="00DD118C"/>
    <w:rsid w:val="00DD3EF2"/>
    <w:rsid w:val="00DD4459"/>
    <w:rsid w:val="00DD6419"/>
    <w:rsid w:val="00DD679A"/>
    <w:rsid w:val="00DD6A91"/>
    <w:rsid w:val="00DE07A6"/>
    <w:rsid w:val="00DE1E11"/>
    <w:rsid w:val="00DE343B"/>
    <w:rsid w:val="00DE6043"/>
    <w:rsid w:val="00DE7E9F"/>
    <w:rsid w:val="00DF054E"/>
    <w:rsid w:val="00DF1221"/>
    <w:rsid w:val="00DF1E5F"/>
    <w:rsid w:val="00DF3D49"/>
    <w:rsid w:val="00DF4351"/>
    <w:rsid w:val="00DF5B01"/>
    <w:rsid w:val="00DF6303"/>
    <w:rsid w:val="00DF6EFD"/>
    <w:rsid w:val="00E009BD"/>
    <w:rsid w:val="00E01077"/>
    <w:rsid w:val="00E03559"/>
    <w:rsid w:val="00E03DBF"/>
    <w:rsid w:val="00E060B2"/>
    <w:rsid w:val="00E075B3"/>
    <w:rsid w:val="00E10D1C"/>
    <w:rsid w:val="00E12894"/>
    <w:rsid w:val="00E1501B"/>
    <w:rsid w:val="00E164EC"/>
    <w:rsid w:val="00E1690E"/>
    <w:rsid w:val="00E172F1"/>
    <w:rsid w:val="00E204A7"/>
    <w:rsid w:val="00E21100"/>
    <w:rsid w:val="00E229E1"/>
    <w:rsid w:val="00E2301A"/>
    <w:rsid w:val="00E23046"/>
    <w:rsid w:val="00E32F49"/>
    <w:rsid w:val="00E34A80"/>
    <w:rsid w:val="00E34F8A"/>
    <w:rsid w:val="00E36C96"/>
    <w:rsid w:val="00E37003"/>
    <w:rsid w:val="00E37265"/>
    <w:rsid w:val="00E37335"/>
    <w:rsid w:val="00E40F06"/>
    <w:rsid w:val="00E431F2"/>
    <w:rsid w:val="00E45770"/>
    <w:rsid w:val="00E45A62"/>
    <w:rsid w:val="00E4603E"/>
    <w:rsid w:val="00E500A6"/>
    <w:rsid w:val="00E50D01"/>
    <w:rsid w:val="00E562FE"/>
    <w:rsid w:val="00E56B35"/>
    <w:rsid w:val="00E574F0"/>
    <w:rsid w:val="00E602D6"/>
    <w:rsid w:val="00E636CF"/>
    <w:rsid w:val="00E638D8"/>
    <w:rsid w:val="00E64D27"/>
    <w:rsid w:val="00E65272"/>
    <w:rsid w:val="00E66235"/>
    <w:rsid w:val="00E7105F"/>
    <w:rsid w:val="00E7179D"/>
    <w:rsid w:val="00E719BC"/>
    <w:rsid w:val="00E745B4"/>
    <w:rsid w:val="00E76EF1"/>
    <w:rsid w:val="00E76F4F"/>
    <w:rsid w:val="00E77ED7"/>
    <w:rsid w:val="00E81EC1"/>
    <w:rsid w:val="00E83C24"/>
    <w:rsid w:val="00E854BC"/>
    <w:rsid w:val="00E85EE0"/>
    <w:rsid w:val="00E871EF"/>
    <w:rsid w:val="00E87C6E"/>
    <w:rsid w:val="00E92467"/>
    <w:rsid w:val="00E928AE"/>
    <w:rsid w:val="00E940F5"/>
    <w:rsid w:val="00E94207"/>
    <w:rsid w:val="00E9455A"/>
    <w:rsid w:val="00E96043"/>
    <w:rsid w:val="00E96F3E"/>
    <w:rsid w:val="00E9727B"/>
    <w:rsid w:val="00EA4388"/>
    <w:rsid w:val="00EA4C38"/>
    <w:rsid w:val="00EA533B"/>
    <w:rsid w:val="00EA5F11"/>
    <w:rsid w:val="00EA6C0B"/>
    <w:rsid w:val="00EA6D13"/>
    <w:rsid w:val="00EA7058"/>
    <w:rsid w:val="00EB29DB"/>
    <w:rsid w:val="00EB3B60"/>
    <w:rsid w:val="00EB6B29"/>
    <w:rsid w:val="00EC2F86"/>
    <w:rsid w:val="00EC39B2"/>
    <w:rsid w:val="00EC4695"/>
    <w:rsid w:val="00EC47A4"/>
    <w:rsid w:val="00EC4D24"/>
    <w:rsid w:val="00EC6722"/>
    <w:rsid w:val="00ED00C2"/>
    <w:rsid w:val="00ED20DB"/>
    <w:rsid w:val="00EE08DE"/>
    <w:rsid w:val="00EE1432"/>
    <w:rsid w:val="00EE1719"/>
    <w:rsid w:val="00EE2E9C"/>
    <w:rsid w:val="00EE4DD3"/>
    <w:rsid w:val="00EE61E9"/>
    <w:rsid w:val="00EF032D"/>
    <w:rsid w:val="00EF3EFA"/>
    <w:rsid w:val="00EF5BA5"/>
    <w:rsid w:val="00EF6419"/>
    <w:rsid w:val="00EF647A"/>
    <w:rsid w:val="00EF7396"/>
    <w:rsid w:val="00EF7902"/>
    <w:rsid w:val="00F009BA"/>
    <w:rsid w:val="00F00A9E"/>
    <w:rsid w:val="00F00B5F"/>
    <w:rsid w:val="00F021FF"/>
    <w:rsid w:val="00F02D4A"/>
    <w:rsid w:val="00F04291"/>
    <w:rsid w:val="00F04608"/>
    <w:rsid w:val="00F04FE6"/>
    <w:rsid w:val="00F05563"/>
    <w:rsid w:val="00F05EAE"/>
    <w:rsid w:val="00F065B3"/>
    <w:rsid w:val="00F072ED"/>
    <w:rsid w:val="00F1220D"/>
    <w:rsid w:val="00F142E6"/>
    <w:rsid w:val="00F15D34"/>
    <w:rsid w:val="00F1747B"/>
    <w:rsid w:val="00F176FD"/>
    <w:rsid w:val="00F1794F"/>
    <w:rsid w:val="00F20E97"/>
    <w:rsid w:val="00F2157C"/>
    <w:rsid w:val="00F21C65"/>
    <w:rsid w:val="00F2531F"/>
    <w:rsid w:val="00F27A26"/>
    <w:rsid w:val="00F3009B"/>
    <w:rsid w:val="00F30B90"/>
    <w:rsid w:val="00F31592"/>
    <w:rsid w:val="00F32D04"/>
    <w:rsid w:val="00F341E4"/>
    <w:rsid w:val="00F343FB"/>
    <w:rsid w:val="00F353F5"/>
    <w:rsid w:val="00F35748"/>
    <w:rsid w:val="00F36B9C"/>
    <w:rsid w:val="00F379A6"/>
    <w:rsid w:val="00F37E9D"/>
    <w:rsid w:val="00F402B3"/>
    <w:rsid w:val="00F40668"/>
    <w:rsid w:val="00F42CC8"/>
    <w:rsid w:val="00F43E3C"/>
    <w:rsid w:val="00F458A6"/>
    <w:rsid w:val="00F47A8D"/>
    <w:rsid w:val="00F50738"/>
    <w:rsid w:val="00F50F59"/>
    <w:rsid w:val="00F50FC9"/>
    <w:rsid w:val="00F522EB"/>
    <w:rsid w:val="00F5583A"/>
    <w:rsid w:val="00F578D3"/>
    <w:rsid w:val="00F60C31"/>
    <w:rsid w:val="00F61693"/>
    <w:rsid w:val="00F61C12"/>
    <w:rsid w:val="00F61D09"/>
    <w:rsid w:val="00F63F3A"/>
    <w:rsid w:val="00F64FF0"/>
    <w:rsid w:val="00F662B3"/>
    <w:rsid w:val="00F70094"/>
    <w:rsid w:val="00F71251"/>
    <w:rsid w:val="00F738A2"/>
    <w:rsid w:val="00F73DF5"/>
    <w:rsid w:val="00F83862"/>
    <w:rsid w:val="00F85044"/>
    <w:rsid w:val="00F86C4E"/>
    <w:rsid w:val="00F8759C"/>
    <w:rsid w:val="00F87F48"/>
    <w:rsid w:val="00F91717"/>
    <w:rsid w:val="00F91D46"/>
    <w:rsid w:val="00F92FA4"/>
    <w:rsid w:val="00F93483"/>
    <w:rsid w:val="00F94774"/>
    <w:rsid w:val="00F96C96"/>
    <w:rsid w:val="00FA048F"/>
    <w:rsid w:val="00FA2190"/>
    <w:rsid w:val="00FA5B06"/>
    <w:rsid w:val="00FB0D24"/>
    <w:rsid w:val="00FB23D2"/>
    <w:rsid w:val="00FB32D1"/>
    <w:rsid w:val="00FB33EF"/>
    <w:rsid w:val="00FB40E2"/>
    <w:rsid w:val="00FB5024"/>
    <w:rsid w:val="00FB55B8"/>
    <w:rsid w:val="00FB5B77"/>
    <w:rsid w:val="00FB6E10"/>
    <w:rsid w:val="00FC0581"/>
    <w:rsid w:val="00FC4DE4"/>
    <w:rsid w:val="00FC5371"/>
    <w:rsid w:val="00FC53DB"/>
    <w:rsid w:val="00FC56E4"/>
    <w:rsid w:val="00FC5D64"/>
    <w:rsid w:val="00FD34D1"/>
    <w:rsid w:val="00FD4184"/>
    <w:rsid w:val="00FD757D"/>
    <w:rsid w:val="00FE06CC"/>
    <w:rsid w:val="00FE0A95"/>
    <w:rsid w:val="00FE0E29"/>
    <w:rsid w:val="00FE2EA8"/>
    <w:rsid w:val="00FE3888"/>
    <w:rsid w:val="00FE3DA2"/>
    <w:rsid w:val="00FE4218"/>
    <w:rsid w:val="00FE5B03"/>
    <w:rsid w:val="00FE5EB6"/>
    <w:rsid w:val="00FE7676"/>
    <w:rsid w:val="00FE7948"/>
    <w:rsid w:val="00FF417B"/>
    <w:rsid w:val="00FF73AE"/>
    <w:rsid w:val="00FF7D99"/>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31979B14-EA07-49F9-89BA-255E9F71E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rsid w:val="007E09DA"/>
    <w:rPr>
      <w:sz w:val="16"/>
    </w:rPr>
  </w:style>
  <w:style w:type="paragraph" w:styleId="Commentaire">
    <w:name w:val="annotation text"/>
    <w:basedOn w:val="Normal"/>
    <w:link w:val="CommentaireCar"/>
    <w:rsid w:val="007E09DA"/>
    <w:pPr>
      <w:spacing w:after="120" w:line="240" w:lineRule="exact"/>
    </w:pPr>
  </w:style>
  <w:style w:type="character" w:customStyle="1" w:styleId="CommentaireCar">
    <w:name w:val="Commentaire Car"/>
    <w:basedOn w:val="Policepardfaut"/>
    <w:link w:val="Commentaire"/>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qFormat/>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E09DA"/>
    <w:rPr>
      <w:rFonts w:ascii="Times New Roman" w:eastAsia="Times New Roman" w:hAnsi="Times New Roman" w:cs="Times New Roman"/>
      <w:b/>
      <w:bCs/>
      <w:i/>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aragraphedeliste">
    <w:name w:val="List Paragraph"/>
    <w:basedOn w:val="Normal"/>
    <w:uiPriority w:val="34"/>
    <w:qFormat/>
    <w:rsid w:val="00B3778F"/>
    <w:pPr>
      <w:ind w:left="720"/>
      <w:contextualSpacing/>
    </w:pPr>
  </w:style>
  <w:style w:type="paragraph" w:styleId="Objetducommentaire">
    <w:name w:val="annotation subject"/>
    <w:basedOn w:val="Commentaire"/>
    <w:next w:val="Commentaire"/>
    <w:link w:val="ObjetducommentaireCar"/>
    <w:uiPriority w:val="99"/>
    <w:semiHidden/>
    <w:unhideWhenUsed/>
    <w:rsid w:val="00C40DD5"/>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C40DD5"/>
    <w:rPr>
      <w:rFonts w:ascii="Times New Roman" w:eastAsia="Times New Roman" w:hAnsi="Times New Roman" w:cs="Times New Roman"/>
      <w:b/>
      <w:bCs/>
      <w:sz w:val="20"/>
      <w:szCs w:val="20"/>
    </w:rPr>
  </w:style>
  <w:style w:type="character" w:customStyle="1" w:styleId="apple-converted-space">
    <w:name w:val="apple-converted-space"/>
    <w:basedOn w:val="Policepardfaut"/>
    <w:rsid w:val="00230661"/>
    <w:rPr>
      <w:rFonts w:ascii="Cambria" w:hAnsi="Cambria"/>
    </w:rPr>
  </w:style>
  <w:style w:type="character" w:customStyle="1" w:styleId="Para1Char1">
    <w:name w:val="Para1 Char1"/>
    <w:rsid w:val="00E562FE"/>
    <w:rPr>
      <w:rFonts w:ascii="Cambria" w:hAnsi="Cambria" w:cs="Angsana New"/>
      <w:snapToGrid w:val="0"/>
      <w:sz w:val="22"/>
      <w:szCs w:val="18"/>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3B4172"/>
    <w:pPr>
      <w:spacing w:after="160" w:line="240" w:lineRule="exact"/>
    </w:pPr>
    <w:rPr>
      <w:rFonts w:asciiTheme="minorHAnsi" w:eastAsiaTheme="minorEastAsia" w:hAnsiTheme="minorHAnsi" w:cstheme="minorBidi"/>
      <w:sz w:val="18"/>
      <w:u w:val="single"/>
    </w:rPr>
  </w:style>
  <w:style w:type="paragraph" w:styleId="Rvision">
    <w:name w:val="Revision"/>
    <w:hidden/>
    <w:uiPriority w:val="99"/>
    <w:semiHidden/>
    <w:rsid w:val="00915862"/>
    <w:rPr>
      <w:rFonts w:ascii="Times New Roman" w:eastAsia="Times New Roman" w:hAnsi="Times New Roman" w:cs="Times New Roman"/>
      <w:sz w:val="22"/>
    </w:rPr>
  </w:style>
  <w:style w:type="paragraph" w:customStyle="1" w:styleId="Heading-plainbold">
    <w:name w:val="Heading-plain bold"/>
    <w:basedOn w:val="Corpsdetexte"/>
    <w:rsid w:val="00C46880"/>
    <w:pPr>
      <w:ind w:firstLine="0"/>
      <w:jc w:val="center"/>
    </w:pPr>
    <w:rPr>
      <w:rFonts w:eastAsia="Malgun Gothic"/>
      <w:b/>
      <w:bCs/>
      <w:i/>
      <w:iCs w:val="0"/>
    </w:rPr>
  </w:style>
  <w:style w:type="character" w:styleId="Mentionnonrsolue">
    <w:name w:val="Unresolved Mention"/>
    <w:basedOn w:val="Policepardfaut"/>
    <w:uiPriority w:val="99"/>
    <w:semiHidden/>
    <w:unhideWhenUsed/>
    <w:rsid w:val="006D6A26"/>
    <w:rPr>
      <w:color w:val="605E5C"/>
      <w:shd w:val="clear" w:color="auto" w:fill="E1DFDD"/>
    </w:rPr>
  </w:style>
  <w:style w:type="character" w:customStyle="1" w:styleId="ui-provider">
    <w:name w:val="ui-provider"/>
    <w:basedOn w:val="Policepardfaut"/>
    <w:rsid w:val="00C778CC"/>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fr.pdf" TargetMode="External"/><Relationship Id="rId10" Type="http://schemas.openxmlformats.org/officeDocument/2006/relationships/footnotes" Target="footnotes.xml"/><Relationship Id="rId19" Type="http://schemas.openxmlformats.org/officeDocument/2006/relationships/glossaryDocument" Target="glossary/document.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15ED1"/>
    <w:rsid w:val="0018788D"/>
    <w:rsid w:val="001D08C1"/>
    <w:rsid w:val="001E5581"/>
    <w:rsid w:val="00204ED8"/>
    <w:rsid w:val="00293EF7"/>
    <w:rsid w:val="002B64FF"/>
    <w:rsid w:val="002E024C"/>
    <w:rsid w:val="003161D7"/>
    <w:rsid w:val="00334D4E"/>
    <w:rsid w:val="00377183"/>
    <w:rsid w:val="00386D8A"/>
    <w:rsid w:val="00387327"/>
    <w:rsid w:val="003966A1"/>
    <w:rsid w:val="003A4D47"/>
    <w:rsid w:val="004102C1"/>
    <w:rsid w:val="00420803"/>
    <w:rsid w:val="004F086B"/>
    <w:rsid w:val="00500A2B"/>
    <w:rsid w:val="0058288D"/>
    <w:rsid w:val="00590CF3"/>
    <w:rsid w:val="005B62B8"/>
    <w:rsid w:val="005E1DAB"/>
    <w:rsid w:val="005F7933"/>
    <w:rsid w:val="006047BD"/>
    <w:rsid w:val="0061507A"/>
    <w:rsid w:val="0064538D"/>
    <w:rsid w:val="006801B3"/>
    <w:rsid w:val="006A5278"/>
    <w:rsid w:val="00736ECC"/>
    <w:rsid w:val="007743E0"/>
    <w:rsid w:val="007C4396"/>
    <w:rsid w:val="007C4C70"/>
    <w:rsid w:val="007E5562"/>
    <w:rsid w:val="00810A55"/>
    <w:rsid w:val="008350F9"/>
    <w:rsid w:val="00840476"/>
    <w:rsid w:val="008C6619"/>
    <w:rsid w:val="008D420E"/>
    <w:rsid w:val="00942836"/>
    <w:rsid w:val="00944794"/>
    <w:rsid w:val="00971A74"/>
    <w:rsid w:val="0098642F"/>
    <w:rsid w:val="009B5A7E"/>
    <w:rsid w:val="009C7DCC"/>
    <w:rsid w:val="009E532E"/>
    <w:rsid w:val="00A200D6"/>
    <w:rsid w:val="00A4311C"/>
    <w:rsid w:val="00A437E2"/>
    <w:rsid w:val="00AE3DEE"/>
    <w:rsid w:val="00B76F92"/>
    <w:rsid w:val="00BC7689"/>
    <w:rsid w:val="00BF5CC0"/>
    <w:rsid w:val="00C745B9"/>
    <w:rsid w:val="00C9570A"/>
    <w:rsid w:val="00CD0B52"/>
    <w:rsid w:val="00D10070"/>
    <w:rsid w:val="00D43F44"/>
    <w:rsid w:val="00D46BBF"/>
    <w:rsid w:val="00D47623"/>
    <w:rsid w:val="00D8027E"/>
    <w:rsid w:val="00DB3D05"/>
    <w:rsid w:val="00DC5AE1"/>
    <w:rsid w:val="00DE47E1"/>
    <w:rsid w:val="00E21528"/>
    <w:rsid w:val="00E37F2E"/>
    <w:rsid w:val="00E75D63"/>
    <w:rsid w:val="00E971CB"/>
    <w:rsid w:val="00EE75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387327"/>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7388BF-173B-46FC-9CD4-876F2DBCC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2628</Words>
  <Characters>14459</Characters>
  <Application>Microsoft Office Word</Application>
  <DocSecurity>0</DocSecurity>
  <Lines>120</Lines>
  <Paragraphs>34</Paragraphs>
  <ScaleCrop>false</ScaleCrop>
  <HeadingPairs>
    <vt:vector size="6" baseType="variant">
      <vt:variant>
        <vt:lpstr>Titre</vt:lpstr>
      </vt:variant>
      <vt:variant>
        <vt:i4>1</vt:i4>
      </vt:variant>
      <vt:variant>
        <vt:lpstr>Titres</vt:lpstr>
      </vt:variant>
      <vt:variant>
        <vt:i4>7</vt:i4>
      </vt:variant>
      <vt:variant>
        <vt:lpstr>Title</vt:lpstr>
      </vt:variant>
      <vt:variant>
        <vt:i4>1</vt:i4>
      </vt:variant>
    </vt:vector>
  </HeadingPairs>
  <TitlesOfParts>
    <vt:vector size="9" baseType="lpstr">
      <vt:lpstr>ORDRE DU JOUR ANNOTÉ</vt:lpstr>
      <vt:lpstr>        Adoption de l’ordre du jour</vt:lpstr>
      <vt:lpstr>Point 5.	Rapport du Comité de conformité</vt:lpstr>
      <vt:lpstr>Point 18.	Questions diverses</vt:lpstr>
      <vt:lpstr>Point 19. 	Adoption du rapport</vt:lpstr>
      <vt:lpstr>Point 20.	Clôture de la réunion</vt:lpstr>
      <vt:lpstr>        Annexe I</vt:lpstr>
      <vt:lpstr>LISTE PROVISOIRE DE DOCUMENTS</vt:lpstr>
      <vt:lpstr>ANNOTATIONS TO THE AGENDA (resumed)</vt:lpstr>
    </vt:vector>
  </TitlesOfParts>
  <Company>SCBD</Company>
  <LinksUpToDate>false</LinksUpToDate>
  <CharactersWithSpaces>17053</CharactersWithSpaces>
  <SharedDoc>false</SharedDoc>
  <HLinks>
    <vt:vector size="18" baseType="variant">
      <vt:variant>
        <vt:i4>720974</vt:i4>
      </vt:variant>
      <vt:variant>
        <vt:i4>0</vt:i4>
      </vt:variant>
      <vt:variant>
        <vt:i4>0</vt:i4>
      </vt:variant>
      <vt:variant>
        <vt:i4>5</vt:i4>
      </vt:variant>
      <vt:variant>
        <vt:lpwstr>https://www.cbd.int/doc/decisions/cop-13/cop-13-dec-33-en.pdf</vt:lpwstr>
      </vt:variant>
      <vt:variant>
        <vt:lpwstr/>
      </vt:variant>
      <vt:variant>
        <vt:i4>5046284</vt:i4>
      </vt:variant>
      <vt:variant>
        <vt:i4>3</vt:i4>
      </vt:variant>
      <vt:variant>
        <vt:i4>0</vt:i4>
      </vt:variant>
      <vt:variant>
        <vt:i4>5</vt:i4>
      </vt:variant>
      <vt:variant>
        <vt:lpwstr>https://www.cbd.int/doc/notifications/2023/ntf-2023-092-bs-en.pdf</vt:lpwstr>
      </vt:variant>
      <vt:variant>
        <vt:lpwstr/>
      </vt:variant>
      <vt:variant>
        <vt:i4>1769559</vt:i4>
      </vt:variant>
      <vt:variant>
        <vt:i4>0</vt:i4>
      </vt:variant>
      <vt:variant>
        <vt:i4>0</vt:i4>
      </vt:variant>
      <vt:variant>
        <vt:i4>5</vt:i4>
      </vt:variant>
      <vt:variant>
        <vt:lpwstr>https://www.cbd.int/doc/notifications/2023/ntf-2023-081-cop15-en.pdf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ANNOTÉ</dc:title>
  <dc:subject>CBD/CP/MOP/10/1/Add.6</dc:subject>
  <dc:creator>SCBD</dc:creator>
  <cp:keywords>Conference of the Parties serving as the meeting of the Parties to the Cartagena Protocol on Biosafety, tenth meeting</cp:keywords>
  <dc:description/>
  <cp:lastModifiedBy>VDS</cp:lastModifiedBy>
  <cp:revision>18</cp:revision>
  <cp:lastPrinted>2019-03-11T19:24:00Z</cp:lastPrinted>
  <dcterms:created xsi:type="dcterms:W3CDTF">2023-09-26T08:58:00Z</dcterms:created>
  <dcterms:modified xsi:type="dcterms:W3CDTF">2023-09-27T09:34:00Z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