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3B282B" w14:paraId="099BC6CB" w14:textId="77777777" w:rsidTr="00D85FA3">
        <w:trPr>
          <w:trHeight w:val="851"/>
        </w:trPr>
        <w:tc>
          <w:tcPr>
            <w:tcW w:w="465" w:type="pct"/>
            <w:tcBorders>
              <w:bottom w:val="single" w:sz="8" w:space="0" w:color="auto"/>
            </w:tcBorders>
            <w:vAlign w:val="bottom"/>
          </w:tcPr>
          <w:p w14:paraId="07AA35D6" w14:textId="77777777" w:rsidR="00A96B21" w:rsidRPr="003349E4" w:rsidRDefault="00AD71B3" w:rsidP="00D85FA3">
            <w:pPr>
              <w:spacing w:after="120"/>
              <w:jc w:val="left"/>
            </w:pPr>
            <w:bookmarkStart w:id="0" w:name="_Hlk137651738"/>
            <w:r w:rsidRPr="003349E4">
              <w:rPr>
                <w:noProof/>
                <w:lang w:eastAsia="fr-FR"/>
              </w:rPr>
              <w:drawing>
                <wp:inline distT="0" distB="0" distL="0" distR="0" wp14:anchorId="325592EE" wp14:editId="17F2845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395443"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7E016B4" w14:textId="77777777" w:rsidR="00A96B21" w:rsidRPr="003349E4" w:rsidRDefault="00AD71B3" w:rsidP="00D85FA3">
            <w:pPr>
              <w:spacing w:after="120"/>
              <w:jc w:val="left"/>
            </w:pPr>
            <w:r w:rsidRPr="00B82A2A">
              <w:rPr>
                <w:noProof/>
                <w:lang w:eastAsia="fr-FR"/>
              </w:rPr>
              <w:drawing>
                <wp:inline distT="0" distB="0" distL="0" distR="0" wp14:anchorId="4DCBA2D8" wp14:editId="18331CE0">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5AD3C790" w14:textId="77777777" w:rsidR="00927718" w:rsidRDefault="00AD71B3">
            <w:pPr>
              <w:spacing w:after="120"/>
              <w:ind w:left="2021"/>
              <w:jc w:val="right"/>
              <w:rPr>
                <w:szCs w:val="22"/>
              </w:rPr>
            </w:pPr>
            <w:r>
              <w:rPr>
                <w:rFonts w:eastAsia="Times New Roman"/>
                <w:sz w:val="40"/>
                <w:szCs w:val="40"/>
              </w:rPr>
              <w:t>CBD</w:t>
            </w:r>
            <w:r>
              <w:rPr>
                <w:rFonts w:eastAsia="Times New Roman"/>
              </w:rPr>
              <w:t>/COP/16/</w:t>
            </w:r>
            <w:proofErr w:type="spellStart"/>
            <w:r>
              <w:rPr>
                <w:rFonts w:eastAsia="Times New Roman"/>
              </w:rPr>
              <w:t>L.1</w:t>
            </w:r>
            <w:proofErr w:type="spellEnd"/>
          </w:p>
        </w:tc>
      </w:tr>
      <w:tr w:rsidR="003B282B" w14:paraId="4FC4C080" w14:textId="77777777" w:rsidTr="00D85FA3">
        <w:tc>
          <w:tcPr>
            <w:tcW w:w="2297" w:type="pct"/>
            <w:gridSpan w:val="2"/>
            <w:tcBorders>
              <w:top w:val="single" w:sz="8" w:space="0" w:color="auto"/>
              <w:bottom w:val="single" w:sz="12" w:space="0" w:color="auto"/>
            </w:tcBorders>
          </w:tcPr>
          <w:p w14:paraId="3826074E" w14:textId="77777777" w:rsidR="00A96B21" w:rsidRPr="003349E4" w:rsidRDefault="00AD71B3" w:rsidP="00D85FA3">
            <w:pPr>
              <w:pStyle w:val="Cornernotation"/>
              <w:suppressLineNumbers/>
              <w:suppressAutoHyphens/>
              <w:spacing w:before="120" w:after="120"/>
              <w:ind w:right="0"/>
            </w:pPr>
            <w:r w:rsidRPr="00F32592">
              <w:rPr>
                <w:bCs/>
                <w:noProof/>
                <w:lang w:eastAsia="fr-FR"/>
              </w:rPr>
              <w:drawing>
                <wp:inline distT="0" distB="0" distL="0" distR="0" wp14:anchorId="7BE78022" wp14:editId="7B2B927B">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25F2FF99" w14:textId="10EACA13" w:rsidR="00927718" w:rsidRDefault="00AD71B3">
            <w:pPr>
              <w:ind w:left="2584"/>
              <w:jc w:val="left"/>
            </w:pPr>
            <w:r>
              <w:rPr>
                <w:rFonts w:eastAsia="Times New Roman"/>
              </w:rPr>
              <w:t>Distr.</w:t>
            </w:r>
            <w:r w:rsidR="00AF176D">
              <w:rPr>
                <w:rFonts w:eastAsia="Times New Roman"/>
              </w:rPr>
              <w:t> </w:t>
            </w:r>
            <w:r>
              <w:rPr>
                <w:rFonts w:eastAsia="Times New Roman"/>
              </w:rPr>
              <w:t>: limitée</w:t>
            </w:r>
          </w:p>
          <w:p w14:paraId="76445643" w14:textId="5946A297" w:rsidR="00927718" w:rsidRDefault="00AD71B3">
            <w:pPr>
              <w:ind w:left="2584"/>
            </w:pPr>
            <w:r>
              <w:rPr>
                <w:rFonts w:eastAsia="Times New Roman"/>
              </w:rPr>
              <w:t>1</w:t>
            </w:r>
            <w:r>
              <w:rPr>
                <w:rFonts w:eastAsia="Times New Roman"/>
                <w:vertAlign w:val="superscript"/>
              </w:rPr>
              <w:t>er</w:t>
            </w:r>
            <w:r w:rsidR="00AF176D">
              <w:rPr>
                <w:rFonts w:eastAsia="Times New Roman"/>
              </w:rPr>
              <w:t> </w:t>
            </w:r>
            <w:r>
              <w:rPr>
                <w:rFonts w:eastAsia="Times New Roman"/>
              </w:rPr>
              <w:t>novembre</w:t>
            </w:r>
            <w:r w:rsidR="00AF176D">
              <w:rPr>
                <w:rFonts w:eastAsia="Times New Roman"/>
              </w:rPr>
              <w:t> </w:t>
            </w:r>
            <w:r>
              <w:rPr>
                <w:rFonts w:eastAsia="Times New Roman"/>
              </w:rPr>
              <w:t>2024</w:t>
            </w:r>
          </w:p>
          <w:p w14:paraId="36AE45B2" w14:textId="77777777" w:rsidR="00A96B21" w:rsidRPr="00A110A2" w:rsidRDefault="00AD71B3" w:rsidP="003C6F10">
            <w:pPr>
              <w:ind w:left="2584"/>
            </w:pPr>
            <w:r>
              <w:rPr>
                <w:rFonts w:eastAsia="Times New Roman"/>
              </w:rPr>
              <w:t>Français</w:t>
            </w:r>
          </w:p>
          <w:p w14:paraId="56B49328" w14:textId="13295ABE" w:rsidR="00927718" w:rsidRDefault="00AD71B3">
            <w:pPr>
              <w:ind w:left="2584"/>
            </w:pPr>
            <w:r>
              <w:rPr>
                <w:rFonts w:eastAsia="Times New Roman"/>
              </w:rPr>
              <w:t>Original</w:t>
            </w:r>
            <w:r w:rsidR="00AF176D">
              <w:rPr>
                <w:rFonts w:eastAsia="Times New Roman"/>
              </w:rPr>
              <w:t> </w:t>
            </w:r>
            <w:r>
              <w:rPr>
                <w:rFonts w:eastAsia="Times New Roman"/>
              </w:rPr>
              <w:t>: anglais</w:t>
            </w:r>
          </w:p>
          <w:p w14:paraId="687E4909" w14:textId="77777777" w:rsidR="00A96B21" w:rsidRPr="00C0630B" w:rsidRDefault="00A96B21" w:rsidP="00D85FA3"/>
        </w:tc>
      </w:tr>
    </w:tbl>
    <w:p w14:paraId="4A19CD5C" w14:textId="77777777" w:rsidR="00927718" w:rsidRDefault="00AD71B3" w:rsidP="0064154A">
      <w:pPr>
        <w:pStyle w:val="Cornernotation"/>
        <w:rPr>
          <w:bCs/>
          <w:sz w:val="22"/>
        </w:rPr>
      </w:pPr>
      <w:r>
        <w:rPr>
          <w:rFonts w:eastAsia="Times New Roman"/>
          <w:bCs/>
          <w:szCs w:val="24"/>
        </w:rPr>
        <w:t xml:space="preserve">Conférence des Parties à la </w:t>
      </w:r>
      <w:r>
        <w:rPr>
          <w:rFonts w:eastAsia="Times New Roman"/>
          <w:bCs/>
          <w:szCs w:val="24"/>
        </w:rPr>
        <w:br/>
        <w:t xml:space="preserve">Convention sur la diversité biologique </w:t>
      </w:r>
    </w:p>
    <w:p w14:paraId="5AE81A9C" w14:textId="77777777" w:rsidR="00927718" w:rsidRDefault="00AD71B3">
      <w:pPr>
        <w:pStyle w:val="Venuedate"/>
        <w:rPr>
          <w:b/>
          <w:bCs w:val="0"/>
        </w:rPr>
      </w:pPr>
      <w:bookmarkStart w:id="1" w:name="CBDMeetingName2"/>
      <w:r>
        <w:rPr>
          <w:rFonts w:eastAsia="Times New Roman"/>
          <w:b/>
        </w:rPr>
        <w:t>Seizième réunion</w:t>
      </w:r>
      <w:bookmarkEnd w:id="1"/>
    </w:p>
    <w:p w14:paraId="1551CADC" w14:textId="5A4C7EC5" w:rsidR="00927718" w:rsidRDefault="00AD71B3">
      <w:pPr>
        <w:pStyle w:val="Venuedate"/>
      </w:pPr>
      <w:r>
        <w:rPr>
          <w:rFonts w:eastAsia="Times New Roman"/>
        </w:rPr>
        <w:t>Cali, Colombie, 21</w:t>
      </w:r>
      <w:r w:rsidR="00AF176D">
        <w:rPr>
          <w:rFonts w:eastAsia="Times New Roman"/>
        </w:rPr>
        <w:t> </w:t>
      </w:r>
      <w:r>
        <w:rPr>
          <w:rFonts w:eastAsia="Times New Roman"/>
        </w:rPr>
        <w:t>octobre–1</w:t>
      </w:r>
      <w:r>
        <w:rPr>
          <w:rFonts w:eastAsia="Times New Roman"/>
          <w:vertAlign w:val="superscript"/>
        </w:rPr>
        <w:t>er</w:t>
      </w:r>
      <w:r w:rsidR="00AF176D">
        <w:rPr>
          <w:rFonts w:eastAsia="Times New Roman"/>
        </w:rPr>
        <w:t> </w:t>
      </w:r>
      <w:r>
        <w:rPr>
          <w:rFonts w:eastAsia="Times New Roman"/>
        </w:rPr>
        <w:t>novembre</w:t>
      </w:r>
      <w:r w:rsidR="00AF176D">
        <w:rPr>
          <w:rFonts w:eastAsia="Times New Roman"/>
        </w:rPr>
        <w:t> </w:t>
      </w:r>
      <w:r>
        <w:rPr>
          <w:rFonts w:eastAsia="Times New Roman"/>
        </w:rPr>
        <w:t>2024</w:t>
      </w:r>
    </w:p>
    <w:p w14:paraId="7DE01AE2" w14:textId="7D7A85B9" w:rsidR="00927718" w:rsidRDefault="00AD71B3">
      <w:pPr>
        <w:pStyle w:val="Cornernotation-Item"/>
        <w:rPr>
          <w:b w:val="0"/>
          <w:bCs w:val="0"/>
        </w:rPr>
      </w:pPr>
      <w:r>
        <w:rPr>
          <w:rFonts w:eastAsia="Times New Roman"/>
          <w:b w:val="0"/>
          <w:bCs w:val="0"/>
        </w:rPr>
        <w:t>Point</w:t>
      </w:r>
      <w:r w:rsidR="00AF176D">
        <w:rPr>
          <w:rFonts w:eastAsia="Times New Roman"/>
          <w:b w:val="0"/>
          <w:bCs w:val="0"/>
        </w:rPr>
        <w:t> </w:t>
      </w:r>
      <w:r>
        <w:rPr>
          <w:rFonts w:eastAsia="Times New Roman"/>
          <w:b w:val="0"/>
          <w:bCs w:val="0"/>
        </w:rPr>
        <w:t xml:space="preserve">30 de l’ordre du jour </w:t>
      </w:r>
    </w:p>
    <w:p w14:paraId="19743C73" w14:textId="77777777" w:rsidR="00927718" w:rsidRDefault="00AD71B3">
      <w:pPr>
        <w:pStyle w:val="Cornernotation-Item"/>
        <w:ind w:right="4398"/>
      </w:pPr>
      <w:r>
        <w:rPr>
          <w:rFonts w:eastAsia="Times New Roman"/>
        </w:rPr>
        <w:t>Adoption du rapport</w:t>
      </w:r>
    </w:p>
    <w:bookmarkEnd w:id="0"/>
    <w:p w14:paraId="1B3FD46E" w14:textId="77777777" w:rsidR="00927718" w:rsidRDefault="00AD71B3">
      <w:pPr>
        <w:pStyle w:val="Titre"/>
        <w:rPr>
          <w:rFonts w:hint="eastAsia"/>
        </w:rPr>
      </w:pPr>
      <w:r>
        <w:rPr>
          <w:rFonts w:eastAsia="Times New Roman Bold"/>
        </w:rPr>
        <w:t>Projet de compte-rendu de la réunion</w:t>
      </w:r>
    </w:p>
    <w:p w14:paraId="7AC552D4" w14:textId="26F5C6F7" w:rsidR="00927718" w:rsidRDefault="00DA7AAB" w:rsidP="00DA7AAB">
      <w:pPr>
        <w:pStyle w:val="CBDAgendaItem"/>
      </w:pPr>
      <w:r>
        <w:rPr>
          <w:rFonts w:eastAsia="Times New Roman"/>
          <w:bCs/>
          <w:szCs w:val="24"/>
        </w:rPr>
        <w:tab/>
      </w:r>
      <w:r w:rsidR="00AD71B3">
        <w:rPr>
          <w:rFonts w:eastAsia="Times New Roman"/>
          <w:bCs/>
          <w:szCs w:val="24"/>
        </w:rPr>
        <w:t>Introduction</w:t>
      </w:r>
    </w:p>
    <w:p w14:paraId="7F078B2B" w14:textId="77777777" w:rsidR="00927718" w:rsidRDefault="00AD71B3">
      <w:pPr>
        <w:pStyle w:val="CBDH3"/>
      </w:pPr>
      <w:r>
        <w:rPr>
          <w:rFonts w:eastAsia="Times New Roman"/>
          <w:bCs/>
        </w:rPr>
        <w:t>1.</w:t>
      </w:r>
      <w:r>
        <w:rPr>
          <w:rFonts w:eastAsia="Times New Roman"/>
          <w:bCs/>
        </w:rPr>
        <w:tab/>
        <w:t>Contexte</w:t>
      </w:r>
    </w:p>
    <w:p w14:paraId="5F72F013" w14:textId="27421AD7" w:rsidR="006A49FC" w:rsidRPr="007532FE" w:rsidRDefault="00AD71B3" w:rsidP="00DA7AAB">
      <w:pPr>
        <w:pStyle w:val="CBDNormalNumber"/>
        <w:spacing w:before="120"/>
        <w:ind w:left="567"/>
      </w:pPr>
      <w:r>
        <w:rPr>
          <w:rFonts w:eastAsia="Times New Roman"/>
        </w:rPr>
        <w:t>À l’invitation du Gouvernement colombien, la seizième réunion de la Conférence des Parties à la Convention sur la diversité biologique s’est tenue à Cali (Colombie) du 21</w:t>
      </w:r>
      <w:r w:rsidR="00AF176D">
        <w:rPr>
          <w:rFonts w:eastAsia="Times New Roman"/>
        </w:rPr>
        <w:t> </w:t>
      </w:r>
      <w:r>
        <w:rPr>
          <w:rFonts w:eastAsia="Times New Roman"/>
        </w:rPr>
        <w:t>octobre au 1</w:t>
      </w:r>
      <w:r w:rsidRPr="00C60C75">
        <w:rPr>
          <w:rFonts w:eastAsia="Times New Roman"/>
          <w:vertAlign w:val="superscript"/>
        </w:rPr>
        <w:t>er</w:t>
      </w:r>
      <w:r w:rsidR="00AF176D">
        <w:rPr>
          <w:rFonts w:eastAsia="Times New Roman"/>
        </w:rPr>
        <w:t> </w:t>
      </w:r>
      <w:r>
        <w:rPr>
          <w:rFonts w:eastAsia="Times New Roman"/>
        </w:rPr>
        <w:t>novembre</w:t>
      </w:r>
      <w:r w:rsidR="00AF176D">
        <w:rPr>
          <w:rFonts w:eastAsia="Times New Roman"/>
        </w:rPr>
        <w:t> </w:t>
      </w:r>
      <w:r>
        <w:rPr>
          <w:rFonts w:eastAsia="Times New Roman"/>
        </w:rPr>
        <w:t>2024, parallèlement à la onzième réunion de la Conférence des Parties siégeant en tant que réunion des Parties au Protocole de Cartagena sur la prévention des risques biotechnologiques et à la cinquième réunion de la Conférence des Parties siégeant en tant que réunion des Parties au Protocole de Nagoya sur l’accès aux ressources génétiques et le partage juste et équitable des avantages découlant de leur utilisation.</w:t>
      </w:r>
    </w:p>
    <w:p w14:paraId="5770E1B1" w14:textId="2DAAF511" w:rsidR="006A49FC" w:rsidRPr="007532FE" w:rsidRDefault="00AD71B3" w:rsidP="00DA7AAB">
      <w:pPr>
        <w:pStyle w:val="CBDNormalNumber"/>
        <w:spacing w:before="120"/>
        <w:ind w:left="567"/>
      </w:pPr>
      <w:r>
        <w:rPr>
          <w:rFonts w:eastAsia="Times New Roman"/>
        </w:rPr>
        <w:t>La réunion a été précédée d’une cérémonie d’ouverture le 20</w:t>
      </w:r>
      <w:r w:rsidR="00AF176D">
        <w:rPr>
          <w:rFonts w:eastAsia="Times New Roman"/>
        </w:rPr>
        <w:t> </w:t>
      </w:r>
      <w:r>
        <w:rPr>
          <w:rFonts w:eastAsia="Times New Roman"/>
        </w:rPr>
        <w:t>octobre</w:t>
      </w:r>
      <w:r w:rsidR="00AF176D">
        <w:rPr>
          <w:rFonts w:eastAsia="Times New Roman"/>
        </w:rPr>
        <w:t> </w:t>
      </w:r>
      <w:r>
        <w:rPr>
          <w:rFonts w:eastAsia="Times New Roman"/>
        </w:rPr>
        <w:t xml:space="preserve">2024, consistant en une présentation culturelle et des déclarations du Président colombien, Gustavo Petro </w:t>
      </w:r>
      <w:proofErr w:type="spellStart"/>
      <w:r>
        <w:rPr>
          <w:rFonts w:eastAsia="Times New Roman"/>
        </w:rPr>
        <w:t>Urrego</w:t>
      </w:r>
      <w:proofErr w:type="spellEnd"/>
      <w:r>
        <w:rPr>
          <w:rFonts w:eastAsia="Times New Roman"/>
        </w:rPr>
        <w:t xml:space="preserve">, du Secrétaire général des Nations Unies, António Guterres, du Ministre de l’écologie et de l’environnement de la Chine et Président de la quinzième réunion de la Conférence des Parties, </w:t>
      </w:r>
      <w:proofErr w:type="spellStart"/>
      <w:r w:rsidRPr="00526A47">
        <w:rPr>
          <w:rFonts w:eastAsia="Times New Roman"/>
        </w:rPr>
        <w:t>Runqiu</w:t>
      </w:r>
      <w:proofErr w:type="spellEnd"/>
      <w:r w:rsidRPr="00526A47">
        <w:rPr>
          <w:rFonts w:eastAsia="Times New Roman"/>
        </w:rPr>
        <w:t xml:space="preserve"> Huang, de la Ministre de l’environnement et du développement durable de la Colombie, María Susana </w:t>
      </w:r>
      <w:proofErr w:type="spellStart"/>
      <w:r w:rsidRPr="00526A47">
        <w:rPr>
          <w:rFonts w:eastAsia="Times New Roman"/>
        </w:rPr>
        <w:t>Muhamad</w:t>
      </w:r>
      <w:proofErr w:type="spellEnd"/>
      <w:r w:rsidRPr="00526A47">
        <w:rPr>
          <w:rFonts w:eastAsia="Times New Roman"/>
        </w:rPr>
        <w:t xml:space="preserve"> González, de</w:t>
      </w:r>
      <w:r>
        <w:rPr>
          <w:rFonts w:eastAsia="Times New Roman"/>
        </w:rPr>
        <w:t xml:space="preserve"> la Gouverneure du département du Valle del Cauca, </w:t>
      </w:r>
      <w:proofErr w:type="spellStart"/>
      <w:r>
        <w:rPr>
          <w:rFonts w:eastAsia="Times New Roman"/>
        </w:rPr>
        <w:t>Dilian</w:t>
      </w:r>
      <w:proofErr w:type="spellEnd"/>
      <w:r>
        <w:rPr>
          <w:rFonts w:eastAsia="Times New Roman"/>
        </w:rPr>
        <w:t xml:space="preserve"> </w:t>
      </w:r>
      <w:proofErr w:type="spellStart"/>
      <w:r>
        <w:rPr>
          <w:rFonts w:eastAsia="Times New Roman"/>
        </w:rPr>
        <w:t>Francisca</w:t>
      </w:r>
      <w:proofErr w:type="spellEnd"/>
      <w:r>
        <w:rPr>
          <w:rFonts w:eastAsia="Times New Roman"/>
        </w:rPr>
        <w:t xml:space="preserve"> Toro Torres, et du maire de Cali, </w:t>
      </w:r>
      <w:proofErr w:type="spellStart"/>
      <w:r>
        <w:rPr>
          <w:rFonts w:eastAsia="Times New Roman"/>
        </w:rPr>
        <w:t>Álvaro</w:t>
      </w:r>
      <w:proofErr w:type="spellEnd"/>
      <w:r>
        <w:rPr>
          <w:rFonts w:eastAsia="Times New Roman"/>
        </w:rPr>
        <w:t xml:space="preserve"> Alejandro Eder </w:t>
      </w:r>
      <w:proofErr w:type="spellStart"/>
      <w:r>
        <w:rPr>
          <w:rFonts w:eastAsia="Times New Roman"/>
        </w:rPr>
        <w:t>Garcés</w:t>
      </w:r>
      <w:proofErr w:type="spellEnd"/>
      <w:r>
        <w:rPr>
          <w:rFonts w:eastAsia="Times New Roman"/>
        </w:rPr>
        <w:t>.</w:t>
      </w:r>
    </w:p>
    <w:p w14:paraId="208F2682" w14:textId="24CA6D85" w:rsidR="006A49FC" w:rsidRPr="007532FE" w:rsidRDefault="00AD71B3" w:rsidP="00DA7AAB">
      <w:pPr>
        <w:pStyle w:val="CBDH3"/>
      </w:pPr>
      <w:r>
        <w:rPr>
          <w:rFonts w:eastAsia="Times New Roman"/>
          <w:bCs/>
        </w:rPr>
        <w:t>2.</w:t>
      </w:r>
      <w:r w:rsidR="00DA7AAB">
        <w:rPr>
          <w:rFonts w:eastAsia="Times New Roman"/>
          <w:bCs/>
        </w:rPr>
        <w:tab/>
      </w:r>
      <w:r>
        <w:rPr>
          <w:rFonts w:eastAsia="Times New Roman"/>
          <w:bCs/>
        </w:rPr>
        <w:t>Participation</w:t>
      </w:r>
    </w:p>
    <w:p w14:paraId="2EC50F96" w14:textId="3AF134E7" w:rsidR="006A49FC" w:rsidRPr="007532FE" w:rsidRDefault="00AD71B3" w:rsidP="00DA7AAB">
      <w:pPr>
        <w:pStyle w:val="CBDNormalNumber"/>
        <w:spacing w:before="120"/>
        <w:ind w:left="567"/>
      </w:pPr>
      <w:r>
        <w:rPr>
          <w:rFonts w:eastAsia="Times New Roman"/>
        </w:rPr>
        <w:t>[à compléter]</w:t>
      </w:r>
    </w:p>
    <w:p w14:paraId="58F3B679" w14:textId="38A4712F" w:rsidR="006A49FC" w:rsidRPr="007532FE" w:rsidRDefault="00AD71B3" w:rsidP="006A49FC">
      <w:pPr>
        <w:pStyle w:val="CBDAgendaItem"/>
        <w:rPr>
          <w:caps/>
        </w:rPr>
      </w:pPr>
      <w:r>
        <w:rPr>
          <w:rFonts w:eastAsia="Times New Roman"/>
          <w:bCs/>
          <w:szCs w:val="24"/>
        </w:rPr>
        <w:t>Point</w:t>
      </w:r>
      <w:r w:rsidR="00AF176D">
        <w:rPr>
          <w:rFonts w:eastAsia="Times New Roman"/>
          <w:bCs/>
          <w:szCs w:val="24"/>
        </w:rPr>
        <w:t> </w:t>
      </w:r>
      <w:r>
        <w:rPr>
          <w:rFonts w:eastAsia="Times New Roman"/>
          <w:bCs/>
          <w:szCs w:val="24"/>
        </w:rPr>
        <w:t xml:space="preserve">1 </w:t>
      </w:r>
      <w:r>
        <w:rPr>
          <w:rFonts w:eastAsia="Times New Roman"/>
          <w:bCs/>
          <w:szCs w:val="24"/>
        </w:rPr>
        <w:br/>
        <w:t>Ouverture de la réunion</w:t>
      </w:r>
    </w:p>
    <w:p w14:paraId="18AC16A7" w14:textId="72844153" w:rsidR="006A49FC" w:rsidRPr="007532FE" w:rsidRDefault="00AD71B3" w:rsidP="00DA7AAB">
      <w:pPr>
        <w:pStyle w:val="CBDNormalNumber"/>
        <w:spacing w:before="120"/>
        <w:ind w:left="567"/>
      </w:pPr>
      <w:r>
        <w:rPr>
          <w:rFonts w:eastAsia="Times New Roman"/>
        </w:rPr>
        <w:t>La 1</w:t>
      </w:r>
      <w:r>
        <w:rPr>
          <w:rFonts w:eastAsia="Times New Roman"/>
          <w:vertAlign w:val="superscript"/>
        </w:rPr>
        <w:t>ère</w:t>
      </w:r>
      <w:r w:rsidR="00AF176D">
        <w:rPr>
          <w:rFonts w:eastAsia="Times New Roman"/>
        </w:rPr>
        <w:t> </w:t>
      </w:r>
      <w:r>
        <w:rPr>
          <w:rFonts w:eastAsia="Times New Roman"/>
        </w:rPr>
        <w:t>séance plénière s’est tenue conjointement avec celles de la Conférence des Parties siégeant en tant que réunion des Parties au Protocole de Cartagena et de la Conférence des Parties siégeant en tant que réunion des Parties au Protocole de Nagoya, le 21</w:t>
      </w:r>
      <w:r w:rsidR="00AF176D">
        <w:rPr>
          <w:rFonts w:eastAsia="Times New Roman"/>
        </w:rPr>
        <w:t> </w:t>
      </w:r>
      <w:r>
        <w:rPr>
          <w:rFonts w:eastAsia="Times New Roman"/>
        </w:rPr>
        <w:t>octobre</w:t>
      </w:r>
      <w:r w:rsidR="00AF176D">
        <w:rPr>
          <w:rFonts w:eastAsia="Times New Roman"/>
        </w:rPr>
        <w:t> </w:t>
      </w:r>
      <w:r>
        <w:rPr>
          <w:rFonts w:eastAsia="Times New Roman"/>
        </w:rPr>
        <w:t xml:space="preserve">2024. </w:t>
      </w:r>
    </w:p>
    <w:p w14:paraId="1CEDBE37" w14:textId="77777777" w:rsidR="006A49FC" w:rsidRPr="007532FE" w:rsidRDefault="00AD71B3" w:rsidP="00DA7AAB">
      <w:pPr>
        <w:pStyle w:val="CBDNormalNumber"/>
        <w:spacing w:before="120"/>
        <w:ind w:left="567"/>
      </w:pPr>
      <w:r>
        <w:rPr>
          <w:rFonts w:eastAsia="Times New Roman"/>
        </w:rPr>
        <w:t xml:space="preserve">La Présidente des trois organes a déclaré les réunions ouvertes à </w:t>
      </w:r>
      <w:proofErr w:type="spellStart"/>
      <w:r>
        <w:rPr>
          <w:rFonts w:eastAsia="Times New Roman"/>
        </w:rPr>
        <w:t>9h30</w:t>
      </w:r>
      <w:proofErr w:type="spellEnd"/>
      <w:r>
        <w:rPr>
          <w:rFonts w:eastAsia="Times New Roman"/>
        </w:rPr>
        <w:t xml:space="preserve">. Dans ses remarques, elle a qualifié le Cadre mondial de la biodiversité de Kunming-Montréal de nouveau jalon pour la conservation de la biodiversité mondiale. Sa valeur réside non seulement dans ses objectifs ambitieux et ses solutions pragmatiques, mais aussi dans la force et l’efficacité de sa mise en œuvre. La concrétisation des engagements pris nécessitera de renforcer la coopération, d’allouer </w:t>
      </w:r>
      <w:r>
        <w:rPr>
          <w:rFonts w:eastAsia="Times New Roman"/>
        </w:rPr>
        <w:lastRenderedPageBreak/>
        <w:t>rationnellement et d’utiliser efficacement les ressources, de formuler et d’appliquer des lois et des recommandations strictes, de promouvoir des mesures novatrices et d’améliorer l’intégration de la biodiversité dans tous les secteurs. La réunion est l’occasion d’examiner les progrès réalisés dans la mise en œuvre, de recenser les difficultés et de proposer des solutions, en particulier pour des questions aussi difficiles que l’information de séquençage numérique, le suivi et la mobilisation des ressources. La Présidente a invité les Parties à rechercher l’unité et la flexibilité nécessaires pour parvenir à un consensus sur les questions clés, mobiliser les ressources nécessaires et prendre des mesures concrètes.</w:t>
      </w:r>
    </w:p>
    <w:p w14:paraId="67A70AA3" w14:textId="77777777" w:rsidR="006A49FC" w:rsidRPr="007532FE" w:rsidRDefault="00AD71B3" w:rsidP="00DA7AAB">
      <w:pPr>
        <w:pStyle w:val="CBDNormalNumber"/>
        <w:spacing w:before="120"/>
        <w:ind w:left="567"/>
      </w:pPr>
      <w:r>
        <w:rPr>
          <w:rFonts w:eastAsia="Times New Roman"/>
        </w:rPr>
        <w:t xml:space="preserve">La Secrétaire exécutive de la Convention, Astrid </w:t>
      </w:r>
      <w:proofErr w:type="spellStart"/>
      <w:r>
        <w:rPr>
          <w:rFonts w:eastAsia="Times New Roman"/>
        </w:rPr>
        <w:t>Schomaker</w:t>
      </w:r>
      <w:proofErr w:type="spellEnd"/>
      <w:r>
        <w:rPr>
          <w:rFonts w:eastAsia="Times New Roman"/>
        </w:rPr>
        <w:t xml:space="preserve">, et la nouvelle Présidente ont prononcé des allocutions d’ouverture. </w:t>
      </w:r>
    </w:p>
    <w:p w14:paraId="0E4FF412" w14:textId="77777777" w:rsidR="006A49FC" w:rsidRPr="007532FE" w:rsidRDefault="00AD71B3" w:rsidP="00DA7AAB">
      <w:pPr>
        <w:pStyle w:val="CBDNormalNumber"/>
        <w:spacing w:before="120"/>
        <w:ind w:left="567"/>
      </w:pPr>
      <w:r>
        <w:rPr>
          <w:rFonts w:eastAsia="Times New Roman"/>
        </w:rPr>
        <w:t>La Secrétaire exécutive a souhaité la bienvenue aux participants et a remercié les nombreux donateurs qui avaient permis aux représentants des pays en développement Parties et des peuples autochtones et communautés locales de participer à la réunion, laquelle doit s’appuyer sur le succès de la réunion précédente en matière de mise en œuvre du Cadre. Cette réunion est la plus importante à ce jour, indiquant une plus grande reconnaissance du fait que l’inversion de la perte de biodiversité nécessite une attention urgente, et le débat de haut niveau sera porteur d’un capital politique sans précédent, notamment grâce aux vastes efforts diplomatiques du Gouvernement colombien.</w:t>
      </w:r>
    </w:p>
    <w:p w14:paraId="2C531CC0" w14:textId="43BB7130" w:rsidR="006A49FC" w:rsidRPr="007532FE" w:rsidRDefault="00AD71B3" w:rsidP="00DA7AAB">
      <w:pPr>
        <w:pStyle w:val="CBDNormalNumber"/>
        <w:spacing w:before="120"/>
        <w:ind w:left="567"/>
      </w:pPr>
      <w:r>
        <w:rPr>
          <w:rFonts w:eastAsia="Times New Roman"/>
        </w:rPr>
        <w:t>La crise planétaire actuelle, y compris la perte de biodiversité, contribue aux crises humaines, comme les conflits, les déplacements et la détérioration de la santé, et il est donc essentiel que les Parties agissent pour l’avenir de l’humanité. Parmi les mesures importantes à prendre lors de la réunion, quatre ressortent clairement</w:t>
      </w:r>
      <w:r w:rsidR="00AF176D">
        <w:rPr>
          <w:rFonts w:eastAsia="Times New Roman"/>
        </w:rPr>
        <w:t> </w:t>
      </w:r>
      <w:r>
        <w:rPr>
          <w:rFonts w:eastAsia="Times New Roman"/>
        </w:rPr>
        <w:t>: aligner la planification nationale sur le Cadre et les critères à utiliser pour mesurer les progrès accomplis dans la réalisation des 23</w:t>
      </w:r>
      <w:r w:rsidR="00AF176D">
        <w:rPr>
          <w:rFonts w:eastAsia="Times New Roman"/>
        </w:rPr>
        <w:t> </w:t>
      </w:r>
      <w:r>
        <w:rPr>
          <w:rFonts w:eastAsia="Times New Roman"/>
        </w:rPr>
        <w:t>cibles</w:t>
      </w:r>
      <w:r w:rsidR="00AF176D">
        <w:rPr>
          <w:rFonts w:eastAsia="Times New Roman"/>
        </w:rPr>
        <w:t> </w:t>
      </w:r>
      <w:r>
        <w:rPr>
          <w:rFonts w:eastAsia="Times New Roman"/>
        </w:rPr>
        <w:t>; reconnaître le rôle des peuples autochtones et des communautés locales dans le fonctionnement institutionnel de la Convention</w:t>
      </w:r>
      <w:r w:rsidR="00AF176D">
        <w:rPr>
          <w:rFonts w:eastAsia="Times New Roman"/>
        </w:rPr>
        <w:t> </w:t>
      </w:r>
      <w:r>
        <w:rPr>
          <w:rFonts w:eastAsia="Times New Roman"/>
        </w:rPr>
        <w:t>; mobiliser des ressources et avancer de manière urgente sur les moyens de mise en œuvre</w:t>
      </w:r>
      <w:r w:rsidR="00AF176D">
        <w:rPr>
          <w:rFonts w:eastAsia="Times New Roman"/>
        </w:rPr>
        <w:t> </w:t>
      </w:r>
      <w:r>
        <w:rPr>
          <w:rFonts w:eastAsia="Times New Roman"/>
        </w:rPr>
        <w:t>; et rendre opérationnel le mécanisme multilatéral sur l’information de séquençage numérique sur les ressources génétiques, y compris le fonds mondial. Il est urgent de résoudre les questions en suspens et d’adopter des mesures propres à assurer une action unifiée en faveur de la biodiversité.</w:t>
      </w:r>
    </w:p>
    <w:p w14:paraId="0B82ACCC" w14:textId="4D6317FC" w:rsidR="006A49FC" w:rsidRPr="007532FE" w:rsidRDefault="00AD71B3" w:rsidP="00DA7AAB">
      <w:pPr>
        <w:pStyle w:val="CBDNormalNumber"/>
        <w:spacing w:before="120"/>
        <w:ind w:left="567"/>
      </w:pPr>
      <w:r>
        <w:rPr>
          <w:rFonts w:eastAsia="Times New Roman"/>
        </w:rPr>
        <w:t>Dans ses remarques, la Présidente entrante a souligné que la mise en œuvre du Cadre nécessite une approche pangouvernementale et pansociétale en matière de protection, de conservation et de restauration de la nature. Il est tout aussi important de révolutionner les relations entre l’humanité et la nature et les écosystèmes que de mettre en œuvre la transition énergétique et d’autres initiatives mondiales pour créer un sentiment d’intérêt commun, construire la paix et la sécurité et promouvoir le multilatéralisme. En organisant la présente réunion, le Gouvernement colombien souhaite créer un environnement politique dans lequel toutes les parties prenantes favorisent une compréhension croissante de l’existence d’une nouvelle possibilité de gouvernance mondiale fondée sur la transparence, la volonté de compromis, la reconnaissance d’une responsabilité commune et le respect des engagements pris. Compte tenu de l’urgence de la question du rétablissement de la planète, les Parties doivent se concentrer sur les questions de fond, rechercher des solutions et éviter de se préoccuper indûment de la méthode de négociation. Le succès de la réunion dépendra d’un accord sur des points clés</w:t>
      </w:r>
      <w:r w:rsidR="00AF176D">
        <w:rPr>
          <w:rFonts w:eastAsia="Times New Roman"/>
        </w:rPr>
        <w:t> </w:t>
      </w:r>
      <w:r>
        <w:rPr>
          <w:rFonts w:eastAsia="Times New Roman"/>
        </w:rPr>
        <w:t>: un programme de travail pour les peuples autochtones et les communautés locales reconnaissant la valeur de leurs connaissances, de leur expérience et de leur rôle en première ligne de la crise de la biodiversité</w:t>
      </w:r>
      <w:r w:rsidR="00AF176D">
        <w:rPr>
          <w:rFonts w:eastAsia="Times New Roman"/>
        </w:rPr>
        <w:t> </w:t>
      </w:r>
      <w:r>
        <w:rPr>
          <w:rFonts w:eastAsia="Times New Roman"/>
        </w:rPr>
        <w:t>; une décision sur l’information de séquençage numérique, non seulement importante pour la Convention, mais également pour servir d’exemple dans des domaines connexes tels que les changements climatiques, la mobilisation de financements et des ressources nécessaires pour atteindre les cibles du Cadre, un système de suivi basé sur des paramètres acceptés et un examen de l’efficacité des processus au titre de la Convention et de ses cibles, qui contribueront à renforcer l’image de la Convention et du Cadre et à garantir que les mesures soient prises de manière responsable et transparente.</w:t>
      </w:r>
    </w:p>
    <w:p w14:paraId="2F2BC6AE" w14:textId="1632BF84" w:rsidR="006A49FC" w:rsidRPr="007532FE" w:rsidRDefault="00AD71B3" w:rsidP="006A49FC">
      <w:pPr>
        <w:pStyle w:val="CBDAgendaItem"/>
        <w:rPr>
          <w:caps/>
        </w:rPr>
      </w:pPr>
      <w:r>
        <w:rPr>
          <w:rFonts w:eastAsia="Times New Roman"/>
          <w:bCs/>
          <w:szCs w:val="24"/>
        </w:rPr>
        <w:lastRenderedPageBreak/>
        <w:t>Point</w:t>
      </w:r>
      <w:r w:rsidR="00AF176D">
        <w:rPr>
          <w:rFonts w:eastAsia="Times New Roman"/>
          <w:bCs/>
          <w:szCs w:val="24"/>
        </w:rPr>
        <w:t> </w:t>
      </w:r>
      <w:r>
        <w:rPr>
          <w:rFonts w:eastAsia="Times New Roman"/>
          <w:bCs/>
          <w:szCs w:val="24"/>
        </w:rPr>
        <w:t xml:space="preserve">2 </w:t>
      </w:r>
      <w:r>
        <w:rPr>
          <w:rFonts w:eastAsia="Times New Roman"/>
          <w:bCs/>
          <w:szCs w:val="24"/>
        </w:rPr>
        <w:br/>
        <w:t>Questions d’organisation</w:t>
      </w:r>
    </w:p>
    <w:p w14:paraId="3D71E05F" w14:textId="3EBC6DF1" w:rsidR="006A49FC" w:rsidRPr="007532FE" w:rsidRDefault="00AD71B3" w:rsidP="00DA7AAB">
      <w:pPr>
        <w:pStyle w:val="CBDNormalNumber"/>
        <w:spacing w:before="120"/>
        <w:ind w:left="567"/>
      </w:pPr>
      <w:r>
        <w:rPr>
          <w:rFonts w:eastAsia="Times New Roman"/>
        </w:rPr>
        <w:t>La Conférence des Parties a examiné le point</w:t>
      </w:r>
      <w:r w:rsidR="00AF176D">
        <w:rPr>
          <w:rFonts w:eastAsia="Times New Roman"/>
        </w:rPr>
        <w:t> </w:t>
      </w:r>
      <w:r>
        <w:rPr>
          <w:rFonts w:eastAsia="Times New Roman"/>
        </w:rPr>
        <w:t>2 de l’ordre du jour à sa 1</w:t>
      </w:r>
      <w:r>
        <w:rPr>
          <w:rFonts w:eastAsia="Times New Roman"/>
          <w:vertAlign w:val="superscript"/>
        </w:rPr>
        <w:t>ère</w:t>
      </w:r>
      <w:r w:rsidR="00AF176D">
        <w:rPr>
          <w:rFonts w:eastAsia="Times New Roman"/>
        </w:rPr>
        <w:t> </w:t>
      </w:r>
      <w:r>
        <w:rPr>
          <w:rFonts w:eastAsia="Times New Roman"/>
        </w:rPr>
        <w:t>séance plénière. Elle était saisie pour ce faire de l’ordre du jour provisoire</w:t>
      </w:r>
      <w:r>
        <w:rPr>
          <w:rStyle w:val="Appelnotedebasdep"/>
        </w:rPr>
        <w:footnoteReference w:id="2"/>
      </w:r>
      <w:r>
        <w:rPr>
          <w:rFonts w:eastAsia="Times New Roman"/>
        </w:rPr>
        <w:t>, de l’ordre du jour provisoire annoté</w:t>
      </w:r>
      <w:r>
        <w:rPr>
          <w:rStyle w:val="Appelnotedebasdep"/>
        </w:rPr>
        <w:footnoteReference w:id="3"/>
      </w:r>
      <w:r>
        <w:rPr>
          <w:rFonts w:eastAsia="Times New Roman"/>
        </w:rPr>
        <w:t>, et d’une proposition d’organisation des travaux</w:t>
      </w:r>
      <w:r>
        <w:rPr>
          <w:rStyle w:val="Appelnotedebasdep"/>
        </w:rPr>
        <w:footnoteReference w:id="4"/>
      </w:r>
      <w:r>
        <w:rPr>
          <w:rFonts w:eastAsia="Times New Roman"/>
        </w:rPr>
        <w:t>. Un document d’information sur les procédures d’élection aux postes de vice-présidents de la Conférence des Parties et de présidents des organes subsidiaires intergouvernementaux a également été publié en relation avec le point</w:t>
      </w:r>
      <w:r w:rsidR="00AF176D">
        <w:rPr>
          <w:rFonts w:eastAsia="Times New Roman"/>
        </w:rPr>
        <w:t> </w:t>
      </w:r>
      <w:r>
        <w:rPr>
          <w:rFonts w:eastAsia="Times New Roman"/>
        </w:rPr>
        <w:t>2</w:t>
      </w:r>
      <w:r>
        <w:rPr>
          <w:rStyle w:val="Appelnotedebasdep"/>
        </w:rPr>
        <w:footnoteReference w:id="5"/>
      </w:r>
      <w:r>
        <w:rPr>
          <w:rFonts w:eastAsia="Times New Roman"/>
        </w:rPr>
        <w:t>.</w:t>
      </w:r>
    </w:p>
    <w:p w14:paraId="54B96A36" w14:textId="77777777" w:rsidR="006A49FC" w:rsidRPr="007532FE" w:rsidRDefault="00AD71B3" w:rsidP="00DA7AAB">
      <w:pPr>
        <w:keepNext/>
        <w:spacing w:before="120" w:after="120"/>
        <w:ind w:left="567"/>
        <w:rPr>
          <w:i/>
          <w:iCs/>
          <w:snapToGrid w:val="0"/>
        </w:rPr>
      </w:pPr>
      <w:r>
        <w:rPr>
          <w:rFonts w:eastAsia="Times New Roman"/>
          <w:i/>
          <w:iCs/>
        </w:rPr>
        <w:t>Élection de la Présidente</w:t>
      </w:r>
    </w:p>
    <w:p w14:paraId="682C8151" w14:textId="73A38ADB" w:rsidR="006A49FC" w:rsidRPr="007532FE" w:rsidRDefault="00AD71B3" w:rsidP="00DA7AAB">
      <w:pPr>
        <w:pStyle w:val="CBDNormalNumber"/>
        <w:spacing w:before="120"/>
        <w:ind w:left="567"/>
      </w:pPr>
      <w:r>
        <w:rPr>
          <w:rFonts w:eastAsia="Times New Roman"/>
        </w:rPr>
        <w:t>Conformément à l’article</w:t>
      </w:r>
      <w:r w:rsidR="00AF176D">
        <w:rPr>
          <w:rFonts w:eastAsia="Times New Roman"/>
        </w:rPr>
        <w:t> </w:t>
      </w:r>
      <w:r>
        <w:rPr>
          <w:rFonts w:eastAsia="Times New Roman"/>
        </w:rPr>
        <w:t>21 du règlement intérieur des réunions de la Conférence des Parties à la Convention, à la 1</w:t>
      </w:r>
      <w:r>
        <w:rPr>
          <w:rFonts w:eastAsia="Times New Roman"/>
          <w:vertAlign w:val="superscript"/>
        </w:rPr>
        <w:t>ère</w:t>
      </w:r>
      <w:r w:rsidR="00AF176D">
        <w:rPr>
          <w:rFonts w:eastAsia="Times New Roman"/>
        </w:rPr>
        <w:t> </w:t>
      </w:r>
      <w:r>
        <w:rPr>
          <w:rFonts w:eastAsia="Times New Roman"/>
        </w:rPr>
        <w:t xml:space="preserve">séance plénière de la réunion, la Conférence des Parties a élu par acclamation la Ministre de l’environnement et du développement durable de la Colombie, </w:t>
      </w:r>
      <w:r w:rsidRPr="00526A47">
        <w:rPr>
          <w:rFonts w:eastAsia="Times New Roman"/>
        </w:rPr>
        <w:t>M</w:t>
      </w:r>
      <w:r w:rsidRPr="00526A47">
        <w:rPr>
          <w:rFonts w:eastAsia="Times New Roman"/>
          <w:vertAlign w:val="superscript"/>
        </w:rPr>
        <w:t>me</w:t>
      </w:r>
      <w:r w:rsidR="00526A47" w:rsidRPr="00526A47">
        <w:rPr>
          <w:rFonts w:eastAsia="Times New Roman"/>
        </w:rPr>
        <w:t> </w:t>
      </w:r>
      <w:proofErr w:type="spellStart"/>
      <w:r w:rsidRPr="00526A47">
        <w:rPr>
          <w:rFonts w:eastAsia="Times New Roman"/>
        </w:rPr>
        <w:t>Muhamad</w:t>
      </w:r>
      <w:proofErr w:type="spellEnd"/>
      <w:r w:rsidRPr="00526A47">
        <w:rPr>
          <w:rFonts w:eastAsia="Times New Roman"/>
        </w:rPr>
        <w:t xml:space="preserve"> González</w:t>
      </w:r>
      <w:r>
        <w:rPr>
          <w:rFonts w:eastAsia="Times New Roman"/>
        </w:rPr>
        <w:t>, Présidente de sa seizième réunion.</w:t>
      </w:r>
    </w:p>
    <w:p w14:paraId="0E69E941" w14:textId="77777777" w:rsidR="006A49FC" w:rsidRPr="007532FE" w:rsidRDefault="00AD71B3" w:rsidP="00DA7AAB">
      <w:pPr>
        <w:pStyle w:val="Para1"/>
        <w:keepNext/>
        <w:rPr>
          <w:i/>
          <w:iCs/>
          <w:kern w:val="22"/>
        </w:rPr>
      </w:pPr>
      <w:r>
        <w:rPr>
          <w:rFonts w:eastAsia="Times New Roman"/>
          <w:i/>
          <w:iCs/>
          <w:kern w:val="22"/>
        </w:rPr>
        <w:t>Élection des vice-présidents</w:t>
      </w:r>
    </w:p>
    <w:p w14:paraId="10261A83" w14:textId="46A28BA3" w:rsidR="006A49FC" w:rsidRPr="007532FE" w:rsidRDefault="00AD71B3" w:rsidP="00DA7AAB">
      <w:pPr>
        <w:pStyle w:val="CBDNormalNumber"/>
        <w:spacing w:before="120"/>
        <w:ind w:left="567"/>
      </w:pPr>
      <w:r>
        <w:rPr>
          <w:rFonts w:eastAsia="Times New Roman"/>
        </w:rPr>
        <w:t>Conformément à l’article</w:t>
      </w:r>
      <w:r w:rsidR="00AF176D">
        <w:rPr>
          <w:rFonts w:eastAsia="Times New Roman"/>
        </w:rPr>
        <w:t> </w:t>
      </w:r>
      <w:r>
        <w:rPr>
          <w:rFonts w:eastAsia="Times New Roman"/>
        </w:rPr>
        <w:t>21 du règlement intérieur, dix vice-présidents avaient été élus par la Conférence des Parties à sa quinzième réunion pour siéger jusqu’à la clôture de cette dernière. Par la suite, un membre du Bureau avait été remplacé par la Partie concernée. Les représentants suivants ont siégé en tant que vice-présidents de la quinzième réunion de la Conférence des Parties</w:t>
      </w:r>
      <w:r w:rsidR="00AF176D">
        <w:rPr>
          <w:rFonts w:eastAsia="Times New Roman"/>
        </w:rPr>
        <w:t> </w:t>
      </w:r>
      <w:r>
        <w:rPr>
          <w:rFonts w:eastAsia="Times New Roman"/>
        </w:rPr>
        <w:t>:</w:t>
      </w:r>
    </w:p>
    <w:tbl>
      <w:tblPr>
        <w:tblStyle w:val="Grilledutableau"/>
        <w:tblW w:w="4405"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tblGrid>
      <w:tr w:rsidR="003B282B" w14:paraId="7A6E477A" w14:textId="77777777" w:rsidTr="00EA18E7">
        <w:tc>
          <w:tcPr>
            <w:tcW w:w="4405" w:type="dxa"/>
          </w:tcPr>
          <w:p w14:paraId="20D3DA66" w14:textId="77777777" w:rsidR="006A49FC" w:rsidRPr="007532FE" w:rsidRDefault="00AD71B3" w:rsidP="00DA7AAB">
            <w:pPr>
              <w:spacing w:before="40" w:after="40"/>
              <w:jc w:val="left"/>
              <w:rPr>
                <w:rFonts w:asciiTheme="majorBidi" w:hAnsiTheme="majorBidi" w:cstheme="majorBidi"/>
              </w:rPr>
            </w:pPr>
            <w:proofErr w:type="spellStart"/>
            <w:r>
              <w:rPr>
                <w:rFonts w:eastAsia="Times New Roman"/>
              </w:rPr>
              <w:t>Khangeziwe</w:t>
            </w:r>
            <w:proofErr w:type="spellEnd"/>
            <w:r>
              <w:rPr>
                <w:rFonts w:eastAsia="Times New Roman"/>
              </w:rPr>
              <w:t xml:space="preserve"> </w:t>
            </w:r>
            <w:proofErr w:type="spellStart"/>
            <w:r>
              <w:rPr>
                <w:rFonts w:eastAsia="Times New Roman"/>
              </w:rPr>
              <w:t>Mabuza</w:t>
            </w:r>
            <w:proofErr w:type="spellEnd"/>
            <w:r>
              <w:rPr>
                <w:rFonts w:eastAsia="Times New Roman"/>
              </w:rPr>
              <w:t xml:space="preserve"> (Eswatini)</w:t>
            </w:r>
            <w:r>
              <w:rPr>
                <w:rStyle w:val="Appelnotedebasdep"/>
                <w:rFonts w:asciiTheme="majorBidi" w:eastAsiaTheme="majorEastAsia" w:hAnsiTheme="majorBidi" w:cstheme="majorBidi"/>
              </w:rPr>
              <w:footnoteReference w:id="6"/>
            </w:r>
          </w:p>
        </w:tc>
      </w:tr>
      <w:tr w:rsidR="003B282B" w14:paraId="1FC13B53" w14:textId="77777777" w:rsidTr="00EA18E7">
        <w:tc>
          <w:tcPr>
            <w:tcW w:w="4405" w:type="dxa"/>
          </w:tcPr>
          <w:p w14:paraId="73B91E02" w14:textId="77777777" w:rsidR="006A49FC" w:rsidRPr="007532FE" w:rsidRDefault="00AD71B3" w:rsidP="00DA7AAB">
            <w:pPr>
              <w:spacing w:before="40" w:after="40"/>
              <w:jc w:val="left"/>
              <w:rPr>
                <w:rFonts w:asciiTheme="majorBidi" w:hAnsiTheme="majorBidi" w:cstheme="majorBidi"/>
              </w:rPr>
            </w:pPr>
            <w:proofErr w:type="spellStart"/>
            <w:r>
              <w:rPr>
                <w:rFonts w:eastAsia="Times New Roman"/>
              </w:rPr>
              <w:t>Abderahmane</w:t>
            </w:r>
            <w:proofErr w:type="spellEnd"/>
            <w:r>
              <w:rPr>
                <w:rFonts w:eastAsia="Times New Roman"/>
              </w:rPr>
              <w:t xml:space="preserve"> </w:t>
            </w:r>
            <w:proofErr w:type="spellStart"/>
            <w:r>
              <w:rPr>
                <w:rFonts w:eastAsia="Times New Roman"/>
              </w:rPr>
              <w:t>Zino</w:t>
            </w:r>
            <w:proofErr w:type="spellEnd"/>
            <w:r>
              <w:rPr>
                <w:rFonts w:eastAsia="Times New Roman"/>
              </w:rPr>
              <w:t xml:space="preserve"> </w:t>
            </w:r>
            <w:proofErr w:type="spellStart"/>
            <w:r>
              <w:rPr>
                <w:rFonts w:eastAsia="Times New Roman"/>
              </w:rPr>
              <w:t>Izourar</w:t>
            </w:r>
            <w:proofErr w:type="spellEnd"/>
            <w:r>
              <w:rPr>
                <w:rFonts w:eastAsia="Times New Roman"/>
              </w:rPr>
              <w:t xml:space="preserve"> (Algérie)</w:t>
            </w:r>
          </w:p>
        </w:tc>
      </w:tr>
      <w:tr w:rsidR="003B282B" w14:paraId="4B82735E" w14:textId="77777777" w:rsidTr="00EA18E7">
        <w:tc>
          <w:tcPr>
            <w:tcW w:w="4405" w:type="dxa"/>
          </w:tcPr>
          <w:p w14:paraId="530D97B9" w14:textId="77777777" w:rsidR="006A49FC" w:rsidRPr="007532FE" w:rsidRDefault="00AD71B3" w:rsidP="00DA7AAB">
            <w:pPr>
              <w:spacing w:before="40" w:after="40"/>
              <w:jc w:val="left"/>
              <w:rPr>
                <w:rFonts w:asciiTheme="majorBidi" w:hAnsiTheme="majorBidi" w:cstheme="majorBidi"/>
              </w:rPr>
            </w:pPr>
            <w:proofErr w:type="spellStart"/>
            <w:r>
              <w:rPr>
                <w:rFonts w:eastAsia="Times New Roman"/>
              </w:rPr>
              <w:t>Krishneel</w:t>
            </w:r>
            <w:proofErr w:type="spellEnd"/>
            <w:r>
              <w:rPr>
                <w:rFonts w:eastAsia="Times New Roman"/>
              </w:rPr>
              <w:t xml:space="preserve"> </w:t>
            </w:r>
            <w:proofErr w:type="spellStart"/>
            <w:r>
              <w:rPr>
                <w:rFonts w:eastAsia="Times New Roman"/>
              </w:rPr>
              <w:t>Nand</w:t>
            </w:r>
            <w:proofErr w:type="spellEnd"/>
            <w:r>
              <w:rPr>
                <w:rFonts w:eastAsia="Times New Roman"/>
              </w:rPr>
              <w:t xml:space="preserve"> (Fidji)</w:t>
            </w:r>
          </w:p>
        </w:tc>
      </w:tr>
      <w:tr w:rsidR="003B282B" w14:paraId="56F72E88" w14:textId="77777777" w:rsidTr="00EA18E7">
        <w:tc>
          <w:tcPr>
            <w:tcW w:w="4405" w:type="dxa"/>
          </w:tcPr>
          <w:p w14:paraId="6690AAD9" w14:textId="77777777" w:rsidR="006A49FC" w:rsidRPr="007532FE" w:rsidRDefault="00AD71B3" w:rsidP="00DA7AAB">
            <w:pPr>
              <w:spacing w:before="40" w:after="40"/>
              <w:jc w:val="left"/>
              <w:rPr>
                <w:rFonts w:asciiTheme="majorBidi" w:hAnsiTheme="majorBidi" w:cstheme="majorBidi"/>
              </w:rPr>
            </w:pPr>
            <w:proofErr w:type="spellStart"/>
            <w:r>
              <w:rPr>
                <w:rFonts w:eastAsia="Times New Roman"/>
              </w:rPr>
              <w:t>Somaly</w:t>
            </w:r>
            <w:proofErr w:type="spellEnd"/>
            <w:r>
              <w:rPr>
                <w:rFonts w:eastAsia="Times New Roman"/>
              </w:rPr>
              <w:t xml:space="preserve"> Chan (Cambodge)</w:t>
            </w:r>
          </w:p>
        </w:tc>
      </w:tr>
      <w:tr w:rsidR="003B282B" w14:paraId="7E32B5B1" w14:textId="77777777" w:rsidTr="00EA18E7">
        <w:tc>
          <w:tcPr>
            <w:tcW w:w="4405" w:type="dxa"/>
          </w:tcPr>
          <w:p w14:paraId="63C1003B" w14:textId="77777777" w:rsidR="006A49FC" w:rsidRPr="007532FE" w:rsidRDefault="00AD71B3" w:rsidP="00DA7AAB">
            <w:pPr>
              <w:spacing w:before="40" w:after="40"/>
              <w:jc w:val="left"/>
              <w:rPr>
                <w:rFonts w:asciiTheme="majorBidi" w:hAnsiTheme="majorBidi" w:cstheme="majorBidi"/>
              </w:rPr>
            </w:pPr>
            <w:proofErr w:type="spellStart"/>
            <w:r>
              <w:rPr>
                <w:rFonts w:eastAsia="Times New Roman"/>
              </w:rPr>
              <w:t>Teona</w:t>
            </w:r>
            <w:proofErr w:type="spellEnd"/>
            <w:r>
              <w:rPr>
                <w:rFonts w:eastAsia="Times New Roman"/>
              </w:rPr>
              <w:t xml:space="preserve"> </w:t>
            </w:r>
            <w:proofErr w:type="spellStart"/>
            <w:r>
              <w:rPr>
                <w:rFonts w:eastAsia="Times New Roman"/>
              </w:rPr>
              <w:t>Karchava</w:t>
            </w:r>
            <w:proofErr w:type="spellEnd"/>
            <w:r>
              <w:rPr>
                <w:rFonts w:eastAsia="Times New Roman"/>
              </w:rPr>
              <w:t xml:space="preserve"> (Géorgie)</w:t>
            </w:r>
          </w:p>
        </w:tc>
      </w:tr>
      <w:tr w:rsidR="003B282B" w14:paraId="63F6D275" w14:textId="77777777" w:rsidTr="00EA18E7">
        <w:tc>
          <w:tcPr>
            <w:tcW w:w="4405" w:type="dxa"/>
          </w:tcPr>
          <w:p w14:paraId="7A713478" w14:textId="77777777" w:rsidR="006A49FC" w:rsidRPr="007532FE" w:rsidRDefault="00AD71B3" w:rsidP="00DA7AAB">
            <w:pPr>
              <w:spacing w:before="40" w:after="40"/>
              <w:jc w:val="left"/>
              <w:rPr>
                <w:rFonts w:asciiTheme="majorBidi" w:hAnsiTheme="majorBidi" w:cstheme="majorBidi"/>
              </w:rPr>
            </w:pPr>
            <w:r>
              <w:rPr>
                <w:rFonts w:eastAsia="Times New Roman"/>
              </w:rPr>
              <w:t xml:space="preserve">Angela </w:t>
            </w:r>
            <w:proofErr w:type="spellStart"/>
            <w:r>
              <w:rPr>
                <w:rFonts w:eastAsia="Times New Roman"/>
              </w:rPr>
              <w:t>Lozan</w:t>
            </w:r>
            <w:proofErr w:type="spellEnd"/>
            <w:r>
              <w:rPr>
                <w:rFonts w:eastAsia="Times New Roman"/>
              </w:rPr>
              <w:t xml:space="preserve"> (République de Moldova)</w:t>
            </w:r>
          </w:p>
        </w:tc>
      </w:tr>
      <w:tr w:rsidR="003B282B" w14:paraId="5E251F60" w14:textId="77777777" w:rsidTr="00EA18E7">
        <w:tc>
          <w:tcPr>
            <w:tcW w:w="4405" w:type="dxa"/>
          </w:tcPr>
          <w:p w14:paraId="0EF4BDE1" w14:textId="77777777" w:rsidR="006A49FC" w:rsidRPr="007532FE" w:rsidRDefault="00AD71B3" w:rsidP="00DA7AAB">
            <w:pPr>
              <w:spacing w:before="40" w:after="40"/>
              <w:jc w:val="left"/>
              <w:rPr>
                <w:rFonts w:asciiTheme="majorBidi" w:hAnsiTheme="majorBidi" w:cstheme="majorBidi"/>
              </w:rPr>
            </w:pPr>
            <w:r>
              <w:rPr>
                <w:rFonts w:eastAsia="Times New Roman"/>
              </w:rPr>
              <w:t>Gillian Guthrie (Jamaïque)</w:t>
            </w:r>
          </w:p>
        </w:tc>
      </w:tr>
      <w:tr w:rsidR="003B282B" w14:paraId="77E2A8C3" w14:textId="77777777" w:rsidTr="00EA18E7">
        <w:tc>
          <w:tcPr>
            <w:tcW w:w="4405" w:type="dxa"/>
          </w:tcPr>
          <w:p w14:paraId="5131A062" w14:textId="77777777" w:rsidR="006A49FC" w:rsidRPr="007532FE" w:rsidRDefault="00AD71B3" w:rsidP="00DA7AAB">
            <w:pPr>
              <w:spacing w:before="40" w:after="40"/>
              <w:jc w:val="left"/>
              <w:rPr>
                <w:rFonts w:asciiTheme="majorBidi" w:hAnsiTheme="majorBidi" w:cstheme="majorBidi"/>
              </w:rPr>
            </w:pPr>
            <w:r>
              <w:rPr>
                <w:rFonts w:eastAsia="Times New Roman"/>
              </w:rPr>
              <w:t xml:space="preserve">María Teresa </w:t>
            </w:r>
            <w:proofErr w:type="spellStart"/>
            <w:r>
              <w:rPr>
                <w:rFonts w:eastAsia="Times New Roman"/>
              </w:rPr>
              <w:t>Becerra</w:t>
            </w:r>
            <w:proofErr w:type="spellEnd"/>
            <w:r>
              <w:rPr>
                <w:rFonts w:eastAsia="Times New Roman"/>
              </w:rPr>
              <w:t xml:space="preserve"> </w:t>
            </w:r>
            <w:proofErr w:type="spellStart"/>
            <w:r>
              <w:rPr>
                <w:rFonts w:eastAsia="Times New Roman"/>
              </w:rPr>
              <w:t>Ramírez</w:t>
            </w:r>
            <w:proofErr w:type="spellEnd"/>
            <w:r>
              <w:rPr>
                <w:rFonts w:eastAsia="Times New Roman"/>
              </w:rPr>
              <w:t xml:space="preserve"> (Colombie)</w:t>
            </w:r>
          </w:p>
        </w:tc>
      </w:tr>
      <w:tr w:rsidR="003B282B" w14:paraId="0DB94AA9" w14:textId="77777777" w:rsidTr="00EA18E7">
        <w:tc>
          <w:tcPr>
            <w:tcW w:w="4405" w:type="dxa"/>
          </w:tcPr>
          <w:p w14:paraId="4D7146E3" w14:textId="77777777" w:rsidR="006A49FC" w:rsidRPr="007532FE" w:rsidRDefault="00AD71B3" w:rsidP="00DA7AAB">
            <w:pPr>
              <w:spacing w:before="40" w:after="40"/>
              <w:jc w:val="left"/>
              <w:rPr>
                <w:rFonts w:asciiTheme="majorBidi" w:hAnsiTheme="majorBidi" w:cstheme="majorBidi"/>
              </w:rPr>
            </w:pPr>
            <w:proofErr w:type="spellStart"/>
            <w:r>
              <w:rPr>
                <w:rFonts w:eastAsia="Times New Roman"/>
              </w:rPr>
              <w:t>Eric</w:t>
            </w:r>
            <w:proofErr w:type="spellEnd"/>
            <w:r>
              <w:rPr>
                <w:rFonts w:eastAsia="Times New Roman"/>
              </w:rPr>
              <w:t xml:space="preserve"> </w:t>
            </w:r>
            <w:proofErr w:type="spellStart"/>
            <w:r>
              <w:rPr>
                <w:rFonts w:eastAsia="Times New Roman"/>
              </w:rPr>
              <w:t>Schauls</w:t>
            </w:r>
            <w:proofErr w:type="spellEnd"/>
            <w:r>
              <w:rPr>
                <w:rFonts w:eastAsia="Times New Roman"/>
              </w:rPr>
              <w:t xml:space="preserve"> (Luxembourg)</w:t>
            </w:r>
          </w:p>
        </w:tc>
      </w:tr>
      <w:tr w:rsidR="003B282B" w14:paraId="63CBF285" w14:textId="77777777" w:rsidTr="00EA18E7">
        <w:trPr>
          <w:trHeight w:val="420"/>
        </w:trPr>
        <w:tc>
          <w:tcPr>
            <w:tcW w:w="4405" w:type="dxa"/>
          </w:tcPr>
          <w:p w14:paraId="1871E0DB" w14:textId="77777777" w:rsidR="006A49FC" w:rsidRPr="007532FE" w:rsidRDefault="00AD71B3" w:rsidP="00DA7AAB">
            <w:pPr>
              <w:spacing w:before="40" w:after="40"/>
              <w:jc w:val="left"/>
              <w:rPr>
                <w:rFonts w:asciiTheme="majorBidi" w:hAnsiTheme="majorBidi" w:cstheme="majorBidi"/>
              </w:rPr>
            </w:pPr>
            <w:r>
              <w:rPr>
                <w:rFonts w:eastAsia="Times New Roman"/>
              </w:rPr>
              <w:t xml:space="preserve">Norbert </w:t>
            </w:r>
            <w:proofErr w:type="spellStart"/>
            <w:r>
              <w:rPr>
                <w:rFonts w:eastAsia="Times New Roman"/>
              </w:rPr>
              <w:t>Bärlocher</w:t>
            </w:r>
            <w:proofErr w:type="spellEnd"/>
            <w:r>
              <w:rPr>
                <w:rFonts w:eastAsia="Times New Roman"/>
              </w:rPr>
              <w:t xml:space="preserve"> (Suisse)</w:t>
            </w:r>
          </w:p>
        </w:tc>
      </w:tr>
    </w:tbl>
    <w:p w14:paraId="2223C4AA" w14:textId="2C2A6D70" w:rsidR="006A49FC" w:rsidRPr="00526A47" w:rsidRDefault="00AD71B3" w:rsidP="00DA7AAB">
      <w:pPr>
        <w:pStyle w:val="CBDNormalNumber"/>
        <w:tabs>
          <w:tab w:val="clear" w:pos="567"/>
          <w:tab w:val="clear" w:pos="1701"/>
          <w:tab w:val="clear" w:pos="2268"/>
        </w:tabs>
        <w:spacing w:before="120"/>
        <w:ind w:left="567"/>
      </w:pPr>
      <w:r w:rsidRPr="00526A47">
        <w:rPr>
          <w:rFonts w:eastAsia="Times New Roman"/>
          <w:color w:val="000000"/>
        </w:rPr>
        <w:t>À sa 1</w:t>
      </w:r>
      <w:r w:rsidRPr="00526A47">
        <w:rPr>
          <w:rFonts w:eastAsia="Times New Roman"/>
          <w:color w:val="000000"/>
          <w:vertAlign w:val="superscript"/>
        </w:rPr>
        <w:t>ère</w:t>
      </w:r>
      <w:r w:rsidR="00AF176D">
        <w:rPr>
          <w:rFonts w:eastAsia="Times New Roman"/>
          <w:color w:val="000000"/>
        </w:rPr>
        <w:t> </w:t>
      </w:r>
      <w:r w:rsidRPr="00526A47">
        <w:rPr>
          <w:rFonts w:eastAsia="Times New Roman"/>
          <w:color w:val="000000"/>
        </w:rPr>
        <w:t>séance plénière, la Conférence des Parties a décidé que Mme</w:t>
      </w:r>
      <w:r w:rsidR="00AF176D">
        <w:rPr>
          <w:rFonts w:eastAsia="Times New Roman"/>
          <w:color w:val="000000"/>
        </w:rPr>
        <w:t> </w:t>
      </w:r>
      <w:r w:rsidRPr="00526A47">
        <w:rPr>
          <w:rFonts w:eastAsia="Times New Roman"/>
          <w:color w:val="000000"/>
        </w:rPr>
        <w:t xml:space="preserve">Chan serait Rapporteuse pour la réunion, comme proposé par le Bureau. </w:t>
      </w:r>
    </w:p>
    <w:p w14:paraId="513C7A42" w14:textId="5F8BBDFC" w:rsidR="006A49FC" w:rsidRPr="00C375F9" w:rsidRDefault="00C375F9" w:rsidP="00DA7AAB">
      <w:pPr>
        <w:pStyle w:val="CBDNormalNumber"/>
        <w:spacing w:before="120"/>
        <w:ind w:left="567"/>
      </w:pPr>
      <w:r>
        <w:rPr>
          <w:rFonts w:eastAsia="Times New Roman"/>
        </w:rPr>
        <w:t>Toujours conformément à l’article 21 du règlement intérieur, la Conférence des Parties, à sa troisième séance plénière, le 30 octobre, a élu les représentants suivants pour siéger en tant que membres du Bureau pour un mandat commençant à la clôture de la présente réunion :</w:t>
      </w:r>
    </w:p>
    <w:p w14:paraId="628B3558" w14:textId="34CF367C" w:rsidR="00C375F9" w:rsidRDefault="00C375F9" w:rsidP="00C375F9">
      <w:pPr>
        <w:pStyle w:val="CBDNormalNumber"/>
        <w:numPr>
          <w:ilvl w:val="0"/>
          <w:numId w:val="0"/>
        </w:numPr>
        <w:tabs>
          <w:tab w:val="clear" w:pos="567"/>
        </w:tabs>
        <w:ind w:left="1134"/>
        <w:rPr>
          <w:lang w:val="pt-BR"/>
        </w:rPr>
      </w:pPr>
      <w:r w:rsidRPr="00DA4D26">
        <w:rPr>
          <w:lang w:val="pt-BR"/>
        </w:rPr>
        <w:t>Joséphine Thérèse Babette Beyala Epse Eloundou (Camero</w:t>
      </w:r>
      <w:r>
        <w:rPr>
          <w:lang w:val="pt-BR"/>
        </w:rPr>
        <w:t>u</w:t>
      </w:r>
      <w:r w:rsidRPr="00DA4D26">
        <w:rPr>
          <w:lang w:val="pt-BR"/>
        </w:rPr>
        <w:t>n)</w:t>
      </w:r>
      <w:r>
        <w:rPr>
          <w:lang w:val="pt-BR"/>
        </w:rPr>
        <w:t xml:space="preserve"> </w:t>
      </w:r>
    </w:p>
    <w:p w14:paraId="118A4DCF" w14:textId="77777777" w:rsidR="00C375F9" w:rsidRDefault="00C375F9" w:rsidP="00C375F9">
      <w:pPr>
        <w:pStyle w:val="CBDNormalNumber"/>
        <w:numPr>
          <w:ilvl w:val="0"/>
          <w:numId w:val="0"/>
        </w:numPr>
        <w:tabs>
          <w:tab w:val="clear" w:pos="567"/>
        </w:tabs>
        <w:ind w:left="1134"/>
        <w:rPr>
          <w:lang w:val="pt-BR"/>
        </w:rPr>
      </w:pPr>
      <w:r w:rsidRPr="00DA4D26">
        <w:rPr>
          <w:lang w:val="pt-BR"/>
        </w:rPr>
        <w:t>Jonas Komi Anthé (Togo)</w:t>
      </w:r>
    </w:p>
    <w:p w14:paraId="01D7B3B4" w14:textId="0442973A" w:rsidR="00C375F9" w:rsidRDefault="00C375F9" w:rsidP="00C375F9">
      <w:pPr>
        <w:pStyle w:val="CBDNormalNumber"/>
        <w:numPr>
          <w:ilvl w:val="0"/>
          <w:numId w:val="0"/>
        </w:numPr>
        <w:tabs>
          <w:tab w:val="clear" w:pos="567"/>
        </w:tabs>
        <w:ind w:left="1134"/>
        <w:rPr>
          <w:lang w:val="pt-BR"/>
        </w:rPr>
      </w:pPr>
      <w:r w:rsidRPr="00DA4D26">
        <w:rPr>
          <w:lang w:val="pt-BR"/>
        </w:rPr>
        <w:t>Bilal Qteshat (Jordan</w:t>
      </w:r>
      <w:r w:rsidR="00B36270">
        <w:rPr>
          <w:lang w:val="pt-BR"/>
        </w:rPr>
        <w:t>ie</w:t>
      </w:r>
      <w:r w:rsidRPr="00DA4D26">
        <w:rPr>
          <w:lang w:val="pt-BR"/>
        </w:rPr>
        <w:t>)</w:t>
      </w:r>
    </w:p>
    <w:p w14:paraId="4B15A807" w14:textId="77777777" w:rsidR="00C375F9" w:rsidRDefault="00C375F9" w:rsidP="00C375F9">
      <w:pPr>
        <w:pStyle w:val="CBDNormalNumber"/>
        <w:numPr>
          <w:ilvl w:val="0"/>
          <w:numId w:val="0"/>
        </w:numPr>
        <w:tabs>
          <w:tab w:val="clear" w:pos="567"/>
        </w:tabs>
        <w:ind w:left="1134"/>
        <w:rPr>
          <w:lang w:val="pt-BR"/>
        </w:rPr>
      </w:pPr>
      <w:r w:rsidRPr="00DA4D26">
        <w:rPr>
          <w:lang w:val="pt-BR"/>
        </w:rPr>
        <w:t>Illam Atho Mohamed (Maldives)</w:t>
      </w:r>
    </w:p>
    <w:p w14:paraId="18DBF1C2" w14:textId="42A50E32" w:rsidR="00C375F9" w:rsidRDefault="00C375F9" w:rsidP="00C375F9">
      <w:pPr>
        <w:pStyle w:val="CBDNormalNumber"/>
        <w:numPr>
          <w:ilvl w:val="0"/>
          <w:numId w:val="0"/>
        </w:numPr>
        <w:tabs>
          <w:tab w:val="clear" w:pos="567"/>
        </w:tabs>
        <w:ind w:left="1134"/>
        <w:rPr>
          <w:lang w:val="pt-BR"/>
        </w:rPr>
      </w:pPr>
      <w:r w:rsidRPr="00DA4D26">
        <w:rPr>
          <w:lang w:val="pt-BR"/>
        </w:rPr>
        <w:lastRenderedPageBreak/>
        <w:t>Adla Kahrić (Bosni</w:t>
      </w:r>
      <w:r w:rsidR="00B36270">
        <w:rPr>
          <w:lang w:val="pt-BR"/>
        </w:rPr>
        <w:t>e-Herzégovine</w:t>
      </w:r>
      <w:r w:rsidRPr="00DA4D26">
        <w:rPr>
          <w:lang w:val="pt-BR"/>
        </w:rPr>
        <w:t>)</w:t>
      </w:r>
    </w:p>
    <w:p w14:paraId="48D66875" w14:textId="226602E4" w:rsidR="00C375F9" w:rsidRDefault="00C375F9" w:rsidP="00C375F9">
      <w:pPr>
        <w:pStyle w:val="CBDNormalNumber"/>
        <w:numPr>
          <w:ilvl w:val="0"/>
          <w:numId w:val="0"/>
        </w:numPr>
        <w:tabs>
          <w:tab w:val="clear" w:pos="567"/>
        </w:tabs>
        <w:ind w:left="1134"/>
        <w:rPr>
          <w:lang w:val="pt-BR"/>
        </w:rPr>
      </w:pPr>
      <w:r w:rsidRPr="00DA4D26">
        <w:rPr>
          <w:lang w:val="pt-BR"/>
        </w:rPr>
        <w:t>Jakhongir Talipov (</w:t>
      </w:r>
      <w:r w:rsidR="00B36270">
        <w:rPr>
          <w:lang w:val="pt-BR"/>
        </w:rPr>
        <w:t>Ou</w:t>
      </w:r>
      <w:r w:rsidRPr="00DA4D26">
        <w:rPr>
          <w:lang w:val="pt-BR"/>
        </w:rPr>
        <w:t>zb</w:t>
      </w:r>
      <w:r w:rsidR="00B36270">
        <w:rPr>
          <w:lang w:val="pt-BR"/>
        </w:rPr>
        <w:t>é</w:t>
      </w:r>
      <w:r w:rsidRPr="00DA4D26">
        <w:rPr>
          <w:lang w:val="pt-BR"/>
        </w:rPr>
        <w:t>kistan)</w:t>
      </w:r>
    </w:p>
    <w:p w14:paraId="64722732" w14:textId="441FA668" w:rsidR="00C375F9" w:rsidRDefault="00C375F9" w:rsidP="00C375F9">
      <w:pPr>
        <w:pStyle w:val="CBDNormalNumber"/>
        <w:numPr>
          <w:ilvl w:val="0"/>
          <w:numId w:val="0"/>
        </w:numPr>
        <w:tabs>
          <w:tab w:val="clear" w:pos="567"/>
        </w:tabs>
        <w:ind w:left="1134"/>
        <w:rPr>
          <w:lang w:val="pt-BR"/>
        </w:rPr>
      </w:pPr>
      <w:r w:rsidRPr="00DA4D26">
        <w:rPr>
          <w:lang w:val="pt-BR"/>
        </w:rPr>
        <w:t>Corina Sarli (Argentin</w:t>
      </w:r>
      <w:r w:rsidR="00B36270">
        <w:rPr>
          <w:lang w:val="pt-BR"/>
        </w:rPr>
        <w:t>e</w:t>
      </w:r>
      <w:r w:rsidRPr="00DA4D26">
        <w:rPr>
          <w:lang w:val="pt-BR"/>
        </w:rPr>
        <w:t>)</w:t>
      </w:r>
    </w:p>
    <w:p w14:paraId="0A568913" w14:textId="38FD86D0" w:rsidR="00C375F9" w:rsidRDefault="00C375F9" w:rsidP="00C375F9">
      <w:pPr>
        <w:pStyle w:val="CBDNormalNumber"/>
        <w:numPr>
          <w:ilvl w:val="0"/>
          <w:numId w:val="0"/>
        </w:numPr>
        <w:tabs>
          <w:tab w:val="clear" w:pos="567"/>
        </w:tabs>
        <w:ind w:left="1134"/>
        <w:rPr>
          <w:lang w:val="pt-BR"/>
        </w:rPr>
      </w:pPr>
      <w:r w:rsidRPr="00DA4D26">
        <w:rPr>
          <w:lang w:val="pt-BR"/>
        </w:rPr>
        <w:t>Gillian Guthrie (Jama</w:t>
      </w:r>
      <w:r w:rsidR="00B36270">
        <w:rPr>
          <w:lang w:val="pt-BR"/>
        </w:rPr>
        <w:t>ïque</w:t>
      </w:r>
      <w:r w:rsidRPr="00DA4D26">
        <w:rPr>
          <w:lang w:val="pt-BR"/>
        </w:rPr>
        <w:t>)</w:t>
      </w:r>
    </w:p>
    <w:p w14:paraId="34D56490" w14:textId="1E4ECDDB" w:rsidR="00C375F9" w:rsidRDefault="00C375F9" w:rsidP="00C375F9">
      <w:pPr>
        <w:pStyle w:val="CBDNormalNumber"/>
        <w:numPr>
          <w:ilvl w:val="0"/>
          <w:numId w:val="0"/>
        </w:numPr>
        <w:tabs>
          <w:tab w:val="clear" w:pos="567"/>
        </w:tabs>
        <w:ind w:left="1134"/>
        <w:rPr>
          <w:lang w:val="pt-BR"/>
        </w:rPr>
      </w:pPr>
      <w:r w:rsidRPr="00DA4D26">
        <w:rPr>
          <w:lang w:val="pt-BR"/>
        </w:rPr>
        <w:t>Gaute Hanssen (Nor</w:t>
      </w:r>
      <w:r w:rsidR="00B36270">
        <w:rPr>
          <w:lang w:val="pt-BR"/>
        </w:rPr>
        <w:t>vège</w:t>
      </w:r>
      <w:r w:rsidRPr="00DA4D26">
        <w:rPr>
          <w:lang w:val="pt-BR"/>
        </w:rPr>
        <w:t>)</w:t>
      </w:r>
    </w:p>
    <w:p w14:paraId="57EA46FB" w14:textId="2D8D698B" w:rsidR="00C375F9" w:rsidRPr="00526A47" w:rsidRDefault="00C375F9" w:rsidP="00A7464F">
      <w:pPr>
        <w:pStyle w:val="CBDNormalNumber"/>
        <w:numPr>
          <w:ilvl w:val="0"/>
          <w:numId w:val="0"/>
        </w:numPr>
        <w:tabs>
          <w:tab w:val="clear" w:pos="567"/>
        </w:tabs>
        <w:ind w:left="1134"/>
      </w:pPr>
      <w:r w:rsidRPr="00DA4D26">
        <w:rPr>
          <w:lang w:val="pt-BR"/>
        </w:rPr>
        <w:t>Eric Schauls (Luxembourg)</w:t>
      </w:r>
    </w:p>
    <w:p w14:paraId="182B2147" w14:textId="1371CEF7" w:rsidR="006A49FC" w:rsidRPr="007532FE" w:rsidRDefault="00AD71B3" w:rsidP="006A49FC">
      <w:pPr>
        <w:pStyle w:val="CBDNormalNumber"/>
        <w:keepNext/>
        <w:numPr>
          <w:ilvl w:val="0"/>
          <w:numId w:val="0"/>
        </w:numPr>
        <w:ind w:left="567"/>
        <w:rPr>
          <w:i/>
          <w:iCs/>
        </w:rPr>
      </w:pPr>
      <w:r>
        <w:rPr>
          <w:rFonts w:eastAsia="Times New Roman"/>
          <w:i/>
          <w:iCs/>
        </w:rPr>
        <w:t xml:space="preserve">Élection des bureaux des organes </w:t>
      </w:r>
      <w:r w:rsidR="0064154A">
        <w:rPr>
          <w:rFonts w:eastAsia="Times New Roman"/>
          <w:i/>
          <w:iCs/>
        </w:rPr>
        <w:t>subsi</w:t>
      </w:r>
      <w:r>
        <w:rPr>
          <w:rFonts w:eastAsia="Times New Roman"/>
          <w:i/>
          <w:iCs/>
        </w:rPr>
        <w:t>diaires et d’autres réunions</w:t>
      </w:r>
    </w:p>
    <w:p w14:paraId="49A85877" w14:textId="77777777" w:rsidR="00CF63DD" w:rsidRPr="00526A47" w:rsidRDefault="00AD71B3" w:rsidP="00DA7AAB">
      <w:pPr>
        <w:pStyle w:val="CBDNormalNumber"/>
        <w:spacing w:before="120"/>
        <w:ind w:left="567"/>
        <w:rPr>
          <w:rFonts w:asciiTheme="majorBidi" w:hAnsiTheme="majorBidi" w:cstheme="majorBidi"/>
        </w:rPr>
      </w:pPr>
      <w:r w:rsidRPr="00526A47">
        <w:rPr>
          <w:rFonts w:eastAsia="Times New Roman"/>
        </w:rPr>
        <w:t xml:space="preserve">À sa </w:t>
      </w:r>
      <w:proofErr w:type="spellStart"/>
      <w:r w:rsidR="00C01310" w:rsidRPr="00526A47">
        <w:rPr>
          <w:rFonts w:eastAsia="Times New Roman"/>
        </w:rPr>
        <w:t>2</w:t>
      </w:r>
      <w:r w:rsidR="00C01310" w:rsidRPr="00526A47">
        <w:rPr>
          <w:rFonts w:eastAsia="Times New Roman"/>
          <w:vertAlign w:val="superscript"/>
        </w:rPr>
        <w:t>e</w:t>
      </w:r>
      <w:proofErr w:type="spellEnd"/>
      <w:r w:rsidR="00C01310" w:rsidRPr="00526A47">
        <w:rPr>
          <w:rFonts w:eastAsia="Times New Roman"/>
        </w:rPr>
        <w:t> </w:t>
      </w:r>
      <w:r w:rsidRPr="00526A47">
        <w:rPr>
          <w:rFonts w:eastAsia="Times New Roman"/>
        </w:rPr>
        <w:t>séance plénière, le 25</w:t>
      </w:r>
      <w:r w:rsidR="00526A47" w:rsidRPr="00526A47">
        <w:rPr>
          <w:rFonts w:eastAsia="Times New Roman"/>
        </w:rPr>
        <w:t> </w:t>
      </w:r>
      <w:r w:rsidRPr="00526A47">
        <w:rPr>
          <w:rFonts w:eastAsia="Times New Roman"/>
        </w:rPr>
        <w:t xml:space="preserve">octobre, la Conférence des Parties a élu par acclamation Jean Bruno </w:t>
      </w:r>
      <w:proofErr w:type="spellStart"/>
      <w:r w:rsidRPr="00526A47">
        <w:rPr>
          <w:rFonts w:eastAsia="Times New Roman"/>
        </w:rPr>
        <w:t>Mikissa</w:t>
      </w:r>
      <w:proofErr w:type="spellEnd"/>
      <w:r w:rsidRPr="00526A47">
        <w:rPr>
          <w:rFonts w:eastAsia="Times New Roman"/>
        </w:rPr>
        <w:t xml:space="preserve"> (Gabon) à la présidence de l</w:t>
      </w:r>
      <w:r w:rsidR="00526A47" w:rsidRPr="00526A47">
        <w:rPr>
          <w:rFonts w:eastAsia="Times New Roman"/>
        </w:rPr>
        <w:t>’</w:t>
      </w:r>
      <w:r w:rsidRPr="00526A47">
        <w:rPr>
          <w:rFonts w:eastAsia="Times New Roman"/>
        </w:rPr>
        <w:t>Organe subsidiaire chargé de fournir des avis scientifiques, techniques et technologiques, pour un mandat allant jusqu</w:t>
      </w:r>
      <w:r w:rsidR="00526A47" w:rsidRPr="00526A47">
        <w:rPr>
          <w:rFonts w:eastAsia="Times New Roman"/>
        </w:rPr>
        <w:t>’</w:t>
      </w:r>
      <w:r w:rsidRPr="00526A47">
        <w:rPr>
          <w:rFonts w:eastAsia="Times New Roman"/>
        </w:rPr>
        <w:t>à la dix-septième réunion de la Conférence des Parties.</w:t>
      </w:r>
    </w:p>
    <w:p w14:paraId="5A56A57F" w14:textId="77777777" w:rsidR="006A49FC" w:rsidRPr="00526A47" w:rsidRDefault="00AD71B3" w:rsidP="00DA7AAB">
      <w:pPr>
        <w:pStyle w:val="CBDNormalNumber"/>
        <w:spacing w:before="120"/>
        <w:ind w:left="567"/>
      </w:pPr>
      <w:r w:rsidRPr="00526A47">
        <w:rPr>
          <w:rFonts w:eastAsia="Times New Roman"/>
        </w:rPr>
        <w:t xml:space="preserve">Également à sa </w:t>
      </w:r>
      <w:proofErr w:type="spellStart"/>
      <w:r w:rsidR="00C01310" w:rsidRPr="00526A47">
        <w:rPr>
          <w:rFonts w:eastAsia="Times New Roman"/>
        </w:rPr>
        <w:t>2</w:t>
      </w:r>
      <w:r w:rsidR="00C01310" w:rsidRPr="00526A47">
        <w:rPr>
          <w:rFonts w:eastAsia="Times New Roman"/>
          <w:vertAlign w:val="superscript"/>
        </w:rPr>
        <w:t>e</w:t>
      </w:r>
      <w:proofErr w:type="spellEnd"/>
      <w:r w:rsidR="00C01310" w:rsidRPr="00526A47">
        <w:rPr>
          <w:rFonts w:eastAsia="Times New Roman"/>
        </w:rPr>
        <w:t> </w:t>
      </w:r>
      <w:r w:rsidRPr="00526A47">
        <w:rPr>
          <w:rFonts w:eastAsia="Times New Roman"/>
        </w:rPr>
        <w:t>séance plénière, la Conférence des Parties a élu par acclamation Clarissa Souza Della Nina (Brésil) à la présidence de l</w:t>
      </w:r>
      <w:r w:rsidR="00526A47" w:rsidRPr="00526A47">
        <w:rPr>
          <w:rFonts w:eastAsia="Times New Roman"/>
        </w:rPr>
        <w:t>’</w:t>
      </w:r>
      <w:r w:rsidRPr="00526A47">
        <w:rPr>
          <w:rFonts w:eastAsia="Times New Roman"/>
        </w:rPr>
        <w:t>Organe subsidiaire chargé de l’application, pour un mandat allant jusqu</w:t>
      </w:r>
      <w:r w:rsidR="00526A47" w:rsidRPr="00526A47">
        <w:rPr>
          <w:rFonts w:eastAsia="Times New Roman"/>
        </w:rPr>
        <w:t>’</w:t>
      </w:r>
      <w:r w:rsidRPr="00526A47">
        <w:rPr>
          <w:rFonts w:eastAsia="Times New Roman"/>
        </w:rPr>
        <w:t>à la dix-septième réunion de la Conférence des Parties.</w:t>
      </w:r>
    </w:p>
    <w:p w14:paraId="4917D1ED" w14:textId="77777777" w:rsidR="006A49FC" w:rsidRPr="007532FE" w:rsidRDefault="00AD71B3" w:rsidP="00DA7AAB">
      <w:pPr>
        <w:keepNext/>
        <w:spacing w:before="120" w:after="120"/>
        <w:ind w:left="567"/>
        <w:rPr>
          <w:i/>
          <w:iCs/>
          <w:snapToGrid w:val="0"/>
        </w:rPr>
      </w:pPr>
      <w:r>
        <w:rPr>
          <w:rFonts w:eastAsia="Times New Roman"/>
          <w:i/>
          <w:iCs/>
        </w:rPr>
        <w:t xml:space="preserve">Adoption de l’ordre du jour </w:t>
      </w:r>
    </w:p>
    <w:p w14:paraId="31DD544E" w14:textId="6CAF9FEA" w:rsidR="00927718" w:rsidRDefault="00AD71B3" w:rsidP="00DA7AAB">
      <w:pPr>
        <w:pStyle w:val="CBDNormalNumber"/>
        <w:spacing w:before="120"/>
        <w:ind w:left="567"/>
        <w:rPr>
          <w:b/>
          <w:bCs/>
        </w:rPr>
      </w:pPr>
      <w:r>
        <w:rPr>
          <w:rFonts w:eastAsia="Times New Roman"/>
          <w:color w:val="000000"/>
        </w:rPr>
        <w:t>À sa 1</w:t>
      </w:r>
      <w:r>
        <w:rPr>
          <w:rFonts w:eastAsia="Times New Roman"/>
          <w:color w:val="000000"/>
          <w:vertAlign w:val="superscript"/>
        </w:rPr>
        <w:t>ère</w:t>
      </w:r>
      <w:r w:rsidR="00AF176D">
        <w:rPr>
          <w:rFonts w:eastAsia="Times New Roman"/>
          <w:color w:val="000000"/>
        </w:rPr>
        <w:t> </w:t>
      </w:r>
      <w:r>
        <w:rPr>
          <w:rFonts w:eastAsia="Times New Roman"/>
          <w:color w:val="000000"/>
        </w:rPr>
        <w:t>séance plénière, la Conférence des Parties a adopté l’ordre du jour ci-après, sur la base de l’ordre du jour provisoire établi par le Secrétariat en consultation avec le Bureau</w:t>
      </w:r>
      <w:r>
        <w:rPr>
          <w:rStyle w:val="Appelnotedebasdep"/>
          <w:rFonts w:asciiTheme="majorBidi" w:hAnsiTheme="majorBidi" w:cstheme="majorBidi"/>
          <w:color w:val="000000" w:themeColor="text1"/>
        </w:rPr>
        <w:footnoteReference w:id="7"/>
      </w:r>
      <w:r>
        <w:rPr>
          <w:rFonts w:eastAsia="Times New Roman"/>
          <w:color w:val="000000"/>
        </w:rPr>
        <w:t> :</w:t>
      </w:r>
    </w:p>
    <w:p w14:paraId="12F7FAB2" w14:textId="77777777" w:rsidR="00927718" w:rsidRDefault="00AD71B3" w:rsidP="00DA7AAB">
      <w:pPr>
        <w:pStyle w:val="CBDNormalNoNumber"/>
        <w:tabs>
          <w:tab w:val="clear" w:pos="1134"/>
        </w:tabs>
        <w:ind w:left="1701" w:hanging="567"/>
      </w:pPr>
      <w:r>
        <w:rPr>
          <w:rFonts w:eastAsia="Times New Roman"/>
        </w:rPr>
        <w:t>1.</w:t>
      </w:r>
      <w:r>
        <w:rPr>
          <w:rFonts w:eastAsia="Times New Roman"/>
        </w:rPr>
        <w:tab/>
        <w:t>Ouverture de la réunion.</w:t>
      </w:r>
    </w:p>
    <w:p w14:paraId="4E5947A5" w14:textId="77777777" w:rsidR="00927718" w:rsidRDefault="00AD71B3">
      <w:pPr>
        <w:pStyle w:val="CBDNormalNoNumber"/>
        <w:tabs>
          <w:tab w:val="clear" w:pos="1134"/>
        </w:tabs>
        <w:ind w:left="1701" w:hanging="567"/>
      </w:pPr>
      <w:r>
        <w:rPr>
          <w:rFonts w:eastAsia="Times New Roman"/>
        </w:rPr>
        <w:t>2.</w:t>
      </w:r>
      <w:r>
        <w:rPr>
          <w:rFonts w:eastAsia="Times New Roman"/>
        </w:rPr>
        <w:tab/>
        <w:t>Questions d’organisation.</w:t>
      </w:r>
    </w:p>
    <w:p w14:paraId="521E5BA2" w14:textId="77777777" w:rsidR="00927718" w:rsidRDefault="00AD71B3">
      <w:pPr>
        <w:pStyle w:val="CBDNormalNoNumber"/>
        <w:tabs>
          <w:tab w:val="clear" w:pos="1134"/>
        </w:tabs>
        <w:ind w:left="1701" w:hanging="567"/>
      </w:pPr>
      <w:r>
        <w:rPr>
          <w:rFonts w:eastAsia="Times New Roman"/>
        </w:rPr>
        <w:t>3.</w:t>
      </w:r>
      <w:r>
        <w:rPr>
          <w:rFonts w:eastAsia="Times New Roman"/>
        </w:rPr>
        <w:tab/>
        <w:t>Rapport sur les pouvoirs des représentants à la seizième réunion de la Conférence des Parties.</w:t>
      </w:r>
    </w:p>
    <w:p w14:paraId="71AE35C2" w14:textId="77777777" w:rsidR="00927718" w:rsidRDefault="00AD71B3">
      <w:pPr>
        <w:pStyle w:val="CBDNormalNoNumber"/>
        <w:tabs>
          <w:tab w:val="clear" w:pos="1134"/>
        </w:tabs>
        <w:ind w:left="1701" w:hanging="567"/>
      </w:pPr>
      <w:r>
        <w:rPr>
          <w:rFonts w:eastAsia="Times New Roman"/>
        </w:rPr>
        <w:t>4.</w:t>
      </w:r>
      <w:r>
        <w:rPr>
          <w:rFonts w:eastAsia="Times New Roman"/>
        </w:rPr>
        <w:tab/>
        <w:t>Questions en suspens.</w:t>
      </w:r>
    </w:p>
    <w:p w14:paraId="4351407F" w14:textId="77777777" w:rsidR="00927718" w:rsidRDefault="00AD71B3">
      <w:pPr>
        <w:pStyle w:val="CBDNormalNoNumber"/>
        <w:tabs>
          <w:tab w:val="clear" w:pos="1134"/>
        </w:tabs>
        <w:ind w:left="1701" w:hanging="567"/>
      </w:pPr>
      <w:r>
        <w:rPr>
          <w:rFonts w:eastAsia="Times New Roman"/>
        </w:rPr>
        <w:t>5.</w:t>
      </w:r>
      <w:r>
        <w:rPr>
          <w:rFonts w:eastAsia="Times New Roman"/>
        </w:rPr>
        <w:tab/>
        <w:t>Date et lieu des futures réunions de la Conférence des Parties.</w:t>
      </w:r>
    </w:p>
    <w:p w14:paraId="1F242D11" w14:textId="77777777" w:rsidR="00927718" w:rsidRDefault="00AD71B3">
      <w:pPr>
        <w:pStyle w:val="CBDNormalNoNumber"/>
        <w:tabs>
          <w:tab w:val="clear" w:pos="1134"/>
        </w:tabs>
        <w:ind w:left="1701" w:hanging="567"/>
      </w:pPr>
      <w:r>
        <w:rPr>
          <w:rFonts w:eastAsia="Times New Roman"/>
        </w:rPr>
        <w:t>6.</w:t>
      </w:r>
      <w:r>
        <w:rPr>
          <w:rFonts w:eastAsia="Times New Roman"/>
        </w:rPr>
        <w:tab/>
        <w:t>Rapports des réunions préparatoires intersessions et régionales.</w:t>
      </w:r>
    </w:p>
    <w:p w14:paraId="49E1B25A" w14:textId="77777777" w:rsidR="00927718" w:rsidRDefault="00AD71B3">
      <w:pPr>
        <w:pStyle w:val="CBDNormalNoNumber"/>
        <w:tabs>
          <w:tab w:val="clear" w:pos="1134"/>
        </w:tabs>
        <w:ind w:left="1701" w:hanging="567"/>
      </w:pPr>
      <w:r>
        <w:rPr>
          <w:rFonts w:eastAsia="Times New Roman"/>
        </w:rPr>
        <w:t>7.</w:t>
      </w:r>
      <w:r>
        <w:rPr>
          <w:rFonts w:eastAsia="Times New Roman"/>
        </w:rPr>
        <w:tab/>
        <w:t>Administration de la Convention et budget des fonds d’affectation spéciale.</w:t>
      </w:r>
    </w:p>
    <w:p w14:paraId="728403FA" w14:textId="77777777" w:rsidR="00927718" w:rsidRDefault="00AD71B3">
      <w:pPr>
        <w:pStyle w:val="CBDNormalNoNumber"/>
        <w:tabs>
          <w:tab w:val="clear" w:pos="1134"/>
        </w:tabs>
        <w:ind w:left="1701" w:hanging="567"/>
      </w:pPr>
      <w:r>
        <w:rPr>
          <w:rFonts w:eastAsia="Times New Roman"/>
        </w:rPr>
        <w:t>8.</w:t>
      </w:r>
      <w:r>
        <w:rPr>
          <w:rFonts w:eastAsia="Times New Roman"/>
        </w:rPr>
        <w:tab/>
        <w:t>Progrès accomplis dans l’élaboration des cibles et la mise à jour des stratégies et plans d’action nationaux pour la diversité biologique par les Parties conformément au Cadre mondial de la biodiversité de Kunming-Montréal.</w:t>
      </w:r>
    </w:p>
    <w:p w14:paraId="4D99937E" w14:textId="77777777" w:rsidR="00927718" w:rsidRDefault="00AD71B3">
      <w:pPr>
        <w:pStyle w:val="CBDNormalNoNumber"/>
        <w:tabs>
          <w:tab w:val="clear" w:pos="1134"/>
        </w:tabs>
        <w:ind w:left="1701" w:hanging="567"/>
      </w:pPr>
      <w:r>
        <w:rPr>
          <w:rFonts w:eastAsia="Times New Roman"/>
        </w:rPr>
        <w:t>9.</w:t>
      </w:r>
      <w:r>
        <w:rPr>
          <w:rFonts w:eastAsia="Times New Roman"/>
        </w:rPr>
        <w:tab/>
        <w:t>Information de séquençage numérique sur les ressources génétiques.</w:t>
      </w:r>
    </w:p>
    <w:p w14:paraId="17BC246A" w14:textId="77777777" w:rsidR="00927718" w:rsidRDefault="00AD71B3">
      <w:pPr>
        <w:pStyle w:val="CBDNormalNoNumber"/>
        <w:tabs>
          <w:tab w:val="clear" w:pos="1134"/>
        </w:tabs>
        <w:ind w:left="1701" w:hanging="567"/>
      </w:pPr>
      <w:r>
        <w:rPr>
          <w:rFonts w:eastAsia="Times New Roman"/>
        </w:rPr>
        <w:t>10.</w:t>
      </w:r>
      <w:r>
        <w:rPr>
          <w:rFonts w:eastAsia="Times New Roman"/>
        </w:rPr>
        <w:tab/>
        <w:t>Mécanismes de planification, de suivi, d’établissement de rapports et d’examen.</w:t>
      </w:r>
    </w:p>
    <w:p w14:paraId="27CDAF9B" w14:textId="77777777" w:rsidR="00927718" w:rsidRDefault="00AD71B3">
      <w:pPr>
        <w:pStyle w:val="CBDNormalNoNumber"/>
        <w:tabs>
          <w:tab w:val="clear" w:pos="1134"/>
        </w:tabs>
        <w:ind w:left="1701" w:hanging="567"/>
      </w:pPr>
      <w:r>
        <w:rPr>
          <w:rFonts w:eastAsia="Times New Roman"/>
        </w:rPr>
        <w:t>11.</w:t>
      </w:r>
      <w:r>
        <w:rPr>
          <w:rFonts w:eastAsia="Times New Roman"/>
        </w:rPr>
        <w:tab/>
        <w:t>Mobilisation des ressources et mécanisme de financement.</w:t>
      </w:r>
    </w:p>
    <w:p w14:paraId="18D69086" w14:textId="77777777" w:rsidR="00927718" w:rsidRDefault="00AD71B3">
      <w:pPr>
        <w:pStyle w:val="CBDNormalNoNumber"/>
        <w:tabs>
          <w:tab w:val="clear" w:pos="1134"/>
        </w:tabs>
        <w:ind w:left="1701" w:hanging="567"/>
      </w:pPr>
      <w:r>
        <w:rPr>
          <w:rFonts w:eastAsia="Times New Roman"/>
        </w:rPr>
        <w:t>12.</w:t>
      </w:r>
      <w:r>
        <w:rPr>
          <w:rFonts w:eastAsia="Times New Roman"/>
        </w:rPr>
        <w:tab/>
        <w:t>Renforcement et développement des capacités, coopération technique et scientifique, centre d’échange d’information et gestion des connaissances.</w:t>
      </w:r>
    </w:p>
    <w:p w14:paraId="7A731588" w14:textId="77777777" w:rsidR="00927718" w:rsidRDefault="00AD71B3">
      <w:pPr>
        <w:pStyle w:val="CBDNormalNoNumber"/>
        <w:tabs>
          <w:tab w:val="clear" w:pos="1134"/>
        </w:tabs>
        <w:ind w:left="1701" w:hanging="567"/>
      </w:pPr>
      <w:r>
        <w:rPr>
          <w:rFonts w:eastAsia="Times New Roman"/>
          <w:kern w:val="22"/>
        </w:rPr>
        <w:t>13.</w:t>
      </w:r>
      <w:r>
        <w:rPr>
          <w:rFonts w:eastAsia="Times New Roman"/>
          <w:kern w:val="22"/>
        </w:rPr>
        <w:tab/>
        <w:t>Coopération avec des organisations internationales et des organismes créés en vertu d’autres conventions.</w:t>
      </w:r>
    </w:p>
    <w:p w14:paraId="2C0DECBB" w14:textId="2CB229A1" w:rsidR="00927718" w:rsidRDefault="00AD71B3">
      <w:pPr>
        <w:pStyle w:val="CBDNormalNoNumber"/>
        <w:tabs>
          <w:tab w:val="clear" w:pos="1134"/>
        </w:tabs>
        <w:ind w:left="1701" w:hanging="567"/>
      </w:pPr>
      <w:r>
        <w:rPr>
          <w:rFonts w:eastAsia="Times New Roman"/>
        </w:rPr>
        <w:t>14.</w:t>
      </w:r>
      <w:r>
        <w:rPr>
          <w:rFonts w:eastAsia="Times New Roman"/>
        </w:rPr>
        <w:tab/>
        <w:t>Application de l’article</w:t>
      </w:r>
      <w:r w:rsidR="00AF176D">
        <w:rPr>
          <w:rFonts w:eastAsia="Times New Roman"/>
        </w:rPr>
        <w:t> </w:t>
      </w:r>
      <w:r>
        <w:rPr>
          <w:rFonts w:eastAsia="Times New Roman"/>
        </w:rPr>
        <w:t>8</w:t>
      </w:r>
      <w:r w:rsidR="00AF176D">
        <w:rPr>
          <w:rFonts w:eastAsia="Times New Roman"/>
        </w:rPr>
        <w:t> </w:t>
      </w:r>
      <w:r>
        <w:rPr>
          <w:rFonts w:eastAsia="Times New Roman"/>
        </w:rPr>
        <w:t>j) et des dispositions connexes.</w:t>
      </w:r>
    </w:p>
    <w:p w14:paraId="2D3F922F" w14:textId="77777777" w:rsidR="00927718" w:rsidRDefault="00AD71B3">
      <w:pPr>
        <w:pStyle w:val="CBDNormalNoNumber"/>
        <w:tabs>
          <w:tab w:val="clear" w:pos="1134"/>
        </w:tabs>
        <w:ind w:left="1701" w:hanging="567"/>
      </w:pPr>
      <w:r>
        <w:rPr>
          <w:rFonts w:eastAsia="Times New Roman"/>
        </w:rPr>
        <w:t>15.</w:t>
      </w:r>
      <w:r>
        <w:rPr>
          <w:rFonts w:eastAsia="Times New Roman"/>
        </w:rPr>
        <w:tab/>
        <w:t>Communication, éducation et sensibilisation du public.</w:t>
      </w:r>
    </w:p>
    <w:p w14:paraId="7AD7DD27" w14:textId="77777777" w:rsidR="00927718" w:rsidRDefault="00AD71B3">
      <w:pPr>
        <w:pStyle w:val="CBDNormalNoNumber"/>
        <w:tabs>
          <w:tab w:val="clear" w:pos="1134"/>
        </w:tabs>
        <w:ind w:left="1701" w:hanging="567"/>
      </w:pPr>
      <w:r>
        <w:rPr>
          <w:rFonts w:eastAsia="Times New Roman"/>
        </w:rPr>
        <w:lastRenderedPageBreak/>
        <w:t>16.</w:t>
      </w:r>
      <w:r>
        <w:rPr>
          <w:rFonts w:eastAsia="Times New Roman"/>
        </w:rPr>
        <w:tab/>
        <w:t>Besoins scientifiques et techniques pour appuyer la mise en œuvre du Cadre mondial de la biodiversité de Kunming-Montréal, y compris ses incidences sur les programmes de travail de la Convention.</w:t>
      </w:r>
    </w:p>
    <w:p w14:paraId="464C1754" w14:textId="77777777" w:rsidR="00927718" w:rsidRDefault="00AD71B3">
      <w:pPr>
        <w:pStyle w:val="CBDNormalNoNumber"/>
        <w:tabs>
          <w:tab w:val="clear" w:pos="1134"/>
        </w:tabs>
        <w:ind w:left="1701" w:hanging="567"/>
      </w:pPr>
      <w:r>
        <w:rPr>
          <w:rFonts w:eastAsia="Times New Roman"/>
        </w:rPr>
        <w:t>17.</w:t>
      </w:r>
      <w:r>
        <w:rPr>
          <w:rFonts w:eastAsia="Times New Roman"/>
        </w:rPr>
        <w:tab/>
        <w:t>Intégration de la biodiversité dans et entre les secteurs.</w:t>
      </w:r>
    </w:p>
    <w:p w14:paraId="7027DC96" w14:textId="77777777" w:rsidR="00927718" w:rsidRDefault="00AD71B3">
      <w:pPr>
        <w:pStyle w:val="CBDNormalNoNumber"/>
        <w:tabs>
          <w:tab w:val="clear" w:pos="1134"/>
        </w:tabs>
        <w:ind w:left="1701" w:hanging="567"/>
      </w:pPr>
      <w:r>
        <w:rPr>
          <w:rFonts w:eastAsia="Times New Roman"/>
        </w:rPr>
        <w:t>18.</w:t>
      </w:r>
      <w:r>
        <w:rPr>
          <w:rFonts w:eastAsia="Times New Roman"/>
        </w:rPr>
        <w:tab/>
        <w:t>Valeurs diverses de la biodiversité.</w:t>
      </w:r>
    </w:p>
    <w:p w14:paraId="444655FC" w14:textId="77777777" w:rsidR="00927718" w:rsidRDefault="00AD71B3">
      <w:pPr>
        <w:pStyle w:val="CBDNormalNoNumber"/>
        <w:tabs>
          <w:tab w:val="clear" w:pos="1134"/>
        </w:tabs>
        <w:ind w:left="1701" w:hanging="567"/>
      </w:pPr>
      <w:r>
        <w:rPr>
          <w:rFonts w:eastAsia="Times New Roman"/>
        </w:rPr>
        <w:t>19.</w:t>
      </w:r>
      <w:r>
        <w:rPr>
          <w:rFonts w:eastAsia="Times New Roman"/>
        </w:rPr>
        <w:tab/>
        <w:t>Gestion durable de la faune sauvage.</w:t>
      </w:r>
    </w:p>
    <w:p w14:paraId="595D892D" w14:textId="77777777" w:rsidR="00927718" w:rsidRDefault="00AD71B3">
      <w:pPr>
        <w:pStyle w:val="CBDNormalNoNumber"/>
        <w:tabs>
          <w:tab w:val="clear" w:pos="1134"/>
        </w:tabs>
        <w:ind w:left="1701" w:hanging="567"/>
      </w:pPr>
      <w:r>
        <w:rPr>
          <w:rFonts w:eastAsia="Times New Roman"/>
        </w:rPr>
        <w:t>20.</w:t>
      </w:r>
      <w:r>
        <w:rPr>
          <w:rFonts w:eastAsia="Times New Roman"/>
        </w:rPr>
        <w:tab/>
        <w:t>Biodiversité marine et côtière, et biodiversité insulaire.</w:t>
      </w:r>
    </w:p>
    <w:p w14:paraId="74645B03" w14:textId="77777777" w:rsidR="00927718" w:rsidRDefault="00AD71B3">
      <w:pPr>
        <w:pStyle w:val="CBDNormalNoNumber"/>
        <w:tabs>
          <w:tab w:val="clear" w:pos="1134"/>
        </w:tabs>
        <w:ind w:left="1701" w:hanging="567"/>
      </w:pPr>
      <w:r>
        <w:rPr>
          <w:rFonts w:eastAsia="Times New Roman"/>
        </w:rPr>
        <w:t>21.</w:t>
      </w:r>
      <w:r>
        <w:rPr>
          <w:rFonts w:eastAsia="Times New Roman"/>
        </w:rPr>
        <w:tab/>
        <w:t>Espèces exotiques envahissantes.</w:t>
      </w:r>
    </w:p>
    <w:p w14:paraId="49046FDC" w14:textId="77777777" w:rsidR="00927718" w:rsidRDefault="00AD71B3">
      <w:pPr>
        <w:pStyle w:val="CBDNormalNoNumber"/>
        <w:tabs>
          <w:tab w:val="clear" w:pos="1134"/>
        </w:tabs>
        <w:ind w:left="1701" w:hanging="567"/>
      </w:pPr>
      <w:r>
        <w:rPr>
          <w:rFonts w:eastAsia="Times New Roman"/>
        </w:rPr>
        <w:t>22.</w:t>
      </w:r>
      <w:r>
        <w:rPr>
          <w:rFonts w:eastAsia="Times New Roman"/>
        </w:rPr>
        <w:tab/>
        <w:t>Biodiversité et santé.</w:t>
      </w:r>
    </w:p>
    <w:p w14:paraId="4A4428CF" w14:textId="77777777" w:rsidR="00927718" w:rsidRDefault="00AD71B3">
      <w:pPr>
        <w:pStyle w:val="CBDNormalNoNumber"/>
        <w:tabs>
          <w:tab w:val="clear" w:pos="1134"/>
        </w:tabs>
        <w:ind w:left="1701" w:hanging="567"/>
      </w:pPr>
      <w:r>
        <w:rPr>
          <w:rFonts w:eastAsia="Times New Roman"/>
        </w:rPr>
        <w:t>23.</w:t>
      </w:r>
      <w:r>
        <w:rPr>
          <w:rFonts w:eastAsia="Times New Roman"/>
        </w:rPr>
        <w:tab/>
        <w:t>Conservation des plantes.</w:t>
      </w:r>
    </w:p>
    <w:p w14:paraId="33DE5787" w14:textId="77777777" w:rsidR="00927718" w:rsidRDefault="00AD71B3">
      <w:pPr>
        <w:pStyle w:val="CBDNormalNoNumber"/>
        <w:tabs>
          <w:tab w:val="clear" w:pos="1134"/>
        </w:tabs>
        <w:ind w:left="1701" w:hanging="567"/>
      </w:pPr>
      <w:r>
        <w:rPr>
          <w:rFonts w:eastAsia="Times New Roman"/>
        </w:rPr>
        <w:t>24.</w:t>
      </w:r>
      <w:r>
        <w:rPr>
          <w:rFonts w:eastAsia="Times New Roman"/>
        </w:rPr>
        <w:tab/>
        <w:t>Biologie de synthèse.</w:t>
      </w:r>
    </w:p>
    <w:p w14:paraId="73D0B713" w14:textId="77777777" w:rsidR="00927718" w:rsidRDefault="00AD71B3">
      <w:pPr>
        <w:pStyle w:val="CBDNormalNoNumber"/>
        <w:tabs>
          <w:tab w:val="clear" w:pos="1134"/>
        </w:tabs>
        <w:ind w:left="1701" w:hanging="567"/>
      </w:pPr>
      <w:r>
        <w:rPr>
          <w:rFonts w:eastAsia="Times New Roman"/>
        </w:rPr>
        <w:t>25.</w:t>
      </w:r>
      <w:r>
        <w:rPr>
          <w:rFonts w:eastAsia="Times New Roman"/>
        </w:rPr>
        <w:tab/>
        <w:t>Biodiversité et changements climatiques.</w:t>
      </w:r>
    </w:p>
    <w:p w14:paraId="290C365C" w14:textId="7D1D2C04" w:rsidR="00927718" w:rsidRDefault="00AD71B3">
      <w:pPr>
        <w:pStyle w:val="CBDNormalNoNumber"/>
        <w:tabs>
          <w:tab w:val="clear" w:pos="1134"/>
        </w:tabs>
        <w:ind w:left="1701" w:hanging="567"/>
      </w:pPr>
      <w:r>
        <w:rPr>
          <w:rFonts w:eastAsia="Times New Roman"/>
        </w:rPr>
        <w:t>26.</w:t>
      </w:r>
      <w:r>
        <w:rPr>
          <w:rFonts w:eastAsia="Times New Roman"/>
        </w:rPr>
        <w:tab/>
        <w:t>Responsabilité et réparation (paragraphe</w:t>
      </w:r>
      <w:r w:rsidR="00AF176D">
        <w:rPr>
          <w:rFonts w:eastAsia="Times New Roman"/>
        </w:rPr>
        <w:t> </w:t>
      </w:r>
      <w:r>
        <w:rPr>
          <w:rFonts w:eastAsia="Times New Roman"/>
        </w:rPr>
        <w:t>2 de l’article</w:t>
      </w:r>
      <w:r w:rsidR="00AF176D">
        <w:rPr>
          <w:rFonts w:eastAsia="Times New Roman"/>
        </w:rPr>
        <w:t> </w:t>
      </w:r>
      <w:r>
        <w:rPr>
          <w:rFonts w:eastAsia="Times New Roman"/>
        </w:rPr>
        <w:t>14).</w:t>
      </w:r>
    </w:p>
    <w:p w14:paraId="548E34F9" w14:textId="77777777" w:rsidR="00927718" w:rsidRDefault="00AD71B3">
      <w:pPr>
        <w:pStyle w:val="CBDNormalNoNumber"/>
        <w:tabs>
          <w:tab w:val="clear" w:pos="1134"/>
        </w:tabs>
        <w:ind w:left="1701" w:hanging="567"/>
      </w:pPr>
      <w:r>
        <w:rPr>
          <w:rFonts w:eastAsia="Times New Roman"/>
        </w:rPr>
        <w:t>27.</w:t>
      </w:r>
      <w:r>
        <w:rPr>
          <w:rFonts w:eastAsia="Times New Roman"/>
        </w:rPr>
        <w:tab/>
        <w:t>Examen de l’efficacité des processus relevant de la Convention et de ses Protocoles.</w:t>
      </w:r>
    </w:p>
    <w:p w14:paraId="6E930E38" w14:textId="77777777" w:rsidR="00927718" w:rsidRDefault="00AD71B3">
      <w:pPr>
        <w:pStyle w:val="CBDNormalNoNumber"/>
        <w:tabs>
          <w:tab w:val="clear" w:pos="1134"/>
        </w:tabs>
        <w:ind w:left="1701" w:hanging="567"/>
      </w:pPr>
      <w:r>
        <w:rPr>
          <w:rFonts w:eastAsia="Times New Roman"/>
        </w:rPr>
        <w:t>28.</w:t>
      </w:r>
      <w:r>
        <w:rPr>
          <w:rFonts w:eastAsia="Times New Roman"/>
        </w:rPr>
        <w:tab/>
        <w:t>Programme de travail pluriannuel de la Conférence des Parties.</w:t>
      </w:r>
    </w:p>
    <w:p w14:paraId="1A956B6A" w14:textId="77777777" w:rsidR="00927718" w:rsidRDefault="00AD71B3">
      <w:pPr>
        <w:pStyle w:val="CBDNormalNoNumber"/>
        <w:tabs>
          <w:tab w:val="clear" w:pos="1134"/>
        </w:tabs>
        <w:ind w:left="1701" w:hanging="567"/>
      </w:pPr>
      <w:r>
        <w:rPr>
          <w:rFonts w:eastAsia="Times New Roman"/>
        </w:rPr>
        <w:t>29.</w:t>
      </w:r>
      <w:r>
        <w:rPr>
          <w:rFonts w:eastAsia="Times New Roman"/>
        </w:rPr>
        <w:tab/>
        <w:t>Questions diverses.</w:t>
      </w:r>
    </w:p>
    <w:p w14:paraId="714678BA" w14:textId="77777777" w:rsidR="00927718" w:rsidRDefault="00AD71B3">
      <w:pPr>
        <w:pStyle w:val="CBDNormalNoNumber"/>
        <w:tabs>
          <w:tab w:val="clear" w:pos="1134"/>
        </w:tabs>
        <w:ind w:left="1701" w:hanging="567"/>
      </w:pPr>
      <w:r>
        <w:rPr>
          <w:rFonts w:eastAsia="Times New Roman"/>
        </w:rPr>
        <w:t>30.</w:t>
      </w:r>
      <w:r>
        <w:rPr>
          <w:rFonts w:eastAsia="Times New Roman"/>
        </w:rPr>
        <w:tab/>
        <w:t>Adoption du rapport.</w:t>
      </w:r>
    </w:p>
    <w:p w14:paraId="379272C1" w14:textId="77777777" w:rsidR="00927718" w:rsidRDefault="00AD71B3">
      <w:pPr>
        <w:pStyle w:val="CBDNormalNoNumber"/>
        <w:tabs>
          <w:tab w:val="clear" w:pos="1134"/>
        </w:tabs>
        <w:ind w:left="1701" w:hanging="567"/>
      </w:pPr>
      <w:r>
        <w:rPr>
          <w:rFonts w:eastAsia="Times New Roman"/>
        </w:rPr>
        <w:t>31.</w:t>
      </w:r>
      <w:r>
        <w:rPr>
          <w:rFonts w:eastAsia="Times New Roman"/>
        </w:rPr>
        <w:tab/>
        <w:t>Clôture de la réunion.</w:t>
      </w:r>
    </w:p>
    <w:p w14:paraId="08492145" w14:textId="77777777" w:rsidR="00927718" w:rsidRDefault="00AD71B3">
      <w:pPr>
        <w:keepNext/>
        <w:spacing w:after="120"/>
        <w:ind w:left="562"/>
        <w:rPr>
          <w:i/>
          <w:iCs/>
          <w:snapToGrid w:val="0"/>
        </w:rPr>
      </w:pPr>
      <w:r>
        <w:rPr>
          <w:rFonts w:eastAsia="Times New Roman"/>
          <w:i/>
          <w:iCs/>
        </w:rPr>
        <w:t>Organisation des travaux</w:t>
      </w:r>
    </w:p>
    <w:p w14:paraId="788E0EA8" w14:textId="1239A0EB" w:rsidR="00927718" w:rsidRDefault="00AD71B3" w:rsidP="00DA7AAB">
      <w:pPr>
        <w:pStyle w:val="CBDNormalNumber"/>
        <w:spacing w:before="120"/>
        <w:ind w:left="567"/>
        <w:rPr>
          <w:rFonts w:eastAsia="Batang"/>
          <w:lang w:eastAsia="ja-JP"/>
        </w:rPr>
      </w:pPr>
      <w:r>
        <w:rPr>
          <w:rFonts w:eastAsia="Times New Roman"/>
          <w:color w:val="000000"/>
        </w:rPr>
        <w:t>À sa 1</w:t>
      </w:r>
      <w:r>
        <w:rPr>
          <w:rFonts w:eastAsia="Times New Roman"/>
          <w:color w:val="000000"/>
          <w:vertAlign w:val="superscript"/>
        </w:rPr>
        <w:t>ère</w:t>
      </w:r>
      <w:r w:rsidR="00AF176D">
        <w:rPr>
          <w:rFonts w:eastAsia="Times New Roman"/>
          <w:color w:val="000000"/>
        </w:rPr>
        <w:t> </w:t>
      </w:r>
      <w:r>
        <w:rPr>
          <w:rFonts w:eastAsia="Times New Roman"/>
          <w:color w:val="000000"/>
        </w:rPr>
        <w:t>séance plénière, la Conférence des Parties est convenue d’organiser ses travaux comme indiqué à l’annexe</w:t>
      </w:r>
      <w:r w:rsidR="00AF176D">
        <w:rPr>
          <w:rFonts w:eastAsia="Times New Roman"/>
          <w:color w:val="000000"/>
        </w:rPr>
        <w:t> </w:t>
      </w:r>
      <w:r>
        <w:rPr>
          <w:rFonts w:eastAsia="Times New Roman"/>
          <w:color w:val="000000"/>
        </w:rPr>
        <w:t>III de la proposition d’organisation des travaux</w:t>
      </w:r>
      <w:r>
        <w:rPr>
          <w:rStyle w:val="Appelnotedebasdep"/>
          <w:rFonts w:asciiTheme="majorBidi" w:hAnsiTheme="majorBidi" w:cstheme="majorBidi"/>
          <w:color w:val="000000" w:themeColor="text1"/>
        </w:rPr>
        <w:footnoteReference w:id="8"/>
      </w:r>
      <w:r>
        <w:rPr>
          <w:rFonts w:eastAsia="Times New Roman"/>
          <w:color w:val="000000"/>
        </w:rPr>
        <w:t xml:space="preserve">. En conséquence, la Conférence des Parties est convenue de constituer deux groupes de travail. Le Groupe de travail I sera présidé par </w:t>
      </w:r>
      <w:proofErr w:type="spellStart"/>
      <w:r>
        <w:rPr>
          <w:rFonts w:eastAsia="Times New Roman"/>
          <w:color w:val="000000"/>
        </w:rPr>
        <w:t>Charlotta</w:t>
      </w:r>
      <w:proofErr w:type="spellEnd"/>
      <w:r>
        <w:rPr>
          <w:rFonts w:eastAsia="Times New Roman"/>
          <w:color w:val="000000"/>
        </w:rPr>
        <w:t xml:space="preserve"> </w:t>
      </w:r>
      <w:proofErr w:type="spellStart"/>
      <w:r>
        <w:rPr>
          <w:rFonts w:eastAsia="Times New Roman"/>
          <w:color w:val="000000"/>
        </w:rPr>
        <w:t>Sörqvist</w:t>
      </w:r>
      <w:proofErr w:type="spellEnd"/>
      <w:r>
        <w:rPr>
          <w:rFonts w:eastAsia="Times New Roman"/>
          <w:color w:val="000000"/>
        </w:rPr>
        <w:t xml:space="preserve"> (Suède) et le Groupe de travail</w:t>
      </w:r>
      <w:r w:rsidR="00AF176D">
        <w:rPr>
          <w:rFonts w:eastAsia="Times New Roman"/>
          <w:color w:val="000000"/>
        </w:rPr>
        <w:t> </w:t>
      </w:r>
      <w:r>
        <w:rPr>
          <w:rFonts w:eastAsia="Times New Roman"/>
          <w:color w:val="000000"/>
        </w:rPr>
        <w:t xml:space="preserve">II par </w:t>
      </w:r>
      <w:proofErr w:type="spellStart"/>
      <w:r>
        <w:rPr>
          <w:rFonts w:eastAsia="Times New Roman"/>
          <w:color w:val="000000"/>
        </w:rPr>
        <w:t>Hesiquio</w:t>
      </w:r>
      <w:proofErr w:type="spellEnd"/>
      <w:r>
        <w:rPr>
          <w:rFonts w:eastAsia="Times New Roman"/>
          <w:color w:val="000000"/>
        </w:rPr>
        <w:t xml:space="preserve"> Benítez </w:t>
      </w:r>
      <w:proofErr w:type="spellStart"/>
      <w:r>
        <w:rPr>
          <w:rFonts w:eastAsia="Times New Roman"/>
          <w:color w:val="000000"/>
        </w:rPr>
        <w:t>Díaz</w:t>
      </w:r>
      <w:proofErr w:type="spellEnd"/>
      <w:r>
        <w:rPr>
          <w:rFonts w:eastAsia="Times New Roman"/>
          <w:color w:val="000000"/>
        </w:rPr>
        <w:t xml:space="preserve"> (Mexique).</w:t>
      </w:r>
    </w:p>
    <w:p w14:paraId="7CD544E1" w14:textId="77777777" w:rsidR="00927718" w:rsidRDefault="00AD71B3">
      <w:pPr>
        <w:pStyle w:val="CBDNormalNumber"/>
        <w:keepNext/>
        <w:numPr>
          <w:ilvl w:val="0"/>
          <w:numId w:val="0"/>
        </w:numPr>
        <w:ind w:left="567"/>
        <w:rPr>
          <w:rFonts w:eastAsia="Batang"/>
          <w:i/>
          <w:iCs/>
          <w:lang w:eastAsia="ja-JP"/>
        </w:rPr>
      </w:pPr>
      <w:r>
        <w:rPr>
          <w:rFonts w:eastAsia="Times New Roman"/>
          <w:i/>
          <w:iCs/>
        </w:rPr>
        <w:t>Travaux des groupes de travail en session</w:t>
      </w:r>
    </w:p>
    <w:p w14:paraId="1CC063B3" w14:textId="77777777" w:rsidR="00927718" w:rsidRDefault="00AD71B3" w:rsidP="00DA7AAB">
      <w:pPr>
        <w:pStyle w:val="CBDNormalNumber"/>
        <w:spacing w:before="120"/>
        <w:ind w:left="567"/>
        <w:rPr>
          <w:rFonts w:eastAsia="Batang"/>
          <w:lang w:eastAsia="ja-JP"/>
        </w:rPr>
      </w:pPr>
      <w:r>
        <w:rPr>
          <w:rFonts w:eastAsia="Times New Roman"/>
        </w:rPr>
        <w:t>[à compléter]</w:t>
      </w:r>
    </w:p>
    <w:p w14:paraId="1BBD9C87" w14:textId="77777777" w:rsidR="00927718" w:rsidRDefault="00AD71B3">
      <w:pPr>
        <w:pStyle w:val="CBDNormalNumber"/>
        <w:keepNext/>
        <w:numPr>
          <w:ilvl w:val="0"/>
          <w:numId w:val="0"/>
        </w:numPr>
        <w:ind w:left="567"/>
        <w:rPr>
          <w:rFonts w:eastAsia="Batang"/>
          <w:i/>
          <w:iCs/>
          <w:lang w:eastAsia="ja-JP"/>
        </w:rPr>
      </w:pPr>
      <w:r>
        <w:rPr>
          <w:rFonts w:eastAsia="Times New Roman"/>
          <w:i/>
          <w:iCs/>
        </w:rPr>
        <w:t>Première séance de bilan</w:t>
      </w:r>
    </w:p>
    <w:p w14:paraId="542A99FE" w14:textId="77777777" w:rsidR="00927718" w:rsidRPr="00526A47" w:rsidRDefault="00C01310" w:rsidP="00DA7AAB">
      <w:pPr>
        <w:pStyle w:val="CBDNormalNumber"/>
        <w:spacing w:before="120"/>
        <w:ind w:left="567"/>
        <w:rPr>
          <w:rFonts w:eastAsia="Batang"/>
          <w:lang w:eastAsia="ja-JP"/>
        </w:rPr>
      </w:pPr>
      <w:r w:rsidRPr="00526A47">
        <w:rPr>
          <w:rFonts w:eastAsia="Times New Roman"/>
        </w:rPr>
        <w:t xml:space="preserve">La </w:t>
      </w:r>
      <w:proofErr w:type="spellStart"/>
      <w:r w:rsidRPr="00526A47">
        <w:rPr>
          <w:rFonts w:eastAsia="Times New Roman"/>
        </w:rPr>
        <w:t>2</w:t>
      </w:r>
      <w:r w:rsidRPr="00526A47">
        <w:rPr>
          <w:rFonts w:eastAsia="Times New Roman"/>
          <w:vertAlign w:val="superscript"/>
        </w:rPr>
        <w:t>e</w:t>
      </w:r>
      <w:proofErr w:type="spellEnd"/>
      <w:r w:rsidRPr="00526A47">
        <w:rPr>
          <w:rFonts w:eastAsia="Times New Roman"/>
        </w:rPr>
        <w:t> </w:t>
      </w:r>
      <w:r w:rsidR="00AD71B3" w:rsidRPr="00526A47">
        <w:rPr>
          <w:rFonts w:eastAsia="Times New Roman"/>
        </w:rPr>
        <w:t xml:space="preserve">séance plénière de la réunion a </w:t>
      </w:r>
      <w:r w:rsidRPr="00526A47">
        <w:rPr>
          <w:rFonts w:eastAsia="Times New Roman"/>
        </w:rPr>
        <w:t>servi</w:t>
      </w:r>
      <w:r w:rsidR="00AD71B3" w:rsidRPr="00526A47">
        <w:rPr>
          <w:rFonts w:eastAsia="Times New Roman"/>
        </w:rPr>
        <w:t xml:space="preserve"> en partie de séance de bilan tenue conjointement avec la Conférence des Parties siégeant en tant que réunion des Parties au Protocole de Cartagena et la Conférence des Parties siégeant en tant que réunion des Parties au Protocole de Nagoya. Au cours de la séance de bilan, les présidents du Groupe de travail I, du Groupe de travail</w:t>
      </w:r>
      <w:r w:rsidR="00526A47" w:rsidRPr="00526A47">
        <w:rPr>
          <w:rFonts w:eastAsia="Times New Roman"/>
        </w:rPr>
        <w:t> </w:t>
      </w:r>
      <w:r w:rsidR="00AD71B3" w:rsidRPr="00526A47">
        <w:rPr>
          <w:rFonts w:eastAsia="Times New Roman"/>
        </w:rPr>
        <w:t>II et du Groupe de contact sur les questions budgétaires ont rendu compte des progrès réalisés à ce jour.</w:t>
      </w:r>
    </w:p>
    <w:p w14:paraId="016292E6" w14:textId="47CEFBB6" w:rsidR="00CF63DD" w:rsidRPr="00526A47" w:rsidRDefault="00AD71B3" w:rsidP="00DA7AAB">
      <w:pPr>
        <w:pStyle w:val="CBDNormalNumber"/>
        <w:spacing w:before="120"/>
        <w:ind w:left="567"/>
        <w:rPr>
          <w:rFonts w:eastAsia="Batang"/>
          <w:lang w:eastAsia="ja-JP"/>
        </w:rPr>
      </w:pPr>
      <w:r w:rsidRPr="00526A47">
        <w:rPr>
          <w:rFonts w:eastAsia="Times New Roman"/>
          <w:lang w:eastAsia="ja-JP"/>
        </w:rPr>
        <w:t>Des déclarations ont été faites par les représentants des Parties suivantes</w:t>
      </w:r>
      <w:r w:rsidR="00526A47" w:rsidRPr="00526A47">
        <w:rPr>
          <w:rFonts w:eastAsia="Times New Roman"/>
          <w:lang w:eastAsia="ja-JP"/>
        </w:rPr>
        <w:t> </w:t>
      </w:r>
      <w:r w:rsidRPr="00526A47">
        <w:rPr>
          <w:rFonts w:eastAsia="Times New Roman"/>
          <w:lang w:eastAsia="ja-JP"/>
        </w:rPr>
        <w:t xml:space="preserve">: </w:t>
      </w:r>
      <w:r w:rsidR="00A7464F" w:rsidRPr="00526A47">
        <w:rPr>
          <w:rFonts w:eastAsia="Times New Roman"/>
          <w:lang w:eastAsia="ja-JP"/>
        </w:rPr>
        <w:t>Fédération de Russie [</w:t>
      </w:r>
      <w:r w:rsidR="00A7464F">
        <w:rPr>
          <w:rFonts w:eastAsia="Times New Roman"/>
          <w:lang w:eastAsia="ja-JP"/>
        </w:rPr>
        <w:t xml:space="preserve">au </w:t>
      </w:r>
      <w:r w:rsidR="00A7464F" w:rsidRPr="00526A47">
        <w:rPr>
          <w:rFonts w:eastAsia="Times New Roman"/>
          <w:lang w:eastAsia="ja-JP"/>
        </w:rPr>
        <w:t>nom de l’Afrique du Sud, du Brésil, de la Chine, de l’Égypte, des Émirats arabes unis, de l’Éthiopie, de l’Inde et de l’Iran (République islamique d’)]</w:t>
      </w:r>
      <w:r w:rsidR="00A7464F">
        <w:rPr>
          <w:rFonts w:eastAsia="Times New Roman"/>
          <w:lang w:eastAsia="ja-JP"/>
        </w:rPr>
        <w:t>,</w:t>
      </w:r>
      <w:r w:rsidR="00A7464F" w:rsidRPr="00526A47">
        <w:rPr>
          <w:rFonts w:eastAsia="Times New Roman"/>
          <w:lang w:eastAsia="ja-JP"/>
        </w:rPr>
        <w:t xml:space="preserve"> </w:t>
      </w:r>
      <w:r w:rsidRPr="00526A47">
        <w:rPr>
          <w:rFonts w:eastAsia="Times New Roman"/>
          <w:lang w:eastAsia="ja-JP"/>
        </w:rPr>
        <w:t>Fidji (au nom des petits États insulaires en développement du Pacifique représentés à la réunion),</w:t>
      </w:r>
      <w:r w:rsidR="00B36270">
        <w:rPr>
          <w:rFonts w:eastAsia="Times New Roman"/>
          <w:lang w:eastAsia="ja-JP"/>
        </w:rPr>
        <w:t xml:space="preserve"> République démocratique populaire lao et</w:t>
      </w:r>
      <w:r w:rsidRPr="00526A47">
        <w:rPr>
          <w:rFonts w:eastAsia="Times New Roman"/>
          <w:lang w:eastAsia="ja-JP"/>
        </w:rPr>
        <w:t xml:space="preserve"> </w:t>
      </w:r>
      <w:r w:rsidR="00A7464F">
        <w:rPr>
          <w:rFonts w:eastAsia="Times New Roman"/>
          <w:lang w:eastAsia="ja-JP"/>
        </w:rPr>
        <w:t>(également au nom des États membres de l’Association des nations de l’Asie du Sud-Est Parties au Protocole et représentés à la réunion)</w:t>
      </w:r>
      <w:r w:rsidRPr="00526A47">
        <w:rPr>
          <w:rFonts w:eastAsia="Times New Roman"/>
          <w:lang w:eastAsia="ja-JP"/>
        </w:rPr>
        <w:t>.</w:t>
      </w:r>
    </w:p>
    <w:p w14:paraId="3DAA2B11" w14:textId="77777777" w:rsidR="00927718" w:rsidRDefault="00AD71B3">
      <w:pPr>
        <w:pStyle w:val="CBDNormalNumber"/>
        <w:keepNext/>
        <w:numPr>
          <w:ilvl w:val="0"/>
          <w:numId w:val="0"/>
        </w:numPr>
        <w:ind w:left="567"/>
        <w:rPr>
          <w:rFonts w:eastAsia="Batang"/>
          <w:i/>
          <w:iCs/>
          <w:lang w:eastAsia="ja-JP"/>
        </w:rPr>
      </w:pPr>
      <w:r>
        <w:rPr>
          <w:rFonts w:eastAsia="Times New Roman"/>
          <w:i/>
          <w:iCs/>
        </w:rPr>
        <w:lastRenderedPageBreak/>
        <w:t>Deuxième séance de bilan</w:t>
      </w:r>
    </w:p>
    <w:p w14:paraId="4442F6C8" w14:textId="74844961" w:rsidR="00927718" w:rsidRPr="00B1643D" w:rsidRDefault="000C1A37" w:rsidP="00DA7AAB">
      <w:pPr>
        <w:pStyle w:val="CBDNormalNumber"/>
        <w:spacing w:before="120"/>
        <w:ind w:left="567"/>
        <w:rPr>
          <w:rFonts w:eastAsia="Batang"/>
          <w:lang w:eastAsia="ja-JP"/>
        </w:rPr>
      </w:pPr>
      <w:r>
        <w:rPr>
          <w:rFonts w:eastAsia="Times New Roman"/>
        </w:rPr>
        <w:t xml:space="preserve">La troisième séance plénière de la réunion a </w:t>
      </w:r>
      <w:r w:rsidR="007556FF">
        <w:rPr>
          <w:rFonts w:eastAsia="Times New Roman"/>
        </w:rPr>
        <w:t>notamment</w:t>
      </w:r>
      <w:r>
        <w:rPr>
          <w:rFonts w:eastAsia="Times New Roman"/>
        </w:rPr>
        <w:t xml:space="preserve"> tenu lieu de deuxième séance de bilan et s’est déroulée </w:t>
      </w:r>
      <w:r w:rsidR="007556FF">
        <w:rPr>
          <w:rFonts w:eastAsia="Times New Roman"/>
        </w:rPr>
        <w:t xml:space="preserve">conjointement </w:t>
      </w:r>
      <w:r>
        <w:rPr>
          <w:rFonts w:eastAsia="Times New Roman"/>
        </w:rPr>
        <w:t>avec la Conférence des Parties siégeant en tant que réunion des Parties au Protocole de Cartagena et la Conférence des Parties siégeant en tant que réunion des Parties au Protocole de Nagoya. Lors de cette séance de bilan, les représentants ont entendu un rapport présenté par la Présidente sur les résultats du débat de haut</w:t>
      </w:r>
      <w:r w:rsidR="00AF176D">
        <w:rPr>
          <w:rFonts w:eastAsia="Times New Roman"/>
        </w:rPr>
        <w:t xml:space="preserve"> </w:t>
      </w:r>
      <w:r>
        <w:rPr>
          <w:rFonts w:eastAsia="Times New Roman"/>
        </w:rPr>
        <w:t xml:space="preserve">niveau, ainsi que des rapports </w:t>
      </w:r>
      <w:r w:rsidR="007556FF">
        <w:rPr>
          <w:rFonts w:eastAsia="Times New Roman"/>
        </w:rPr>
        <w:t xml:space="preserve">sur les progrès réalisés jusqu’à présent, </w:t>
      </w:r>
      <w:r>
        <w:rPr>
          <w:rFonts w:eastAsia="Times New Roman"/>
        </w:rPr>
        <w:t>présentés par</w:t>
      </w:r>
      <w:r w:rsidR="00B1643D">
        <w:rPr>
          <w:rFonts w:eastAsia="Times New Roman"/>
        </w:rPr>
        <w:t xml:space="preserve"> la Présidente du Groupe de travail I, le Président du Groupe de travail II et le Président du Groupe de contact sur les questions budgétaires.</w:t>
      </w:r>
    </w:p>
    <w:p w14:paraId="5E25038C" w14:textId="39A0BA77" w:rsidR="00B1643D" w:rsidRDefault="00B1643D" w:rsidP="00DA7AAB">
      <w:pPr>
        <w:pStyle w:val="CBDNormalNumber"/>
        <w:spacing w:before="120"/>
        <w:ind w:left="567"/>
        <w:rPr>
          <w:rFonts w:eastAsia="Batang"/>
          <w:lang w:eastAsia="ja-JP"/>
        </w:rPr>
      </w:pPr>
      <w:r>
        <w:rPr>
          <w:rFonts w:eastAsia="Times New Roman"/>
        </w:rPr>
        <w:t xml:space="preserve">Une déclaration a été faite par un représentant de l’État plurinational de Bolivie </w:t>
      </w:r>
      <w:r w:rsidR="005F0828">
        <w:rPr>
          <w:rFonts w:eastAsia="Times New Roman"/>
        </w:rPr>
        <w:t>(</w:t>
      </w:r>
      <w:r>
        <w:rPr>
          <w:rFonts w:eastAsia="Times New Roman"/>
        </w:rPr>
        <w:t>également au nom d’Antigua-et-Barbuda, du Brésil, de Cuba, de l’Équateur,</w:t>
      </w:r>
      <w:r w:rsidR="0013519B" w:rsidRPr="0013519B">
        <w:rPr>
          <w:rFonts w:eastAsia="Times New Roman"/>
        </w:rPr>
        <w:t xml:space="preserve"> </w:t>
      </w:r>
      <w:r w:rsidR="0013519B">
        <w:rPr>
          <w:rFonts w:eastAsia="Times New Roman"/>
        </w:rPr>
        <w:t>des États africains,</w:t>
      </w:r>
      <w:r>
        <w:rPr>
          <w:rFonts w:eastAsia="Times New Roman"/>
        </w:rPr>
        <w:t xml:space="preserve"> des Fidji, du Guatemala, d’Haïti, </w:t>
      </w:r>
      <w:r w:rsidR="0013519B">
        <w:rPr>
          <w:rFonts w:eastAsia="Times New Roman"/>
        </w:rPr>
        <w:t xml:space="preserve">des Îles Cook, des Îles Marshall, des Îles Salomon, </w:t>
      </w:r>
      <w:r>
        <w:rPr>
          <w:rFonts w:eastAsia="Times New Roman"/>
        </w:rPr>
        <w:t xml:space="preserve">d’Inde, d’Indonésie, de Kiribati, de Malaisie, de la Micronésie (États fédérés de), de Nauru, des Palaos, des Philippines, </w:t>
      </w:r>
      <w:r w:rsidR="0013519B">
        <w:rPr>
          <w:rFonts w:eastAsia="Times New Roman"/>
        </w:rPr>
        <w:t xml:space="preserve">de la République dominicaine, </w:t>
      </w:r>
      <w:r w:rsidR="005D703D">
        <w:rPr>
          <w:rFonts w:eastAsia="Times New Roman"/>
        </w:rPr>
        <w:t>des Tonga, de Vanuatu et du Venezuela (République bolivarienne du)</w:t>
      </w:r>
      <w:r w:rsidR="00413E4B">
        <w:rPr>
          <w:rFonts w:eastAsia="Times New Roman"/>
        </w:rPr>
        <w:t xml:space="preserve"> et des États africains)</w:t>
      </w:r>
      <w:r w:rsidR="005D703D">
        <w:rPr>
          <w:rFonts w:eastAsia="Times New Roman"/>
        </w:rPr>
        <w:t>.</w:t>
      </w:r>
    </w:p>
    <w:p w14:paraId="58022029" w14:textId="55A9B63B" w:rsidR="00927718" w:rsidRDefault="00AD71B3">
      <w:pPr>
        <w:pStyle w:val="CBDAgendaItem"/>
        <w:rPr>
          <w:rFonts w:eastAsia="MS Mincho"/>
          <w:lang w:eastAsia="en-CA"/>
        </w:rPr>
      </w:pPr>
      <w:r>
        <w:rPr>
          <w:rFonts w:eastAsia="Times New Roman"/>
          <w:bCs/>
          <w:szCs w:val="24"/>
        </w:rPr>
        <w:t>Point</w:t>
      </w:r>
      <w:r w:rsidR="00AF176D">
        <w:rPr>
          <w:rFonts w:eastAsia="Times New Roman"/>
          <w:bCs/>
          <w:szCs w:val="24"/>
        </w:rPr>
        <w:t> </w:t>
      </w:r>
      <w:r>
        <w:rPr>
          <w:rFonts w:eastAsia="Times New Roman"/>
          <w:bCs/>
          <w:szCs w:val="24"/>
        </w:rPr>
        <w:t xml:space="preserve">3 </w:t>
      </w:r>
      <w:r>
        <w:rPr>
          <w:rFonts w:eastAsia="Times New Roman"/>
          <w:bCs/>
          <w:szCs w:val="24"/>
        </w:rPr>
        <w:br/>
        <w:t>Rapport sur les pouvoirs des représentants à la seizième réunion de la Conférence des Parties</w:t>
      </w:r>
    </w:p>
    <w:p w14:paraId="6498A600" w14:textId="4DDD550B" w:rsidR="00927718" w:rsidRPr="00526A47" w:rsidRDefault="00AD71B3" w:rsidP="00DA7AAB">
      <w:pPr>
        <w:pStyle w:val="CBDNormalNumber"/>
        <w:spacing w:before="120"/>
        <w:ind w:left="567"/>
        <w:rPr>
          <w:rFonts w:eastAsia="MS Mincho"/>
          <w:lang w:eastAsia="en-CA"/>
        </w:rPr>
      </w:pPr>
      <w:r>
        <w:rPr>
          <w:rFonts w:eastAsia="Times New Roman"/>
        </w:rPr>
        <w:t>À sa 1</w:t>
      </w:r>
      <w:r>
        <w:rPr>
          <w:rFonts w:eastAsia="Times New Roman"/>
          <w:vertAlign w:val="superscript"/>
        </w:rPr>
        <w:t>ère</w:t>
      </w:r>
      <w:r w:rsidR="00AF176D">
        <w:rPr>
          <w:rFonts w:eastAsia="Times New Roman"/>
        </w:rPr>
        <w:t> </w:t>
      </w:r>
      <w:r>
        <w:rPr>
          <w:rFonts w:eastAsia="Times New Roman"/>
        </w:rPr>
        <w:t>séance plénière, la Conférence des Parties a noté que, conformément au règlement intérieur applicable aux réunions de la Conférence des Parties, le Bureau avait examiné la liste des observateurs admis à la réunion</w:t>
      </w:r>
      <w:r>
        <w:rPr>
          <w:rStyle w:val="Appelnotedebasdep"/>
        </w:rPr>
        <w:footnoteReference w:id="9"/>
      </w:r>
      <w:r>
        <w:rPr>
          <w:rFonts w:eastAsia="Times New Roman"/>
        </w:rPr>
        <w:t>, et il examinera les pouvoirs des délégations et fera rapport à ce sujet lors d’une séance ultérieure</w:t>
      </w:r>
      <w:r>
        <w:rPr>
          <w:rFonts w:eastAsia="Times New Roman"/>
          <w:color w:val="000000"/>
        </w:rPr>
        <w:t>.</w:t>
      </w:r>
      <w:r>
        <w:rPr>
          <w:rFonts w:eastAsia="Times New Roman"/>
        </w:rPr>
        <w:t xml:space="preserve"> </w:t>
      </w:r>
      <w:r>
        <w:rPr>
          <w:rFonts w:eastAsia="Times New Roman"/>
          <w:color w:val="000000"/>
        </w:rPr>
        <w:t>Parties.</w:t>
      </w:r>
      <w:r w:rsidRPr="00526A47">
        <w:rPr>
          <w:rFonts w:eastAsia="Times New Roman"/>
        </w:rPr>
        <w:t xml:space="preserve"> Elle a également noté que le Bureau avait désigné M</w:t>
      </w:r>
      <w:r w:rsidRPr="00526A47">
        <w:rPr>
          <w:rFonts w:eastAsia="Times New Roman"/>
          <w:vertAlign w:val="superscript"/>
        </w:rPr>
        <w:t>me</w:t>
      </w:r>
      <w:r w:rsidR="00C01310" w:rsidRPr="00526A47">
        <w:rPr>
          <w:rFonts w:eastAsia="Times New Roman"/>
        </w:rPr>
        <w:t> </w:t>
      </w:r>
      <w:proofErr w:type="spellStart"/>
      <w:r w:rsidRPr="00526A47">
        <w:rPr>
          <w:rFonts w:eastAsia="Times New Roman"/>
        </w:rPr>
        <w:t>Mabuza</w:t>
      </w:r>
      <w:proofErr w:type="spellEnd"/>
      <w:r w:rsidRPr="00526A47">
        <w:rPr>
          <w:rFonts w:eastAsia="Times New Roman"/>
        </w:rPr>
        <w:t xml:space="preserve"> comme sa représentante pour l</w:t>
      </w:r>
      <w:r w:rsidR="00526A47" w:rsidRPr="00526A47">
        <w:rPr>
          <w:rFonts w:eastAsia="Times New Roman"/>
        </w:rPr>
        <w:t>’</w:t>
      </w:r>
      <w:r w:rsidRPr="00526A47">
        <w:rPr>
          <w:rFonts w:eastAsia="Times New Roman"/>
        </w:rPr>
        <w:t>examen des pouvoirs.</w:t>
      </w:r>
    </w:p>
    <w:p w14:paraId="4F25376C" w14:textId="77777777" w:rsidR="00C677BC" w:rsidRPr="00526A47" w:rsidRDefault="00C01310" w:rsidP="00DA7AAB">
      <w:pPr>
        <w:pStyle w:val="CBDNormalNumber"/>
        <w:spacing w:before="120"/>
        <w:ind w:left="567"/>
        <w:rPr>
          <w:rFonts w:eastAsia="MS Mincho"/>
          <w:lang w:eastAsia="en-CA"/>
        </w:rPr>
      </w:pPr>
      <w:r w:rsidRPr="00526A47">
        <w:rPr>
          <w:rFonts w:eastAsia="Times New Roman"/>
          <w:kern w:val="22"/>
        </w:rPr>
        <w:t>Par conséquent</w:t>
      </w:r>
      <w:r w:rsidR="00AD71B3" w:rsidRPr="00526A47">
        <w:rPr>
          <w:rFonts w:eastAsia="Times New Roman"/>
          <w:kern w:val="22"/>
        </w:rPr>
        <w:t xml:space="preserve">, à la deuxième séance plénière, </w:t>
      </w:r>
      <w:r w:rsidRPr="00526A47">
        <w:rPr>
          <w:rFonts w:eastAsia="Times New Roman"/>
        </w:rPr>
        <w:t>M</w:t>
      </w:r>
      <w:r w:rsidRPr="00526A47">
        <w:rPr>
          <w:rFonts w:eastAsia="Times New Roman"/>
          <w:vertAlign w:val="superscript"/>
        </w:rPr>
        <w:t>me</w:t>
      </w:r>
      <w:r w:rsidRPr="00526A47">
        <w:rPr>
          <w:rFonts w:eastAsia="Times New Roman"/>
        </w:rPr>
        <w:t> </w:t>
      </w:r>
      <w:r w:rsidRPr="00526A47">
        <w:rPr>
          <w:rFonts w:eastAsia="Times New Roman"/>
          <w:kern w:val="22"/>
        </w:rPr>
        <w:t xml:space="preserve"> </w:t>
      </w:r>
      <w:proofErr w:type="spellStart"/>
      <w:r w:rsidR="00AD71B3" w:rsidRPr="00526A47">
        <w:rPr>
          <w:rFonts w:eastAsia="Times New Roman"/>
          <w:kern w:val="22"/>
        </w:rPr>
        <w:t>Mabuza</w:t>
      </w:r>
      <w:proofErr w:type="spellEnd"/>
      <w:r w:rsidR="00AD71B3" w:rsidRPr="00526A47">
        <w:rPr>
          <w:rFonts w:eastAsia="Times New Roman"/>
          <w:kern w:val="22"/>
        </w:rPr>
        <w:t xml:space="preserve"> a indiqué que 173</w:t>
      </w:r>
      <w:r w:rsidR="00526A47" w:rsidRPr="00526A47">
        <w:rPr>
          <w:rFonts w:eastAsia="Times New Roman"/>
          <w:kern w:val="22"/>
        </w:rPr>
        <w:t> </w:t>
      </w:r>
      <w:r w:rsidR="00AD71B3" w:rsidRPr="00526A47">
        <w:rPr>
          <w:rFonts w:eastAsia="Times New Roman"/>
          <w:kern w:val="22"/>
        </w:rPr>
        <w:t>Parties à la Convention étaient enregistrées comme participant à la réunion. Les représentants de 150</w:t>
      </w:r>
      <w:r w:rsidR="00526A47" w:rsidRPr="00526A47">
        <w:rPr>
          <w:rFonts w:eastAsia="Times New Roman"/>
          <w:kern w:val="22"/>
        </w:rPr>
        <w:t> </w:t>
      </w:r>
      <w:r w:rsidR="00AD71B3" w:rsidRPr="00526A47">
        <w:rPr>
          <w:rFonts w:eastAsia="Times New Roman"/>
          <w:kern w:val="22"/>
        </w:rPr>
        <w:t>Parties enregistrées avaient soumis des pouvoirs pleinement conformes à l’article</w:t>
      </w:r>
      <w:r w:rsidR="00526A47" w:rsidRPr="00526A47">
        <w:rPr>
          <w:rFonts w:eastAsia="Times New Roman"/>
          <w:kern w:val="22"/>
        </w:rPr>
        <w:t> </w:t>
      </w:r>
      <w:r w:rsidR="00AD71B3" w:rsidRPr="00526A47">
        <w:rPr>
          <w:rFonts w:eastAsia="Times New Roman"/>
          <w:kern w:val="22"/>
        </w:rPr>
        <w:t>18 du règlement intérieur, tandis que les représentants d</w:t>
      </w:r>
      <w:r w:rsidR="00526A47" w:rsidRPr="00526A47">
        <w:rPr>
          <w:rFonts w:eastAsia="Times New Roman"/>
          <w:kern w:val="22"/>
        </w:rPr>
        <w:t>’</w:t>
      </w:r>
      <w:r w:rsidR="00AD71B3" w:rsidRPr="00526A47">
        <w:rPr>
          <w:rFonts w:eastAsia="Times New Roman"/>
          <w:kern w:val="22"/>
        </w:rPr>
        <w:t>une Partie enregistrée avaient soumis des pouvoirs qui n</w:t>
      </w:r>
      <w:r w:rsidR="00526A47" w:rsidRPr="00526A47">
        <w:rPr>
          <w:rFonts w:eastAsia="Times New Roman"/>
          <w:kern w:val="22"/>
        </w:rPr>
        <w:t>’</w:t>
      </w:r>
      <w:r w:rsidR="00AD71B3" w:rsidRPr="00526A47">
        <w:rPr>
          <w:rFonts w:eastAsia="Times New Roman"/>
          <w:kern w:val="22"/>
        </w:rPr>
        <w:t>étaient pas en pleine conformité. Les représentants de 22</w:t>
      </w:r>
      <w:r w:rsidR="00526A47" w:rsidRPr="00526A47">
        <w:rPr>
          <w:rFonts w:eastAsia="Times New Roman"/>
          <w:kern w:val="22"/>
        </w:rPr>
        <w:t> </w:t>
      </w:r>
      <w:r w:rsidR="00AD71B3" w:rsidRPr="00526A47">
        <w:rPr>
          <w:rFonts w:eastAsia="Times New Roman"/>
          <w:kern w:val="22"/>
        </w:rPr>
        <w:t>Parties enregistrées n</w:t>
      </w:r>
      <w:r w:rsidR="00526A47" w:rsidRPr="00526A47">
        <w:rPr>
          <w:rFonts w:eastAsia="Times New Roman"/>
          <w:kern w:val="22"/>
        </w:rPr>
        <w:t>’</w:t>
      </w:r>
      <w:r w:rsidR="00AD71B3" w:rsidRPr="00526A47">
        <w:rPr>
          <w:rFonts w:eastAsia="Times New Roman"/>
          <w:kern w:val="22"/>
        </w:rPr>
        <w:t>avaient pas encore présenté de pouvoirs</w:t>
      </w:r>
      <w:r w:rsidRPr="00526A47">
        <w:rPr>
          <w:rFonts w:eastAsia="Times New Roman"/>
          <w:kern w:val="22"/>
        </w:rPr>
        <w:t>.</w:t>
      </w:r>
    </w:p>
    <w:p w14:paraId="61CC19E0" w14:textId="28C30061" w:rsidR="00927718" w:rsidRPr="005D703D" w:rsidRDefault="005D703D" w:rsidP="00DA7AAB">
      <w:pPr>
        <w:pStyle w:val="CBDNormalNumber"/>
        <w:spacing w:before="120"/>
        <w:ind w:left="567"/>
        <w:rPr>
          <w:rFonts w:eastAsia="MS Mincho"/>
          <w:lang w:eastAsia="en-CA"/>
        </w:rPr>
      </w:pPr>
      <w:r>
        <w:rPr>
          <w:rFonts w:eastAsia="Times New Roman"/>
          <w:color w:val="000000"/>
          <w:kern w:val="22"/>
        </w:rPr>
        <w:t>À la troisième séance plénière, M</w:t>
      </w:r>
      <w:r w:rsidRPr="000112A4">
        <w:rPr>
          <w:rFonts w:eastAsia="Times New Roman"/>
          <w:color w:val="000000"/>
          <w:kern w:val="22"/>
          <w:vertAlign w:val="superscript"/>
        </w:rPr>
        <w:t>me</w:t>
      </w:r>
      <w:r w:rsidR="00AF176D">
        <w:rPr>
          <w:rFonts w:eastAsia="Times New Roman"/>
          <w:color w:val="000000"/>
          <w:kern w:val="22"/>
        </w:rPr>
        <w:t> </w:t>
      </w:r>
      <w:proofErr w:type="spellStart"/>
      <w:r>
        <w:rPr>
          <w:rFonts w:eastAsia="Times New Roman"/>
          <w:color w:val="000000"/>
          <w:kern w:val="22"/>
        </w:rPr>
        <w:t>Mabuza</w:t>
      </w:r>
      <w:proofErr w:type="spellEnd"/>
      <w:r>
        <w:rPr>
          <w:rFonts w:eastAsia="Times New Roman"/>
          <w:color w:val="000000"/>
          <w:kern w:val="22"/>
        </w:rPr>
        <w:t xml:space="preserve"> a indiqué que 180</w:t>
      </w:r>
      <w:r w:rsidR="00AF176D">
        <w:rPr>
          <w:rFonts w:eastAsia="Times New Roman"/>
          <w:color w:val="000000"/>
          <w:kern w:val="22"/>
        </w:rPr>
        <w:t> </w:t>
      </w:r>
      <w:r>
        <w:rPr>
          <w:rFonts w:eastAsia="Times New Roman"/>
          <w:color w:val="000000"/>
          <w:kern w:val="22"/>
        </w:rPr>
        <w:t>Parties à la Convention étaient enregistrées comme participant à la réunion. Les représentants de 160</w:t>
      </w:r>
      <w:r w:rsidR="00AF176D">
        <w:rPr>
          <w:rFonts w:eastAsia="Times New Roman"/>
          <w:color w:val="000000"/>
          <w:kern w:val="22"/>
        </w:rPr>
        <w:t> </w:t>
      </w:r>
      <w:r>
        <w:rPr>
          <w:rFonts w:eastAsia="Times New Roman"/>
          <w:color w:val="000000"/>
          <w:kern w:val="22"/>
        </w:rPr>
        <w:t>Parties enregistrées avaient soumis des pouvoirs pleinement conformes à l’article 18 du règlement intérieur, tandis que les représentants d’une Partie enregistrée avaient soumis des pouvoirs qui n’étaient pas en pleine conformité. Les représentants de 19 Parties enregistrées n’avaient pas encore présenté de pouvoirs.</w:t>
      </w:r>
    </w:p>
    <w:p w14:paraId="07EE545A" w14:textId="0E07461F" w:rsidR="005D703D" w:rsidRDefault="005D703D" w:rsidP="00DA7AAB">
      <w:pPr>
        <w:pStyle w:val="CBDNormalNumber"/>
        <w:spacing w:before="120"/>
        <w:ind w:left="567"/>
        <w:rPr>
          <w:rFonts w:eastAsia="MS Mincho"/>
          <w:lang w:eastAsia="en-CA"/>
        </w:rPr>
      </w:pPr>
      <w:r>
        <w:rPr>
          <w:rFonts w:eastAsia="MS Mincho"/>
          <w:lang w:eastAsia="en-CA"/>
        </w:rPr>
        <w:t xml:space="preserve">À la quatrième séance plénière, le 31 octobre, la Présidente a indiqué que le rapport sur les pouvoirs avait été publié sous la forme d’un document d’information </w:t>
      </w:r>
      <w:r w:rsidR="0058075D">
        <w:rPr>
          <w:rFonts w:eastAsia="MS Mincho"/>
          <w:lang w:eastAsia="en-CA"/>
        </w:rPr>
        <w:t>(</w:t>
      </w:r>
      <w:r w:rsidR="0058075D" w:rsidRPr="004D4B40">
        <w:rPr>
          <w:rFonts w:eastAsia="MS Mincho"/>
          <w:lang w:eastAsia="en-CA"/>
        </w:rPr>
        <w:t>CBD/COP/16/INF/41</w:t>
      </w:r>
      <w:r w:rsidR="0058075D">
        <w:rPr>
          <w:rFonts w:eastAsia="MS Mincho"/>
          <w:lang w:eastAsia="en-CA"/>
        </w:rPr>
        <w:t>)</w:t>
      </w:r>
      <w:r>
        <w:rPr>
          <w:rFonts w:eastAsia="MS Mincho"/>
          <w:lang w:eastAsia="en-CA"/>
        </w:rPr>
        <w:t>. En outre, les représentants du Tadjikistan</w:t>
      </w:r>
      <w:r w:rsidR="000112A4">
        <w:rPr>
          <w:rFonts w:eastAsia="MS Mincho"/>
          <w:lang w:eastAsia="en-CA"/>
        </w:rPr>
        <w:t xml:space="preserve"> ont soumis des pouvoirs en pleine conformité, amenant le nombre des Parties qui avaient soumis des pouvoirs pleinement conformes à l’article 18 du règlement intérieur à 161 pour la seizième réunion de la Conférence des Parties à la Convention. </w:t>
      </w:r>
    </w:p>
    <w:p w14:paraId="0E765CAB" w14:textId="6E76BB8C" w:rsidR="000112A4" w:rsidRDefault="000112A4" w:rsidP="00DA7AAB">
      <w:pPr>
        <w:pStyle w:val="CBDNormalNumber"/>
        <w:spacing w:before="120"/>
        <w:ind w:left="567"/>
        <w:rPr>
          <w:rFonts w:eastAsia="MS Mincho"/>
          <w:lang w:eastAsia="en-CA"/>
        </w:rPr>
      </w:pPr>
      <w:r>
        <w:rPr>
          <w:rFonts w:eastAsia="MS Mincho"/>
          <w:lang w:eastAsia="en-CA"/>
        </w:rPr>
        <w:t>La Conférence des Parties a pris note du rapport sur les pouvoirs et l’a approuvé.</w:t>
      </w:r>
    </w:p>
    <w:p w14:paraId="6E0998F0" w14:textId="04DBFF93" w:rsidR="00927718" w:rsidRDefault="00AD71B3">
      <w:pPr>
        <w:pStyle w:val="CBDAgendaItem"/>
        <w:rPr>
          <w:caps/>
        </w:rPr>
      </w:pPr>
      <w:r>
        <w:rPr>
          <w:rFonts w:eastAsia="Times New Roman"/>
          <w:bCs/>
          <w:szCs w:val="24"/>
        </w:rPr>
        <w:t>Point</w:t>
      </w:r>
      <w:r w:rsidR="00AF176D">
        <w:rPr>
          <w:rFonts w:eastAsia="Times New Roman"/>
          <w:bCs/>
          <w:szCs w:val="24"/>
        </w:rPr>
        <w:t> </w:t>
      </w:r>
      <w:r>
        <w:rPr>
          <w:rFonts w:eastAsia="Times New Roman"/>
          <w:bCs/>
          <w:szCs w:val="24"/>
        </w:rPr>
        <w:t xml:space="preserve">4 </w:t>
      </w:r>
      <w:r>
        <w:rPr>
          <w:rFonts w:eastAsia="Times New Roman"/>
          <w:bCs/>
          <w:szCs w:val="24"/>
        </w:rPr>
        <w:br/>
        <w:t>Questions en suspens</w:t>
      </w:r>
    </w:p>
    <w:p w14:paraId="013D24FB" w14:textId="22155CCB" w:rsidR="00927718" w:rsidRDefault="00AD71B3" w:rsidP="00DA7AAB">
      <w:pPr>
        <w:pStyle w:val="CBDNormalNumber"/>
        <w:spacing w:before="120"/>
        <w:ind w:left="567"/>
        <w:rPr>
          <w:rFonts w:asciiTheme="majorBidi" w:eastAsia="MS Mincho" w:hAnsiTheme="majorBidi" w:cstheme="majorBidi"/>
          <w:color w:val="000000"/>
          <w:kern w:val="22"/>
        </w:rPr>
      </w:pPr>
      <w:r>
        <w:rPr>
          <w:rFonts w:eastAsia="Times New Roman"/>
          <w:color w:val="000000"/>
          <w:kern w:val="22"/>
        </w:rPr>
        <w:t>Le point</w:t>
      </w:r>
      <w:r w:rsidR="00AF176D">
        <w:rPr>
          <w:rFonts w:eastAsia="Times New Roman"/>
          <w:color w:val="000000"/>
          <w:kern w:val="22"/>
        </w:rPr>
        <w:t> </w:t>
      </w:r>
      <w:r>
        <w:rPr>
          <w:rFonts w:eastAsia="Times New Roman"/>
          <w:color w:val="000000"/>
          <w:kern w:val="22"/>
        </w:rPr>
        <w:t>4 de l’ordre du jour avait été examiné à la deuxième séance plénière de la réunion tenue le 15</w:t>
      </w:r>
      <w:r w:rsidR="00AF176D">
        <w:rPr>
          <w:rFonts w:eastAsia="Times New Roman"/>
          <w:color w:val="000000"/>
          <w:kern w:val="22"/>
        </w:rPr>
        <w:t> </w:t>
      </w:r>
      <w:r>
        <w:rPr>
          <w:rFonts w:eastAsia="Times New Roman"/>
          <w:color w:val="000000"/>
          <w:kern w:val="22"/>
        </w:rPr>
        <w:t>octobre</w:t>
      </w:r>
      <w:r w:rsidR="00AF176D">
        <w:rPr>
          <w:rFonts w:eastAsia="Times New Roman"/>
          <w:color w:val="000000"/>
          <w:kern w:val="22"/>
        </w:rPr>
        <w:t> </w:t>
      </w:r>
      <w:r>
        <w:rPr>
          <w:rFonts w:eastAsia="Times New Roman"/>
          <w:color w:val="000000"/>
          <w:kern w:val="22"/>
        </w:rPr>
        <w:t>2021. La seule question en suspens dont la Conférence des Parties était saisie concerne le paragraphe</w:t>
      </w:r>
      <w:r w:rsidR="00AF176D">
        <w:rPr>
          <w:rFonts w:eastAsia="Times New Roman"/>
          <w:color w:val="000000"/>
          <w:kern w:val="22"/>
        </w:rPr>
        <w:t> </w:t>
      </w:r>
      <w:r>
        <w:rPr>
          <w:rFonts w:eastAsia="Times New Roman"/>
          <w:color w:val="000000"/>
          <w:kern w:val="22"/>
        </w:rPr>
        <w:t>1 de l’article</w:t>
      </w:r>
      <w:r w:rsidR="00AF176D">
        <w:rPr>
          <w:rFonts w:eastAsia="Times New Roman"/>
          <w:color w:val="000000"/>
          <w:kern w:val="22"/>
        </w:rPr>
        <w:t> </w:t>
      </w:r>
      <w:r>
        <w:rPr>
          <w:rFonts w:eastAsia="Times New Roman"/>
          <w:color w:val="000000"/>
          <w:kern w:val="22"/>
        </w:rPr>
        <w:t>40 du règlement intérieur et les paragraphes</w:t>
      </w:r>
      <w:r w:rsidR="00AF176D">
        <w:rPr>
          <w:rFonts w:eastAsia="Times New Roman"/>
          <w:color w:val="000000"/>
          <w:kern w:val="22"/>
        </w:rPr>
        <w:t> </w:t>
      </w:r>
      <w:r>
        <w:rPr>
          <w:rFonts w:eastAsia="Times New Roman"/>
          <w:color w:val="000000"/>
          <w:kern w:val="22"/>
        </w:rPr>
        <w:t xml:space="preserve">4 et 16 du </w:t>
      </w:r>
      <w:r>
        <w:rPr>
          <w:rFonts w:eastAsia="Times New Roman"/>
          <w:color w:val="000000"/>
          <w:kern w:val="22"/>
        </w:rPr>
        <w:lastRenderedPageBreak/>
        <w:t>règlement financier pour l’administration du Fonds d’affectation spéciale de la Convention, qui sont restés entre crochets en raison de l’absence de consensus entre les Parties concernant la majorité requise pour la prise de décisions sur les questions de fond.</w:t>
      </w:r>
    </w:p>
    <w:p w14:paraId="21C052FA" w14:textId="77777777" w:rsidR="00927718" w:rsidRDefault="00AD71B3" w:rsidP="00DA7AAB">
      <w:pPr>
        <w:pStyle w:val="CBDNormalNumber"/>
        <w:spacing w:before="120"/>
        <w:ind w:left="567"/>
        <w:rPr>
          <w:bCs/>
        </w:rPr>
      </w:pPr>
      <w:r>
        <w:rPr>
          <w:rFonts w:eastAsia="Times New Roman"/>
          <w:color w:val="000000"/>
          <w:kern w:val="22"/>
        </w:rPr>
        <w:t xml:space="preserve">La Conférence des Parties est convenue de reporter l’examen de cette question à sa dix-septième réunion. </w:t>
      </w:r>
    </w:p>
    <w:p w14:paraId="6A3C1796" w14:textId="0D892A2F" w:rsidR="00927718" w:rsidRDefault="00AD71B3">
      <w:pPr>
        <w:pStyle w:val="CBDAgendaItem"/>
      </w:pPr>
      <w:r>
        <w:rPr>
          <w:rFonts w:eastAsia="Times New Roman"/>
          <w:bCs/>
          <w:szCs w:val="24"/>
        </w:rPr>
        <w:t>Point</w:t>
      </w:r>
      <w:r w:rsidR="00AF176D">
        <w:rPr>
          <w:rFonts w:eastAsia="Times New Roman"/>
          <w:bCs/>
          <w:szCs w:val="24"/>
        </w:rPr>
        <w:t> </w:t>
      </w:r>
      <w:r>
        <w:rPr>
          <w:rFonts w:eastAsia="Times New Roman"/>
          <w:bCs/>
          <w:szCs w:val="24"/>
        </w:rPr>
        <w:t xml:space="preserve">5 </w:t>
      </w:r>
      <w:r>
        <w:rPr>
          <w:rFonts w:eastAsia="Times New Roman"/>
          <w:bCs/>
          <w:szCs w:val="24"/>
        </w:rPr>
        <w:br/>
        <w:t>Date et lieu des futures réunions de la Conférence des Parties</w:t>
      </w:r>
    </w:p>
    <w:p w14:paraId="3CC9682A" w14:textId="0AF72B00" w:rsidR="000112A4" w:rsidRPr="000112A4" w:rsidRDefault="000112A4" w:rsidP="00D87BB6">
      <w:pPr>
        <w:pStyle w:val="CBDNormalNumber"/>
        <w:spacing w:before="120"/>
        <w:ind w:left="567"/>
        <w:rPr>
          <w:rFonts w:asciiTheme="majorBidi" w:eastAsia="MS Mincho" w:hAnsiTheme="majorBidi" w:cstheme="majorBidi"/>
          <w:color w:val="000000"/>
          <w:kern w:val="22"/>
        </w:rPr>
      </w:pPr>
      <w:r>
        <w:rPr>
          <w:rFonts w:asciiTheme="majorBidi" w:eastAsia="MS Mincho" w:hAnsiTheme="majorBidi" w:cstheme="majorBidi"/>
          <w:color w:val="000000"/>
          <w:kern w:val="22"/>
        </w:rPr>
        <w:t xml:space="preserve">La Conférence des Parties a examiné le point 5 de l’ordre du jour à sa première séance plénière. Elle </w:t>
      </w:r>
      <w:r w:rsidR="006568EE">
        <w:rPr>
          <w:rFonts w:asciiTheme="majorBidi" w:eastAsia="MS Mincho" w:hAnsiTheme="majorBidi" w:cstheme="majorBidi"/>
          <w:color w:val="000000"/>
          <w:kern w:val="22"/>
        </w:rPr>
        <w:t>était saisie du</w:t>
      </w:r>
      <w:r>
        <w:rPr>
          <w:rFonts w:asciiTheme="majorBidi" w:eastAsia="MS Mincho" w:hAnsiTheme="majorBidi" w:cstheme="majorBidi"/>
          <w:color w:val="000000"/>
          <w:kern w:val="22"/>
        </w:rPr>
        <w:t xml:space="preserve"> projet de décision (CBD/COP/16/2/</w:t>
      </w:r>
      <w:proofErr w:type="spellStart"/>
      <w:r>
        <w:rPr>
          <w:rFonts w:asciiTheme="majorBidi" w:eastAsia="MS Mincho" w:hAnsiTheme="majorBidi" w:cstheme="majorBidi"/>
          <w:color w:val="000000"/>
          <w:kern w:val="22"/>
        </w:rPr>
        <w:t>Rev.1</w:t>
      </w:r>
      <w:proofErr w:type="spellEnd"/>
      <w:r>
        <w:rPr>
          <w:rFonts w:asciiTheme="majorBidi" w:eastAsia="MS Mincho" w:hAnsiTheme="majorBidi" w:cstheme="majorBidi"/>
          <w:color w:val="000000"/>
          <w:kern w:val="22"/>
        </w:rPr>
        <w:t>, point</w:t>
      </w:r>
      <w:r w:rsidR="00AF176D">
        <w:rPr>
          <w:rFonts w:asciiTheme="majorBidi" w:eastAsia="MS Mincho" w:hAnsiTheme="majorBidi" w:cstheme="majorBidi"/>
          <w:color w:val="000000"/>
          <w:kern w:val="22"/>
        </w:rPr>
        <w:t> </w:t>
      </w:r>
      <w:r>
        <w:rPr>
          <w:rFonts w:asciiTheme="majorBidi" w:eastAsia="MS Mincho" w:hAnsiTheme="majorBidi" w:cstheme="majorBidi"/>
          <w:color w:val="000000"/>
          <w:kern w:val="22"/>
        </w:rPr>
        <w:t>5).</w:t>
      </w:r>
      <w:r w:rsidR="00A15F19">
        <w:rPr>
          <w:rFonts w:asciiTheme="majorBidi" w:eastAsia="MS Mincho" w:hAnsiTheme="majorBidi" w:cstheme="majorBidi"/>
          <w:color w:val="000000"/>
          <w:kern w:val="22"/>
        </w:rPr>
        <w:t xml:space="preserve"> </w:t>
      </w:r>
      <w:r w:rsidR="00A15F19" w:rsidRPr="00A15F19">
        <w:rPr>
          <w:rFonts w:asciiTheme="majorBidi" w:eastAsia="MS Mincho" w:hAnsiTheme="majorBidi" w:cstheme="majorBidi"/>
          <w:color w:val="000000"/>
          <w:kern w:val="22"/>
        </w:rPr>
        <w:t xml:space="preserve">Un document d'information sur la décision relative au lieu de la dix-septième réunion de la Conférence des Parties à la Convention a également été publié en </w:t>
      </w:r>
      <w:r w:rsidR="005037E5">
        <w:rPr>
          <w:rFonts w:asciiTheme="majorBidi" w:eastAsia="MS Mincho" w:hAnsiTheme="majorBidi" w:cstheme="majorBidi"/>
          <w:color w:val="000000"/>
          <w:kern w:val="22"/>
        </w:rPr>
        <w:t xml:space="preserve">lien </w:t>
      </w:r>
      <w:r w:rsidR="00A15F19" w:rsidRPr="00A15F19">
        <w:rPr>
          <w:rFonts w:asciiTheme="majorBidi" w:eastAsia="MS Mincho" w:hAnsiTheme="majorBidi" w:cstheme="majorBidi"/>
          <w:color w:val="000000"/>
          <w:kern w:val="22"/>
        </w:rPr>
        <w:t>avec le point 5</w:t>
      </w:r>
      <w:r w:rsidR="002D7740" w:rsidRPr="004748D6">
        <w:rPr>
          <w:rStyle w:val="Appelnotedebasdep"/>
          <w:rFonts w:asciiTheme="majorBidi" w:eastAsia="MS Mincho" w:hAnsiTheme="majorBidi" w:cstheme="majorBidi"/>
          <w:color w:val="000000"/>
          <w:kern w:val="22"/>
        </w:rPr>
        <w:footnoteReference w:id="10"/>
      </w:r>
      <w:r w:rsidR="00A15F19" w:rsidRPr="00A15F19">
        <w:rPr>
          <w:rFonts w:asciiTheme="majorBidi" w:eastAsia="MS Mincho" w:hAnsiTheme="majorBidi" w:cstheme="majorBidi"/>
          <w:color w:val="000000"/>
          <w:kern w:val="22"/>
        </w:rPr>
        <w:t>.</w:t>
      </w:r>
    </w:p>
    <w:p w14:paraId="1E61C7DF" w14:textId="44D90BCF" w:rsidR="00927718" w:rsidRDefault="000112A4" w:rsidP="00D87BB6">
      <w:pPr>
        <w:pStyle w:val="CBDNormalNumber"/>
        <w:spacing w:before="120"/>
        <w:ind w:left="567"/>
        <w:rPr>
          <w:rFonts w:asciiTheme="majorBidi" w:eastAsia="MS Mincho" w:hAnsiTheme="majorBidi" w:cstheme="majorBidi"/>
          <w:color w:val="000000"/>
          <w:kern w:val="22"/>
        </w:rPr>
      </w:pPr>
      <w:r>
        <w:rPr>
          <w:rFonts w:eastAsia="Times New Roman"/>
        </w:rPr>
        <w:t>L</w:t>
      </w:r>
      <w:r w:rsidR="00AD71B3">
        <w:rPr>
          <w:rFonts w:eastAsia="Times New Roman"/>
        </w:rPr>
        <w:t>a Conférence des Parties a noté que la dix-septième réunion devait être accueillie par une Partie issue du Groupe des États d’Europe orientale et que, d’autre part, le Secrétariat avait reçu deux offres d’accueil de la part de Parties de cette région. Il fut convenu que ce groupe régional tiendrait des consultations en vue de parvenir à un accord sur cette question.</w:t>
      </w:r>
    </w:p>
    <w:p w14:paraId="283D873C" w14:textId="784C615B" w:rsidR="00927718" w:rsidRPr="000112A4" w:rsidRDefault="000112A4" w:rsidP="00D87BB6">
      <w:pPr>
        <w:pStyle w:val="CBDNormalNumber"/>
        <w:spacing w:before="120"/>
        <w:ind w:left="567"/>
        <w:rPr>
          <w:rFonts w:asciiTheme="majorBidi" w:eastAsia="MS Mincho" w:hAnsiTheme="majorBidi" w:cstheme="majorBidi"/>
          <w:color w:val="000000"/>
          <w:kern w:val="22"/>
        </w:rPr>
      </w:pPr>
      <w:r>
        <w:rPr>
          <w:rFonts w:eastAsia="Times New Roman"/>
          <w:color w:val="000000"/>
          <w:kern w:val="22"/>
        </w:rPr>
        <w:t>À sa troisième séance plénière, la Conférence des Parties a entendu des présentations des délégations d’Arménie et d’Azerbaïdjan.</w:t>
      </w:r>
    </w:p>
    <w:p w14:paraId="1ABCC7DB" w14:textId="1C1D8592" w:rsidR="000112A4" w:rsidRPr="000112A4" w:rsidRDefault="000112A4" w:rsidP="00D87BB6">
      <w:pPr>
        <w:pStyle w:val="CBDNormalNumber"/>
        <w:spacing w:before="120"/>
        <w:ind w:left="567"/>
        <w:rPr>
          <w:rFonts w:asciiTheme="majorBidi" w:eastAsia="MS Mincho" w:hAnsiTheme="majorBidi" w:cstheme="majorBidi"/>
          <w:color w:val="000000"/>
          <w:kern w:val="22"/>
        </w:rPr>
      </w:pPr>
      <w:r>
        <w:rPr>
          <w:rFonts w:eastAsia="Times New Roman"/>
          <w:color w:val="000000"/>
          <w:kern w:val="22"/>
        </w:rPr>
        <w:t>La Conférence des Parties a accepté de tenir un vote secret sur cette question.</w:t>
      </w:r>
    </w:p>
    <w:p w14:paraId="3559A458" w14:textId="06EA1FDA" w:rsidR="000112A4" w:rsidRPr="000112A4" w:rsidRDefault="000112A4" w:rsidP="00D87BB6">
      <w:pPr>
        <w:pStyle w:val="CBDNormalNumber"/>
        <w:spacing w:before="120"/>
        <w:ind w:left="567"/>
        <w:rPr>
          <w:rFonts w:asciiTheme="majorBidi" w:eastAsia="MS Mincho" w:hAnsiTheme="majorBidi" w:cstheme="majorBidi"/>
          <w:color w:val="000000"/>
          <w:kern w:val="22"/>
        </w:rPr>
      </w:pPr>
      <w:r>
        <w:rPr>
          <w:rFonts w:eastAsia="Times New Roman"/>
          <w:color w:val="000000"/>
          <w:kern w:val="22"/>
        </w:rPr>
        <w:t xml:space="preserve">À sa quatrième séance plénière, </w:t>
      </w:r>
      <w:r w:rsidR="002D7740">
        <w:rPr>
          <w:rFonts w:eastAsia="Times New Roman"/>
          <w:color w:val="000000"/>
          <w:kern w:val="22"/>
        </w:rPr>
        <w:t xml:space="preserve">un </w:t>
      </w:r>
      <w:r>
        <w:rPr>
          <w:rFonts w:eastAsia="Times New Roman"/>
          <w:color w:val="000000"/>
          <w:kern w:val="22"/>
        </w:rPr>
        <w:t xml:space="preserve">représentant du Secrétariat a </w:t>
      </w:r>
      <w:r w:rsidR="001359EA">
        <w:rPr>
          <w:rFonts w:eastAsia="Times New Roman"/>
          <w:color w:val="000000"/>
          <w:kern w:val="22"/>
        </w:rPr>
        <w:t>brièvement décrit</w:t>
      </w:r>
      <w:r>
        <w:rPr>
          <w:rFonts w:eastAsia="Times New Roman"/>
          <w:color w:val="000000"/>
          <w:kern w:val="22"/>
        </w:rPr>
        <w:t xml:space="preserve"> la procédure de vote, telle que stipulée à l’article 46 du règlement intérieur et a attiré l’attention sur le document d’information cont</w:t>
      </w:r>
      <w:r w:rsidR="009F2950">
        <w:rPr>
          <w:rFonts w:eastAsia="Times New Roman"/>
          <w:color w:val="000000"/>
          <w:kern w:val="22"/>
        </w:rPr>
        <w:t xml:space="preserve">enant </w:t>
      </w:r>
      <w:r>
        <w:rPr>
          <w:rFonts w:eastAsia="Times New Roman"/>
          <w:color w:val="000000"/>
          <w:kern w:val="22"/>
        </w:rPr>
        <w:t>des informations sur la procédure relative au choix du lieu de la dix-septième réunion.</w:t>
      </w:r>
    </w:p>
    <w:p w14:paraId="66FAB977" w14:textId="3ADA4B03" w:rsidR="000112A4" w:rsidRDefault="002D5DC1" w:rsidP="00D87BB6">
      <w:pPr>
        <w:pStyle w:val="CBDNormalNumber"/>
        <w:spacing w:before="120"/>
        <w:ind w:left="567"/>
        <w:rPr>
          <w:rFonts w:asciiTheme="majorBidi" w:eastAsia="MS Mincho" w:hAnsiTheme="majorBidi" w:cstheme="majorBidi"/>
          <w:color w:val="000000"/>
          <w:kern w:val="22"/>
        </w:rPr>
      </w:pPr>
      <w:r>
        <w:rPr>
          <w:rFonts w:asciiTheme="majorBidi" w:eastAsia="MS Mincho" w:hAnsiTheme="majorBidi" w:cstheme="majorBidi"/>
          <w:color w:val="000000"/>
          <w:kern w:val="22"/>
        </w:rPr>
        <w:t xml:space="preserve">Sur l’invitation de la Présidente, </w:t>
      </w:r>
      <w:r w:rsidRPr="00875CBF">
        <w:rPr>
          <w:rFonts w:asciiTheme="majorBidi" w:eastAsia="MS Mincho" w:hAnsiTheme="majorBidi" w:cstheme="majorBidi"/>
          <w:color w:val="000000"/>
          <w:kern w:val="22"/>
        </w:rPr>
        <w:t>Jos</w:t>
      </w:r>
      <w:r w:rsidR="00F3637E">
        <w:rPr>
          <w:rFonts w:asciiTheme="majorBidi" w:eastAsia="MS Mincho" w:hAnsiTheme="majorBidi" w:cstheme="majorBidi"/>
          <w:color w:val="000000"/>
          <w:kern w:val="22"/>
        </w:rPr>
        <w:t>é</w:t>
      </w:r>
      <w:r w:rsidRPr="00875CBF">
        <w:rPr>
          <w:rFonts w:asciiTheme="majorBidi" w:eastAsia="MS Mincho" w:hAnsiTheme="majorBidi" w:cstheme="majorBidi"/>
          <w:color w:val="000000"/>
          <w:kern w:val="22"/>
        </w:rPr>
        <w:t xml:space="preserve">phine </w:t>
      </w:r>
      <w:proofErr w:type="spellStart"/>
      <w:r w:rsidRPr="00875CBF">
        <w:rPr>
          <w:rFonts w:asciiTheme="majorBidi" w:eastAsia="MS Mincho" w:hAnsiTheme="majorBidi" w:cstheme="majorBidi"/>
          <w:color w:val="000000"/>
          <w:kern w:val="22"/>
        </w:rPr>
        <w:t>Eloundou</w:t>
      </w:r>
      <w:proofErr w:type="spellEnd"/>
      <w:r w:rsidRPr="00875CBF">
        <w:rPr>
          <w:rFonts w:asciiTheme="majorBidi" w:eastAsia="MS Mincho" w:hAnsiTheme="majorBidi" w:cstheme="majorBidi"/>
          <w:color w:val="000000"/>
          <w:kern w:val="22"/>
        </w:rPr>
        <w:t xml:space="preserve"> (Camero</w:t>
      </w:r>
      <w:r>
        <w:rPr>
          <w:rFonts w:asciiTheme="majorBidi" w:eastAsia="MS Mincho" w:hAnsiTheme="majorBidi" w:cstheme="majorBidi"/>
          <w:color w:val="000000"/>
          <w:kern w:val="22"/>
        </w:rPr>
        <w:t>u</w:t>
      </w:r>
      <w:r w:rsidRPr="00875CBF">
        <w:rPr>
          <w:rFonts w:asciiTheme="majorBidi" w:eastAsia="MS Mincho" w:hAnsiTheme="majorBidi" w:cstheme="majorBidi"/>
          <w:color w:val="000000"/>
          <w:kern w:val="22"/>
        </w:rPr>
        <w:t xml:space="preserve">n), </w:t>
      </w:r>
      <w:proofErr w:type="spellStart"/>
      <w:r w:rsidRPr="00875CBF">
        <w:rPr>
          <w:rFonts w:asciiTheme="majorBidi" w:eastAsia="MS Mincho" w:hAnsiTheme="majorBidi" w:cstheme="majorBidi"/>
          <w:color w:val="000000"/>
          <w:kern w:val="22"/>
        </w:rPr>
        <w:t>Nenenteiti</w:t>
      </w:r>
      <w:proofErr w:type="spellEnd"/>
      <w:r w:rsidRPr="00875CBF">
        <w:rPr>
          <w:rFonts w:asciiTheme="majorBidi" w:eastAsia="MS Mincho" w:hAnsiTheme="majorBidi" w:cstheme="majorBidi"/>
          <w:color w:val="000000"/>
          <w:kern w:val="22"/>
        </w:rPr>
        <w:t xml:space="preserve"> </w:t>
      </w:r>
      <w:proofErr w:type="spellStart"/>
      <w:r w:rsidRPr="00875CBF">
        <w:rPr>
          <w:rFonts w:asciiTheme="majorBidi" w:eastAsia="MS Mincho" w:hAnsiTheme="majorBidi" w:cstheme="majorBidi"/>
          <w:color w:val="000000"/>
          <w:kern w:val="22"/>
        </w:rPr>
        <w:t>Tearniki</w:t>
      </w:r>
      <w:proofErr w:type="spellEnd"/>
      <w:r w:rsidRPr="00875CBF">
        <w:rPr>
          <w:rFonts w:asciiTheme="majorBidi" w:eastAsia="MS Mincho" w:hAnsiTheme="majorBidi" w:cstheme="majorBidi"/>
          <w:color w:val="000000"/>
          <w:kern w:val="22"/>
        </w:rPr>
        <w:t xml:space="preserve"> </w:t>
      </w:r>
      <w:proofErr w:type="spellStart"/>
      <w:r w:rsidRPr="00875CBF">
        <w:rPr>
          <w:rFonts w:asciiTheme="majorBidi" w:eastAsia="MS Mincho" w:hAnsiTheme="majorBidi" w:cstheme="majorBidi"/>
          <w:color w:val="000000"/>
          <w:kern w:val="22"/>
        </w:rPr>
        <w:t>Ruatu</w:t>
      </w:r>
      <w:proofErr w:type="spellEnd"/>
      <w:r w:rsidRPr="00875CBF">
        <w:rPr>
          <w:rFonts w:asciiTheme="majorBidi" w:eastAsia="MS Mincho" w:hAnsiTheme="majorBidi" w:cstheme="majorBidi"/>
          <w:color w:val="000000"/>
          <w:kern w:val="22"/>
        </w:rPr>
        <w:t xml:space="preserve"> (Kiribati) </w:t>
      </w:r>
      <w:r>
        <w:rPr>
          <w:rFonts w:asciiTheme="majorBidi" w:eastAsia="MS Mincho" w:hAnsiTheme="majorBidi" w:cstheme="majorBidi"/>
          <w:color w:val="000000"/>
          <w:kern w:val="22"/>
        </w:rPr>
        <w:t>et</w:t>
      </w:r>
      <w:r w:rsidRPr="00875CBF">
        <w:rPr>
          <w:rFonts w:asciiTheme="majorBidi" w:eastAsia="MS Mincho" w:hAnsiTheme="majorBidi" w:cstheme="majorBidi"/>
          <w:color w:val="000000"/>
          <w:kern w:val="22"/>
        </w:rPr>
        <w:t xml:space="preserve"> Jeremiah Edmund (Saint</w:t>
      </w:r>
      <w:r>
        <w:rPr>
          <w:rFonts w:asciiTheme="majorBidi" w:eastAsia="MS Mincho" w:hAnsiTheme="majorBidi" w:cstheme="majorBidi"/>
          <w:color w:val="000000"/>
          <w:kern w:val="22"/>
        </w:rPr>
        <w:t>e-</w:t>
      </w:r>
      <w:r w:rsidRPr="00875CBF">
        <w:rPr>
          <w:rFonts w:asciiTheme="majorBidi" w:eastAsia="MS Mincho" w:hAnsiTheme="majorBidi" w:cstheme="majorBidi"/>
          <w:color w:val="000000"/>
          <w:kern w:val="22"/>
        </w:rPr>
        <w:t>Luci</w:t>
      </w:r>
      <w:r>
        <w:rPr>
          <w:rFonts w:asciiTheme="majorBidi" w:eastAsia="MS Mincho" w:hAnsiTheme="majorBidi" w:cstheme="majorBidi"/>
          <w:color w:val="000000"/>
          <w:kern w:val="22"/>
        </w:rPr>
        <w:t>e</w:t>
      </w:r>
      <w:r w:rsidRPr="00875CBF">
        <w:rPr>
          <w:rFonts w:asciiTheme="majorBidi" w:eastAsia="MS Mincho" w:hAnsiTheme="majorBidi" w:cstheme="majorBidi"/>
          <w:color w:val="000000"/>
          <w:kern w:val="22"/>
        </w:rPr>
        <w:t>)</w:t>
      </w:r>
      <w:r>
        <w:rPr>
          <w:rFonts w:asciiTheme="majorBidi" w:eastAsia="MS Mincho" w:hAnsiTheme="majorBidi" w:cstheme="majorBidi"/>
          <w:color w:val="000000"/>
          <w:kern w:val="22"/>
        </w:rPr>
        <w:t xml:space="preserve"> ont assumé les fonctions de scrutateurs.</w:t>
      </w:r>
    </w:p>
    <w:p w14:paraId="57F6E74F" w14:textId="354FA62A" w:rsidR="002D5DC1" w:rsidRDefault="002D5DC1" w:rsidP="00D87BB6">
      <w:pPr>
        <w:pStyle w:val="CBDNormalNumber"/>
        <w:spacing w:before="120"/>
        <w:ind w:left="567"/>
        <w:rPr>
          <w:rFonts w:asciiTheme="majorBidi" w:eastAsia="MS Mincho" w:hAnsiTheme="majorBidi" w:cstheme="majorBidi"/>
          <w:color w:val="000000"/>
          <w:kern w:val="22"/>
        </w:rPr>
      </w:pPr>
      <w:r>
        <w:rPr>
          <w:rFonts w:asciiTheme="majorBidi" w:eastAsia="MS Mincho" w:hAnsiTheme="majorBidi" w:cstheme="majorBidi"/>
          <w:color w:val="000000"/>
          <w:kern w:val="22"/>
        </w:rPr>
        <w:t>Il a été procédé à un vote au scrutin secret.</w:t>
      </w:r>
    </w:p>
    <w:p w14:paraId="48615CDF" w14:textId="21F7E9C2" w:rsidR="002D5DC1" w:rsidRDefault="00D87BB6" w:rsidP="00D87BB6">
      <w:pPr>
        <w:pStyle w:val="CBDNormalNumber"/>
        <w:numPr>
          <w:ilvl w:val="0"/>
          <w:numId w:val="0"/>
        </w:numPr>
        <w:spacing w:before="120"/>
        <w:ind w:left="426"/>
      </w:pPr>
      <w:r>
        <w:tab/>
      </w:r>
      <w:r w:rsidR="002D5DC1">
        <w:tab/>
        <w:t>Bulletins déposés : 131</w:t>
      </w:r>
    </w:p>
    <w:p w14:paraId="075C9760" w14:textId="36DC5D97" w:rsidR="002D5DC1" w:rsidRDefault="002D5DC1" w:rsidP="00D87BB6">
      <w:pPr>
        <w:pStyle w:val="CBDNormalNumber"/>
        <w:numPr>
          <w:ilvl w:val="0"/>
          <w:numId w:val="0"/>
        </w:numPr>
        <w:spacing w:before="120"/>
        <w:ind w:left="1140"/>
      </w:pPr>
      <w:r>
        <w:t>Bulletins valides : 1</w:t>
      </w:r>
    </w:p>
    <w:p w14:paraId="288028B3" w14:textId="5E653CE8" w:rsidR="002D5DC1" w:rsidRDefault="002D5DC1" w:rsidP="00D87BB6">
      <w:pPr>
        <w:pStyle w:val="CBDNormalNumber"/>
        <w:numPr>
          <w:ilvl w:val="0"/>
          <w:numId w:val="0"/>
        </w:numPr>
        <w:spacing w:before="120"/>
        <w:ind w:left="1140"/>
      </w:pPr>
      <w:r>
        <w:t>Bulletins valides : 130</w:t>
      </w:r>
    </w:p>
    <w:p w14:paraId="67EDDF00" w14:textId="308AC008" w:rsidR="002D5DC1" w:rsidRDefault="002D5DC1" w:rsidP="00D87BB6">
      <w:pPr>
        <w:pStyle w:val="CBDNormalNumber"/>
        <w:numPr>
          <w:ilvl w:val="0"/>
          <w:numId w:val="0"/>
        </w:numPr>
        <w:spacing w:before="120"/>
        <w:ind w:left="1140"/>
      </w:pPr>
      <w:r>
        <w:t>Abstentions : 7</w:t>
      </w:r>
    </w:p>
    <w:p w14:paraId="4392E2E7" w14:textId="502A1F2A" w:rsidR="002D5DC1" w:rsidRDefault="002D5DC1" w:rsidP="00D87BB6">
      <w:pPr>
        <w:pStyle w:val="CBDNormalNumber"/>
        <w:numPr>
          <w:ilvl w:val="0"/>
          <w:numId w:val="0"/>
        </w:numPr>
        <w:spacing w:before="120"/>
        <w:ind w:left="1140"/>
      </w:pPr>
      <w:r>
        <w:t>Nombre de votants : 123</w:t>
      </w:r>
    </w:p>
    <w:p w14:paraId="6004F43B" w14:textId="73A096F1" w:rsidR="002D5DC1" w:rsidRDefault="002D5DC1" w:rsidP="00D87BB6">
      <w:pPr>
        <w:pStyle w:val="CBDNormalNumber"/>
        <w:numPr>
          <w:ilvl w:val="0"/>
          <w:numId w:val="0"/>
        </w:numPr>
        <w:spacing w:before="120"/>
        <w:ind w:left="1140"/>
      </w:pPr>
      <w:r>
        <w:t>Majorité requise : 62</w:t>
      </w:r>
    </w:p>
    <w:p w14:paraId="3FEF97AB" w14:textId="052C2F02" w:rsidR="002D5DC1" w:rsidRDefault="002D5DC1" w:rsidP="00D87BB6">
      <w:pPr>
        <w:pStyle w:val="CBDNormalNumber"/>
        <w:numPr>
          <w:ilvl w:val="0"/>
          <w:numId w:val="0"/>
        </w:numPr>
        <w:spacing w:before="120"/>
        <w:ind w:left="1140"/>
      </w:pPr>
      <w:r>
        <w:t>Nombre de voix recueillies :</w:t>
      </w:r>
    </w:p>
    <w:p w14:paraId="6282C379" w14:textId="12010D46" w:rsidR="002D5DC1" w:rsidRDefault="002D5DC1" w:rsidP="00D87BB6">
      <w:pPr>
        <w:pStyle w:val="CBDNormalNumber"/>
        <w:numPr>
          <w:ilvl w:val="0"/>
          <w:numId w:val="0"/>
        </w:numPr>
        <w:spacing w:before="120"/>
        <w:ind w:left="1140" w:firstLine="720"/>
      </w:pPr>
      <w:r>
        <w:t>Arménie 65</w:t>
      </w:r>
    </w:p>
    <w:p w14:paraId="12526C51" w14:textId="4D66ED47" w:rsidR="002D5DC1" w:rsidRDefault="002D5DC1" w:rsidP="00D87BB6">
      <w:pPr>
        <w:pStyle w:val="CBDNormalNumber"/>
        <w:numPr>
          <w:ilvl w:val="0"/>
          <w:numId w:val="0"/>
        </w:numPr>
        <w:spacing w:before="120"/>
        <w:ind w:left="1140" w:firstLine="720"/>
      </w:pPr>
      <w:r>
        <w:t>Azerbaïdjan 58</w:t>
      </w:r>
    </w:p>
    <w:p w14:paraId="59F1F749" w14:textId="3F15869F" w:rsidR="002D5DC1" w:rsidRDefault="002D5DC1" w:rsidP="00D87BB6">
      <w:pPr>
        <w:pStyle w:val="CBDNormalNumber"/>
        <w:spacing w:before="120"/>
        <w:ind w:left="567"/>
      </w:pPr>
      <w:r>
        <w:t>Ayant obtenu la majorité requise, l’Arménie a été sélectionnée pour accueillir la dix-septième réunion de la Conférence des Parties</w:t>
      </w:r>
    </w:p>
    <w:p w14:paraId="4E4F5C3F" w14:textId="121BC8F5" w:rsidR="002D5DC1" w:rsidRDefault="002D5DC1" w:rsidP="00D87BB6">
      <w:pPr>
        <w:pStyle w:val="CBDNormalNumber"/>
        <w:spacing w:before="120"/>
        <w:ind w:left="567"/>
      </w:pPr>
      <w:r>
        <w:t xml:space="preserve">La Conférence des Parties a accepté que la Présidente prépare un projet de décision révisé sur la question, </w:t>
      </w:r>
      <w:r w:rsidR="00F47AA2">
        <w:t>qu’elle examinera</w:t>
      </w:r>
      <w:r>
        <w:t>.</w:t>
      </w:r>
    </w:p>
    <w:p w14:paraId="28F735D4" w14:textId="724DD160" w:rsidR="002D5DC1" w:rsidRDefault="002D5DC1" w:rsidP="00D87BB6">
      <w:pPr>
        <w:pStyle w:val="CBDNormalNumber"/>
        <w:spacing w:before="120"/>
        <w:ind w:left="567"/>
      </w:pPr>
      <w:r>
        <w:t>[à compléter]</w:t>
      </w:r>
    </w:p>
    <w:p w14:paraId="5B79DEBD" w14:textId="78EA7754" w:rsidR="00927718" w:rsidRDefault="00AD71B3">
      <w:pPr>
        <w:pStyle w:val="CBDAgendaItem"/>
        <w:rPr>
          <w:rFonts w:ascii="Times New Roman Bold" w:hAnsi="Times New Roman Bold" w:hint="eastAsia"/>
          <w:caps/>
        </w:rPr>
      </w:pPr>
      <w:r>
        <w:rPr>
          <w:rFonts w:ascii="Times New Roman Bold" w:eastAsia="Times New Roman Bold" w:hAnsi="Times New Roman Bold"/>
          <w:bCs/>
          <w:szCs w:val="24"/>
        </w:rPr>
        <w:lastRenderedPageBreak/>
        <w:t>Point</w:t>
      </w:r>
      <w:r w:rsidR="00AF176D">
        <w:rPr>
          <w:rFonts w:ascii="Times New Roman Bold" w:eastAsia="Times New Roman Bold" w:hAnsi="Times New Roman Bold" w:hint="cs"/>
          <w:bCs/>
          <w:szCs w:val="24"/>
        </w:rPr>
        <w:t> </w:t>
      </w:r>
      <w:r>
        <w:rPr>
          <w:rFonts w:ascii="Times New Roman Bold" w:eastAsia="Times New Roman Bold" w:hAnsi="Times New Roman Bold"/>
          <w:bCs/>
          <w:szCs w:val="24"/>
        </w:rPr>
        <w:t>6</w:t>
      </w:r>
      <w:r>
        <w:rPr>
          <w:rFonts w:eastAsia="Times New Roman"/>
          <w:bCs/>
          <w:szCs w:val="24"/>
        </w:rPr>
        <w:t xml:space="preserve"> </w:t>
      </w:r>
      <w:r>
        <w:rPr>
          <w:rFonts w:eastAsia="Times New Roman"/>
          <w:bCs/>
          <w:szCs w:val="24"/>
        </w:rPr>
        <w:br/>
        <w:t>Rapports des réunions préparatoires intersessions et régionales</w:t>
      </w:r>
    </w:p>
    <w:p w14:paraId="6D62DF9C" w14:textId="5EBE3684" w:rsidR="00927718" w:rsidRDefault="00AD71B3" w:rsidP="00D87BB6">
      <w:pPr>
        <w:pStyle w:val="CBDNormalNumber"/>
        <w:spacing w:before="120"/>
        <w:ind w:left="567"/>
        <w:rPr>
          <w:rFonts w:asciiTheme="majorBidi" w:eastAsia="MS Mincho" w:hAnsiTheme="majorBidi" w:cstheme="majorBidi"/>
          <w:color w:val="000000"/>
          <w:kern w:val="22"/>
        </w:rPr>
      </w:pPr>
      <w:r>
        <w:rPr>
          <w:rFonts w:eastAsia="Times New Roman"/>
          <w:color w:val="000000"/>
          <w:kern w:val="22"/>
        </w:rPr>
        <w:t>La Conférence des Parties a examiné le point</w:t>
      </w:r>
      <w:r w:rsidR="00AF176D">
        <w:rPr>
          <w:rFonts w:eastAsia="Times New Roman"/>
          <w:color w:val="000000"/>
          <w:kern w:val="22"/>
        </w:rPr>
        <w:t> </w:t>
      </w:r>
      <w:r>
        <w:rPr>
          <w:rFonts w:eastAsia="Times New Roman"/>
          <w:color w:val="000000"/>
          <w:kern w:val="22"/>
        </w:rPr>
        <w:t>6 de l’ordre du jour à sa 1</w:t>
      </w:r>
      <w:r>
        <w:rPr>
          <w:rFonts w:eastAsia="Times New Roman"/>
          <w:color w:val="000000"/>
          <w:kern w:val="22"/>
          <w:vertAlign w:val="superscript"/>
        </w:rPr>
        <w:t>ère</w:t>
      </w:r>
      <w:r w:rsidR="00AF176D">
        <w:rPr>
          <w:rFonts w:eastAsia="Times New Roman"/>
          <w:color w:val="000000"/>
          <w:kern w:val="22"/>
        </w:rPr>
        <w:t> </w:t>
      </w:r>
      <w:r>
        <w:rPr>
          <w:rFonts w:eastAsia="Times New Roman"/>
          <w:color w:val="000000"/>
          <w:kern w:val="22"/>
        </w:rPr>
        <w:t>séance plénière. Elle était saisie pour ce faire de rapports sur les travaux intersessions entrepris par différents organes depuis sa quinzième réunion, à savoir, les rapports de l’Organe subsidiaire chargé de fournir des avis scientifiques, techniques et technologiques sur ses vingt-cinquième et vingt-sixième réunions</w:t>
      </w:r>
      <w:r>
        <w:rPr>
          <w:rStyle w:val="Appelnotedebasdep"/>
          <w:rFonts w:asciiTheme="majorBidi" w:eastAsia="MS Mincho" w:hAnsiTheme="majorBidi" w:cstheme="majorBidi"/>
          <w:color w:val="000000"/>
          <w:kern w:val="22"/>
        </w:rPr>
        <w:footnoteReference w:id="11"/>
      </w:r>
      <w:r>
        <w:rPr>
          <w:rFonts w:eastAsia="Times New Roman"/>
          <w:color w:val="000000"/>
          <w:kern w:val="22"/>
        </w:rPr>
        <w:t>, les rapports de l’Organe subsidiaire chargé de l’application sur ses quatrième et cinquième réunions</w:t>
      </w:r>
      <w:r>
        <w:rPr>
          <w:rStyle w:val="Appelnotedebasdep"/>
          <w:rFonts w:asciiTheme="majorBidi" w:eastAsia="MS Mincho" w:hAnsiTheme="majorBidi" w:cstheme="majorBidi"/>
          <w:color w:val="000000"/>
          <w:kern w:val="22"/>
        </w:rPr>
        <w:footnoteReference w:id="12"/>
      </w:r>
      <w:r>
        <w:rPr>
          <w:rFonts w:eastAsia="Times New Roman"/>
          <w:color w:val="000000"/>
          <w:kern w:val="22"/>
        </w:rPr>
        <w:t>, le rapport du Groupe de travail spécial intersessions à composition non limitée sur l’article</w:t>
      </w:r>
      <w:r w:rsidR="00AF176D">
        <w:rPr>
          <w:rFonts w:eastAsia="Times New Roman"/>
          <w:color w:val="000000"/>
          <w:kern w:val="22"/>
        </w:rPr>
        <w:t> </w:t>
      </w:r>
      <w:r>
        <w:rPr>
          <w:rFonts w:eastAsia="Times New Roman"/>
          <w:color w:val="000000"/>
          <w:kern w:val="22"/>
        </w:rPr>
        <w:t>8</w:t>
      </w:r>
      <w:r w:rsidR="00AF176D">
        <w:rPr>
          <w:rFonts w:eastAsia="Times New Roman"/>
          <w:color w:val="000000"/>
          <w:kern w:val="22"/>
        </w:rPr>
        <w:t> </w:t>
      </w:r>
      <w:r>
        <w:rPr>
          <w:rFonts w:eastAsia="Times New Roman"/>
          <w:color w:val="000000"/>
          <w:kern w:val="22"/>
        </w:rPr>
        <w:t>j) et les dispositions connexes de la Convention sur sa douzième réunion</w:t>
      </w:r>
      <w:r>
        <w:rPr>
          <w:rStyle w:val="Appelnotedebasdep"/>
          <w:rFonts w:asciiTheme="majorBidi" w:eastAsia="MS Mincho" w:hAnsiTheme="majorBidi" w:cstheme="majorBidi"/>
          <w:color w:val="000000"/>
          <w:kern w:val="22"/>
        </w:rPr>
        <w:footnoteReference w:id="13"/>
      </w:r>
      <w:r>
        <w:rPr>
          <w:rFonts w:eastAsia="Times New Roman"/>
          <w:color w:val="000000"/>
          <w:kern w:val="22"/>
        </w:rPr>
        <w:t>, et les rapports du Groupe de travail spécial à composition non limitée sur le partage des avantages découlant de l’utilisation de l’information de séquençage numérique sur les ressources génétiques sur ses première et deuxième réunions</w:t>
      </w:r>
      <w:r>
        <w:rPr>
          <w:rStyle w:val="Appelnotedebasdep"/>
          <w:rFonts w:asciiTheme="majorBidi" w:eastAsia="MS Mincho" w:hAnsiTheme="majorBidi" w:cstheme="majorBidi"/>
          <w:color w:val="000000"/>
          <w:kern w:val="22"/>
        </w:rPr>
        <w:footnoteReference w:id="14"/>
      </w:r>
      <w:r>
        <w:rPr>
          <w:rFonts w:eastAsia="Times New Roman"/>
          <w:color w:val="000000"/>
          <w:kern w:val="22"/>
        </w:rPr>
        <w:t>.</w:t>
      </w:r>
    </w:p>
    <w:p w14:paraId="0529538B" w14:textId="6E7E4C6F" w:rsidR="00927718" w:rsidRDefault="00D46D6B" w:rsidP="00D87BB6">
      <w:pPr>
        <w:pStyle w:val="CBDNormalNumber"/>
        <w:spacing w:before="120"/>
        <w:ind w:left="567"/>
        <w:rPr>
          <w:rFonts w:asciiTheme="majorBidi" w:eastAsia="MS Mincho" w:hAnsiTheme="majorBidi" w:cstheme="majorBidi"/>
          <w:color w:val="000000"/>
          <w:kern w:val="22"/>
        </w:rPr>
      </w:pPr>
      <w:r>
        <w:rPr>
          <w:rFonts w:asciiTheme="majorBidi" w:eastAsia="MS Mincho" w:hAnsiTheme="majorBidi" w:cstheme="majorBidi"/>
          <w:color w:val="000000"/>
          <w:kern w:val="22"/>
        </w:rPr>
        <w:t xml:space="preserve">La Conférence des Parties a ensuite entendu les rapports oraux </w:t>
      </w:r>
      <w:r w:rsidR="001D0599">
        <w:rPr>
          <w:rFonts w:asciiTheme="majorBidi" w:eastAsia="MS Mincho" w:hAnsiTheme="majorBidi" w:cstheme="majorBidi"/>
          <w:color w:val="000000"/>
          <w:kern w:val="22"/>
        </w:rPr>
        <w:t xml:space="preserve">de la </w:t>
      </w:r>
      <w:r>
        <w:rPr>
          <w:rFonts w:asciiTheme="majorBidi" w:eastAsia="MS Mincho" w:hAnsiTheme="majorBidi" w:cstheme="majorBidi"/>
          <w:color w:val="000000"/>
          <w:kern w:val="22"/>
        </w:rPr>
        <w:t>Président</w:t>
      </w:r>
      <w:r w:rsidR="001D0599">
        <w:rPr>
          <w:rFonts w:asciiTheme="majorBidi" w:eastAsia="MS Mincho" w:hAnsiTheme="majorBidi" w:cstheme="majorBidi"/>
          <w:color w:val="000000"/>
          <w:kern w:val="22"/>
        </w:rPr>
        <w:t>e</w:t>
      </w:r>
      <w:r>
        <w:rPr>
          <w:rFonts w:asciiTheme="majorBidi" w:eastAsia="MS Mincho" w:hAnsiTheme="majorBidi" w:cstheme="majorBidi"/>
          <w:color w:val="000000"/>
          <w:kern w:val="22"/>
        </w:rPr>
        <w:t xml:space="preserve"> de l’Organe subsidiaire chargé de fournir des avis scientifiques, techniques et technologiques, du Président de l’Organe subsidiaire chargé de l’application, et du représentant du Président du Groupe de travail spécial intersessions à composition non limitée sur l’article</w:t>
      </w:r>
      <w:r w:rsidR="00AF176D">
        <w:rPr>
          <w:rFonts w:asciiTheme="majorBidi" w:eastAsia="MS Mincho" w:hAnsiTheme="majorBidi" w:cstheme="majorBidi"/>
          <w:color w:val="000000"/>
          <w:kern w:val="22"/>
        </w:rPr>
        <w:t> </w:t>
      </w:r>
      <w:r>
        <w:rPr>
          <w:rFonts w:asciiTheme="majorBidi" w:eastAsia="MS Mincho" w:hAnsiTheme="majorBidi" w:cstheme="majorBidi"/>
          <w:color w:val="000000"/>
          <w:kern w:val="22"/>
        </w:rPr>
        <w:t>8</w:t>
      </w:r>
      <w:r w:rsidR="00AF176D">
        <w:rPr>
          <w:rFonts w:asciiTheme="majorBidi" w:eastAsia="MS Mincho" w:hAnsiTheme="majorBidi" w:cstheme="majorBidi"/>
          <w:color w:val="000000"/>
          <w:kern w:val="22"/>
        </w:rPr>
        <w:t> </w:t>
      </w:r>
      <w:r>
        <w:rPr>
          <w:rFonts w:asciiTheme="majorBidi" w:eastAsia="MS Mincho" w:hAnsiTheme="majorBidi" w:cstheme="majorBidi"/>
          <w:color w:val="000000"/>
          <w:kern w:val="22"/>
        </w:rPr>
        <w:t>j) et les dispositions connexes de la Convention et du Groupe de travail spécial à composition non limitée sur le partage des avantages découlant de l’utilisation de l’information de séquençage numérique sur les ressources génétiques</w:t>
      </w:r>
      <w:r w:rsidR="00AD71B3">
        <w:rPr>
          <w:rFonts w:eastAsia="Times New Roman"/>
          <w:color w:val="000000"/>
          <w:kern w:val="22"/>
        </w:rPr>
        <w:t>.</w:t>
      </w:r>
    </w:p>
    <w:p w14:paraId="1D76B651" w14:textId="619199D6" w:rsidR="00927718" w:rsidRDefault="00AD71B3" w:rsidP="00D87BB6">
      <w:pPr>
        <w:pStyle w:val="CBDNormalNumber"/>
        <w:spacing w:before="120"/>
        <w:ind w:left="567"/>
        <w:rPr>
          <w:rFonts w:asciiTheme="majorBidi" w:eastAsia="MS Mincho" w:hAnsiTheme="majorBidi" w:cstheme="majorBidi"/>
          <w:color w:val="000000"/>
          <w:kern w:val="22"/>
        </w:rPr>
      </w:pPr>
      <w:r>
        <w:rPr>
          <w:rFonts w:eastAsia="Times New Roman"/>
          <w:color w:val="000000"/>
          <w:kern w:val="22"/>
        </w:rPr>
        <w:t xml:space="preserve">Des déclarations ont été faites par </w:t>
      </w:r>
      <w:r w:rsidR="00DF78ED">
        <w:rPr>
          <w:rFonts w:eastAsia="Times New Roman"/>
          <w:color w:val="000000"/>
          <w:kern w:val="22"/>
        </w:rPr>
        <w:t>d</w:t>
      </w:r>
      <w:r>
        <w:rPr>
          <w:rFonts w:eastAsia="Times New Roman"/>
          <w:color w:val="000000"/>
          <w:kern w:val="22"/>
        </w:rPr>
        <w:t>es représentants des Parties ci-après</w:t>
      </w:r>
      <w:r w:rsidR="00AF176D">
        <w:rPr>
          <w:rFonts w:eastAsia="Times New Roman"/>
          <w:color w:val="000000"/>
          <w:kern w:val="22"/>
        </w:rPr>
        <w:t> </w:t>
      </w:r>
      <w:r>
        <w:rPr>
          <w:rFonts w:eastAsia="Times New Roman"/>
          <w:color w:val="000000"/>
          <w:kern w:val="22"/>
        </w:rPr>
        <w:t>: Égypte (s’exprimant en tant que Rapporteur de l’Organe subsidiaire chargé de l’application à sa cinquième réunion) et République démocratique du Congo.</w:t>
      </w:r>
    </w:p>
    <w:p w14:paraId="6E3D0B74" w14:textId="77777777" w:rsidR="00927718" w:rsidRDefault="00AD71B3" w:rsidP="00D87BB6">
      <w:pPr>
        <w:pStyle w:val="CBDNormalNumber"/>
        <w:spacing w:before="120"/>
        <w:ind w:left="567"/>
        <w:rPr>
          <w:rFonts w:asciiTheme="majorBidi" w:eastAsia="MS Mincho" w:hAnsiTheme="majorBidi" w:cstheme="majorBidi"/>
          <w:color w:val="000000"/>
          <w:kern w:val="22"/>
        </w:rPr>
      </w:pPr>
      <w:r>
        <w:rPr>
          <w:rFonts w:eastAsia="Times New Roman"/>
          <w:color w:val="000000"/>
          <w:kern w:val="22"/>
        </w:rPr>
        <w:t>La Conférence des Parties a pris note des informations fournies et est convenue d’examiner les recommandations des organes subsidiaires dans le cadre des groupes de travail, au titre des points de l’ordre du jour correspondants.</w:t>
      </w:r>
    </w:p>
    <w:p w14:paraId="36ED4CAA" w14:textId="207835A6" w:rsidR="00927718" w:rsidRDefault="00AD71B3">
      <w:pPr>
        <w:pStyle w:val="CBDAgendaItem"/>
      </w:pPr>
      <w:r>
        <w:rPr>
          <w:rFonts w:eastAsia="Times New Roman"/>
          <w:bCs/>
          <w:szCs w:val="24"/>
        </w:rPr>
        <w:t>Point</w:t>
      </w:r>
      <w:r w:rsidR="00AF176D">
        <w:rPr>
          <w:rFonts w:eastAsia="Times New Roman"/>
          <w:bCs/>
          <w:szCs w:val="24"/>
        </w:rPr>
        <w:t> </w:t>
      </w:r>
      <w:r>
        <w:rPr>
          <w:rFonts w:eastAsia="Times New Roman"/>
          <w:bCs/>
          <w:szCs w:val="24"/>
        </w:rPr>
        <w:t xml:space="preserve">7 </w:t>
      </w:r>
      <w:r>
        <w:rPr>
          <w:rFonts w:eastAsia="Times New Roman"/>
          <w:bCs/>
          <w:szCs w:val="24"/>
        </w:rPr>
        <w:br/>
        <w:t>Administration de la Convention et budget des fonds d’affectation spéciale</w:t>
      </w:r>
    </w:p>
    <w:p w14:paraId="48A2E269" w14:textId="1916630D" w:rsidR="00927718" w:rsidRDefault="00AD71B3" w:rsidP="00D87BB6">
      <w:pPr>
        <w:pStyle w:val="CBDNormalNumber"/>
        <w:spacing w:before="120"/>
        <w:ind w:left="567"/>
      </w:pPr>
      <w:r>
        <w:rPr>
          <w:rFonts w:eastAsia="Times New Roman"/>
          <w:color w:val="000000"/>
          <w:kern w:val="22"/>
        </w:rPr>
        <w:t>La Conférence des Parties a examiné le point</w:t>
      </w:r>
      <w:r w:rsidR="00AF176D">
        <w:rPr>
          <w:rFonts w:eastAsia="Times New Roman"/>
          <w:color w:val="000000"/>
          <w:kern w:val="22"/>
        </w:rPr>
        <w:t> </w:t>
      </w:r>
      <w:r>
        <w:rPr>
          <w:rFonts w:eastAsia="Times New Roman"/>
          <w:color w:val="000000"/>
          <w:kern w:val="22"/>
        </w:rPr>
        <w:t>7 de l’ordre du jour à sa 1</w:t>
      </w:r>
      <w:r>
        <w:rPr>
          <w:rFonts w:eastAsia="Times New Roman"/>
          <w:color w:val="000000"/>
          <w:kern w:val="22"/>
          <w:vertAlign w:val="superscript"/>
        </w:rPr>
        <w:t>ère</w:t>
      </w:r>
      <w:r w:rsidR="00AF176D">
        <w:rPr>
          <w:rFonts w:eastAsia="Times New Roman"/>
          <w:color w:val="000000"/>
          <w:kern w:val="22"/>
        </w:rPr>
        <w:t> </w:t>
      </w:r>
      <w:r>
        <w:rPr>
          <w:rFonts w:eastAsia="Times New Roman"/>
          <w:color w:val="000000"/>
          <w:kern w:val="22"/>
        </w:rPr>
        <w:t>séance plénière. Elle était saisie pour ce faire de deux projets de décision (CBD/COP/16/2/</w:t>
      </w:r>
      <w:proofErr w:type="spellStart"/>
      <w:r>
        <w:rPr>
          <w:rFonts w:eastAsia="Times New Roman"/>
          <w:color w:val="000000"/>
          <w:kern w:val="22"/>
        </w:rPr>
        <w:t>Rev.1</w:t>
      </w:r>
      <w:proofErr w:type="spellEnd"/>
      <w:r>
        <w:rPr>
          <w:rFonts w:eastAsia="Times New Roman"/>
          <w:color w:val="000000"/>
          <w:kern w:val="22"/>
        </w:rPr>
        <w:t>, point</w:t>
      </w:r>
      <w:r w:rsidR="00AF176D">
        <w:rPr>
          <w:rFonts w:eastAsia="Times New Roman"/>
          <w:color w:val="000000"/>
          <w:kern w:val="22"/>
        </w:rPr>
        <w:t> </w:t>
      </w:r>
      <w:r>
        <w:rPr>
          <w:rFonts w:eastAsia="Times New Roman"/>
          <w:color w:val="000000"/>
          <w:kern w:val="22"/>
        </w:rPr>
        <w:t>7, et CBD/COP/16/2/</w:t>
      </w:r>
      <w:proofErr w:type="spellStart"/>
      <w:r>
        <w:rPr>
          <w:rFonts w:eastAsia="Times New Roman"/>
          <w:color w:val="000000"/>
          <w:kern w:val="22"/>
        </w:rPr>
        <w:t>Rev.1</w:t>
      </w:r>
      <w:proofErr w:type="spellEnd"/>
      <w:r>
        <w:rPr>
          <w:rFonts w:eastAsia="Times New Roman"/>
          <w:color w:val="000000"/>
          <w:kern w:val="22"/>
        </w:rPr>
        <w:t>/</w:t>
      </w:r>
      <w:proofErr w:type="spellStart"/>
      <w:r>
        <w:rPr>
          <w:rFonts w:eastAsia="Times New Roman"/>
          <w:color w:val="000000"/>
          <w:kern w:val="22"/>
        </w:rPr>
        <w:t>Add.1</w:t>
      </w:r>
      <w:proofErr w:type="spellEnd"/>
      <w:r>
        <w:rPr>
          <w:rFonts w:eastAsia="Times New Roman"/>
          <w:color w:val="000000"/>
          <w:kern w:val="22"/>
        </w:rPr>
        <w:t>, point</w:t>
      </w:r>
      <w:r w:rsidR="00AF176D">
        <w:rPr>
          <w:rFonts w:eastAsia="Times New Roman"/>
          <w:color w:val="000000"/>
          <w:kern w:val="22"/>
        </w:rPr>
        <w:t> </w:t>
      </w:r>
      <w:r>
        <w:rPr>
          <w:rFonts w:eastAsia="Times New Roman"/>
          <w:color w:val="000000"/>
          <w:kern w:val="22"/>
        </w:rPr>
        <w:t>7), et de notes du Secrétariat sur l’</w:t>
      </w:r>
      <w:r>
        <w:rPr>
          <w:rFonts w:eastAsia="Times New Roman"/>
          <w:kern w:val="22"/>
        </w:rPr>
        <w:t>administration de la Convention et de ses Protocoles pour l’exercice biennal 2023</w:t>
      </w:r>
      <w:r>
        <w:rPr>
          <w:rFonts w:eastAsia="Times New Roman"/>
          <w:color w:val="000000"/>
          <w:kern w:val="22"/>
        </w:rPr>
        <w:t>-2024</w:t>
      </w:r>
      <w:r>
        <w:rPr>
          <w:rStyle w:val="Appelnotedebasdep"/>
          <w:snapToGrid w:val="0"/>
        </w:rPr>
        <w:footnoteReference w:id="15"/>
      </w:r>
      <w:r>
        <w:rPr>
          <w:rFonts w:eastAsia="Times New Roman"/>
          <w:color w:val="000000"/>
          <w:kern w:val="22"/>
        </w:rPr>
        <w:t>,</w:t>
      </w:r>
      <w:r>
        <w:rPr>
          <w:rFonts w:eastAsia="Times New Roman"/>
          <w:kern w:val="22"/>
        </w:rPr>
        <w:t xml:space="preserve"> du projet de budget du programme de travail de la Convention et de ses Protocoles pour l’exercice biennal</w:t>
      </w:r>
      <w:r w:rsidR="00AF176D">
        <w:rPr>
          <w:rFonts w:eastAsia="Times New Roman"/>
          <w:kern w:val="22"/>
        </w:rPr>
        <w:t> </w:t>
      </w:r>
      <w:r>
        <w:rPr>
          <w:rFonts w:eastAsia="Times New Roman"/>
          <w:kern w:val="22"/>
        </w:rPr>
        <w:t>2025</w:t>
      </w:r>
      <w:r>
        <w:rPr>
          <w:rFonts w:eastAsia="Times New Roman"/>
          <w:color w:val="000000"/>
          <w:kern w:val="22"/>
        </w:rPr>
        <w:t>-</w:t>
      </w:r>
      <w:r>
        <w:rPr>
          <w:rFonts w:eastAsia="Times New Roman"/>
          <w:kern w:val="22"/>
        </w:rPr>
        <w:t>2026</w:t>
      </w:r>
      <w:r>
        <w:rPr>
          <w:rStyle w:val="Appelnotedebasdep"/>
          <w:snapToGrid w:val="0"/>
        </w:rPr>
        <w:footnoteReference w:id="16"/>
      </w:r>
      <w:r>
        <w:rPr>
          <w:rFonts w:eastAsia="Times New Roman"/>
          <w:kern w:val="22"/>
        </w:rPr>
        <w:t xml:space="preserve">, et </w:t>
      </w:r>
      <w:r>
        <w:rPr>
          <w:rFonts w:eastAsia="Times New Roman"/>
          <w:color w:val="000000"/>
          <w:kern w:val="22"/>
        </w:rPr>
        <w:t>des ressources nécessaires pour le Fonds d’affectation spéciale de contributions volontaires additionnelles en appui aux activités approuvées</w:t>
      </w:r>
      <w:r>
        <w:rPr>
          <w:rStyle w:val="Appelnotedebasdep"/>
          <w:rFonts w:asciiTheme="majorBidi" w:eastAsia="MS Mincho" w:hAnsiTheme="majorBidi" w:cstheme="majorBidi"/>
          <w:color w:val="000000"/>
          <w:kern w:val="22"/>
        </w:rPr>
        <w:footnoteReference w:id="17"/>
      </w:r>
      <w:r>
        <w:rPr>
          <w:rFonts w:eastAsia="Times New Roman"/>
          <w:color w:val="000000"/>
          <w:kern w:val="22"/>
        </w:rPr>
        <w:t>, et de l’examen fonctionnel du Secrétariat</w:t>
      </w:r>
      <w:r>
        <w:rPr>
          <w:rStyle w:val="Appelnotedebasdep"/>
          <w:rFonts w:asciiTheme="majorBidi" w:eastAsia="MS Mincho" w:hAnsiTheme="majorBidi" w:cstheme="majorBidi"/>
          <w:color w:val="000000"/>
          <w:kern w:val="22"/>
        </w:rPr>
        <w:footnoteReference w:id="18"/>
      </w:r>
      <w:r>
        <w:rPr>
          <w:rFonts w:eastAsia="Times New Roman"/>
          <w:color w:val="000000"/>
          <w:kern w:val="22"/>
        </w:rPr>
        <w:t>.</w:t>
      </w:r>
    </w:p>
    <w:p w14:paraId="2BD4A904" w14:textId="35C07C27" w:rsidR="00927718" w:rsidRDefault="00AD71B3" w:rsidP="00D87BB6">
      <w:pPr>
        <w:pStyle w:val="CBDNormalNumber"/>
        <w:spacing w:before="120"/>
        <w:ind w:left="567"/>
      </w:pPr>
      <w:r>
        <w:rPr>
          <w:rFonts w:eastAsia="Times New Roman"/>
        </w:rPr>
        <w:t>La Secrétaire exécutive a rendu compte des activités du Secrétariat et présenté le projet de budget des programmes de travail de la Convention et de ses Protocoles pour l’exercice biennal</w:t>
      </w:r>
      <w:r w:rsidR="00AF176D">
        <w:rPr>
          <w:rFonts w:eastAsia="Times New Roman"/>
        </w:rPr>
        <w:t> </w:t>
      </w:r>
      <w:r>
        <w:rPr>
          <w:rFonts w:eastAsia="Times New Roman"/>
        </w:rPr>
        <w:t>2025-2026.</w:t>
      </w:r>
    </w:p>
    <w:p w14:paraId="1864D440" w14:textId="0A3C0C8D" w:rsidR="00927718" w:rsidRPr="00D46D6B" w:rsidRDefault="00AD71B3" w:rsidP="00D87BB6">
      <w:pPr>
        <w:pStyle w:val="CBDNormalNumber"/>
        <w:spacing w:before="120"/>
        <w:ind w:left="567"/>
      </w:pPr>
      <w:r w:rsidRPr="00D46D6B">
        <w:rPr>
          <w:rFonts w:eastAsia="Times New Roman"/>
        </w:rPr>
        <w:t xml:space="preserve">La Conférence des Parties siégeant également en tant que réunions des Parties à ses protocoles a créé un groupe de contact sur les questions budgétaires, présidé par Charles </w:t>
      </w:r>
      <w:proofErr w:type="spellStart"/>
      <w:r w:rsidRPr="00D46D6B">
        <w:rPr>
          <w:rFonts w:eastAsia="Times New Roman"/>
        </w:rPr>
        <w:t>Gbedemah</w:t>
      </w:r>
      <w:proofErr w:type="spellEnd"/>
      <w:r w:rsidRPr="00D46D6B">
        <w:rPr>
          <w:rFonts w:eastAsia="Times New Roman"/>
        </w:rPr>
        <w:t xml:space="preserve"> (Ghana), chargé d’examiner en détail le projet de budget pour l’exercice biennal</w:t>
      </w:r>
      <w:r w:rsidR="00AF176D">
        <w:rPr>
          <w:rFonts w:eastAsia="Times New Roman"/>
        </w:rPr>
        <w:t> </w:t>
      </w:r>
      <w:r w:rsidRPr="00D46D6B">
        <w:rPr>
          <w:rFonts w:eastAsia="Times New Roman"/>
        </w:rPr>
        <w:t xml:space="preserve">2025-2026. </w:t>
      </w:r>
    </w:p>
    <w:p w14:paraId="6F2F4DE6" w14:textId="77777777" w:rsidR="00927718" w:rsidRDefault="00AD71B3" w:rsidP="00D87BB6">
      <w:pPr>
        <w:pStyle w:val="CBDNormalNumber"/>
        <w:spacing w:before="120"/>
        <w:ind w:left="567"/>
      </w:pPr>
      <w:r w:rsidRPr="00D46D6B">
        <w:rPr>
          <w:rFonts w:eastAsia="Times New Roman"/>
        </w:rPr>
        <w:lastRenderedPageBreak/>
        <w:t>En outre, la Conférence des Parties, siégeant également en tant que réunions des Parties à ses protocoles, a également créé un groupe d’amis du Président, avec l’aide de M. </w:t>
      </w:r>
      <w:proofErr w:type="spellStart"/>
      <w:r w:rsidRPr="00D46D6B">
        <w:rPr>
          <w:rFonts w:eastAsia="Times New Roman"/>
        </w:rPr>
        <w:t>Gbedemah</w:t>
      </w:r>
      <w:proofErr w:type="spellEnd"/>
      <w:r w:rsidRPr="00D46D6B">
        <w:rPr>
          <w:rFonts w:eastAsia="Times New Roman"/>
        </w:rPr>
        <w:t xml:space="preserve">, chargé </w:t>
      </w:r>
      <w:r>
        <w:rPr>
          <w:rFonts w:eastAsia="Times New Roman"/>
        </w:rPr>
        <w:t>d’étudier les questions examinées par l’Organe subsidiaire chargé de l’application concernant le processus de nomination des futurs secrétaires exécutifs.</w:t>
      </w:r>
    </w:p>
    <w:p w14:paraId="04CC68AB" w14:textId="77777777" w:rsidR="00927718" w:rsidRDefault="00AD71B3" w:rsidP="00D87BB6">
      <w:pPr>
        <w:pStyle w:val="CBDNormalNumber"/>
        <w:spacing w:before="120"/>
        <w:ind w:left="567"/>
      </w:pPr>
      <w:r>
        <w:rPr>
          <w:rFonts w:eastAsia="Times New Roman"/>
        </w:rPr>
        <w:t>[à compléter]</w:t>
      </w:r>
    </w:p>
    <w:p w14:paraId="30D82231" w14:textId="4C83C4DD" w:rsidR="00927718" w:rsidRDefault="00AD71B3">
      <w:pPr>
        <w:pStyle w:val="CBDAgendaItem"/>
      </w:pPr>
      <w:r>
        <w:rPr>
          <w:rFonts w:eastAsia="Times New Roman"/>
          <w:bCs/>
          <w:szCs w:val="24"/>
        </w:rPr>
        <w:t>Point</w:t>
      </w:r>
      <w:r w:rsidR="00AF176D">
        <w:rPr>
          <w:rFonts w:eastAsia="Times New Roman"/>
          <w:bCs/>
          <w:szCs w:val="24"/>
        </w:rPr>
        <w:t> </w:t>
      </w:r>
      <w:r>
        <w:rPr>
          <w:rFonts w:eastAsia="Times New Roman"/>
          <w:bCs/>
          <w:szCs w:val="24"/>
        </w:rPr>
        <w:t xml:space="preserve">8 </w:t>
      </w:r>
      <w:r>
        <w:rPr>
          <w:rFonts w:eastAsia="Times New Roman"/>
          <w:bCs/>
          <w:szCs w:val="24"/>
        </w:rPr>
        <w:br/>
        <w:t xml:space="preserve">Progrès accomplis dans l’élaboration de cibles et la mise à jour des stratégies et plans d’action nationaux pour la diversité biologique par les Parties, conformément au Cadre </w:t>
      </w:r>
      <w:r>
        <w:rPr>
          <w:rFonts w:eastAsia="Times New Roman"/>
          <w:bCs/>
          <w:szCs w:val="24"/>
        </w:rPr>
        <w:br/>
        <w:t>mondial de la biodiversité de Kunming-Montréal</w:t>
      </w:r>
    </w:p>
    <w:p w14:paraId="6EA482DF" w14:textId="2B6249E8" w:rsidR="00927718" w:rsidRDefault="00AD71B3" w:rsidP="00D87BB6">
      <w:pPr>
        <w:pStyle w:val="CBDNormalNumber"/>
        <w:spacing w:before="120"/>
        <w:ind w:left="567"/>
        <w:rPr>
          <w:rFonts w:asciiTheme="majorBidi" w:eastAsia="MS Mincho" w:hAnsiTheme="majorBidi" w:cstheme="majorBidi"/>
          <w:color w:val="000000"/>
          <w:kern w:val="22"/>
        </w:rPr>
      </w:pPr>
      <w:r>
        <w:rPr>
          <w:rFonts w:eastAsia="Times New Roman"/>
          <w:color w:val="000000"/>
          <w:kern w:val="22"/>
        </w:rPr>
        <w:t>La Conférence des Parties a examiné le point</w:t>
      </w:r>
      <w:r w:rsidR="00AF176D">
        <w:rPr>
          <w:rFonts w:eastAsia="Times New Roman"/>
          <w:color w:val="000000"/>
          <w:kern w:val="22"/>
        </w:rPr>
        <w:t> </w:t>
      </w:r>
      <w:r>
        <w:rPr>
          <w:rFonts w:eastAsia="Times New Roman"/>
          <w:color w:val="000000"/>
          <w:kern w:val="22"/>
        </w:rPr>
        <w:t>8 de l’ordre du jour à sa 1</w:t>
      </w:r>
      <w:r>
        <w:rPr>
          <w:rFonts w:eastAsia="Times New Roman"/>
          <w:color w:val="000000"/>
          <w:kern w:val="22"/>
          <w:vertAlign w:val="superscript"/>
        </w:rPr>
        <w:t>ère</w:t>
      </w:r>
      <w:r w:rsidR="00AF176D">
        <w:rPr>
          <w:rFonts w:eastAsia="Times New Roman"/>
          <w:color w:val="000000"/>
          <w:kern w:val="22"/>
        </w:rPr>
        <w:t> </w:t>
      </w:r>
      <w:r>
        <w:rPr>
          <w:rFonts w:eastAsia="Times New Roman"/>
          <w:color w:val="000000"/>
          <w:kern w:val="22"/>
        </w:rPr>
        <w:t>séance plénière. Elle était saisie pour ce faire d’un projet de décision (CBD/COP/16/2/</w:t>
      </w:r>
      <w:proofErr w:type="spellStart"/>
      <w:r>
        <w:rPr>
          <w:rFonts w:eastAsia="Times New Roman"/>
          <w:color w:val="000000"/>
          <w:kern w:val="22"/>
        </w:rPr>
        <w:t>Rev.1</w:t>
      </w:r>
      <w:proofErr w:type="spellEnd"/>
      <w:r>
        <w:rPr>
          <w:rFonts w:eastAsia="Times New Roman"/>
          <w:color w:val="000000"/>
          <w:kern w:val="22"/>
        </w:rPr>
        <w:t>/</w:t>
      </w:r>
      <w:proofErr w:type="spellStart"/>
      <w:r>
        <w:rPr>
          <w:rFonts w:eastAsia="Times New Roman"/>
          <w:color w:val="000000"/>
          <w:kern w:val="22"/>
        </w:rPr>
        <w:t>Add.1</w:t>
      </w:r>
      <w:proofErr w:type="spellEnd"/>
      <w:r>
        <w:rPr>
          <w:rFonts w:eastAsia="Times New Roman"/>
          <w:color w:val="000000"/>
          <w:kern w:val="22"/>
        </w:rPr>
        <w:t>, point</w:t>
      </w:r>
      <w:r w:rsidR="00AF176D">
        <w:rPr>
          <w:rFonts w:eastAsia="Times New Roman"/>
          <w:color w:val="000000"/>
          <w:kern w:val="22"/>
        </w:rPr>
        <w:t> </w:t>
      </w:r>
      <w:r>
        <w:rPr>
          <w:rFonts w:eastAsia="Times New Roman"/>
          <w:color w:val="000000"/>
          <w:kern w:val="22"/>
        </w:rPr>
        <w:t>8), fondé sur la recommandation</w:t>
      </w:r>
      <w:r w:rsidR="00AF176D">
        <w:rPr>
          <w:rFonts w:eastAsia="Times New Roman"/>
          <w:color w:val="000000"/>
          <w:kern w:val="22"/>
        </w:rPr>
        <w:t> </w:t>
      </w:r>
      <w:r>
        <w:rPr>
          <w:rFonts w:eastAsia="Times New Roman"/>
          <w:color w:val="000000"/>
          <w:kern w:val="22"/>
        </w:rPr>
        <w:t>5/1 de l’Organe subsidiaire chargé de l’application, ainsi que d’un résumé des débats tenus lors du forum pilote à composition non limitée pour un examen volontaire de la mise en œuvre par les pays à la cinquième réunion de l’Organe subsidiaire, établi par le Président de l’Organe subsidiaire chargé de l’application</w:t>
      </w:r>
      <w:r>
        <w:rPr>
          <w:rStyle w:val="Appelnotedebasdep"/>
          <w:rFonts w:asciiTheme="majorBidi" w:eastAsia="MS Mincho" w:hAnsiTheme="majorBidi" w:cstheme="majorBidi"/>
          <w:color w:val="000000"/>
          <w:kern w:val="22"/>
        </w:rPr>
        <w:footnoteReference w:id="19"/>
      </w:r>
      <w:r>
        <w:rPr>
          <w:rFonts w:eastAsia="Times New Roman"/>
          <w:color w:val="000000"/>
          <w:kern w:val="22"/>
        </w:rPr>
        <w:t xml:space="preserve">. </w:t>
      </w:r>
    </w:p>
    <w:p w14:paraId="383D9362" w14:textId="77777777" w:rsidR="00927718" w:rsidRDefault="00AD71B3" w:rsidP="00D87BB6">
      <w:pPr>
        <w:pStyle w:val="CBDNormalNumber"/>
        <w:spacing w:before="120"/>
        <w:ind w:left="567"/>
        <w:rPr>
          <w:rFonts w:asciiTheme="majorBidi" w:eastAsia="MS Mincho" w:hAnsiTheme="majorBidi" w:cstheme="majorBidi"/>
          <w:color w:val="000000"/>
          <w:kern w:val="22"/>
        </w:rPr>
      </w:pPr>
      <w:r>
        <w:rPr>
          <w:rFonts w:eastAsia="Times New Roman"/>
          <w:color w:val="000000"/>
          <w:kern w:val="22"/>
        </w:rPr>
        <w:t xml:space="preserve">Le Secrétariat exécutif adjoint a fourni des informations à jour sur le nombre de Parties qui avaient présenté des cibles nationales. </w:t>
      </w:r>
    </w:p>
    <w:p w14:paraId="2D4BDF82" w14:textId="77777777" w:rsidR="00927718" w:rsidRDefault="00AD71B3" w:rsidP="00D87BB6">
      <w:pPr>
        <w:pStyle w:val="CBDNormalNumber"/>
        <w:spacing w:before="120"/>
        <w:ind w:left="567"/>
        <w:rPr>
          <w:rFonts w:asciiTheme="majorBidi" w:eastAsia="MS Mincho" w:hAnsiTheme="majorBidi" w:cstheme="majorBidi"/>
          <w:color w:val="000000"/>
          <w:kern w:val="22"/>
        </w:rPr>
      </w:pPr>
      <w:r>
        <w:rPr>
          <w:rFonts w:eastAsia="Times New Roman"/>
          <w:color w:val="000000"/>
          <w:kern w:val="22"/>
        </w:rPr>
        <w:t>La Conférence des Parties est convenue que la Présidente établira un projet de décision, pour examen, et facilitera les consultations informelles visant à résoudre le texte entre crochets.</w:t>
      </w:r>
    </w:p>
    <w:p w14:paraId="52CA4DF3" w14:textId="77777777" w:rsidR="00057550" w:rsidRPr="00130864" w:rsidRDefault="00AD71B3" w:rsidP="00D87BB6">
      <w:pPr>
        <w:pStyle w:val="CBDNormalNumber"/>
        <w:spacing w:before="120"/>
        <w:ind w:left="567"/>
      </w:pPr>
      <w:r w:rsidRPr="00130864">
        <w:rPr>
          <w:rFonts w:eastAsia="Times New Roman"/>
          <w:kern w:val="22"/>
        </w:rPr>
        <w:t>À sa deuxième séance plénière, la Conférence des Parties a examiné un projet de décision soumis par la Présidente. Elle a approuvé une partie du texte, tel qu</w:t>
      </w:r>
      <w:r w:rsidR="00130864" w:rsidRPr="00130864">
        <w:rPr>
          <w:rFonts w:eastAsia="Times New Roman"/>
          <w:kern w:val="22"/>
        </w:rPr>
        <w:t>’</w:t>
      </w:r>
      <w:r w:rsidRPr="00130864">
        <w:rPr>
          <w:rFonts w:eastAsia="Times New Roman"/>
          <w:kern w:val="22"/>
        </w:rPr>
        <w:t>amendé oralement par la Présidente, et est convenue que le Secrétariat préparerait une version révisée du projet de décision pour examen plus tard au cours de la réunion</w:t>
      </w:r>
      <w:r w:rsidR="00130864" w:rsidRPr="00130864">
        <w:rPr>
          <w:rFonts w:eastAsia="Times New Roman"/>
          <w:kern w:val="22"/>
        </w:rPr>
        <w:t>.</w:t>
      </w:r>
      <w:r w:rsidRPr="00130864">
        <w:rPr>
          <w:rFonts w:eastAsia="Times New Roman"/>
          <w:kern w:val="22"/>
        </w:rPr>
        <w:t xml:space="preserve"> </w:t>
      </w:r>
    </w:p>
    <w:p w14:paraId="361D474F" w14:textId="77777777" w:rsidR="00927718" w:rsidRPr="002D5DC1" w:rsidRDefault="00AD71B3" w:rsidP="00D87BB6">
      <w:pPr>
        <w:pStyle w:val="CBDNormalNumber"/>
        <w:spacing w:before="120"/>
        <w:ind w:left="567"/>
      </w:pPr>
      <w:r>
        <w:rPr>
          <w:rFonts w:eastAsia="Times New Roman"/>
          <w:color w:val="000000"/>
          <w:kern w:val="22"/>
        </w:rPr>
        <w:t>[à compléter]</w:t>
      </w:r>
    </w:p>
    <w:p w14:paraId="067954DF" w14:textId="20F6CF8F" w:rsidR="002D5DC1" w:rsidRDefault="002D5DC1" w:rsidP="002D5DC1">
      <w:pPr>
        <w:pStyle w:val="CBDNormalNumber"/>
        <w:numPr>
          <w:ilvl w:val="0"/>
          <w:numId w:val="0"/>
        </w:numPr>
        <w:spacing w:before="240"/>
        <w:contextualSpacing/>
        <w:jc w:val="left"/>
        <w:rPr>
          <w:b/>
          <w:bCs/>
          <w:sz w:val="24"/>
          <w:szCs w:val="24"/>
        </w:rPr>
      </w:pPr>
      <w:r w:rsidRPr="002D5DC1">
        <w:rPr>
          <w:b/>
          <w:bCs/>
          <w:sz w:val="24"/>
          <w:szCs w:val="24"/>
        </w:rPr>
        <w:t>Point</w:t>
      </w:r>
      <w:r w:rsidR="00AF176D">
        <w:rPr>
          <w:b/>
          <w:bCs/>
          <w:sz w:val="24"/>
          <w:szCs w:val="24"/>
        </w:rPr>
        <w:t> </w:t>
      </w:r>
      <w:r w:rsidRPr="002D5DC1">
        <w:rPr>
          <w:b/>
          <w:bCs/>
          <w:sz w:val="24"/>
          <w:szCs w:val="24"/>
        </w:rPr>
        <w:t xml:space="preserve">14 </w:t>
      </w:r>
    </w:p>
    <w:p w14:paraId="44D5EF5E" w14:textId="16516E3B" w:rsidR="002D5DC1" w:rsidRDefault="002D5DC1" w:rsidP="002D5DC1">
      <w:pPr>
        <w:pStyle w:val="CBDNormalNumber"/>
        <w:numPr>
          <w:ilvl w:val="0"/>
          <w:numId w:val="0"/>
        </w:numPr>
        <w:spacing w:before="240"/>
        <w:contextualSpacing/>
        <w:jc w:val="left"/>
        <w:rPr>
          <w:b/>
          <w:bCs/>
          <w:sz w:val="24"/>
          <w:szCs w:val="24"/>
        </w:rPr>
      </w:pPr>
      <w:r>
        <w:rPr>
          <w:b/>
          <w:bCs/>
          <w:sz w:val="24"/>
          <w:szCs w:val="24"/>
        </w:rPr>
        <w:t>Application de l’article</w:t>
      </w:r>
      <w:r w:rsidR="00AF176D">
        <w:rPr>
          <w:b/>
          <w:bCs/>
          <w:sz w:val="24"/>
          <w:szCs w:val="24"/>
        </w:rPr>
        <w:t> </w:t>
      </w:r>
      <w:r>
        <w:rPr>
          <w:b/>
          <w:bCs/>
          <w:sz w:val="24"/>
          <w:szCs w:val="24"/>
        </w:rPr>
        <w:t>8</w:t>
      </w:r>
      <w:r w:rsidR="00AF176D">
        <w:rPr>
          <w:b/>
          <w:bCs/>
          <w:sz w:val="24"/>
          <w:szCs w:val="24"/>
        </w:rPr>
        <w:t> </w:t>
      </w:r>
      <w:r>
        <w:rPr>
          <w:b/>
          <w:bCs/>
          <w:sz w:val="24"/>
          <w:szCs w:val="24"/>
        </w:rPr>
        <w:t>j) et des dispositions connexes</w:t>
      </w:r>
    </w:p>
    <w:p w14:paraId="0CC38A70" w14:textId="77777777" w:rsidR="002D5DC1" w:rsidRDefault="002D5DC1" w:rsidP="002D5DC1">
      <w:pPr>
        <w:pStyle w:val="CBDNormalNumber"/>
        <w:numPr>
          <w:ilvl w:val="0"/>
          <w:numId w:val="0"/>
        </w:numPr>
        <w:spacing w:before="240"/>
        <w:contextualSpacing/>
        <w:jc w:val="left"/>
        <w:rPr>
          <w:b/>
          <w:bCs/>
          <w:sz w:val="24"/>
          <w:szCs w:val="24"/>
        </w:rPr>
      </w:pPr>
    </w:p>
    <w:p w14:paraId="1590448A" w14:textId="673478D6" w:rsidR="002D5DC1" w:rsidRDefault="003166FD" w:rsidP="00D87BB6">
      <w:pPr>
        <w:pStyle w:val="CBDNormalNumber"/>
        <w:spacing w:before="120"/>
        <w:ind w:left="567"/>
      </w:pPr>
      <w:r>
        <w:t>[à compléter à partir du rapport du Groupe de travail I]</w:t>
      </w:r>
    </w:p>
    <w:p w14:paraId="73CFE966" w14:textId="554B6753" w:rsidR="003166FD" w:rsidRDefault="00854D0E" w:rsidP="00D87BB6">
      <w:pPr>
        <w:pStyle w:val="CBDNormalNumber"/>
        <w:spacing w:before="120"/>
        <w:ind w:left="567"/>
      </w:pPr>
      <w:r>
        <w:t>À sa troisième séance plénière, la Conférence des Parties a examiné trois projets de décisions soumis par la Présidente du Groupe de travail I.</w:t>
      </w:r>
    </w:p>
    <w:p w14:paraId="77248B03" w14:textId="7B8D212A" w:rsidR="00854D0E" w:rsidRDefault="00854D0E" w:rsidP="00D87BB6">
      <w:pPr>
        <w:pStyle w:val="CBDNormalNumber"/>
        <w:spacing w:before="120"/>
        <w:ind w:left="567"/>
      </w:pPr>
      <w:r>
        <w:t>La Conférence des Parties a examiné le document</w:t>
      </w:r>
      <w:r w:rsidR="00AF176D">
        <w:t> </w:t>
      </w:r>
      <w:r>
        <w:t>CBD/COP/16/</w:t>
      </w:r>
      <w:proofErr w:type="spellStart"/>
      <w:r>
        <w:t>L.5</w:t>
      </w:r>
      <w:proofErr w:type="spellEnd"/>
      <w:r>
        <w:t xml:space="preserve"> </w:t>
      </w:r>
      <w:r w:rsidR="00AE13E4">
        <w:t>sur le</w:t>
      </w:r>
      <w:r>
        <w:t xml:space="preserve"> programme de travail jusqu’en 2030 sur l’article</w:t>
      </w:r>
      <w:r w:rsidR="00AF176D">
        <w:t> </w:t>
      </w:r>
      <w:r>
        <w:t xml:space="preserve">8 j) et d’autres dispositions de la Convention </w:t>
      </w:r>
      <w:r w:rsidR="00AE13E4">
        <w:t>relati</w:t>
      </w:r>
      <w:r w:rsidR="002E5709">
        <w:t>ves</w:t>
      </w:r>
      <w:r w:rsidR="00AE13E4">
        <w:t xml:space="preserve"> aux</w:t>
      </w:r>
      <w:r>
        <w:t xml:space="preserve"> peuples autochtones et </w:t>
      </w:r>
      <w:r w:rsidR="002E5709">
        <w:t xml:space="preserve">aux </w:t>
      </w:r>
      <w:r>
        <w:t>communautés locales.</w:t>
      </w:r>
    </w:p>
    <w:p w14:paraId="2FB0EEDF" w14:textId="7575B857" w:rsidR="00854D0E" w:rsidRDefault="00854D0E" w:rsidP="00D87BB6">
      <w:pPr>
        <w:pStyle w:val="CBDNormalNumber"/>
        <w:spacing w:before="120"/>
        <w:ind w:left="567"/>
      </w:pPr>
      <w:r>
        <w:t>Des déclarations ont été faites par les représentants des Parties suivantes : Bolivie (État plurinational de), Brésil, Canada, Chili, Fédération de Russie, Inde, Indonésie, Japon, Norvège, Nouvelle-Zélande,</w:t>
      </w:r>
      <w:r w:rsidRPr="00854D0E">
        <w:t xml:space="preserve"> </w:t>
      </w:r>
      <w:r>
        <w:t xml:space="preserve">Royaume-Uni de Grande-Bretagne et d’Irlande du Nord, Togo et Union européenne et ses États membres. </w:t>
      </w:r>
    </w:p>
    <w:p w14:paraId="5E3D26A6" w14:textId="659DAE37" w:rsidR="00D71515" w:rsidRDefault="00D71515" w:rsidP="00D87BB6">
      <w:pPr>
        <w:pStyle w:val="CBDNormalNumber"/>
        <w:spacing w:before="120"/>
        <w:ind w:left="567"/>
      </w:pPr>
      <w:r>
        <w:t xml:space="preserve">La Conférence des Parties a adopté le projet de décision, tel qu’amendé </w:t>
      </w:r>
      <w:r w:rsidR="00AE13E4">
        <w:t>oralement</w:t>
      </w:r>
      <w:r>
        <w:t>, en tant que décision</w:t>
      </w:r>
      <w:r w:rsidR="00AF176D">
        <w:t> </w:t>
      </w:r>
      <w:r>
        <w:t>16/xx.</w:t>
      </w:r>
    </w:p>
    <w:p w14:paraId="0A106B5F" w14:textId="34BD3739" w:rsidR="00D71515" w:rsidRDefault="005D157C" w:rsidP="00D87BB6">
      <w:pPr>
        <w:pStyle w:val="CBDNormalNumber"/>
        <w:spacing w:before="120"/>
        <w:ind w:left="567"/>
      </w:pPr>
      <w:r>
        <w:t>La Conférence des Parties a ensuite examiné le projet de décision</w:t>
      </w:r>
      <w:r w:rsidR="00AF176D">
        <w:t> </w:t>
      </w:r>
      <w:r>
        <w:t>CBD/COP/16/L.7 sur le rôle joué par les personnes d’ascendance africaine dans la mise en œuvre de la Convention.</w:t>
      </w:r>
    </w:p>
    <w:p w14:paraId="5A2832CA" w14:textId="59FC4C83" w:rsidR="005D157C" w:rsidRDefault="005D157C" w:rsidP="00D87BB6">
      <w:pPr>
        <w:pStyle w:val="CBDNormalNumber"/>
        <w:spacing w:before="120"/>
        <w:ind w:left="567"/>
      </w:pPr>
      <w:r>
        <w:lastRenderedPageBreak/>
        <w:t>Des déclarations ont été faites par les représentants des Parties suivantes : Afrique du Sud, Brésil, Canada, Chili, Colombie, Égypte, Fidji, Guatemala, Mexique, Norvège, Panama, Royaume-Uni, Togo, Union européenne et ses États membres et Uruguay.</w:t>
      </w:r>
    </w:p>
    <w:p w14:paraId="7051760A" w14:textId="4E0FFDE4" w:rsidR="005D157C" w:rsidRDefault="005D157C" w:rsidP="00D87BB6">
      <w:pPr>
        <w:pStyle w:val="CBDNormalNumber"/>
        <w:spacing w:before="120"/>
        <w:ind w:left="567"/>
      </w:pPr>
      <w:r>
        <w:t>La Conférence des Parties a ensuite examiné le projet de décision</w:t>
      </w:r>
      <w:r w:rsidR="00AF176D">
        <w:t> </w:t>
      </w:r>
      <w:r>
        <w:t>CBD/COP/16/</w:t>
      </w:r>
      <w:proofErr w:type="spellStart"/>
      <w:r>
        <w:t>L.6</w:t>
      </w:r>
      <w:proofErr w:type="spellEnd"/>
      <w:r>
        <w:t xml:space="preserve"> sur les arrangements institutionnels pour la participation pleine et effective des peuples autochtones et communautés locales aux travaux entrepris au titre de la Convention sur la diversité biologique.</w:t>
      </w:r>
    </w:p>
    <w:p w14:paraId="2C4EB62C" w14:textId="0571135A" w:rsidR="005D157C" w:rsidRDefault="005D157C" w:rsidP="00D87BB6">
      <w:pPr>
        <w:pStyle w:val="CBDNormalNumber"/>
        <w:spacing w:before="120"/>
        <w:ind w:left="567"/>
      </w:pPr>
      <w:r>
        <w:t>Des déclarations ont été faites par les représentants des Parties suivantes : Afrique du Sud, Australie, Bolivie (État plurinational de), Brésil, Canada,</w:t>
      </w:r>
      <w:r w:rsidR="006801BE" w:rsidRPr="006801BE">
        <w:t xml:space="preserve"> </w:t>
      </w:r>
      <w:r w:rsidR="006801BE">
        <w:t>Fédération de Russie,</w:t>
      </w:r>
      <w:r>
        <w:t xml:space="preserve"> Fidji [également au nom des Îles Cook, </w:t>
      </w:r>
      <w:r w:rsidR="006801BE">
        <w:t xml:space="preserve">de </w:t>
      </w:r>
      <w:r>
        <w:t xml:space="preserve">Kiribati, </w:t>
      </w:r>
      <w:r w:rsidR="006801BE">
        <w:t xml:space="preserve">des </w:t>
      </w:r>
      <w:r>
        <w:t xml:space="preserve">Palaos, </w:t>
      </w:r>
      <w:r w:rsidR="006801BE">
        <w:t xml:space="preserve">des </w:t>
      </w:r>
      <w:r>
        <w:t xml:space="preserve">Îles Marshall, </w:t>
      </w:r>
      <w:r w:rsidR="006801BE">
        <w:t xml:space="preserve">de la </w:t>
      </w:r>
      <w:r>
        <w:t xml:space="preserve">Micronésie (États fédérés de), </w:t>
      </w:r>
      <w:r w:rsidR="006801BE">
        <w:t xml:space="preserve">de </w:t>
      </w:r>
      <w:r>
        <w:t xml:space="preserve">Samoa et </w:t>
      </w:r>
      <w:r w:rsidR="006801BE">
        <w:t xml:space="preserve">de </w:t>
      </w:r>
      <w:r>
        <w:t>Vanuatu], Gabon, Guatemala,</w:t>
      </w:r>
      <w:r w:rsidR="006801BE">
        <w:t xml:space="preserve"> Îles Cook,</w:t>
      </w:r>
      <w:r>
        <w:t xml:space="preserve"> Indonésie, Mexique, Norvège, </w:t>
      </w:r>
      <w:r w:rsidR="006801BE">
        <w:t xml:space="preserve">Nouvelle-Zélande, </w:t>
      </w:r>
      <w:r>
        <w:t>Panama, Pérou, Soudan, Togo</w:t>
      </w:r>
      <w:r w:rsidR="006801BE">
        <w:t>, Union européenne et ses États membres</w:t>
      </w:r>
      <w:r>
        <w:t xml:space="preserve"> et Zimbabwe.</w:t>
      </w:r>
    </w:p>
    <w:p w14:paraId="43A2AEE0" w14:textId="78D2ACE1" w:rsidR="006801BE" w:rsidRDefault="006801BE" w:rsidP="00D87BB6">
      <w:pPr>
        <w:pStyle w:val="CBDNormalNumber"/>
        <w:spacing w:before="120"/>
        <w:ind w:left="567"/>
      </w:pPr>
      <w:r>
        <w:t>Une déclaration a également été faite par un représentant du Forum international des peuples autochtones sur la biodiversité.</w:t>
      </w:r>
    </w:p>
    <w:p w14:paraId="265C236B" w14:textId="51F6603F" w:rsidR="006801BE" w:rsidRPr="002D5DC1" w:rsidRDefault="006801BE" w:rsidP="00D87BB6">
      <w:pPr>
        <w:pStyle w:val="CBDNormalNumber"/>
        <w:spacing w:before="120"/>
        <w:ind w:left="567"/>
      </w:pPr>
      <w:r>
        <w:t>[à compléter]</w:t>
      </w:r>
    </w:p>
    <w:p w14:paraId="1C4567FC" w14:textId="77777777" w:rsidR="00057550" w:rsidRPr="00887AF6" w:rsidRDefault="00AD71B3" w:rsidP="002D5DC1">
      <w:pPr>
        <w:pStyle w:val="CBDAgendaItem"/>
        <w:rPr>
          <w:caps/>
          <w:lang w:val="en-GB"/>
        </w:rPr>
      </w:pPr>
      <w:bookmarkStart w:id="2" w:name="_Hlk181350021"/>
      <w:r w:rsidRPr="00887AF6">
        <w:rPr>
          <w:rFonts w:eastAsia="Times New Roman"/>
          <w:bCs/>
          <w:szCs w:val="24"/>
        </w:rPr>
        <w:t xml:space="preserve">Point 19 </w:t>
      </w:r>
      <w:bookmarkEnd w:id="2"/>
      <w:r w:rsidRPr="00887AF6">
        <w:rPr>
          <w:rFonts w:eastAsia="Times New Roman"/>
          <w:bCs/>
          <w:szCs w:val="24"/>
        </w:rPr>
        <w:br/>
        <w:t>Gestion durable de la faune sauvage</w:t>
      </w:r>
    </w:p>
    <w:p w14:paraId="2DB2F08F" w14:textId="77777777" w:rsidR="00057550" w:rsidRPr="00887AF6" w:rsidRDefault="00AD71B3" w:rsidP="00382D2C">
      <w:pPr>
        <w:pStyle w:val="CBDNormalNumber"/>
        <w:spacing w:before="120"/>
        <w:ind w:left="567"/>
        <w:rPr>
          <w:snapToGrid w:val="0"/>
          <w:lang w:eastAsia="en-CA"/>
        </w:rPr>
      </w:pPr>
      <w:r w:rsidRPr="00887AF6">
        <w:rPr>
          <w:rFonts w:eastAsia="Times New Roman"/>
          <w:lang w:eastAsia="en-CA"/>
        </w:rPr>
        <w:t>[à compléter à partir du rapport du Groupe de travail II].</w:t>
      </w:r>
    </w:p>
    <w:p w14:paraId="44C378C3" w14:textId="502116B1" w:rsidR="00057550" w:rsidRPr="00887AF6" w:rsidRDefault="00AD71B3" w:rsidP="00382D2C">
      <w:pPr>
        <w:pStyle w:val="CBDNormalNumber"/>
        <w:spacing w:before="120"/>
        <w:ind w:left="567"/>
        <w:rPr>
          <w:snapToGrid w:val="0"/>
          <w:lang w:eastAsia="en-CA"/>
        </w:rPr>
      </w:pPr>
      <w:r w:rsidRPr="00887AF6">
        <w:rPr>
          <w:rFonts w:eastAsia="Times New Roman"/>
        </w:rPr>
        <w:t>À sa deuxième séance plénière, la Conférence des Parties a examiné le projet de décision</w:t>
      </w:r>
      <w:r w:rsidR="00AF176D">
        <w:rPr>
          <w:rFonts w:eastAsia="Times New Roman"/>
        </w:rPr>
        <w:t> </w:t>
      </w:r>
      <w:r w:rsidRPr="00887AF6">
        <w:rPr>
          <w:rFonts w:eastAsia="Times New Roman"/>
        </w:rPr>
        <w:t>CBD/COP/16/</w:t>
      </w:r>
      <w:proofErr w:type="spellStart"/>
      <w:r w:rsidRPr="00887AF6">
        <w:rPr>
          <w:rFonts w:eastAsia="Times New Roman"/>
        </w:rPr>
        <w:t>L.2</w:t>
      </w:r>
      <w:proofErr w:type="spellEnd"/>
      <w:r w:rsidRPr="00887AF6">
        <w:rPr>
          <w:rFonts w:eastAsia="Times New Roman"/>
        </w:rPr>
        <w:t>, présenté par le Président du Groupe de travail</w:t>
      </w:r>
      <w:r w:rsidR="00887AF6" w:rsidRPr="00887AF6">
        <w:rPr>
          <w:rFonts w:eastAsia="Times New Roman"/>
        </w:rPr>
        <w:t> </w:t>
      </w:r>
      <w:r w:rsidRPr="00887AF6">
        <w:rPr>
          <w:rFonts w:eastAsia="Times New Roman"/>
        </w:rPr>
        <w:t xml:space="preserve">II. </w:t>
      </w:r>
    </w:p>
    <w:p w14:paraId="19FCB060" w14:textId="5591AA04" w:rsidR="00057550" w:rsidRPr="00887AF6" w:rsidRDefault="00AD71B3" w:rsidP="00382D2C">
      <w:pPr>
        <w:pStyle w:val="CBDNormalNumber"/>
        <w:spacing w:before="120"/>
        <w:ind w:left="567"/>
        <w:rPr>
          <w:snapToGrid w:val="0"/>
          <w:lang w:eastAsia="en-CA"/>
        </w:rPr>
      </w:pPr>
      <w:r w:rsidRPr="00887AF6">
        <w:rPr>
          <w:rFonts w:eastAsia="Times New Roman"/>
        </w:rPr>
        <w:t>Des déclarations ont été faites par les représentants des Parties suivantes</w:t>
      </w:r>
      <w:r w:rsidR="00887AF6" w:rsidRPr="00887AF6">
        <w:rPr>
          <w:rFonts w:eastAsia="Times New Roman"/>
        </w:rPr>
        <w:t> </w:t>
      </w:r>
      <w:r w:rsidRPr="00887AF6">
        <w:rPr>
          <w:rFonts w:eastAsia="Times New Roman"/>
        </w:rPr>
        <w:t>: Arabie saoudite, Argentine, Brésil</w:t>
      </w:r>
      <w:r w:rsidR="00F73290" w:rsidRPr="00887AF6">
        <w:rPr>
          <w:rFonts w:eastAsia="Times New Roman"/>
        </w:rPr>
        <w:t xml:space="preserve">, Burkina Faso, Canada, Chili, </w:t>
      </w:r>
      <w:r w:rsidRPr="00887AF6">
        <w:rPr>
          <w:rFonts w:eastAsia="Times New Roman"/>
        </w:rPr>
        <w:t xml:space="preserve">Fédération de Russie, </w:t>
      </w:r>
      <w:r w:rsidR="00F73290" w:rsidRPr="00887AF6">
        <w:rPr>
          <w:rFonts w:eastAsia="Times New Roman"/>
        </w:rPr>
        <w:t xml:space="preserve">Fidji, </w:t>
      </w:r>
      <w:r w:rsidRPr="00887AF6">
        <w:rPr>
          <w:rFonts w:eastAsia="Times New Roman"/>
        </w:rPr>
        <w:t>Guatemala, République démocratique du Congo, Union européenne et ses États membres, Vanuatu et Zimbabwe.</w:t>
      </w:r>
    </w:p>
    <w:p w14:paraId="0E071D0F" w14:textId="77777777" w:rsidR="00057550" w:rsidRPr="00887AF6" w:rsidRDefault="00AD71B3" w:rsidP="00382D2C">
      <w:pPr>
        <w:pStyle w:val="CBDNormalNumber"/>
        <w:spacing w:before="120"/>
        <w:ind w:left="567"/>
        <w:rPr>
          <w:snapToGrid w:val="0"/>
          <w:lang w:eastAsia="en-CA"/>
        </w:rPr>
      </w:pPr>
      <w:bookmarkStart w:id="3" w:name="_Hlk180940921"/>
      <w:r w:rsidRPr="00887AF6">
        <w:rPr>
          <w:rFonts w:eastAsia="Times New Roman"/>
        </w:rPr>
        <w:t>La Conférence des Parties a adopté le projet de décision, tel qu</w:t>
      </w:r>
      <w:r w:rsidR="00887AF6" w:rsidRPr="00887AF6">
        <w:rPr>
          <w:rFonts w:eastAsia="Times New Roman"/>
        </w:rPr>
        <w:t>’</w:t>
      </w:r>
      <w:r w:rsidRPr="00887AF6">
        <w:rPr>
          <w:rFonts w:eastAsia="Times New Roman"/>
        </w:rPr>
        <w:t>amendé oralement, en tant que décision</w:t>
      </w:r>
      <w:r w:rsidR="00887AF6" w:rsidRPr="00887AF6">
        <w:rPr>
          <w:rFonts w:eastAsia="Times New Roman"/>
        </w:rPr>
        <w:t> </w:t>
      </w:r>
      <w:r w:rsidRPr="00887AF6">
        <w:rPr>
          <w:rFonts w:eastAsia="Times New Roman"/>
        </w:rPr>
        <w:t>16/xx.</w:t>
      </w:r>
    </w:p>
    <w:bookmarkEnd w:id="3"/>
    <w:p w14:paraId="41F2752E" w14:textId="77777777" w:rsidR="00057550" w:rsidRPr="006801BE" w:rsidRDefault="00AD71B3" w:rsidP="00382D2C">
      <w:pPr>
        <w:pStyle w:val="CBDNormalNumber"/>
        <w:spacing w:before="120"/>
        <w:ind w:left="567"/>
        <w:rPr>
          <w:snapToGrid w:val="0"/>
          <w:lang w:eastAsia="en-CA"/>
        </w:rPr>
      </w:pPr>
      <w:r w:rsidRPr="00887AF6">
        <w:rPr>
          <w:rFonts w:eastAsia="Times New Roman"/>
          <w:lang w:eastAsia="en-CA"/>
        </w:rPr>
        <w:t>Par la suite, les représentants de l</w:t>
      </w:r>
      <w:r w:rsidR="00887AF6" w:rsidRPr="00887AF6">
        <w:rPr>
          <w:rFonts w:eastAsia="Times New Roman"/>
          <w:lang w:eastAsia="en-CA"/>
        </w:rPr>
        <w:t>’</w:t>
      </w:r>
      <w:r w:rsidRPr="00887AF6">
        <w:rPr>
          <w:rFonts w:eastAsia="Times New Roman"/>
          <w:lang w:eastAsia="en-CA"/>
        </w:rPr>
        <w:t>Argentine et du Brésil ont exprimé des réserves concernant le paragraphe 4 h), de la décision.</w:t>
      </w:r>
    </w:p>
    <w:p w14:paraId="2132CBDF" w14:textId="396C85C1" w:rsidR="006801BE" w:rsidRDefault="006801BE" w:rsidP="006801BE">
      <w:pPr>
        <w:pStyle w:val="CBDNormalNumber"/>
        <w:numPr>
          <w:ilvl w:val="0"/>
          <w:numId w:val="0"/>
        </w:numPr>
        <w:spacing w:before="240"/>
        <w:contextualSpacing/>
        <w:jc w:val="left"/>
        <w:rPr>
          <w:rFonts w:eastAsia="Times New Roman"/>
          <w:b/>
          <w:bCs/>
          <w:sz w:val="24"/>
          <w:szCs w:val="24"/>
          <w:lang w:eastAsia="en-CA"/>
        </w:rPr>
      </w:pPr>
      <w:r w:rsidRPr="006801BE">
        <w:rPr>
          <w:rFonts w:eastAsia="Times New Roman"/>
          <w:b/>
          <w:bCs/>
          <w:sz w:val="24"/>
          <w:szCs w:val="24"/>
          <w:lang w:eastAsia="en-CA"/>
        </w:rPr>
        <w:t>Point</w:t>
      </w:r>
      <w:r w:rsidR="00AF176D">
        <w:rPr>
          <w:rFonts w:eastAsia="Times New Roman"/>
          <w:b/>
          <w:bCs/>
          <w:sz w:val="24"/>
          <w:szCs w:val="24"/>
          <w:lang w:eastAsia="en-CA"/>
        </w:rPr>
        <w:t> </w:t>
      </w:r>
      <w:r w:rsidRPr="006801BE">
        <w:rPr>
          <w:rFonts w:eastAsia="Times New Roman"/>
          <w:b/>
          <w:bCs/>
          <w:sz w:val="24"/>
          <w:szCs w:val="24"/>
          <w:lang w:eastAsia="en-CA"/>
        </w:rPr>
        <w:t>20</w:t>
      </w:r>
    </w:p>
    <w:p w14:paraId="603FB33D" w14:textId="7C0DE3B1" w:rsidR="006801BE" w:rsidRDefault="006801BE" w:rsidP="006801BE">
      <w:pPr>
        <w:pStyle w:val="CBDNormalNumber"/>
        <w:numPr>
          <w:ilvl w:val="0"/>
          <w:numId w:val="0"/>
        </w:numPr>
        <w:spacing w:before="240"/>
        <w:contextualSpacing/>
        <w:jc w:val="left"/>
        <w:rPr>
          <w:rFonts w:eastAsia="Times New Roman"/>
          <w:b/>
          <w:bCs/>
          <w:sz w:val="24"/>
          <w:szCs w:val="24"/>
          <w:lang w:eastAsia="en-CA"/>
        </w:rPr>
      </w:pPr>
      <w:r>
        <w:rPr>
          <w:rFonts w:eastAsia="Times New Roman"/>
          <w:b/>
          <w:bCs/>
          <w:sz w:val="24"/>
          <w:szCs w:val="24"/>
          <w:lang w:eastAsia="en-CA"/>
        </w:rPr>
        <w:t>Biodiversité marine et côtière et biodiversité insulaire</w:t>
      </w:r>
    </w:p>
    <w:p w14:paraId="31EE596E" w14:textId="77777777" w:rsidR="006801BE" w:rsidRDefault="006801BE" w:rsidP="006801BE">
      <w:pPr>
        <w:pStyle w:val="CBDNormalNumber"/>
        <w:numPr>
          <w:ilvl w:val="0"/>
          <w:numId w:val="0"/>
        </w:numPr>
        <w:spacing w:before="240"/>
        <w:contextualSpacing/>
        <w:jc w:val="left"/>
        <w:rPr>
          <w:rFonts w:eastAsia="Times New Roman"/>
          <w:b/>
          <w:bCs/>
          <w:sz w:val="24"/>
          <w:szCs w:val="24"/>
          <w:lang w:eastAsia="en-CA"/>
        </w:rPr>
      </w:pPr>
    </w:p>
    <w:p w14:paraId="62448C67" w14:textId="2573B58E" w:rsidR="006801BE" w:rsidRDefault="006801BE" w:rsidP="00382D2C">
      <w:pPr>
        <w:pStyle w:val="CBDNormalNumber"/>
        <w:spacing w:before="120"/>
        <w:ind w:left="567"/>
        <w:rPr>
          <w:snapToGrid w:val="0"/>
          <w:lang w:eastAsia="en-CA"/>
        </w:rPr>
      </w:pPr>
      <w:r>
        <w:rPr>
          <w:snapToGrid w:val="0"/>
          <w:lang w:eastAsia="en-CA"/>
        </w:rPr>
        <w:t>[à compléter à partir du rapport du Groupe de travail II]</w:t>
      </w:r>
    </w:p>
    <w:p w14:paraId="62B5F160" w14:textId="2FEA84EC" w:rsidR="006801BE" w:rsidRDefault="006801BE" w:rsidP="00382D2C">
      <w:pPr>
        <w:pStyle w:val="CBDNormalNumber"/>
        <w:spacing w:before="120"/>
        <w:ind w:left="567"/>
        <w:rPr>
          <w:snapToGrid w:val="0"/>
          <w:lang w:eastAsia="en-CA"/>
        </w:rPr>
      </w:pPr>
      <w:r>
        <w:rPr>
          <w:snapToGrid w:val="0"/>
          <w:lang w:eastAsia="en-CA"/>
        </w:rPr>
        <w:t>À sa deuxième séance plénière, la Conférence des Parties a examiné le projet de décision</w:t>
      </w:r>
      <w:r w:rsidR="00AF176D">
        <w:rPr>
          <w:snapToGrid w:val="0"/>
          <w:lang w:eastAsia="en-CA"/>
        </w:rPr>
        <w:t> </w:t>
      </w:r>
      <w:r>
        <w:rPr>
          <w:snapToGrid w:val="0"/>
          <w:lang w:eastAsia="en-CA"/>
        </w:rPr>
        <w:t>CBD/COP/16/</w:t>
      </w:r>
      <w:proofErr w:type="spellStart"/>
      <w:r>
        <w:rPr>
          <w:snapToGrid w:val="0"/>
          <w:lang w:eastAsia="en-CA"/>
        </w:rPr>
        <w:t>L.8</w:t>
      </w:r>
      <w:proofErr w:type="spellEnd"/>
      <w:r>
        <w:rPr>
          <w:snapToGrid w:val="0"/>
          <w:lang w:eastAsia="en-CA"/>
        </w:rPr>
        <w:t>, soumis par le Président du Groupe de travail II, et l’a adopté en tant que décision</w:t>
      </w:r>
      <w:r w:rsidR="00AF176D">
        <w:rPr>
          <w:snapToGrid w:val="0"/>
          <w:lang w:eastAsia="en-CA"/>
        </w:rPr>
        <w:t> </w:t>
      </w:r>
      <w:r>
        <w:rPr>
          <w:snapToGrid w:val="0"/>
          <w:lang w:eastAsia="en-CA"/>
        </w:rPr>
        <w:t>16/xx.</w:t>
      </w:r>
    </w:p>
    <w:p w14:paraId="03539CFC" w14:textId="37992507" w:rsidR="006801BE" w:rsidRDefault="00AF176D" w:rsidP="00382D2C">
      <w:pPr>
        <w:pStyle w:val="CBDNormalNumber"/>
        <w:spacing w:before="120"/>
        <w:ind w:left="567"/>
        <w:rPr>
          <w:snapToGrid w:val="0"/>
          <w:lang w:eastAsia="en-CA"/>
        </w:rPr>
      </w:pPr>
      <w:r>
        <w:rPr>
          <w:snapToGrid w:val="0"/>
          <w:lang w:eastAsia="en-CA"/>
        </w:rPr>
        <w:t>En réponse</w:t>
      </w:r>
      <w:r w:rsidR="006801BE">
        <w:rPr>
          <w:snapToGrid w:val="0"/>
          <w:lang w:eastAsia="en-CA"/>
        </w:rPr>
        <w:t xml:space="preserve"> à l’adoption de la décision, des déclarations ont été faites par </w:t>
      </w:r>
      <w:r w:rsidR="007F4317">
        <w:rPr>
          <w:snapToGrid w:val="0"/>
          <w:lang w:eastAsia="en-CA"/>
        </w:rPr>
        <w:t>d</w:t>
      </w:r>
      <w:r w:rsidR="006801BE">
        <w:rPr>
          <w:snapToGrid w:val="0"/>
          <w:lang w:eastAsia="en-CA"/>
        </w:rPr>
        <w:t>es représentants de la Grèce et de l’Union européenne et de ses États membres.</w:t>
      </w:r>
    </w:p>
    <w:p w14:paraId="274D68CF" w14:textId="2441883C" w:rsidR="009D26E9" w:rsidRDefault="006801BE" w:rsidP="00382D2C">
      <w:pPr>
        <w:pStyle w:val="CBDNormalNumber"/>
        <w:spacing w:before="120"/>
        <w:ind w:left="567"/>
        <w:rPr>
          <w:snapToGrid w:val="0"/>
          <w:lang w:eastAsia="en-CA"/>
        </w:rPr>
      </w:pPr>
      <w:r>
        <w:rPr>
          <w:snapToGrid w:val="0"/>
          <w:lang w:eastAsia="en-CA"/>
        </w:rPr>
        <w:t xml:space="preserve">Le représentant de l’Union européenne et de ses États membres, demandant que sa déclaration soit </w:t>
      </w:r>
      <w:r w:rsidR="00C13951">
        <w:rPr>
          <w:snapToGrid w:val="0"/>
          <w:lang w:eastAsia="en-CA"/>
        </w:rPr>
        <w:t xml:space="preserve">consignée au </w:t>
      </w:r>
      <w:r w:rsidR="004D1F04">
        <w:rPr>
          <w:snapToGrid w:val="0"/>
          <w:lang w:eastAsia="en-CA"/>
        </w:rPr>
        <w:t>compte</w:t>
      </w:r>
      <w:r w:rsidR="00D2006F">
        <w:rPr>
          <w:snapToGrid w:val="0"/>
          <w:lang w:eastAsia="en-CA"/>
        </w:rPr>
        <w:t>-rendu</w:t>
      </w:r>
      <w:r>
        <w:rPr>
          <w:snapToGrid w:val="0"/>
          <w:lang w:eastAsia="en-CA"/>
        </w:rPr>
        <w:t xml:space="preserve">, a indiqué que l’Union européenne et ses États membres souhaitaient </w:t>
      </w:r>
      <w:r w:rsidR="00586E73">
        <w:rPr>
          <w:snapToGrid w:val="0"/>
          <w:lang w:eastAsia="en-CA"/>
        </w:rPr>
        <w:t xml:space="preserve">noter que le paragraphe 5 de l’annexe à la décision relative </w:t>
      </w:r>
      <w:r w:rsidR="00296733">
        <w:rPr>
          <w:snapToGrid w:val="0"/>
          <w:lang w:eastAsia="en-CA"/>
        </w:rPr>
        <w:t>à la poursuite des</w:t>
      </w:r>
      <w:r w:rsidR="00586E73">
        <w:rPr>
          <w:snapToGrid w:val="0"/>
          <w:lang w:eastAsia="en-CA"/>
        </w:rPr>
        <w:t xml:space="preserve"> travaux sur les </w:t>
      </w:r>
      <w:r w:rsidR="00296733">
        <w:rPr>
          <w:snapToGrid w:val="0"/>
          <w:lang w:eastAsia="en-CA"/>
        </w:rPr>
        <w:t>zones</w:t>
      </w:r>
      <w:r w:rsidR="00586E73">
        <w:rPr>
          <w:snapToGrid w:val="0"/>
          <w:lang w:eastAsia="en-CA"/>
        </w:rPr>
        <w:t xml:space="preserve"> marines d’importance écologique ou biologique, </w:t>
      </w:r>
      <w:r w:rsidR="00296733">
        <w:rPr>
          <w:snapToGrid w:val="0"/>
          <w:lang w:eastAsia="en-CA"/>
        </w:rPr>
        <w:t>en ce qui concerne</w:t>
      </w:r>
      <w:r w:rsidR="00586E73">
        <w:rPr>
          <w:snapToGrid w:val="0"/>
          <w:lang w:eastAsia="en-CA"/>
        </w:rPr>
        <w:t xml:space="preserve"> l’objection à inclure une description ou une modification dans le centre documentaire ou le mécanisme d’échange d’information pour les aires marines d’importance écologique ou biologique, à cause d’une réclamation ou d’un litige existant portant su</w:t>
      </w:r>
      <w:r w:rsidR="00296733">
        <w:rPr>
          <w:snapToGrid w:val="0"/>
          <w:lang w:eastAsia="en-CA"/>
        </w:rPr>
        <w:t>r</w:t>
      </w:r>
      <w:r w:rsidR="00586E73">
        <w:rPr>
          <w:snapToGrid w:val="0"/>
          <w:lang w:eastAsia="en-CA"/>
        </w:rPr>
        <w:t xml:space="preserve"> la souveraineté, les droits souverains ou la </w:t>
      </w:r>
      <w:r w:rsidR="00D64D08">
        <w:rPr>
          <w:snapToGrid w:val="0"/>
          <w:lang w:eastAsia="en-CA"/>
        </w:rPr>
        <w:t>juridiction</w:t>
      </w:r>
      <w:r w:rsidR="00586E73">
        <w:rPr>
          <w:snapToGrid w:val="0"/>
          <w:lang w:eastAsia="en-CA"/>
        </w:rPr>
        <w:t xml:space="preserve"> concernant une aire figurant dans la proposition, </w:t>
      </w:r>
      <w:r w:rsidR="00227F25">
        <w:rPr>
          <w:snapToGrid w:val="0"/>
          <w:lang w:eastAsia="en-CA"/>
        </w:rPr>
        <w:t>était sans préjudice au paragraphe 3 de la décision.</w:t>
      </w:r>
    </w:p>
    <w:p w14:paraId="70EAC9B2" w14:textId="5CD39997" w:rsidR="006801BE" w:rsidRPr="006801BE" w:rsidRDefault="009D26E9" w:rsidP="00382D2C">
      <w:pPr>
        <w:pStyle w:val="CBDNormalNumber"/>
        <w:spacing w:before="120"/>
        <w:ind w:left="567"/>
        <w:rPr>
          <w:snapToGrid w:val="0"/>
          <w:lang w:eastAsia="en-CA"/>
        </w:rPr>
      </w:pPr>
      <w:r>
        <w:rPr>
          <w:snapToGrid w:val="0"/>
          <w:lang w:eastAsia="en-CA"/>
        </w:rPr>
        <w:lastRenderedPageBreak/>
        <w:t xml:space="preserve">Le représentant de la Grèce, demandant également que sa déclaration </w:t>
      </w:r>
      <w:r w:rsidR="00D2006F">
        <w:rPr>
          <w:snapToGrid w:val="0"/>
          <w:lang w:eastAsia="en-CA"/>
        </w:rPr>
        <w:t>soit consignée au compte-rendu</w:t>
      </w:r>
      <w:r>
        <w:rPr>
          <w:snapToGrid w:val="0"/>
          <w:lang w:eastAsia="en-CA"/>
        </w:rPr>
        <w:t xml:space="preserve">, a souligné à quel point il était important de respecter la souveraineté, les droits souverains et la compétence des États côtiers, conformément à la Convention des Nations Unies sur le droit de la mer, qui reflète le droit international coutumier. À son avis, cette règle de base n’était pas suffisamment reflétée dans le paragraphe 5 de l’annexe I à la décision, et la formulation du paragraphe n’était pas conforme </w:t>
      </w:r>
      <w:r w:rsidR="00AF176D">
        <w:rPr>
          <w:snapToGrid w:val="0"/>
          <w:lang w:eastAsia="en-CA"/>
        </w:rPr>
        <w:t>au</w:t>
      </w:r>
      <w:r>
        <w:rPr>
          <w:snapToGrid w:val="0"/>
          <w:lang w:eastAsia="en-CA"/>
        </w:rPr>
        <w:t xml:space="preserve"> langage et</w:t>
      </w:r>
      <w:r w:rsidR="00AF176D">
        <w:rPr>
          <w:snapToGrid w:val="0"/>
          <w:lang w:eastAsia="en-CA"/>
        </w:rPr>
        <w:t xml:space="preserve"> à</w:t>
      </w:r>
      <w:r>
        <w:rPr>
          <w:snapToGrid w:val="0"/>
          <w:lang w:eastAsia="en-CA"/>
        </w:rPr>
        <w:t xml:space="preserve"> l’approche appropriés, utilisés dans d’autres contextes.</w:t>
      </w:r>
      <w:r w:rsidR="00586E73">
        <w:rPr>
          <w:snapToGrid w:val="0"/>
          <w:lang w:eastAsia="en-CA"/>
        </w:rPr>
        <w:t xml:space="preserve"> </w:t>
      </w:r>
      <w:r w:rsidR="00D64D08">
        <w:rPr>
          <w:snapToGrid w:val="0"/>
          <w:lang w:eastAsia="en-CA"/>
        </w:rPr>
        <w:t>I</w:t>
      </w:r>
      <w:r w:rsidR="006F6A61">
        <w:rPr>
          <w:snapToGrid w:val="0"/>
          <w:lang w:eastAsia="en-CA"/>
        </w:rPr>
        <w:t xml:space="preserve">l a </w:t>
      </w:r>
      <w:r w:rsidR="00D64D08">
        <w:rPr>
          <w:snapToGrid w:val="0"/>
          <w:lang w:eastAsia="en-CA"/>
        </w:rPr>
        <w:t xml:space="preserve">en outre </w:t>
      </w:r>
      <w:r w:rsidR="006F6A61">
        <w:rPr>
          <w:snapToGrid w:val="0"/>
          <w:lang w:eastAsia="en-CA"/>
        </w:rPr>
        <w:t xml:space="preserve">souligné la prescription, au paragraphe 3 de la décision, selon laquelle la modification de descriptions d’aires marines d’importance écologique ou biologique était un exercice </w:t>
      </w:r>
      <w:r w:rsidR="0038364F">
        <w:rPr>
          <w:snapToGrid w:val="0"/>
          <w:lang w:eastAsia="en-CA"/>
        </w:rPr>
        <w:t>purement</w:t>
      </w:r>
      <w:r w:rsidR="006F6A61">
        <w:rPr>
          <w:snapToGrid w:val="0"/>
          <w:lang w:eastAsia="en-CA"/>
        </w:rPr>
        <w:t xml:space="preserve"> scientifique et technique, et que </w:t>
      </w:r>
      <w:r w:rsidR="0038364F">
        <w:rPr>
          <w:snapToGrid w:val="0"/>
          <w:lang w:eastAsia="en-CA"/>
        </w:rPr>
        <w:t>nulle</w:t>
      </w:r>
      <w:r w:rsidR="006F6A61">
        <w:rPr>
          <w:snapToGrid w:val="0"/>
          <w:lang w:eastAsia="en-CA"/>
        </w:rPr>
        <w:t xml:space="preserve"> action ou activité menée </w:t>
      </w:r>
      <w:r w:rsidR="0038364F">
        <w:rPr>
          <w:snapToGrid w:val="0"/>
          <w:lang w:eastAsia="en-CA"/>
        </w:rPr>
        <w:t>en vertu</w:t>
      </w:r>
      <w:r w:rsidR="006F6A61">
        <w:rPr>
          <w:snapToGrid w:val="0"/>
          <w:lang w:eastAsia="en-CA"/>
        </w:rPr>
        <w:t xml:space="preserve"> de la décision </w:t>
      </w:r>
      <w:r w:rsidR="0038364F">
        <w:rPr>
          <w:snapToGrid w:val="0"/>
          <w:lang w:eastAsia="en-CA"/>
        </w:rPr>
        <w:t>ne devait porter atteinte, ni servir de base pour affirmer ou nier une quelconque revendication en matière de souveraineté, de droits souverains ou de juridiction, y compris en ce qui concerne les litiges s’y rapportant.</w:t>
      </w:r>
    </w:p>
    <w:p w14:paraId="0D86506A" w14:textId="77777777" w:rsidR="00057550" w:rsidRPr="00887AF6" w:rsidRDefault="00AD71B3" w:rsidP="00057550">
      <w:pPr>
        <w:pStyle w:val="CBDAgendaItem"/>
        <w:rPr>
          <w:caps/>
          <w:lang w:val="en-GB"/>
        </w:rPr>
      </w:pPr>
      <w:r w:rsidRPr="00887AF6">
        <w:rPr>
          <w:rFonts w:eastAsia="Times New Roman"/>
          <w:bCs/>
          <w:szCs w:val="24"/>
        </w:rPr>
        <w:t xml:space="preserve">Point 23 </w:t>
      </w:r>
      <w:r w:rsidRPr="00887AF6">
        <w:rPr>
          <w:rFonts w:eastAsia="Times New Roman"/>
          <w:bCs/>
          <w:szCs w:val="24"/>
        </w:rPr>
        <w:br/>
        <w:t>Conservation des plantes</w:t>
      </w:r>
    </w:p>
    <w:p w14:paraId="74C798CB" w14:textId="77777777" w:rsidR="00057550" w:rsidRPr="00887AF6" w:rsidRDefault="00AD71B3" w:rsidP="00382D2C">
      <w:pPr>
        <w:pStyle w:val="CBDNormalNumber"/>
        <w:spacing w:before="120"/>
        <w:ind w:left="567"/>
        <w:rPr>
          <w:snapToGrid w:val="0"/>
          <w:lang w:eastAsia="en-CA"/>
        </w:rPr>
      </w:pPr>
      <w:bookmarkStart w:id="4" w:name="_Hlk180940353"/>
      <w:r w:rsidRPr="00887AF6">
        <w:rPr>
          <w:rFonts w:eastAsia="Times New Roman"/>
          <w:lang w:eastAsia="en-CA"/>
        </w:rPr>
        <w:t>[à compléter à partir du rapport</w:t>
      </w:r>
      <w:r w:rsidR="00F73290" w:rsidRPr="00887AF6">
        <w:rPr>
          <w:rFonts w:eastAsia="Times New Roman"/>
          <w:lang w:eastAsia="en-CA"/>
        </w:rPr>
        <w:t xml:space="preserve"> du Groupe de travail II]</w:t>
      </w:r>
    </w:p>
    <w:p w14:paraId="283D9CFB" w14:textId="60A04C82" w:rsidR="00057550" w:rsidRPr="00887AF6" w:rsidRDefault="00AD71B3" w:rsidP="00382D2C">
      <w:pPr>
        <w:pStyle w:val="CBDNormalNumber"/>
        <w:spacing w:before="120"/>
        <w:ind w:left="567"/>
        <w:rPr>
          <w:snapToGrid w:val="0"/>
          <w:lang w:eastAsia="en-CA"/>
        </w:rPr>
      </w:pPr>
      <w:r w:rsidRPr="00887AF6">
        <w:rPr>
          <w:rFonts w:eastAsia="Times New Roman"/>
        </w:rPr>
        <w:t>À sa deuxième séance plénière, la Conférence des Parties a examiné le projet de décision</w:t>
      </w:r>
      <w:r w:rsidR="00AF176D">
        <w:rPr>
          <w:rFonts w:eastAsia="Times New Roman"/>
        </w:rPr>
        <w:t> </w:t>
      </w:r>
      <w:r w:rsidRPr="00887AF6">
        <w:rPr>
          <w:rFonts w:eastAsia="Times New Roman"/>
        </w:rPr>
        <w:t>CBD/COP/16/</w:t>
      </w:r>
      <w:proofErr w:type="spellStart"/>
      <w:r w:rsidRPr="00887AF6">
        <w:rPr>
          <w:rFonts w:eastAsia="Times New Roman"/>
        </w:rPr>
        <w:t>L.3</w:t>
      </w:r>
      <w:proofErr w:type="spellEnd"/>
      <w:r w:rsidRPr="00887AF6">
        <w:rPr>
          <w:rFonts w:eastAsia="Times New Roman"/>
        </w:rPr>
        <w:t>, présenté par le Président du Groupe de travail</w:t>
      </w:r>
      <w:r w:rsidR="00887AF6" w:rsidRPr="00887AF6">
        <w:rPr>
          <w:rFonts w:eastAsia="Times New Roman"/>
        </w:rPr>
        <w:t> </w:t>
      </w:r>
      <w:r w:rsidRPr="00887AF6">
        <w:rPr>
          <w:rFonts w:eastAsia="Times New Roman"/>
        </w:rPr>
        <w:t xml:space="preserve">II. </w:t>
      </w:r>
    </w:p>
    <w:p w14:paraId="5EBC1F20" w14:textId="77777777" w:rsidR="00057550" w:rsidRPr="00887AF6" w:rsidRDefault="00AD71B3" w:rsidP="00382D2C">
      <w:pPr>
        <w:pStyle w:val="CBDNormalNumber"/>
        <w:spacing w:before="120"/>
        <w:ind w:left="567"/>
        <w:rPr>
          <w:snapToGrid w:val="0"/>
          <w:lang w:eastAsia="en-CA"/>
        </w:rPr>
      </w:pPr>
      <w:r w:rsidRPr="00887AF6">
        <w:rPr>
          <w:rFonts w:eastAsia="Times New Roman"/>
        </w:rPr>
        <w:t>Des déclarations ont été faites par les représentants des Parties suivantes</w:t>
      </w:r>
      <w:r w:rsidR="00887AF6" w:rsidRPr="00887AF6">
        <w:rPr>
          <w:rFonts w:eastAsia="Times New Roman"/>
        </w:rPr>
        <w:t> </w:t>
      </w:r>
      <w:r w:rsidRPr="00887AF6">
        <w:rPr>
          <w:rFonts w:eastAsia="Times New Roman"/>
        </w:rPr>
        <w:t>: Afrique du Sud, Antigua-et-Barbuda, Argentine, Bangladesh, Brésil, Burkina Faso, Cameroun, Côte d</w:t>
      </w:r>
      <w:r w:rsidR="00887AF6" w:rsidRPr="00887AF6">
        <w:rPr>
          <w:rFonts w:eastAsia="Times New Roman"/>
        </w:rPr>
        <w:t>’</w:t>
      </w:r>
      <w:r w:rsidRPr="00887AF6">
        <w:rPr>
          <w:rFonts w:eastAsia="Times New Roman"/>
        </w:rPr>
        <w:t>Ivoire, Fédération de Russie, Fidji, Gabon, Ghana, Inde, Kirghizistan, Kiribati, Maldives, Nigéria, Ouganda, Pakistan, République démocratique du Congo, Sainte-Lucie et Union européenne et ses États membres.</w:t>
      </w:r>
    </w:p>
    <w:p w14:paraId="7202F593" w14:textId="4B62B702" w:rsidR="00057550" w:rsidRPr="00887AF6" w:rsidRDefault="00AD71B3" w:rsidP="00382D2C">
      <w:pPr>
        <w:pStyle w:val="CBDNormalNumber"/>
        <w:spacing w:before="120"/>
        <w:ind w:left="567"/>
        <w:rPr>
          <w:snapToGrid w:val="0"/>
          <w:lang w:eastAsia="en-CA"/>
        </w:rPr>
      </w:pPr>
      <w:r w:rsidRPr="00887AF6">
        <w:rPr>
          <w:rFonts w:eastAsia="Times New Roman"/>
          <w:kern w:val="22"/>
        </w:rPr>
        <w:t>À l</w:t>
      </w:r>
      <w:r w:rsidR="00887AF6" w:rsidRPr="00887AF6">
        <w:rPr>
          <w:rFonts w:eastAsia="Times New Roman"/>
          <w:kern w:val="22"/>
        </w:rPr>
        <w:t>’</w:t>
      </w:r>
      <w:r w:rsidRPr="00887AF6">
        <w:rPr>
          <w:rFonts w:eastAsia="Times New Roman"/>
          <w:kern w:val="22"/>
        </w:rPr>
        <w:t>issue de l</w:t>
      </w:r>
      <w:r w:rsidR="00887AF6" w:rsidRPr="00887AF6">
        <w:rPr>
          <w:rFonts w:eastAsia="Times New Roman"/>
          <w:kern w:val="22"/>
        </w:rPr>
        <w:t>’</w:t>
      </w:r>
      <w:r w:rsidRPr="00887AF6">
        <w:rPr>
          <w:rFonts w:eastAsia="Times New Roman"/>
          <w:kern w:val="22"/>
        </w:rPr>
        <w:t>échange de points de vue, la Conférence des Parties a approuvé l</w:t>
      </w:r>
      <w:r w:rsidR="00887AF6" w:rsidRPr="00887AF6">
        <w:rPr>
          <w:rFonts w:eastAsia="Times New Roman"/>
          <w:kern w:val="22"/>
        </w:rPr>
        <w:t>’</w:t>
      </w:r>
      <w:r w:rsidRPr="00887AF6">
        <w:rPr>
          <w:rFonts w:eastAsia="Times New Roman"/>
          <w:kern w:val="22"/>
        </w:rPr>
        <w:t>ensemble du projet de décision, à l</w:t>
      </w:r>
      <w:r w:rsidR="00887AF6" w:rsidRPr="00887AF6">
        <w:rPr>
          <w:rFonts w:eastAsia="Times New Roman"/>
          <w:kern w:val="22"/>
        </w:rPr>
        <w:t>’</w:t>
      </w:r>
      <w:r w:rsidRPr="00887AF6">
        <w:rPr>
          <w:rFonts w:eastAsia="Times New Roman"/>
          <w:kern w:val="22"/>
        </w:rPr>
        <w:t>exception des paragraphes</w:t>
      </w:r>
      <w:r w:rsidR="00887AF6" w:rsidRPr="00887AF6">
        <w:rPr>
          <w:rFonts w:eastAsia="Times New Roman"/>
          <w:kern w:val="22"/>
        </w:rPr>
        <w:t> </w:t>
      </w:r>
      <w:r w:rsidRPr="00887AF6">
        <w:rPr>
          <w:rFonts w:eastAsia="Times New Roman"/>
          <w:kern w:val="22"/>
        </w:rPr>
        <w:t>17 et 17</w:t>
      </w:r>
      <w:r w:rsidR="00AF176D">
        <w:rPr>
          <w:rFonts w:eastAsia="Times New Roman"/>
          <w:kern w:val="22"/>
        </w:rPr>
        <w:t> </w:t>
      </w:r>
      <w:r w:rsidRPr="00887AF6">
        <w:rPr>
          <w:rFonts w:eastAsia="Times New Roman"/>
          <w:kern w:val="22"/>
        </w:rPr>
        <w:t>alt au titre de la Cible</w:t>
      </w:r>
      <w:r w:rsidR="00887AF6" w:rsidRPr="00887AF6">
        <w:rPr>
          <w:rFonts w:eastAsia="Times New Roman"/>
          <w:kern w:val="22"/>
        </w:rPr>
        <w:t> </w:t>
      </w:r>
      <w:r w:rsidRPr="00887AF6">
        <w:rPr>
          <w:rFonts w:eastAsia="Times New Roman"/>
          <w:kern w:val="22"/>
        </w:rPr>
        <w:t>17 dans l</w:t>
      </w:r>
      <w:r w:rsidR="00887AF6" w:rsidRPr="00887AF6">
        <w:rPr>
          <w:rFonts w:eastAsia="Times New Roman"/>
          <w:kern w:val="22"/>
        </w:rPr>
        <w:t>’</w:t>
      </w:r>
      <w:r w:rsidRPr="00887AF6">
        <w:rPr>
          <w:rFonts w:eastAsia="Times New Roman"/>
          <w:kern w:val="22"/>
        </w:rPr>
        <w:t>annexe au projet de décision, et a décidé de reprendre l</w:t>
      </w:r>
      <w:r w:rsidR="00887AF6" w:rsidRPr="00887AF6">
        <w:rPr>
          <w:rFonts w:eastAsia="Times New Roman"/>
          <w:kern w:val="22"/>
        </w:rPr>
        <w:t>’</w:t>
      </w:r>
      <w:r w:rsidRPr="00887AF6">
        <w:rPr>
          <w:rFonts w:eastAsia="Times New Roman"/>
          <w:kern w:val="22"/>
        </w:rPr>
        <w:t xml:space="preserve">examen de ces paragraphes plus tard au cours de la réunion, après des discussions informelles entre les Parties intéressées. </w:t>
      </w:r>
    </w:p>
    <w:p w14:paraId="7693F844" w14:textId="77777777" w:rsidR="00057550" w:rsidRPr="00887AF6" w:rsidRDefault="00AD71B3" w:rsidP="00382D2C">
      <w:pPr>
        <w:pStyle w:val="CBDNormalNumber"/>
        <w:spacing w:before="120"/>
        <w:ind w:left="567"/>
        <w:rPr>
          <w:snapToGrid w:val="0"/>
          <w:lang w:eastAsia="en-CA"/>
        </w:rPr>
      </w:pPr>
      <w:r w:rsidRPr="00887AF6">
        <w:rPr>
          <w:rFonts w:eastAsia="Times New Roman"/>
          <w:lang w:eastAsia="en-CA"/>
        </w:rPr>
        <w:t>[à compléter]</w:t>
      </w:r>
    </w:p>
    <w:bookmarkEnd w:id="4"/>
    <w:p w14:paraId="25A85040" w14:textId="1D54910E" w:rsidR="00927718" w:rsidRDefault="00AD71B3">
      <w:pPr>
        <w:pStyle w:val="CBDAgendaItem"/>
        <w:rPr>
          <w:caps/>
        </w:rPr>
      </w:pPr>
      <w:r>
        <w:rPr>
          <w:rFonts w:eastAsia="Times New Roman"/>
          <w:bCs/>
          <w:szCs w:val="24"/>
        </w:rPr>
        <w:t>Point</w:t>
      </w:r>
      <w:r w:rsidR="00AF176D">
        <w:rPr>
          <w:rFonts w:eastAsia="Times New Roman"/>
          <w:bCs/>
          <w:szCs w:val="24"/>
        </w:rPr>
        <w:t> </w:t>
      </w:r>
      <w:r>
        <w:rPr>
          <w:rFonts w:eastAsia="Times New Roman"/>
          <w:bCs/>
          <w:szCs w:val="24"/>
        </w:rPr>
        <w:t xml:space="preserve">29 </w:t>
      </w:r>
      <w:r>
        <w:rPr>
          <w:rFonts w:eastAsia="Times New Roman"/>
          <w:bCs/>
          <w:szCs w:val="24"/>
        </w:rPr>
        <w:br/>
        <w:t>Questions diverses</w:t>
      </w:r>
    </w:p>
    <w:p w14:paraId="451B715B" w14:textId="77777777" w:rsidR="00927718" w:rsidRDefault="00AD71B3" w:rsidP="00382D2C">
      <w:pPr>
        <w:pStyle w:val="CBDNormalNumber"/>
        <w:spacing w:before="120"/>
        <w:ind w:left="567"/>
        <w:jc w:val="left"/>
        <w:rPr>
          <w:snapToGrid w:val="0"/>
          <w:kern w:val="22"/>
          <w:lang w:eastAsia="en-CA"/>
        </w:rPr>
      </w:pPr>
      <w:r>
        <w:rPr>
          <w:rFonts w:eastAsia="Times New Roman"/>
          <w:kern w:val="22"/>
        </w:rPr>
        <w:t>[à compléter]</w:t>
      </w:r>
    </w:p>
    <w:p w14:paraId="48D87C2F" w14:textId="4909464B" w:rsidR="00927718" w:rsidRDefault="00AD71B3">
      <w:pPr>
        <w:pStyle w:val="CBDAgendaItem"/>
        <w:rPr>
          <w:caps/>
        </w:rPr>
      </w:pPr>
      <w:r>
        <w:rPr>
          <w:rFonts w:eastAsia="Times New Roman"/>
          <w:bCs/>
          <w:szCs w:val="24"/>
        </w:rPr>
        <w:t>Point</w:t>
      </w:r>
      <w:r w:rsidR="00AF176D">
        <w:rPr>
          <w:rFonts w:eastAsia="Times New Roman"/>
          <w:bCs/>
          <w:szCs w:val="24"/>
        </w:rPr>
        <w:t> </w:t>
      </w:r>
      <w:r>
        <w:rPr>
          <w:rFonts w:eastAsia="Times New Roman"/>
          <w:bCs/>
          <w:szCs w:val="24"/>
        </w:rPr>
        <w:t xml:space="preserve">30 </w:t>
      </w:r>
      <w:r>
        <w:rPr>
          <w:rFonts w:eastAsia="Times New Roman"/>
          <w:bCs/>
          <w:szCs w:val="24"/>
        </w:rPr>
        <w:br/>
        <w:t>Adoption du rapport</w:t>
      </w:r>
    </w:p>
    <w:p w14:paraId="342105E5" w14:textId="77777777" w:rsidR="00927718" w:rsidRDefault="00AD71B3" w:rsidP="00382D2C">
      <w:pPr>
        <w:pStyle w:val="CBDNormalNumber"/>
        <w:spacing w:before="120"/>
        <w:ind w:left="567"/>
      </w:pPr>
      <w:r>
        <w:rPr>
          <w:rFonts w:eastAsia="Times New Roman"/>
          <w:kern w:val="22"/>
        </w:rPr>
        <w:t xml:space="preserve"> [à compléter]</w:t>
      </w:r>
    </w:p>
    <w:p w14:paraId="71EBEE77" w14:textId="700B3BDA" w:rsidR="00927718" w:rsidRDefault="00AD71B3">
      <w:pPr>
        <w:pStyle w:val="CBDAgendaItem"/>
      </w:pPr>
      <w:r>
        <w:rPr>
          <w:rFonts w:eastAsia="Times New Roman"/>
          <w:bCs/>
          <w:szCs w:val="24"/>
        </w:rPr>
        <w:t>Point</w:t>
      </w:r>
      <w:r w:rsidR="00AF176D">
        <w:rPr>
          <w:rFonts w:eastAsia="Times New Roman"/>
          <w:bCs/>
          <w:szCs w:val="24"/>
        </w:rPr>
        <w:t> </w:t>
      </w:r>
      <w:r>
        <w:rPr>
          <w:rFonts w:eastAsia="Times New Roman"/>
          <w:bCs/>
          <w:szCs w:val="24"/>
        </w:rPr>
        <w:t xml:space="preserve">31 </w:t>
      </w:r>
      <w:r>
        <w:rPr>
          <w:rFonts w:eastAsia="Times New Roman"/>
          <w:bCs/>
          <w:szCs w:val="24"/>
        </w:rPr>
        <w:br/>
        <w:t>Clôture de la réunion</w:t>
      </w:r>
    </w:p>
    <w:p w14:paraId="032847FD" w14:textId="77777777" w:rsidR="00927718" w:rsidRDefault="00AD71B3" w:rsidP="00382D2C">
      <w:pPr>
        <w:pStyle w:val="CBDNormalNumber"/>
        <w:spacing w:before="120"/>
        <w:ind w:left="567"/>
        <w:rPr>
          <w:kern w:val="22"/>
        </w:rPr>
      </w:pPr>
      <w:r>
        <w:rPr>
          <w:rFonts w:eastAsia="Times New Roman"/>
          <w:color w:val="000000"/>
        </w:rPr>
        <w:t>[à compléter]</w:t>
      </w:r>
    </w:p>
    <w:p w14:paraId="3B5E7905" w14:textId="77777777" w:rsidR="00927718" w:rsidRDefault="00AD71B3">
      <w:pPr>
        <w:suppressLineNumbers/>
        <w:suppressAutoHyphens/>
        <w:jc w:val="center"/>
      </w:pPr>
      <w:r>
        <w:rPr>
          <w:kern w:val="22"/>
        </w:rPr>
        <w:t>_________</w:t>
      </w:r>
    </w:p>
    <w:sectPr w:rsidR="00927718" w:rsidSect="009178C0">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C5170D" w14:textId="77777777" w:rsidR="00A010D3" w:rsidRDefault="00A010D3">
      <w:r>
        <w:separator/>
      </w:r>
    </w:p>
  </w:endnote>
  <w:endnote w:type="continuationSeparator" w:id="0">
    <w:p w14:paraId="27D201FC" w14:textId="77777777" w:rsidR="00A010D3" w:rsidRDefault="00A01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9255C8D" w14:textId="77777777" w:rsidR="00927718" w:rsidRDefault="00AD71B3">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006D7AE7">
              <w:rPr>
                <w:noProof/>
                <w:szCs w:val="20"/>
              </w:rPr>
              <w:t>4</w:t>
            </w:r>
            <w:r w:rsidRPr="002B559C">
              <w:rPr>
                <w:szCs w:val="20"/>
              </w:rPr>
              <w:fldChar w:fldCharType="end"/>
            </w:r>
            <w:r>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6D7AE7">
              <w:rPr>
                <w:noProof/>
                <w:szCs w:val="20"/>
              </w:rPr>
              <w:t>8</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A96EF37" w14:textId="77777777" w:rsidR="00927718" w:rsidRDefault="00AD71B3">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006D7AE7">
              <w:rPr>
                <w:noProof/>
                <w:szCs w:val="20"/>
              </w:rPr>
              <w:t>3</w:t>
            </w:r>
            <w:r w:rsidRPr="002B559C">
              <w:rPr>
                <w:szCs w:val="20"/>
              </w:rPr>
              <w:fldChar w:fldCharType="end"/>
            </w:r>
            <w:r>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6D7AE7">
              <w:rPr>
                <w:noProof/>
                <w:szCs w:val="20"/>
              </w:rPr>
              <w:t>8</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8E6D07" w14:textId="77777777" w:rsidR="00A010D3" w:rsidRDefault="00A010D3">
      <w:r>
        <w:separator/>
      </w:r>
    </w:p>
  </w:footnote>
  <w:footnote w:type="continuationSeparator" w:id="0">
    <w:p w14:paraId="7276D3DD" w14:textId="77777777" w:rsidR="00A010D3" w:rsidRDefault="00A010D3">
      <w:r>
        <w:continuationSeparator/>
      </w:r>
    </w:p>
  </w:footnote>
  <w:footnote w:type="continuationNotice" w:id="1">
    <w:p w14:paraId="56A3FDF8" w14:textId="77777777" w:rsidR="00A010D3" w:rsidRDefault="00A010D3"/>
  </w:footnote>
  <w:footnote w:id="2">
    <w:p w14:paraId="17F9EFD3" w14:textId="77777777" w:rsidR="006A49FC" w:rsidRPr="006A49FC" w:rsidRDefault="00AD71B3" w:rsidP="006A49FC">
      <w:pPr>
        <w:pStyle w:val="Notedebasdepage"/>
        <w:rPr>
          <w:lang w:val="en-AU"/>
        </w:rPr>
      </w:pPr>
      <w:r>
        <w:rPr>
          <w:rStyle w:val="Appelnotedebasdep"/>
        </w:rPr>
        <w:footnoteRef/>
      </w:r>
      <w:r>
        <w:rPr>
          <w:rFonts w:eastAsia="Times New Roman"/>
          <w:szCs w:val="18"/>
        </w:rPr>
        <w:t xml:space="preserve"> CBD/COP/16/1.</w:t>
      </w:r>
    </w:p>
  </w:footnote>
  <w:footnote w:id="3">
    <w:p w14:paraId="6A723742" w14:textId="77777777" w:rsidR="006A49FC" w:rsidRPr="006A49FC" w:rsidRDefault="00AD71B3" w:rsidP="006A49FC">
      <w:pPr>
        <w:pStyle w:val="Notedebasdepage"/>
        <w:rPr>
          <w:lang w:val="en-AU"/>
        </w:rPr>
      </w:pPr>
      <w:r>
        <w:rPr>
          <w:rStyle w:val="Appelnotedebasdep"/>
        </w:rPr>
        <w:footnoteRef/>
      </w:r>
      <w:r>
        <w:rPr>
          <w:rFonts w:eastAsia="Times New Roman"/>
          <w:szCs w:val="18"/>
        </w:rPr>
        <w:t xml:space="preserve"> CBD/COP/16/1/</w:t>
      </w:r>
      <w:proofErr w:type="spellStart"/>
      <w:r>
        <w:rPr>
          <w:rFonts w:eastAsia="Times New Roman"/>
          <w:szCs w:val="18"/>
        </w:rPr>
        <w:t>Add.1</w:t>
      </w:r>
      <w:proofErr w:type="spellEnd"/>
      <w:r>
        <w:rPr>
          <w:rFonts w:eastAsia="Times New Roman"/>
          <w:szCs w:val="18"/>
        </w:rPr>
        <w:t>.</w:t>
      </w:r>
    </w:p>
  </w:footnote>
  <w:footnote w:id="4">
    <w:p w14:paraId="3ABED55D" w14:textId="77777777" w:rsidR="006A49FC" w:rsidRPr="006A49FC" w:rsidRDefault="00AD71B3" w:rsidP="006A49FC">
      <w:pPr>
        <w:pStyle w:val="Notedebasdepage"/>
        <w:rPr>
          <w:lang w:val="en-AU"/>
        </w:rPr>
      </w:pPr>
      <w:r>
        <w:rPr>
          <w:rStyle w:val="Appelnotedebasdep"/>
        </w:rPr>
        <w:footnoteRef/>
      </w:r>
      <w:r>
        <w:rPr>
          <w:rFonts w:eastAsia="Times New Roman"/>
          <w:szCs w:val="18"/>
        </w:rPr>
        <w:t xml:space="preserve"> CBD/COP/16/1/</w:t>
      </w:r>
      <w:proofErr w:type="spellStart"/>
      <w:r>
        <w:rPr>
          <w:rFonts w:eastAsia="Times New Roman"/>
          <w:szCs w:val="18"/>
        </w:rPr>
        <w:t>Add.2</w:t>
      </w:r>
      <w:proofErr w:type="spellEnd"/>
      <w:r>
        <w:rPr>
          <w:rFonts w:eastAsia="Times New Roman"/>
          <w:szCs w:val="18"/>
        </w:rPr>
        <w:t>.</w:t>
      </w:r>
    </w:p>
  </w:footnote>
  <w:footnote w:id="5">
    <w:p w14:paraId="460C2A53" w14:textId="77777777" w:rsidR="006A49FC" w:rsidRPr="006A49FC" w:rsidRDefault="00AD71B3" w:rsidP="006A49FC">
      <w:pPr>
        <w:pStyle w:val="Notedebasdepage"/>
        <w:rPr>
          <w:lang w:val="en-AU"/>
        </w:rPr>
      </w:pPr>
      <w:r>
        <w:rPr>
          <w:rStyle w:val="Appelnotedebasdep"/>
        </w:rPr>
        <w:footnoteRef/>
      </w:r>
      <w:r>
        <w:rPr>
          <w:rFonts w:eastAsia="Times New Roman"/>
          <w:szCs w:val="18"/>
        </w:rPr>
        <w:t xml:space="preserve"> CBD/COP/16/INF/2.</w:t>
      </w:r>
    </w:p>
  </w:footnote>
  <w:footnote w:id="6">
    <w:p w14:paraId="5BC08E50" w14:textId="77777777" w:rsidR="006A49FC" w:rsidRPr="005E6703" w:rsidRDefault="00AD71B3" w:rsidP="006A49FC">
      <w:pPr>
        <w:pStyle w:val="Notedebasdepage"/>
      </w:pPr>
      <w:r>
        <w:rPr>
          <w:rStyle w:val="Appelnotedebasdep"/>
          <w:rFonts w:eastAsiaTheme="majorEastAsia"/>
        </w:rPr>
        <w:footnoteRef/>
      </w:r>
      <w:r>
        <w:rPr>
          <w:rFonts w:eastAsia="Times New Roman"/>
          <w:szCs w:val="18"/>
        </w:rPr>
        <w:t xml:space="preserve"> En remplacement de </w:t>
      </w:r>
      <w:proofErr w:type="spellStart"/>
      <w:r>
        <w:rPr>
          <w:rFonts w:eastAsia="Times New Roman"/>
          <w:szCs w:val="18"/>
        </w:rPr>
        <w:t>Hlobsile</w:t>
      </w:r>
      <w:proofErr w:type="spellEnd"/>
      <w:r>
        <w:rPr>
          <w:rFonts w:eastAsia="Times New Roman"/>
          <w:szCs w:val="18"/>
        </w:rPr>
        <w:t xml:space="preserve"> </w:t>
      </w:r>
      <w:proofErr w:type="spellStart"/>
      <w:r>
        <w:rPr>
          <w:rFonts w:eastAsia="Times New Roman"/>
          <w:szCs w:val="18"/>
        </w:rPr>
        <w:t>Sikhosana</w:t>
      </w:r>
      <w:proofErr w:type="spellEnd"/>
      <w:r>
        <w:rPr>
          <w:rFonts w:eastAsia="Times New Roman"/>
          <w:szCs w:val="18"/>
        </w:rPr>
        <w:t xml:space="preserve"> (Eswatini), élue par la Conférence des Parties à la reprise de la deuxième partie de sa quinzième réunion.</w:t>
      </w:r>
    </w:p>
  </w:footnote>
  <w:footnote w:id="7">
    <w:p w14:paraId="05207CF1" w14:textId="77777777" w:rsidR="00927718" w:rsidRDefault="00AD71B3">
      <w:pPr>
        <w:pStyle w:val="Notedebasdepage"/>
      </w:pPr>
      <w:r>
        <w:rPr>
          <w:rStyle w:val="Appelnotedebasdep"/>
        </w:rPr>
        <w:footnoteRef/>
      </w:r>
      <w:r>
        <w:rPr>
          <w:rFonts w:eastAsia="Times New Roman"/>
          <w:szCs w:val="18"/>
        </w:rPr>
        <w:t xml:space="preserve"> CBD/COP/16/1.</w:t>
      </w:r>
    </w:p>
  </w:footnote>
  <w:footnote w:id="8">
    <w:p w14:paraId="4A65CFEA" w14:textId="77777777" w:rsidR="00927718" w:rsidRDefault="00AD71B3">
      <w:pPr>
        <w:pStyle w:val="Notedebasdepage"/>
      </w:pPr>
      <w:r>
        <w:rPr>
          <w:rStyle w:val="Appelnotedebasdep"/>
        </w:rPr>
        <w:footnoteRef/>
      </w:r>
      <w:r>
        <w:rPr>
          <w:rFonts w:eastAsia="Times New Roman"/>
          <w:szCs w:val="18"/>
        </w:rPr>
        <w:t xml:space="preserve"> CBD/COP/16/1/</w:t>
      </w:r>
      <w:proofErr w:type="spellStart"/>
      <w:r>
        <w:rPr>
          <w:rFonts w:eastAsia="Times New Roman"/>
          <w:szCs w:val="18"/>
        </w:rPr>
        <w:t>Add.2</w:t>
      </w:r>
      <w:proofErr w:type="spellEnd"/>
      <w:r>
        <w:rPr>
          <w:rFonts w:eastAsia="Times New Roman"/>
          <w:szCs w:val="18"/>
        </w:rPr>
        <w:t>-CBD/CP/</w:t>
      </w:r>
      <w:proofErr w:type="spellStart"/>
      <w:r>
        <w:rPr>
          <w:rFonts w:eastAsia="Times New Roman"/>
          <w:szCs w:val="18"/>
        </w:rPr>
        <w:t>MOP</w:t>
      </w:r>
      <w:proofErr w:type="spellEnd"/>
      <w:r>
        <w:rPr>
          <w:rFonts w:eastAsia="Times New Roman"/>
          <w:szCs w:val="18"/>
        </w:rPr>
        <w:t>/11/1/</w:t>
      </w:r>
      <w:proofErr w:type="spellStart"/>
      <w:r>
        <w:rPr>
          <w:rFonts w:eastAsia="Times New Roman"/>
          <w:szCs w:val="18"/>
        </w:rPr>
        <w:t>Add.2</w:t>
      </w:r>
      <w:proofErr w:type="spellEnd"/>
      <w:r>
        <w:rPr>
          <w:rFonts w:eastAsia="Times New Roman"/>
          <w:szCs w:val="18"/>
        </w:rPr>
        <w:t>-CBD/</w:t>
      </w:r>
      <w:proofErr w:type="spellStart"/>
      <w:r>
        <w:rPr>
          <w:rFonts w:eastAsia="Times New Roman"/>
          <w:szCs w:val="18"/>
        </w:rPr>
        <w:t>NP</w:t>
      </w:r>
      <w:proofErr w:type="spellEnd"/>
      <w:r>
        <w:rPr>
          <w:rFonts w:eastAsia="Times New Roman"/>
          <w:szCs w:val="18"/>
        </w:rPr>
        <w:t>/</w:t>
      </w:r>
      <w:proofErr w:type="spellStart"/>
      <w:r>
        <w:rPr>
          <w:rFonts w:eastAsia="Times New Roman"/>
          <w:szCs w:val="18"/>
        </w:rPr>
        <w:t>MOP</w:t>
      </w:r>
      <w:proofErr w:type="spellEnd"/>
      <w:r>
        <w:rPr>
          <w:rFonts w:eastAsia="Times New Roman"/>
          <w:szCs w:val="18"/>
        </w:rPr>
        <w:t>/5/1/</w:t>
      </w:r>
      <w:proofErr w:type="spellStart"/>
      <w:r>
        <w:rPr>
          <w:rFonts w:eastAsia="Times New Roman"/>
          <w:szCs w:val="18"/>
        </w:rPr>
        <w:t>Add.2</w:t>
      </w:r>
      <w:proofErr w:type="spellEnd"/>
      <w:r>
        <w:rPr>
          <w:rFonts w:eastAsia="Times New Roman"/>
          <w:szCs w:val="18"/>
        </w:rPr>
        <w:t>.</w:t>
      </w:r>
    </w:p>
  </w:footnote>
  <w:footnote w:id="9">
    <w:p w14:paraId="3EE61DD9" w14:textId="77777777" w:rsidR="00927718" w:rsidRDefault="00AD71B3">
      <w:pPr>
        <w:pStyle w:val="Notedebasdepage"/>
      </w:pPr>
      <w:r>
        <w:rPr>
          <w:rStyle w:val="Appelnotedebasdep"/>
        </w:rPr>
        <w:footnoteRef/>
      </w:r>
      <w:r>
        <w:rPr>
          <w:rFonts w:eastAsia="Times New Roman"/>
          <w:szCs w:val="18"/>
        </w:rPr>
        <w:t xml:space="preserve"> CBD/COP/16/INF/39.</w:t>
      </w:r>
    </w:p>
  </w:footnote>
  <w:footnote w:id="10">
    <w:p w14:paraId="47394CC8" w14:textId="77777777" w:rsidR="002D7740" w:rsidRDefault="002D7740" w:rsidP="002D7740">
      <w:pPr>
        <w:pStyle w:val="Notedebasdepage"/>
      </w:pPr>
      <w:r>
        <w:rPr>
          <w:rStyle w:val="Appelnotedebasdep"/>
        </w:rPr>
        <w:footnoteRef/>
      </w:r>
      <w:r>
        <w:t xml:space="preserve"> </w:t>
      </w:r>
      <w:r w:rsidRPr="009F70F0">
        <w:t>CBD/COP/16/INF/42</w:t>
      </w:r>
      <w:r>
        <w:t>.</w:t>
      </w:r>
    </w:p>
  </w:footnote>
  <w:footnote w:id="11">
    <w:p w14:paraId="1D13DF82" w14:textId="77777777" w:rsidR="00927718" w:rsidRDefault="00AD71B3">
      <w:pPr>
        <w:pStyle w:val="Notedebasdepage"/>
      </w:pPr>
      <w:r>
        <w:rPr>
          <w:rStyle w:val="Appelnotedebasdep"/>
        </w:rPr>
        <w:footnoteRef/>
      </w:r>
      <w:r>
        <w:rPr>
          <w:rFonts w:eastAsia="Times New Roman"/>
          <w:szCs w:val="18"/>
        </w:rPr>
        <w:t xml:space="preserve"> CBD/</w:t>
      </w:r>
      <w:proofErr w:type="spellStart"/>
      <w:r>
        <w:rPr>
          <w:rFonts w:eastAsia="Times New Roman"/>
          <w:szCs w:val="18"/>
        </w:rPr>
        <w:t>SBSTTA</w:t>
      </w:r>
      <w:proofErr w:type="spellEnd"/>
      <w:r>
        <w:rPr>
          <w:rFonts w:eastAsia="Times New Roman"/>
          <w:szCs w:val="18"/>
        </w:rPr>
        <w:t>/25/13 et CBD/</w:t>
      </w:r>
      <w:proofErr w:type="spellStart"/>
      <w:r>
        <w:rPr>
          <w:rFonts w:eastAsia="Times New Roman"/>
          <w:szCs w:val="18"/>
        </w:rPr>
        <w:t>SBSTTA</w:t>
      </w:r>
      <w:proofErr w:type="spellEnd"/>
      <w:r>
        <w:rPr>
          <w:rFonts w:eastAsia="Times New Roman"/>
          <w:szCs w:val="18"/>
        </w:rPr>
        <w:t>/26/9, respectivement.</w:t>
      </w:r>
    </w:p>
  </w:footnote>
  <w:footnote w:id="12">
    <w:p w14:paraId="1E723141" w14:textId="77777777" w:rsidR="00927718" w:rsidRDefault="00AD71B3">
      <w:pPr>
        <w:pStyle w:val="Notedebasdepage"/>
      </w:pPr>
      <w:r>
        <w:rPr>
          <w:rStyle w:val="Appelnotedebasdep"/>
        </w:rPr>
        <w:footnoteRef/>
      </w:r>
      <w:r>
        <w:rPr>
          <w:rFonts w:eastAsia="Times New Roman"/>
          <w:szCs w:val="18"/>
        </w:rPr>
        <w:t xml:space="preserve"> CBD/</w:t>
      </w:r>
      <w:proofErr w:type="spellStart"/>
      <w:r>
        <w:rPr>
          <w:rFonts w:eastAsia="Times New Roman"/>
          <w:szCs w:val="18"/>
        </w:rPr>
        <w:t>SBI</w:t>
      </w:r>
      <w:proofErr w:type="spellEnd"/>
      <w:r>
        <w:rPr>
          <w:rFonts w:eastAsia="Times New Roman"/>
          <w:szCs w:val="18"/>
        </w:rPr>
        <w:t>/4/17 et CBD/</w:t>
      </w:r>
      <w:proofErr w:type="spellStart"/>
      <w:r>
        <w:rPr>
          <w:rFonts w:eastAsia="Times New Roman"/>
          <w:szCs w:val="18"/>
        </w:rPr>
        <w:t>SBI</w:t>
      </w:r>
      <w:proofErr w:type="spellEnd"/>
      <w:r>
        <w:rPr>
          <w:rFonts w:eastAsia="Times New Roman"/>
          <w:szCs w:val="18"/>
        </w:rPr>
        <w:t>/5/4, respectivement.</w:t>
      </w:r>
    </w:p>
  </w:footnote>
  <w:footnote w:id="13">
    <w:p w14:paraId="1DD858D7" w14:textId="77777777" w:rsidR="00927718" w:rsidRDefault="00AD71B3">
      <w:pPr>
        <w:pStyle w:val="Notedebasdepage"/>
      </w:pPr>
      <w:r>
        <w:rPr>
          <w:rStyle w:val="Appelnotedebasdep"/>
        </w:rPr>
        <w:footnoteRef/>
      </w:r>
      <w:r>
        <w:rPr>
          <w:rFonts w:eastAsia="Times New Roman"/>
          <w:szCs w:val="18"/>
        </w:rPr>
        <w:t xml:space="preserve"> CBD/</w:t>
      </w:r>
      <w:proofErr w:type="spellStart"/>
      <w:r>
        <w:rPr>
          <w:rFonts w:eastAsia="Times New Roman"/>
          <w:szCs w:val="18"/>
        </w:rPr>
        <w:t>WG8J</w:t>
      </w:r>
      <w:proofErr w:type="spellEnd"/>
      <w:r>
        <w:rPr>
          <w:rFonts w:eastAsia="Times New Roman"/>
          <w:szCs w:val="18"/>
        </w:rPr>
        <w:t>/12/8.</w:t>
      </w:r>
    </w:p>
  </w:footnote>
  <w:footnote w:id="14">
    <w:p w14:paraId="0FD4FBDC" w14:textId="77777777" w:rsidR="00927718" w:rsidRDefault="00AD71B3">
      <w:pPr>
        <w:pStyle w:val="Notedebasdepage"/>
      </w:pPr>
      <w:r>
        <w:rPr>
          <w:rStyle w:val="Appelnotedebasdep"/>
        </w:rPr>
        <w:footnoteRef/>
      </w:r>
      <w:r>
        <w:rPr>
          <w:rFonts w:eastAsia="Times New Roman"/>
          <w:szCs w:val="18"/>
        </w:rPr>
        <w:t xml:space="preserve"> CBD/</w:t>
      </w:r>
      <w:proofErr w:type="spellStart"/>
      <w:r>
        <w:rPr>
          <w:rFonts w:eastAsia="Times New Roman"/>
          <w:szCs w:val="18"/>
        </w:rPr>
        <w:t>WGDSI</w:t>
      </w:r>
      <w:proofErr w:type="spellEnd"/>
      <w:r>
        <w:rPr>
          <w:rFonts w:eastAsia="Times New Roman"/>
          <w:szCs w:val="18"/>
        </w:rPr>
        <w:t>/1/3 et CBD/</w:t>
      </w:r>
      <w:proofErr w:type="spellStart"/>
      <w:r>
        <w:rPr>
          <w:rFonts w:eastAsia="Times New Roman"/>
          <w:szCs w:val="18"/>
        </w:rPr>
        <w:t>WGDSI</w:t>
      </w:r>
      <w:proofErr w:type="spellEnd"/>
      <w:r>
        <w:rPr>
          <w:rFonts w:eastAsia="Times New Roman"/>
          <w:szCs w:val="18"/>
        </w:rPr>
        <w:t>/2/3, respectivement.</w:t>
      </w:r>
    </w:p>
  </w:footnote>
  <w:footnote w:id="15">
    <w:p w14:paraId="78CEF2E5" w14:textId="77777777" w:rsidR="00927718" w:rsidRDefault="00AD71B3">
      <w:pPr>
        <w:pStyle w:val="Notedebasdepage"/>
      </w:pPr>
      <w:r w:rsidRPr="00DF73B7">
        <w:rPr>
          <w:rStyle w:val="Appelnotedebasdep"/>
        </w:rPr>
        <w:footnoteRef/>
      </w:r>
      <w:r>
        <w:rPr>
          <w:rFonts w:eastAsia="Times New Roman"/>
          <w:szCs w:val="18"/>
        </w:rPr>
        <w:t xml:space="preserve"> CBD/COP/16/</w:t>
      </w:r>
      <w:proofErr w:type="spellStart"/>
      <w:r>
        <w:rPr>
          <w:rFonts w:eastAsia="Times New Roman"/>
          <w:szCs w:val="18"/>
        </w:rPr>
        <w:t>3-CBD</w:t>
      </w:r>
      <w:proofErr w:type="spellEnd"/>
      <w:r>
        <w:rPr>
          <w:rFonts w:eastAsia="Times New Roman"/>
          <w:szCs w:val="18"/>
        </w:rPr>
        <w:t>/CP/</w:t>
      </w:r>
      <w:proofErr w:type="spellStart"/>
      <w:r>
        <w:rPr>
          <w:rFonts w:eastAsia="Times New Roman"/>
          <w:szCs w:val="18"/>
        </w:rPr>
        <w:t>MOP</w:t>
      </w:r>
      <w:proofErr w:type="spellEnd"/>
      <w:r>
        <w:rPr>
          <w:rFonts w:eastAsia="Times New Roman"/>
          <w:szCs w:val="18"/>
        </w:rPr>
        <w:t>/11/</w:t>
      </w:r>
      <w:proofErr w:type="spellStart"/>
      <w:r>
        <w:rPr>
          <w:rFonts w:eastAsia="Times New Roman"/>
          <w:szCs w:val="18"/>
        </w:rPr>
        <w:t>4-CBD</w:t>
      </w:r>
      <w:proofErr w:type="spellEnd"/>
      <w:r>
        <w:rPr>
          <w:rFonts w:eastAsia="Times New Roman"/>
          <w:szCs w:val="18"/>
        </w:rPr>
        <w:t>/</w:t>
      </w:r>
      <w:proofErr w:type="spellStart"/>
      <w:r>
        <w:rPr>
          <w:rFonts w:eastAsia="Times New Roman"/>
          <w:szCs w:val="18"/>
        </w:rPr>
        <w:t>NP</w:t>
      </w:r>
      <w:proofErr w:type="spellEnd"/>
      <w:r>
        <w:rPr>
          <w:rFonts w:eastAsia="Times New Roman"/>
          <w:szCs w:val="18"/>
        </w:rPr>
        <w:t>/</w:t>
      </w:r>
      <w:proofErr w:type="spellStart"/>
      <w:r>
        <w:rPr>
          <w:rFonts w:eastAsia="Times New Roman"/>
          <w:szCs w:val="18"/>
        </w:rPr>
        <w:t>MOP</w:t>
      </w:r>
      <w:proofErr w:type="spellEnd"/>
      <w:r>
        <w:rPr>
          <w:rFonts w:eastAsia="Times New Roman"/>
          <w:szCs w:val="18"/>
        </w:rPr>
        <w:t>/5/4.</w:t>
      </w:r>
    </w:p>
  </w:footnote>
  <w:footnote w:id="16">
    <w:p w14:paraId="36494270" w14:textId="77777777" w:rsidR="00927718" w:rsidRDefault="00AD71B3">
      <w:pPr>
        <w:pStyle w:val="Notedebasdepage"/>
      </w:pPr>
      <w:r w:rsidRPr="004C4D8F">
        <w:rPr>
          <w:rStyle w:val="Appelnotedebasdep"/>
        </w:rPr>
        <w:footnoteRef/>
      </w:r>
      <w:r>
        <w:rPr>
          <w:rFonts w:eastAsia="Times New Roman"/>
          <w:szCs w:val="18"/>
        </w:rPr>
        <w:t xml:space="preserve"> CBD/COP/16/</w:t>
      </w:r>
      <w:proofErr w:type="spellStart"/>
      <w:r>
        <w:rPr>
          <w:rFonts w:eastAsia="Times New Roman"/>
          <w:szCs w:val="18"/>
        </w:rPr>
        <w:t>4-CBD</w:t>
      </w:r>
      <w:proofErr w:type="spellEnd"/>
      <w:r>
        <w:rPr>
          <w:rFonts w:eastAsia="Times New Roman"/>
          <w:szCs w:val="18"/>
        </w:rPr>
        <w:t>/CP/</w:t>
      </w:r>
      <w:proofErr w:type="spellStart"/>
      <w:r>
        <w:rPr>
          <w:rFonts w:eastAsia="Times New Roman"/>
          <w:szCs w:val="18"/>
        </w:rPr>
        <w:t>MOP</w:t>
      </w:r>
      <w:proofErr w:type="spellEnd"/>
      <w:r>
        <w:rPr>
          <w:rFonts w:eastAsia="Times New Roman"/>
          <w:szCs w:val="18"/>
        </w:rPr>
        <w:t>/11/</w:t>
      </w:r>
      <w:proofErr w:type="spellStart"/>
      <w:r>
        <w:rPr>
          <w:rFonts w:eastAsia="Times New Roman"/>
          <w:szCs w:val="18"/>
        </w:rPr>
        <w:t>5-CBD</w:t>
      </w:r>
      <w:proofErr w:type="spellEnd"/>
      <w:r>
        <w:rPr>
          <w:rFonts w:eastAsia="Times New Roman"/>
          <w:szCs w:val="18"/>
        </w:rPr>
        <w:t>/</w:t>
      </w:r>
      <w:proofErr w:type="spellStart"/>
      <w:r>
        <w:rPr>
          <w:rFonts w:eastAsia="Times New Roman"/>
          <w:szCs w:val="18"/>
        </w:rPr>
        <w:t>NP</w:t>
      </w:r>
      <w:proofErr w:type="spellEnd"/>
      <w:r>
        <w:rPr>
          <w:rFonts w:eastAsia="Times New Roman"/>
          <w:szCs w:val="18"/>
        </w:rPr>
        <w:t>/</w:t>
      </w:r>
      <w:proofErr w:type="spellStart"/>
      <w:r>
        <w:rPr>
          <w:rFonts w:eastAsia="Times New Roman"/>
          <w:szCs w:val="18"/>
        </w:rPr>
        <w:t>MOP</w:t>
      </w:r>
      <w:proofErr w:type="spellEnd"/>
      <w:r>
        <w:rPr>
          <w:rFonts w:eastAsia="Times New Roman"/>
          <w:szCs w:val="18"/>
        </w:rPr>
        <w:t>/5/5.</w:t>
      </w:r>
    </w:p>
  </w:footnote>
  <w:footnote w:id="17">
    <w:p w14:paraId="33869748" w14:textId="77777777" w:rsidR="00927718" w:rsidRDefault="00AD71B3">
      <w:pPr>
        <w:pStyle w:val="Notedebasdepage"/>
      </w:pPr>
      <w:r>
        <w:rPr>
          <w:rStyle w:val="Appelnotedebasdep"/>
        </w:rPr>
        <w:footnoteRef/>
      </w:r>
      <w:r>
        <w:rPr>
          <w:rFonts w:eastAsia="Times New Roman"/>
          <w:szCs w:val="18"/>
        </w:rPr>
        <w:t xml:space="preserve"> </w:t>
      </w:r>
      <w:r>
        <w:rPr>
          <w:rFonts w:eastAsia="Times New Roman"/>
          <w:color w:val="000000"/>
          <w:szCs w:val="18"/>
        </w:rPr>
        <w:t>CBD/COP/16/4/</w:t>
      </w:r>
      <w:proofErr w:type="spellStart"/>
      <w:r>
        <w:rPr>
          <w:rFonts w:eastAsia="Times New Roman"/>
          <w:color w:val="000000"/>
          <w:szCs w:val="18"/>
        </w:rPr>
        <w:t>Add.1</w:t>
      </w:r>
      <w:proofErr w:type="spellEnd"/>
      <w:r>
        <w:rPr>
          <w:rFonts w:eastAsia="Times New Roman"/>
          <w:color w:val="000000"/>
          <w:szCs w:val="18"/>
        </w:rPr>
        <w:t>-CBD/CP/</w:t>
      </w:r>
      <w:proofErr w:type="spellStart"/>
      <w:r>
        <w:rPr>
          <w:rFonts w:eastAsia="Times New Roman"/>
          <w:color w:val="000000"/>
          <w:szCs w:val="18"/>
        </w:rPr>
        <w:t>MOP</w:t>
      </w:r>
      <w:proofErr w:type="spellEnd"/>
      <w:r>
        <w:rPr>
          <w:rFonts w:eastAsia="Times New Roman"/>
          <w:color w:val="000000"/>
          <w:szCs w:val="18"/>
        </w:rPr>
        <w:t>/11/5/</w:t>
      </w:r>
      <w:proofErr w:type="spellStart"/>
      <w:r>
        <w:rPr>
          <w:rFonts w:eastAsia="Times New Roman"/>
          <w:color w:val="000000"/>
          <w:szCs w:val="18"/>
        </w:rPr>
        <w:t>Add.1</w:t>
      </w:r>
      <w:proofErr w:type="spellEnd"/>
      <w:r>
        <w:rPr>
          <w:rFonts w:eastAsia="Times New Roman"/>
          <w:color w:val="000000"/>
          <w:szCs w:val="18"/>
        </w:rPr>
        <w:t>-CBD/</w:t>
      </w:r>
      <w:proofErr w:type="spellStart"/>
      <w:r>
        <w:rPr>
          <w:rFonts w:eastAsia="Times New Roman"/>
          <w:color w:val="000000"/>
          <w:szCs w:val="18"/>
        </w:rPr>
        <w:t>NP</w:t>
      </w:r>
      <w:proofErr w:type="spellEnd"/>
      <w:r>
        <w:rPr>
          <w:rFonts w:eastAsia="Times New Roman"/>
          <w:color w:val="000000"/>
          <w:szCs w:val="18"/>
        </w:rPr>
        <w:t>/</w:t>
      </w:r>
      <w:proofErr w:type="spellStart"/>
      <w:r>
        <w:rPr>
          <w:rFonts w:eastAsia="Times New Roman"/>
          <w:color w:val="000000"/>
          <w:szCs w:val="18"/>
        </w:rPr>
        <w:t>MOP</w:t>
      </w:r>
      <w:proofErr w:type="spellEnd"/>
      <w:r>
        <w:rPr>
          <w:rFonts w:eastAsia="Times New Roman"/>
          <w:color w:val="000000"/>
          <w:szCs w:val="18"/>
        </w:rPr>
        <w:t>/5/</w:t>
      </w:r>
      <w:proofErr w:type="spellStart"/>
      <w:r>
        <w:rPr>
          <w:rFonts w:eastAsia="Times New Roman"/>
          <w:color w:val="000000"/>
          <w:szCs w:val="18"/>
        </w:rPr>
        <w:t>Add.1</w:t>
      </w:r>
      <w:proofErr w:type="spellEnd"/>
      <w:r>
        <w:rPr>
          <w:rFonts w:eastAsia="Times New Roman"/>
          <w:color w:val="000000"/>
          <w:szCs w:val="18"/>
        </w:rPr>
        <w:t>.</w:t>
      </w:r>
    </w:p>
  </w:footnote>
  <w:footnote w:id="18">
    <w:p w14:paraId="4D6681C4" w14:textId="77777777" w:rsidR="00927718" w:rsidRDefault="00AD71B3">
      <w:pPr>
        <w:pStyle w:val="Notedebasdepage"/>
      </w:pPr>
      <w:r w:rsidRPr="004C4D8F">
        <w:rPr>
          <w:rStyle w:val="Appelnotedebasdep"/>
        </w:rPr>
        <w:footnoteRef/>
      </w:r>
      <w:r>
        <w:rPr>
          <w:rFonts w:eastAsia="Times New Roman"/>
          <w:szCs w:val="18"/>
        </w:rPr>
        <w:t xml:space="preserve"> </w:t>
      </w:r>
      <w:r>
        <w:rPr>
          <w:rFonts w:eastAsia="Times New Roman"/>
          <w:color w:val="000000"/>
          <w:szCs w:val="18"/>
        </w:rPr>
        <w:t>CBD/COP/16/4/</w:t>
      </w:r>
      <w:proofErr w:type="spellStart"/>
      <w:r>
        <w:rPr>
          <w:rFonts w:eastAsia="Times New Roman"/>
          <w:color w:val="000000"/>
          <w:szCs w:val="18"/>
        </w:rPr>
        <w:t>Add.2</w:t>
      </w:r>
      <w:proofErr w:type="spellEnd"/>
      <w:r>
        <w:rPr>
          <w:rFonts w:eastAsia="Times New Roman"/>
          <w:color w:val="000000"/>
          <w:szCs w:val="18"/>
        </w:rPr>
        <w:t>-CBD/CP/</w:t>
      </w:r>
      <w:proofErr w:type="spellStart"/>
      <w:r>
        <w:rPr>
          <w:rFonts w:eastAsia="Times New Roman"/>
          <w:color w:val="000000"/>
          <w:szCs w:val="18"/>
        </w:rPr>
        <w:t>MOP</w:t>
      </w:r>
      <w:proofErr w:type="spellEnd"/>
      <w:r>
        <w:rPr>
          <w:rFonts w:eastAsia="Times New Roman"/>
          <w:color w:val="000000"/>
          <w:szCs w:val="18"/>
        </w:rPr>
        <w:t>/11/5/</w:t>
      </w:r>
      <w:proofErr w:type="spellStart"/>
      <w:r>
        <w:rPr>
          <w:rFonts w:eastAsia="Times New Roman"/>
          <w:color w:val="000000"/>
          <w:szCs w:val="18"/>
        </w:rPr>
        <w:t>Add.2</w:t>
      </w:r>
      <w:proofErr w:type="spellEnd"/>
      <w:r>
        <w:rPr>
          <w:rFonts w:eastAsia="Times New Roman"/>
          <w:color w:val="000000"/>
          <w:szCs w:val="18"/>
        </w:rPr>
        <w:t>-CBD/</w:t>
      </w:r>
      <w:proofErr w:type="spellStart"/>
      <w:r>
        <w:rPr>
          <w:rFonts w:eastAsia="Times New Roman"/>
          <w:color w:val="000000"/>
          <w:szCs w:val="18"/>
        </w:rPr>
        <w:t>NP</w:t>
      </w:r>
      <w:proofErr w:type="spellEnd"/>
      <w:r>
        <w:rPr>
          <w:rFonts w:eastAsia="Times New Roman"/>
          <w:color w:val="000000"/>
          <w:szCs w:val="18"/>
        </w:rPr>
        <w:t>/</w:t>
      </w:r>
      <w:proofErr w:type="spellStart"/>
      <w:r>
        <w:rPr>
          <w:rFonts w:eastAsia="Times New Roman"/>
          <w:color w:val="000000"/>
          <w:szCs w:val="18"/>
        </w:rPr>
        <w:t>MOP</w:t>
      </w:r>
      <w:proofErr w:type="spellEnd"/>
      <w:r>
        <w:rPr>
          <w:rFonts w:eastAsia="Times New Roman"/>
          <w:color w:val="000000"/>
          <w:szCs w:val="18"/>
        </w:rPr>
        <w:t>/5/</w:t>
      </w:r>
      <w:proofErr w:type="spellStart"/>
      <w:r>
        <w:rPr>
          <w:rFonts w:eastAsia="Times New Roman"/>
          <w:color w:val="000000"/>
          <w:szCs w:val="18"/>
        </w:rPr>
        <w:t>Add.2</w:t>
      </w:r>
      <w:proofErr w:type="spellEnd"/>
      <w:r>
        <w:rPr>
          <w:rFonts w:eastAsia="Times New Roman"/>
          <w:color w:val="000000"/>
          <w:szCs w:val="18"/>
        </w:rPr>
        <w:t>.</w:t>
      </w:r>
    </w:p>
  </w:footnote>
  <w:footnote w:id="19">
    <w:p w14:paraId="708D2985" w14:textId="77777777" w:rsidR="00927718" w:rsidRDefault="00AD71B3">
      <w:pPr>
        <w:pStyle w:val="Notedebasdepage"/>
      </w:pPr>
      <w:r>
        <w:rPr>
          <w:rStyle w:val="Appelnotedebasdep"/>
        </w:rPr>
        <w:footnoteRef/>
      </w:r>
      <w:r>
        <w:rPr>
          <w:rFonts w:eastAsia="Times New Roman"/>
          <w:szCs w:val="18"/>
        </w:rPr>
        <w:t xml:space="preserve"> CBD/</w:t>
      </w:r>
      <w:proofErr w:type="spellStart"/>
      <w:r>
        <w:rPr>
          <w:rFonts w:eastAsia="Times New Roman"/>
          <w:szCs w:val="18"/>
        </w:rPr>
        <w:t>SBI</w:t>
      </w:r>
      <w:proofErr w:type="spellEnd"/>
      <w:r>
        <w:rPr>
          <w:rFonts w:eastAsia="Times New Roman"/>
          <w:szCs w:val="18"/>
        </w:rPr>
        <w:t>/5/4,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7572D9C1" w14:textId="77777777" w:rsidR="00927718" w:rsidRDefault="00AD71B3">
    <w:pPr>
      <w:pBdr>
        <w:bottom w:val="single" w:sz="4" w:space="1" w:color="auto"/>
      </w:pBdr>
      <w:spacing w:after="240"/>
      <w:rPr>
        <w:sz w:val="20"/>
        <w:szCs w:val="20"/>
      </w:rPr>
    </w:pPr>
    <w:r>
      <w:rPr>
        <w:sz w:val="20"/>
        <w:szCs w:val="20"/>
      </w:rPr>
      <w:fldChar w:fldCharType="begin"/>
    </w:r>
    <w:r>
      <w:rPr>
        <w:sz w:val="20"/>
        <w:szCs w:val="20"/>
      </w:rPr>
      <w:instrText xml:space="preserve"> HYPERLINK \h </w:instrText>
    </w:r>
    <w:r>
      <w:rPr>
        <w:sz w:val="20"/>
        <w:szCs w:val="20"/>
      </w:rPr>
    </w:r>
    <w:r>
      <w:rPr>
        <w:sz w:val="20"/>
        <w:szCs w:val="20"/>
      </w:rPr>
      <w:fldChar w:fldCharType="separate"/>
    </w:r>
    <w:r>
      <w:rPr>
        <w:rFonts w:eastAsia="Times New Roman"/>
        <w:sz w:val="20"/>
        <w:szCs w:val="20"/>
      </w:rPr>
      <w:t>CBD/COP/16/</w:t>
    </w:r>
    <w:proofErr w:type="spellStart"/>
    <w:r>
      <w:rPr>
        <w:rFonts w:eastAsia="Times New Roman"/>
        <w:sz w:val="20"/>
        <w:szCs w:val="20"/>
      </w:rPr>
      <w:t>L.1</w:t>
    </w:r>
    <w:proofErr w:type="spellEnd"/>
    <w:r>
      <w:rPr>
        <w:sz w:val="20"/>
        <w:szCs w:val="20"/>
      </w:rPr>
      <w:fldChar w:fldCharType="end"/>
    </w:r>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id w:val="-1885015078"/>
      <w:dataBinding w:prefixMappings="xmlns:ns0='http://purl.org/dc/elements/1.1/' xmlns:ns1='http://schemas.openxmlformats.org/package/2006/metadata/core-properties' " w:xpath="/ns1:coreProperties[1]/ns0:subject[1]" w:storeItemID="{6C3C8BC8-F283-45AE-878A-BAB7291924A1}"/>
      <w:text/>
    </w:sdtPr>
    <w:sdtContent>
      <w:p w14:paraId="196FA12D" w14:textId="77777777" w:rsidR="003B282B" w:rsidRDefault="00AD71B3">
        <w:pPr>
          <w:pBdr>
            <w:bottom w:val="single" w:sz="4" w:space="1" w:color="auto"/>
          </w:pBdr>
          <w:spacing w:after="240"/>
          <w:jc w:val="right"/>
          <w:rPr>
            <w:rFonts w:eastAsia="Times New Roman"/>
            <w:sz w:val="20"/>
            <w:szCs w:val="20"/>
          </w:rPr>
        </w:pPr>
        <w:r>
          <w:rPr>
            <w:rFonts w:eastAsia="Times New Roman"/>
            <w:sz w:val="20"/>
            <w:szCs w:val="20"/>
          </w:rPr>
          <w:t>CBD/COP/16/</w:t>
        </w:r>
        <w:proofErr w:type="spellStart"/>
        <w:r>
          <w:rPr>
            <w:rFonts w:eastAsia="Times New Roman"/>
            <w:sz w:val="20"/>
            <w:szCs w:val="20"/>
          </w:rPr>
          <w:t>L.1</w:t>
        </w:r>
        <w:proofErr w:type="spellEnd"/>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1A6D20" w14:textId="77777777" w:rsidR="009178C0" w:rsidRDefault="009178C0" w:rsidP="009178C0">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68D8AB2C"/>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6BB8D69C"/>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9A6212AC"/>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425E8016"/>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F208C496"/>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62379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F2D194"/>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A8ACC2"/>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DA05D8"/>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25D6E93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BFEE0BA">
      <w:start w:val="1"/>
      <w:numFmt w:val="decimal"/>
      <w:lvlText w:val="%1."/>
      <w:lvlJc w:val="right"/>
      <w:pPr>
        <w:tabs>
          <w:tab w:val="num" w:pos="1247"/>
        </w:tabs>
        <w:ind w:left="1247" w:hanging="396"/>
      </w:pPr>
      <w:rPr>
        <w:rFonts w:hint="default"/>
      </w:rPr>
    </w:lvl>
    <w:lvl w:ilvl="1" w:tplc="E998F554" w:tentative="1">
      <w:start w:val="1"/>
      <w:numFmt w:val="lowerLetter"/>
      <w:lvlText w:val="%2."/>
      <w:lvlJc w:val="left"/>
      <w:pPr>
        <w:ind w:left="1440" w:hanging="360"/>
      </w:pPr>
    </w:lvl>
    <w:lvl w:ilvl="2" w:tplc="27EE6258" w:tentative="1">
      <w:start w:val="1"/>
      <w:numFmt w:val="lowerRoman"/>
      <w:lvlText w:val="%3."/>
      <w:lvlJc w:val="right"/>
      <w:pPr>
        <w:ind w:left="2160" w:hanging="180"/>
      </w:pPr>
    </w:lvl>
    <w:lvl w:ilvl="3" w:tplc="4580BE18" w:tentative="1">
      <w:start w:val="1"/>
      <w:numFmt w:val="decimal"/>
      <w:lvlText w:val="%4."/>
      <w:lvlJc w:val="left"/>
      <w:pPr>
        <w:ind w:left="2880" w:hanging="360"/>
      </w:pPr>
    </w:lvl>
    <w:lvl w:ilvl="4" w:tplc="1CAE9A94" w:tentative="1">
      <w:start w:val="1"/>
      <w:numFmt w:val="lowerLetter"/>
      <w:lvlText w:val="%5."/>
      <w:lvlJc w:val="left"/>
      <w:pPr>
        <w:ind w:left="3600" w:hanging="360"/>
      </w:pPr>
    </w:lvl>
    <w:lvl w:ilvl="5" w:tplc="8B26C064" w:tentative="1">
      <w:start w:val="1"/>
      <w:numFmt w:val="lowerRoman"/>
      <w:lvlText w:val="%6."/>
      <w:lvlJc w:val="right"/>
      <w:pPr>
        <w:ind w:left="4320" w:hanging="180"/>
      </w:pPr>
    </w:lvl>
    <w:lvl w:ilvl="6" w:tplc="73D4F418" w:tentative="1">
      <w:start w:val="1"/>
      <w:numFmt w:val="decimal"/>
      <w:lvlText w:val="%7."/>
      <w:lvlJc w:val="left"/>
      <w:pPr>
        <w:ind w:left="5040" w:hanging="360"/>
      </w:pPr>
    </w:lvl>
    <w:lvl w:ilvl="7" w:tplc="08A86228" w:tentative="1">
      <w:start w:val="1"/>
      <w:numFmt w:val="lowerLetter"/>
      <w:lvlText w:val="%8."/>
      <w:lvlJc w:val="left"/>
      <w:pPr>
        <w:ind w:left="5760" w:hanging="360"/>
      </w:pPr>
    </w:lvl>
    <w:lvl w:ilvl="8" w:tplc="2376AB08"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3728567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3728567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B2C47CC6">
      <w:start w:val="1"/>
      <w:numFmt w:val="lowerRoman"/>
      <w:lvlText w:val="(%1)"/>
      <w:lvlJc w:val="right"/>
      <w:pPr>
        <w:ind w:left="1211" w:hanging="360"/>
      </w:pPr>
      <w:rPr>
        <w:rFonts w:hint="default"/>
      </w:rPr>
    </w:lvl>
    <w:lvl w:ilvl="1" w:tplc="5ACA5688" w:tentative="1">
      <w:start w:val="1"/>
      <w:numFmt w:val="lowerLetter"/>
      <w:lvlText w:val="%2."/>
      <w:lvlJc w:val="left"/>
      <w:pPr>
        <w:ind w:left="2016" w:hanging="360"/>
      </w:pPr>
    </w:lvl>
    <w:lvl w:ilvl="2" w:tplc="3426E718" w:tentative="1">
      <w:start w:val="1"/>
      <w:numFmt w:val="lowerRoman"/>
      <w:lvlText w:val="%3."/>
      <w:lvlJc w:val="right"/>
      <w:pPr>
        <w:ind w:left="2736" w:hanging="180"/>
      </w:pPr>
    </w:lvl>
    <w:lvl w:ilvl="3" w:tplc="138055B4" w:tentative="1">
      <w:start w:val="1"/>
      <w:numFmt w:val="decimal"/>
      <w:lvlText w:val="%4."/>
      <w:lvlJc w:val="left"/>
      <w:pPr>
        <w:ind w:left="3456" w:hanging="360"/>
      </w:pPr>
    </w:lvl>
    <w:lvl w:ilvl="4" w:tplc="75026E70" w:tentative="1">
      <w:start w:val="1"/>
      <w:numFmt w:val="lowerLetter"/>
      <w:lvlText w:val="%5."/>
      <w:lvlJc w:val="left"/>
      <w:pPr>
        <w:ind w:left="4176" w:hanging="360"/>
      </w:pPr>
    </w:lvl>
    <w:lvl w:ilvl="5" w:tplc="3C6EA9B8" w:tentative="1">
      <w:start w:val="1"/>
      <w:numFmt w:val="lowerRoman"/>
      <w:lvlText w:val="%6."/>
      <w:lvlJc w:val="right"/>
      <w:pPr>
        <w:ind w:left="4896" w:hanging="180"/>
      </w:pPr>
    </w:lvl>
    <w:lvl w:ilvl="6" w:tplc="97B686EA" w:tentative="1">
      <w:start w:val="1"/>
      <w:numFmt w:val="decimal"/>
      <w:lvlText w:val="%7."/>
      <w:lvlJc w:val="left"/>
      <w:pPr>
        <w:ind w:left="5616" w:hanging="360"/>
      </w:pPr>
    </w:lvl>
    <w:lvl w:ilvl="7" w:tplc="3968C402" w:tentative="1">
      <w:start w:val="1"/>
      <w:numFmt w:val="lowerLetter"/>
      <w:lvlText w:val="%8."/>
      <w:lvlJc w:val="left"/>
      <w:pPr>
        <w:ind w:left="6336" w:hanging="360"/>
      </w:pPr>
    </w:lvl>
    <w:lvl w:ilvl="8" w:tplc="096E30D2"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E9A74CA">
      <w:numFmt w:val="bullet"/>
      <w:lvlText w:val=""/>
      <w:lvlJc w:val="left"/>
      <w:pPr>
        <w:ind w:left="720" w:hanging="360"/>
      </w:pPr>
      <w:rPr>
        <w:rFonts w:ascii="Symbol" w:eastAsia="SimSun" w:hAnsi="Symbol" w:cs="Times New Roman" w:hint="default"/>
      </w:rPr>
    </w:lvl>
    <w:lvl w:ilvl="1" w:tplc="CA781BD6" w:tentative="1">
      <w:start w:val="1"/>
      <w:numFmt w:val="bullet"/>
      <w:lvlText w:val="o"/>
      <w:lvlJc w:val="left"/>
      <w:pPr>
        <w:ind w:left="1440" w:hanging="360"/>
      </w:pPr>
      <w:rPr>
        <w:rFonts w:ascii="Courier New" w:hAnsi="Courier New" w:cs="Courier New" w:hint="default"/>
      </w:rPr>
    </w:lvl>
    <w:lvl w:ilvl="2" w:tplc="504E39A0" w:tentative="1">
      <w:start w:val="1"/>
      <w:numFmt w:val="bullet"/>
      <w:lvlText w:val=""/>
      <w:lvlJc w:val="left"/>
      <w:pPr>
        <w:ind w:left="2160" w:hanging="360"/>
      </w:pPr>
      <w:rPr>
        <w:rFonts w:ascii="Wingdings" w:hAnsi="Wingdings" w:hint="default"/>
      </w:rPr>
    </w:lvl>
    <w:lvl w:ilvl="3" w:tplc="21225B38" w:tentative="1">
      <w:start w:val="1"/>
      <w:numFmt w:val="bullet"/>
      <w:lvlText w:val=""/>
      <w:lvlJc w:val="left"/>
      <w:pPr>
        <w:ind w:left="2880" w:hanging="360"/>
      </w:pPr>
      <w:rPr>
        <w:rFonts w:ascii="Symbol" w:hAnsi="Symbol" w:hint="default"/>
      </w:rPr>
    </w:lvl>
    <w:lvl w:ilvl="4" w:tplc="CC0C6D28" w:tentative="1">
      <w:start w:val="1"/>
      <w:numFmt w:val="bullet"/>
      <w:lvlText w:val="o"/>
      <w:lvlJc w:val="left"/>
      <w:pPr>
        <w:ind w:left="3600" w:hanging="360"/>
      </w:pPr>
      <w:rPr>
        <w:rFonts w:ascii="Courier New" w:hAnsi="Courier New" w:cs="Courier New" w:hint="default"/>
      </w:rPr>
    </w:lvl>
    <w:lvl w:ilvl="5" w:tplc="3028C6D2" w:tentative="1">
      <w:start w:val="1"/>
      <w:numFmt w:val="bullet"/>
      <w:lvlText w:val=""/>
      <w:lvlJc w:val="left"/>
      <w:pPr>
        <w:ind w:left="4320" w:hanging="360"/>
      </w:pPr>
      <w:rPr>
        <w:rFonts w:ascii="Wingdings" w:hAnsi="Wingdings" w:hint="default"/>
      </w:rPr>
    </w:lvl>
    <w:lvl w:ilvl="6" w:tplc="E4A2D9AA" w:tentative="1">
      <w:start w:val="1"/>
      <w:numFmt w:val="bullet"/>
      <w:lvlText w:val=""/>
      <w:lvlJc w:val="left"/>
      <w:pPr>
        <w:ind w:left="5040" w:hanging="360"/>
      </w:pPr>
      <w:rPr>
        <w:rFonts w:ascii="Symbol" w:hAnsi="Symbol" w:hint="default"/>
      </w:rPr>
    </w:lvl>
    <w:lvl w:ilvl="7" w:tplc="0232760E" w:tentative="1">
      <w:start w:val="1"/>
      <w:numFmt w:val="bullet"/>
      <w:lvlText w:val="o"/>
      <w:lvlJc w:val="left"/>
      <w:pPr>
        <w:ind w:left="5760" w:hanging="360"/>
      </w:pPr>
      <w:rPr>
        <w:rFonts w:ascii="Courier New" w:hAnsi="Courier New" w:cs="Courier New" w:hint="default"/>
      </w:rPr>
    </w:lvl>
    <w:lvl w:ilvl="8" w:tplc="908838E0"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DAFEFD16">
      <w:start w:val="1"/>
      <w:numFmt w:val="decimal"/>
      <w:lvlText w:val="%1."/>
      <w:lvlJc w:val="left"/>
      <w:pPr>
        <w:ind w:left="927" w:hanging="360"/>
      </w:pPr>
      <w:rPr>
        <w:rFonts w:hint="default"/>
      </w:rPr>
    </w:lvl>
    <w:lvl w:ilvl="1" w:tplc="FCF4C3D4" w:tentative="1">
      <w:start w:val="1"/>
      <w:numFmt w:val="lowerLetter"/>
      <w:lvlText w:val="%2."/>
      <w:lvlJc w:val="left"/>
      <w:pPr>
        <w:ind w:left="1647" w:hanging="360"/>
      </w:pPr>
    </w:lvl>
    <w:lvl w:ilvl="2" w:tplc="442A5CE6" w:tentative="1">
      <w:start w:val="1"/>
      <w:numFmt w:val="lowerRoman"/>
      <w:lvlText w:val="%3."/>
      <w:lvlJc w:val="right"/>
      <w:pPr>
        <w:ind w:left="2367" w:hanging="180"/>
      </w:pPr>
    </w:lvl>
    <w:lvl w:ilvl="3" w:tplc="37DC7946" w:tentative="1">
      <w:start w:val="1"/>
      <w:numFmt w:val="decimal"/>
      <w:lvlText w:val="%4."/>
      <w:lvlJc w:val="left"/>
      <w:pPr>
        <w:ind w:left="3087" w:hanging="360"/>
      </w:pPr>
    </w:lvl>
    <w:lvl w:ilvl="4" w:tplc="D74C1584" w:tentative="1">
      <w:start w:val="1"/>
      <w:numFmt w:val="lowerLetter"/>
      <w:lvlText w:val="%5."/>
      <w:lvlJc w:val="left"/>
      <w:pPr>
        <w:ind w:left="3807" w:hanging="360"/>
      </w:pPr>
    </w:lvl>
    <w:lvl w:ilvl="5" w:tplc="E258D986" w:tentative="1">
      <w:start w:val="1"/>
      <w:numFmt w:val="lowerRoman"/>
      <w:lvlText w:val="%6."/>
      <w:lvlJc w:val="right"/>
      <w:pPr>
        <w:ind w:left="4527" w:hanging="180"/>
      </w:pPr>
    </w:lvl>
    <w:lvl w:ilvl="6" w:tplc="9ABEE070" w:tentative="1">
      <w:start w:val="1"/>
      <w:numFmt w:val="decimal"/>
      <w:lvlText w:val="%7."/>
      <w:lvlJc w:val="left"/>
      <w:pPr>
        <w:ind w:left="5247" w:hanging="360"/>
      </w:pPr>
    </w:lvl>
    <w:lvl w:ilvl="7" w:tplc="D1BE270A" w:tentative="1">
      <w:start w:val="1"/>
      <w:numFmt w:val="lowerLetter"/>
      <w:lvlText w:val="%8."/>
      <w:lvlJc w:val="left"/>
      <w:pPr>
        <w:ind w:left="5967" w:hanging="360"/>
      </w:pPr>
    </w:lvl>
    <w:lvl w:ilvl="8" w:tplc="32A6816A"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D086377E">
      <w:start w:val="1"/>
      <w:numFmt w:val="decimal"/>
      <w:lvlText w:val="%1."/>
      <w:lvlJc w:val="right"/>
      <w:pPr>
        <w:ind w:left="927" w:hanging="360"/>
      </w:pPr>
      <w:rPr>
        <w:rFonts w:hint="default"/>
      </w:rPr>
    </w:lvl>
    <w:lvl w:ilvl="1" w:tplc="251C2B12" w:tentative="1">
      <w:start w:val="1"/>
      <w:numFmt w:val="lowerLetter"/>
      <w:lvlText w:val="%2."/>
      <w:lvlJc w:val="left"/>
      <w:pPr>
        <w:ind w:left="2313" w:hanging="360"/>
      </w:pPr>
    </w:lvl>
    <w:lvl w:ilvl="2" w:tplc="950A2E3A" w:tentative="1">
      <w:start w:val="1"/>
      <w:numFmt w:val="lowerRoman"/>
      <w:lvlText w:val="%3."/>
      <w:lvlJc w:val="right"/>
      <w:pPr>
        <w:ind w:left="3033" w:hanging="180"/>
      </w:pPr>
    </w:lvl>
    <w:lvl w:ilvl="3" w:tplc="AB906580" w:tentative="1">
      <w:start w:val="1"/>
      <w:numFmt w:val="decimal"/>
      <w:lvlText w:val="%4."/>
      <w:lvlJc w:val="left"/>
      <w:pPr>
        <w:ind w:left="3753" w:hanging="360"/>
      </w:pPr>
    </w:lvl>
    <w:lvl w:ilvl="4" w:tplc="5BA64FDE" w:tentative="1">
      <w:start w:val="1"/>
      <w:numFmt w:val="lowerLetter"/>
      <w:lvlText w:val="%5."/>
      <w:lvlJc w:val="left"/>
      <w:pPr>
        <w:ind w:left="4473" w:hanging="360"/>
      </w:pPr>
    </w:lvl>
    <w:lvl w:ilvl="5" w:tplc="54C47568" w:tentative="1">
      <w:start w:val="1"/>
      <w:numFmt w:val="lowerRoman"/>
      <w:lvlText w:val="%6."/>
      <w:lvlJc w:val="right"/>
      <w:pPr>
        <w:ind w:left="5193" w:hanging="180"/>
      </w:pPr>
    </w:lvl>
    <w:lvl w:ilvl="6" w:tplc="89E49796" w:tentative="1">
      <w:start w:val="1"/>
      <w:numFmt w:val="decimal"/>
      <w:lvlText w:val="%7."/>
      <w:lvlJc w:val="left"/>
      <w:pPr>
        <w:ind w:left="5913" w:hanging="360"/>
      </w:pPr>
    </w:lvl>
    <w:lvl w:ilvl="7" w:tplc="F5BCBF16" w:tentative="1">
      <w:start w:val="1"/>
      <w:numFmt w:val="lowerLetter"/>
      <w:lvlText w:val="%8."/>
      <w:lvlJc w:val="left"/>
      <w:pPr>
        <w:ind w:left="6633" w:hanging="360"/>
      </w:pPr>
    </w:lvl>
    <w:lvl w:ilvl="8" w:tplc="5C385ED8"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D96EFBE4">
      <w:start w:val="1"/>
      <w:numFmt w:val="upperLetter"/>
      <w:lvlText w:val="%1."/>
      <w:lvlJc w:val="left"/>
      <w:pPr>
        <w:tabs>
          <w:tab w:val="num" w:pos="567"/>
        </w:tabs>
        <w:ind w:left="0" w:firstLine="0"/>
      </w:pPr>
      <w:rPr>
        <w:rFonts w:hint="default"/>
      </w:rPr>
    </w:lvl>
    <w:lvl w:ilvl="1" w:tplc="F6E2F974" w:tentative="1">
      <w:start w:val="1"/>
      <w:numFmt w:val="lowerLetter"/>
      <w:lvlText w:val="%2."/>
      <w:lvlJc w:val="left"/>
      <w:pPr>
        <w:ind w:left="1440" w:hanging="360"/>
      </w:pPr>
    </w:lvl>
    <w:lvl w:ilvl="2" w:tplc="9F54D458" w:tentative="1">
      <w:start w:val="1"/>
      <w:numFmt w:val="lowerRoman"/>
      <w:lvlText w:val="%3."/>
      <w:lvlJc w:val="right"/>
      <w:pPr>
        <w:ind w:left="2160" w:hanging="180"/>
      </w:pPr>
    </w:lvl>
    <w:lvl w:ilvl="3" w:tplc="C4A449FA" w:tentative="1">
      <w:start w:val="1"/>
      <w:numFmt w:val="decimal"/>
      <w:lvlText w:val="%4."/>
      <w:lvlJc w:val="left"/>
      <w:pPr>
        <w:ind w:left="2880" w:hanging="360"/>
      </w:pPr>
    </w:lvl>
    <w:lvl w:ilvl="4" w:tplc="8310A378" w:tentative="1">
      <w:start w:val="1"/>
      <w:numFmt w:val="lowerLetter"/>
      <w:lvlText w:val="%5."/>
      <w:lvlJc w:val="left"/>
      <w:pPr>
        <w:ind w:left="3600" w:hanging="360"/>
      </w:pPr>
    </w:lvl>
    <w:lvl w:ilvl="5" w:tplc="CA000BE4" w:tentative="1">
      <w:start w:val="1"/>
      <w:numFmt w:val="lowerRoman"/>
      <w:lvlText w:val="%6."/>
      <w:lvlJc w:val="right"/>
      <w:pPr>
        <w:ind w:left="4320" w:hanging="180"/>
      </w:pPr>
    </w:lvl>
    <w:lvl w:ilvl="6" w:tplc="A202C834" w:tentative="1">
      <w:start w:val="1"/>
      <w:numFmt w:val="decimal"/>
      <w:lvlText w:val="%7."/>
      <w:lvlJc w:val="left"/>
      <w:pPr>
        <w:ind w:left="5040" w:hanging="360"/>
      </w:pPr>
    </w:lvl>
    <w:lvl w:ilvl="7" w:tplc="240A0470" w:tentative="1">
      <w:start w:val="1"/>
      <w:numFmt w:val="lowerLetter"/>
      <w:lvlText w:val="%8."/>
      <w:lvlJc w:val="left"/>
      <w:pPr>
        <w:ind w:left="5760" w:hanging="360"/>
      </w:pPr>
    </w:lvl>
    <w:lvl w:ilvl="8" w:tplc="98743AA0" w:tentative="1">
      <w:start w:val="1"/>
      <w:numFmt w:val="lowerRoman"/>
      <w:lvlText w:val="%9."/>
      <w:lvlJc w:val="right"/>
      <w:pPr>
        <w:ind w:left="6480" w:hanging="180"/>
      </w:pPr>
    </w:lvl>
  </w:abstractNum>
  <w:abstractNum w:abstractNumId="23" w15:restartNumberingAfterBreak="0">
    <w:nsid w:val="2C92250A"/>
    <w:multiLevelType w:val="hybridMultilevel"/>
    <w:tmpl w:val="FCECA4E6"/>
    <w:lvl w:ilvl="0" w:tplc="00200D22">
      <w:start w:val="1"/>
      <w:numFmt w:val="decimal"/>
      <w:pStyle w:val="StylePara1Before0pt"/>
      <w:lvlText w:val="%1."/>
      <w:lvlJc w:val="left"/>
      <w:pPr>
        <w:tabs>
          <w:tab w:val="num" w:pos="1080"/>
        </w:tabs>
        <w:ind w:left="1080" w:hanging="360"/>
      </w:pPr>
    </w:lvl>
    <w:lvl w:ilvl="1" w:tplc="21FAB858" w:tentative="1">
      <w:start w:val="1"/>
      <w:numFmt w:val="bullet"/>
      <w:lvlText w:val="o"/>
      <w:lvlJc w:val="left"/>
      <w:pPr>
        <w:tabs>
          <w:tab w:val="num" w:pos="1800"/>
        </w:tabs>
        <w:ind w:left="1800" w:hanging="360"/>
      </w:pPr>
      <w:rPr>
        <w:rFonts w:ascii="Courier New" w:hAnsi="Courier New" w:hint="default"/>
      </w:rPr>
    </w:lvl>
    <w:lvl w:ilvl="2" w:tplc="7E54D1CE" w:tentative="1">
      <w:start w:val="1"/>
      <w:numFmt w:val="bullet"/>
      <w:lvlText w:val=""/>
      <w:lvlJc w:val="left"/>
      <w:pPr>
        <w:tabs>
          <w:tab w:val="num" w:pos="2520"/>
        </w:tabs>
        <w:ind w:left="2520" w:hanging="360"/>
      </w:pPr>
      <w:rPr>
        <w:rFonts w:ascii="Wingdings" w:hAnsi="Wingdings" w:hint="default"/>
      </w:rPr>
    </w:lvl>
    <w:lvl w:ilvl="3" w:tplc="4CA00282" w:tentative="1">
      <w:start w:val="1"/>
      <w:numFmt w:val="bullet"/>
      <w:lvlText w:val=""/>
      <w:lvlJc w:val="left"/>
      <w:pPr>
        <w:tabs>
          <w:tab w:val="num" w:pos="3240"/>
        </w:tabs>
        <w:ind w:left="3240" w:hanging="360"/>
      </w:pPr>
      <w:rPr>
        <w:rFonts w:ascii="Symbol" w:hAnsi="Symbol" w:hint="default"/>
      </w:rPr>
    </w:lvl>
    <w:lvl w:ilvl="4" w:tplc="9B64B672" w:tentative="1">
      <w:start w:val="1"/>
      <w:numFmt w:val="bullet"/>
      <w:lvlText w:val="o"/>
      <w:lvlJc w:val="left"/>
      <w:pPr>
        <w:tabs>
          <w:tab w:val="num" w:pos="3960"/>
        </w:tabs>
        <w:ind w:left="3960" w:hanging="360"/>
      </w:pPr>
      <w:rPr>
        <w:rFonts w:ascii="Courier New" w:hAnsi="Courier New" w:hint="default"/>
      </w:rPr>
    </w:lvl>
    <w:lvl w:ilvl="5" w:tplc="E4065D68" w:tentative="1">
      <w:start w:val="1"/>
      <w:numFmt w:val="bullet"/>
      <w:lvlText w:val=""/>
      <w:lvlJc w:val="left"/>
      <w:pPr>
        <w:tabs>
          <w:tab w:val="num" w:pos="4680"/>
        </w:tabs>
        <w:ind w:left="4680" w:hanging="360"/>
      </w:pPr>
      <w:rPr>
        <w:rFonts w:ascii="Wingdings" w:hAnsi="Wingdings" w:hint="default"/>
      </w:rPr>
    </w:lvl>
    <w:lvl w:ilvl="6" w:tplc="DDCA3920" w:tentative="1">
      <w:start w:val="1"/>
      <w:numFmt w:val="bullet"/>
      <w:lvlText w:val=""/>
      <w:lvlJc w:val="left"/>
      <w:pPr>
        <w:tabs>
          <w:tab w:val="num" w:pos="5400"/>
        </w:tabs>
        <w:ind w:left="5400" w:hanging="360"/>
      </w:pPr>
      <w:rPr>
        <w:rFonts w:ascii="Symbol" w:hAnsi="Symbol" w:hint="default"/>
      </w:rPr>
    </w:lvl>
    <w:lvl w:ilvl="7" w:tplc="F04E8FD6" w:tentative="1">
      <w:start w:val="1"/>
      <w:numFmt w:val="bullet"/>
      <w:lvlText w:val="o"/>
      <w:lvlJc w:val="left"/>
      <w:pPr>
        <w:tabs>
          <w:tab w:val="num" w:pos="6120"/>
        </w:tabs>
        <w:ind w:left="6120" w:hanging="360"/>
      </w:pPr>
      <w:rPr>
        <w:rFonts w:ascii="Courier New" w:hAnsi="Courier New" w:hint="default"/>
      </w:rPr>
    </w:lvl>
    <w:lvl w:ilvl="8" w:tplc="77F0BE60"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2E5356EC"/>
    <w:multiLevelType w:val="multilevel"/>
    <w:tmpl w:val="07D269C8"/>
    <w:numStyleLink w:val="CBDHeadings"/>
  </w:abstractNum>
  <w:abstractNum w:abstractNumId="25" w15:restartNumberingAfterBreak="0">
    <w:nsid w:val="2F2734BB"/>
    <w:multiLevelType w:val="hybridMultilevel"/>
    <w:tmpl w:val="72C8F33E"/>
    <w:lvl w:ilvl="0" w:tplc="146489EC">
      <w:start w:val="1"/>
      <w:numFmt w:val="lowerLetter"/>
      <w:lvlText w:val="(%1)"/>
      <w:lvlJc w:val="left"/>
      <w:pPr>
        <w:tabs>
          <w:tab w:val="num" w:pos="567"/>
        </w:tabs>
        <w:ind w:left="0" w:firstLine="0"/>
      </w:pPr>
      <w:rPr>
        <w:rFonts w:hint="default"/>
      </w:rPr>
    </w:lvl>
    <w:lvl w:ilvl="1" w:tplc="A5005A34" w:tentative="1">
      <w:start w:val="1"/>
      <w:numFmt w:val="lowerLetter"/>
      <w:lvlText w:val="%2."/>
      <w:lvlJc w:val="left"/>
      <w:pPr>
        <w:ind w:left="1440" w:hanging="360"/>
      </w:pPr>
    </w:lvl>
    <w:lvl w:ilvl="2" w:tplc="FE8CC7B8" w:tentative="1">
      <w:start w:val="1"/>
      <w:numFmt w:val="lowerRoman"/>
      <w:lvlText w:val="%3."/>
      <w:lvlJc w:val="right"/>
      <w:pPr>
        <w:ind w:left="2160" w:hanging="180"/>
      </w:pPr>
    </w:lvl>
    <w:lvl w:ilvl="3" w:tplc="96023668" w:tentative="1">
      <w:start w:val="1"/>
      <w:numFmt w:val="decimal"/>
      <w:lvlText w:val="%4."/>
      <w:lvlJc w:val="left"/>
      <w:pPr>
        <w:ind w:left="2880" w:hanging="360"/>
      </w:pPr>
    </w:lvl>
    <w:lvl w:ilvl="4" w:tplc="A64C2178" w:tentative="1">
      <w:start w:val="1"/>
      <w:numFmt w:val="lowerLetter"/>
      <w:lvlText w:val="%5."/>
      <w:lvlJc w:val="left"/>
      <w:pPr>
        <w:ind w:left="3600" w:hanging="360"/>
      </w:pPr>
    </w:lvl>
    <w:lvl w:ilvl="5" w:tplc="63C2A04C" w:tentative="1">
      <w:start w:val="1"/>
      <w:numFmt w:val="lowerRoman"/>
      <w:lvlText w:val="%6."/>
      <w:lvlJc w:val="right"/>
      <w:pPr>
        <w:ind w:left="4320" w:hanging="180"/>
      </w:pPr>
    </w:lvl>
    <w:lvl w:ilvl="6" w:tplc="F1782AFA" w:tentative="1">
      <w:start w:val="1"/>
      <w:numFmt w:val="decimal"/>
      <w:lvlText w:val="%7."/>
      <w:lvlJc w:val="left"/>
      <w:pPr>
        <w:ind w:left="5040" w:hanging="360"/>
      </w:pPr>
    </w:lvl>
    <w:lvl w:ilvl="7" w:tplc="2856D34C" w:tentative="1">
      <w:start w:val="1"/>
      <w:numFmt w:val="lowerLetter"/>
      <w:lvlText w:val="%8."/>
      <w:lvlJc w:val="left"/>
      <w:pPr>
        <w:ind w:left="5760" w:hanging="360"/>
      </w:pPr>
    </w:lvl>
    <w:lvl w:ilvl="8" w:tplc="85B63A46" w:tentative="1">
      <w:start w:val="1"/>
      <w:numFmt w:val="lowerRoman"/>
      <w:lvlText w:val="%9."/>
      <w:lvlJc w:val="right"/>
      <w:pPr>
        <w:ind w:left="6480" w:hanging="180"/>
      </w:pPr>
    </w:lvl>
  </w:abstractNum>
  <w:abstractNum w:abstractNumId="26" w15:restartNumberingAfterBreak="0">
    <w:nsid w:val="32CD2BA0"/>
    <w:multiLevelType w:val="hybridMultilevel"/>
    <w:tmpl w:val="574EB05E"/>
    <w:lvl w:ilvl="0" w:tplc="D06C5E02">
      <w:start w:val="1"/>
      <w:numFmt w:val="upperLetter"/>
      <w:lvlText w:val="%1."/>
      <w:lvlJc w:val="right"/>
      <w:pPr>
        <w:tabs>
          <w:tab w:val="num" w:pos="1247"/>
        </w:tabs>
        <w:ind w:left="1247" w:hanging="396"/>
      </w:pPr>
      <w:rPr>
        <w:rFonts w:hint="default"/>
      </w:rPr>
    </w:lvl>
    <w:lvl w:ilvl="1" w:tplc="CE6A6238" w:tentative="1">
      <w:start w:val="1"/>
      <w:numFmt w:val="lowerLetter"/>
      <w:lvlText w:val="%2."/>
      <w:lvlJc w:val="left"/>
      <w:pPr>
        <w:ind w:left="1440" w:hanging="360"/>
      </w:pPr>
    </w:lvl>
    <w:lvl w:ilvl="2" w:tplc="810E77CE" w:tentative="1">
      <w:start w:val="1"/>
      <w:numFmt w:val="lowerRoman"/>
      <w:lvlText w:val="%3."/>
      <w:lvlJc w:val="right"/>
      <w:pPr>
        <w:ind w:left="2160" w:hanging="180"/>
      </w:pPr>
    </w:lvl>
    <w:lvl w:ilvl="3" w:tplc="B3CAFBEA" w:tentative="1">
      <w:start w:val="1"/>
      <w:numFmt w:val="decimal"/>
      <w:lvlText w:val="%4."/>
      <w:lvlJc w:val="left"/>
      <w:pPr>
        <w:ind w:left="2880" w:hanging="360"/>
      </w:pPr>
    </w:lvl>
    <w:lvl w:ilvl="4" w:tplc="D104201A" w:tentative="1">
      <w:start w:val="1"/>
      <w:numFmt w:val="lowerLetter"/>
      <w:lvlText w:val="%5."/>
      <w:lvlJc w:val="left"/>
      <w:pPr>
        <w:ind w:left="3600" w:hanging="360"/>
      </w:pPr>
    </w:lvl>
    <w:lvl w:ilvl="5" w:tplc="F0A6A90E" w:tentative="1">
      <w:start w:val="1"/>
      <w:numFmt w:val="lowerRoman"/>
      <w:lvlText w:val="%6."/>
      <w:lvlJc w:val="right"/>
      <w:pPr>
        <w:ind w:left="4320" w:hanging="180"/>
      </w:pPr>
    </w:lvl>
    <w:lvl w:ilvl="6" w:tplc="FB6A9D5E" w:tentative="1">
      <w:start w:val="1"/>
      <w:numFmt w:val="decimal"/>
      <w:lvlText w:val="%7."/>
      <w:lvlJc w:val="left"/>
      <w:pPr>
        <w:ind w:left="5040" w:hanging="360"/>
      </w:pPr>
    </w:lvl>
    <w:lvl w:ilvl="7" w:tplc="CAF47C50" w:tentative="1">
      <w:start w:val="1"/>
      <w:numFmt w:val="lowerLetter"/>
      <w:lvlText w:val="%8."/>
      <w:lvlJc w:val="left"/>
      <w:pPr>
        <w:ind w:left="5760" w:hanging="360"/>
      </w:pPr>
    </w:lvl>
    <w:lvl w:ilvl="8" w:tplc="A998CB8C" w:tentative="1">
      <w:start w:val="1"/>
      <w:numFmt w:val="lowerRoman"/>
      <w:lvlText w:val="%9."/>
      <w:lvlJc w:val="right"/>
      <w:pPr>
        <w:ind w:left="6480" w:hanging="180"/>
      </w:pPr>
    </w:lvl>
  </w:abstractNum>
  <w:abstractNum w:abstractNumId="27" w15:restartNumberingAfterBreak="0">
    <w:nsid w:val="398E2FF3"/>
    <w:multiLevelType w:val="multilevel"/>
    <w:tmpl w:val="37285674"/>
    <w:numStyleLink w:val="ListCBD"/>
  </w:abstractNum>
  <w:abstractNum w:abstractNumId="28"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67961CE"/>
    <w:multiLevelType w:val="hybridMultilevel"/>
    <w:tmpl w:val="F50C7C74"/>
    <w:lvl w:ilvl="0" w:tplc="E7C4F658">
      <w:start w:val="1"/>
      <w:numFmt w:val="upperRoman"/>
      <w:lvlText w:val="%1."/>
      <w:lvlJc w:val="left"/>
      <w:pPr>
        <w:ind w:left="1080" w:hanging="720"/>
      </w:pPr>
      <w:rPr>
        <w:rFonts w:hint="default"/>
      </w:rPr>
    </w:lvl>
    <w:lvl w:ilvl="1" w:tplc="5642A5A8" w:tentative="1">
      <w:start w:val="1"/>
      <w:numFmt w:val="lowerLetter"/>
      <w:lvlText w:val="%2."/>
      <w:lvlJc w:val="left"/>
      <w:pPr>
        <w:ind w:left="1440" w:hanging="360"/>
      </w:pPr>
    </w:lvl>
    <w:lvl w:ilvl="2" w:tplc="B75E13BC" w:tentative="1">
      <w:start w:val="1"/>
      <w:numFmt w:val="lowerRoman"/>
      <w:lvlText w:val="%3."/>
      <w:lvlJc w:val="right"/>
      <w:pPr>
        <w:ind w:left="2160" w:hanging="180"/>
      </w:pPr>
    </w:lvl>
    <w:lvl w:ilvl="3" w:tplc="7D280D34" w:tentative="1">
      <w:start w:val="1"/>
      <w:numFmt w:val="decimal"/>
      <w:lvlText w:val="%4."/>
      <w:lvlJc w:val="left"/>
      <w:pPr>
        <w:ind w:left="2880" w:hanging="360"/>
      </w:pPr>
    </w:lvl>
    <w:lvl w:ilvl="4" w:tplc="E10AC2EC" w:tentative="1">
      <w:start w:val="1"/>
      <w:numFmt w:val="lowerLetter"/>
      <w:lvlText w:val="%5."/>
      <w:lvlJc w:val="left"/>
      <w:pPr>
        <w:ind w:left="3600" w:hanging="360"/>
      </w:pPr>
    </w:lvl>
    <w:lvl w:ilvl="5" w:tplc="66C63C7A" w:tentative="1">
      <w:start w:val="1"/>
      <w:numFmt w:val="lowerRoman"/>
      <w:lvlText w:val="%6."/>
      <w:lvlJc w:val="right"/>
      <w:pPr>
        <w:ind w:left="4320" w:hanging="180"/>
      </w:pPr>
    </w:lvl>
    <w:lvl w:ilvl="6" w:tplc="7D3E21A8" w:tentative="1">
      <w:start w:val="1"/>
      <w:numFmt w:val="decimal"/>
      <w:lvlText w:val="%7."/>
      <w:lvlJc w:val="left"/>
      <w:pPr>
        <w:ind w:left="5040" w:hanging="360"/>
      </w:pPr>
    </w:lvl>
    <w:lvl w:ilvl="7" w:tplc="AD10BB66" w:tentative="1">
      <w:start w:val="1"/>
      <w:numFmt w:val="lowerLetter"/>
      <w:lvlText w:val="%8."/>
      <w:lvlJc w:val="left"/>
      <w:pPr>
        <w:ind w:left="5760" w:hanging="360"/>
      </w:pPr>
    </w:lvl>
    <w:lvl w:ilvl="8" w:tplc="C67AD1C6" w:tentative="1">
      <w:start w:val="1"/>
      <w:numFmt w:val="lowerRoman"/>
      <w:lvlText w:val="%9."/>
      <w:lvlJc w:val="right"/>
      <w:pPr>
        <w:ind w:left="6480" w:hanging="180"/>
      </w:pPr>
    </w:lvl>
  </w:abstractNum>
  <w:abstractNum w:abstractNumId="30" w15:restartNumberingAfterBreak="0">
    <w:nsid w:val="499D5F66"/>
    <w:multiLevelType w:val="multilevel"/>
    <w:tmpl w:val="37285674"/>
    <w:styleLink w:val="ListCBD"/>
    <w:lvl w:ilvl="0">
      <w:start w:val="1"/>
      <w:numFmt w:val="decimal"/>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E880595"/>
    <w:multiLevelType w:val="multilevel"/>
    <w:tmpl w:val="37285674"/>
    <w:numStyleLink w:val="ListCBD"/>
  </w:abstractNum>
  <w:abstractNum w:abstractNumId="33" w15:restartNumberingAfterBreak="0">
    <w:nsid w:val="52402AAA"/>
    <w:multiLevelType w:val="singleLevel"/>
    <w:tmpl w:val="9EFE0B9E"/>
    <w:lvl w:ilvl="0">
      <w:start w:val="1"/>
      <w:numFmt w:val="lowerLetter"/>
      <w:pStyle w:val="Para2"/>
      <w:lvlText w:val="(%1)"/>
      <w:lvlJc w:val="left"/>
      <w:pPr>
        <w:tabs>
          <w:tab w:val="num" w:pos="1080"/>
        </w:tabs>
        <w:ind w:firstLine="720"/>
      </w:pPr>
      <w:rPr>
        <w:rFonts w:cs="Times New Roman" w:hint="default"/>
        <w:b w:val="0"/>
        <w:i w:val="0"/>
      </w:rPr>
    </w:lvl>
  </w:abstractNum>
  <w:abstractNum w:abstractNumId="34" w15:restartNumberingAfterBreak="0">
    <w:nsid w:val="52A66A9D"/>
    <w:multiLevelType w:val="multilevel"/>
    <w:tmpl w:val="37285674"/>
    <w:numStyleLink w:val="ListCBD"/>
  </w:abstractNum>
  <w:abstractNum w:abstractNumId="3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95C63DD"/>
    <w:multiLevelType w:val="hybridMultilevel"/>
    <w:tmpl w:val="ADA870E4"/>
    <w:lvl w:ilvl="0" w:tplc="C03A02A0">
      <w:start w:val="1"/>
      <w:numFmt w:val="decimal"/>
      <w:lvlText w:val="%1."/>
      <w:lvlJc w:val="left"/>
      <w:pPr>
        <w:ind w:left="717" w:hanging="360"/>
      </w:pPr>
    </w:lvl>
    <w:lvl w:ilvl="1" w:tplc="28629AD6" w:tentative="1">
      <w:start w:val="1"/>
      <w:numFmt w:val="lowerLetter"/>
      <w:lvlText w:val="%2."/>
      <w:lvlJc w:val="left"/>
      <w:pPr>
        <w:ind w:left="1440" w:hanging="360"/>
      </w:pPr>
    </w:lvl>
    <w:lvl w:ilvl="2" w:tplc="B2F4E288" w:tentative="1">
      <w:start w:val="1"/>
      <w:numFmt w:val="lowerRoman"/>
      <w:lvlText w:val="%3."/>
      <w:lvlJc w:val="right"/>
      <w:pPr>
        <w:ind w:left="2160" w:hanging="180"/>
      </w:pPr>
    </w:lvl>
    <w:lvl w:ilvl="3" w:tplc="36B63692" w:tentative="1">
      <w:start w:val="1"/>
      <w:numFmt w:val="decimal"/>
      <w:lvlText w:val="%4."/>
      <w:lvlJc w:val="left"/>
      <w:pPr>
        <w:ind w:left="2880" w:hanging="360"/>
      </w:pPr>
    </w:lvl>
    <w:lvl w:ilvl="4" w:tplc="EF12159A" w:tentative="1">
      <w:start w:val="1"/>
      <w:numFmt w:val="lowerLetter"/>
      <w:lvlText w:val="%5."/>
      <w:lvlJc w:val="left"/>
      <w:pPr>
        <w:ind w:left="3600" w:hanging="360"/>
      </w:pPr>
    </w:lvl>
    <w:lvl w:ilvl="5" w:tplc="0E40F562" w:tentative="1">
      <w:start w:val="1"/>
      <w:numFmt w:val="lowerRoman"/>
      <w:lvlText w:val="%6."/>
      <w:lvlJc w:val="right"/>
      <w:pPr>
        <w:ind w:left="4320" w:hanging="180"/>
      </w:pPr>
    </w:lvl>
    <w:lvl w:ilvl="6" w:tplc="632858F8" w:tentative="1">
      <w:start w:val="1"/>
      <w:numFmt w:val="decimal"/>
      <w:lvlText w:val="%7."/>
      <w:lvlJc w:val="left"/>
      <w:pPr>
        <w:ind w:left="5040" w:hanging="360"/>
      </w:pPr>
    </w:lvl>
    <w:lvl w:ilvl="7" w:tplc="A3FA2D5C" w:tentative="1">
      <w:start w:val="1"/>
      <w:numFmt w:val="lowerLetter"/>
      <w:lvlText w:val="%8."/>
      <w:lvlJc w:val="left"/>
      <w:pPr>
        <w:ind w:left="5760" w:hanging="360"/>
      </w:pPr>
    </w:lvl>
    <w:lvl w:ilvl="8" w:tplc="799A9FEA" w:tentative="1">
      <w:start w:val="1"/>
      <w:numFmt w:val="lowerRoman"/>
      <w:lvlText w:val="%9."/>
      <w:lvlJc w:val="right"/>
      <w:pPr>
        <w:ind w:left="6480" w:hanging="180"/>
      </w:pPr>
    </w:lvl>
  </w:abstractNum>
  <w:abstractNum w:abstractNumId="37" w15:restartNumberingAfterBreak="0">
    <w:nsid w:val="599F7710"/>
    <w:multiLevelType w:val="hybridMultilevel"/>
    <w:tmpl w:val="D80840C0"/>
    <w:lvl w:ilvl="0" w:tplc="B16AB990">
      <w:start w:val="1"/>
      <w:numFmt w:val="decimal"/>
      <w:lvlText w:val="%1."/>
      <w:lvlJc w:val="left"/>
      <w:pPr>
        <w:tabs>
          <w:tab w:val="num" w:pos="567"/>
        </w:tabs>
        <w:ind w:left="567" w:hanging="567"/>
      </w:pPr>
      <w:rPr>
        <w:rFonts w:hint="default"/>
      </w:rPr>
    </w:lvl>
    <w:lvl w:ilvl="1" w:tplc="3FE4733E" w:tentative="1">
      <w:start w:val="1"/>
      <w:numFmt w:val="lowerLetter"/>
      <w:lvlText w:val="%2."/>
      <w:lvlJc w:val="left"/>
      <w:pPr>
        <w:ind w:left="1440" w:hanging="360"/>
      </w:pPr>
    </w:lvl>
    <w:lvl w:ilvl="2" w:tplc="709A3872" w:tentative="1">
      <w:start w:val="1"/>
      <w:numFmt w:val="lowerRoman"/>
      <w:lvlText w:val="%3."/>
      <w:lvlJc w:val="right"/>
      <w:pPr>
        <w:ind w:left="2160" w:hanging="180"/>
      </w:pPr>
    </w:lvl>
    <w:lvl w:ilvl="3" w:tplc="DC2E6B94" w:tentative="1">
      <w:start w:val="1"/>
      <w:numFmt w:val="decimal"/>
      <w:lvlText w:val="%4."/>
      <w:lvlJc w:val="left"/>
      <w:pPr>
        <w:ind w:left="2880" w:hanging="360"/>
      </w:pPr>
    </w:lvl>
    <w:lvl w:ilvl="4" w:tplc="8250973A" w:tentative="1">
      <w:start w:val="1"/>
      <w:numFmt w:val="lowerLetter"/>
      <w:lvlText w:val="%5."/>
      <w:lvlJc w:val="left"/>
      <w:pPr>
        <w:ind w:left="3600" w:hanging="360"/>
      </w:pPr>
    </w:lvl>
    <w:lvl w:ilvl="5" w:tplc="F0DCB872" w:tentative="1">
      <w:start w:val="1"/>
      <w:numFmt w:val="lowerRoman"/>
      <w:lvlText w:val="%6."/>
      <w:lvlJc w:val="right"/>
      <w:pPr>
        <w:ind w:left="4320" w:hanging="180"/>
      </w:pPr>
    </w:lvl>
    <w:lvl w:ilvl="6" w:tplc="98F0D2B8" w:tentative="1">
      <w:start w:val="1"/>
      <w:numFmt w:val="decimal"/>
      <w:lvlText w:val="%7."/>
      <w:lvlJc w:val="left"/>
      <w:pPr>
        <w:ind w:left="5040" w:hanging="360"/>
      </w:pPr>
    </w:lvl>
    <w:lvl w:ilvl="7" w:tplc="94B46A96" w:tentative="1">
      <w:start w:val="1"/>
      <w:numFmt w:val="lowerLetter"/>
      <w:lvlText w:val="%8."/>
      <w:lvlJc w:val="left"/>
      <w:pPr>
        <w:ind w:left="5760" w:hanging="360"/>
      </w:pPr>
    </w:lvl>
    <w:lvl w:ilvl="8" w:tplc="75EAFA08" w:tentative="1">
      <w:start w:val="1"/>
      <w:numFmt w:val="lowerRoman"/>
      <w:lvlText w:val="%9."/>
      <w:lvlJc w:val="right"/>
      <w:pPr>
        <w:ind w:left="6480" w:hanging="180"/>
      </w:pPr>
    </w:lvl>
  </w:abstractNum>
  <w:abstractNum w:abstractNumId="38" w15:restartNumberingAfterBreak="0">
    <w:nsid w:val="5D943BEE"/>
    <w:multiLevelType w:val="multilevel"/>
    <w:tmpl w:val="CAA00D88"/>
    <w:lvl w:ilvl="0">
      <w:start w:val="1"/>
      <w:numFmt w:val="decimal"/>
      <w:pStyle w:val="CBDNormalNumber"/>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9" w15:restartNumberingAfterBreak="0">
    <w:nsid w:val="68B70991"/>
    <w:multiLevelType w:val="multilevel"/>
    <w:tmpl w:val="37285674"/>
    <w:numStyleLink w:val="ListCBD"/>
  </w:abstractNum>
  <w:abstractNum w:abstractNumId="40"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2" w15:restartNumberingAfterBreak="0">
    <w:nsid w:val="74F368B8"/>
    <w:multiLevelType w:val="hybridMultilevel"/>
    <w:tmpl w:val="CB8E8B36"/>
    <w:lvl w:ilvl="0" w:tplc="DB108C5A">
      <w:start w:val="1"/>
      <w:numFmt w:val="upperLetter"/>
      <w:lvlText w:val="%1."/>
      <w:lvlJc w:val="left"/>
      <w:pPr>
        <w:ind w:left="927" w:hanging="360"/>
      </w:pPr>
      <w:rPr>
        <w:rFonts w:hint="default"/>
      </w:rPr>
    </w:lvl>
    <w:lvl w:ilvl="1" w:tplc="F69094FC" w:tentative="1">
      <w:start w:val="1"/>
      <w:numFmt w:val="lowerLetter"/>
      <w:lvlText w:val="%2."/>
      <w:lvlJc w:val="left"/>
      <w:pPr>
        <w:ind w:left="1647" w:hanging="360"/>
      </w:pPr>
    </w:lvl>
    <w:lvl w:ilvl="2" w:tplc="F73C3E56" w:tentative="1">
      <w:start w:val="1"/>
      <w:numFmt w:val="lowerRoman"/>
      <w:lvlText w:val="%3."/>
      <w:lvlJc w:val="right"/>
      <w:pPr>
        <w:ind w:left="2367" w:hanging="180"/>
      </w:pPr>
    </w:lvl>
    <w:lvl w:ilvl="3" w:tplc="C6CC23E8" w:tentative="1">
      <w:start w:val="1"/>
      <w:numFmt w:val="decimal"/>
      <w:lvlText w:val="%4."/>
      <w:lvlJc w:val="left"/>
      <w:pPr>
        <w:ind w:left="3087" w:hanging="360"/>
      </w:pPr>
    </w:lvl>
    <w:lvl w:ilvl="4" w:tplc="E0DA9EDE" w:tentative="1">
      <w:start w:val="1"/>
      <w:numFmt w:val="lowerLetter"/>
      <w:lvlText w:val="%5."/>
      <w:lvlJc w:val="left"/>
      <w:pPr>
        <w:ind w:left="3807" w:hanging="360"/>
      </w:pPr>
    </w:lvl>
    <w:lvl w:ilvl="5" w:tplc="22C0A31E" w:tentative="1">
      <w:start w:val="1"/>
      <w:numFmt w:val="lowerRoman"/>
      <w:lvlText w:val="%6."/>
      <w:lvlJc w:val="right"/>
      <w:pPr>
        <w:ind w:left="4527" w:hanging="180"/>
      </w:pPr>
    </w:lvl>
    <w:lvl w:ilvl="6" w:tplc="324AB558" w:tentative="1">
      <w:start w:val="1"/>
      <w:numFmt w:val="decimal"/>
      <w:lvlText w:val="%7."/>
      <w:lvlJc w:val="left"/>
      <w:pPr>
        <w:ind w:left="5247" w:hanging="360"/>
      </w:pPr>
    </w:lvl>
    <w:lvl w:ilvl="7" w:tplc="94C835E6" w:tentative="1">
      <w:start w:val="1"/>
      <w:numFmt w:val="lowerLetter"/>
      <w:lvlText w:val="%8."/>
      <w:lvlJc w:val="left"/>
      <w:pPr>
        <w:ind w:left="5967" w:hanging="360"/>
      </w:pPr>
    </w:lvl>
    <w:lvl w:ilvl="8" w:tplc="2460D922" w:tentative="1">
      <w:start w:val="1"/>
      <w:numFmt w:val="lowerRoman"/>
      <w:lvlText w:val="%9."/>
      <w:lvlJc w:val="right"/>
      <w:pPr>
        <w:ind w:left="6687" w:hanging="180"/>
      </w:pPr>
    </w:lvl>
  </w:abstractNum>
  <w:abstractNum w:abstractNumId="43" w15:restartNumberingAfterBreak="0">
    <w:nsid w:val="7BFF494A"/>
    <w:multiLevelType w:val="hybridMultilevel"/>
    <w:tmpl w:val="B8C27F8A"/>
    <w:lvl w:ilvl="0" w:tplc="3A984576">
      <w:start w:val="1"/>
      <w:numFmt w:val="lowerRoman"/>
      <w:pStyle w:val="Para30"/>
      <w:lvlText w:val="(%1)"/>
      <w:lvlJc w:val="left"/>
      <w:pPr>
        <w:ind w:left="720" w:hanging="360"/>
      </w:pPr>
      <w:rPr>
        <w:rFonts w:hint="default"/>
      </w:rPr>
    </w:lvl>
    <w:lvl w:ilvl="1" w:tplc="21C290C6" w:tentative="1">
      <w:start w:val="1"/>
      <w:numFmt w:val="lowerLetter"/>
      <w:lvlText w:val="%2."/>
      <w:lvlJc w:val="left"/>
      <w:pPr>
        <w:ind w:left="1440" w:hanging="360"/>
      </w:pPr>
    </w:lvl>
    <w:lvl w:ilvl="2" w:tplc="72AA4FDC" w:tentative="1">
      <w:start w:val="1"/>
      <w:numFmt w:val="lowerRoman"/>
      <w:lvlText w:val="%3."/>
      <w:lvlJc w:val="right"/>
      <w:pPr>
        <w:ind w:left="2160" w:hanging="180"/>
      </w:pPr>
    </w:lvl>
    <w:lvl w:ilvl="3" w:tplc="3678FE90" w:tentative="1">
      <w:start w:val="1"/>
      <w:numFmt w:val="decimal"/>
      <w:lvlText w:val="%4."/>
      <w:lvlJc w:val="left"/>
      <w:pPr>
        <w:ind w:left="2880" w:hanging="360"/>
      </w:pPr>
    </w:lvl>
    <w:lvl w:ilvl="4" w:tplc="A7C0DD82" w:tentative="1">
      <w:start w:val="1"/>
      <w:numFmt w:val="lowerLetter"/>
      <w:lvlText w:val="%5."/>
      <w:lvlJc w:val="left"/>
      <w:pPr>
        <w:ind w:left="3600" w:hanging="360"/>
      </w:pPr>
    </w:lvl>
    <w:lvl w:ilvl="5" w:tplc="6DA238EA" w:tentative="1">
      <w:start w:val="1"/>
      <w:numFmt w:val="lowerRoman"/>
      <w:lvlText w:val="%6."/>
      <w:lvlJc w:val="right"/>
      <w:pPr>
        <w:ind w:left="4320" w:hanging="180"/>
      </w:pPr>
    </w:lvl>
    <w:lvl w:ilvl="6" w:tplc="EAC896E6" w:tentative="1">
      <w:start w:val="1"/>
      <w:numFmt w:val="decimal"/>
      <w:lvlText w:val="%7."/>
      <w:lvlJc w:val="left"/>
      <w:pPr>
        <w:ind w:left="5040" w:hanging="360"/>
      </w:pPr>
    </w:lvl>
    <w:lvl w:ilvl="7" w:tplc="87AC4B20" w:tentative="1">
      <w:start w:val="1"/>
      <w:numFmt w:val="lowerLetter"/>
      <w:lvlText w:val="%8."/>
      <w:lvlJc w:val="left"/>
      <w:pPr>
        <w:ind w:left="5760" w:hanging="360"/>
      </w:pPr>
    </w:lvl>
    <w:lvl w:ilvl="8" w:tplc="7FAEC018" w:tentative="1">
      <w:start w:val="1"/>
      <w:numFmt w:val="lowerRoman"/>
      <w:lvlText w:val="%9."/>
      <w:lvlJc w:val="right"/>
      <w:pPr>
        <w:ind w:left="6480" w:hanging="180"/>
      </w:pPr>
    </w:lvl>
  </w:abstractNum>
  <w:num w:numId="1" w16cid:durableId="173571768">
    <w:abstractNumId w:val="39"/>
  </w:num>
  <w:num w:numId="2" w16cid:durableId="1188062421">
    <w:abstractNumId w:val="43"/>
  </w:num>
  <w:num w:numId="3" w16cid:durableId="592324098">
    <w:abstractNumId w:val="23"/>
  </w:num>
  <w:num w:numId="4" w16cid:durableId="1599026307">
    <w:abstractNumId w:val="31"/>
  </w:num>
  <w:num w:numId="5" w16cid:durableId="342247153">
    <w:abstractNumId w:val="30"/>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 w16cid:durableId="763764886">
    <w:abstractNumId w:val="40"/>
  </w:num>
  <w:num w:numId="7" w16cid:durableId="2076581774">
    <w:abstractNumId w:val="40"/>
  </w:num>
  <w:num w:numId="8" w16cid:durableId="886263413">
    <w:abstractNumId w:val="41"/>
  </w:num>
  <w:num w:numId="9" w16cid:durableId="1590575896">
    <w:abstractNumId w:val="30"/>
  </w:num>
  <w:num w:numId="10" w16cid:durableId="307327418">
    <w:abstractNumId w:val="30"/>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1752854395">
    <w:abstractNumId w:val="14"/>
  </w:num>
  <w:num w:numId="12" w16cid:durableId="709111221">
    <w:abstractNumId w:val="26"/>
  </w:num>
  <w:num w:numId="13" w16cid:durableId="1485659988">
    <w:abstractNumId w:val="11"/>
  </w:num>
  <w:num w:numId="14" w16cid:durableId="1527523706">
    <w:abstractNumId w:val="18"/>
  </w:num>
  <w:num w:numId="15" w16cid:durableId="784346424">
    <w:abstractNumId w:val="9"/>
  </w:num>
  <w:num w:numId="16" w16cid:durableId="1249147731">
    <w:abstractNumId w:val="7"/>
  </w:num>
  <w:num w:numId="17" w16cid:durableId="943729457">
    <w:abstractNumId w:val="6"/>
  </w:num>
  <w:num w:numId="18" w16cid:durableId="413670228">
    <w:abstractNumId w:val="5"/>
  </w:num>
  <w:num w:numId="19" w16cid:durableId="2128037549">
    <w:abstractNumId w:val="4"/>
  </w:num>
  <w:num w:numId="20" w16cid:durableId="770591219">
    <w:abstractNumId w:val="8"/>
  </w:num>
  <w:num w:numId="21" w16cid:durableId="1212956728">
    <w:abstractNumId w:val="3"/>
  </w:num>
  <w:num w:numId="22" w16cid:durableId="165872514">
    <w:abstractNumId w:val="2"/>
  </w:num>
  <w:num w:numId="23" w16cid:durableId="2069567857">
    <w:abstractNumId w:val="1"/>
  </w:num>
  <w:num w:numId="24" w16cid:durableId="238445527">
    <w:abstractNumId w:val="0"/>
  </w:num>
  <w:num w:numId="25" w16cid:durableId="150143668">
    <w:abstractNumId w:val="42"/>
  </w:num>
  <w:num w:numId="26" w16cid:durableId="1440642179">
    <w:abstractNumId w:val="20"/>
  </w:num>
  <w:num w:numId="27" w16cid:durableId="2005930655">
    <w:abstractNumId w:val="21"/>
  </w:num>
  <w:num w:numId="28" w16cid:durableId="1100642959">
    <w:abstractNumId w:val="39"/>
    <w:lvlOverride w:ilvl="0">
      <w:startOverride w:val="1"/>
    </w:lvlOverride>
  </w:num>
  <w:num w:numId="29" w16cid:durableId="923298861">
    <w:abstractNumId w:val="34"/>
  </w:num>
  <w:num w:numId="30" w16cid:durableId="1610166366">
    <w:abstractNumId w:val="29"/>
  </w:num>
  <w:num w:numId="31" w16cid:durableId="1730152242">
    <w:abstractNumId w:val="37"/>
  </w:num>
  <w:num w:numId="32" w16cid:durableId="418409290">
    <w:abstractNumId w:val="36"/>
  </w:num>
  <w:num w:numId="33" w16cid:durableId="40075338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31938485">
    <w:abstractNumId w:val="15"/>
  </w:num>
  <w:num w:numId="35" w16cid:durableId="1216702515">
    <w:abstractNumId w:val="32"/>
  </w:num>
  <w:num w:numId="36" w16cid:durableId="2099867628">
    <w:abstractNumId w:val="27"/>
  </w:num>
  <w:num w:numId="37" w16cid:durableId="1228539490">
    <w:abstractNumId w:val="17"/>
  </w:num>
  <w:num w:numId="38" w16cid:durableId="100311989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11301490">
    <w:abstractNumId w:val="19"/>
  </w:num>
  <w:num w:numId="40" w16cid:durableId="95638036">
    <w:abstractNumId w:val="10"/>
  </w:num>
  <w:num w:numId="41" w16cid:durableId="37763136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2008178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89298198">
    <w:abstractNumId w:val="12"/>
  </w:num>
  <w:num w:numId="44" w16cid:durableId="741215412">
    <w:abstractNumId w:val="22"/>
  </w:num>
  <w:num w:numId="45" w16cid:durableId="2138259084">
    <w:abstractNumId w:val="22"/>
    <w:lvlOverride w:ilvl="0">
      <w:startOverride w:val="1"/>
    </w:lvlOverride>
  </w:num>
  <w:num w:numId="46" w16cid:durableId="441654781">
    <w:abstractNumId w:val="22"/>
    <w:lvlOverride w:ilvl="0">
      <w:startOverride w:val="1"/>
    </w:lvlOverride>
  </w:num>
  <w:num w:numId="47" w16cid:durableId="1346202862">
    <w:abstractNumId w:val="22"/>
    <w:lvlOverride w:ilvl="0">
      <w:startOverride w:val="1"/>
    </w:lvlOverride>
  </w:num>
  <w:num w:numId="48" w16cid:durableId="353045933">
    <w:abstractNumId w:val="25"/>
  </w:num>
  <w:num w:numId="49" w16cid:durableId="1119951645">
    <w:abstractNumId w:val="35"/>
  </w:num>
  <w:num w:numId="50" w16cid:durableId="1912695624">
    <w:abstractNumId w:val="28"/>
  </w:num>
  <w:num w:numId="51" w16cid:durableId="1364984129">
    <w:abstractNumId w:val="24"/>
  </w:num>
  <w:num w:numId="52" w16cid:durableId="1364863725">
    <w:abstractNumId w:val="16"/>
  </w:num>
  <w:num w:numId="53" w16cid:durableId="43621709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06189866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31537867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101365058">
    <w:abstractNumId w:val="13"/>
  </w:num>
  <w:num w:numId="57" w16cid:durableId="2586836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5638297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477643039">
    <w:abstractNumId w:val="38"/>
  </w:num>
  <w:num w:numId="60" w16cid:durableId="1749765314">
    <w:abstractNumId w:val="38"/>
  </w:num>
  <w:num w:numId="61" w16cid:durableId="17342448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591281289">
    <w:abstractNumId w:val="38"/>
  </w:num>
  <w:num w:numId="63" w16cid:durableId="1521318221">
    <w:abstractNumId w:val="33"/>
  </w:num>
  <w:num w:numId="64" w16cid:durableId="85349848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59D1"/>
    <w:rsid w:val="00000549"/>
    <w:rsid w:val="000008AD"/>
    <w:rsid w:val="000009DF"/>
    <w:rsid w:val="00000B1F"/>
    <w:rsid w:val="00000FDC"/>
    <w:rsid w:val="00001250"/>
    <w:rsid w:val="0000143C"/>
    <w:rsid w:val="00002B05"/>
    <w:rsid w:val="00003627"/>
    <w:rsid w:val="0000372A"/>
    <w:rsid w:val="00004431"/>
    <w:rsid w:val="00004DAA"/>
    <w:rsid w:val="00004F49"/>
    <w:rsid w:val="00005D29"/>
    <w:rsid w:val="00005F64"/>
    <w:rsid w:val="00006327"/>
    <w:rsid w:val="00006E28"/>
    <w:rsid w:val="000071F5"/>
    <w:rsid w:val="00007C78"/>
    <w:rsid w:val="00010881"/>
    <w:rsid w:val="00011011"/>
    <w:rsid w:val="000112A4"/>
    <w:rsid w:val="00011CEF"/>
    <w:rsid w:val="0001290A"/>
    <w:rsid w:val="00012C0B"/>
    <w:rsid w:val="00012DE3"/>
    <w:rsid w:val="0001373C"/>
    <w:rsid w:val="00015832"/>
    <w:rsid w:val="00016B87"/>
    <w:rsid w:val="00016C43"/>
    <w:rsid w:val="00016CD8"/>
    <w:rsid w:val="000171D3"/>
    <w:rsid w:val="000173E6"/>
    <w:rsid w:val="000174F9"/>
    <w:rsid w:val="000177A1"/>
    <w:rsid w:val="00017B5D"/>
    <w:rsid w:val="00020896"/>
    <w:rsid w:val="00020D60"/>
    <w:rsid w:val="00020DEC"/>
    <w:rsid w:val="00020EB8"/>
    <w:rsid w:val="0002373F"/>
    <w:rsid w:val="000237AB"/>
    <w:rsid w:val="00024682"/>
    <w:rsid w:val="0002491C"/>
    <w:rsid w:val="00025B4C"/>
    <w:rsid w:val="00025B6A"/>
    <w:rsid w:val="0002788C"/>
    <w:rsid w:val="00027F7B"/>
    <w:rsid w:val="000301D9"/>
    <w:rsid w:val="00033052"/>
    <w:rsid w:val="000336C0"/>
    <w:rsid w:val="0003393F"/>
    <w:rsid w:val="00033DB3"/>
    <w:rsid w:val="00034167"/>
    <w:rsid w:val="000342B2"/>
    <w:rsid w:val="00034A4C"/>
    <w:rsid w:val="00034AE0"/>
    <w:rsid w:val="0003548F"/>
    <w:rsid w:val="00035B67"/>
    <w:rsid w:val="00036C87"/>
    <w:rsid w:val="00036DF7"/>
    <w:rsid w:val="00036F82"/>
    <w:rsid w:val="00037406"/>
    <w:rsid w:val="00037914"/>
    <w:rsid w:val="00040598"/>
    <w:rsid w:val="0004115E"/>
    <w:rsid w:val="0004182F"/>
    <w:rsid w:val="0004334E"/>
    <w:rsid w:val="0004376E"/>
    <w:rsid w:val="00043E83"/>
    <w:rsid w:val="00044DBA"/>
    <w:rsid w:val="000457A4"/>
    <w:rsid w:val="00047D4D"/>
    <w:rsid w:val="00050CC3"/>
    <w:rsid w:val="00050E6E"/>
    <w:rsid w:val="000517CB"/>
    <w:rsid w:val="00051B37"/>
    <w:rsid w:val="00052AA4"/>
    <w:rsid w:val="00054C8D"/>
    <w:rsid w:val="000555B8"/>
    <w:rsid w:val="00056936"/>
    <w:rsid w:val="00057550"/>
    <w:rsid w:val="00057A33"/>
    <w:rsid w:val="00060BCD"/>
    <w:rsid w:val="00061F1A"/>
    <w:rsid w:val="00063408"/>
    <w:rsid w:val="00064007"/>
    <w:rsid w:val="00064AEF"/>
    <w:rsid w:val="00064F64"/>
    <w:rsid w:val="00065048"/>
    <w:rsid w:val="00065326"/>
    <w:rsid w:val="00070EB4"/>
    <w:rsid w:val="000728B5"/>
    <w:rsid w:val="00072EDC"/>
    <w:rsid w:val="00073550"/>
    <w:rsid w:val="00073740"/>
    <w:rsid w:val="00074C6C"/>
    <w:rsid w:val="0007549C"/>
    <w:rsid w:val="00075B94"/>
    <w:rsid w:val="000766D3"/>
    <w:rsid w:val="00076FF9"/>
    <w:rsid w:val="00080E6B"/>
    <w:rsid w:val="00081188"/>
    <w:rsid w:val="000830F6"/>
    <w:rsid w:val="0008332E"/>
    <w:rsid w:val="000834E2"/>
    <w:rsid w:val="00083595"/>
    <w:rsid w:val="00083FD2"/>
    <w:rsid w:val="000842AA"/>
    <w:rsid w:val="00086066"/>
    <w:rsid w:val="00087250"/>
    <w:rsid w:val="00091134"/>
    <w:rsid w:val="00092023"/>
    <w:rsid w:val="000934F2"/>
    <w:rsid w:val="00093ADA"/>
    <w:rsid w:val="000941D0"/>
    <w:rsid w:val="00094ABD"/>
    <w:rsid w:val="00096018"/>
    <w:rsid w:val="00096D69"/>
    <w:rsid w:val="000974A0"/>
    <w:rsid w:val="000976E3"/>
    <w:rsid w:val="000A0326"/>
    <w:rsid w:val="000A0614"/>
    <w:rsid w:val="000A0A71"/>
    <w:rsid w:val="000A0ECB"/>
    <w:rsid w:val="000A13A2"/>
    <w:rsid w:val="000A1717"/>
    <w:rsid w:val="000A1989"/>
    <w:rsid w:val="000A1AAC"/>
    <w:rsid w:val="000A1BC6"/>
    <w:rsid w:val="000A2D7F"/>
    <w:rsid w:val="000A3C84"/>
    <w:rsid w:val="000A422E"/>
    <w:rsid w:val="000A426C"/>
    <w:rsid w:val="000A5A1E"/>
    <w:rsid w:val="000A5DC5"/>
    <w:rsid w:val="000A66C2"/>
    <w:rsid w:val="000A73B7"/>
    <w:rsid w:val="000B1B49"/>
    <w:rsid w:val="000B2BE2"/>
    <w:rsid w:val="000B3B8D"/>
    <w:rsid w:val="000B3EFE"/>
    <w:rsid w:val="000B5566"/>
    <w:rsid w:val="000B5EDD"/>
    <w:rsid w:val="000B69D1"/>
    <w:rsid w:val="000B70BA"/>
    <w:rsid w:val="000B734B"/>
    <w:rsid w:val="000C0C48"/>
    <w:rsid w:val="000C1360"/>
    <w:rsid w:val="000C1589"/>
    <w:rsid w:val="000C1A37"/>
    <w:rsid w:val="000C25A0"/>
    <w:rsid w:val="000C25DE"/>
    <w:rsid w:val="000C291E"/>
    <w:rsid w:val="000C331F"/>
    <w:rsid w:val="000C4D0A"/>
    <w:rsid w:val="000C64B9"/>
    <w:rsid w:val="000C675D"/>
    <w:rsid w:val="000C6BDC"/>
    <w:rsid w:val="000D0EC8"/>
    <w:rsid w:val="000D234E"/>
    <w:rsid w:val="000D2982"/>
    <w:rsid w:val="000D2E1A"/>
    <w:rsid w:val="000D4CEA"/>
    <w:rsid w:val="000D5205"/>
    <w:rsid w:val="000D5F68"/>
    <w:rsid w:val="000D60E5"/>
    <w:rsid w:val="000D65AC"/>
    <w:rsid w:val="000D6E7C"/>
    <w:rsid w:val="000D7304"/>
    <w:rsid w:val="000E03F6"/>
    <w:rsid w:val="000E0980"/>
    <w:rsid w:val="000E1404"/>
    <w:rsid w:val="000E2739"/>
    <w:rsid w:val="000E2C63"/>
    <w:rsid w:val="000E2DEA"/>
    <w:rsid w:val="000E30FB"/>
    <w:rsid w:val="000E4453"/>
    <w:rsid w:val="000E4C37"/>
    <w:rsid w:val="000E4CCD"/>
    <w:rsid w:val="000E6D35"/>
    <w:rsid w:val="000E7F7E"/>
    <w:rsid w:val="000F054D"/>
    <w:rsid w:val="000F0952"/>
    <w:rsid w:val="000F5346"/>
    <w:rsid w:val="000F6361"/>
    <w:rsid w:val="000F6FBB"/>
    <w:rsid w:val="000F7DDE"/>
    <w:rsid w:val="001003EB"/>
    <w:rsid w:val="00102F79"/>
    <w:rsid w:val="00104470"/>
    <w:rsid w:val="001044C9"/>
    <w:rsid w:val="00106B66"/>
    <w:rsid w:val="001078CA"/>
    <w:rsid w:val="00110935"/>
    <w:rsid w:val="00111580"/>
    <w:rsid w:val="00111A05"/>
    <w:rsid w:val="00111B55"/>
    <w:rsid w:val="00112162"/>
    <w:rsid w:val="00113751"/>
    <w:rsid w:val="00113BD7"/>
    <w:rsid w:val="00113CE8"/>
    <w:rsid w:val="001140F8"/>
    <w:rsid w:val="00114A14"/>
    <w:rsid w:val="001157B3"/>
    <w:rsid w:val="00116FBD"/>
    <w:rsid w:val="0011702E"/>
    <w:rsid w:val="001179B7"/>
    <w:rsid w:val="0012068A"/>
    <w:rsid w:val="00120704"/>
    <w:rsid w:val="00122024"/>
    <w:rsid w:val="001229BD"/>
    <w:rsid w:val="00123036"/>
    <w:rsid w:val="00123376"/>
    <w:rsid w:val="00123B63"/>
    <w:rsid w:val="00123E85"/>
    <w:rsid w:val="001244A2"/>
    <w:rsid w:val="00126B99"/>
    <w:rsid w:val="001274B6"/>
    <w:rsid w:val="00127EE6"/>
    <w:rsid w:val="00130864"/>
    <w:rsid w:val="00130F3E"/>
    <w:rsid w:val="00131827"/>
    <w:rsid w:val="00132581"/>
    <w:rsid w:val="0013272B"/>
    <w:rsid w:val="001329F5"/>
    <w:rsid w:val="00133D33"/>
    <w:rsid w:val="0013519B"/>
    <w:rsid w:val="001359EA"/>
    <w:rsid w:val="00135F7E"/>
    <w:rsid w:val="00137B0C"/>
    <w:rsid w:val="00140670"/>
    <w:rsid w:val="0014075A"/>
    <w:rsid w:val="0014252C"/>
    <w:rsid w:val="00143763"/>
    <w:rsid w:val="00143A61"/>
    <w:rsid w:val="00144A64"/>
    <w:rsid w:val="001453C6"/>
    <w:rsid w:val="00145754"/>
    <w:rsid w:val="00145E9E"/>
    <w:rsid w:val="00146B60"/>
    <w:rsid w:val="00146E44"/>
    <w:rsid w:val="0014784B"/>
    <w:rsid w:val="00147DF8"/>
    <w:rsid w:val="00150000"/>
    <w:rsid w:val="00150232"/>
    <w:rsid w:val="001503B9"/>
    <w:rsid w:val="00150A84"/>
    <w:rsid w:val="00151C26"/>
    <w:rsid w:val="00152EFC"/>
    <w:rsid w:val="00153EAE"/>
    <w:rsid w:val="0015441A"/>
    <w:rsid w:val="0015444C"/>
    <w:rsid w:val="00154D76"/>
    <w:rsid w:val="00154F87"/>
    <w:rsid w:val="00155327"/>
    <w:rsid w:val="001558EC"/>
    <w:rsid w:val="00155DD1"/>
    <w:rsid w:val="001562D1"/>
    <w:rsid w:val="00156F84"/>
    <w:rsid w:val="00157404"/>
    <w:rsid w:val="00160D04"/>
    <w:rsid w:val="00161EFC"/>
    <w:rsid w:val="00163993"/>
    <w:rsid w:val="00163D1D"/>
    <w:rsid w:val="00164E27"/>
    <w:rsid w:val="0016504B"/>
    <w:rsid w:val="00165E41"/>
    <w:rsid w:val="00166657"/>
    <w:rsid w:val="00166DCE"/>
    <w:rsid w:val="0016750E"/>
    <w:rsid w:val="00170939"/>
    <w:rsid w:val="00171372"/>
    <w:rsid w:val="001714C6"/>
    <w:rsid w:val="00171691"/>
    <w:rsid w:val="0017180F"/>
    <w:rsid w:val="00171967"/>
    <w:rsid w:val="001723F2"/>
    <w:rsid w:val="001725EE"/>
    <w:rsid w:val="001735CB"/>
    <w:rsid w:val="001736CA"/>
    <w:rsid w:val="00174384"/>
    <w:rsid w:val="00174920"/>
    <w:rsid w:val="00174C70"/>
    <w:rsid w:val="00175744"/>
    <w:rsid w:val="0017633A"/>
    <w:rsid w:val="001766EE"/>
    <w:rsid w:val="0017694B"/>
    <w:rsid w:val="00176BEB"/>
    <w:rsid w:val="00176EF3"/>
    <w:rsid w:val="0017742C"/>
    <w:rsid w:val="001776AE"/>
    <w:rsid w:val="001800B6"/>
    <w:rsid w:val="00180DCB"/>
    <w:rsid w:val="001811E9"/>
    <w:rsid w:val="001814C7"/>
    <w:rsid w:val="00181A16"/>
    <w:rsid w:val="00182AAB"/>
    <w:rsid w:val="00183D09"/>
    <w:rsid w:val="00184909"/>
    <w:rsid w:val="00185D1B"/>
    <w:rsid w:val="00186CA7"/>
    <w:rsid w:val="001871A5"/>
    <w:rsid w:val="001873B6"/>
    <w:rsid w:val="00187A8D"/>
    <w:rsid w:val="00191171"/>
    <w:rsid w:val="00191B8B"/>
    <w:rsid w:val="00191C16"/>
    <w:rsid w:val="00192CB4"/>
    <w:rsid w:val="00192F0E"/>
    <w:rsid w:val="00192F24"/>
    <w:rsid w:val="00193052"/>
    <w:rsid w:val="00193CB8"/>
    <w:rsid w:val="00194FC3"/>
    <w:rsid w:val="0019565B"/>
    <w:rsid w:val="00195ED1"/>
    <w:rsid w:val="00196A0F"/>
    <w:rsid w:val="00197F4E"/>
    <w:rsid w:val="001A0034"/>
    <w:rsid w:val="001A04BF"/>
    <w:rsid w:val="001A08D2"/>
    <w:rsid w:val="001A0D90"/>
    <w:rsid w:val="001A11CB"/>
    <w:rsid w:val="001A1719"/>
    <w:rsid w:val="001A1A04"/>
    <w:rsid w:val="001A20A8"/>
    <w:rsid w:val="001A3CD3"/>
    <w:rsid w:val="001A4075"/>
    <w:rsid w:val="001A48CA"/>
    <w:rsid w:val="001A5FCE"/>
    <w:rsid w:val="001A649A"/>
    <w:rsid w:val="001A76AC"/>
    <w:rsid w:val="001A7813"/>
    <w:rsid w:val="001A7DDF"/>
    <w:rsid w:val="001B0530"/>
    <w:rsid w:val="001B153E"/>
    <w:rsid w:val="001B181F"/>
    <w:rsid w:val="001B19A3"/>
    <w:rsid w:val="001B5BFB"/>
    <w:rsid w:val="001B6A03"/>
    <w:rsid w:val="001B6A54"/>
    <w:rsid w:val="001B6E6C"/>
    <w:rsid w:val="001B78BD"/>
    <w:rsid w:val="001C1687"/>
    <w:rsid w:val="001C1C96"/>
    <w:rsid w:val="001C1EF4"/>
    <w:rsid w:val="001C2037"/>
    <w:rsid w:val="001C2D81"/>
    <w:rsid w:val="001C2FE0"/>
    <w:rsid w:val="001C3408"/>
    <w:rsid w:val="001C3DAA"/>
    <w:rsid w:val="001C40F9"/>
    <w:rsid w:val="001C4CDE"/>
    <w:rsid w:val="001C4D70"/>
    <w:rsid w:val="001C51BC"/>
    <w:rsid w:val="001C5520"/>
    <w:rsid w:val="001C590C"/>
    <w:rsid w:val="001C5E3D"/>
    <w:rsid w:val="001C6B05"/>
    <w:rsid w:val="001C732A"/>
    <w:rsid w:val="001C7F6C"/>
    <w:rsid w:val="001D0599"/>
    <w:rsid w:val="001D05AD"/>
    <w:rsid w:val="001D0B40"/>
    <w:rsid w:val="001D15A1"/>
    <w:rsid w:val="001D1B7E"/>
    <w:rsid w:val="001D395C"/>
    <w:rsid w:val="001D4444"/>
    <w:rsid w:val="001D48EC"/>
    <w:rsid w:val="001D50FC"/>
    <w:rsid w:val="001D5CBA"/>
    <w:rsid w:val="001D7BB9"/>
    <w:rsid w:val="001D7F09"/>
    <w:rsid w:val="001E0EC2"/>
    <w:rsid w:val="001E16EF"/>
    <w:rsid w:val="001E1D93"/>
    <w:rsid w:val="001E389B"/>
    <w:rsid w:val="001E6ACD"/>
    <w:rsid w:val="001E7464"/>
    <w:rsid w:val="001E7640"/>
    <w:rsid w:val="001E7A1D"/>
    <w:rsid w:val="001F00BC"/>
    <w:rsid w:val="001F0B06"/>
    <w:rsid w:val="001F209D"/>
    <w:rsid w:val="001F4125"/>
    <w:rsid w:val="001F43BF"/>
    <w:rsid w:val="001F520D"/>
    <w:rsid w:val="001F762D"/>
    <w:rsid w:val="001F7A5B"/>
    <w:rsid w:val="00200389"/>
    <w:rsid w:val="0020185A"/>
    <w:rsid w:val="0020185E"/>
    <w:rsid w:val="00202BFD"/>
    <w:rsid w:val="0020331A"/>
    <w:rsid w:val="0020331B"/>
    <w:rsid w:val="00203335"/>
    <w:rsid w:val="002039C1"/>
    <w:rsid w:val="00204622"/>
    <w:rsid w:val="00204E8B"/>
    <w:rsid w:val="00205DF2"/>
    <w:rsid w:val="00206191"/>
    <w:rsid w:val="00210AC8"/>
    <w:rsid w:val="00211620"/>
    <w:rsid w:val="00211A02"/>
    <w:rsid w:val="0021219F"/>
    <w:rsid w:val="0021241E"/>
    <w:rsid w:val="0021344F"/>
    <w:rsid w:val="0021408A"/>
    <w:rsid w:val="00214238"/>
    <w:rsid w:val="0021448C"/>
    <w:rsid w:val="0021488E"/>
    <w:rsid w:val="00214AEB"/>
    <w:rsid w:val="00214B5F"/>
    <w:rsid w:val="00214D12"/>
    <w:rsid w:val="00215636"/>
    <w:rsid w:val="0021564F"/>
    <w:rsid w:val="00215B99"/>
    <w:rsid w:val="00215FC5"/>
    <w:rsid w:val="002168BD"/>
    <w:rsid w:val="00217886"/>
    <w:rsid w:val="0022021C"/>
    <w:rsid w:val="00220780"/>
    <w:rsid w:val="00221DFE"/>
    <w:rsid w:val="002226C6"/>
    <w:rsid w:val="00223292"/>
    <w:rsid w:val="00224E87"/>
    <w:rsid w:val="00225DEB"/>
    <w:rsid w:val="00226F4B"/>
    <w:rsid w:val="00227F25"/>
    <w:rsid w:val="0023094B"/>
    <w:rsid w:val="00231622"/>
    <w:rsid w:val="0023327A"/>
    <w:rsid w:val="0023378F"/>
    <w:rsid w:val="00233DBE"/>
    <w:rsid w:val="0023543A"/>
    <w:rsid w:val="002355ED"/>
    <w:rsid w:val="00235A6A"/>
    <w:rsid w:val="00236944"/>
    <w:rsid w:val="002369BF"/>
    <w:rsid w:val="00240C5C"/>
    <w:rsid w:val="00240CDD"/>
    <w:rsid w:val="0024251C"/>
    <w:rsid w:val="00244787"/>
    <w:rsid w:val="00244C04"/>
    <w:rsid w:val="00244F30"/>
    <w:rsid w:val="00245B6B"/>
    <w:rsid w:val="00246813"/>
    <w:rsid w:val="00246BEA"/>
    <w:rsid w:val="002472F9"/>
    <w:rsid w:val="00247B2D"/>
    <w:rsid w:val="00247DC6"/>
    <w:rsid w:val="00250711"/>
    <w:rsid w:val="00250830"/>
    <w:rsid w:val="00251463"/>
    <w:rsid w:val="00251DAF"/>
    <w:rsid w:val="002521F6"/>
    <w:rsid w:val="0025369D"/>
    <w:rsid w:val="00253AC8"/>
    <w:rsid w:val="00253FC4"/>
    <w:rsid w:val="00254FBD"/>
    <w:rsid w:val="0025515F"/>
    <w:rsid w:val="00255A5B"/>
    <w:rsid w:val="00256861"/>
    <w:rsid w:val="002572A4"/>
    <w:rsid w:val="00257533"/>
    <w:rsid w:val="00257797"/>
    <w:rsid w:val="00260381"/>
    <w:rsid w:val="00261702"/>
    <w:rsid w:val="00262BA1"/>
    <w:rsid w:val="002641C1"/>
    <w:rsid w:val="00264248"/>
    <w:rsid w:val="002646FB"/>
    <w:rsid w:val="00265995"/>
    <w:rsid w:val="002659D5"/>
    <w:rsid w:val="002659EE"/>
    <w:rsid w:val="00265D46"/>
    <w:rsid w:val="002667D4"/>
    <w:rsid w:val="002667D7"/>
    <w:rsid w:val="00267FC2"/>
    <w:rsid w:val="00271841"/>
    <w:rsid w:val="00272C63"/>
    <w:rsid w:val="002745A4"/>
    <w:rsid w:val="002754D5"/>
    <w:rsid w:val="00275C34"/>
    <w:rsid w:val="00275C72"/>
    <w:rsid w:val="002767E1"/>
    <w:rsid w:val="0027782B"/>
    <w:rsid w:val="002779D0"/>
    <w:rsid w:val="0028086E"/>
    <w:rsid w:val="00280A5C"/>
    <w:rsid w:val="00281878"/>
    <w:rsid w:val="00281CA1"/>
    <w:rsid w:val="00281DBB"/>
    <w:rsid w:val="00282024"/>
    <w:rsid w:val="00282218"/>
    <w:rsid w:val="00282491"/>
    <w:rsid w:val="00283009"/>
    <w:rsid w:val="00283DAB"/>
    <w:rsid w:val="00285780"/>
    <w:rsid w:val="00285BE4"/>
    <w:rsid w:val="0028646E"/>
    <w:rsid w:val="002877AC"/>
    <w:rsid w:val="0029008A"/>
    <w:rsid w:val="002906AA"/>
    <w:rsid w:val="00291D23"/>
    <w:rsid w:val="002923AF"/>
    <w:rsid w:val="00292722"/>
    <w:rsid w:val="00293CC8"/>
    <w:rsid w:val="00294307"/>
    <w:rsid w:val="00295463"/>
    <w:rsid w:val="002955F5"/>
    <w:rsid w:val="002958CC"/>
    <w:rsid w:val="00296733"/>
    <w:rsid w:val="00296FF0"/>
    <w:rsid w:val="0029718A"/>
    <w:rsid w:val="002A02FE"/>
    <w:rsid w:val="002A1F7B"/>
    <w:rsid w:val="002A20E8"/>
    <w:rsid w:val="002A2A23"/>
    <w:rsid w:val="002A2DA8"/>
    <w:rsid w:val="002A3122"/>
    <w:rsid w:val="002A3AEE"/>
    <w:rsid w:val="002A3FBD"/>
    <w:rsid w:val="002A458C"/>
    <w:rsid w:val="002A4C96"/>
    <w:rsid w:val="002A54F4"/>
    <w:rsid w:val="002A592E"/>
    <w:rsid w:val="002A5F62"/>
    <w:rsid w:val="002A6A82"/>
    <w:rsid w:val="002A7E1F"/>
    <w:rsid w:val="002B00CA"/>
    <w:rsid w:val="002B013E"/>
    <w:rsid w:val="002B13CC"/>
    <w:rsid w:val="002B15CF"/>
    <w:rsid w:val="002B161A"/>
    <w:rsid w:val="002B17D0"/>
    <w:rsid w:val="002B1D2E"/>
    <w:rsid w:val="002B2047"/>
    <w:rsid w:val="002B2996"/>
    <w:rsid w:val="002B2AD0"/>
    <w:rsid w:val="002B2DDE"/>
    <w:rsid w:val="002B39AF"/>
    <w:rsid w:val="002B3A26"/>
    <w:rsid w:val="002B421B"/>
    <w:rsid w:val="002B4657"/>
    <w:rsid w:val="002B4709"/>
    <w:rsid w:val="002B4B45"/>
    <w:rsid w:val="002B542C"/>
    <w:rsid w:val="002B559C"/>
    <w:rsid w:val="002B5B20"/>
    <w:rsid w:val="002B6ED1"/>
    <w:rsid w:val="002B7C25"/>
    <w:rsid w:val="002C00BF"/>
    <w:rsid w:val="002C0689"/>
    <w:rsid w:val="002C0E02"/>
    <w:rsid w:val="002C116F"/>
    <w:rsid w:val="002C1A23"/>
    <w:rsid w:val="002C4809"/>
    <w:rsid w:val="002C4EF1"/>
    <w:rsid w:val="002C5A3F"/>
    <w:rsid w:val="002C7F94"/>
    <w:rsid w:val="002D0128"/>
    <w:rsid w:val="002D08F2"/>
    <w:rsid w:val="002D1876"/>
    <w:rsid w:val="002D2790"/>
    <w:rsid w:val="002D3A02"/>
    <w:rsid w:val="002D42D0"/>
    <w:rsid w:val="002D53CF"/>
    <w:rsid w:val="002D561A"/>
    <w:rsid w:val="002D596F"/>
    <w:rsid w:val="002D5DC1"/>
    <w:rsid w:val="002D6803"/>
    <w:rsid w:val="002D7740"/>
    <w:rsid w:val="002D7745"/>
    <w:rsid w:val="002E01EA"/>
    <w:rsid w:val="002E113D"/>
    <w:rsid w:val="002E116C"/>
    <w:rsid w:val="002E1B02"/>
    <w:rsid w:val="002E3352"/>
    <w:rsid w:val="002E362C"/>
    <w:rsid w:val="002E3AD1"/>
    <w:rsid w:val="002E4318"/>
    <w:rsid w:val="002E52A8"/>
    <w:rsid w:val="002E5709"/>
    <w:rsid w:val="002E583C"/>
    <w:rsid w:val="002E67DC"/>
    <w:rsid w:val="002E7CC6"/>
    <w:rsid w:val="002F0ACE"/>
    <w:rsid w:val="002F113F"/>
    <w:rsid w:val="002F3486"/>
    <w:rsid w:val="002F3926"/>
    <w:rsid w:val="002F4B80"/>
    <w:rsid w:val="002F5386"/>
    <w:rsid w:val="002F5A9B"/>
    <w:rsid w:val="002F63E5"/>
    <w:rsid w:val="002F7EB8"/>
    <w:rsid w:val="0030044E"/>
    <w:rsid w:val="003004B1"/>
    <w:rsid w:val="00300CC1"/>
    <w:rsid w:val="00300D2F"/>
    <w:rsid w:val="00301B4E"/>
    <w:rsid w:val="00302775"/>
    <w:rsid w:val="003029DA"/>
    <w:rsid w:val="00302C3C"/>
    <w:rsid w:val="00303F0B"/>
    <w:rsid w:val="00305215"/>
    <w:rsid w:val="0030610B"/>
    <w:rsid w:val="003066AA"/>
    <w:rsid w:val="003071B2"/>
    <w:rsid w:val="00307283"/>
    <w:rsid w:val="003075E4"/>
    <w:rsid w:val="00310608"/>
    <w:rsid w:val="00310D6E"/>
    <w:rsid w:val="00313B51"/>
    <w:rsid w:val="003152EB"/>
    <w:rsid w:val="00315A57"/>
    <w:rsid w:val="00315DE6"/>
    <w:rsid w:val="003166FD"/>
    <w:rsid w:val="00316C1D"/>
    <w:rsid w:val="00317CF1"/>
    <w:rsid w:val="0032091A"/>
    <w:rsid w:val="00320A08"/>
    <w:rsid w:val="003217FF"/>
    <w:rsid w:val="00321E55"/>
    <w:rsid w:val="003222B1"/>
    <w:rsid w:val="00322D05"/>
    <w:rsid w:val="00323F22"/>
    <w:rsid w:val="00324331"/>
    <w:rsid w:val="00324EDD"/>
    <w:rsid w:val="003251FE"/>
    <w:rsid w:val="00325671"/>
    <w:rsid w:val="0032571A"/>
    <w:rsid w:val="003259AF"/>
    <w:rsid w:val="003263D5"/>
    <w:rsid w:val="00327563"/>
    <w:rsid w:val="0032775F"/>
    <w:rsid w:val="00330686"/>
    <w:rsid w:val="00330B61"/>
    <w:rsid w:val="00330CF1"/>
    <w:rsid w:val="0033167D"/>
    <w:rsid w:val="00331B4F"/>
    <w:rsid w:val="00332770"/>
    <w:rsid w:val="00332A39"/>
    <w:rsid w:val="003332A1"/>
    <w:rsid w:val="00334413"/>
    <w:rsid w:val="003349E4"/>
    <w:rsid w:val="00335144"/>
    <w:rsid w:val="00335AD2"/>
    <w:rsid w:val="0033611A"/>
    <w:rsid w:val="00336C3F"/>
    <w:rsid w:val="00336E6E"/>
    <w:rsid w:val="00341521"/>
    <w:rsid w:val="00341D5D"/>
    <w:rsid w:val="00342651"/>
    <w:rsid w:val="0034308B"/>
    <w:rsid w:val="0034322D"/>
    <w:rsid w:val="00344551"/>
    <w:rsid w:val="00344A6A"/>
    <w:rsid w:val="00345E80"/>
    <w:rsid w:val="00347364"/>
    <w:rsid w:val="003476A9"/>
    <w:rsid w:val="00347890"/>
    <w:rsid w:val="00351372"/>
    <w:rsid w:val="00351D3B"/>
    <w:rsid w:val="00352B64"/>
    <w:rsid w:val="00352E75"/>
    <w:rsid w:val="0035318C"/>
    <w:rsid w:val="003532C4"/>
    <w:rsid w:val="0035381A"/>
    <w:rsid w:val="00353C97"/>
    <w:rsid w:val="00354FA1"/>
    <w:rsid w:val="00355016"/>
    <w:rsid w:val="00355746"/>
    <w:rsid w:val="00356924"/>
    <w:rsid w:val="00356A53"/>
    <w:rsid w:val="00357198"/>
    <w:rsid w:val="00357E59"/>
    <w:rsid w:val="0036095B"/>
    <w:rsid w:val="00360EAD"/>
    <w:rsid w:val="00361661"/>
    <w:rsid w:val="00362129"/>
    <w:rsid w:val="0036333C"/>
    <w:rsid w:val="003634F7"/>
    <w:rsid w:val="0036488F"/>
    <w:rsid w:val="00364AA7"/>
    <w:rsid w:val="003659B5"/>
    <w:rsid w:val="003660FA"/>
    <w:rsid w:val="00367D4D"/>
    <w:rsid w:val="00367F3C"/>
    <w:rsid w:val="00370DE0"/>
    <w:rsid w:val="00371C42"/>
    <w:rsid w:val="00372151"/>
    <w:rsid w:val="003729CE"/>
    <w:rsid w:val="003730B8"/>
    <w:rsid w:val="00373CBF"/>
    <w:rsid w:val="00373FA5"/>
    <w:rsid w:val="00373FAF"/>
    <w:rsid w:val="00374D55"/>
    <w:rsid w:val="00374E4C"/>
    <w:rsid w:val="0037543C"/>
    <w:rsid w:val="003758E8"/>
    <w:rsid w:val="00375FB7"/>
    <w:rsid w:val="00376D8D"/>
    <w:rsid w:val="00380FDB"/>
    <w:rsid w:val="003815ED"/>
    <w:rsid w:val="00381AFD"/>
    <w:rsid w:val="00381D18"/>
    <w:rsid w:val="00382D2C"/>
    <w:rsid w:val="0038364F"/>
    <w:rsid w:val="00383F07"/>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884"/>
    <w:rsid w:val="00396327"/>
    <w:rsid w:val="0039738C"/>
    <w:rsid w:val="0039772C"/>
    <w:rsid w:val="003A01F5"/>
    <w:rsid w:val="003A07DC"/>
    <w:rsid w:val="003A1D18"/>
    <w:rsid w:val="003A2045"/>
    <w:rsid w:val="003A2AA4"/>
    <w:rsid w:val="003A3647"/>
    <w:rsid w:val="003A53C3"/>
    <w:rsid w:val="003A583D"/>
    <w:rsid w:val="003A58D4"/>
    <w:rsid w:val="003A668C"/>
    <w:rsid w:val="003A66C7"/>
    <w:rsid w:val="003A6A25"/>
    <w:rsid w:val="003A75F1"/>
    <w:rsid w:val="003B0038"/>
    <w:rsid w:val="003B09C9"/>
    <w:rsid w:val="003B10AB"/>
    <w:rsid w:val="003B1A83"/>
    <w:rsid w:val="003B242B"/>
    <w:rsid w:val="003B26FD"/>
    <w:rsid w:val="003B282B"/>
    <w:rsid w:val="003B382E"/>
    <w:rsid w:val="003B6212"/>
    <w:rsid w:val="003B6BF3"/>
    <w:rsid w:val="003C002D"/>
    <w:rsid w:val="003C0B08"/>
    <w:rsid w:val="003C0F0A"/>
    <w:rsid w:val="003C19DF"/>
    <w:rsid w:val="003C257B"/>
    <w:rsid w:val="003C3464"/>
    <w:rsid w:val="003C4451"/>
    <w:rsid w:val="003C487D"/>
    <w:rsid w:val="003C498A"/>
    <w:rsid w:val="003C4D09"/>
    <w:rsid w:val="003C4D97"/>
    <w:rsid w:val="003C52CD"/>
    <w:rsid w:val="003C52F5"/>
    <w:rsid w:val="003C6F10"/>
    <w:rsid w:val="003C7A64"/>
    <w:rsid w:val="003D03B9"/>
    <w:rsid w:val="003D069E"/>
    <w:rsid w:val="003D1870"/>
    <w:rsid w:val="003D1E81"/>
    <w:rsid w:val="003D261E"/>
    <w:rsid w:val="003D31DE"/>
    <w:rsid w:val="003D3557"/>
    <w:rsid w:val="003D4BCD"/>
    <w:rsid w:val="003D4CAE"/>
    <w:rsid w:val="003D50BB"/>
    <w:rsid w:val="003D528E"/>
    <w:rsid w:val="003D543B"/>
    <w:rsid w:val="003D64F0"/>
    <w:rsid w:val="003D6FE8"/>
    <w:rsid w:val="003D7292"/>
    <w:rsid w:val="003D7DB4"/>
    <w:rsid w:val="003E043F"/>
    <w:rsid w:val="003E121C"/>
    <w:rsid w:val="003E3210"/>
    <w:rsid w:val="003E32AE"/>
    <w:rsid w:val="003E3970"/>
    <w:rsid w:val="003E44AE"/>
    <w:rsid w:val="003E5517"/>
    <w:rsid w:val="003E5BB6"/>
    <w:rsid w:val="003E6573"/>
    <w:rsid w:val="003E66FF"/>
    <w:rsid w:val="003E6FDD"/>
    <w:rsid w:val="003E73C2"/>
    <w:rsid w:val="003F0D91"/>
    <w:rsid w:val="003F17E2"/>
    <w:rsid w:val="003F1D26"/>
    <w:rsid w:val="003F1E3E"/>
    <w:rsid w:val="003F1ED0"/>
    <w:rsid w:val="003F30EF"/>
    <w:rsid w:val="003F428E"/>
    <w:rsid w:val="003F4A35"/>
    <w:rsid w:val="003F4B2D"/>
    <w:rsid w:val="003F605A"/>
    <w:rsid w:val="003F692A"/>
    <w:rsid w:val="003F6F72"/>
    <w:rsid w:val="003F713B"/>
    <w:rsid w:val="003F77F3"/>
    <w:rsid w:val="003F7ABD"/>
    <w:rsid w:val="0040089F"/>
    <w:rsid w:val="00402D8C"/>
    <w:rsid w:val="004032AE"/>
    <w:rsid w:val="004047E9"/>
    <w:rsid w:val="0040489B"/>
    <w:rsid w:val="00404B5C"/>
    <w:rsid w:val="004063FA"/>
    <w:rsid w:val="0040768A"/>
    <w:rsid w:val="00407B78"/>
    <w:rsid w:val="00410154"/>
    <w:rsid w:val="00411546"/>
    <w:rsid w:val="00413005"/>
    <w:rsid w:val="0041360B"/>
    <w:rsid w:val="00413E4B"/>
    <w:rsid w:val="00414B81"/>
    <w:rsid w:val="00414DAE"/>
    <w:rsid w:val="00414F8C"/>
    <w:rsid w:val="00415C0C"/>
    <w:rsid w:val="0041615F"/>
    <w:rsid w:val="00416906"/>
    <w:rsid w:val="00416DE8"/>
    <w:rsid w:val="00420625"/>
    <w:rsid w:val="00420F3F"/>
    <w:rsid w:val="00421456"/>
    <w:rsid w:val="00423929"/>
    <w:rsid w:val="00423B16"/>
    <w:rsid w:val="00423FA0"/>
    <w:rsid w:val="004242E1"/>
    <w:rsid w:val="00424799"/>
    <w:rsid w:val="00425F19"/>
    <w:rsid w:val="00426526"/>
    <w:rsid w:val="00426707"/>
    <w:rsid w:val="004267A0"/>
    <w:rsid w:val="00426C8A"/>
    <w:rsid w:val="0042712B"/>
    <w:rsid w:val="004278B1"/>
    <w:rsid w:val="00427C49"/>
    <w:rsid w:val="00427CB8"/>
    <w:rsid w:val="00430A2B"/>
    <w:rsid w:val="004313BA"/>
    <w:rsid w:val="00432050"/>
    <w:rsid w:val="00432DF5"/>
    <w:rsid w:val="004335E2"/>
    <w:rsid w:val="00433C07"/>
    <w:rsid w:val="00433E3F"/>
    <w:rsid w:val="00434B2E"/>
    <w:rsid w:val="00435410"/>
    <w:rsid w:val="00435A96"/>
    <w:rsid w:val="00435B92"/>
    <w:rsid w:val="00435C91"/>
    <w:rsid w:val="00435E81"/>
    <w:rsid w:val="00436385"/>
    <w:rsid w:val="0043718E"/>
    <w:rsid w:val="004372B3"/>
    <w:rsid w:val="004403ED"/>
    <w:rsid w:val="0044208B"/>
    <w:rsid w:val="004422D0"/>
    <w:rsid w:val="00442C4B"/>
    <w:rsid w:val="00442F16"/>
    <w:rsid w:val="0044451D"/>
    <w:rsid w:val="00444DED"/>
    <w:rsid w:val="00444E8A"/>
    <w:rsid w:val="00445062"/>
    <w:rsid w:val="00445AE3"/>
    <w:rsid w:val="004462F2"/>
    <w:rsid w:val="00446CD9"/>
    <w:rsid w:val="004476FB"/>
    <w:rsid w:val="00450CCF"/>
    <w:rsid w:val="00451005"/>
    <w:rsid w:val="00451DFE"/>
    <w:rsid w:val="004521A0"/>
    <w:rsid w:val="00455013"/>
    <w:rsid w:val="00455688"/>
    <w:rsid w:val="00455C46"/>
    <w:rsid w:val="00457852"/>
    <w:rsid w:val="00460682"/>
    <w:rsid w:val="00460777"/>
    <w:rsid w:val="004629CE"/>
    <w:rsid w:val="00462EAF"/>
    <w:rsid w:val="004631A6"/>
    <w:rsid w:val="00463BFB"/>
    <w:rsid w:val="00464200"/>
    <w:rsid w:val="00465AC9"/>
    <w:rsid w:val="00465EA3"/>
    <w:rsid w:val="004665E4"/>
    <w:rsid w:val="00466941"/>
    <w:rsid w:val="00466C4C"/>
    <w:rsid w:val="0046781A"/>
    <w:rsid w:val="004701EE"/>
    <w:rsid w:val="00473709"/>
    <w:rsid w:val="00473A27"/>
    <w:rsid w:val="004747BE"/>
    <w:rsid w:val="00475E0A"/>
    <w:rsid w:val="00475F95"/>
    <w:rsid w:val="00475FE6"/>
    <w:rsid w:val="004760A9"/>
    <w:rsid w:val="00477C1D"/>
    <w:rsid w:val="0048219F"/>
    <w:rsid w:val="0048229E"/>
    <w:rsid w:val="004823D3"/>
    <w:rsid w:val="00482961"/>
    <w:rsid w:val="00484127"/>
    <w:rsid w:val="00484611"/>
    <w:rsid w:val="0048497B"/>
    <w:rsid w:val="00484CBD"/>
    <w:rsid w:val="00485887"/>
    <w:rsid w:val="00485B35"/>
    <w:rsid w:val="004875E9"/>
    <w:rsid w:val="004877BB"/>
    <w:rsid w:val="004901AA"/>
    <w:rsid w:val="00490375"/>
    <w:rsid w:val="0049049F"/>
    <w:rsid w:val="00490BA0"/>
    <w:rsid w:val="004910F4"/>
    <w:rsid w:val="00491528"/>
    <w:rsid w:val="00493A21"/>
    <w:rsid w:val="00493BFA"/>
    <w:rsid w:val="00494F66"/>
    <w:rsid w:val="004956FD"/>
    <w:rsid w:val="0049635D"/>
    <w:rsid w:val="004963B1"/>
    <w:rsid w:val="004966F6"/>
    <w:rsid w:val="00496C71"/>
    <w:rsid w:val="00497538"/>
    <w:rsid w:val="0049771C"/>
    <w:rsid w:val="00497ADC"/>
    <w:rsid w:val="004A0364"/>
    <w:rsid w:val="004A0B47"/>
    <w:rsid w:val="004A0F02"/>
    <w:rsid w:val="004A14D7"/>
    <w:rsid w:val="004A1ECB"/>
    <w:rsid w:val="004A20E3"/>
    <w:rsid w:val="004A2A2D"/>
    <w:rsid w:val="004A43E8"/>
    <w:rsid w:val="004A4653"/>
    <w:rsid w:val="004A5E02"/>
    <w:rsid w:val="004A69A1"/>
    <w:rsid w:val="004A7842"/>
    <w:rsid w:val="004B05E9"/>
    <w:rsid w:val="004B23A6"/>
    <w:rsid w:val="004B2799"/>
    <w:rsid w:val="004B37A7"/>
    <w:rsid w:val="004B3801"/>
    <w:rsid w:val="004B4168"/>
    <w:rsid w:val="004B4273"/>
    <w:rsid w:val="004B4892"/>
    <w:rsid w:val="004B48C4"/>
    <w:rsid w:val="004B4B1F"/>
    <w:rsid w:val="004B4EE2"/>
    <w:rsid w:val="004B4F12"/>
    <w:rsid w:val="004B4F22"/>
    <w:rsid w:val="004B514F"/>
    <w:rsid w:val="004B52FC"/>
    <w:rsid w:val="004B58D8"/>
    <w:rsid w:val="004B59E1"/>
    <w:rsid w:val="004B5E7C"/>
    <w:rsid w:val="004B6CE1"/>
    <w:rsid w:val="004B6EA5"/>
    <w:rsid w:val="004B7366"/>
    <w:rsid w:val="004C0093"/>
    <w:rsid w:val="004C18F6"/>
    <w:rsid w:val="004C1B48"/>
    <w:rsid w:val="004C204E"/>
    <w:rsid w:val="004C2202"/>
    <w:rsid w:val="004C28CE"/>
    <w:rsid w:val="004C2B98"/>
    <w:rsid w:val="004C3C79"/>
    <w:rsid w:val="004C4550"/>
    <w:rsid w:val="004C460B"/>
    <w:rsid w:val="004C4944"/>
    <w:rsid w:val="004C49E8"/>
    <w:rsid w:val="004C4AB6"/>
    <w:rsid w:val="004C4D8F"/>
    <w:rsid w:val="004C6764"/>
    <w:rsid w:val="004C6E63"/>
    <w:rsid w:val="004C6EBA"/>
    <w:rsid w:val="004D0C33"/>
    <w:rsid w:val="004D0FF7"/>
    <w:rsid w:val="004D1F04"/>
    <w:rsid w:val="004D4AA4"/>
    <w:rsid w:val="004D5000"/>
    <w:rsid w:val="004D52EA"/>
    <w:rsid w:val="004D5C34"/>
    <w:rsid w:val="004D6102"/>
    <w:rsid w:val="004D6AD8"/>
    <w:rsid w:val="004D77BE"/>
    <w:rsid w:val="004E0C4F"/>
    <w:rsid w:val="004E19FC"/>
    <w:rsid w:val="004E1BBC"/>
    <w:rsid w:val="004E1F47"/>
    <w:rsid w:val="004E2412"/>
    <w:rsid w:val="004E26AC"/>
    <w:rsid w:val="004E30AE"/>
    <w:rsid w:val="004E4AE0"/>
    <w:rsid w:val="004E515A"/>
    <w:rsid w:val="004E5768"/>
    <w:rsid w:val="004E6923"/>
    <w:rsid w:val="004F0D41"/>
    <w:rsid w:val="004F1455"/>
    <w:rsid w:val="004F15BE"/>
    <w:rsid w:val="004F18C6"/>
    <w:rsid w:val="004F20FB"/>
    <w:rsid w:val="004F2FB6"/>
    <w:rsid w:val="004F37F0"/>
    <w:rsid w:val="004F67D2"/>
    <w:rsid w:val="004F7087"/>
    <w:rsid w:val="0050034E"/>
    <w:rsid w:val="00500675"/>
    <w:rsid w:val="00500E2D"/>
    <w:rsid w:val="00501C5C"/>
    <w:rsid w:val="00502AF4"/>
    <w:rsid w:val="00502B66"/>
    <w:rsid w:val="005037E5"/>
    <w:rsid w:val="00503F74"/>
    <w:rsid w:val="00504553"/>
    <w:rsid w:val="0050474C"/>
    <w:rsid w:val="00504D2A"/>
    <w:rsid w:val="005052D7"/>
    <w:rsid w:val="00505E79"/>
    <w:rsid w:val="00505EC7"/>
    <w:rsid w:val="005061A3"/>
    <w:rsid w:val="005068CC"/>
    <w:rsid w:val="00506914"/>
    <w:rsid w:val="00507171"/>
    <w:rsid w:val="00507DDD"/>
    <w:rsid w:val="005103AE"/>
    <w:rsid w:val="00510BE9"/>
    <w:rsid w:val="00511150"/>
    <w:rsid w:val="00512CE8"/>
    <w:rsid w:val="00512D1F"/>
    <w:rsid w:val="00512EE5"/>
    <w:rsid w:val="005133BB"/>
    <w:rsid w:val="005138BC"/>
    <w:rsid w:val="00513A27"/>
    <w:rsid w:val="00513C8F"/>
    <w:rsid w:val="00514A47"/>
    <w:rsid w:val="0051542B"/>
    <w:rsid w:val="005156B1"/>
    <w:rsid w:val="00515745"/>
    <w:rsid w:val="0051706D"/>
    <w:rsid w:val="005170B9"/>
    <w:rsid w:val="00517431"/>
    <w:rsid w:val="00517A49"/>
    <w:rsid w:val="00517B1A"/>
    <w:rsid w:val="00517DB9"/>
    <w:rsid w:val="00520598"/>
    <w:rsid w:val="0052089A"/>
    <w:rsid w:val="00521009"/>
    <w:rsid w:val="00521338"/>
    <w:rsid w:val="00521770"/>
    <w:rsid w:val="00522316"/>
    <w:rsid w:val="00522669"/>
    <w:rsid w:val="005237EB"/>
    <w:rsid w:val="00524677"/>
    <w:rsid w:val="00525736"/>
    <w:rsid w:val="00525ACA"/>
    <w:rsid w:val="00526A47"/>
    <w:rsid w:val="005277FD"/>
    <w:rsid w:val="005304C9"/>
    <w:rsid w:val="00531721"/>
    <w:rsid w:val="00532A76"/>
    <w:rsid w:val="00534E61"/>
    <w:rsid w:val="00535E0F"/>
    <w:rsid w:val="00536B88"/>
    <w:rsid w:val="00537248"/>
    <w:rsid w:val="005373A9"/>
    <w:rsid w:val="00537419"/>
    <w:rsid w:val="00537D73"/>
    <w:rsid w:val="00542BFD"/>
    <w:rsid w:val="005434E3"/>
    <w:rsid w:val="00543535"/>
    <w:rsid w:val="005436CD"/>
    <w:rsid w:val="00544E7C"/>
    <w:rsid w:val="005453B8"/>
    <w:rsid w:val="00546FD3"/>
    <w:rsid w:val="0055034F"/>
    <w:rsid w:val="005506BB"/>
    <w:rsid w:val="00550F85"/>
    <w:rsid w:val="00551650"/>
    <w:rsid w:val="00551660"/>
    <w:rsid w:val="00552635"/>
    <w:rsid w:val="00553DC5"/>
    <w:rsid w:val="00554409"/>
    <w:rsid w:val="005549B9"/>
    <w:rsid w:val="00555D9E"/>
    <w:rsid w:val="00556620"/>
    <w:rsid w:val="00557370"/>
    <w:rsid w:val="00561BE8"/>
    <w:rsid w:val="00561F0C"/>
    <w:rsid w:val="00562E0C"/>
    <w:rsid w:val="00563A1D"/>
    <w:rsid w:val="005642D5"/>
    <w:rsid w:val="00564DB2"/>
    <w:rsid w:val="00564FEE"/>
    <w:rsid w:val="00565B2D"/>
    <w:rsid w:val="00565E2D"/>
    <w:rsid w:val="005667A9"/>
    <w:rsid w:val="00566CDF"/>
    <w:rsid w:val="00566DA6"/>
    <w:rsid w:val="0056750E"/>
    <w:rsid w:val="00567941"/>
    <w:rsid w:val="0057078F"/>
    <w:rsid w:val="00570913"/>
    <w:rsid w:val="00570A99"/>
    <w:rsid w:val="0057279F"/>
    <w:rsid w:val="00572863"/>
    <w:rsid w:val="00572E1A"/>
    <w:rsid w:val="00573FB5"/>
    <w:rsid w:val="005741D4"/>
    <w:rsid w:val="00575544"/>
    <w:rsid w:val="005760DD"/>
    <w:rsid w:val="0057629D"/>
    <w:rsid w:val="005769CE"/>
    <w:rsid w:val="00577A84"/>
    <w:rsid w:val="00577F9D"/>
    <w:rsid w:val="00580103"/>
    <w:rsid w:val="0058067D"/>
    <w:rsid w:val="0058075D"/>
    <w:rsid w:val="0058122A"/>
    <w:rsid w:val="00582296"/>
    <w:rsid w:val="00582583"/>
    <w:rsid w:val="00582AEA"/>
    <w:rsid w:val="00583B87"/>
    <w:rsid w:val="00583BDE"/>
    <w:rsid w:val="005842A3"/>
    <w:rsid w:val="00584D08"/>
    <w:rsid w:val="00584E4F"/>
    <w:rsid w:val="0058540B"/>
    <w:rsid w:val="00586D77"/>
    <w:rsid w:val="00586E73"/>
    <w:rsid w:val="00587309"/>
    <w:rsid w:val="005903EE"/>
    <w:rsid w:val="00590C44"/>
    <w:rsid w:val="005937C0"/>
    <w:rsid w:val="0059386F"/>
    <w:rsid w:val="005946E9"/>
    <w:rsid w:val="005952F8"/>
    <w:rsid w:val="00595E72"/>
    <w:rsid w:val="00596064"/>
    <w:rsid w:val="005962D7"/>
    <w:rsid w:val="005A0118"/>
    <w:rsid w:val="005A0177"/>
    <w:rsid w:val="005A0B25"/>
    <w:rsid w:val="005A0F86"/>
    <w:rsid w:val="005A0FDB"/>
    <w:rsid w:val="005A19B1"/>
    <w:rsid w:val="005A206E"/>
    <w:rsid w:val="005A209C"/>
    <w:rsid w:val="005A2C22"/>
    <w:rsid w:val="005A3012"/>
    <w:rsid w:val="005A3209"/>
    <w:rsid w:val="005A33B6"/>
    <w:rsid w:val="005A354B"/>
    <w:rsid w:val="005A44CE"/>
    <w:rsid w:val="005A4548"/>
    <w:rsid w:val="005A56EB"/>
    <w:rsid w:val="005B0F62"/>
    <w:rsid w:val="005B10B6"/>
    <w:rsid w:val="005B1A5C"/>
    <w:rsid w:val="005B2153"/>
    <w:rsid w:val="005B22F5"/>
    <w:rsid w:val="005B3168"/>
    <w:rsid w:val="005B317B"/>
    <w:rsid w:val="005B3296"/>
    <w:rsid w:val="005B3B6F"/>
    <w:rsid w:val="005B4CD6"/>
    <w:rsid w:val="005B4E4B"/>
    <w:rsid w:val="005B54E4"/>
    <w:rsid w:val="005B55B4"/>
    <w:rsid w:val="005B5636"/>
    <w:rsid w:val="005B6445"/>
    <w:rsid w:val="005B7691"/>
    <w:rsid w:val="005C039C"/>
    <w:rsid w:val="005C1424"/>
    <w:rsid w:val="005C2080"/>
    <w:rsid w:val="005C2239"/>
    <w:rsid w:val="005C2343"/>
    <w:rsid w:val="005C2862"/>
    <w:rsid w:val="005C291A"/>
    <w:rsid w:val="005C32A6"/>
    <w:rsid w:val="005C4A83"/>
    <w:rsid w:val="005C57DF"/>
    <w:rsid w:val="005C5C95"/>
    <w:rsid w:val="005C5FA1"/>
    <w:rsid w:val="005C5FD7"/>
    <w:rsid w:val="005C6592"/>
    <w:rsid w:val="005C694D"/>
    <w:rsid w:val="005C6CF4"/>
    <w:rsid w:val="005C6F0C"/>
    <w:rsid w:val="005D0DCF"/>
    <w:rsid w:val="005D157C"/>
    <w:rsid w:val="005D2701"/>
    <w:rsid w:val="005D385D"/>
    <w:rsid w:val="005D49BD"/>
    <w:rsid w:val="005D49E9"/>
    <w:rsid w:val="005D4CDC"/>
    <w:rsid w:val="005D5039"/>
    <w:rsid w:val="005D5228"/>
    <w:rsid w:val="005D551F"/>
    <w:rsid w:val="005D5CA9"/>
    <w:rsid w:val="005D5F12"/>
    <w:rsid w:val="005D5F70"/>
    <w:rsid w:val="005D703D"/>
    <w:rsid w:val="005D72D3"/>
    <w:rsid w:val="005D73FD"/>
    <w:rsid w:val="005D77F4"/>
    <w:rsid w:val="005E0329"/>
    <w:rsid w:val="005E07B8"/>
    <w:rsid w:val="005E0CA1"/>
    <w:rsid w:val="005E0E02"/>
    <w:rsid w:val="005E109C"/>
    <w:rsid w:val="005E1A81"/>
    <w:rsid w:val="005E2358"/>
    <w:rsid w:val="005E254F"/>
    <w:rsid w:val="005E2605"/>
    <w:rsid w:val="005E3308"/>
    <w:rsid w:val="005E500C"/>
    <w:rsid w:val="005E52E6"/>
    <w:rsid w:val="005E6703"/>
    <w:rsid w:val="005F0482"/>
    <w:rsid w:val="005F0828"/>
    <w:rsid w:val="005F1066"/>
    <w:rsid w:val="005F26EF"/>
    <w:rsid w:val="005F3251"/>
    <w:rsid w:val="005F36EE"/>
    <w:rsid w:val="005F4BD3"/>
    <w:rsid w:val="005F4C86"/>
    <w:rsid w:val="005F54CE"/>
    <w:rsid w:val="005F6573"/>
    <w:rsid w:val="005F71B8"/>
    <w:rsid w:val="005F73BA"/>
    <w:rsid w:val="005F76CC"/>
    <w:rsid w:val="005F7C41"/>
    <w:rsid w:val="006006A5"/>
    <w:rsid w:val="006031EF"/>
    <w:rsid w:val="0060426B"/>
    <w:rsid w:val="00606013"/>
    <w:rsid w:val="00607BBF"/>
    <w:rsid w:val="0061118B"/>
    <w:rsid w:val="0061141A"/>
    <w:rsid w:val="00612B90"/>
    <w:rsid w:val="00614BEC"/>
    <w:rsid w:val="006173FF"/>
    <w:rsid w:val="00621709"/>
    <w:rsid w:val="00621920"/>
    <w:rsid w:val="00621F15"/>
    <w:rsid w:val="00622354"/>
    <w:rsid w:val="00622DAC"/>
    <w:rsid w:val="00622E37"/>
    <w:rsid w:val="00623195"/>
    <w:rsid w:val="006236F9"/>
    <w:rsid w:val="006240F3"/>
    <w:rsid w:val="006246B5"/>
    <w:rsid w:val="00624F6E"/>
    <w:rsid w:val="006262E1"/>
    <w:rsid w:val="00626C62"/>
    <w:rsid w:val="00627404"/>
    <w:rsid w:val="00627D19"/>
    <w:rsid w:val="006304D0"/>
    <w:rsid w:val="006305AE"/>
    <w:rsid w:val="00630787"/>
    <w:rsid w:val="00630F2F"/>
    <w:rsid w:val="006314DB"/>
    <w:rsid w:val="00631EE7"/>
    <w:rsid w:val="00633844"/>
    <w:rsid w:val="006339DB"/>
    <w:rsid w:val="00633F31"/>
    <w:rsid w:val="0063589F"/>
    <w:rsid w:val="00637608"/>
    <w:rsid w:val="00637609"/>
    <w:rsid w:val="00637D85"/>
    <w:rsid w:val="0064154A"/>
    <w:rsid w:val="006417D7"/>
    <w:rsid w:val="006419E5"/>
    <w:rsid w:val="00642413"/>
    <w:rsid w:val="00643B41"/>
    <w:rsid w:val="00643E3D"/>
    <w:rsid w:val="00644D5F"/>
    <w:rsid w:val="00645407"/>
    <w:rsid w:val="0064552E"/>
    <w:rsid w:val="0064705C"/>
    <w:rsid w:val="006476BD"/>
    <w:rsid w:val="00647C81"/>
    <w:rsid w:val="00647E81"/>
    <w:rsid w:val="00650039"/>
    <w:rsid w:val="00651634"/>
    <w:rsid w:val="0065177E"/>
    <w:rsid w:val="00651BED"/>
    <w:rsid w:val="00651D24"/>
    <w:rsid w:val="006523B3"/>
    <w:rsid w:val="0065377D"/>
    <w:rsid w:val="00653AD7"/>
    <w:rsid w:val="00653E45"/>
    <w:rsid w:val="0065589F"/>
    <w:rsid w:val="006567F8"/>
    <w:rsid w:val="006568EE"/>
    <w:rsid w:val="00657695"/>
    <w:rsid w:val="00657BF1"/>
    <w:rsid w:val="00657ED6"/>
    <w:rsid w:val="00660DF4"/>
    <w:rsid w:val="0066179A"/>
    <w:rsid w:val="00661AD3"/>
    <w:rsid w:val="00661C36"/>
    <w:rsid w:val="00662096"/>
    <w:rsid w:val="006622E5"/>
    <w:rsid w:val="00663D2C"/>
    <w:rsid w:val="00663DA2"/>
    <w:rsid w:val="0066402B"/>
    <w:rsid w:val="0066406B"/>
    <w:rsid w:val="00666782"/>
    <w:rsid w:val="00666E24"/>
    <w:rsid w:val="00666EEA"/>
    <w:rsid w:val="0066740E"/>
    <w:rsid w:val="006709B5"/>
    <w:rsid w:val="00670C74"/>
    <w:rsid w:val="006720BE"/>
    <w:rsid w:val="00672D99"/>
    <w:rsid w:val="00673101"/>
    <w:rsid w:val="00674412"/>
    <w:rsid w:val="006752C2"/>
    <w:rsid w:val="00675B02"/>
    <w:rsid w:val="00676F48"/>
    <w:rsid w:val="006801BE"/>
    <w:rsid w:val="006806A8"/>
    <w:rsid w:val="00680D26"/>
    <w:rsid w:val="00680FB6"/>
    <w:rsid w:val="0068175F"/>
    <w:rsid w:val="006817F4"/>
    <w:rsid w:val="00682E81"/>
    <w:rsid w:val="00682F34"/>
    <w:rsid w:val="00683D5A"/>
    <w:rsid w:val="00684117"/>
    <w:rsid w:val="006842DE"/>
    <w:rsid w:val="00684AAF"/>
    <w:rsid w:val="00684B2D"/>
    <w:rsid w:val="00684C57"/>
    <w:rsid w:val="00684E3A"/>
    <w:rsid w:val="0068619D"/>
    <w:rsid w:val="0068687A"/>
    <w:rsid w:val="006873DC"/>
    <w:rsid w:val="00690139"/>
    <w:rsid w:val="0069082E"/>
    <w:rsid w:val="006913D8"/>
    <w:rsid w:val="00691508"/>
    <w:rsid w:val="00691CFA"/>
    <w:rsid w:val="00693257"/>
    <w:rsid w:val="0069362B"/>
    <w:rsid w:val="00693CA4"/>
    <w:rsid w:val="0069433C"/>
    <w:rsid w:val="006957AC"/>
    <w:rsid w:val="00696A42"/>
    <w:rsid w:val="00697225"/>
    <w:rsid w:val="00697319"/>
    <w:rsid w:val="00697629"/>
    <w:rsid w:val="006A0291"/>
    <w:rsid w:val="006A0BE7"/>
    <w:rsid w:val="006A1264"/>
    <w:rsid w:val="006A12D3"/>
    <w:rsid w:val="006A2507"/>
    <w:rsid w:val="006A4402"/>
    <w:rsid w:val="006A4879"/>
    <w:rsid w:val="006A49FC"/>
    <w:rsid w:val="006A5084"/>
    <w:rsid w:val="006A5663"/>
    <w:rsid w:val="006A62B0"/>
    <w:rsid w:val="006A6489"/>
    <w:rsid w:val="006A6A90"/>
    <w:rsid w:val="006A70FE"/>
    <w:rsid w:val="006B040D"/>
    <w:rsid w:val="006B0F6D"/>
    <w:rsid w:val="006B12B2"/>
    <w:rsid w:val="006B1718"/>
    <w:rsid w:val="006B1EE7"/>
    <w:rsid w:val="006B293D"/>
    <w:rsid w:val="006B30B9"/>
    <w:rsid w:val="006B3CEE"/>
    <w:rsid w:val="006B4C99"/>
    <w:rsid w:val="006B5209"/>
    <w:rsid w:val="006B5368"/>
    <w:rsid w:val="006B5C2D"/>
    <w:rsid w:val="006B5DCC"/>
    <w:rsid w:val="006B6F05"/>
    <w:rsid w:val="006B723A"/>
    <w:rsid w:val="006B78E3"/>
    <w:rsid w:val="006C0D76"/>
    <w:rsid w:val="006C13BA"/>
    <w:rsid w:val="006C1AFF"/>
    <w:rsid w:val="006C2549"/>
    <w:rsid w:val="006C26D2"/>
    <w:rsid w:val="006C2C7D"/>
    <w:rsid w:val="006C41E6"/>
    <w:rsid w:val="006C5042"/>
    <w:rsid w:val="006C64A1"/>
    <w:rsid w:val="006D0267"/>
    <w:rsid w:val="006D05A6"/>
    <w:rsid w:val="006D0BB9"/>
    <w:rsid w:val="006D0D3F"/>
    <w:rsid w:val="006D253B"/>
    <w:rsid w:val="006D29BB"/>
    <w:rsid w:val="006D2BA8"/>
    <w:rsid w:val="006D2F70"/>
    <w:rsid w:val="006D3402"/>
    <w:rsid w:val="006D45E0"/>
    <w:rsid w:val="006D497C"/>
    <w:rsid w:val="006D4E67"/>
    <w:rsid w:val="006D51C7"/>
    <w:rsid w:val="006D7715"/>
    <w:rsid w:val="006D7AE7"/>
    <w:rsid w:val="006E02DD"/>
    <w:rsid w:val="006E1986"/>
    <w:rsid w:val="006E259F"/>
    <w:rsid w:val="006E32DA"/>
    <w:rsid w:val="006E5648"/>
    <w:rsid w:val="006E6758"/>
    <w:rsid w:val="006E697F"/>
    <w:rsid w:val="006E71FA"/>
    <w:rsid w:val="006E7820"/>
    <w:rsid w:val="006E7F3E"/>
    <w:rsid w:val="006F0504"/>
    <w:rsid w:val="006F1A7E"/>
    <w:rsid w:val="006F3128"/>
    <w:rsid w:val="006F3554"/>
    <w:rsid w:val="006F40D4"/>
    <w:rsid w:val="006F5268"/>
    <w:rsid w:val="006F63C9"/>
    <w:rsid w:val="006F6442"/>
    <w:rsid w:val="006F69FA"/>
    <w:rsid w:val="006F6A61"/>
    <w:rsid w:val="006F6C96"/>
    <w:rsid w:val="006F6E46"/>
    <w:rsid w:val="006F7F9D"/>
    <w:rsid w:val="007008FC"/>
    <w:rsid w:val="00700A64"/>
    <w:rsid w:val="00700FE4"/>
    <w:rsid w:val="007012E8"/>
    <w:rsid w:val="007020E7"/>
    <w:rsid w:val="00703FA4"/>
    <w:rsid w:val="00705B1B"/>
    <w:rsid w:val="00705BB7"/>
    <w:rsid w:val="00705BE1"/>
    <w:rsid w:val="007066C4"/>
    <w:rsid w:val="00707FE7"/>
    <w:rsid w:val="00710C50"/>
    <w:rsid w:val="007119DC"/>
    <w:rsid w:val="0071293A"/>
    <w:rsid w:val="0071333C"/>
    <w:rsid w:val="007140A9"/>
    <w:rsid w:val="00715BD2"/>
    <w:rsid w:val="00716EED"/>
    <w:rsid w:val="00717823"/>
    <w:rsid w:val="00720700"/>
    <w:rsid w:val="00720B14"/>
    <w:rsid w:val="00721649"/>
    <w:rsid w:val="00721A19"/>
    <w:rsid w:val="00721D98"/>
    <w:rsid w:val="00721EC7"/>
    <w:rsid w:val="00722E81"/>
    <w:rsid w:val="00723A1F"/>
    <w:rsid w:val="00724025"/>
    <w:rsid w:val="00724708"/>
    <w:rsid w:val="0072557B"/>
    <w:rsid w:val="00725A44"/>
    <w:rsid w:val="0072663E"/>
    <w:rsid w:val="00726736"/>
    <w:rsid w:val="0072773B"/>
    <w:rsid w:val="007300CB"/>
    <w:rsid w:val="00730751"/>
    <w:rsid w:val="0073081D"/>
    <w:rsid w:val="00733940"/>
    <w:rsid w:val="00734CAC"/>
    <w:rsid w:val="00734D9D"/>
    <w:rsid w:val="00735005"/>
    <w:rsid w:val="0073579B"/>
    <w:rsid w:val="007369DC"/>
    <w:rsid w:val="00736DCA"/>
    <w:rsid w:val="0073710B"/>
    <w:rsid w:val="007372E2"/>
    <w:rsid w:val="00740534"/>
    <w:rsid w:val="00740553"/>
    <w:rsid w:val="00740B8D"/>
    <w:rsid w:val="00740E50"/>
    <w:rsid w:val="007411E0"/>
    <w:rsid w:val="007411E7"/>
    <w:rsid w:val="00741AB4"/>
    <w:rsid w:val="0074200E"/>
    <w:rsid w:val="00743ABA"/>
    <w:rsid w:val="0074412F"/>
    <w:rsid w:val="00744813"/>
    <w:rsid w:val="007456A3"/>
    <w:rsid w:val="00746721"/>
    <w:rsid w:val="00746C94"/>
    <w:rsid w:val="00746E4F"/>
    <w:rsid w:val="007478AC"/>
    <w:rsid w:val="00747C3D"/>
    <w:rsid w:val="00750664"/>
    <w:rsid w:val="007518B4"/>
    <w:rsid w:val="007525F7"/>
    <w:rsid w:val="00752BA4"/>
    <w:rsid w:val="007532FE"/>
    <w:rsid w:val="00753BAC"/>
    <w:rsid w:val="00754998"/>
    <w:rsid w:val="007553C1"/>
    <w:rsid w:val="00755471"/>
    <w:rsid w:val="007556FF"/>
    <w:rsid w:val="0075577B"/>
    <w:rsid w:val="00755C10"/>
    <w:rsid w:val="007564F1"/>
    <w:rsid w:val="00760CF0"/>
    <w:rsid w:val="00760F43"/>
    <w:rsid w:val="0076239B"/>
    <w:rsid w:val="0076422A"/>
    <w:rsid w:val="0076483F"/>
    <w:rsid w:val="007648FB"/>
    <w:rsid w:val="00764EAD"/>
    <w:rsid w:val="0076521D"/>
    <w:rsid w:val="00765A58"/>
    <w:rsid w:val="00765E79"/>
    <w:rsid w:val="0076668C"/>
    <w:rsid w:val="00766756"/>
    <w:rsid w:val="007668D6"/>
    <w:rsid w:val="007671BA"/>
    <w:rsid w:val="0076734A"/>
    <w:rsid w:val="0077051B"/>
    <w:rsid w:val="007705BF"/>
    <w:rsid w:val="007712A9"/>
    <w:rsid w:val="0077157C"/>
    <w:rsid w:val="0077221C"/>
    <w:rsid w:val="00772975"/>
    <w:rsid w:val="00774DE9"/>
    <w:rsid w:val="007759CB"/>
    <w:rsid w:val="00776848"/>
    <w:rsid w:val="007768E8"/>
    <w:rsid w:val="0077727F"/>
    <w:rsid w:val="00780896"/>
    <w:rsid w:val="00780D75"/>
    <w:rsid w:val="0078196D"/>
    <w:rsid w:val="007822CE"/>
    <w:rsid w:val="00783475"/>
    <w:rsid w:val="00783751"/>
    <w:rsid w:val="00784039"/>
    <w:rsid w:val="00784F7C"/>
    <w:rsid w:val="0078500E"/>
    <w:rsid w:val="0078611D"/>
    <w:rsid w:val="007864BE"/>
    <w:rsid w:val="00786C61"/>
    <w:rsid w:val="00787B45"/>
    <w:rsid w:val="00790619"/>
    <w:rsid w:val="00793F47"/>
    <w:rsid w:val="00796045"/>
    <w:rsid w:val="007965EA"/>
    <w:rsid w:val="007A004B"/>
    <w:rsid w:val="007A049B"/>
    <w:rsid w:val="007A04DA"/>
    <w:rsid w:val="007A0FC7"/>
    <w:rsid w:val="007A11DE"/>
    <w:rsid w:val="007A1310"/>
    <w:rsid w:val="007A1510"/>
    <w:rsid w:val="007A1E6C"/>
    <w:rsid w:val="007A2787"/>
    <w:rsid w:val="007A2E56"/>
    <w:rsid w:val="007A3B01"/>
    <w:rsid w:val="007A7247"/>
    <w:rsid w:val="007A7283"/>
    <w:rsid w:val="007A73CD"/>
    <w:rsid w:val="007A7EBD"/>
    <w:rsid w:val="007B4183"/>
    <w:rsid w:val="007B4929"/>
    <w:rsid w:val="007B5061"/>
    <w:rsid w:val="007B50DC"/>
    <w:rsid w:val="007B58CE"/>
    <w:rsid w:val="007B5B02"/>
    <w:rsid w:val="007B5E7B"/>
    <w:rsid w:val="007B60F1"/>
    <w:rsid w:val="007B6395"/>
    <w:rsid w:val="007B6CF2"/>
    <w:rsid w:val="007B6E57"/>
    <w:rsid w:val="007B7F66"/>
    <w:rsid w:val="007C02B2"/>
    <w:rsid w:val="007C0931"/>
    <w:rsid w:val="007C0D5E"/>
    <w:rsid w:val="007C383B"/>
    <w:rsid w:val="007C4EF6"/>
    <w:rsid w:val="007C54A4"/>
    <w:rsid w:val="007C5918"/>
    <w:rsid w:val="007C5E34"/>
    <w:rsid w:val="007C61F3"/>
    <w:rsid w:val="007C65DA"/>
    <w:rsid w:val="007C66FE"/>
    <w:rsid w:val="007C6A51"/>
    <w:rsid w:val="007C77BC"/>
    <w:rsid w:val="007D0A8B"/>
    <w:rsid w:val="007D2021"/>
    <w:rsid w:val="007D22B3"/>
    <w:rsid w:val="007D2660"/>
    <w:rsid w:val="007D2B41"/>
    <w:rsid w:val="007D3822"/>
    <w:rsid w:val="007D3F68"/>
    <w:rsid w:val="007D4E7F"/>
    <w:rsid w:val="007D7DA4"/>
    <w:rsid w:val="007D7FE7"/>
    <w:rsid w:val="007E0BED"/>
    <w:rsid w:val="007E1020"/>
    <w:rsid w:val="007E23DE"/>
    <w:rsid w:val="007E261A"/>
    <w:rsid w:val="007E32C8"/>
    <w:rsid w:val="007E3548"/>
    <w:rsid w:val="007E3700"/>
    <w:rsid w:val="007E44E2"/>
    <w:rsid w:val="007E47C1"/>
    <w:rsid w:val="007E518E"/>
    <w:rsid w:val="007E582F"/>
    <w:rsid w:val="007E5ED3"/>
    <w:rsid w:val="007E73DA"/>
    <w:rsid w:val="007F0D78"/>
    <w:rsid w:val="007F0EE1"/>
    <w:rsid w:val="007F11C6"/>
    <w:rsid w:val="007F1884"/>
    <w:rsid w:val="007F2322"/>
    <w:rsid w:val="007F2C17"/>
    <w:rsid w:val="007F3245"/>
    <w:rsid w:val="007F403B"/>
    <w:rsid w:val="007F4317"/>
    <w:rsid w:val="007F51C6"/>
    <w:rsid w:val="007F54CF"/>
    <w:rsid w:val="007F5E79"/>
    <w:rsid w:val="0080009F"/>
    <w:rsid w:val="00800A4D"/>
    <w:rsid w:val="008018CE"/>
    <w:rsid w:val="00801A85"/>
    <w:rsid w:val="00801EC9"/>
    <w:rsid w:val="008029C6"/>
    <w:rsid w:val="00802D17"/>
    <w:rsid w:val="00803510"/>
    <w:rsid w:val="008040C8"/>
    <w:rsid w:val="008040E7"/>
    <w:rsid w:val="00804228"/>
    <w:rsid w:val="008057E1"/>
    <w:rsid w:val="008060B6"/>
    <w:rsid w:val="00806BDD"/>
    <w:rsid w:val="00806FE3"/>
    <w:rsid w:val="00807426"/>
    <w:rsid w:val="00810081"/>
    <w:rsid w:val="008105A7"/>
    <w:rsid w:val="00810C39"/>
    <w:rsid w:val="00810EC3"/>
    <w:rsid w:val="00810EE4"/>
    <w:rsid w:val="008110B3"/>
    <w:rsid w:val="00811475"/>
    <w:rsid w:val="00812EE8"/>
    <w:rsid w:val="00813167"/>
    <w:rsid w:val="008134A0"/>
    <w:rsid w:val="008140DF"/>
    <w:rsid w:val="008147F7"/>
    <w:rsid w:val="0081493B"/>
    <w:rsid w:val="00814C81"/>
    <w:rsid w:val="0081553B"/>
    <w:rsid w:val="00815794"/>
    <w:rsid w:val="00816FD4"/>
    <w:rsid w:val="0082039B"/>
    <w:rsid w:val="008204A3"/>
    <w:rsid w:val="00820CA3"/>
    <w:rsid w:val="00820CF8"/>
    <w:rsid w:val="00820F6A"/>
    <w:rsid w:val="00823B4F"/>
    <w:rsid w:val="00823B7B"/>
    <w:rsid w:val="00823E90"/>
    <w:rsid w:val="0082433B"/>
    <w:rsid w:val="00824656"/>
    <w:rsid w:val="00824AE9"/>
    <w:rsid w:val="00824D08"/>
    <w:rsid w:val="00825256"/>
    <w:rsid w:val="00825B9F"/>
    <w:rsid w:val="00826693"/>
    <w:rsid w:val="00827AC0"/>
    <w:rsid w:val="00827ACE"/>
    <w:rsid w:val="008300FF"/>
    <w:rsid w:val="008301F5"/>
    <w:rsid w:val="00830C85"/>
    <w:rsid w:val="00833739"/>
    <w:rsid w:val="00833D6F"/>
    <w:rsid w:val="008355BE"/>
    <w:rsid w:val="00836ECA"/>
    <w:rsid w:val="00837F2B"/>
    <w:rsid w:val="00840662"/>
    <w:rsid w:val="00840742"/>
    <w:rsid w:val="008409B3"/>
    <w:rsid w:val="00840F0B"/>
    <w:rsid w:val="008416DF"/>
    <w:rsid w:val="00842653"/>
    <w:rsid w:val="00842890"/>
    <w:rsid w:val="00842946"/>
    <w:rsid w:val="00844CA6"/>
    <w:rsid w:val="00845035"/>
    <w:rsid w:val="00846FDA"/>
    <w:rsid w:val="008479B9"/>
    <w:rsid w:val="00850045"/>
    <w:rsid w:val="00850BB6"/>
    <w:rsid w:val="008517F7"/>
    <w:rsid w:val="00851C72"/>
    <w:rsid w:val="00852072"/>
    <w:rsid w:val="008528CB"/>
    <w:rsid w:val="00852BF9"/>
    <w:rsid w:val="00852C29"/>
    <w:rsid w:val="00852C74"/>
    <w:rsid w:val="00852F70"/>
    <w:rsid w:val="008530BF"/>
    <w:rsid w:val="00854003"/>
    <w:rsid w:val="00854607"/>
    <w:rsid w:val="00854D0E"/>
    <w:rsid w:val="00854D27"/>
    <w:rsid w:val="008554BE"/>
    <w:rsid w:val="00856078"/>
    <w:rsid w:val="0085638E"/>
    <w:rsid w:val="00856C81"/>
    <w:rsid w:val="008601F4"/>
    <w:rsid w:val="00861A80"/>
    <w:rsid w:val="0086247D"/>
    <w:rsid w:val="00863A06"/>
    <w:rsid w:val="00863B45"/>
    <w:rsid w:val="0086560A"/>
    <w:rsid w:val="008659AD"/>
    <w:rsid w:val="0086725D"/>
    <w:rsid w:val="00870135"/>
    <w:rsid w:val="00871747"/>
    <w:rsid w:val="00872AA9"/>
    <w:rsid w:val="00872BD5"/>
    <w:rsid w:val="00874541"/>
    <w:rsid w:val="00874738"/>
    <w:rsid w:val="008748CB"/>
    <w:rsid w:val="0087660A"/>
    <w:rsid w:val="008766BE"/>
    <w:rsid w:val="0087759B"/>
    <w:rsid w:val="00880330"/>
    <w:rsid w:val="008808E6"/>
    <w:rsid w:val="00880F97"/>
    <w:rsid w:val="008814BD"/>
    <w:rsid w:val="00882967"/>
    <w:rsid w:val="00882C3C"/>
    <w:rsid w:val="00882C67"/>
    <w:rsid w:val="008834E7"/>
    <w:rsid w:val="0088363B"/>
    <w:rsid w:val="00884473"/>
    <w:rsid w:val="008873DB"/>
    <w:rsid w:val="008875DE"/>
    <w:rsid w:val="00887AF6"/>
    <w:rsid w:val="00887BF7"/>
    <w:rsid w:val="008905D5"/>
    <w:rsid w:val="008914EF"/>
    <w:rsid w:val="00891D03"/>
    <w:rsid w:val="00892099"/>
    <w:rsid w:val="00892F93"/>
    <w:rsid w:val="00893E9E"/>
    <w:rsid w:val="00895BA1"/>
    <w:rsid w:val="008964A7"/>
    <w:rsid w:val="00896855"/>
    <w:rsid w:val="00896A7D"/>
    <w:rsid w:val="00896C96"/>
    <w:rsid w:val="008A091B"/>
    <w:rsid w:val="008A0E29"/>
    <w:rsid w:val="008A15E3"/>
    <w:rsid w:val="008A20C8"/>
    <w:rsid w:val="008A3C2A"/>
    <w:rsid w:val="008A4385"/>
    <w:rsid w:val="008A507C"/>
    <w:rsid w:val="008A5EED"/>
    <w:rsid w:val="008A6614"/>
    <w:rsid w:val="008A7AD3"/>
    <w:rsid w:val="008B0B08"/>
    <w:rsid w:val="008B0CA5"/>
    <w:rsid w:val="008B129B"/>
    <w:rsid w:val="008B19AF"/>
    <w:rsid w:val="008B53B3"/>
    <w:rsid w:val="008B6068"/>
    <w:rsid w:val="008B646F"/>
    <w:rsid w:val="008B6AF6"/>
    <w:rsid w:val="008B7BEA"/>
    <w:rsid w:val="008C0E34"/>
    <w:rsid w:val="008C0E96"/>
    <w:rsid w:val="008C142D"/>
    <w:rsid w:val="008C2384"/>
    <w:rsid w:val="008C2603"/>
    <w:rsid w:val="008C33A2"/>
    <w:rsid w:val="008C346E"/>
    <w:rsid w:val="008C39FA"/>
    <w:rsid w:val="008C4AA8"/>
    <w:rsid w:val="008C6080"/>
    <w:rsid w:val="008C7EAE"/>
    <w:rsid w:val="008C7ECC"/>
    <w:rsid w:val="008D0427"/>
    <w:rsid w:val="008D0C50"/>
    <w:rsid w:val="008D19B6"/>
    <w:rsid w:val="008D2877"/>
    <w:rsid w:val="008D2EBD"/>
    <w:rsid w:val="008D3B8D"/>
    <w:rsid w:val="008D4B8E"/>
    <w:rsid w:val="008D651F"/>
    <w:rsid w:val="008D6FC3"/>
    <w:rsid w:val="008D7F3C"/>
    <w:rsid w:val="008E0581"/>
    <w:rsid w:val="008E09B0"/>
    <w:rsid w:val="008E17B2"/>
    <w:rsid w:val="008E18D3"/>
    <w:rsid w:val="008E1F4C"/>
    <w:rsid w:val="008E2355"/>
    <w:rsid w:val="008E35DE"/>
    <w:rsid w:val="008E3EDB"/>
    <w:rsid w:val="008E4A79"/>
    <w:rsid w:val="008E5234"/>
    <w:rsid w:val="008E530C"/>
    <w:rsid w:val="008E662F"/>
    <w:rsid w:val="008F0762"/>
    <w:rsid w:val="008F1A3A"/>
    <w:rsid w:val="008F1E40"/>
    <w:rsid w:val="008F2B60"/>
    <w:rsid w:val="008F2FCE"/>
    <w:rsid w:val="008F3F75"/>
    <w:rsid w:val="008F42EB"/>
    <w:rsid w:val="008F463A"/>
    <w:rsid w:val="008F4ECB"/>
    <w:rsid w:val="008F7050"/>
    <w:rsid w:val="008F7427"/>
    <w:rsid w:val="008F74D6"/>
    <w:rsid w:val="008F7EF3"/>
    <w:rsid w:val="00900199"/>
    <w:rsid w:val="0090197B"/>
    <w:rsid w:val="009037F9"/>
    <w:rsid w:val="0090392B"/>
    <w:rsid w:val="00903B16"/>
    <w:rsid w:val="009052E2"/>
    <w:rsid w:val="009054F9"/>
    <w:rsid w:val="00906186"/>
    <w:rsid w:val="009063E5"/>
    <w:rsid w:val="00906766"/>
    <w:rsid w:val="009071F2"/>
    <w:rsid w:val="00907398"/>
    <w:rsid w:val="00910241"/>
    <w:rsid w:val="009104ED"/>
    <w:rsid w:val="00910B00"/>
    <w:rsid w:val="009125A7"/>
    <w:rsid w:val="00913247"/>
    <w:rsid w:val="00914A98"/>
    <w:rsid w:val="00914F4A"/>
    <w:rsid w:val="00914FFF"/>
    <w:rsid w:val="009167E8"/>
    <w:rsid w:val="009178C0"/>
    <w:rsid w:val="0092005D"/>
    <w:rsid w:val="0092116B"/>
    <w:rsid w:val="00921203"/>
    <w:rsid w:val="00921320"/>
    <w:rsid w:val="00921D04"/>
    <w:rsid w:val="00922439"/>
    <w:rsid w:val="00922554"/>
    <w:rsid w:val="00922A92"/>
    <w:rsid w:val="009233BB"/>
    <w:rsid w:val="00925466"/>
    <w:rsid w:val="009267EA"/>
    <w:rsid w:val="00926AFB"/>
    <w:rsid w:val="00927718"/>
    <w:rsid w:val="00927798"/>
    <w:rsid w:val="00927D3E"/>
    <w:rsid w:val="00927E78"/>
    <w:rsid w:val="00930281"/>
    <w:rsid w:val="0093029F"/>
    <w:rsid w:val="009304E5"/>
    <w:rsid w:val="009314D5"/>
    <w:rsid w:val="009323F0"/>
    <w:rsid w:val="00933A30"/>
    <w:rsid w:val="00934F2A"/>
    <w:rsid w:val="00935461"/>
    <w:rsid w:val="00935C08"/>
    <w:rsid w:val="00936916"/>
    <w:rsid w:val="0094073F"/>
    <w:rsid w:val="00940B92"/>
    <w:rsid w:val="00942771"/>
    <w:rsid w:val="009439E9"/>
    <w:rsid w:val="00946D00"/>
    <w:rsid w:val="009474D0"/>
    <w:rsid w:val="009477EA"/>
    <w:rsid w:val="0095089E"/>
    <w:rsid w:val="00950D5C"/>
    <w:rsid w:val="009515B8"/>
    <w:rsid w:val="009519BF"/>
    <w:rsid w:val="00953362"/>
    <w:rsid w:val="00954350"/>
    <w:rsid w:val="0095460B"/>
    <w:rsid w:val="00956177"/>
    <w:rsid w:val="0096007E"/>
    <w:rsid w:val="00961160"/>
    <w:rsid w:val="00961919"/>
    <w:rsid w:val="0096246A"/>
    <w:rsid w:val="0096314F"/>
    <w:rsid w:val="0096398F"/>
    <w:rsid w:val="00963DFF"/>
    <w:rsid w:val="00964897"/>
    <w:rsid w:val="00964CBC"/>
    <w:rsid w:val="00964CC5"/>
    <w:rsid w:val="00964D39"/>
    <w:rsid w:val="009652ED"/>
    <w:rsid w:val="00965620"/>
    <w:rsid w:val="00965718"/>
    <w:rsid w:val="00966AAD"/>
    <w:rsid w:val="00966CF2"/>
    <w:rsid w:val="00970731"/>
    <w:rsid w:val="00973457"/>
    <w:rsid w:val="00973D94"/>
    <w:rsid w:val="009748A3"/>
    <w:rsid w:val="009752FB"/>
    <w:rsid w:val="00975CDC"/>
    <w:rsid w:val="00975F30"/>
    <w:rsid w:val="00976319"/>
    <w:rsid w:val="0097644A"/>
    <w:rsid w:val="00980FB8"/>
    <w:rsid w:val="00981307"/>
    <w:rsid w:val="00981C20"/>
    <w:rsid w:val="00981E71"/>
    <w:rsid w:val="009820E7"/>
    <w:rsid w:val="00983C93"/>
    <w:rsid w:val="009847A5"/>
    <w:rsid w:val="009851C0"/>
    <w:rsid w:val="009858AF"/>
    <w:rsid w:val="009863D2"/>
    <w:rsid w:val="00986A4D"/>
    <w:rsid w:val="0098700F"/>
    <w:rsid w:val="00987370"/>
    <w:rsid w:val="00987D6A"/>
    <w:rsid w:val="00990641"/>
    <w:rsid w:val="00990E33"/>
    <w:rsid w:val="00990E68"/>
    <w:rsid w:val="00991A57"/>
    <w:rsid w:val="00992428"/>
    <w:rsid w:val="00992B69"/>
    <w:rsid w:val="00992F32"/>
    <w:rsid w:val="009940F0"/>
    <w:rsid w:val="00994199"/>
    <w:rsid w:val="00994F9C"/>
    <w:rsid w:val="0099553A"/>
    <w:rsid w:val="00995DDC"/>
    <w:rsid w:val="00996274"/>
    <w:rsid w:val="00996709"/>
    <w:rsid w:val="0099685D"/>
    <w:rsid w:val="00996A46"/>
    <w:rsid w:val="00997CF1"/>
    <w:rsid w:val="009A0C42"/>
    <w:rsid w:val="009A124E"/>
    <w:rsid w:val="009A4A6E"/>
    <w:rsid w:val="009A6AC4"/>
    <w:rsid w:val="009A6B1B"/>
    <w:rsid w:val="009A6F11"/>
    <w:rsid w:val="009A73DC"/>
    <w:rsid w:val="009A745E"/>
    <w:rsid w:val="009A7C12"/>
    <w:rsid w:val="009B028F"/>
    <w:rsid w:val="009B1173"/>
    <w:rsid w:val="009B17D0"/>
    <w:rsid w:val="009B2429"/>
    <w:rsid w:val="009B2583"/>
    <w:rsid w:val="009B2D88"/>
    <w:rsid w:val="009B3D93"/>
    <w:rsid w:val="009B3FFD"/>
    <w:rsid w:val="009B4EF7"/>
    <w:rsid w:val="009B6455"/>
    <w:rsid w:val="009B78AA"/>
    <w:rsid w:val="009B7A55"/>
    <w:rsid w:val="009C0727"/>
    <w:rsid w:val="009C0D53"/>
    <w:rsid w:val="009C1114"/>
    <w:rsid w:val="009C15E4"/>
    <w:rsid w:val="009C1D0C"/>
    <w:rsid w:val="009C1EFA"/>
    <w:rsid w:val="009C21C8"/>
    <w:rsid w:val="009D0329"/>
    <w:rsid w:val="009D1350"/>
    <w:rsid w:val="009D1593"/>
    <w:rsid w:val="009D217B"/>
    <w:rsid w:val="009D26E9"/>
    <w:rsid w:val="009D2B6D"/>
    <w:rsid w:val="009D4935"/>
    <w:rsid w:val="009D4951"/>
    <w:rsid w:val="009D6407"/>
    <w:rsid w:val="009D7597"/>
    <w:rsid w:val="009D7B3B"/>
    <w:rsid w:val="009E0B81"/>
    <w:rsid w:val="009E1412"/>
    <w:rsid w:val="009E1925"/>
    <w:rsid w:val="009E227B"/>
    <w:rsid w:val="009E23FB"/>
    <w:rsid w:val="009E2BF2"/>
    <w:rsid w:val="009E30F2"/>
    <w:rsid w:val="009E343A"/>
    <w:rsid w:val="009E3565"/>
    <w:rsid w:val="009E39F6"/>
    <w:rsid w:val="009E444F"/>
    <w:rsid w:val="009E5B4B"/>
    <w:rsid w:val="009E649F"/>
    <w:rsid w:val="009E680A"/>
    <w:rsid w:val="009E77C6"/>
    <w:rsid w:val="009E7EFF"/>
    <w:rsid w:val="009F01DB"/>
    <w:rsid w:val="009F08DB"/>
    <w:rsid w:val="009F1254"/>
    <w:rsid w:val="009F2950"/>
    <w:rsid w:val="009F34FA"/>
    <w:rsid w:val="009F4AF9"/>
    <w:rsid w:val="009F4D1A"/>
    <w:rsid w:val="009F5157"/>
    <w:rsid w:val="009F6DB7"/>
    <w:rsid w:val="009F7C58"/>
    <w:rsid w:val="00A00C06"/>
    <w:rsid w:val="00A00D13"/>
    <w:rsid w:val="00A010D3"/>
    <w:rsid w:val="00A020FC"/>
    <w:rsid w:val="00A026BF"/>
    <w:rsid w:val="00A033F0"/>
    <w:rsid w:val="00A034F3"/>
    <w:rsid w:val="00A04441"/>
    <w:rsid w:val="00A05B9B"/>
    <w:rsid w:val="00A05E10"/>
    <w:rsid w:val="00A05E27"/>
    <w:rsid w:val="00A05F16"/>
    <w:rsid w:val="00A06130"/>
    <w:rsid w:val="00A06BE5"/>
    <w:rsid w:val="00A1005E"/>
    <w:rsid w:val="00A10099"/>
    <w:rsid w:val="00A10558"/>
    <w:rsid w:val="00A10913"/>
    <w:rsid w:val="00A109EC"/>
    <w:rsid w:val="00A10B75"/>
    <w:rsid w:val="00A10F1E"/>
    <w:rsid w:val="00A110A2"/>
    <w:rsid w:val="00A117C5"/>
    <w:rsid w:val="00A1377C"/>
    <w:rsid w:val="00A1421C"/>
    <w:rsid w:val="00A15F19"/>
    <w:rsid w:val="00A16260"/>
    <w:rsid w:val="00A1681F"/>
    <w:rsid w:val="00A17761"/>
    <w:rsid w:val="00A1781B"/>
    <w:rsid w:val="00A20466"/>
    <w:rsid w:val="00A214E1"/>
    <w:rsid w:val="00A21801"/>
    <w:rsid w:val="00A21F41"/>
    <w:rsid w:val="00A244FC"/>
    <w:rsid w:val="00A24D38"/>
    <w:rsid w:val="00A24E97"/>
    <w:rsid w:val="00A26550"/>
    <w:rsid w:val="00A269EE"/>
    <w:rsid w:val="00A279DB"/>
    <w:rsid w:val="00A27E10"/>
    <w:rsid w:val="00A30DA7"/>
    <w:rsid w:val="00A311F4"/>
    <w:rsid w:val="00A31A1D"/>
    <w:rsid w:val="00A33444"/>
    <w:rsid w:val="00A33A41"/>
    <w:rsid w:val="00A33BB0"/>
    <w:rsid w:val="00A34775"/>
    <w:rsid w:val="00A3521E"/>
    <w:rsid w:val="00A35248"/>
    <w:rsid w:val="00A36DEC"/>
    <w:rsid w:val="00A37BC0"/>
    <w:rsid w:val="00A40F85"/>
    <w:rsid w:val="00A41E92"/>
    <w:rsid w:val="00A422A1"/>
    <w:rsid w:val="00A4235B"/>
    <w:rsid w:val="00A424C2"/>
    <w:rsid w:val="00A42672"/>
    <w:rsid w:val="00A4368B"/>
    <w:rsid w:val="00A4393B"/>
    <w:rsid w:val="00A43A7B"/>
    <w:rsid w:val="00A45589"/>
    <w:rsid w:val="00A45B9D"/>
    <w:rsid w:val="00A46726"/>
    <w:rsid w:val="00A51EF0"/>
    <w:rsid w:val="00A52258"/>
    <w:rsid w:val="00A5239D"/>
    <w:rsid w:val="00A528C1"/>
    <w:rsid w:val="00A52A46"/>
    <w:rsid w:val="00A53693"/>
    <w:rsid w:val="00A53739"/>
    <w:rsid w:val="00A54470"/>
    <w:rsid w:val="00A54F9E"/>
    <w:rsid w:val="00A54FA0"/>
    <w:rsid w:val="00A55384"/>
    <w:rsid w:val="00A555C1"/>
    <w:rsid w:val="00A5626C"/>
    <w:rsid w:val="00A56286"/>
    <w:rsid w:val="00A565FF"/>
    <w:rsid w:val="00A568B6"/>
    <w:rsid w:val="00A56F6C"/>
    <w:rsid w:val="00A5708F"/>
    <w:rsid w:val="00A575DD"/>
    <w:rsid w:val="00A614E0"/>
    <w:rsid w:val="00A629DB"/>
    <w:rsid w:val="00A63AD7"/>
    <w:rsid w:val="00A644E0"/>
    <w:rsid w:val="00A64A14"/>
    <w:rsid w:val="00A64BDC"/>
    <w:rsid w:val="00A6761B"/>
    <w:rsid w:val="00A67ABE"/>
    <w:rsid w:val="00A70839"/>
    <w:rsid w:val="00A71471"/>
    <w:rsid w:val="00A716F3"/>
    <w:rsid w:val="00A71C6A"/>
    <w:rsid w:val="00A7246A"/>
    <w:rsid w:val="00A72A3E"/>
    <w:rsid w:val="00A7361D"/>
    <w:rsid w:val="00A73F0C"/>
    <w:rsid w:val="00A7464F"/>
    <w:rsid w:val="00A76B2C"/>
    <w:rsid w:val="00A76B82"/>
    <w:rsid w:val="00A76F35"/>
    <w:rsid w:val="00A7729C"/>
    <w:rsid w:val="00A7730E"/>
    <w:rsid w:val="00A77CAD"/>
    <w:rsid w:val="00A80D47"/>
    <w:rsid w:val="00A817EB"/>
    <w:rsid w:val="00A81BC4"/>
    <w:rsid w:val="00A81D8E"/>
    <w:rsid w:val="00A8203F"/>
    <w:rsid w:val="00A8374F"/>
    <w:rsid w:val="00A83C37"/>
    <w:rsid w:val="00A8482A"/>
    <w:rsid w:val="00A84864"/>
    <w:rsid w:val="00A85326"/>
    <w:rsid w:val="00A8594E"/>
    <w:rsid w:val="00A85B6A"/>
    <w:rsid w:val="00A873DE"/>
    <w:rsid w:val="00A87E55"/>
    <w:rsid w:val="00A90A9C"/>
    <w:rsid w:val="00A90D39"/>
    <w:rsid w:val="00A92697"/>
    <w:rsid w:val="00A942C9"/>
    <w:rsid w:val="00A95DFF"/>
    <w:rsid w:val="00A96700"/>
    <w:rsid w:val="00A96B21"/>
    <w:rsid w:val="00A9795A"/>
    <w:rsid w:val="00AA1D92"/>
    <w:rsid w:val="00AA3525"/>
    <w:rsid w:val="00AA39F8"/>
    <w:rsid w:val="00AA4288"/>
    <w:rsid w:val="00AA5CB3"/>
    <w:rsid w:val="00AA5D5D"/>
    <w:rsid w:val="00AA5F2B"/>
    <w:rsid w:val="00AA5FCA"/>
    <w:rsid w:val="00AA7B95"/>
    <w:rsid w:val="00AB014C"/>
    <w:rsid w:val="00AB01AD"/>
    <w:rsid w:val="00AB1332"/>
    <w:rsid w:val="00AB177E"/>
    <w:rsid w:val="00AB1EB0"/>
    <w:rsid w:val="00AB24E2"/>
    <w:rsid w:val="00AB2A63"/>
    <w:rsid w:val="00AB3D6C"/>
    <w:rsid w:val="00AB4F8E"/>
    <w:rsid w:val="00AB641B"/>
    <w:rsid w:val="00AB6B94"/>
    <w:rsid w:val="00AB7967"/>
    <w:rsid w:val="00AB7AE4"/>
    <w:rsid w:val="00AC0013"/>
    <w:rsid w:val="00AC03CF"/>
    <w:rsid w:val="00AC059A"/>
    <w:rsid w:val="00AC3431"/>
    <w:rsid w:val="00AC3651"/>
    <w:rsid w:val="00AC38BD"/>
    <w:rsid w:val="00AC482D"/>
    <w:rsid w:val="00AC50D8"/>
    <w:rsid w:val="00AC6E09"/>
    <w:rsid w:val="00AC79F7"/>
    <w:rsid w:val="00AC7DDE"/>
    <w:rsid w:val="00AD00B0"/>
    <w:rsid w:val="00AD097E"/>
    <w:rsid w:val="00AD206A"/>
    <w:rsid w:val="00AD263F"/>
    <w:rsid w:val="00AD33A7"/>
    <w:rsid w:val="00AD3725"/>
    <w:rsid w:val="00AD3BEA"/>
    <w:rsid w:val="00AD4023"/>
    <w:rsid w:val="00AD40F5"/>
    <w:rsid w:val="00AD4C0F"/>
    <w:rsid w:val="00AD4EB5"/>
    <w:rsid w:val="00AD5614"/>
    <w:rsid w:val="00AD6E0E"/>
    <w:rsid w:val="00AD71B3"/>
    <w:rsid w:val="00AD78B4"/>
    <w:rsid w:val="00AE0535"/>
    <w:rsid w:val="00AE0BE6"/>
    <w:rsid w:val="00AE0E54"/>
    <w:rsid w:val="00AE13E4"/>
    <w:rsid w:val="00AE196C"/>
    <w:rsid w:val="00AE1A95"/>
    <w:rsid w:val="00AE1BD5"/>
    <w:rsid w:val="00AE20BE"/>
    <w:rsid w:val="00AE348B"/>
    <w:rsid w:val="00AE3518"/>
    <w:rsid w:val="00AE366C"/>
    <w:rsid w:val="00AE380B"/>
    <w:rsid w:val="00AE3870"/>
    <w:rsid w:val="00AE4177"/>
    <w:rsid w:val="00AE4938"/>
    <w:rsid w:val="00AE5682"/>
    <w:rsid w:val="00AE590B"/>
    <w:rsid w:val="00AE6ED5"/>
    <w:rsid w:val="00AE6FAD"/>
    <w:rsid w:val="00AE7797"/>
    <w:rsid w:val="00AF1638"/>
    <w:rsid w:val="00AF175C"/>
    <w:rsid w:val="00AF176D"/>
    <w:rsid w:val="00AF27C7"/>
    <w:rsid w:val="00AF28AC"/>
    <w:rsid w:val="00AF31B4"/>
    <w:rsid w:val="00AF3AF4"/>
    <w:rsid w:val="00AF3B7A"/>
    <w:rsid w:val="00AF3BDB"/>
    <w:rsid w:val="00AF4228"/>
    <w:rsid w:val="00AF55C9"/>
    <w:rsid w:val="00AF771B"/>
    <w:rsid w:val="00AF79C1"/>
    <w:rsid w:val="00B01052"/>
    <w:rsid w:val="00B0220B"/>
    <w:rsid w:val="00B027AF"/>
    <w:rsid w:val="00B03737"/>
    <w:rsid w:val="00B03BB9"/>
    <w:rsid w:val="00B04350"/>
    <w:rsid w:val="00B05AC0"/>
    <w:rsid w:val="00B06A43"/>
    <w:rsid w:val="00B10953"/>
    <w:rsid w:val="00B10C05"/>
    <w:rsid w:val="00B12B69"/>
    <w:rsid w:val="00B130B5"/>
    <w:rsid w:val="00B14740"/>
    <w:rsid w:val="00B14C4E"/>
    <w:rsid w:val="00B153D1"/>
    <w:rsid w:val="00B15572"/>
    <w:rsid w:val="00B155B0"/>
    <w:rsid w:val="00B1643D"/>
    <w:rsid w:val="00B16EFA"/>
    <w:rsid w:val="00B176AE"/>
    <w:rsid w:val="00B20A9F"/>
    <w:rsid w:val="00B21044"/>
    <w:rsid w:val="00B22258"/>
    <w:rsid w:val="00B229AD"/>
    <w:rsid w:val="00B22CFC"/>
    <w:rsid w:val="00B22D6C"/>
    <w:rsid w:val="00B24FF1"/>
    <w:rsid w:val="00B25654"/>
    <w:rsid w:val="00B279DC"/>
    <w:rsid w:val="00B27E1C"/>
    <w:rsid w:val="00B311D6"/>
    <w:rsid w:val="00B319F4"/>
    <w:rsid w:val="00B31F68"/>
    <w:rsid w:val="00B32CBB"/>
    <w:rsid w:val="00B33C17"/>
    <w:rsid w:val="00B35543"/>
    <w:rsid w:val="00B355B3"/>
    <w:rsid w:val="00B35BB2"/>
    <w:rsid w:val="00B35F90"/>
    <w:rsid w:val="00B36214"/>
    <w:rsid w:val="00B36270"/>
    <w:rsid w:val="00B36EA9"/>
    <w:rsid w:val="00B40A77"/>
    <w:rsid w:val="00B41A2F"/>
    <w:rsid w:val="00B42988"/>
    <w:rsid w:val="00B441A0"/>
    <w:rsid w:val="00B455BF"/>
    <w:rsid w:val="00B46256"/>
    <w:rsid w:val="00B47289"/>
    <w:rsid w:val="00B472E5"/>
    <w:rsid w:val="00B47A84"/>
    <w:rsid w:val="00B47AAD"/>
    <w:rsid w:val="00B50B4B"/>
    <w:rsid w:val="00B50C83"/>
    <w:rsid w:val="00B5429A"/>
    <w:rsid w:val="00B54646"/>
    <w:rsid w:val="00B56F8E"/>
    <w:rsid w:val="00B57BFB"/>
    <w:rsid w:val="00B60858"/>
    <w:rsid w:val="00B60E2D"/>
    <w:rsid w:val="00B60F60"/>
    <w:rsid w:val="00B6180C"/>
    <w:rsid w:val="00B619A8"/>
    <w:rsid w:val="00B62E8A"/>
    <w:rsid w:val="00B63BF6"/>
    <w:rsid w:val="00B6403E"/>
    <w:rsid w:val="00B652FC"/>
    <w:rsid w:val="00B65791"/>
    <w:rsid w:val="00B65F58"/>
    <w:rsid w:val="00B6633D"/>
    <w:rsid w:val="00B66849"/>
    <w:rsid w:val="00B66A7E"/>
    <w:rsid w:val="00B67AF0"/>
    <w:rsid w:val="00B67FE3"/>
    <w:rsid w:val="00B7061B"/>
    <w:rsid w:val="00B70AB7"/>
    <w:rsid w:val="00B70B11"/>
    <w:rsid w:val="00B70DF1"/>
    <w:rsid w:val="00B71215"/>
    <w:rsid w:val="00B7298E"/>
    <w:rsid w:val="00B72C01"/>
    <w:rsid w:val="00B72DAE"/>
    <w:rsid w:val="00B73BBF"/>
    <w:rsid w:val="00B756A3"/>
    <w:rsid w:val="00B775E9"/>
    <w:rsid w:val="00B777A1"/>
    <w:rsid w:val="00B77E4A"/>
    <w:rsid w:val="00B801A5"/>
    <w:rsid w:val="00B8190D"/>
    <w:rsid w:val="00B81A38"/>
    <w:rsid w:val="00B82A2A"/>
    <w:rsid w:val="00B831E1"/>
    <w:rsid w:val="00B838CA"/>
    <w:rsid w:val="00B8415E"/>
    <w:rsid w:val="00B84A97"/>
    <w:rsid w:val="00B84B63"/>
    <w:rsid w:val="00B850E7"/>
    <w:rsid w:val="00B85143"/>
    <w:rsid w:val="00B85932"/>
    <w:rsid w:val="00B86CED"/>
    <w:rsid w:val="00B86E36"/>
    <w:rsid w:val="00B871CB"/>
    <w:rsid w:val="00B917B9"/>
    <w:rsid w:val="00B91B82"/>
    <w:rsid w:val="00B920AE"/>
    <w:rsid w:val="00B93F19"/>
    <w:rsid w:val="00B94F79"/>
    <w:rsid w:val="00B95A7F"/>
    <w:rsid w:val="00B9628B"/>
    <w:rsid w:val="00B9710A"/>
    <w:rsid w:val="00B971D0"/>
    <w:rsid w:val="00BA0C74"/>
    <w:rsid w:val="00BA1D89"/>
    <w:rsid w:val="00BA3D6B"/>
    <w:rsid w:val="00BA4BF5"/>
    <w:rsid w:val="00BA4D98"/>
    <w:rsid w:val="00BA73ED"/>
    <w:rsid w:val="00BA75DC"/>
    <w:rsid w:val="00BB03D6"/>
    <w:rsid w:val="00BB0AFD"/>
    <w:rsid w:val="00BB10F5"/>
    <w:rsid w:val="00BB1B31"/>
    <w:rsid w:val="00BB3259"/>
    <w:rsid w:val="00BB3DD8"/>
    <w:rsid w:val="00BB3F31"/>
    <w:rsid w:val="00BB5675"/>
    <w:rsid w:val="00BB5EEF"/>
    <w:rsid w:val="00BB5FB7"/>
    <w:rsid w:val="00BB62BD"/>
    <w:rsid w:val="00BB7256"/>
    <w:rsid w:val="00BB74F7"/>
    <w:rsid w:val="00BC043D"/>
    <w:rsid w:val="00BC05CC"/>
    <w:rsid w:val="00BC0F10"/>
    <w:rsid w:val="00BC1378"/>
    <w:rsid w:val="00BC1EC8"/>
    <w:rsid w:val="00BC2039"/>
    <w:rsid w:val="00BC257F"/>
    <w:rsid w:val="00BC359D"/>
    <w:rsid w:val="00BC423F"/>
    <w:rsid w:val="00BC42AC"/>
    <w:rsid w:val="00BC4BC8"/>
    <w:rsid w:val="00BC533D"/>
    <w:rsid w:val="00BC54E9"/>
    <w:rsid w:val="00BC5AD7"/>
    <w:rsid w:val="00BC622A"/>
    <w:rsid w:val="00BC7294"/>
    <w:rsid w:val="00BC7E76"/>
    <w:rsid w:val="00BD01AB"/>
    <w:rsid w:val="00BD0371"/>
    <w:rsid w:val="00BD0EF9"/>
    <w:rsid w:val="00BD1FD7"/>
    <w:rsid w:val="00BD21BF"/>
    <w:rsid w:val="00BD2486"/>
    <w:rsid w:val="00BD26BF"/>
    <w:rsid w:val="00BD2772"/>
    <w:rsid w:val="00BD3E0C"/>
    <w:rsid w:val="00BD4199"/>
    <w:rsid w:val="00BD4A16"/>
    <w:rsid w:val="00BD4BC1"/>
    <w:rsid w:val="00BD5432"/>
    <w:rsid w:val="00BD696A"/>
    <w:rsid w:val="00BD6AF0"/>
    <w:rsid w:val="00BD7D80"/>
    <w:rsid w:val="00BE05FF"/>
    <w:rsid w:val="00BE0CA8"/>
    <w:rsid w:val="00BE283B"/>
    <w:rsid w:val="00BE3E9D"/>
    <w:rsid w:val="00BE485F"/>
    <w:rsid w:val="00BE4891"/>
    <w:rsid w:val="00BE5195"/>
    <w:rsid w:val="00BE5C91"/>
    <w:rsid w:val="00BE6285"/>
    <w:rsid w:val="00BE62F7"/>
    <w:rsid w:val="00BE644B"/>
    <w:rsid w:val="00BE66FB"/>
    <w:rsid w:val="00BE715D"/>
    <w:rsid w:val="00BE74C9"/>
    <w:rsid w:val="00BE7663"/>
    <w:rsid w:val="00BF0B7D"/>
    <w:rsid w:val="00BF172F"/>
    <w:rsid w:val="00BF19E6"/>
    <w:rsid w:val="00BF1BED"/>
    <w:rsid w:val="00BF1E0E"/>
    <w:rsid w:val="00BF23D9"/>
    <w:rsid w:val="00BF2ABD"/>
    <w:rsid w:val="00BF2CF7"/>
    <w:rsid w:val="00BF312A"/>
    <w:rsid w:val="00BF4956"/>
    <w:rsid w:val="00BF4BB8"/>
    <w:rsid w:val="00BF5251"/>
    <w:rsid w:val="00BF60B0"/>
    <w:rsid w:val="00BF63FF"/>
    <w:rsid w:val="00BF6C5C"/>
    <w:rsid w:val="00BF6F3C"/>
    <w:rsid w:val="00C01310"/>
    <w:rsid w:val="00C059B1"/>
    <w:rsid w:val="00C05B19"/>
    <w:rsid w:val="00C0630B"/>
    <w:rsid w:val="00C063B4"/>
    <w:rsid w:val="00C076D6"/>
    <w:rsid w:val="00C07ACC"/>
    <w:rsid w:val="00C10068"/>
    <w:rsid w:val="00C105B0"/>
    <w:rsid w:val="00C10904"/>
    <w:rsid w:val="00C112DF"/>
    <w:rsid w:val="00C1181D"/>
    <w:rsid w:val="00C1297F"/>
    <w:rsid w:val="00C12BAE"/>
    <w:rsid w:val="00C13701"/>
    <w:rsid w:val="00C13951"/>
    <w:rsid w:val="00C13DBF"/>
    <w:rsid w:val="00C14BF7"/>
    <w:rsid w:val="00C16446"/>
    <w:rsid w:val="00C17949"/>
    <w:rsid w:val="00C20855"/>
    <w:rsid w:val="00C21207"/>
    <w:rsid w:val="00C21280"/>
    <w:rsid w:val="00C216EE"/>
    <w:rsid w:val="00C21D34"/>
    <w:rsid w:val="00C22E57"/>
    <w:rsid w:val="00C23134"/>
    <w:rsid w:val="00C2354A"/>
    <w:rsid w:val="00C239DB"/>
    <w:rsid w:val="00C23B05"/>
    <w:rsid w:val="00C23EE7"/>
    <w:rsid w:val="00C2506D"/>
    <w:rsid w:val="00C25596"/>
    <w:rsid w:val="00C25CD5"/>
    <w:rsid w:val="00C26293"/>
    <w:rsid w:val="00C26393"/>
    <w:rsid w:val="00C263CA"/>
    <w:rsid w:val="00C26886"/>
    <w:rsid w:val="00C31DFA"/>
    <w:rsid w:val="00C32F8D"/>
    <w:rsid w:val="00C338C3"/>
    <w:rsid w:val="00C3538B"/>
    <w:rsid w:val="00C369BC"/>
    <w:rsid w:val="00C375F9"/>
    <w:rsid w:val="00C379EE"/>
    <w:rsid w:val="00C37CAE"/>
    <w:rsid w:val="00C40B76"/>
    <w:rsid w:val="00C40B94"/>
    <w:rsid w:val="00C40F7F"/>
    <w:rsid w:val="00C4242C"/>
    <w:rsid w:val="00C4261C"/>
    <w:rsid w:val="00C42CFA"/>
    <w:rsid w:val="00C4347C"/>
    <w:rsid w:val="00C45D27"/>
    <w:rsid w:val="00C45D2D"/>
    <w:rsid w:val="00C46251"/>
    <w:rsid w:val="00C4627A"/>
    <w:rsid w:val="00C47791"/>
    <w:rsid w:val="00C506F1"/>
    <w:rsid w:val="00C50C6C"/>
    <w:rsid w:val="00C5147F"/>
    <w:rsid w:val="00C51BE6"/>
    <w:rsid w:val="00C51DAC"/>
    <w:rsid w:val="00C524D6"/>
    <w:rsid w:val="00C53D62"/>
    <w:rsid w:val="00C53F3F"/>
    <w:rsid w:val="00C54085"/>
    <w:rsid w:val="00C54134"/>
    <w:rsid w:val="00C5491B"/>
    <w:rsid w:val="00C549E5"/>
    <w:rsid w:val="00C551F2"/>
    <w:rsid w:val="00C55C4A"/>
    <w:rsid w:val="00C5753F"/>
    <w:rsid w:val="00C577B3"/>
    <w:rsid w:val="00C60998"/>
    <w:rsid w:val="00C60C75"/>
    <w:rsid w:val="00C61FCC"/>
    <w:rsid w:val="00C62168"/>
    <w:rsid w:val="00C6315B"/>
    <w:rsid w:val="00C6329A"/>
    <w:rsid w:val="00C63586"/>
    <w:rsid w:val="00C65944"/>
    <w:rsid w:val="00C664D3"/>
    <w:rsid w:val="00C66533"/>
    <w:rsid w:val="00C66ACF"/>
    <w:rsid w:val="00C677BC"/>
    <w:rsid w:val="00C7019B"/>
    <w:rsid w:val="00C70667"/>
    <w:rsid w:val="00C70AE2"/>
    <w:rsid w:val="00C70DA3"/>
    <w:rsid w:val="00C71022"/>
    <w:rsid w:val="00C710BC"/>
    <w:rsid w:val="00C717F1"/>
    <w:rsid w:val="00C71BEA"/>
    <w:rsid w:val="00C72E07"/>
    <w:rsid w:val="00C72E47"/>
    <w:rsid w:val="00C72F20"/>
    <w:rsid w:val="00C73463"/>
    <w:rsid w:val="00C747A5"/>
    <w:rsid w:val="00C74C78"/>
    <w:rsid w:val="00C76A7A"/>
    <w:rsid w:val="00C76DFC"/>
    <w:rsid w:val="00C802C0"/>
    <w:rsid w:val="00C80D80"/>
    <w:rsid w:val="00C8119B"/>
    <w:rsid w:val="00C818B9"/>
    <w:rsid w:val="00C82531"/>
    <w:rsid w:val="00C8255F"/>
    <w:rsid w:val="00C84634"/>
    <w:rsid w:val="00C84CD2"/>
    <w:rsid w:val="00C857B9"/>
    <w:rsid w:val="00C85948"/>
    <w:rsid w:val="00C859D1"/>
    <w:rsid w:val="00C861F3"/>
    <w:rsid w:val="00C86E12"/>
    <w:rsid w:val="00C87308"/>
    <w:rsid w:val="00C878B3"/>
    <w:rsid w:val="00C90669"/>
    <w:rsid w:val="00C9066A"/>
    <w:rsid w:val="00C909D3"/>
    <w:rsid w:val="00C91C76"/>
    <w:rsid w:val="00C92F61"/>
    <w:rsid w:val="00C93828"/>
    <w:rsid w:val="00C93A7F"/>
    <w:rsid w:val="00C95C85"/>
    <w:rsid w:val="00C96A4D"/>
    <w:rsid w:val="00C96DC3"/>
    <w:rsid w:val="00C971EF"/>
    <w:rsid w:val="00C97BFE"/>
    <w:rsid w:val="00CA01D6"/>
    <w:rsid w:val="00CA027B"/>
    <w:rsid w:val="00CA0ACF"/>
    <w:rsid w:val="00CA1483"/>
    <w:rsid w:val="00CA1A6E"/>
    <w:rsid w:val="00CA1FFE"/>
    <w:rsid w:val="00CA28CB"/>
    <w:rsid w:val="00CA2DED"/>
    <w:rsid w:val="00CA470F"/>
    <w:rsid w:val="00CA4A27"/>
    <w:rsid w:val="00CA54D6"/>
    <w:rsid w:val="00CA5CBB"/>
    <w:rsid w:val="00CA5F96"/>
    <w:rsid w:val="00CA61BA"/>
    <w:rsid w:val="00CA696A"/>
    <w:rsid w:val="00CA6EF3"/>
    <w:rsid w:val="00CA701B"/>
    <w:rsid w:val="00CA79C8"/>
    <w:rsid w:val="00CA7A6D"/>
    <w:rsid w:val="00CB005B"/>
    <w:rsid w:val="00CB1059"/>
    <w:rsid w:val="00CB1346"/>
    <w:rsid w:val="00CB1C46"/>
    <w:rsid w:val="00CB2767"/>
    <w:rsid w:val="00CB2EE2"/>
    <w:rsid w:val="00CB446F"/>
    <w:rsid w:val="00CB51FD"/>
    <w:rsid w:val="00CB5DA6"/>
    <w:rsid w:val="00CB66C2"/>
    <w:rsid w:val="00CB67A0"/>
    <w:rsid w:val="00CB76C9"/>
    <w:rsid w:val="00CB7CBF"/>
    <w:rsid w:val="00CC0D6D"/>
    <w:rsid w:val="00CC0D70"/>
    <w:rsid w:val="00CC0DC5"/>
    <w:rsid w:val="00CC16CF"/>
    <w:rsid w:val="00CC275A"/>
    <w:rsid w:val="00CC3D78"/>
    <w:rsid w:val="00CC45EA"/>
    <w:rsid w:val="00CC5C11"/>
    <w:rsid w:val="00CC7557"/>
    <w:rsid w:val="00CC7B72"/>
    <w:rsid w:val="00CD01FD"/>
    <w:rsid w:val="00CD0549"/>
    <w:rsid w:val="00CD1C0A"/>
    <w:rsid w:val="00CD1E54"/>
    <w:rsid w:val="00CD2406"/>
    <w:rsid w:val="00CD28CD"/>
    <w:rsid w:val="00CD3878"/>
    <w:rsid w:val="00CD3E49"/>
    <w:rsid w:val="00CD573B"/>
    <w:rsid w:val="00CD5806"/>
    <w:rsid w:val="00CD5B60"/>
    <w:rsid w:val="00CD749B"/>
    <w:rsid w:val="00CD77A5"/>
    <w:rsid w:val="00CD7E11"/>
    <w:rsid w:val="00CE1198"/>
    <w:rsid w:val="00CE13D9"/>
    <w:rsid w:val="00CE1E3D"/>
    <w:rsid w:val="00CE1E90"/>
    <w:rsid w:val="00CE266A"/>
    <w:rsid w:val="00CE2973"/>
    <w:rsid w:val="00CE3C84"/>
    <w:rsid w:val="00CE4E30"/>
    <w:rsid w:val="00CE51E8"/>
    <w:rsid w:val="00CE51EF"/>
    <w:rsid w:val="00CE5459"/>
    <w:rsid w:val="00CE57ED"/>
    <w:rsid w:val="00CE5A16"/>
    <w:rsid w:val="00CE68F1"/>
    <w:rsid w:val="00CE7460"/>
    <w:rsid w:val="00CE752E"/>
    <w:rsid w:val="00CE79D5"/>
    <w:rsid w:val="00CE7BBC"/>
    <w:rsid w:val="00CF016C"/>
    <w:rsid w:val="00CF03E1"/>
    <w:rsid w:val="00CF1647"/>
    <w:rsid w:val="00CF1E14"/>
    <w:rsid w:val="00CF22CB"/>
    <w:rsid w:val="00CF29A9"/>
    <w:rsid w:val="00CF4B20"/>
    <w:rsid w:val="00CF55E9"/>
    <w:rsid w:val="00CF5B59"/>
    <w:rsid w:val="00CF5B8E"/>
    <w:rsid w:val="00CF5EE7"/>
    <w:rsid w:val="00CF63DD"/>
    <w:rsid w:val="00CF63F6"/>
    <w:rsid w:val="00CF6A56"/>
    <w:rsid w:val="00CF70AB"/>
    <w:rsid w:val="00D0022B"/>
    <w:rsid w:val="00D0051F"/>
    <w:rsid w:val="00D01C1E"/>
    <w:rsid w:val="00D0268F"/>
    <w:rsid w:val="00D03E7D"/>
    <w:rsid w:val="00D04417"/>
    <w:rsid w:val="00D05BE0"/>
    <w:rsid w:val="00D061A0"/>
    <w:rsid w:val="00D06242"/>
    <w:rsid w:val="00D06565"/>
    <w:rsid w:val="00D10F3B"/>
    <w:rsid w:val="00D1145F"/>
    <w:rsid w:val="00D122B5"/>
    <w:rsid w:val="00D13EF8"/>
    <w:rsid w:val="00D154E8"/>
    <w:rsid w:val="00D15693"/>
    <w:rsid w:val="00D156DE"/>
    <w:rsid w:val="00D157D9"/>
    <w:rsid w:val="00D15EA9"/>
    <w:rsid w:val="00D163F5"/>
    <w:rsid w:val="00D168C4"/>
    <w:rsid w:val="00D16B95"/>
    <w:rsid w:val="00D16BFB"/>
    <w:rsid w:val="00D17F38"/>
    <w:rsid w:val="00D2006F"/>
    <w:rsid w:val="00D2010E"/>
    <w:rsid w:val="00D212CA"/>
    <w:rsid w:val="00D21705"/>
    <w:rsid w:val="00D21E07"/>
    <w:rsid w:val="00D21F5C"/>
    <w:rsid w:val="00D2253D"/>
    <w:rsid w:val="00D22F3C"/>
    <w:rsid w:val="00D23ABB"/>
    <w:rsid w:val="00D24082"/>
    <w:rsid w:val="00D245F9"/>
    <w:rsid w:val="00D26121"/>
    <w:rsid w:val="00D2629A"/>
    <w:rsid w:val="00D27638"/>
    <w:rsid w:val="00D27D29"/>
    <w:rsid w:val="00D30208"/>
    <w:rsid w:val="00D30255"/>
    <w:rsid w:val="00D3059B"/>
    <w:rsid w:val="00D31087"/>
    <w:rsid w:val="00D31A20"/>
    <w:rsid w:val="00D32089"/>
    <w:rsid w:val="00D321A7"/>
    <w:rsid w:val="00D328D3"/>
    <w:rsid w:val="00D3405F"/>
    <w:rsid w:val="00D34431"/>
    <w:rsid w:val="00D3448B"/>
    <w:rsid w:val="00D34672"/>
    <w:rsid w:val="00D34B67"/>
    <w:rsid w:val="00D35C55"/>
    <w:rsid w:val="00D37050"/>
    <w:rsid w:val="00D379A0"/>
    <w:rsid w:val="00D37EAA"/>
    <w:rsid w:val="00D407DD"/>
    <w:rsid w:val="00D40944"/>
    <w:rsid w:val="00D42311"/>
    <w:rsid w:val="00D42A79"/>
    <w:rsid w:val="00D42B28"/>
    <w:rsid w:val="00D43817"/>
    <w:rsid w:val="00D43907"/>
    <w:rsid w:val="00D43D4A"/>
    <w:rsid w:val="00D444FA"/>
    <w:rsid w:val="00D45177"/>
    <w:rsid w:val="00D451C1"/>
    <w:rsid w:val="00D46950"/>
    <w:rsid w:val="00D46AB8"/>
    <w:rsid w:val="00D46D6B"/>
    <w:rsid w:val="00D46F8C"/>
    <w:rsid w:val="00D47013"/>
    <w:rsid w:val="00D47256"/>
    <w:rsid w:val="00D47331"/>
    <w:rsid w:val="00D4749E"/>
    <w:rsid w:val="00D507AE"/>
    <w:rsid w:val="00D5084F"/>
    <w:rsid w:val="00D5120D"/>
    <w:rsid w:val="00D51ED3"/>
    <w:rsid w:val="00D51FB1"/>
    <w:rsid w:val="00D52433"/>
    <w:rsid w:val="00D53403"/>
    <w:rsid w:val="00D537B1"/>
    <w:rsid w:val="00D53AD6"/>
    <w:rsid w:val="00D53C08"/>
    <w:rsid w:val="00D540A8"/>
    <w:rsid w:val="00D54E69"/>
    <w:rsid w:val="00D552F5"/>
    <w:rsid w:val="00D5530E"/>
    <w:rsid w:val="00D55783"/>
    <w:rsid w:val="00D60046"/>
    <w:rsid w:val="00D61434"/>
    <w:rsid w:val="00D626E0"/>
    <w:rsid w:val="00D6276C"/>
    <w:rsid w:val="00D62B57"/>
    <w:rsid w:val="00D639A5"/>
    <w:rsid w:val="00D64106"/>
    <w:rsid w:val="00D64D08"/>
    <w:rsid w:val="00D64F35"/>
    <w:rsid w:val="00D679EE"/>
    <w:rsid w:val="00D67FDE"/>
    <w:rsid w:val="00D70441"/>
    <w:rsid w:val="00D707BC"/>
    <w:rsid w:val="00D707D2"/>
    <w:rsid w:val="00D71515"/>
    <w:rsid w:val="00D71D19"/>
    <w:rsid w:val="00D71FFB"/>
    <w:rsid w:val="00D72123"/>
    <w:rsid w:val="00D744C0"/>
    <w:rsid w:val="00D7453E"/>
    <w:rsid w:val="00D7633E"/>
    <w:rsid w:val="00D767B6"/>
    <w:rsid w:val="00D7709C"/>
    <w:rsid w:val="00D770BE"/>
    <w:rsid w:val="00D773A9"/>
    <w:rsid w:val="00D7783B"/>
    <w:rsid w:val="00D80558"/>
    <w:rsid w:val="00D81CE1"/>
    <w:rsid w:val="00D81DA8"/>
    <w:rsid w:val="00D82111"/>
    <w:rsid w:val="00D8299A"/>
    <w:rsid w:val="00D8379F"/>
    <w:rsid w:val="00D83C59"/>
    <w:rsid w:val="00D84F4C"/>
    <w:rsid w:val="00D856A9"/>
    <w:rsid w:val="00D85FA3"/>
    <w:rsid w:val="00D8711F"/>
    <w:rsid w:val="00D87726"/>
    <w:rsid w:val="00D87BB6"/>
    <w:rsid w:val="00D906D1"/>
    <w:rsid w:val="00D919BD"/>
    <w:rsid w:val="00D92206"/>
    <w:rsid w:val="00D9236C"/>
    <w:rsid w:val="00D928D0"/>
    <w:rsid w:val="00D92C5B"/>
    <w:rsid w:val="00D9306A"/>
    <w:rsid w:val="00D938BB"/>
    <w:rsid w:val="00D95525"/>
    <w:rsid w:val="00D9598C"/>
    <w:rsid w:val="00D976EF"/>
    <w:rsid w:val="00D97A56"/>
    <w:rsid w:val="00DA0487"/>
    <w:rsid w:val="00DA077E"/>
    <w:rsid w:val="00DA0FBB"/>
    <w:rsid w:val="00DA1A42"/>
    <w:rsid w:val="00DA2522"/>
    <w:rsid w:val="00DA3806"/>
    <w:rsid w:val="00DA5612"/>
    <w:rsid w:val="00DA58CB"/>
    <w:rsid w:val="00DA69E4"/>
    <w:rsid w:val="00DA7184"/>
    <w:rsid w:val="00DA7AAB"/>
    <w:rsid w:val="00DA7D1C"/>
    <w:rsid w:val="00DB020B"/>
    <w:rsid w:val="00DB06B5"/>
    <w:rsid w:val="00DB1075"/>
    <w:rsid w:val="00DB12E3"/>
    <w:rsid w:val="00DB1CAA"/>
    <w:rsid w:val="00DB1DD2"/>
    <w:rsid w:val="00DB3781"/>
    <w:rsid w:val="00DB38BF"/>
    <w:rsid w:val="00DB4DF5"/>
    <w:rsid w:val="00DB5753"/>
    <w:rsid w:val="00DB5F7B"/>
    <w:rsid w:val="00DB6EF6"/>
    <w:rsid w:val="00DB7BDA"/>
    <w:rsid w:val="00DB7FA8"/>
    <w:rsid w:val="00DC0050"/>
    <w:rsid w:val="00DC0522"/>
    <w:rsid w:val="00DC195F"/>
    <w:rsid w:val="00DC29FD"/>
    <w:rsid w:val="00DC2B73"/>
    <w:rsid w:val="00DC2DF8"/>
    <w:rsid w:val="00DC42F3"/>
    <w:rsid w:val="00DC4529"/>
    <w:rsid w:val="00DC47F7"/>
    <w:rsid w:val="00DC5847"/>
    <w:rsid w:val="00DC5FA3"/>
    <w:rsid w:val="00DD09DD"/>
    <w:rsid w:val="00DD0AFA"/>
    <w:rsid w:val="00DD2333"/>
    <w:rsid w:val="00DD3751"/>
    <w:rsid w:val="00DD3D76"/>
    <w:rsid w:val="00DD41F5"/>
    <w:rsid w:val="00DD43D9"/>
    <w:rsid w:val="00DD50CD"/>
    <w:rsid w:val="00DD5B89"/>
    <w:rsid w:val="00DD5CB3"/>
    <w:rsid w:val="00DD6489"/>
    <w:rsid w:val="00DD68A7"/>
    <w:rsid w:val="00DD6C07"/>
    <w:rsid w:val="00DD71DE"/>
    <w:rsid w:val="00DE070E"/>
    <w:rsid w:val="00DE1077"/>
    <w:rsid w:val="00DE1558"/>
    <w:rsid w:val="00DE161B"/>
    <w:rsid w:val="00DE195E"/>
    <w:rsid w:val="00DE2DA6"/>
    <w:rsid w:val="00DE2E8C"/>
    <w:rsid w:val="00DE4D20"/>
    <w:rsid w:val="00DE5111"/>
    <w:rsid w:val="00DE5368"/>
    <w:rsid w:val="00DE5CA2"/>
    <w:rsid w:val="00DE5D24"/>
    <w:rsid w:val="00DE5F5A"/>
    <w:rsid w:val="00DE6F71"/>
    <w:rsid w:val="00DE7726"/>
    <w:rsid w:val="00DF0C9C"/>
    <w:rsid w:val="00DF0F09"/>
    <w:rsid w:val="00DF2145"/>
    <w:rsid w:val="00DF21EE"/>
    <w:rsid w:val="00DF2F78"/>
    <w:rsid w:val="00DF49D2"/>
    <w:rsid w:val="00DF5D07"/>
    <w:rsid w:val="00DF5DD9"/>
    <w:rsid w:val="00DF6726"/>
    <w:rsid w:val="00DF6E84"/>
    <w:rsid w:val="00DF73B7"/>
    <w:rsid w:val="00DF78ED"/>
    <w:rsid w:val="00DF7D5B"/>
    <w:rsid w:val="00E00DCB"/>
    <w:rsid w:val="00E0162A"/>
    <w:rsid w:val="00E02245"/>
    <w:rsid w:val="00E024B9"/>
    <w:rsid w:val="00E03400"/>
    <w:rsid w:val="00E04A91"/>
    <w:rsid w:val="00E05639"/>
    <w:rsid w:val="00E063A2"/>
    <w:rsid w:val="00E066BD"/>
    <w:rsid w:val="00E100A2"/>
    <w:rsid w:val="00E104E7"/>
    <w:rsid w:val="00E11039"/>
    <w:rsid w:val="00E114C9"/>
    <w:rsid w:val="00E11B60"/>
    <w:rsid w:val="00E12279"/>
    <w:rsid w:val="00E123F2"/>
    <w:rsid w:val="00E13C0F"/>
    <w:rsid w:val="00E13F00"/>
    <w:rsid w:val="00E15464"/>
    <w:rsid w:val="00E1597C"/>
    <w:rsid w:val="00E15DDB"/>
    <w:rsid w:val="00E1673E"/>
    <w:rsid w:val="00E1724A"/>
    <w:rsid w:val="00E1763F"/>
    <w:rsid w:val="00E17DBF"/>
    <w:rsid w:val="00E2007E"/>
    <w:rsid w:val="00E20922"/>
    <w:rsid w:val="00E20CD2"/>
    <w:rsid w:val="00E233C3"/>
    <w:rsid w:val="00E242F3"/>
    <w:rsid w:val="00E248CE"/>
    <w:rsid w:val="00E25C38"/>
    <w:rsid w:val="00E26961"/>
    <w:rsid w:val="00E279C0"/>
    <w:rsid w:val="00E27C73"/>
    <w:rsid w:val="00E3083E"/>
    <w:rsid w:val="00E34963"/>
    <w:rsid w:val="00E34E6A"/>
    <w:rsid w:val="00E35373"/>
    <w:rsid w:val="00E35B78"/>
    <w:rsid w:val="00E35E4C"/>
    <w:rsid w:val="00E363DF"/>
    <w:rsid w:val="00E36D6E"/>
    <w:rsid w:val="00E3750C"/>
    <w:rsid w:val="00E37B4B"/>
    <w:rsid w:val="00E410D1"/>
    <w:rsid w:val="00E42465"/>
    <w:rsid w:val="00E43CB3"/>
    <w:rsid w:val="00E44B39"/>
    <w:rsid w:val="00E460DC"/>
    <w:rsid w:val="00E47244"/>
    <w:rsid w:val="00E500C3"/>
    <w:rsid w:val="00E505A3"/>
    <w:rsid w:val="00E50622"/>
    <w:rsid w:val="00E50693"/>
    <w:rsid w:val="00E52578"/>
    <w:rsid w:val="00E54D67"/>
    <w:rsid w:val="00E55782"/>
    <w:rsid w:val="00E55923"/>
    <w:rsid w:val="00E5645C"/>
    <w:rsid w:val="00E564C2"/>
    <w:rsid w:val="00E57B00"/>
    <w:rsid w:val="00E60141"/>
    <w:rsid w:val="00E6031D"/>
    <w:rsid w:val="00E6036F"/>
    <w:rsid w:val="00E606A7"/>
    <w:rsid w:val="00E61C34"/>
    <w:rsid w:val="00E6243C"/>
    <w:rsid w:val="00E652EA"/>
    <w:rsid w:val="00E66CE1"/>
    <w:rsid w:val="00E66FBF"/>
    <w:rsid w:val="00E6738D"/>
    <w:rsid w:val="00E67CA0"/>
    <w:rsid w:val="00E67E90"/>
    <w:rsid w:val="00E7090B"/>
    <w:rsid w:val="00E72690"/>
    <w:rsid w:val="00E72961"/>
    <w:rsid w:val="00E73EA1"/>
    <w:rsid w:val="00E7497D"/>
    <w:rsid w:val="00E7546B"/>
    <w:rsid w:val="00E75663"/>
    <w:rsid w:val="00E75838"/>
    <w:rsid w:val="00E75B8B"/>
    <w:rsid w:val="00E765A9"/>
    <w:rsid w:val="00E77344"/>
    <w:rsid w:val="00E774E8"/>
    <w:rsid w:val="00E80827"/>
    <w:rsid w:val="00E81B79"/>
    <w:rsid w:val="00E84F06"/>
    <w:rsid w:val="00E85760"/>
    <w:rsid w:val="00E862DD"/>
    <w:rsid w:val="00E86E54"/>
    <w:rsid w:val="00E90BCE"/>
    <w:rsid w:val="00E90C7C"/>
    <w:rsid w:val="00E90D88"/>
    <w:rsid w:val="00E928C7"/>
    <w:rsid w:val="00E92D21"/>
    <w:rsid w:val="00E92F18"/>
    <w:rsid w:val="00E9372B"/>
    <w:rsid w:val="00E93D33"/>
    <w:rsid w:val="00E95F3F"/>
    <w:rsid w:val="00E963F5"/>
    <w:rsid w:val="00E97E7A"/>
    <w:rsid w:val="00EA0257"/>
    <w:rsid w:val="00EA0483"/>
    <w:rsid w:val="00EA0E91"/>
    <w:rsid w:val="00EA135E"/>
    <w:rsid w:val="00EA18E7"/>
    <w:rsid w:val="00EA269F"/>
    <w:rsid w:val="00EA26AD"/>
    <w:rsid w:val="00EA3DE8"/>
    <w:rsid w:val="00EA4841"/>
    <w:rsid w:val="00EA4DE3"/>
    <w:rsid w:val="00EA5577"/>
    <w:rsid w:val="00EA5CCD"/>
    <w:rsid w:val="00EA5DEC"/>
    <w:rsid w:val="00EA60FE"/>
    <w:rsid w:val="00EA7642"/>
    <w:rsid w:val="00EB2385"/>
    <w:rsid w:val="00EB28DA"/>
    <w:rsid w:val="00EB2C52"/>
    <w:rsid w:val="00EB3E6F"/>
    <w:rsid w:val="00EB43E6"/>
    <w:rsid w:val="00EB48DD"/>
    <w:rsid w:val="00EB7D97"/>
    <w:rsid w:val="00EC05CA"/>
    <w:rsid w:val="00EC17B9"/>
    <w:rsid w:val="00EC2124"/>
    <w:rsid w:val="00EC22C3"/>
    <w:rsid w:val="00EC27CD"/>
    <w:rsid w:val="00EC2DEF"/>
    <w:rsid w:val="00EC3289"/>
    <w:rsid w:val="00EC4CF3"/>
    <w:rsid w:val="00EC50EC"/>
    <w:rsid w:val="00EC60EB"/>
    <w:rsid w:val="00EC6FDB"/>
    <w:rsid w:val="00EC7FA4"/>
    <w:rsid w:val="00ED0234"/>
    <w:rsid w:val="00ED042D"/>
    <w:rsid w:val="00ED0C24"/>
    <w:rsid w:val="00ED0C7A"/>
    <w:rsid w:val="00ED166F"/>
    <w:rsid w:val="00ED1A19"/>
    <w:rsid w:val="00ED1DEF"/>
    <w:rsid w:val="00ED23CA"/>
    <w:rsid w:val="00ED3205"/>
    <w:rsid w:val="00ED337B"/>
    <w:rsid w:val="00ED3849"/>
    <w:rsid w:val="00ED4452"/>
    <w:rsid w:val="00ED48F8"/>
    <w:rsid w:val="00ED4972"/>
    <w:rsid w:val="00ED4A0D"/>
    <w:rsid w:val="00ED564A"/>
    <w:rsid w:val="00ED67C7"/>
    <w:rsid w:val="00ED7591"/>
    <w:rsid w:val="00ED7AE3"/>
    <w:rsid w:val="00ED7D36"/>
    <w:rsid w:val="00ED7EED"/>
    <w:rsid w:val="00EE0A8E"/>
    <w:rsid w:val="00EE0A93"/>
    <w:rsid w:val="00EE0D0C"/>
    <w:rsid w:val="00EE1BD0"/>
    <w:rsid w:val="00EE2CCE"/>
    <w:rsid w:val="00EE3C69"/>
    <w:rsid w:val="00EE3F90"/>
    <w:rsid w:val="00EE4D84"/>
    <w:rsid w:val="00EE525A"/>
    <w:rsid w:val="00EE53C2"/>
    <w:rsid w:val="00EE5455"/>
    <w:rsid w:val="00EE5540"/>
    <w:rsid w:val="00EE5969"/>
    <w:rsid w:val="00EE7338"/>
    <w:rsid w:val="00EE7447"/>
    <w:rsid w:val="00EE7CFA"/>
    <w:rsid w:val="00EE7FB8"/>
    <w:rsid w:val="00EF090C"/>
    <w:rsid w:val="00EF0CF3"/>
    <w:rsid w:val="00EF15D0"/>
    <w:rsid w:val="00EF3F02"/>
    <w:rsid w:val="00EF499A"/>
    <w:rsid w:val="00EF55B2"/>
    <w:rsid w:val="00EF5A42"/>
    <w:rsid w:val="00EF6ABD"/>
    <w:rsid w:val="00EF6C0A"/>
    <w:rsid w:val="00EF7145"/>
    <w:rsid w:val="00F0474D"/>
    <w:rsid w:val="00F0555A"/>
    <w:rsid w:val="00F05E75"/>
    <w:rsid w:val="00F065EA"/>
    <w:rsid w:val="00F06A2D"/>
    <w:rsid w:val="00F06F62"/>
    <w:rsid w:val="00F07D05"/>
    <w:rsid w:val="00F07DBF"/>
    <w:rsid w:val="00F07E9E"/>
    <w:rsid w:val="00F07F2C"/>
    <w:rsid w:val="00F108E7"/>
    <w:rsid w:val="00F10CBD"/>
    <w:rsid w:val="00F11234"/>
    <w:rsid w:val="00F12311"/>
    <w:rsid w:val="00F13D6A"/>
    <w:rsid w:val="00F13DE2"/>
    <w:rsid w:val="00F13DEE"/>
    <w:rsid w:val="00F1713B"/>
    <w:rsid w:val="00F17BB9"/>
    <w:rsid w:val="00F2052B"/>
    <w:rsid w:val="00F20F0D"/>
    <w:rsid w:val="00F21AD6"/>
    <w:rsid w:val="00F21F80"/>
    <w:rsid w:val="00F229D6"/>
    <w:rsid w:val="00F2406B"/>
    <w:rsid w:val="00F24104"/>
    <w:rsid w:val="00F242CE"/>
    <w:rsid w:val="00F24654"/>
    <w:rsid w:val="00F248AB"/>
    <w:rsid w:val="00F24F37"/>
    <w:rsid w:val="00F25137"/>
    <w:rsid w:val="00F2589B"/>
    <w:rsid w:val="00F258FB"/>
    <w:rsid w:val="00F2679D"/>
    <w:rsid w:val="00F26AF0"/>
    <w:rsid w:val="00F27781"/>
    <w:rsid w:val="00F33247"/>
    <w:rsid w:val="00F33CB8"/>
    <w:rsid w:val="00F347C8"/>
    <w:rsid w:val="00F34C2D"/>
    <w:rsid w:val="00F34E3B"/>
    <w:rsid w:val="00F3503D"/>
    <w:rsid w:val="00F3637E"/>
    <w:rsid w:val="00F364B6"/>
    <w:rsid w:val="00F3789D"/>
    <w:rsid w:val="00F379B5"/>
    <w:rsid w:val="00F418F4"/>
    <w:rsid w:val="00F424D3"/>
    <w:rsid w:val="00F42ECB"/>
    <w:rsid w:val="00F43ABB"/>
    <w:rsid w:val="00F442FC"/>
    <w:rsid w:val="00F46780"/>
    <w:rsid w:val="00F47AA2"/>
    <w:rsid w:val="00F50101"/>
    <w:rsid w:val="00F5047C"/>
    <w:rsid w:val="00F5107C"/>
    <w:rsid w:val="00F513D6"/>
    <w:rsid w:val="00F520BD"/>
    <w:rsid w:val="00F52280"/>
    <w:rsid w:val="00F53047"/>
    <w:rsid w:val="00F5304C"/>
    <w:rsid w:val="00F530A9"/>
    <w:rsid w:val="00F5421F"/>
    <w:rsid w:val="00F5493B"/>
    <w:rsid w:val="00F55BC9"/>
    <w:rsid w:val="00F55F67"/>
    <w:rsid w:val="00F572E2"/>
    <w:rsid w:val="00F57810"/>
    <w:rsid w:val="00F57B9F"/>
    <w:rsid w:val="00F606DD"/>
    <w:rsid w:val="00F606EA"/>
    <w:rsid w:val="00F607E3"/>
    <w:rsid w:val="00F61A2E"/>
    <w:rsid w:val="00F61E75"/>
    <w:rsid w:val="00F6278C"/>
    <w:rsid w:val="00F62CB6"/>
    <w:rsid w:val="00F63366"/>
    <w:rsid w:val="00F634B2"/>
    <w:rsid w:val="00F64CC3"/>
    <w:rsid w:val="00F655DE"/>
    <w:rsid w:val="00F659B0"/>
    <w:rsid w:val="00F65CDB"/>
    <w:rsid w:val="00F6640D"/>
    <w:rsid w:val="00F67307"/>
    <w:rsid w:val="00F67452"/>
    <w:rsid w:val="00F67A45"/>
    <w:rsid w:val="00F67CDE"/>
    <w:rsid w:val="00F700A1"/>
    <w:rsid w:val="00F70309"/>
    <w:rsid w:val="00F72A69"/>
    <w:rsid w:val="00F72FE5"/>
    <w:rsid w:val="00F73290"/>
    <w:rsid w:val="00F732DB"/>
    <w:rsid w:val="00F73AED"/>
    <w:rsid w:val="00F74090"/>
    <w:rsid w:val="00F74E1C"/>
    <w:rsid w:val="00F74E96"/>
    <w:rsid w:val="00F74FDF"/>
    <w:rsid w:val="00F76FDA"/>
    <w:rsid w:val="00F770F3"/>
    <w:rsid w:val="00F8095A"/>
    <w:rsid w:val="00F812CA"/>
    <w:rsid w:val="00F82B56"/>
    <w:rsid w:val="00F82ED5"/>
    <w:rsid w:val="00F835CC"/>
    <w:rsid w:val="00F83FF5"/>
    <w:rsid w:val="00F84A2C"/>
    <w:rsid w:val="00F84E6F"/>
    <w:rsid w:val="00F853AF"/>
    <w:rsid w:val="00F85AA9"/>
    <w:rsid w:val="00F85B74"/>
    <w:rsid w:val="00F863E3"/>
    <w:rsid w:val="00F87EFD"/>
    <w:rsid w:val="00F91A57"/>
    <w:rsid w:val="00F92FC6"/>
    <w:rsid w:val="00F932BA"/>
    <w:rsid w:val="00F93BBD"/>
    <w:rsid w:val="00F94EEB"/>
    <w:rsid w:val="00F96A34"/>
    <w:rsid w:val="00F97D58"/>
    <w:rsid w:val="00FA0204"/>
    <w:rsid w:val="00FA062B"/>
    <w:rsid w:val="00FA18C9"/>
    <w:rsid w:val="00FA1A15"/>
    <w:rsid w:val="00FA207A"/>
    <w:rsid w:val="00FA2FCC"/>
    <w:rsid w:val="00FA42AA"/>
    <w:rsid w:val="00FA44FD"/>
    <w:rsid w:val="00FA4DBD"/>
    <w:rsid w:val="00FA5D27"/>
    <w:rsid w:val="00FA5D5F"/>
    <w:rsid w:val="00FA62B7"/>
    <w:rsid w:val="00FA659B"/>
    <w:rsid w:val="00FA6CC8"/>
    <w:rsid w:val="00FB0E85"/>
    <w:rsid w:val="00FB1394"/>
    <w:rsid w:val="00FB292E"/>
    <w:rsid w:val="00FB2D92"/>
    <w:rsid w:val="00FB2E2E"/>
    <w:rsid w:val="00FB389D"/>
    <w:rsid w:val="00FB3B15"/>
    <w:rsid w:val="00FB4387"/>
    <w:rsid w:val="00FB5323"/>
    <w:rsid w:val="00FB5D8C"/>
    <w:rsid w:val="00FB6157"/>
    <w:rsid w:val="00FB645E"/>
    <w:rsid w:val="00FB70C0"/>
    <w:rsid w:val="00FB756F"/>
    <w:rsid w:val="00FC22A7"/>
    <w:rsid w:val="00FC2AB2"/>
    <w:rsid w:val="00FC3455"/>
    <w:rsid w:val="00FC36C6"/>
    <w:rsid w:val="00FC3BA2"/>
    <w:rsid w:val="00FC468E"/>
    <w:rsid w:val="00FC594F"/>
    <w:rsid w:val="00FC5D31"/>
    <w:rsid w:val="00FC61FA"/>
    <w:rsid w:val="00FC705C"/>
    <w:rsid w:val="00FC71B9"/>
    <w:rsid w:val="00FD08EB"/>
    <w:rsid w:val="00FD123D"/>
    <w:rsid w:val="00FD1FD9"/>
    <w:rsid w:val="00FD324E"/>
    <w:rsid w:val="00FD4874"/>
    <w:rsid w:val="00FD5073"/>
    <w:rsid w:val="00FD5864"/>
    <w:rsid w:val="00FD6499"/>
    <w:rsid w:val="00FD791A"/>
    <w:rsid w:val="00FE165D"/>
    <w:rsid w:val="00FE5C90"/>
    <w:rsid w:val="00FE60D2"/>
    <w:rsid w:val="00FE635D"/>
    <w:rsid w:val="00FE7255"/>
    <w:rsid w:val="00FE75F3"/>
    <w:rsid w:val="00FE7777"/>
    <w:rsid w:val="00FE7800"/>
    <w:rsid w:val="00FF09CD"/>
    <w:rsid w:val="00FF0A8D"/>
    <w:rsid w:val="00FF0D76"/>
    <w:rsid w:val="00FF0E7B"/>
    <w:rsid w:val="00FF199F"/>
    <w:rsid w:val="00FF2372"/>
    <w:rsid w:val="00FF2A84"/>
    <w:rsid w:val="00FF3BBE"/>
    <w:rsid w:val="00FF40B7"/>
    <w:rsid w:val="00FF4660"/>
    <w:rsid w:val="00FF489E"/>
    <w:rsid w:val="00FF4BB1"/>
    <w:rsid w:val="00FF5E47"/>
    <w:rsid w:val="00FF63A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BF765A"/>
  <w15:docId w15:val="{26643FE8-27F4-4CE7-95CB-7BC6666B5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itre1">
    <w:name w:val="heading 1"/>
    <w:basedOn w:val="Normal"/>
    <w:next w:val="Titre2"/>
    <w:link w:val="Titre1Car"/>
    <w:uiPriority w:val="9"/>
    <w:qFormat/>
    <w:rsid w:val="00111A0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111A0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111A0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111A0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D22F3C"/>
    <w:pPr>
      <w:keepNext/>
      <w:numPr>
        <w:ilvl w:val="4"/>
        <w:numId w:val="7"/>
      </w:numPr>
      <w:spacing w:before="120" w:after="120"/>
      <w:jc w:val="left"/>
      <w:outlineLvl w:val="4"/>
    </w:pPr>
    <w:rPr>
      <w:rFonts w:eastAsiaTheme="majorEastAsia"/>
      <w:i/>
      <w:iCs/>
    </w:rPr>
  </w:style>
  <w:style w:type="paragraph" w:styleId="Titre6">
    <w:name w:val="heading 6"/>
    <w:basedOn w:val="Normal"/>
    <w:next w:val="Normal"/>
    <w:link w:val="Titre6Car"/>
    <w:semiHidden/>
    <w:rsid w:val="00D22F3C"/>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D22F3C"/>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D22F3C"/>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D22F3C"/>
    <w:pPr>
      <w:keepNext/>
      <w:widowControl w:val="0"/>
      <w:numPr>
        <w:ilvl w:val="8"/>
        <w:numId w:val="8"/>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D22F3C"/>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D22F3C"/>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fr-FR"/>
    </w:rPr>
  </w:style>
  <w:style w:type="character" w:customStyle="1" w:styleId="Titre1Car">
    <w:name w:val="Titre 1 Car"/>
    <w:basedOn w:val="Policepardfaut"/>
    <w:link w:val="Titre1"/>
    <w:uiPriority w:val="9"/>
    <w:rsid w:val="00D22F3C"/>
    <w:rPr>
      <w:rFonts w:ascii="Times New Roman" w:eastAsiaTheme="majorEastAsia" w:hAnsi="Times New Roman" w:cstheme="majorBidi"/>
      <w:b/>
      <w:bCs/>
      <w:sz w:val="28"/>
      <w:szCs w:val="32"/>
      <w:lang w:val="fr-FR"/>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ADB,ADB1,ADB2,Boston 10,FOOTNOTES,FOOTNOTES1,FOOTNOTES2,Font: Geneva 9,Fotnotstext Char,Geneva 9,f,fn,fn1,fn2,fn3,footnote text,footnote text1,footnote text2,ft,ft Char,single space,single space1,single space2,single space3"/>
    <w:basedOn w:val="Normal"/>
    <w:link w:val="NotedebasdepageCar"/>
    <w:uiPriority w:val="99"/>
    <w:unhideWhenUsed/>
    <w:qFormat/>
    <w:rsid w:val="00D22F3C"/>
    <w:pPr>
      <w:jc w:val="left"/>
    </w:pPr>
    <w:rPr>
      <w:sz w:val="18"/>
      <w:szCs w:val="20"/>
    </w:rPr>
  </w:style>
  <w:style w:type="character" w:customStyle="1" w:styleId="NotedebasdepageCar">
    <w:name w:val="Note de bas de page Car"/>
    <w:aliases w:val="ADB Car,ADB1 Car,ADB2 Car,Boston 10 Car,FOOTNOTES Car,FOOTNOTES1 Car,FOOTNOTES2 Car,Font: Geneva 9 Car,Fotnotstext Char Car,Geneva 9 Car,f Car,fn Car,fn1 Car,fn2 Car,fn3 Car,footnote text Car,footnote text1 Car,footnote text2 Car"/>
    <w:basedOn w:val="Policepardfaut"/>
    <w:link w:val="Notedebasdepage"/>
    <w:uiPriority w:val="99"/>
    <w:qFormat/>
    <w:rsid w:val="00D22F3C"/>
    <w:rPr>
      <w:rFonts w:ascii="Times New Roman" w:eastAsia="SimSun" w:hAnsi="Times New Roman" w:cs="Times New Roman"/>
      <w:kern w:val="0"/>
      <w:sz w:val="18"/>
      <w:szCs w:val="20"/>
      <w:lang w:val="fr-FR"/>
      <w14:ligatures w14:val="none"/>
    </w:rPr>
  </w:style>
  <w:style w:type="character" w:styleId="Appelnotedebasdep">
    <w:name w:val="footnote reference"/>
    <w:aliases w:val="(Diplomarbeit FZ),(Diplomarbeit FZ)1,(Diplomarbeit FZ)2,(Diplomarbeit FZ)3,(Diplomarbeit FZ)4,(Diplomarbeit FZ)5,(Diplomarbeit FZ)6,(Diplomarbeit FZ)7,(Diplomarbeit FZ)8,-E Fußnotenzeichen,Footnote Reference Superscript,number"/>
    <w:basedOn w:val="Policepardfaut"/>
    <w:link w:val="BVIfnrChar"/>
    <w:uiPriority w:val="99"/>
    <w:unhideWhenUsed/>
    <w:qFormat/>
    <w:rsid w:val="00D22F3C"/>
    <w:rPr>
      <w:vertAlign w:val="superscript"/>
    </w:rPr>
  </w:style>
  <w:style w:type="paragraph" w:customStyle="1" w:styleId="Footnote">
    <w:name w:val="Footnote"/>
    <w:basedOn w:val="Notedebasdepage"/>
    <w:qFormat/>
    <w:rsid w:val="00D22F3C"/>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fr-FR"/>
      <w14:ligatures w14:val="none"/>
    </w:rPr>
  </w:style>
  <w:style w:type="paragraph" w:customStyle="1" w:styleId="Para1">
    <w:name w:val="Para 1"/>
    <w:basedOn w:val="Normal"/>
    <w:qFormat/>
    <w:rsid w:val="007A7247"/>
    <w:pPr>
      <w:spacing w:before="120" w:after="120"/>
      <w:ind w:left="567"/>
    </w:pPr>
  </w:style>
  <w:style w:type="character" w:customStyle="1" w:styleId="Titre2Car">
    <w:name w:val="Titre 2 Car"/>
    <w:basedOn w:val="Policepardfaut"/>
    <w:link w:val="Titre2"/>
    <w:uiPriority w:val="9"/>
    <w:rsid w:val="00D22F3C"/>
    <w:rPr>
      <w:rFonts w:ascii="Times New Roman Bold" w:eastAsiaTheme="majorEastAsia" w:hAnsi="Times New Roman Bold" w:cstheme="majorBidi"/>
      <w:b/>
      <w:kern w:val="0"/>
      <w:sz w:val="24"/>
      <w:szCs w:val="26"/>
      <w:lang w:val="fr-FR"/>
      <w14:ligatures w14:val="none"/>
    </w:rPr>
  </w:style>
  <w:style w:type="character" w:styleId="Textedelespacerserv">
    <w:name w:val="Placeholder Text"/>
    <w:basedOn w:val="Policepardfaut"/>
    <w:uiPriority w:val="99"/>
    <w:semiHidden/>
    <w:rsid w:val="00995DDC"/>
    <w:rPr>
      <w:color w:val="808080"/>
    </w:rPr>
  </w:style>
  <w:style w:type="paragraph" w:styleId="Pieddepage">
    <w:name w:val="footer"/>
    <w:basedOn w:val="Normal"/>
    <w:link w:val="PieddepageCar"/>
    <w:uiPriority w:val="99"/>
    <w:rsid w:val="00D22F3C"/>
    <w:pPr>
      <w:tabs>
        <w:tab w:val="center" w:pos="4680"/>
        <w:tab w:val="right" w:pos="9360"/>
      </w:tabs>
    </w:pPr>
    <w:rPr>
      <w:sz w:val="20"/>
    </w:rPr>
  </w:style>
  <w:style w:type="character" w:customStyle="1" w:styleId="PieddepageCar">
    <w:name w:val="Pied de page Car"/>
    <w:basedOn w:val="Policepardfaut"/>
    <w:link w:val="Pieddepage"/>
    <w:uiPriority w:val="99"/>
    <w:rsid w:val="00D22F3C"/>
    <w:rPr>
      <w:rFonts w:ascii="Times New Roman" w:eastAsia="SimSun" w:hAnsi="Times New Roman" w:cs="Times New Roman"/>
      <w:kern w:val="0"/>
      <w:sz w:val="20"/>
      <w:lang w:val="fr-FR"/>
      <w14:ligatures w14:val="none"/>
    </w:rPr>
  </w:style>
  <w:style w:type="character" w:customStyle="1" w:styleId="Titre3Car">
    <w:name w:val="Titre 3 Car"/>
    <w:basedOn w:val="Policepardfaut"/>
    <w:link w:val="Titre3"/>
    <w:uiPriority w:val="9"/>
    <w:rsid w:val="00D22F3C"/>
    <w:rPr>
      <w:rFonts w:ascii="Times New Roman" w:eastAsiaTheme="majorEastAsia" w:hAnsi="Times New Roman" w:cs="Times New Roman"/>
      <w:b/>
      <w:bCs/>
      <w:kern w:val="0"/>
      <w:lang w:val="fr-FR"/>
      <w14:ligatures w14:val="none"/>
    </w:rPr>
  </w:style>
  <w:style w:type="paragraph" w:customStyle="1" w:styleId="Para20">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Titre4Car">
    <w:name w:val="Titre 4 Car"/>
    <w:basedOn w:val="Policepardfaut"/>
    <w:link w:val="Titre4"/>
    <w:uiPriority w:val="9"/>
    <w:rsid w:val="00D22F3C"/>
    <w:rPr>
      <w:rFonts w:ascii="Times New Roman" w:eastAsiaTheme="majorEastAsia" w:hAnsi="Times New Roman" w:cs="Times New Roman"/>
      <w:b/>
      <w:bCs/>
      <w:kern w:val="0"/>
      <w:lang w:val="fr-FR"/>
      <w14:ligatures w14:val="none"/>
    </w:rPr>
  </w:style>
  <w:style w:type="character" w:customStyle="1" w:styleId="Titre5Car">
    <w:name w:val="Titre 5 Car"/>
    <w:basedOn w:val="Policepardfaut"/>
    <w:link w:val="Titre5"/>
    <w:uiPriority w:val="9"/>
    <w:rsid w:val="00D22F3C"/>
    <w:rPr>
      <w:rFonts w:ascii="Times New Roman" w:eastAsiaTheme="majorEastAsia" w:hAnsi="Times New Roman" w:cs="Times New Roman"/>
      <w:i/>
      <w:iCs/>
      <w:kern w:val="0"/>
      <w:lang w:val="fr-FR"/>
      <w14:ligatures w14:val="none"/>
    </w:rPr>
  </w:style>
  <w:style w:type="character" w:styleId="Marquedecommentaire">
    <w:name w:val="annotation reference"/>
    <w:basedOn w:val="Policepardfaut"/>
    <w:uiPriority w:val="99"/>
    <w:semiHidden/>
    <w:unhideWhenUsed/>
    <w:rsid w:val="00D22F3C"/>
    <w:rPr>
      <w:sz w:val="16"/>
      <w:szCs w:val="16"/>
    </w:rPr>
  </w:style>
  <w:style w:type="paragraph" w:styleId="Commentaire">
    <w:name w:val="annotation text"/>
    <w:basedOn w:val="Normal"/>
    <w:link w:val="CommentaireCar"/>
    <w:uiPriority w:val="99"/>
    <w:rsid w:val="00D22F3C"/>
    <w:rPr>
      <w:sz w:val="20"/>
      <w:szCs w:val="20"/>
    </w:rPr>
  </w:style>
  <w:style w:type="character" w:customStyle="1" w:styleId="CommentaireCar">
    <w:name w:val="Commentaire Car"/>
    <w:basedOn w:val="Policepardfaut"/>
    <w:link w:val="Commentaire"/>
    <w:uiPriority w:val="99"/>
    <w:rsid w:val="00D22F3C"/>
    <w:rPr>
      <w:rFonts w:ascii="Times New Roman" w:eastAsia="SimSun" w:hAnsi="Times New Roman" w:cs="Times New Roman"/>
      <w:kern w:val="0"/>
      <w:sz w:val="20"/>
      <w:szCs w:val="20"/>
      <w:lang w:val="fr-FR"/>
      <w14:ligatures w14:val="none"/>
    </w:rPr>
  </w:style>
  <w:style w:type="paragraph" w:styleId="Objetducommentaire">
    <w:name w:val="annotation subject"/>
    <w:basedOn w:val="Commentaire"/>
    <w:next w:val="Commentaire"/>
    <w:link w:val="ObjetducommentaireCar"/>
    <w:uiPriority w:val="99"/>
    <w:semiHidden/>
    <w:unhideWhenUsed/>
    <w:rsid w:val="00D22F3C"/>
    <w:rPr>
      <w:b/>
      <w:bCs/>
    </w:rPr>
  </w:style>
  <w:style w:type="character" w:customStyle="1" w:styleId="ObjetducommentaireCar">
    <w:name w:val="Objet du commentaire Car"/>
    <w:basedOn w:val="CommentaireCar"/>
    <w:link w:val="Objetducommentaire"/>
    <w:uiPriority w:val="99"/>
    <w:semiHidden/>
    <w:rsid w:val="00D22F3C"/>
    <w:rPr>
      <w:rFonts w:ascii="Times New Roman" w:eastAsia="SimSun" w:hAnsi="Times New Roman" w:cs="Times New Roman"/>
      <w:b/>
      <w:bCs/>
      <w:kern w:val="0"/>
      <w:sz w:val="20"/>
      <w:szCs w:val="20"/>
      <w:lang w:val="fr-FR"/>
      <w14:ligatures w14:val="none"/>
    </w:rPr>
  </w:style>
  <w:style w:type="paragraph" w:styleId="Rvision">
    <w:name w:val="Revision"/>
    <w:hidden/>
    <w:uiPriority w:val="99"/>
    <w:semiHidden/>
    <w:rsid w:val="00111A05"/>
    <w:pPr>
      <w:spacing w:after="0" w:line="240" w:lineRule="auto"/>
    </w:pPr>
    <w:rPr>
      <w:rFonts w:ascii="Simplified Arabic" w:eastAsia="Times New Roman" w:hAnsi="Simplified Arabic" w:cs="Simplified Arabic"/>
      <w:noProof/>
      <w:kern w:val="0"/>
      <w:sz w:val="24"/>
      <w:szCs w:val="24"/>
      <w14:ligatures w14:val="none"/>
    </w:rPr>
  </w:style>
  <w:style w:type="character" w:styleId="Numrodepage">
    <w:name w:val="page number"/>
    <w:rsid w:val="00557370"/>
    <w:rPr>
      <w:rFonts w:ascii="Times New Roman" w:hAnsi="Times New Roman"/>
      <w:sz w:val="22"/>
    </w:rPr>
  </w:style>
  <w:style w:type="paragraph" w:customStyle="1" w:styleId="Para3">
    <w:name w:val="Para3"/>
    <w:basedOn w:val="Normal"/>
    <w:rsid w:val="00557370"/>
    <w:pPr>
      <w:numPr>
        <w:ilvl w:val="2"/>
        <w:numId w:val="4"/>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rPr>
  </w:style>
  <w:style w:type="paragraph" w:customStyle="1" w:styleId="BVIfnrChar">
    <w:name w:val="BVI fnr Char"/>
    <w:aliases w:val=" BVI fnr Car Car Car Car Car Char, BVI fnr Car Car Car Car Char Char, BVI fnr Car Car Car Char, BVI fnr Car Car Char, BVI fnr Car Char,BVI fnr Car Car Car Car Char,BVI fnr Car Car Car Char,BVI fnr Car Car Char,BVI fnr Car Char"/>
    <w:basedOn w:val="Normal"/>
    <w:link w:val="Appelnotedebasdep"/>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en">
    <w:name w:val="Hyperlink"/>
    <w:basedOn w:val="Policepardfaut"/>
    <w:uiPriority w:val="99"/>
    <w:unhideWhenUsed/>
    <w:rsid w:val="00D22F3C"/>
    <w:rPr>
      <w:rFonts w:ascii="Times New Roman" w:hAnsi="Times New Roman"/>
      <w:color w:val="0563C1" w:themeColor="hyperlink"/>
      <w:u w:val="single"/>
    </w:rPr>
  </w:style>
  <w:style w:type="character" w:customStyle="1" w:styleId="Mentionnonrsolue1">
    <w:name w:val="Mention non résolue1"/>
    <w:basedOn w:val="Policepardfaut"/>
    <w:uiPriority w:val="99"/>
    <w:semiHidden/>
    <w:unhideWhenUsed/>
    <w:rsid w:val="00C664D3"/>
    <w:rPr>
      <w:color w:val="605E5C"/>
      <w:shd w:val="clear" w:color="auto" w:fill="E1DFDD"/>
    </w:rPr>
  </w:style>
  <w:style w:type="character" w:styleId="Lienvisit">
    <w:name w:val="FollowedHyperlink"/>
    <w:basedOn w:val="Policepardfaut"/>
    <w:uiPriority w:val="99"/>
    <w:semiHidden/>
    <w:unhideWhenUsed/>
    <w:rsid w:val="00051B37"/>
    <w:rPr>
      <w:color w:val="954F72" w:themeColor="followedHyperlink"/>
      <w:u w:val="single"/>
    </w:rPr>
  </w:style>
  <w:style w:type="paragraph" w:styleId="Retraitcorpsdetexte">
    <w:name w:val="Body Text Indent"/>
    <w:basedOn w:val="Normal"/>
    <w:link w:val="RetraitcorpsdetexteCar"/>
    <w:uiPriority w:val="99"/>
    <w:semiHidden/>
    <w:unhideWhenUsed/>
    <w:rsid w:val="00435E81"/>
    <w:pPr>
      <w:spacing w:after="120"/>
      <w:ind w:left="360"/>
    </w:pPr>
  </w:style>
  <w:style w:type="character" w:customStyle="1" w:styleId="RetraitcorpsdetexteCar">
    <w:name w:val="Retrait corps de texte Car"/>
    <w:basedOn w:val="Policepardfaut"/>
    <w:link w:val="Retraitcorpsdetexte"/>
    <w:rsid w:val="00435E81"/>
    <w:rPr>
      <w:rFonts w:ascii="Times New Roman" w:eastAsia="Times New Roman" w:hAnsi="Times New Roman" w:cs="Times New Roman"/>
      <w:kern w:val="0"/>
      <w:szCs w:val="24"/>
      <w:lang w:val="fr-FR"/>
      <w14:ligatures w14:val="none"/>
    </w:rPr>
  </w:style>
  <w:style w:type="paragraph" w:styleId="Paragraphedeliste">
    <w:name w:val="List Paragraph"/>
    <w:basedOn w:val="Normal"/>
    <w:uiPriority w:val="34"/>
    <w:qFormat/>
    <w:rsid w:val="00D22F3C"/>
    <w:pPr>
      <w:ind w:left="720"/>
      <w:contextualSpacing/>
    </w:p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fr-FR"/>
      <w14:ligatures w14:val="none"/>
    </w:rPr>
  </w:style>
  <w:style w:type="paragraph" w:styleId="En-tte">
    <w:name w:val="header"/>
    <w:basedOn w:val="Normal"/>
    <w:link w:val="En-tteCar"/>
    <w:rsid w:val="00D22F3C"/>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D22F3C"/>
    <w:rPr>
      <w:rFonts w:ascii="Times New Roman" w:eastAsia="SimSun" w:hAnsi="Times New Roman" w:cs="Times New Roman"/>
      <w:kern w:val="0"/>
      <w:sz w:val="20"/>
      <w:lang w:val="fr-FR"/>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D22F3C"/>
    <w:pPr>
      <w:jc w:val="left"/>
    </w:p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otNormal"/>
    <w:next w:val="AISpacer"/>
    <w:unhideWhenUsed/>
    <w:rsid w:val="00111A05"/>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111A05"/>
    <w:pPr>
      <w:keepNext/>
      <w:keepLines/>
      <w:spacing w:after="240"/>
      <w:jc w:val="left"/>
    </w:pPr>
    <w:rPr>
      <w:b/>
      <w:sz w:val="28"/>
      <w:lang w:bidi="ar-SY"/>
    </w:rPr>
  </w:style>
  <w:style w:type="paragraph" w:customStyle="1" w:styleId="CBDDesicionAnnex">
    <w:name w:val="CBD_DesicionAnnex"/>
    <w:basedOn w:val="CBDNormal"/>
    <w:next w:val="CBDDesicionText"/>
    <w:qFormat/>
    <w:rsid w:val="00111A0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CBDNormalNoNumber"/>
    <w:qFormat/>
    <w:rsid w:val="00111A05"/>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111A05"/>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D22F3C"/>
    <w:pPr>
      <w:numPr>
        <w:numId w:val="59"/>
      </w:numPr>
      <w:tabs>
        <w:tab w:val="left" w:pos="3969"/>
      </w:tabs>
      <w:spacing w:after="120"/>
    </w:pPr>
  </w:style>
  <w:style w:type="paragraph" w:customStyle="1" w:styleId="CBDH2">
    <w:name w:val="CBD_H2"/>
    <w:basedOn w:val="CBDNormalNumber"/>
    <w:qFormat/>
    <w:rsid w:val="00111A05"/>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111A05"/>
    <w:pPr>
      <w:numPr>
        <w:numId w:val="9"/>
      </w:numPr>
    </w:pPr>
  </w:style>
  <w:style w:type="numbering" w:customStyle="1" w:styleId="CBDHeadings">
    <w:name w:val="CBD_Headings"/>
    <w:basedOn w:val="ListCBD"/>
    <w:uiPriority w:val="99"/>
    <w:rsid w:val="00D22F3C"/>
    <w:pPr>
      <w:numPr>
        <w:numId w:val="6"/>
      </w:numPr>
    </w:pPr>
  </w:style>
  <w:style w:type="paragraph" w:customStyle="1" w:styleId="CBDNormalNoNumber">
    <w:name w:val="CBD_Normal_NoNumber"/>
    <w:basedOn w:val="CBDNormal"/>
    <w:qFormat/>
    <w:rsid w:val="00111A05"/>
    <w:pPr>
      <w:spacing w:after="120"/>
      <w:ind w:left="567"/>
    </w:pPr>
  </w:style>
  <w:style w:type="paragraph" w:customStyle="1" w:styleId="CBDSubTitle">
    <w:name w:val="CBD_SubTitle"/>
    <w:basedOn w:val="CBDNormal"/>
    <w:qFormat/>
    <w:rsid w:val="00D22F3C"/>
    <w:pPr>
      <w:keepNext/>
      <w:keepLines/>
      <w:spacing w:before="240" w:after="240"/>
      <w:ind w:left="567"/>
      <w:jc w:val="left"/>
    </w:pPr>
    <w:rPr>
      <w: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rPr>
  </w:style>
  <w:style w:type="character" w:customStyle="1" w:styleId="Titre6Car">
    <w:name w:val="Titre 6 Car"/>
    <w:basedOn w:val="Policepardfaut"/>
    <w:link w:val="Titre6"/>
    <w:semiHidden/>
    <w:rsid w:val="00D22F3C"/>
    <w:rPr>
      <w:rFonts w:ascii="Times New Roman" w:eastAsia="SimSun" w:hAnsi="Times New Roman" w:cs="Times New Roman"/>
      <w:bCs/>
      <w:kern w:val="0"/>
      <w:sz w:val="24"/>
      <w:lang w:val="fr-FR"/>
      <w14:ligatures w14:val="none"/>
    </w:rPr>
  </w:style>
  <w:style w:type="character" w:customStyle="1" w:styleId="Titre7Car">
    <w:name w:val="Titre 7 Car"/>
    <w:basedOn w:val="Policepardfaut"/>
    <w:link w:val="Titre7"/>
    <w:semiHidden/>
    <w:rsid w:val="00D22F3C"/>
    <w:rPr>
      <w:rFonts w:ascii="Times New Roman" w:eastAsia="SimSun" w:hAnsi="Times New Roman" w:cs="Times New Roman"/>
      <w:b/>
      <w:snapToGrid w:val="0"/>
      <w:kern w:val="0"/>
      <w:u w:val="single"/>
      <w:lang w:val="fr-FR"/>
      <w14:ligatures w14:val="none"/>
    </w:rPr>
  </w:style>
  <w:style w:type="character" w:customStyle="1" w:styleId="Titre8Car">
    <w:name w:val="Titre 8 Car"/>
    <w:basedOn w:val="Policepardfaut"/>
    <w:link w:val="Titre8"/>
    <w:semiHidden/>
    <w:rsid w:val="00D22F3C"/>
    <w:rPr>
      <w:rFonts w:ascii="Times New Roman" w:eastAsia="SimSun" w:hAnsi="Times New Roman" w:cs="Times New Roman"/>
      <w:b/>
      <w:snapToGrid w:val="0"/>
      <w:kern w:val="0"/>
      <w:u w:val="single"/>
      <w:lang w:val="fr-FR"/>
      <w14:ligatures w14:val="none"/>
    </w:rPr>
  </w:style>
  <w:style w:type="character" w:customStyle="1" w:styleId="Titre9Car">
    <w:name w:val="Titre 9 Car"/>
    <w:basedOn w:val="Policepardfaut"/>
    <w:link w:val="Titre9"/>
    <w:semiHidden/>
    <w:rsid w:val="00D22F3C"/>
    <w:rPr>
      <w:rFonts w:ascii="Times New Roman" w:eastAsia="SimSun" w:hAnsi="Times New Roman" w:cs="Times New Roman"/>
      <w:snapToGrid w:val="0"/>
      <w:kern w:val="0"/>
      <w:u w:val="single"/>
      <w:lang w:val="fr-FR"/>
      <w14:ligatures w14:val="none"/>
    </w:rPr>
  </w:style>
  <w:style w:type="paragraph" w:styleId="Liste">
    <w:name w:val="List"/>
    <w:basedOn w:val="Normal"/>
    <w:semiHidden/>
    <w:rsid w:val="00D22F3C"/>
    <w:pPr>
      <w:contextualSpacing/>
    </w:pPr>
  </w:style>
  <w:style w:type="paragraph" w:styleId="Textedebulles">
    <w:name w:val="Balloon Text"/>
    <w:basedOn w:val="Normal"/>
    <w:link w:val="TextedebullesCar"/>
    <w:uiPriority w:val="99"/>
    <w:semiHidden/>
    <w:unhideWhenUsed/>
    <w:rsid w:val="00D85FA3"/>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5FA3"/>
    <w:rPr>
      <w:rFonts w:ascii="Segoe UI" w:eastAsia="SimSun" w:hAnsi="Segoe UI" w:cs="Segoe UI"/>
      <w:kern w:val="0"/>
      <w:sz w:val="18"/>
      <w:szCs w:val="18"/>
      <w:lang w:val="fr-FR"/>
      <w14:ligatures w14:val="none"/>
    </w:rPr>
  </w:style>
  <w:style w:type="paragraph" w:customStyle="1" w:styleId="DarkList-Accent31">
    <w:name w:val="Dark List - Accent 31"/>
    <w:hidden/>
    <w:uiPriority w:val="99"/>
    <w:semiHidden/>
    <w:rsid w:val="00BE5C91"/>
    <w:pPr>
      <w:spacing w:after="0" w:line="240" w:lineRule="auto"/>
    </w:pPr>
    <w:rPr>
      <w:rFonts w:ascii="Times New Roman" w:eastAsia="SimSun" w:hAnsi="Times New Roman" w:cs="Times New Roman"/>
      <w:kern w:val="0"/>
      <w:lang w:eastAsia="en-GB"/>
      <w14:ligatures w14:val="none"/>
    </w:rPr>
  </w:style>
  <w:style w:type="paragraph" w:styleId="Bibliographie">
    <w:name w:val="Bibliography"/>
    <w:basedOn w:val="Normal"/>
    <w:next w:val="Normal"/>
    <w:uiPriority w:val="37"/>
    <w:semiHidden/>
    <w:unhideWhenUsed/>
    <w:rsid w:val="00BE5C91"/>
  </w:style>
  <w:style w:type="paragraph" w:styleId="Normalcentr">
    <w:name w:val="Block Text"/>
    <w:basedOn w:val="Normal"/>
    <w:uiPriority w:val="99"/>
    <w:semiHidden/>
    <w:unhideWhenUsed/>
    <w:rsid w:val="00BE5C9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BE5C91"/>
    <w:pPr>
      <w:spacing w:after="120" w:line="480" w:lineRule="auto"/>
    </w:pPr>
  </w:style>
  <w:style w:type="character" w:customStyle="1" w:styleId="Corpsdetexte2Car">
    <w:name w:val="Corps de texte 2 Car"/>
    <w:basedOn w:val="Policepardfaut"/>
    <w:link w:val="Corpsdetexte2"/>
    <w:uiPriority w:val="99"/>
    <w:semiHidden/>
    <w:rsid w:val="00BE5C91"/>
    <w:rPr>
      <w:rFonts w:ascii="Times New Roman" w:eastAsia="SimSun" w:hAnsi="Times New Roman" w:cs="Times New Roman"/>
      <w:kern w:val="0"/>
      <w:lang w:val="fr-FR"/>
      <w14:ligatures w14:val="none"/>
    </w:rPr>
  </w:style>
  <w:style w:type="paragraph" w:styleId="Corpsdetexte3">
    <w:name w:val="Body Text 3"/>
    <w:basedOn w:val="Normal"/>
    <w:link w:val="Corpsdetexte3Car"/>
    <w:uiPriority w:val="99"/>
    <w:semiHidden/>
    <w:unhideWhenUsed/>
    <w:rsid w:val="00BE5C91"/>
    <w:pPr>
      <w:spacing w:after="120"/>
    </w:pPr>
    <w:rPr>
      <w:sz w:val="16"/>
      <w:szCs w:val="16"/>
    </w:rPr>
  </w:style>
  <w:style w:type="character" w:customStyle="1" w:styleId="Corpsdetexte3Car">
    <w:name w:val="Corps de texte 3 Car"/>
    <w:basedOn w:val="Policepardfaut"/>
    <w:link w:val="Corpsdetexte3"/>
    <w:uiPriority w:val="99"/>
    <w:semiHidden/>
    <w:rsid w:val="00BE5C91"/>
    <w:rPr>
      <w:rFonts w:ascii="Times New Roman" w:eastAsia="SimSun" w:hAnsi="Times New Roman" w:cs="Times New Roman"/>
      <w:kern w:val="0"/>
      <w:sz w:val="16"/>
      <w:szCs w:val="16"/>
      <w:lang w:val="fr-FR"/>
      <w14:ligatures w14:val="none"/>
    </w:rPr>
  </w:style>
  <w:style w:type="paragraph" w:styleId="Retrait1religne">
    <w:name w:val="Body Text First Indent"/>
    <w:basedOn w:val="Corpsdetexte"/>
    <w:link w:val="Retrait1religneCar"/>
    <w:uiPriority w:val="99"/>
    <w:semiHidden/>
    <w:unhideWhenUsed/>
    <w:rsid w:val="00BE5C9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BE5C91"/>
    <w:rPr>
      <w:rFonts w:ascii="Times New Roman" w:eastAsia="SimSun" w:hAnsi="Times New Roman" w:cs="Times New Roman"/>
      <w:kern w:val="0"/>
      <w:lang w:val="fr-FR"/>
      <w14:ligatures w14:val="none"/>
    </w:rPr>
  </w:style>
  <w:style w:type="paragraph" w:styleId="Retraitcorpset1relig">
    <w:name w:val="Body Text First Indent 2"/>
    <w:basedOn w:val="Retraitcorpsdetexte"/>
    <w:link w:val="Retraitcorpset1religCar"/>
    <w:uiPriority w:val="99"/>
    <w:semiHidden/>
    <w:unhideWhenUsed/>
    <w:rsid w:val="00BE5C91"/>
    <w:pPr>
      <w:spacing w:after="0"/>
      <w:ind w:firstLine="360"/>
    </w:pPr>
  </w:style>
  <w:style w:type="character" w:customStyle="1" w:styleId="Retraitcorpset1religCar">
    <w:name w:val="Retrait corps et 1re lig. Car"/>
    <w:basedOn w:val="RetraitcorpsdetexteCar"/>
    <w:link w:val="Retraitcorpset1relig"/>
    <w:uiPriority w:val="99"/>
    <w:semiHidden/>
    <w:rsid w:val="00BE5C91"/>
    <w:rPr>
      <w:rFonts w:ascii="Times New Roman" w:eastAsia="SimSun" w:hAnsi="Times New Roman" w:cs="Times New Roman"/>
      <w:kern w:val="0"/>
      <w:szCs w:val="24"/>
      <w:lang w:val="fr-FR"/>
      <w14:ligatures w14:val="none"/>
    </w:rPr>
  </w:style>
  <w:style w:type="paragraph" w:styleId="Retraitcorpsdetexte2">
    <w:name w:val="Body Text Indent 2"/>
    <w:basedOn w:val="Normal"/>
    <w:link w:val="Retraitcorpsdetexte2Car"/>
    <w:uiPriority w:val="99"/>
    <w:semiHidden/>
    <w:unhideWhenUsed/>
    <w:rsid w:val="00BE5C91"/>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BE5C91"/>
    <w:rPr>
      <w:rFonts w:ascii="Times New Roman" w:eastAsia="SimSun" w:hAnsi="Times New Roman" w:cs="Times New Roman"/>
      <w:kern w:val="0"/>
      <w:lang w:val="fr-FR"/>
      <w14:ligatures w14:val="none"/>
    </w:rPr>
  </w:style>
  <w:style w:type="paragraph" w:styleId="Retraitcorpsdetexte3">
    <w:name w:val="Body Text Indent 3"/>
    <w:basedOn w:val="Normal"/>
    <w:link w:val="Retraitcorpsdetexte3Car"/>
    <w:uiPriority w:val="99"/>
    <w:semiHidden/>
    <w:unhideWhenUsed/>
    <w:rsid w:val="00BE5C91"/>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BE5C91"/>
    <w:rPr>
      <w:rFonts w:ascii="Times New Roman" w:eastAsia="SimSun" w:hAnsi="Times New Roman" w:cs="Times New Roman"/>
      <w:kern w:val="0"/>
      <w:sz w:val="16"/>
      <w:szCs w:val="16"/>
      <w:lang w:val="fr-FR"/>
      <w14:ligatures w14:val="none"/>
    </w:rPr>
  </w:style>
  <w:style w:type="character" w:styleId="Titredulivre">
    <w:name w:val="Book Title"/>
    <w:basedOn w:val="Policepardfaut"/>
    <w:uiPriority w:val="33"/>
    <w:qFormat/>
    <w:rsid w:val="00BE5C91"/>
    <w:rPr>
      <w:b/>
      <w:bCs/>
      <w:i/>
      <w:iCs/>
      <w:spacing w:val="5"/>
      <w:lang w:val="fr-FR"/>
    </w:rPr>
  </w:style>
  <w:style w:type="paragraph" w:styleId="Lgende">
    <w:name w:val="caption"/>
    <w:basedOn w:val="Normal"/>
    <w:next w:val="Normal"/>
    <w:uiPriority w:val="35"/>
    <w:semiHidden/>
    <w:unhideWhenUsed/>
    <w:qFormat/>
    <w:rsid w:val="00BE5C91"/>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BE5C91"/>
    <w:pPr>
      <w:ind w:left="4320"/>
    </w:pPr>
  </w:style>
  <w:style w:type="character" w:customStyle="1" w:styleId="FormuledepolitesseCar">
    <w:name w:val="Formule de politesse Car"/>
    <w:basedOn w:val="Policepardfaut"/>
    <w:link w:val="Formuledepolitesse"/>
    <w:uiPriority w:val="99"/>
    <w:semiHidden/>
    <w:rsid w:val="00BE5C91"/>
    <w:rPr>
      <w:rFonts w:ascii="Times New Roman" w:eastAsia="SimSun" w:hAnsi="Times New Roman" w:cs="Times New Roman"/>
      <w:kern w:val="0"/>
      <w:lang w:val="fr-FR"/>
      <w14:ligatures w14:val="none"/>
    </w:rPr>
  </w:style>
  <w:style w:type="table" w:styleId="Grillecouleur">
    <w:name w:val="Colorful Grid"/>
    <w:basedOn w:val="Tableau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BE5C9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BE5C91"/>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BE5C91"/>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BE5C91"/>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BE5C91"/>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BE5C91"/>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BE5C91"/>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BE5C91"/>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BE5C91"/>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BE5C91"/>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BE5C91"/>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BE5C91"/>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BE5C91"/>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BE5C91"/>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BE5C9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BE5C91"/>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BE5C91"/>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BE5C91"/>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BE5C91"/>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BE5C91"/>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BE5C91"/>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BE5C91"/>
  </w:style>
  <w:style w:type="character" w:customStyle="1" w:styleId="DateCar">
    <w:name w:val="Date Car"/>
    <w:basedOn w:val="Policepardfaut"/>
    <w:link w:val="Date"/>
    <w:uiPriority w:val="99"/>
    <w:semiHidden/>
    <w:rsid w:val="00BE5C91"/>
    <w:rPr>
      <w:rFonts w:ascii="Times New Roman" w:eastAsia="SimSun" w:hAnsi="Times New Roman" w:cs="Times New Roman"/>
      <w:kern w:val="0"/>
      <w:lang w:val="fr-FR"/>
      <w14:ligatures w14:val="none"/>
    </w:rPr>
  </w:style>
  <w:style w:type="paragraph" w:styleId="Explorateurdedocuments">
    <w:name w:val="Document Map"/>
    <w:basedOn w:val="Normal"/>
    <w:link w:val="ExplorateurdedocumentsCar"/>
    <w:uiPriority w:val="99"/>
    <w:semiHidden/>
    <w:unhideWhenUsed/>
    <w:rsid w:val="00BE5C9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BE5C91"/>
    <w:rPr>
      <w:rFonts w:ascii="Segoe UI" w:eastAsia="SimSun" w:hAnsi="Segoe UI" w:cs="Segoe UI"/>
      <w:kern w:val="0"/>
      <w:sz w:val="16"/>
      <w:szCs w:val="16"/>
      <w:lang w:val="fr-FR"/>
      <w14:ligatures w14:val="none"/>
    </w:rPr>
  </w:style>
  <w:style w:type="paragraph" w:styleId="Signaturelectronique">
    <w:name w:val="E-mail Signature"/>
    <w:basedOn w:val="Normal"/>
    <w:link w:val="SignaturelectroniqueCar"/>
    <w:uiPriority w:val="99"/>
    <w:semiHidden/>
    <w:unhideWhenUsed/>
    <w:rsid w:val="00BE5C91"/>
  </w:style>
  <w:style w:type="character" w:customStyle="1" w:styleId="SignaturelectroniqueCar">
    <w:name w:val="Signature électronique Car"/>
    <w:basedOn w:val="Policepardfaut"/>
    <w:link w:val="Signaturelectronique"/>
    <w:uiPriority w:val="99"/>
    <w:semiHidden/>
    <w:rsid w:val="00BE5C91"/>
    <w:rPr>
      <w:rFonts w:ascii="Times New Roman" w:eastAsia="SimSun" w:hAnsi="Times New Roman" w:cs="Times New Roman"/>
      <w:kern w:val="0"/>
      <w:lang w:val="fr-FR"/>
      <w14:ligatures w14:val="none"/>
    </w:rPr>
  </w:style>
  <w:style w:type="character" w:styleId="Accentuation">
    <w:name w:val="Emphasis"/>
    <w:basedOn w:val="Policepardfaut"/>
    <w:uiPriority w:val="20"/>
    <w:qFormat/>
    <w:rsid w:val="00BE5C91"/>
    <w:rPr>
      <w:i/>
      <w:iCs/>
      <w:lang w:val="fr-FR"/>
    </w:rPr>
  </w:style>
  <w:style w:type="character" w:styleId="Appeldenotedefin">
    <w:name w:val="endnote reference"/>
    <w:basedOn w:val="Policepardfaut"/>
    <w:uiPriority w:val="99"/>
    <w:semiHidden/>
    <w:unhideWhenUsed/>
    <w:rsid w:val="00BE5C91"/>
    <w:rPr>
      <w:vertAlign w:val="superscript"/>
      <w:lang w:val="fr-FR"/>
    </w:rPr>
  </w:style>
  <w:style w:type="paragraph" w:styleId="Notedefin">
    <w:name w:val="endnote text"/>
    <w:basedOn w:val="Normal"/>
    <w:link w:val="NotedefinCar"/>
    <w:uiPriority w:val="99"/>
    <w:semiHidden/>
    <w:unhideWhenUsed/>
    <w:rsid w:val="00BE5C91"/>
    <w:rPr>
      <w:sz w:val="20"/>
      <w:szCs w:val="20"/>
    </w:rPr>
  </w:style>
  <w:style w:type="character" w:customStyle="1" w:styleId="NotedefinCar">
    <w:name w:val="Note de fin Car"/>
    <w:basedOn w:val="Policepardfaut"/>
    <w:link w:val="Notedefin"/>
    <w:uiPriority w:val="99"/>
    <w:semiHidden/>
    <w:rsid w:val="00BE5C91"/>
    <w:rPr>
      <w:rFonts w:ascii="Times New Roman" w:eastAsia="SimSun" w:hAnsi="Times New Roman" w:cs="Times New Roman"/>
      <w:kern w:val="0"/>
      <w:sz w:val="20"/>
      <w:szCs w:val="20"/>
      <w:lang w:val="fr-FR"/>
      <w14:ligatures w14:val="none"/>
    </w:rPr>
  </w:style>
  <w:style w:type="paragraph" w:styleId="Adressedestinataire">
    <w:name w:val="envelope address"/>
    <w:basedOn w:val="Normal"/>
    <w:uiPriority w:val="99"/>
    <w:semiHidden/>
    <w:unhideWhenUsed/>
    <w:rsid w:val="00BE5C9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BE5C91"/>
    <w:rPr>
      <w:rFonts w:asciiTheme="majorHAnsi" w:eastAsiaTheme="majorEastAsia" w:hAnsiTheme="majorHAnsi" w:cstheme="majorBidi"/>
      <w:sz w:val="20"/>
      <w:szCs w:val="20"/>
    </w:rPr>
  </w:style>
  <w:style w:type="table" w:customStyle="1" w:styleId="TableauGrille1Clair1">
    <w:name w:val="Tableau Grille 1 Clair1"/>
    <w:basedOn w:val="TableauNormal"/>
    <w:uiPriority w:val="46"/>
    <w:rsid w:val="00BE5C9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auGrille1Clair-Accentuation11">
    <w:name w:val="Tableau Grille 1 Clair - Accentuation 11"/>
    <w:basedOn w:val="TableauNormal"/>
    <w:uiPriority w:val="46"/>
    <w:rsid w:val="00BE5C9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leauGrille1Clair-Accentuation21">
    <w:name w:val="Tableau Grille 1 Clair - Accentuation 21"/>
    <w:basedOn w:val="TableauNormal"/>
    <w:uiPriority w:val="46"/>
    <w:rsid w:val="00BE5C9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TableauGrille1Clair-Accentuation31">
    <w:name w:val="Tableau Grille 1 Clair - Accentuation 31"/>
    <w:basedOn w:val="TableauNormal"/>
    <w:uiPriority w:val="46"/>
    <w:rsid w:val="00BE5C91"/>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eauGrille1Clair-Accentuation41">
    <w:name w:val="Tableau Grille 1 Clair - Accentuation 41"/>
    <w:basedOn w:val="TableauNormal"/>
    <w:uiPriority w:val="46"/>
    <w:rsid w:val="00BE5C91"/>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TableauGrille1Clair-Accentuation51">
    <w:name w:val="Tableau Grille 1 Clair - Accentuation 51"/>
    <w:basedOn w:val="TableauNormal"/>
    <w:uiPriority w:val="46"/>
    <w:rsid w:val="00BE5C9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TableauGrille1Clair-Accentuation61">
    <w:name w:val="Tableau Grille 1 Clair - Accentuation 61"/>
    <w:basedOn w:val="TableauNormal"/>
    <w:uiPriority w:val="46"/>
    <w:rsid w:val="00BE5C9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eauGrille21">
    <w:name w:val="Tableau Grille 21"/>
    <w:basedOn w:val="TableauNormal"/>
    <w:uiPriority w:val="47"/>
    <w:rsid w:val="00BE5C9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2-Accentuation11">
    <w:name w:val="Tableau Grille 2 - Accentuation 11"/>
    <w:basedOn w:val="TableauNormal"/>
    <w:uiPriority w:val="47"/>
    <w:rsid w:val="00BE5C91"/>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Grille2-Accentuation21">
    <w:name w:val="Tableau Grille 2 - Accentuation 21"/>
    <w:basedOn w:val="TableauNormal"/>
    <w:uiPriority w:val="47"/>
    <w:rsid w:val="00BE5C91"/>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Grille2-Accentuation31">
    <w:name w:val="Tableau Grille 2 - Accentuation 31"/>
    <w:basedOn w:val="TableauNormal"/>
    <w:uiPriority w:val="47"/>
    <w:rsid w:val="00BE5C9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Grille2-Accentuation41">
    <w:name w:val="Tableau Grille 2 - Accentuation 41"/>
    <w:basedOn w:val="TableauNormal"/>
    <w:uiPriority w:val="47"/>
    <w:rsid w:val="00BE5C91"/>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Grille2-Accentuation51">
    <w:name w:val="Tableau Grille 2 - Accentuation 51"/>
    <w:basedOn w:val="TableauNormal"/>
    <w:uiPriority w:val="47"/>
    <w:rsid w:val="00BE5C91"/>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Grille2-Accentuation61">
    <w:name w:val="Tableau Grille 2 - Accentuation 61"/>
    <w:basedOn w:val="TableauNormal"/>
    <w:uiPriority w:val="47"/>
    <w:rsid w:val="00BE5C91"/>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Grille31">
    <w:name w:val="Tableau Grille 31"/>
    <w:basedOn w:val="TableauNormal"/>
    <w:uiPriority w:val="48"/>
    <w:rsid w:val="00BE5C9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3-Accentuation11">
    <w:name w:val="Tableau Grille 3 - Accentuation 11"/>
    <w:basedOn w:val="TableauNormal"/>
    <w:uiPriority w:val="48"/>
    <w:rsid w:val="00BE5C9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eauGrille3-Accentuation21">
    <w:name w:val="Tableau Grille 3 - Accentuation 21"/>
    <w:basedOn w:val="TableauNormal"/>
    <w:uiPriority w:val="48"/>
    <w:rsid w:val="00BE5C9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leauGrille3-Accentuation31">
    <w:name w:val="Tableau Grille 3 - Accentuation 31"/>
    <w:basedOn w:val="TableauNormal"/>
    <w:uiPriority w:val="48"/>
    <w:rsid w:val="00BE5C9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eauGrille3-Accentuation41">
    <w:name w:val="Tableau Grille 3 - Accentuation 41"/>
    <w:basedOn w:val="TableauNormal"/>
    <w:uiPriority w:val="48"/>
    <w:rsid w:val="00BE5C9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leauGrille3-Accentuation51">
    <w:name w:val="Tableau Grille 3 - Accentuation 51"/>
    <w:basedOn w:val="TableauNormal"/>
    <w:uiPriority w:val="48"/>
    <w:rsid w:val="00BE5C9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TableauGrille3-Accentuation61">
    <w:name w:val="Tableau Grille 3 - Accentuation 61"/>
    <w:basedOn w:val="TableauNormal"/>
    <w:uiPriority w:val="48"/>
    <w:rsid w:val="00BE5C9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TableauGrille41">
    <w:name w:val="Tableau Grille 41"/>
    <w:basedOn w:val="TableauNormal"/>
    <w:uiPriority w:val="49"/>
    <w:rsid w:val="00BE5C9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4-Accentuation11">
    <w:name w:val="Tableau Grille 4 - Accentuation 11"/>
    <w:basedOn w:val="TableauNormal"/>
    <w:uiPriority w:val="49"/>
    <w:rsid w:val="00BE5C9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Grille4-Accentuation21">
    <w:name w:val="Tableau Grille 4 - Accentuation 21"/>
    <w:basedOn w:val="TableauNormal"/>
    <w:uiPriority w:val="49"/>
    <w:rsid w:val="00BE5C9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Grille4-Accentuation31">
    <w:name w:val="Tableau Grille 4 - Accentuation 31"/>
    <w:basedOn w:val="TableauNormal"/>
    <w:uiPriority w:val="49"/>
    <w:rsid w:val="00BE5C9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Grille4-Accentuation41">
    <w:name w:val="Tableau Grille 4 - Accentuation 41"/>
    <w:basedOn w:val="TableauNormal"/>
    <w:uiPriority w:val="49"/>
    <w:rsid w:val="00BE5C9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Grille4-Accentuation51">
    <w:name w:val="Tableau Grille 4 - Accentuation 51"/>
    <w:basedOn w:val="TableauNormal"/>
    <w:uiPriority w:val="49"/>
    <w:rsid w:val="00BE5C9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Grille4-Accentuation61">
    <w:name w:val="Tableau Grille 4 - Accentuation 61"/>
    <w:basedOn w:val="TableauNormal"/>
    <w:uiPriority w:val="49"/>
    <w:rsid w:val="00BE5C9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Grille5Fonc1">
    <w:name w:val="Tableau Grille 5 Foncé1"/>
    <w:basedOn w:val="Tableau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TableauGrille5Fonc-Accentuation11">
    <w:name w:val="Tableau Grille 5 Foncé - Accentuation 11"/>
    <w:basedOn w:val="Tableau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auGrille5Fonc-Accentuation21">
    <w:name w:val="Tableau Grille 5 Foncé - Accentuation 21"/>
    <w:basedOn w:val="Tableau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TableauGrille5Fonc-Accentuation31">
    <w:name w:val="Tableau Grille 5 Foncé - Accentuation 31"/>
    <w:basedOn w:val="Tableau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TableauGrille5Fonc-Accentuation41">
    <w:name w:val="Tableau Grille 5 Foncé - Accentuation 41"/>
    <w:basedOn w:val="Tableau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TableauGrille5Fonc-Accentuation51">
    <w:name w:val="Tableau Grille 5 Foncé - Accentuation 51"/>
    <w:basedOn w:val="Tableau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TableauGrille5Fonc-Accentuation61">
    <w:name w:val="Tableau Grille 5 Foncé - Accentuation 61"/>
    <w:basedOn w:val="Tableau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leauGrille6Couleur1">
    <w:name w:val="Tableau Grille 6 Couleur1"/>
    <w:basedOn w:val="TableauNormal"/>
    <w:uiPriority w:val="51"/>
    <w:rsid w:val="00BE5C9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6Couleur-Accentuation11">
    <w:name w:val="Tableau Grille 6 Couleur - Accentuation 11"/>
    <w:basedOn w:val="TableauNormal"/>
    <w:uiPriority w:val="51"/>
    <w:rsid w:val="00BE5C9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Grille6Couleur-Accentuation21">
    <w:name w:val="Tableau Grille 6 Couleur - Accentuation 21"/>
    <w:basedOn w:val="TableauNormal"/>
    <w:uiPriority w:val="51"/>
    <w:rsid w:val="00BE5C9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Grille6Couleur-Accentuation31">
    <w:name w:val="Tableau Grille 6 Couleur - Accentuation 31"/>
    <w:basedOn w:val="TableauNormal"/>
    <w:uiPriority w:val="51"/>
    <w:rsid w:val="00BE5C9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Grille6Couleur-Accentuation41">
    <w:name w:val="Tableau Grille 6 Couleur - Accentuation 41"/>
    <w:basedOn w:val="TableauNormal"/>
    <w:uiPriority w:val="51"/>
    <w:rsid w:val="00BE5C9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Grille6Couleur-Accentuation51">
    <w:name w:val="Tableau Grille 6 Couleur - Accentuation 51"/>
    <w:basedOn w:val="TableauNormal"/>
    <w:uiPriority w:val="51"/>
    <w:rsid w:val="00BE5C9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Grille6Couleur-Accentuation61">
    <w:name w:val="Tableau Grille 6 Couleur - Accentuation 61"/>
    <w:basedOn w:val="TableauNormal"/>
    <w:uiPriority w:val="51"/>
    <w:rsid w:val="00BE5C9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Grille7Couleur1">
    <w:name w:val="Tableau Grille 7 Couleur1"/>
    <w:basedOn w:val="TableauNormal"/>
    <w:uiPriority w:val="52"/>
    <w:rsid w:val="00BE5C9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7Couleur-Accentuation11">
    <w:name w:val="Tableau Grille 7 Couleur - Accentuation 11"/>
    <w:basedOn w:val="TableauNormal"/>
    <w:uiPriority w:val="52"/>
    <w:rsid w:val="00BE5C9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eauGrille7Couleur-Accentuation21">
    <w:name w:val="Tableau Grille 7 Couleur - Accentuation 21"/>
    <w:basedOn w:val="TableauNormal"/>
    <w:uiPriority w:val="52"/>
    <w:rsid w:val="00BE5C9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leauGrille7Couleur-Accentuation31">
    <w:name w:val="Tableau Grille 7 Couleur - Accentuation 31"/>
    <w:basedOn w:val="TableauNormal"/>
    <w:uiPriority w:val="52"/>
    <w:rsid w:val="00BE5C9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eauGrille7Couleur-Accentuation41">
    <w:name w:val="Tableau Grille 7 Couleur - Accentuation 41"/>
    <w:basedOn w:val="TableauNormal"/>
    <w:uiPriority w:val="52"/>
    <w:rsid w:val="00BE5C9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leauGrille7Couleur-Accentuation51">
    <w:name w:val="Tableau Grille 7 Couleur - Accentuation 51"/>
    <w:basedOn w:val="TableauNormal"/>
    <w:uiPriority w:val="52"/>
    <w:rsid w:val="00BE5C9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TableauGrille7Couleur-Accentuation61">
    <w:name w:val="Tableau Grille 7 Couleur - Accentuation 61"/>
    <w:basedOn w:val="TableauNormal"/>
    <w:uiPriority w:val="52"/>
    <w:rsid w:val="00BE5C9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Mot-dise1">
    <w:name w:val="Mot-dièse1"/>
    <w:basedOn w:val="Policepardfaut"/>
    <w:uiPriority w:val="99"/>
    <w:semiHidden/>
    <w:unhideWhenUsed/>
    <w:rsid w:val="00BE5C91"/>
    <w:rPr>
      <w:color w:val="2B579A"/>
      <w:shd w:val="clear" w:color="auto" w:fill="E1DFDD"/>
      <w:lang w:val="fr-FR"/>
    </w:rPr>
  </w:style>
  <w:style w:type="character" w:styleId="AcronymeHTML">
    <w:name w:val="HTML Acronym"/>
    <w:basedOn w:val="Policepardfaut"/>
    <w:uiPriority w:val="99"/>
    <w:semiHidden/>
    <w:unhideWhenUsed/>
    <w:rsid w:val="00BE5C91"/>
    <w:rPr>
      <w:lang w:val="fr-FR"/>
    </w:rPr>
  </w:style>
  <w:style w:type="paragraph" w:styleId="AdresseHTML">
    <w:name w:val="HTML Address"/>
    <w:basedOn w:val="Normal"/>
    <w:link w:val="AdresseHTMLCar"/>
    <w:uiPriority w:val="99"/>
    <w:semiHidden/>
    <w:unhideWhenUsed/>
    <w:rsid w:val="00BE5C91"/>
    <w:rPr>
      <w:i/>
      <w:iCs/>
    </w:rPr>
  </w:style>
  <w:style w:type="character" w:customStyle="1" w:styleId="AdresseHTMLCar">
    <w:name w:val="Adresse HTML Car"/>
    <w:basedOn w:val="Policepardfaut"/>
    <w:link w:val="AdresseHTML"/>
    <w:uiPriority w:val="99"/>
    <w:semiHidden/>
    <w:rsid w:val="00BE5C91"/>
    <w:rPr>
      <w:rFonts w:ascii="Times New Roman" w:eastAsia="SimSun" w:hAnsi="Times New Roman" w:cs="Times New Roman"/>
      <w:i/>
      <w:iCs/>
      <w:kern w:val="0"/>
      <w:lang w:val="fr-FR"/>
      <w14:ligatures w14:val="none"/>
    </w:rPr>
  </w:style>
  <w:style w:type="character" w:styleId="CitationHTML">
    <w:name w:val="HTML Cite"/>
    <w:basedOn w:val="Policepardfaut"/>
    <w:uiPriority w:val="99"/>
    <w:semiHidden/>
    <w:unhideWhenUsed/>
    <w:rsid w:val="00BE5C91"/>
    <w:rPr>
      <w:i/>
      <w:iCs/>
      <w:lang w:val="fr-FR"/>
    </w:rPr>
  </w:style>
  <w:style w:type="character" w:styleId="CodeHTML">
    <w:name w:val="HTML Code"/>
    <w:basedOn w:val="Policepardfaut"/>
    <w:uiPriority w:val="99"/>
    <w:semiHidden/>
    <w:unhideWhenUsed/>
    <w:rsid w:val="00BE5C91"/>
    <w:rPr>
      <w:rFonts w:ascii="Consolas" w:hAnsi="Consolas"/>
      <w:sz w:val="20"/>
      <w:szCs w:val="20"/>
      <w:lang w:val="fr-FR"/>
    </w:rPr>
  </w:style>
  <w:style w:type="character" w:styleId="DfinitionHTML">
    <w:name w:val="HTML Definition"/>
    <w:basedOn w:val="Policepardfaut"/>
    <w:uiPriority w:val="99"/>
    <w:semiHidden/>
    <w:unhideWhenUsed/>
    <w:rsid w:val="00BE5C91"/>
    <w:rPr>
      <w:i/>
      <w:iCs/>
      <w:lang w:val="fr-FR"/>
    </w:rPr>
  </w:style>
  <w:style w:type="character" w:styleId="ClavierHTML">
    <w:name w:val="HTML Keyboard"/>
    <w:basedOn w:val="Policepardfaut"/>
    <w:uiPriority w:val="99"/>
    <w:semiHidden/>
    <w:unhideWhenUsed/>
    <w:rsid w:val="00BE5C91"/>
    <w:rPr>
      <w:rFonts w:ascii="Consolas" w:hAnsi="Consolas"/>
      <w:sz w:val="20"/>
      <w:szCs w:val="20"/>
      <w:lang w:val="fr-FR"/>
    </w:rPr>
  </w:style>
  <w:style w:type="paragraph" w:styleId="PrformatHTML">
    <w:name w:val="HTML Preformatted"/>
    <w:basedOn w:val="Normal"/>
    <w:link w:val="PrformatHTMLCar"/>
    <w:uiPriority w:val="99"/>
    <w:semiHidden/>
    <w:unhideWhenUsed/>
    <w:rsid w:val="00BE5C91"/>
    <w:rPr>
      <w:rFonts w:ascii="Consolas" w:hAnsi="Consolas"/>
      <w:sz w:val="20"/>
      <w:szCs w:val="20"/>
    </w:rPr>
  </w:style>
  <w:style w:type="character" w:customStyle="1" w:styleId="PrformatHTMLCar">
    <w:name w:val="Préformaté HTML Car"/>
    <w:basedOn w:val="Policepardfaut"/>
    <w:link w:val="PrformatHTML"/>
    <w:uiPriority w:val="99"/>
    <w:semiHidden/>
    <w:rsid w:val="00BE5C91"/>
    <w:rPr>
      <w:rFonts w:ascii="Consolas" w:eastAsia="SimSun" w:hAnsi="Consolas" w:cs="Times New Roman"/>
      <w:kern w:val="0"/>
      <w:sz w:val="20"/>
      <w:szCs w:val="20"/>
      <w:lang w:val="fr-FR"/>
      <w14:ligatures w14:val="none"/>
    </w:rPr>
  </w:style>
  <w:style w:type="character" w:styleId="ExempleHTML">
    <w:name w:val="HTML Sample"/>
    <w:basedOn w:val="Policepardfaut"/>
    <w:uiPriority w:val="99"/>
    <w:semiHidden/>
    <w:unhideWhenUsed/>
    <w:rsid w:val="00BE5C91"/>
    <w:rPr>
      <w:rFonts w:ascii="Consolas" w:hAnsi="Consolas"/>
      <w:sz w:val="24"/>
      <w:szCs w:val="24"/>
      <w:lang w:val="fr-FR"/>
    </w:rPr>
  </w:style>
  <w:style w:type="character" w:styleId="MachinecrireHTML">
    <w:name w:val="HTML Typewriter"/>
    <w:basedOn w:val="Policepardfaut"/>
    <w:uiPriority w:val="99"/>
    <w:semiHidden/>
    <w:unhideWhenUsed/>
    <w:rsid w:val="00BE5C91"/>
    <w:rPr>
      <w:rFonts w:ascii="Consolas" w:hAnsi="Consolas"/>
      <w:sz w:val="20"/>
      <w:szCs w:val="20"/>
      <w:lang w:val="fr-FR"/>
    </w:rPr>
  </w:style>
  <w:style w:type="character" w:styleId="VariableHTML">
    <w:name w:val="HTML Variable"/>
    <w:basedOn w:val="Policepardfaut"/>
    <w:uiPriority w:val="99"/>
    <w:semiHidden/>
    <w:unhideWhenUsed/>
    <w:rsid w:val="00BE5C91"/>
    <w:rPr>
      <w:i/>
      <w:iCs/>
      <w:lang w:val="fr-FR"/>
    </w:rPr>
  </w:style>
  <w:style w:type="paragraph" w:styleId="Index1">
    <w:name w:val="index 1"/>
    <w:basedOn w:val="Normal"/>
    <w:next w:val="Normal"/>
    <w:autoRedefine/>
    <w:uiPriority w:val="99"/>
    <w:semiHidden/>
    <w:unhideWhenUsed/>
    <w:rsid w:val="00BE5C9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BE5C9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BE5C9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BE5C9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BE5C9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BE5C9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BE5C9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BE5C9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BE5C9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BE5C91"/>
    <w:rPr>
      <w:rFonts w:asciiTheme="majorHAnsi" w:eastAsiaTheme="majorEastAsia" w:hAnsiTheme="majorHAnsi" w:cstheme="majorBidi"/>
      <w:b/>
      <w:bCs/>
    </w:rPr>
  </w:style>
  <w:style w:type="character" w:styleId="Accentuationintense">
    <w:name w:val="Intense Emphasis"/>
    <w:basedOn w:val="Policepardfaut"/>
    <w:uiPriority w:val="21"/>
    <w:qFormat/>
    <w:rsid w:val="00BE5C91"/>
    <w:rPr>
      <w:i/>
      <w:iCs/>
      <w:color w:val="4472C4" w:themeColor="accent1"/>
      <w:lang w:val="fr-FR"/>
    </w:rPr>
  </w:style>
  <w:style w:type="paragraph" w:styleId="Citationintense">
    <w:name w:val="Intense Quote"/>
    <w:basedOn w:val="Normal"/>
    <w:next w:val="Normal"/>
    <w:link w:val="CitationintenseCar"/>
    <w:uiPriority w:val="30"/>
    <w:qFormat/>
    <w:rsid w:val="00BE5C9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BE5C91"/>
    <w:rPr>
      <w:rFonts w:ascii="Times New Roman" w:eastAsia="SimSun" w:hAnsi="Times New Roman" w:cs="Times New Roman"/>
      <w:i/>
      <w:iCs/>
      <w:color w:val="4472C4" w:themeColor="accent1"/>
      <w:kern w:val="0"/>
      <w:lang w:val="fr-FR"/>
      <w14:ligatures w14:val="none"/>
    </w:rPr>
  </w:style>
  <w:style w:type="character" w:styleId="Rfrenceintense">
    <w:name w:val="Intense Reference"/>
    <w:basedOn w:val="Policepardfaut"/>
    <w:uiPriority w:val="32"/>
    <w:qFormat/>
    <w:rsid w:val="00BE5C91"/>
    <w:rPr>
      <w:b/>
      <w:bCs/>
      <w:smallCaps/>
      <w:color w:val="4472C4" w:themeColor="accent1"/>
      <w:spacing w:val="5"/>
      <w:lang w:val="fr-FR"/>
    </w:rPr>
  </w:style>
  <w:style w:type="table" w:styleId="Grilleclaire">
    <w:name w:val="Light Grid"/>
    <w:basedOn w:val="TableauNormal"/>
    <w:uiPriority w:val="62"/>
    <w:semiHidden/>
    <w:unhideWhenUsed/>
    <w:rsid w:val="00BE5C9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BE5C9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BE5C9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BE5C9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BE5C9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BE5C9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BE5C9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BE5C9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BE5C9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BE5C9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BE5C9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BE5C9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BE5C9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BE5C9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BE5C9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BE5C91"/>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BE5C91"/>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BE5C91"/>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BE5C91"/>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BE5C91"/>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BE5C91"/>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BE5C91"/>
    <w:rPr>
      <w:lang w:val="fr-FR"/>
    </w:rPr>
  </w:style>
  <w:style w:type="paragraph" w:styleId="Liste2">
    <w:name w:val="List 2"/>
    <w:basedOn w:val="Normal"/>
    <w:uiPriority w:val="99"/>
    <w:semiHidden/>
    <w:unhideWhenUsed/>
    <w:rsid w:val="00BE5C91"/>
    <w:pPr>
      <w:ind w:left="720" w:hanging="360"/>
      <w:contextualSpacing/>
    </w:pPr>
  </w:style>
  <w:style w:type="paragraph" w:styleId="Liste3">
    <w:name w:val="List 3"/>
    <w:basedOn w:val="Normal"/>
    <w:uiPriority w:val="99"/>
    <w:semiHidden/>
    <w:unhideWhenUsed/>
    <w:rsid w:val="00BE5C91"/>
    <w:pPr>
      <w:ind w:left="1080" w:hanging="360"/>
      <w:contextualSpacing/>
    </w:pPr>
  </w:style>
  <w:style w:type="paragraph" w:styleId="Liste4">
    <w:name w:val="List 4"/>
    <w:basedOn w:val="Normal"/>
    <w:uiPriority w:val="99"/>
    <w:semiHidden/>
    <w:unhideWhenUsed/>
    <w:rsid w:val="00BE5C91"/>
    <w:pPr>
      <w:ind w:left="1440" w:hanging="360"/>
      <w:contextualSpacing/>
    </w:pPr>
  </w:style>
  <w:style w:type="paragraph" w:styleId="Liste5">
    <w:name w:val="List 5"/>
    <w:basedOn w:val="Normal"/>
    <w:uiPriority w:val="99"/>
    <w:semiHidden/>
    <w:unhideWhenUsed/>
    <w:rsid w:val="00BE5C91"/>
    <w:pPr>
      <w:ind w:left="1800" w:hanging="360"/>
      <w:contextualSpacing/>
    </w:pPr>
  </w:style>
  <w:style w:type="paragraph" w:styleId="Listepuces">
    <w:name w:val="List Bullet"/>
    <w:basedOn w:val="Normal"/>
    <w:uiPriority w:val="99"/>
    <w:semiHidden/>
    <w:unhideWhenUsed/>
    <w:rsid w:val="00BE5C91"/>
    <w:pPr>
      <w:numPr>
        <w:numId w:val="15"/>
      </w:numPr>
      <w:contextualSpacing/>
    </w:pPr>
  </w:style>
  <w:style w:type="paragraph" w:styleId="Listepuces2">
    <w:name w:val="List Bullet 2"/>
    <w:basedOn w:val="Normal"/>
    <w:uiPriority w:val="99"/>
    <w:semiHidden/>
    <w:unhideWhenUsed/>
    <w:rsid w:val="00BE5C91"/>
    <w:pPr>
      <w:numPr>
        <w:numId w:val="16"/>
      </w:numPr>
      <w:contextualSpacing/>
    </w:pPr>
  </w:style>
  <w:style w:type="paragraph" w:styleId="Listepuces3">
    <w:name w:val="List Bullet 3"/>
    <w:basedOn w:val="Normal"/>
    <w:uiPriority w:val="99"/>
    <w:semiHidden/>
    <w:unhideWhenUsed/>
    <w:rsid w:val="00BE5C91"/>
    <w:pPr>
      <w:numPr>
        <w:numId w:val="17"/>
      </w:numPr>
      <w:contextualSpacing/>
    </w:pPr>
  </w:style>
  <w:style w:type="paragraph" w:styleId="Listepuces4">
    <w:name w:val="List Bullet 4"/>
    <w:basedOn w:val="Normal"/>
    <w:uiPriority w:val="99"/>
    <w:semiHidden/>
    <w:unhideWhenUsed/>
    <w:rsid w:val="00BE5C91"/>
    <w:pPr>
      <w:numPr>
        <w:numId w:val="18"/>
      </w:numPr>
      <w:contextualSpacing/>
    </w:pPr>
  </w:style>
  <w:style w:type="paragraph" w:styleId="Listepuces5">
    <w:name w:val="List Bullet 5"/>
    <w:basedOn w:val="Normal"/>
    <w:uiPriority w:val="99"/>
    <w:semiHidden/>
    <w:unhideWhenUsed/>
    <w:rsid w:val="00BE5C91"/>
    <w:pPr>
      <w:numPr>
        <w:numId w:val="19"/>
      </w:numPr>
      <w:contextualSpacing/>
    </w:pPr>
  </w:style>
  <w:style w:type="paragraph" w:styleId="Listecontinue">
    <w:name w:val="List Continue"/>
    <w:basedOn w:val="Normal"/>
    <w:uiPriority w:val="99"/>
    <w:semiHidden/>
    <w:unhideWhenUsed/>
    <w:rsid w:val="00BE5C91"/>
    <w:pPr>
      <w:spacing w:after="120"/>
      <w:ind w:left="360"/>
      <w:contextualSpacing/>
    </w:pPr>
  </w:style>
  <w:style w:type="paragraph" w:styleId="Listecontinue2">
    <w:name w:val="List Continue 2"/>
    <w:basedOn w:val="Normal"/>
    <w:uiPriority w:val="99"/>
    <w:semiHidden/>
    <w:unhideWhenUsed/>
    <w:rsid w:val="00BE5C91"/>
    <w:pPr>
      <w:spacing w:after="120"/>
      <w:ind w:left="720"/>
      <w:contextualSpacing/>
    </w:pPr>
  </w:style>
  <w:style w:type="paragraph" w:styleId="Listecontinue3">
    <w:name w:val="List Continue 3"/>
    <w:basedOn w:val="Normal"/>
    <w:uiPriority w:val="99"/>
    <w:semiHidden/>
    <w:unhideWhenUsed/>
    <w:rsid w:val="00BE5C91"/>
    <w:pPr>
      <w:spacing w:after="120"/>
      <w:ind w:left="1080"/>
      <w:contextualSpacing/>
    </w:pPr>
  </w:style>
  <w:style w:type="paragraph" w:styleId="Listecontinue4">
    <w:name w:val="List Continue 4"/>
    <w:basedOn w:val="Normal"/>
    <w:uiPriority w:val="99"/>
    <w:semiHidden/>
    <w:unhideWhenUsed/>
    <w:rsid w:val="00BE5C91"/>
    <w:pPr>
      <w:spacing w:after="120"/>
      <w:ind w:left="1440"/>
      <w:contextualSpacing/>
    </w:pPr>
  </w:style>
  <w:style w:type="paragraph" w:styleId="Listecontinue5">
    <w:name w:val="List Continue 5"/>
    <w:basedOn w:val="Normal"/>
    <w:uiPriority w:val="99"/>
    <w:semiHidden/>
    <w:unhideWhenUsed/>
    <w:rsid w:val="00BE5C91"/>
    <w:pPr>
      <w:spacing w:after="120"/>
      <w:ind w:left="1800"/>
      <w:contextualSpacing/>
    </w:pPr>
  </w:style>
  <w:style w:type="paragraph" w:styleId="Listenumros">
    <w:name w:val="List Number"/>
    <w:basedOn w:val="Normal"/>
    <w:uiPriority w:val="99"/>
    <w:semiHidden/>
    <w:unhideWhenUsed/>
    <w:rsid w:val="00BE5C91"/>
    <w:pPr>
      <w:numPr>
        <w:numId w:val="20"/>
      </w:numPr>
      <w:contextualSpacing/>
    </w:pPr>
  </w:style>
  <w:style w:type="paragraph" w:styleId="Listenumros2">
    <w:name w:val="List Number 2"/>
    <w:basedOn w:val="Normal"/>
    <w:uiPriority w:val="99"/>
    <w:semiHidden/>
    <w:unhideWhenUsed/>
    <w:rsid w:val="00BE5C91"/>
    <w:pPr>
      <w:numPr>
        <w:numId w:val="21"/>
      </w:numPr>
      <w:contextualSpacing/>
    </w:pPr>
  </w:style>
  <w:style w:type="paragraph" w:styleId="Listenumros3">
    <w:name w:val="List Number 3"/>
    <w:basedOn w:val="Normal"/>
    <w:uiPriority w:val="99"/>
    <w:semiHidden/>
    <w:unhideWhenUsed/>
    <w:rsid w:val="00BE5C91"/>
    <w:pPr>
      <w:numPr>
        <w:numId w:val="22"/>
      </w:numPr>
      <w:contextualSpacing/>
    </w:pPr>
  </w:style>
  <w:style w:type="paragraph" w:styleId="Listenumros4">
    <w:name w:val="List Number 4"/>
    <w:basedOn w:val="Normal"/>
    <w:uiPriority w:val="99"/>
    <w:semiHidden/>
    <w:unhideWhenUsed/>
    <w:rsid w:val="00BE5C91"/>
    <w:pPr>
      <w:numPr>
        <w:numId w:val="23"/>
      </w:numPr>
      <w:contextualSpacing/>
    </w:pPr>
  </w:style>
  <w:style w:type="paragraph" w:styleId="Listenumros5">
    <w:name w:val="List Number 5"/>
    <w:basedOn w:val="Normal"/>
    <w:uiPriority w:val="99"/>
    <w:semiHidden/>
    <w:unhideWhenUsed/>
    <w:rsid w:val="00BE5C91"/>
    <w:pPr>
      <w:numPr>
        <w:numId w:val="24"/>
      </w:numPr>
      <w:contextualSpacing/>
    </w:pPr>
  </w:style>
  <w:style w:type="table" w:customStyle="1" w:styleId="TableauListe1Clair1">
    <w:name w:val="Tableau Liste 1 Clair1"/>
    <w:basedOn w:val="TableauNormal"/>
    <w:uiPriority w:val="46"/>
    <w:rsid w:val="00BE5C9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1Clair-Accentuation11">
    <w:name w:val="Tableau Liste 1 Clair - Accentuation 11"/>
    <w:basedOn w:val="TableauNormal"/>
    <w:uiPriority w:val="46"/>
    <w:rsid w:val="00BE5C91"/>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Liste1Clair-Accentuation21">
    <w:name w:val="Tableau Liste 1 Clair - Accentuation 21"/>
    <w:basedOn w:val="TableauNormal"/>
    <w:uiPriority w:val="46"/>
    <w:rsid w:val="00BE5C91"/>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Liste1Clair-Accentuation31">
    <w:name w:val="Tableau Liste 1 Clair - Accentuation 31"/>
    <w:basedOn w:val="TableauNormal"/>
    <w:uiPriority w:val="46"/>
    <w:rsid w:val="00BE5C91"/>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Liste1Clair-Accentuation41">
    <w:name w:val="Tableau Liste 1 Clair - Accentuation 41"/>
    <w:basedOn w:val="TableauNormal"/>
    <w:uiPriority w:val="46"/>
    <w:rsid w:val="00BE5C91"/>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Liste1Clair-Accentuation51">
    <w:name w:val="Tableau Liste 1 Clair - Accentuation 51"/>
    <w:basedOn w:val="TableauNormal"/>
    <w:uiPriority w:val="46"/>
    <w:rsid w:val="00BE5C91"/>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Liste1Clair-Accentuation61">
    <w:name w:val="Tableau Liste 1 Clair - Accentuation 61"/>
    <w:basedOn w:val="TableauNormal"/>
    <w:uiPriority w:val="46"/>
    <w:rsid w:val="00BE5C91"/>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Liste21">
    <w:name w:val="Tableau Liste 21"/>
    <w:basedOn w:val="TableauNormal"/>
    <w:uiPriority w:val="47"/>
    <w:rsid w:val="00BE5C9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2-Accentuation11">
    <w:name w:val="Tableau Liste 2 - Accentuation 11"/>
    <w:basedOn w:val="TableauNormal"/>
    <w:uiPriority w:val="47"/>
    <w:rsid w:val="00BE5C91"/>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Liste2-Accentuation21">
    <w:name w:val="Tableau Liste 2 - Accentuation 21"/>
    <w:basedOn w:val="TableauNormal"/>
    <w:uiPriority w:val="47"/>
    <w:rsid w:val="00BE5C91"/>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Liste2-Accentuation31">
    <w:name w:val="Tableau Liste 2 - Accentuation 31"/>
    <w:basedOn w:val="TableauNormal"/>
    <w:uiPriority w:val="47"/>
    <w:rsid w:val="00BE5C91"/>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Liste2-Accentuation41">
    <w:name w:val="Tableau Liste 2 - Accentuation 41"/>
    <w:basedOn w:val="TableauNormal"/>
    <w:uiPriority w:val="47"/>
    <w:rsid w:val="00BE5C91"/>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Liste2-Accentuation51">
    <w:name w:val="Tableau Liste 2 - Accentuation 51"/>
    <w:basedOn w:val="TableauNormal"/>
    <w:uiPriority w:val="47"/>
    <w:rsid w:val="00BE5C91"/>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Liste2-Accentuation61">
    <w:name w:val="Tableau Liste 2 - Accentuation 61"/>
    <w:basedOn w:val="TableauNormal"/>
    <w:uiPriority w:val="47"/>
    <w:rsid w:val="00BE5C91"/>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Liste31">
    <w:name w:val="Tableau Liste 31"/>
    <w:basedOn w:val="TableauNormal"/>
    <w:uiPriority w:val="48"/>
    <w:rsid w:val="00BE5C9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eauListe3-Accentuation11">
    <w:name w:val="Tableau Liste 3 - Accentuation 11"/>
    <w:basedOn w:val="TableauNormal"/>
    <w:uiPriority w:val="48"/>
    <w:rsid w:val="00BE5C91"/>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leauListe3-Accentuation21">
    <w:name w:val="Tableau Liste 3 - Accentuation 21"/>
    <w:basedOn w:val="TableauNormal"/>
    <w:uiPriority w:val="48"/>
    <w:rsid w:val="00BE5C9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TableauListe3-Accentuation31">
    <w:name w:val="Tableau Liste 3 - Accentuation 31"/>
    <w:basedOn w:val="TableauNormal"/>
    <w:uiPriority w:val="48"/>
    <w:rsid w:val="00BE5C91"/>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TableauListe3-Accentuation41">
    <w:name w:val="Tableau Liste 3 - Accentuation 41"/>
    <w:basedOn w:val="TableauNormal"/>
    <w:uiPriority w:val="48"/>
    <w:rsid w:val="00BE5C91"/>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TableauListe3-Accentuation51">
    <w:name w:val="Tableau Liste 3 - Accentuation 51"/>
    <w:basedOn w:val="TableauNormal"/>
    <w:uiPriority w:val="48"/>
    <w:rsid w:val="00BE5C9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leauListe3-Accentuation61">
    <w:name w:val="Tableau Liste 3 - Accentuation 61"/>
    <w:basedOn w:val="TableauNormal"/>
    <w:uiPriority w:val="48"/>
    <w:rsid w:val="00BE5C91"/>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leauListe41">
    <w:name w:val="Tableau Liste 41"/>
    <w:basedOn w:val="TableauNormal"/>
    <w:uiPriority w:val="49"/>
    <w:rsid w:val="00BE5C9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4-Accentuation11">
    <w:name w:val="Tableau Liste 4 - Accentuation 11"/>
    <w:basedOn w:val="TableauNormal"/>
    <w:uiPriority w:val="49"/>
    <w:rsid w:val="00BE5C9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Liste4-Accentuation21">
    <w:name w:val="Tableau Liste 4 - Accentuation 21"/>
    <w:basedOn w:val="TableauNormal"/>
    <w:uiPriority w:val="49"/>
    <w:rsid w:val="00BE5C9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Liste4-Accentuation31">
    <w:name w:val="Tableau Liste 4 - Accentuation 31"/>
    <w:basedOn w:val="TableauNormal"/>
    <w:uiPriority w:val="49"/>
    <w:rsid w:val="00BE5C9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Liste4-Accentuation41">
    <w:name w:val="Tableau Liste 4 - Accentuation 41"/>
    <w:basedOn w:val="TableauNormal"/>
    <w:uiPriority w:val="49"/>
    <w:rsid w:val="00BE5C9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Liste4-Accentuation51">
    <w:name w:val="Tableau Liste 4 - Accentuation 51"/>
    <w:basedOn w:val="TableauNormal"/>
    <w:uiPriority w:val="49"/>
    <w:rsid w:val="00BE5C9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Liste4-Accentuation61">
    <w:name w:val="Tableau Liste 4 - Accentuation 61"/>
    <w:basedOn w:val="TableauNormal"/>
    <w:uiPriority w:val="49"/>
    <w:rsid w:val="00BE5C9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Liste5Fonc1">
    <w:name w:val="Tableau Liste 5 Foncé1"/>
    <w:basedOn w:val="TableauNormal"/>
    <w:uiPriority w:val="50"/>
    <w:rsid w:val="00BE5C9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11">
    <w:name w:val="Tableau Liste 5 Foncé - Accentuation 11"/>
    <w:basedOn w:val="TableauNormal"/>
    <w:uiPriority w:val="50"/>
    <w:rsid w:val="00BE5C9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21">
    <w:name w:val="Tableau Liste 5 Foncé - Accentuation 21"/>
    <w:basedOn w:val="TableauNormal"/>
    <w:uiPriority w:val="50"/>
    <w:rsid w:val="00BE5C91"/>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31">
    <w:name w:val="Tableau Liste 5 Foncé - Accentuation 31"/>
    <w:basedOn w:val="TableauNormal"/>
    <w:uiPriority w:val="50"/>
    <w:rsid w:val="00BE5C9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41">
    <w:name w:val="Tableau Liste 5 Foncé - Accentuation 41"/>
    <w:basedOn w:val="TableauNormal"/>
    <w:uiPriority w:val="50"/>
    <w:rsid w:val="00BE5C9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51">
    <w:name w:val="Tableau Liste 5 Foncé - Accentuation 51"/>
    <w:basedOn w:val="TableauNormal"/>
    <w:uiPriority w:val="50"/>
    <w:rsid w:val="00BE5C9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61">
    <w:name w:val="Tableau Liste 5 Foncé - Accentuation 61"/>
    <w:basedOn w:val="TableauNormal"/>
    <w:uiPriority w:val="50"/>
    <w:rsid w:val="00BE5C9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6Couleur1">
    <w:name w:val="Tableau Liste 6 Couleur1"/>
    <w:basedOn w:val="TableauNormal"/>
    <w:uiPriority w:val="51"/>
    <w:rsid w:val="00BE5C9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6Couleur-Accentuation11">
    <w:name w:val="Tableau Liste 6 Couleur - Accentuation 11"/>
    <w:basedOn w:val="TableauNormal"/>
    <w:uiPriority w:val="51"/>
    <w:rsid w:val="00BE5C9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Liste6Couleur-Accentuation21">
    <w:name w:val="Tableau Liste 6 Couleur - Accentuation 21"/>
    <w:basedOn w:val="TableauNormal"/>
    <w:uiPriority w:val="51"/>
    <w:rsid w:val="00BE5C91"/>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Liste6Couleur-Accentuation31">
    <w:name w:val="Tableau Liste 6 Couleur - Accentuation 31"/>
    <w:basedOn w:val="TableauNormal"/>
    <w:uiPriority w:val="51"/>
    <w:rsid w:val="00BE5C91"/>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Liste6Couleur-Accentuation41">
    <w:name w:val="Tableau Liste 6 Couleur - Accentuation 41"/>
    <w:basedOn w:val="TableauNormal"/>
    <w:uiPriority w:val="51"/>
    <w:rsid w:val="00BE5C91"/>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Liste6Couleur-Accentuation51">
    <w:name w:val="Tableau Liste 6 Couleur - Accentuation 51"/>
    <w:basedOn w:val="TableauNormal"/>
    <w:uiPriority w:val="51"/>
    <w:rsid w:val="00BE5C9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Liste6Couleur-Accentuation61">
    <w:name w:val="Tableau Liste 6 Couleur - Accentuation 61"/>
    <w:basedOn w:val="TableauNormal"/>
    <w:uiPriority w:val="51"/>
    <w:rsid w:val="00BE5C91"/>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Liste7Couleur1">
    <w:name w:val="Tableau Liste 7 Couleur1"/>
    <w:basedOn w:val="TableauNormal"/>
    <w:uiPriority w:val="52"/>
    <w:rsid w:val="00BE5C9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11">
    <w:name w:val="Tableau Liste 7 Couleur - Accentuation 11"/>
    <w:basedOn w:val="TableauNormal"/>
    <w:uiPriority w:val="52"/>
    <w:rsid w:val="00BE5C91"/>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21">
    <w:name w:val="Tableau Liste 7 Couleur - Accentuation 21"/>
    <w:basedOn w:val="TableauNormal"/>
    <w:uiPriority w:val="52"/>
    <w:rsid w:val="00BE5C91"/>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31">
    <w:name w:val="Tableau Liste 7 Couleur - Accentuation 31"/>
    <w:basedOn w:val="TableauNormal"/>
    <w:uiPriority w:val="52"/>
    <w:rsid w:val="00BE5C91"/>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41">
    <w:name w:val="Tableau Liste 7 Couleur - Accentuation 41"/>
    <w:basedOn w:val="TableauNormal"/>
    <w:uiPriority w:val="52"/>
    <w:rsid w:val="00BE5C91"/>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51">
    <w:name w:val="Tableau Liste 7 Couleur - Accentuation 51"/>
    <w:basedOn w:val="TableauNormal"/>
    <w:uiPriority w:val="52"/>
    <w:rsid w:val="00BE5C91"/>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61">
    <w:name w:val="Tableau Liste 7 Couleur - Accentuation 61"/>
    <w:basedOn w:val="TableauNormal"/>
    <w:uiPriority w:val="52"/>
    <w:rsid w:val="00BE5C91"/>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BE5C9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edemacroCar">
    <w:name w:val="Texte de macro Car"/>
    <w:basedOn w:val="Policepardfaut"/>
    <w:link w:val="Textedemacro"/>
    <w:uiPriority w:val="99"/>
    <w:semiHidden/>
    <w:rsid w:val="00BE5C91"/>
    <w:rPr>
      <w:rFonts w:ascii="Consolas" w:eastAsia="SimSun" w:hAnsi="Consolas" w:cs="Times New Roman"/>
      <w:kern w:val="0"/>
      <w:sz w:val="20"/>
      <w:szCs w:val="20"/>
      <w:lang w:val="fr-FR"/>
      <w14:ligatures w14:val="none"/>
    </w:rPr>
  </w:style>
  <w:style w:type="table" w:styleId="Grillemoyenne1">
    <w:name w:val="Medium Grid 1"/>
    <w:basedOn w:val="TableauNormal"/>
    <w:uiPriority w:val="67"/>
    <w:semiHidden/>
    <w:unhideWhenUsed/>
    <w:rsid w:val="00BE5C9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BE5C9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BE5C9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BE5C9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BE5C9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BE5C9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BE5C9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BE5C9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BE5C91"/>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BE5C91"/>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BE5C91"/>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BE5C91"/>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BE5C91"/>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BE5C91"/>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BE5C9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BE5C9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BE5C9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BE5C9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BE5C9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BE5C9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BE5C9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BE5C91"/>
    <w:rPr>
      <w:color w:val="2B579A"/>
      <w:shd w:val="clear" w:color="auto" w:fill="E1DFDD"/>
      <w:lang w:val="fr-FR"/>
    </w:rPr>
  </w:style>
  <w:style w:type="paragraph" w:styleId="En-ttedemessage">
    <w:name w:val="Message Header"/>
    <w:basedOn w:val="Normal"/>
    <w:link w:val="En-ttedemessageCar"/>
    <w:uiPriority w:val="99"/>
    <w:semiHidden/>
    <w:unhideWhenUsed/>
    <w:rsid w:val="00BE5C9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BE5C91"/>
    <w:rPr>
      <w:rFonts w:asciiTheme="majorHAnsi" w:eastAsiaTheme="majorEastAsia" w:hAnsiTheme="majorHAnsi" w:cstheme="majorBidi"/>
      <w:kern w:val="0"/>
      <w:sz w:val="24"/>
      <w:szCs w:val="24"/>
      <w:shd w:val="pct20" w:color="auto" w:fill="auto"/>
      <w:lang w:val="fr-FR"/>
      <w14:ligatures w14:val="none"/>
    </w:rPr>
  </w:style>
  <w:style w:type="paragraph" w:styleId="Sansinterligne">
    <w:name w:val="No Spacing"/>
    <w:uiPriority w:val="1"/>
    <w:qFormat/>
    <w:rsid w:val="00BE5C91"/>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Retraitnormal">
    <w:name w:val="Normal Indent"/>
    <w:basedOn w:val="Normal"/>
    <w:uiPriority w:val="99"/>
    <w:semiHidden/>
    <w:unhideWhenUsed/>
    <w:rsid w:val="00BE5C91"/>
    <w:pPr>
      <w:ind w:left="720"/>
    </w:pPr>
  </w:style>
  <w:style w:type="paragraph" w:styleId="Titredenote">
    <w:name w:val="Note Heading"/>
    <w:basedOn w:val="Normal"/>
    <w:next w:val="Normal"/>
    <w:link w:val="TitredenoteCar"/>
    <w:uiPriority w:val="99"/>
    <w:semiHidden/>
    <w:unhideWhenUsed/>
    <w:rsid w:val="00BE5C91"/>
  </w:style>
  <w:style w:type="character" w:customStyle="1" w:styleId="TitredenoteCar">
    <w:name w:val="Titre de note Car"/>
    <w:basedOn w:val="Policepardfaut"/>
    <w:link w:val="Titredenote"/>
    <w:uiPriority w:val="99"/>
    <w:semiHidden/>
    <w:rsid w:val="00BE5C91"/>
    <w:rPr>
      <w:rFonts w:ascii="Times New Roman" w:eastAsia="SimSun" w:hAnsi="Times New Roman" w:cs="Times New Roman"/>
      <w:kern w:val="0"/>
      <w:lang w:val="fr-FR"/>
      <w14:ligatures w14:val="none"/>
    </w:rPr>
  </w:style>
  <w:style w:type="table" w:customStyle="1" w:styleId="Tableausimple11">
    <w:name w:val="Tableau simple 11"/>
    <w:basedOn w:val="TableauNormal"/>
    <w:uiPriority w:val="41"/>
    <w:rsid w:val="00BE5C9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21">
    <w:name w:val="Tableau simple 21"/>
    <w:basedOn w:val="TableauNormal"/>
    <w:uiPriority w:val="42"/>
    <w:rsid w:val="00BE5C9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ausimple31">
    <w:name w:val="Tableau simple 31"/>
    <w:basedOn w:val="TableauNormal"/>
    <w:uiPriority w:val="43"/>
    <w:rsid w:val="00BE5C9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simple41">
    <w:name w:val="Tableau simple 41"/>
    <w:basedOn w:val="TableauNormal"/>
    <w:uiPriority w:val="44"/>
    <w:rsid w:val="00BE5C9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51">
    <w:name w:val="Tableau simple 51"/>
    <w:basedOn w:val="TableauNormal"/>
    <w:uiPriority w:val="45"/>
    <w:rsid w:val="00BE5C9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BE5C91"/>
    <w:rPr>
      <w:rFonts w:ascii="Consolas" w:hAnsi="Consolas"/>
      <w:sz w:val="21"/>
      <w:szCs w:val="21"/>
    </w:rPr>
  </w:style>
  <w:style w:type="character" w:customStyle="1" w:styleId="TextebrutCar">
    <w:name w:val="Texte brut Car"/>
    <w:basedOn w:val="Policepardfaut"/>
    <w:link w:val="Textebrut"/>
    <w:uiPriority w:val="99"/>
    <w:semiHidden/>
    <w:rsid w:val="00BE5C91"/>
    <w:rPr>
      <w:rFonts w:ascii="Consolas" w:eastAsia="SimSun" w:hAnsi="Consolas" w:cs="Times New Roman"/>
      <w:kern w:val="0"/>
      <w:sz w:val="21"/>
      <w:szCs w:val="21"/>
      <w:lang w:val="fr-FR"/>
      <w14:ligatures w14:val="none"/>
    </w:rPr>
  </w:style>
  <w:style w:type="paragraph" w:styleId="Citation">
    <w:name w:val="Quote"/>
    <w:basedOn w:val="Normal"/>
    <w:next w:val="Normal"/>
    <w:link w:val="CitationCar"/>
    <w:uiPriority w:val="29"/>
    <w:qFormat/>
    <w:rsid w:val="00BE5C9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BE5C91"/>
    <w:rPr>
      <w:rFonts w:ascii="Times New Roman" w:eastAsia="SimSun" w:hAnsi="Times New Roman" w:cs="Times New Roman"/>
      <w:i/>
      <w:iCs/>
      <w:color w:val="404040" w:themeColor="text1" w:themeTint="BF"/>
      <w:kern w:val="0"/>
      <w:lang w:val="fr-FR"/>
      <w14:ligatures w14:val="none"/>
    </w:rPr>
  </w:style>
  <w:style w:type="paragraph" w:styleId="Salutations">
    <w:name w:val="Salutation"/>
    <w:basedOn w:val="Normal"/>
    <w:next w:val="Normal"/>
    <w:link w:val="SalutationsCar"/>
    <w:uiPriority w:val="99"/>
    <w:semiHidden/>
    <w:unhideWhenUsed/>
    <w:rsid w:val="00BE5C91"/>
  </w:style>
  <w:style w:type="character" w:customStyle="1" w:styleId="SalutationsCar">
    <w:name w:val="Salutations Car"/>
    <w:basedOn w:val="Policepardfaut"/>
    <w:link w:val="Salutations"/>
    <w:uiPriority w:val="99"/>
    <w:semiHidden/>
    <w:rsid w:val="00BE5C91"/>
    <w:rPr>
      <w:rFonts w:ascii="Times New Roman" w:eastAsia="SimSun" w:hAnsi="Times New Roman" w:cs="Times New Roman"/>
      <w:kern w:val="0"/>
      <w:lang w:val="fr-FR"/>
      <w14:ligatures w14:val="none"/>
    </w:rPr>
  </w:style>
  <w:style w:type="paragraph" w:styleId="Signature">
    <w:name w:val="Signature"/>
    <w:basedOn w:val="Normal"/>
    <w:link w:val="SignatureCar"/>
    <w:uiPriority w:val="99"/>
    <w:semiHidden/>
    <w:unhideWhenUsed/>
    <w:rsid w:val="00BE5C91"/>
    <w:pPr>
      <w:ind w:left="4320"/>
    </w:pPr>
  </w:style>
  <w:style w:type="character" w:customStyle="1" w:styleId="SignatureCar">
    <w:name w:val="Signature Car"/>
    <w:basedOn w:val="Policepardfaut"/>
    <w:link w:val="Signature"/>
    <w:uiPriority w:val="99"/>
    <w:semiHidden/>
    <w:rsid w:val="00BE5C91"/>
    <w:rPr>
      <w:rFonts w:ascii="Times New Roman" w:eastAsia="SimSun" w:hAnsi="Times New Roman" w:cs="Times New Roman"/>
      <w:kern w:val="0"/>
      <w:lang w:val="fr-FR"/>
      <w14:ligatures w14:val="none"/>
    </w:rPr>
  </w:style>
  <w:style w:type="character" w:customStyle="1" w:styleId="SmartHyperlink1">
    <w:name w:val="Smart Hyperlink1"/>
    <w:basedOn w:val="Policepardfaut"/>
    <w:uiPriority w:val="99"/>
    <w:semiHidden/>
    <w:unhideWhenUsed/>
    <w:rsid w:val="00BE5C91"/>
    <w:rPr>
      <w:u w:val="dotted"/>
      <w:lang w:val="fr-FR"/>
    </w:rPr>
  </w:style>
  <w:style w:type="character" w:customStyle="1" w:styleId="SmartLink1">
    <w:name w:val="SmartLink1"/>
    <w:basedOn w:val="Policepardfaut"/>
    <w:uiPriority w:val="99"/>
    <w:semiHidden/>
    <w:unhideWhenUsed/>
    <w:rsid w:val="00BE5C91"/>
    <w:rPr>
      <w:color w:val="0000FF"/>
      <w:u w:val="single"/>
      <w:shd w:val="clear" w:color="auto" w:fill="F3F2F1"/>
      <w:lang w:val="fr-FR"/>
    </w:rPr>
  </w:style>
  <w:style w:type="character" w:styleId="lev">
    <w:name w:val="Strong"/>
    <w:basedOn w:val="Policepardfaut"/>
    <w:uiPriority w:val="22"/>
    <w:qFormat/>
    <w:rsid w:val="00BE5C91"/>
    <w:rPr>
      <w:b/>
      <w:bCs/>
      <w:lang w:val="fr-FR"/>
    </w:rPr>
  </w:style>
  <w:style w:type="character" w:styleId="Accentuationlgre">
    <w:name w:val="Subtle Emphasis"/>
    <w:basedOn w:val="Policepardfaut"/>
    <w:uiPriority w:val="19"/>
    <w:qFormat/>
    <w:rsid w:val="00BE5C91"/>
    <w:rPr>
      <w:i/>
      <w:iCs/>
      <w:color w:val="404040" w:themeColor="text1" w:themeTint="BF"/>
      <w:lang w:val="fr-FR"/>
    </w:rPr>
  </w:style>
  <w:style w:type="character" w:styleId="Rfrencelgre">
    <w:name w:val="Subtle Reference"/>
    <w:basedOn w:val="Policepardfaut"/>
    <w:uiPriority w:val="31"/>
    <w:qFormat/>
    <w:rsid w:val="00BE5C91"/>
    <w:rPr>
      <w:smallCaps/>
      <w:color w:val="5A5A5A" w:themeColor="text1" w:themeTint="A5"/>
      <w:lang w:val="fr-FR"/>
    </w:rPr>
  </w:style>
  <w:style w:type="table" w:styleId="Effetsdetableau3D1">
    <w:name w:val="Table 3D effects 1"/>
    <w:basedOn w:val="TableauNormal"/>
    <w:uiPriority w:val="99"/>
    <w:semiHidden/>
    <w:unhideWhenUsed/>
    <w:rsid w:val="00BE5C91"/>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BE5C91"/>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BE5C91"/>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BE5C91"/>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BE5C91"/>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BE5C91"/>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BE5C91"/>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BE5C91"/>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BE5C91"/>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BE5C91"/>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BE5C91"/>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lledetableauclaire1">
    <w:name w:val="Grille de tableau claire1"/>
    <w:basedOn w:val="TableauNormal"/>
    <w:uiPriority w:val="40"/>
    <w:rsid w:val="00BE5C9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BE5C91"/>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BE5C9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BE5C9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BE5C91"/>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BE5C91"/>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BE5C91"/>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BE5C91"/>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BE5C91"/>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BE5C91"/>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BE5C91"/>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uiPriority w:val="39"/>
    <w:semiHidden/>
    <w:unhideWhenUsed/>
    <w:rsid w:val="00BE5C91"/>
    <w:pPr>
      <w:tabs>
        <w:tab w:val="clear" w:pos="567"/>
        <w:tab w:val="clear" w:pos="1134"/>
        <w:tab w:val="clear" w:pos="1701"/>
        <w:tab w:val="clear" w:pos="2268"/>
      </w:tabs>
      <w:spacing w:after="100"/>
    </w:pPr>
  </w:style>
  <w:style w:type="paragraph" w:styleId="TM2">
    <w:name w:val="toc 2"/>
    <w:basedOn w:val="Normal"/>
    <w:next w:val="Normal"/>
    <w:autoRedefine/>
    <w:uiPriority w:val="39"/>
    <w:semiHidden/>
    <w:unhideWhenUsed/>
    <w:rsid w:val="00BE5C91"/>
    <w:pPr>
      <w:tabs>
        <w:tab w:val="clear" w:pos="567"/>
        <w:tab w:val="clear" w:pos="1134"/>
        <w:tab w:val="clear" w:pos="1701"/>
        <w:tab w:val="clear" w:pos="2268"/>
      </w:tabs>
      <w:spacing w:after="100"/>
      <w:ind w:left="220"/>
    </w:pPr>
  </w:style>
  <w:style w:type="paragraph" w:styleId="TM3">
    <w:name w:val="toc 3"/>
    <w:basedOn w:val="Normal"/>
    <w:next w:val="Normal"/>
    <w:autoRedefine/>
    <w:uiPriority w:val="39"/>
    <w:semiHidden/>
    <w:unhideWhenUsed/>
    <w:rsid w:val="00BE5C91"/>
    <w:pPr>
      <w:tabs>
        <w:tab w:val="clear" w:pos="567"/>
        <w:tab w:val="clear" w:pos="1134"/>
        <w:tab w:val="clear" w:pos="1701"/>
        <w:tab w:val="clear" w:pos="2268"/>
      </w:tabs>
      <w:spacing w:after="100"/>
      <w:ind w:left="440"/>
    </w:pPr>
  </w:style>
  <w:style w:type="paragraph" w:styleId="TM4">
    <w:name w:val="toc 4"/>
    <w:basedOn w:val="Normal"/>
    <w:next w:val="Normal"/>
    <w:autoRedefine/>
    <w:uiPriority w:val="39"/>
    <w:semiHidden/>
    <w:unhideWhenUsed/>
    <w:rsid w:val="00BE5C91"/>
    <w:pPr>
      <w:tabs>
        <w:tab w:val="clear" w:pos="567"/>
        <w:tab w:val="clear" w:pos="1134"/>
        <w:tab w:val="clear" w:pos="1701"/>
        <w:tab w:val="clear" w:pos="2268"/>
      </w:tabs>
      <w:spacing w:after="100"/>
      <w:ind w:left="660"/>
    </w:pPr>
  </w:style>
  <w:style w:type="paragraph" w:styleId="TM5">
    <w:name w:val="toc 5"/>
    <w:basedOn w:val="Normal"/>
    <w:next w:val="Normal"/>
    <w:autoRedefine/>
    <w:uiPriority w:val="39"/>
    <w:semiHidden/>
    <w:unhideWhenUsed/>
    <w:rsid w:val="00BE5C91"/>
    <w:pPr>
      <w:tabs>
        <w:tab w:val="clear" w:pos="567"/>
        <w:tab w:val="clear" w:pos="1134"/>
        <w:tab w:val="clear" w:pos="1701"/>
        <w:tab w:val="clear" w:pos="2268"/>
      </w:tabs>
      <w:spacing w:after="100"/>
      <w:ind w:left="880"/>
    </w:pPr>
  </w:style>
  <w:style w:type="paragraph" w:styleId="TM6">
    <w:name w:val="toc 6"/>
    <w:basedOn w:val="Normal"/>
    <w:next w:val="Normal"/>
    <w:autoRedefine/>
    <w:uiPriority w:val="39"/>
    <w:semiHidden/>
    <w:unhideWhenUsed/>
    <w:rsid w:val="00BE5C91"/>
    <w:pPr>
      <w:tabs>
        <w:tab w:val="clear" w:pos="567"/>
        <w:tab w:val="clear" w:pos="1134"/>
        <w:tab w:val="clear" w:pos="1701"/>
        <w:tab w:val="clear" w:pos="2268"/>
      </w:tabs>
      <w:spacing w:after="100"/>
      <w:ind w:left="1100"/>
    </w:pPr>
  </w:style>
  <w:style w:type="paragraph" w:styleId="TM7">
    <w:name w:val="toc 7"/>
    <w:basedOn w:val="Normal"/>
    <w:next w:val="Normal"/>
    <w:autoRedefine/>
    <w:uiPriority w:val="39"/>
    <w:semiHidden/>
    <w:unhideWhenUsed/>
    <w:rsid w:val="00BE5C91"/>
    <w:pPr>
      <w:tabs>
        <w:tab w:val="clear" w:pos="567"/>
        <w:tab w:val="clear" w:pos="1134"/>
        <w:tab w:val="clear" w:pos="1701"/>
        <w:tab w:val="clear" w:pos="2268"/>
      </w:tabs>
      <w:spacing w:after="100"/>
      <w:ind w:left="1320"/>
    </w:pPr>
  </w:style>
  <w:style w:type="paragraph" w:styleId="TM8">
    <w:name w:val="toc 8"/>
    <w:basedOn w:val="Normal"/>
    <w:next w:val="Normal"/>
    <w:autoRedefine/>
    <w:uiPriority w:val="39"/>
    <w:semiHidden/>
    <w:unhideWhenUsed/>
    <w:rsid w:val="00BE5C91"/>
    <w:pPr>
      <w:tabs>
        <w:tab w:val="clear" w:pos="567"/>
        <w:tab w:val="clear" w:pos="1134"/>
        <w:tab w:val="clear" w:pos="1701"/>
        <w:tab w:val="clear" w:pos="2268"/>
      </w:tabs>
      <w:spacing w:after="100"/>
      <w:ind w:left="1540"/>
    </w:pPr>
  </w:style>
  <w:style w:type="paragraph" w:styleId="TM9">
    <w:name w:val="toc 9"/>
    <w:basedOn w:val="Normal"/>
    <w:next w:val="Normal"/>
    <w:autoRedefine/>
    <w:uiPriority w:val="39"/>
    <w:semiHidden/>
    <w:unhideWhenUsed/>
    <w:rsid w:val="00BE5C91"/>
    <w:pPr>
      <w:tabs>
        <w:tab w:val="clear" w:pos="567"/>
        <w:tab w:val="clear" w:pos="1134"/>
        <w:tab w:val="clear" w:pos="1701"/>
        <w:tab w:val="clear" w:pos="2268"/>
      </w:tabs>
      <w:spacing w:after="100"/>
      <w:ind w:left="1760"/>
    </w:pPr>
  </w:style>
  <w:style w:type="paragraph" w:styleId="En-ttedetabledesmatires">
    <w:name w:val="TOC Heading"/>
    <w:basedOn w:val="Titre1"/>
    <w:next w:val="Normal"/>
    <w:uiPriority w:val="39"/>
    <w:semiHidden/>
    <w:unhideWhenUsed/>
    <w:qFormat/>
    <w:rsid w:val="00BE5C91"/>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2">
    <w:name w:val="Para2"/>
    <w:basedOn w:val="Normal"/>
    <w:rsid w:val="00CD0549"/>
    <w:pPr>
      <w:numPr>
        <w:numId w:val="63"/>
      </w:numPr>
      <w:tabs>
        <w:tab w:val="clear" w:pos="567"/>
        <w:tab w:val="clear" w:pos="1134"/>
        <w:tab w:val="clear" w:pos="1701"/>
        <w:tab w:val="clear" w:pos="2268"/>
      </w:tabs>
      <w:autoSpaceDE w:val="0"/>
      <w:autoSpaceDN w:val="0"/>
      <w:spacing w:before="120" w:after="120"/>
    </w:pPr>
    <w:rPr>
      <w:rFonts w:eastAsia="Times New Roman"/>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04C32E-EB09-406F-98CB-8603B40999CC}">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Template>
  <TotalTime>20</TotalTime>
  <Pages>11</Pages>
  <Words>4807</Words>
  <Characters>26442</Characters>
  <Application>Microsoft Office Word</Application>
  <DocSecurity>0</DocSecurity>
  <Lines>220</Lines>
  <Paragraphs>62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Projet de procès-verbal de la réunion</vt:lpstr>
      <vt:lpstr>Projet de procès-verbal de la réunion</vt:lpstr>
    </vt:vector>
  </TitlesOfParts>
  <Company/>
  <LinksUpToDate>false</LinksUpToDate>
  <CharactersWithSpaces>31187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procès-verbal de la réunion</dc:title>
  <dc:subject>CBD/COP/16/L.1</dc:subject>
  <dc:creator>veronique.lefebvre</dc:creator>
  <cp:lastModifiedBy>Carl Lavoie</cp:lastModifiedBy>
  <cp:revision>24</cp:revision>
  <cp:lastPrinted>2024-08-29T17:35:00Z</cp:lastPrinted>
  <dcterms:created xsi:type="dcterms:W3CDTF">2024-11-01T22:41:00Z</dcterms:created>
  <dcterms:modified xsi:type="dcterms:W3CDTF">2024-11-01T23:02:00Z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Generator">
    <vt:lpwstr>0</vt:lpwstr>
  </property>
  <property fmtid="{D5CDD505-2E9C-101B-9397-08002B2CF9AE}" pid="4" name="CBD-Language">
    <vt:lpwstr>EN</vt:lpwstr>
  </property>
  <property fmtid="{D5CDD505-2E9C-101B-9397-08002B2CF9AE}" pid="5" name="ContentTypeId">
    <vt:lpwstr>0x01010069BFACF6D92CD24AA50050CE23F68F74</vt:lpwstr>
  </property>
  <property fmtid="{D5CDD505-2E9C-101B-9397-08002B2CF9AE}" pid="6" name="MediaServiceImageTags">
    <vt:lpwstr/>
  </property>
</Properties>
</file>