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bottom w:val="single" w:sz="30" w:space="0" w:color="000000"/>
        </w:tblBorders>
        <w:tblLayout w:type="fixed"/>
        <w:tblLook w:val="0000" w:firstRow="0" w:lastRow="0" w:firstColumn="0" w:lastColumn="0" w:noHBand="0" w:noVBand="0"/>
      </w:tblPr>
      <w:tblGrid>
        <w:gridCol w:w="17"/>
        <w:gridCol w:w="1225"/>
        <w:gridCol w:w="1385"/>
        <w:gridCol w:w="2611"/>
        <w:gridCol w:w="1107"/>
        <w:gridCol w:w="3402"/>
      </w:tblGrid>
      <w:tr w:rsidR="00304E68" w14:paraId="552A1A5E" w14:textId="77777777" w:rsidTr="004F5CFD">
        <w:trPr>
          <w:gridBefore w:val="1"/>
          <w:wBefore w:w="17" w:type="dxa"/>
          <w:trHeight w:val="851"/>
        </w:trPr>
        <w:tc>
          <w:tcPr>
            <w:tcW w:w="1225" w:type="dxa"/>
            <w:tcBorders>
              <w:bottom w:val="single" w:sz="12" w:space="0" w:color="000000"/>
            </w:tcBorders>
          </w:tcPr>
          <w:p w14:paraId="5FE6F758" w14:textId="77777777" w:rsidR="00304E68" w:rsidRDefault="00626923" w:rsidP="00304E68">
            <w:pPr>
              <w:pStyle w:val="Header"/>
              <w:rPr>
                <w:noProof/>
              </w:rPr>
            </w:pPr>
            <w:r w:rsidRPr="00304E68">
              <w:rPr>
                <w:noProof/>
                <w:lang w:val="en-CA" w:eastAsia="en-CA"/>
              </w:rPr>
              <w:drawing>
                <wp:inline distT="0" distB="0" distL="0" distR="0" wp14:anchorId="353E1C1A" wp14:editId="2AC8DD33">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385" w:type="dxa"/>
            <w:tcBorders>
              <w:bottom w:val="single" w:sz="12" w:space="0" w:color="000000"/>
            </w:tcBorders>
          </w:tcPr>
          <w:p w14:paraId="3AABD1CF" w14:textId="77777777" w:rsidR="00304E68" w:rsidRDefault="00626923" w:rsidP="00800370">
            <w:pPr>
              <w:rPr>
                <w:noProof/>
              </w:rPr>
            </w:pPr>
            <w:r w:rsidRPr="00304E68">
              <w:rPr>
                <w:noProof/>
                <w:lang w:val="en-CA" w:eastAsia="en-CA"/>
              </w:rPr>
              <w:drawing>
                <wp:inline distT="0" distB="0" distL="0" distR="0" wp14:anchorId="76DAB980" wp14:editId="400B6ABF">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120" w:type="dxa"/>
            <w:gridSpan w:val="3"/>
            <w:tcBorders>
              <w:bottom w:val="single" w:sz="12" w:space="0" w:color="000000"/>
            </w:tcBorders>
          </w:tcPr>
          <w:p w14:paraId="6C9CC478" w14:textId="77777777" w:rsidR="00304E68" w:rsidRPr="00C9161D" w:rsidRDefault="00304E68" w:rsidP="00800370">
            <w:pPr>
              <w:jc w:val="right"/>
              <w:rPr>
                <w:rFonts w:ascii="Arial" w:hAnsi="Arial" w:cs="Arial"/>
                <w:b/>
                <w:sz w:val="32"/>
                <w:szCs w:val="32"/>
              </w:rPr>
            </w:pPr>
            <w:r w:rsidRPr="00C9161D">
              <w:rPr>
                <w:rFonts w:ascii="Arial" w:hAnsi="Arial" w:cs="Arial"/>
                <w:b/>
                <w:sz w:val="32"/>
                <w:szCs w:val="32"/>
              </w:rPr>
              <w:t>CBD</w:t>
            </w:r>
          </w:p>
        </w:tc>
      </w:tr>
      <w:tr w:rsidR="008B242F" w:rsidRPr="00921126" w14:paraId="52345044" w14:textId="77777777" w:rsidTr="006C4497">
        <w:trPr>
          <w:trHeight w:val="1925"/>
        </w:trPr>
        <w:tc>
          <w:tcPr>
            <w:tcW w:w="5238" w:type="dxa"/>
            <w:gridSpan w:val="4"/>
          </w:tcPr>
          <w:p w14:paraId="4B425BD8" w14:textId="77777777" w:rsidR="008B242F" w:rsidRPr="00921126" w:rsidRDefault="00626923" w:rsidP="00106AD2">
            <w:pPr>
              <w:jc w:val="left"/>
              <w:rPr>
                <w:rFonts w:cs="Times New Roman"/>
              </w:rPr>
            </w:pPr>
            <w:r w:rsidRPr="00F2607E">
              <w:rPr>
                <w:rFonts w:cs="Times New Roman"/>
                <w:noProof/>
                <w:szCs w:val="22"/>
                <w:lang w:val="en-CA" w:eastAsia="en-CA"/>
              </w:rPr>
              <w:drawing>
                <wp:inline distT="0" distB="0" distL="0" distR="0" wp14:anchorId="110AF5FC" wp14:editId="6C8B7ACB">
                  <wp:extent cx="2838450" cy="1076325"/>
                  <wp:effectExtent l="0" t="0" r="0" b="0"/>
                  <wp:docPr id="3"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107" w:type="dxa"/>
          </w:tcPr>
          <w:p w14:paraId="4BCA4330" w14:textId="77777777" w:rsidR="008B242F" w:rsidRPr="00196756" w:rsidRDefault="008B242F" w:rsidP="00106AD2">
            <w:pPr>
              <w:rPr>
                <w:rFonts w:cs="Times New Roman"/>
              </w:rPr>
            </w:pPr>
          </w:p>
        </w:tc>
        <w:tc>
          <w:tcPr>
            <w:tcW w:w="3402" w:type="dxa"/>
          </w:tcPr>
          <w:p w14:paraId="29805A7C" w14:textId="77777777" w:rsidR="008B242F" w:rsidRPr="00196756" w:rsidRDefault="008B242F" w:rsidP="00063EBC">
            <w:pPr>
              <w:ind w:left="780"/>
              <w:rPr>
                <w:rFonts w:cs="Times New Roman"/>
              </w:rPr>
            </w:pPr>
            <w:r w:rsidRPr="00196756">
              <w:rPr>
                <w:rFonts w:cs="Times New Roman"/>
                <w:szCs w:val="22"/>
              </w:rPr>
              <w:t>Distr.</w:t>
            </w:r>
          </w:p>
          <w:p w14:paraId="3C1C1CEA" w14:textId="77777777" w:rsidR="008B242F" w:rsidRPr="00196756" w:rsidRDefault="008B242F" w:rsidP="00063EBC">
            <w:pPr>
              <w:ind w:left="780"/>
              <w:rPr>
                <w:rFonts w:cs="Times New Roman"/>
              </w:rPr>
            </w:pPr>
            <w:r w:rsidRPr="00196756">
              <w:rPr>
                <w:rFonts w:cs="Times New Roman"/>
                <w:szCs w:val="22"/>
              </w:rPr>
              <w:t>GENERAL</w:t>
            </w:r>
          </w:p>
          <w:p w14:paraId="1D8E1CFE" w14:textId="77777777" w:rsidR="008B242F" w:rsidRPr="00196756" w:rsidRDefault="008B242F" w:rsidP="00063EBC">
            <w:pPr>
              <w:ind w:left="780"/>
              <w:rPr>
                <w:rFonts w:cs="Times New Roman"/>
              </w:rPr>
            </w:pPr>
          </w:p>
          <w:p w14:paraId="6FFB09E6" w14:textId="77777777" w:rsidR="00997869" w:rsidRPr="00C9161D" w:rsidRDefault="00BC25BD" w:rsidP="00063EBC">
            <w:pPr>
              <w:ind w:left="780"/>
              <w:rPr>
                <w:szCs w:val="22"/>
              </w:rPr>
            </w:pPr>
            <w:sdt>
              <w:sdtPr>
                <w:rPr>
                  <w:lang w:val="en-US"/>
                </w:rPr>
                <w:alias w:val="Subject"/>
                <w:tag w:val=""/>
                <w:id w:val="2137136483"/>
                <w:placeholder>
                  <w:docPart w:val="D94D470887864B1E923638BACF0B1522"/>
                </w:placeholder>
                <w:dataBinding w:prefixMappings="xmlns:ns0='http://purl.org/dc/elements/1.1/' xmlns:ns1='http://schemas.openxmlformats.org/package/2006/metadata/core-properties' " w:xpath="/ns1:coreProperties[1]/ns0:subject[1]" w:storeItemID="{6C3C8BC8-F283-45AE-878A-BAB7291924A1}"/>
                <w:text/>
              </w:sdtPr>
              <w:sdtEndPr/>
              <w:sdtContent>
                <w:r w:rsidR="00E21C28" w:rsidRPr="00063EBC">
                  <w:rPr>
                    <w:lang w:val="en-US"/>
                  </w:rPr>
                  <w:t>CBD/COP/14/INF/</w:t>
                </w:r>
                <w:r w:rsidR="00063EBC" w:rsidRPr="00063EBC">
                  <w:rPr>
                    <w:lang w:val="en-US"/>
                  </w:rPr>
                  <w:t>40</w:t>
                </w:r>
              </w:sdtContent>
            </w:sdt>
          </w:p>
          <w:p w14:paraId="0CB79D4A" w14:textId="77777777" w:rsidR="008B242F" w:rsidRPr="00EF425F" w:rsidRDefault="00E21C28" w:rsidP="00063EBC">
            <w:pPr>
              <w:ind w:left="780"/>
              <w:rPr>
                <w:rFonts w:cs="Times New Roman"/>
                <w:color w:val="000000"/>
              </w:rPr>
            </w:pPr>
            <w:r>
              <w:rPr>
                <w:rFonts w:cs="Times New Roman"/>
                <w:color w:val="000000"/>
                <w:szCs w:val="22"/>
              </w:rPr>
              <w:t>12</w:t>
            </w:r>
            <w:r w:rsidR="002605DA" w:rsidRPr="00EF425F">
              <w:rPr>
                <w:rFonts w:cs="Times New Roman"/>
                <w:color w:val="000000"/>
                <w:szCs w:val="22"/>
              </w:rPr>
              <w:t xml:space="preserve"> </w:t>
            </w:r>
            <w:r>
              <w:rPr>
                <w:rFonts w:cs="Times New Roman"/>
                <w:color w:val="000000"/>
                <w:szCs w:val="22"/>
              </w:rPr>
              <w:t>November</w:t>
            </w:r>
            <w:r w:rsidR="00F2607E" w:rsidRPr="00EF425F">
              <w:rPr>
                <w:rFonts w:cs="Times New Roman"/>
                <w:color w:val="000000"/>
                <w:szCs w:val="22"/>
              </w:rPr>
              <w:t xml:space="preserve"> </w:t>
            </w:r>
            <w:r w:rsidR="008B242F" w:rsidRPr="00EF425F">
              <w:rPr>
                <w:rFonts w:cs="Times New Roman"/>
                <w:color w:val="000000"/>
                <w:szCs w:val="22"/>
              </w:rPr>
              <w:t>201</w:t>
            </w:r>
            <w:r w:rsidR="002605DA" w:rsidRPr="00EF425F">
              <w:rPr>
                <w:rFonts w:cs="Times New Roman"/>
                <w:color w:val="000000"/>
                <w:szCs w:val="22"/>
              </w:rPr>
              <w:t>8</w:t>
            </w:r>
          </w:p>
          <w:p w14:paraId="7B19E689" w14:textId="77777777" w:rsidR="008B242F" w:rsidRPr="00861287" w:rsidRDefault="008B242F" w:rsidP="00063EBC">
            <w:pPr>
              <w:ind w:left="780"/>
              <w:rPr>
                <w:rFonts w:cs="Times New Roman"/>
              </w:rPr>
            </w:pPr>
          </w:p>
          <w:p w14:paraId="2BAE20FD" w14:textId="77777777" w:rsidR="008B242F" w:rsidRPr="00861287" w:rsidRDefault="008B242F" w:rsidP="00063EBC">
            <w:pPr>
              <w:ind w:left="780"/>
              <w:rPr>
                <w:rFonts w:cs="Times New Roman"/>
              </w:rPr>
            </w:pPr>
            <w:r w:rsidRPr="00861287">
              <w:rPr>
                <w:rFonts w:cs="Times New Roman"/>
                <w:szCs w:val="22"/>
              </w:rPr>
              <w:t>ENGLISH</w:t>
            </w:r>
            <w:r w:rsidR="00B26912" w:rsidRPr="00861287">
              <w:rPr>
                <w:rFonts w:cs="Times New Roman"/>
                <w:szCs w:val="22"/>
              </w:rPr>
              <w:t xml:space="preserve"> ONLY</w:t>
            </w:r>
            <w:r w:rsidR="00B64E52" w:rsidRPr="00861287">
              <w:rPr>
                <w:rFonts w:cs="Times New Roman"/>
                <w:szCs w:val="22"/>
              </w:rPr>
              <w:t xml:space="preserve"> </w:t>
            </w:r>
          </w:p>
        </w:tc>
      </w:tr>
    </w:tbl>
    <w:p w14:paraId="3BF8300C" w14:textId="77777777" w:rsidR="008B242F" w:rsidRDefault="002605DA" w:rsidP="0011516C">
      <w:pPr>
        <w:pStyle w:val="Cornernotation"/>
        <w:ind w:right="4115"/>
        <w:rPr>
          <w:rFonts w:cs="Times New Roman"/>
          <w:szCs w:val="22"/>
        </w:rPr>
      </w:pPr>
      <w:r w:rsidRPr="00F02A52">
        <w:rPr>
          <w:rFonts w:cs="Times New Roman"/>
          <w:szCs w:val="22"/>
        </w:rPr>
        <w:t>CONFERENCE OF THE PARTIES TO THE</w:t>
      </w:r>
      <w:r w:rsidR="008B242F" w:rsidRPr="00F02A52">
        <w:rPr>
          <w:rFonts w:cs="Times New Roman"/>
          <w:szCs w:val="22"/>
        </w:rPr>
        <w:t xml:space="preserve"> CONVENTION ON BIOLOGICAL DIVERSITY</w:t>
      </w:r>
    </w:p>
    <w:p w14:paraId="3B58130D" w14:textId="77777777" w:rsidR="008B242F" w:rsidRPr="00F02A52" w:rsidRDefault="002605DA" w:rsidP="0011516C">
      <w:pPr>
        <w:pStyle w:val="Cornernotation"/>
        <w:ind w:right="4115"/>
        <w:rPr>
          <w:rFonts w:cs="Times New Roman"/>
          <w:color w:val="000000"/>
          <w:szCs w:val="22"/>
        </w:rPr>
      </w:pPr>
      <w:r w:rsidRPr="00F02A52">
        <w:rPr>
          <w:rFonts w:cs="Times New Roman"/>
          <w:color w:val="000000"/>
          <w:szCs w:val="22"/>
        </w:rPr>
        <w:t>Fourteen</w:t>
      </w:r>
      <w:r w:rsidR="008B242F" w:rsidRPr="00F02A52">
        <w:rPr>
          <w:rFonts w:cs="Times New Roman"/>
          <w:color w:val="000000"/>
          <w:szCs w:val="22"/>
        </w:rPr>
        <w:t>th meeting</w:t>
      </w:r>
      <w:bookmarkStart w:id="0" w:name="_GoBack"/>
      <w:bookmarkEnd w:id="0"/>
    </w:p>
    <w:p w14:paraId="3CDFB9A2" w14:textId="77777777" w:rsidR="008B242F" w:rsidRPr="00F02A52" w:rsidRDefault="008B242F" w:rsidP="008B242F">
      <w:pPr>
        <w:tabs>
          <w:tab w:val="left" w:pos="0"/>
        </w:tabs>
        <w:jc w:val="left"/>
        <w:rPr>
          <w:rFonts w:cs="Times New Roman"/>
          <w:szCs w:val="22"/>
        </w:rPr>
      </w:pPr>
      <w:r w:rsidRPr="00F02A52">
        <w:rPr>
          <w:rFonts w:cs="Times New Roman"/>
          <w:szCs w:val="22"/>
        </w:rPr>
        <w:t>Item</w:t>
      </w:r>
      <w:r w:rsidR="00106AD2" w:rsidRPr="00F02A52">
        <w:rPr>
          <w:rFonts w:cs="Times New Roman"/>
          <w:szCs w:val="22"/>
        </w:rPr>
        <w:t xml:space="preserve"> </w:t>
      </w:r>
      <w:r w:rsidR="00404373">
        <w:rPr>
          <w:rFonts w:cs="Times New Roman"/>
          <w:szCs w:val="22"/>
        </w:rPr>
        <w:t>17</w:t>
      </w:r>
      <w:r w:rsidR="00BF278B" w:rsidRPr="00F02A52">
        <w:rPr>
          <w:rFonts w:cs="Times New Roman"/>
          <w:szCs w:val="22"/>
        </w:rPr>
        <w:t xml:space="preserve"> </w:t>
      </w:r>
      <w:r w:rsidRPr="00F02A52">
        <w:rPr>
          <w:rFonts w:cs="Times New Roman"/>
          <w:szCs w:val="22"/>
        </w:rPr>
        <w:t>of the provisional agenda</w:t>
      </w:r>
      <w:r w:rsidR="00B64E52" w:rsidRPr="004F5CFD">
        <w:rPr>
          <w:rStyle w:val="FootnoteReference"/>
          <w:rFonts w:cs="Times New Roman"/>
          <w:sz w:val="22"/>
          <w:szCs w:val="22"/>
          <w:u w:val="none"/>
          <w:vertAlign w:val="superscript"/>
        </w:rPr>
        <w:footnoteReference w:customMarkFollows="1" w:id="1"/>
        <w:t>*</w:t>
      </w:r>
    </w:p>
    <w:p w14:paraId="6DE14282" w14:textId="77777777" w:rsidR="008B242F" w:rsidRPr="00045D4E" w:rsidRDefault="002605DA" w:rsidP="008B242F">
      <w:pPr>
        <w:pStyle w:val="Cornernotation"/>
        <w:ind w:left="0" w:firstLine="0"/>
        <w:jc w:val="both"/>
        <w:rPr>
          <w:rFonts w:cs="Times New Roman"/>
          <w:color w:val="000000"/>
          <w:szCs w:val="22"/>
        </w:rPr>
      </w:pPr>
      <w:r w:rsidRPr="00707F1C">
        <w:rPr>
          <w:rFonts w:cs="Times New Roman"/>
          <w:color w:val="000000"/>
          <w:szCs w:val="22"/>
        </w:rPr>
        <w:t xml:space="preserve">Sharm </w:t>
      </w:r>
      <w:r w:rsidRPr="009C7811">
        <w:rPr>
          <w:rFonts w:cs="Times New Roman"/>
          <w:color w:val="000000"/>
          <w:szCs w:val="22"/>
        </w:rPr>
        <w:t>El-Sheikh,</w:t>
      </w:r>
      <w:r w:rsidRPr="00F02A52">
        <w:rPr>
          <w:rFonts w:cs="Times New Roman"/>
          <w:color w:val="000000"/>
          <w:szCs w:val="22"/>
        </w:rPr>
        <w:t xml:space="preserve"> Egypt, 17-</w:t>
      </w:r>
      <w:r w:rsidR="00B26912">
        <w:rPr>
          <w:rFonts w:cs="Times New Roman"/>
          <w:color w:val="000000"/>
          <w:szCs w:val="22"/>
        </w:rPr>
        <w:t>2</w:t>
      </w:r>
      <w:r w:rsidRPr="00F02A52">
        <w:rPr>
          <w:rFonts w:cs="Times New Roman"/>
          <w:color w:val="000000"/>
          <w:szCs w:val="22"/>
        </w:rPr>
        <w:t>9 November 2018</w:t>
      </w:r>
    </w:p>
    <w:sdt>
      <w:sdtPr>
        <w:rPr>
          <w:rFonts w:cs="Times New Roman"/>
          <w:b/>
          <w:szCs w:val="22"/>
          <w:lang w:val="en-US"/>
        </w:rPr>
        <w:alias w:val="Title"/>
        <w:tag w:val=""/>
        <w:id w:val="129287645"/>
        <w:placeholder>
          <w:docPart w:val="1D396D7671564138B3F6B8720D78EA3F"/>
        </w:placeholder>
        <w:dataBinding w:prefixMappings="xmlns:ns0='http://purl.org/dc/elements/1.1/' xmlns:ns1='http://schemas.openxmlformats.org/package/2006/metadata/core-properties' " w:xpath="/ns1:coreProperties[1]/ns0:title[1]" w:storeItemID="{6C3C8BC8-F283-45AE-878A-BAB7291924A1}"/>
        <w:text/>
      </w:sdtPr>
      <w:sdtEndPr/>
      <w:sdtContent>
        <w:p w14:paraId="75C15A14" w14:textId="77777777" w:rsidR="007D2038" w:rsidRPr="007D2038" w:rsidRDefault="00404373" w:rsidP="007D2038">
          <w:pPr>
            <w:keepNext/>
            <w:keepLines/>
            <w:spacing w:before="240" w:after="120"/>
            <w:jc w:val="center"/>
            <w:rPr>
              <w:rFonts w:cs="Times New Roman"/>
              <w:b/>
              <w:szCs w:val="22"/>
            </w:rPr>
          </w:pPr>
          <w:r w:rsidRPr="00404373">
            <w:rPr>
              <w:rFonts w:cs="Times New Roman"/>
              <w:b/>
              <w:szCs w:val="22"/>
              <w:lang w:val="en-US"/>
            </w:rPr>
            <w:t>DEVELOPING INDICATORS FOR THE POST-2020 GLOBAL BIODIVERSITY FRAMEWORK: LESSONS FROM THE BIODIVERSITY INDICATORS PARTNERSHIP</w:t>
          </w:r>
        </w:p>
      </w:sdtContent>
    </w:sdt>
    <w:p w14:paraId="15A99DFD" w14:textId="77777777" w:rsidR="008B242F" w:rsidRPr="00045D4E" w:rsidRDefault="008B242F" w:rsidP="00B26912">
      <w:pPr>
        <w:spacing w:before="120" w:after="120"/>
        <w:ind w:left="720" w:hanging="720"/>
        <w:jc w:val="center"/>
        <w:rPr>
          <w:rFonts w:cs="Times New Roman"/>
          <w:i/>
          <w:szCs w:val="22"/>
        </w:rPr>
      </w:pPr>
      <w:r w:rsidRPr="00045D4E">
        <w:rPr>
          <w:rFonts w:cs="Times New Roman"/>
          <w:i/>
          <w:szCs w:val="22"/>
        </w:rPr>
        <w:t>Note by the Executive Secretary</w:t>
      </w:r>
    </w:p>
    <w:p w14:paraId="271EBBF8" w14:textId="77777777" w:rsidR="00BE77C1" w:rsidRPr="00045D4E" w:rsidRDefault="003E518B" w:rsidP="003E518B">
      <w:pPr>
        <w:pStyle w:val="Heading1"/>
        <w:numPr>
          <w:ilvl w:val="0"/>
          <w:numId w:val="38"/>
        </w:numPr>
        <w:rPr>
          <w:rFonts w:cs="Times New Roman"/>
          <w:szCs w:val="22"/>
        </w:rPr>
      </w:pPr>
      <w:r>
        <w:rPr>
          <w:rFonts w:cs="Times New Roman"/>
          <w:szCs w:val="22"/>
        </w:rPr>
        <w:t>Background</w:t>
      </w:r>
    </w:p>
    <w:p w14:paraId="611DD064" w14:textId="77777777" w:rsidR="00E21C28" w:rsidRPr="00E21C28" w:rsidRDefault="00404373" w:rsidP="003E518B">
      <w:pPr>
        <w:numPr>
          <w:ilvl w:val="0"/>
          <w:numId w:val="1"/>
        </w:numPr>
        <w:spacing w:before="120" w:after="120"/>
        <w:ind w:left="0" w:firstLine="0"/>
        <w:rPr>
          <w:rFonts w:cs="Times New Roman"/>
          <w:bCs/>
          <w:iCs/>
          <w:szCs w:val="22"/>
          <w:lang w:val="en-US"/>
        </w:rPr>
      </w:pPr>
      <w:r>
        <w:t xml:space="preserve">In decision XIII/28 the Conference of the Parties </w:t>
      </w:r>
      <w:r w:rsidR="00E21C28">
        <w:t>welcomed</w:t>
      </w:r>
      <w:r>
        <w:t xml:space="preserve"> </w:t>
      </w:r>
      <w:r w:rsidR="00E21C28">
        <w:t>an</w:t>
      </w:r>
      <w:r>
        <w:t xml:space="preserve"> updated list of indicators for the Strategic Plan for Biodiversity 2011-2020</w:t>
      </w:r>
      <w:r w:rsidR="00E21C28">
        <w:t>. In the same decision the Conference of the Parties also emphasized that the list of indicators provides a flexible framework for Parties to adapt, as appropriate, to their national priorities and circumstances, and decides that the list of indicators should be kept under review, enabling, inter alia, the future incorporation of other relevant indicators.</w:t>
      </w:r>
    </w:p>
    <w:p w14:paraId="4FD0681D" w14:textId="77777777" w:rsidR="00E21C28" w:rsidRPr="00E21C28" w:rsidRDefault="00E21C28" w:rsidP="00E21C28">
      <w:pPr>
        <w:numPr>
          <w:ilvl w:val="0"/>
          <w:numId w:val="1"/>
        </w:numPr>
        <w:spacing w:before="120" w:after="120"/>
        <w:ind w:left="0" w:firstLine="0"/>
        <w:rPr>
          <w:rFonts w:cs="Times New Roman"/>
          <w:bCs/>
          <w:iCs/>
          <w:szCs w:val="22"/>
          <w:lang w:val="en-US"/>
        </w:rPr>
      </w:pPr>
      <w:r>
        <w:t>Subsequently, in its recommendation 2/19, the Subsidiary Body on Implementation developed a set of considerations for the development of the post-2020 global biodiversity framework. One of these considerations was the need to identify indicators for the elements of the post-2020 global biodiversity framework at the same time as the framework is being developed</w:t>
      </w:r>
      <w:r>
        <w:rPr>
          <w:rFonts w:cs="Times New Roman"/>
          <w:bCs/>
          <w:iCs/>
          <w:szCs w:val="22"/>
          <w:lang w:val="en-US"/>
        </w:rPr>
        <w:t xml:space="preserve">, </w:t>
      </w:r>
      <w:r>
        <w:t>building on existing indicators, including those listed in decision XIII/28, additional indicators identified by the Biodiversity Indicators Partnership and the indicators for targets under the Sustainable Development Goals.</w:t>
      </w:r>
    </w:p>
    <w:p w14:paraId="09370DEF" w14:textId="77777777" w:rsidR="00404373" w:rsidRPr="00E21C28" w:rsidRDefault="00E21C28" w:rsidP="00E21C28">
      <w:pPr>
        <w:numPr>
          <w:ilvl w:val="0"/>
          <w:numId w:val="1"/>
        </w:numPr>
        <w:spacing w:before="120" w:after="120"/>
        <w:ind w:left="0" w:firstLine="0"/>
        <w:rPr>
          <w:rFonts w:cs="Times New Roman"/>
          <w:bCs/>
          <w:iCs/>
          <w:szCs w:val="22"/>
          <w:lang w:val="en-US"/>
        </w:rPr>
      </w:pPr>
      <w:r>
        <w:t>In light of the above decision and recommendation, the Executive Secretary</w:t>
      </w:r>
      <w:r>
        <w:rPr>
          <w:rFonts w:cs="Times New Roman"/>
          <w:bCs/>
          <w:iCs/>
          <w:szCs w:val="22"/>
          <w:lang w:val="en-US"/>
        </w:rPr>
        <w:t xml:space="preserve"> </w:t>
      </w:r>
      <w:r w:rsidRPr="00E21C28">
        <w:rPr>
          <w:szCs w:val="22"/>
        </w:rPr>
        <w:t xml:space="preserve">is circulating herewith for the information of participants in the fourteenth meeting of the Conference of the Parties to the Convention on Biological Diversity an information document submitted </w:t>
      </w:r>
      <w:r>
        <w:rPr>
          <w:szCs w:val="22"/>
        </w:rPr>
        <w:t xml:space="preserve">by </w:t>
      </w:r>
      <w:r w:rsidRPr="00E21C28">
        <w:rPr>
          <w:szCs w:val="22"/>
        </w:rPr>
        <w:t>the Secretariat of the Biodiversity Indicators P</w:t>
      </w:r>
      <w:r>
        <w:rPr>
          <w:szCs w:val="22"/>
        </w:rPr>
        <w:t xml:space="preserve">artnership on </w:t>
      </w:r>
      <w:r w:rsidRPr="00E21C28">
        <w:rPr>
          <w:rFonts w:cs="Times New Roman"/>
          <w:szCs w:val="22"/>
          <w:lang w:val="en-US"/>
        </w:rPr>
        <w:t>developing indicators for the post-2020 global biodiversity framework</w:t>
      </w:r>
      <w:r>
        <w:rPr>
          <w:rFonts w:cs="Times New Roman"/>
          <w:szCs w:val="22"/>
          <w:lang w:val="en-US"/>
        </w:rPr>
        <w:t xml:space="preserve">. </w:t>
      </w:r>
      <w:r w:rsidRPr="00E21C28">
        <w:rPr>
          <w:szCs w:val="22"/>
        </w:rPr>
        <w:t>The report is being circulated in the form and language in which it was received by the Secretariat.</w:t>
      </w:r>
      <w:r w:rsidR="00404373" w:rsidRPr="00E21C28">
        <w:rPr>
          <w:rFonts w:cs="Times New Roman"/>
          <w:color w:val="2E2E2E"/>
          <w:szCs w:val="22"/>
        </w:rPr>
        <w:br w:type="page"/>
      </w:r>
    </w:p>
    <w:p w14:paraId="201E44CC" w14:textId="77777777" w:rsidR="00404373" w:rsidRPr="00404373" w:rsidRDefault="00404373" w:rsidP="00404373">
      <w:pPr>
        <w:keepNext/>
        <w:keepLines/>
        <w:spacing w:before="240" w:line="259" w:lineRule="auto"/>
        <w:jc w:val="center"/>
        <w:outlineLvl w:val="0"/>
        <w:rPr>
          <w:rFonts w:ascii="Calibri Light" w:hAnsi="Calibri Light" w:cs="Times New Roman"/>
          <w:color w:val="2E74B5"/>
          <w:sz w:val="32"/>
          <w:szCs w:val="32"/>
        </w:rPr>
      </w:pPr>
      <w:r w:rsidRPr="00404373">
        <w:rPr>
          <w:rFonts w:ascii="Calibri Light" w:hAnsi="Calibri Light" w:cs="Times New Roman"/>
          <w:color w:val="2E74B5"/>
          <w:sz w:val="32"/>
          <w:szCs w:val="32"/>
        </w:rPr>
        <w:lastRenderedPageBreak/>
        <w:t>Developing indicators for the post-2020 global biodiversity framework: Lessons from the Biodiversity Indicators Partnership</w:t>
      </w:r>
    </w:p>
    <w:p w14:paraId="4441F7B6" w14:textId="77777777" w:rsidR="00404373" w:rsidRPr="00404373" w:rsidRDefault="00404373" w:rsidP="00404373">
      <w:pPr>
        <w:keepNext/>
        <w:keepLines/>
        <w:spacing w:before="40" w:line="259" w:lineRule="auto"/>
        <w:jc w:val="left"/>
        <w:outlineLvl w:val="1"/>
        <w:rPr>
          <w:rFonts w:ascii="Calibri Light" w:hAnsi="Calibri Light" w:cs="Times New Roman"/>
          <w:color w:val="2E74B5"/>
          <w:sz w:val="26"/>
          <w:szCs w:val="26"/>
        </w:rPr>
      </w:pPr>
      <w:r w:rsidRPr="00404373">
        <w:rPr>
          <w:rFonts w:ascii="Calibri Light" w:hAnsi="Calibri Light" w:cs="Times New Roman"/>
          <w:color w:val="2E74B5"/>
          <w:sz w:val="26"/>
          <w:szCs w:val="26"/>
        </w:rPr>
        <w:t xml:space="preserve">Background </w:t>
      </w:r>
    </w:p>
    <w:p w14:paraId="31C8E466" w14:textId="77777777" w:rsidR="00404373" w:rsidRPr="00404373" w:rsidRDefault="00404373" w:rsidP="00404373">
      <w:pPr>
        <w:spacing w:after="160"/>
        <w:jc w:val="left"/>
        <w:rPr>
          <w:rFonts w:ascii="Calibri" w:eastAsia="Calibri" w:hAnsi="Calibri" w:cs="Times New Roman"/>
          <w:b/>
          <w:szCs w:val="22"/>
        </w:rPr>
      </w:pPr>
      <w:r w:rsidRPr="00404373">
        <w:rPr>
          <w:rFonts w:ascii="Calibri" w:eastAsia="Calibri" w:hAnsi="Calibri" w:cs="Times New Roman"/>
          <w:b/>
          <w:szCs w:val="22"/>
        </w:rPr>
        <w:t>The Biodiversity Indicators Partnership (BIP) is a global initiative to promote the development and delivery of biodiversity indicators. Its primary role is to serve the global biodiversity community by responding to the indicator requests of the Convention on Biological Diversity (CBD) and other biodiversity-related Conventions, for the Intergovernmental Science-Policy Platform on Biodiversity and Ecosystem Services (IPBES), for reporting on the achievement of the Sustainable Development Goals (SDGs), and for use by national and regional governments. Its secretariat is hosted by UN Environment World Conservation Monitoring Centre (UNEP-WCMC).</w:t>
      </w:r>
    </w:p>
    <w:p w14:paraId="02EEEA62" w14:textId="77777777" w:rsidR="00404373" w:rsidRPr="00404373" w:rsidRDefault="00404373" w:rsidP="00404373">
      <w:pPr>
        <w:spacing w:after="120"/>
        <w:jc w:val="left"/>
        <w:rPr>
          <w:rFonts w:ascii="Calibri" w:eastAsia="Calibri" w:hAnsi="Calibri" w:cs="Times New Roman"/>
          <w:i/>
          <w:szCs w:val="22"/>
        </w:rPr>
      </w:pPr>
      <w:r w:rsidRPr="00404373">
        <w:rPr>
          <w:rFonts w:ascii="Calibri" w:eastAsia="Calibri" w:hAnsi="Calibri" w:cs="Times New Roman"/>
          <w:i/>
          <w:szCs w:val="22"/>
        </w:rPr>
        <w:t>The objectives of the BIP are to:</w:t>
      </w:r>
    </w:p>
    <w:p w14:paraId="22A27676" w14:textId="77777777" w:rsidR="00404373" w:rsidRPr="00404373" w:rsidRDefault="00404373" w:rsidP="00404373">
      <w:pPr>
        <w:numPr>
          <w:ilvl w:val="0"/>
          <w:numId w:val="42"/>
        </w:numPr>
        <w:spacing w:after="120" w:line="259" w:lineRule="auto"/>
        <w:jc w:val="left"/>
        <w:rPr>
          <w:rFonts w:ascii="Calibri" w:eastAsia="Calibri" w:hAnsi="Calibri" w:cs="Times New Roman"/>
          <w:szCs w:val="22"/>
        </w:rPr>
      </w:pPr>
      <w:r w:rsidRPr="00404373">
        <w:rPr>
          <w:rFonts w:ascii="Calibri" w:eastAsia="Calibri" w:hAnsi="Calibri" w:cs="Times New Roman"/>
          <w:szCs w:val="22"/>
        </w:rPr>
        <w:t>support the development and use of indicators to measure progress in achieving all the Aichi Biodiversity Targets of the Strategic Plan for Biodiversity 2011-2020.</w:t>
      </w:r>
    </w:p>
    <w:p w14:paraId="4DA763F0" w14:textId="77777777" w:rsidR="00404373" w:rsidRPr="00404373" w:rsidRDefault="00404373" w:rsidP="00404373">
      <w:pPr>
        <w:numPr>
          <w:ilvl w:val="0"/>
          <w:numId w:val="42"/>
        </w:numPr>
        <w:spacing w:after="120" w:line="259" w:lineRule="auto"/>
        <w:jc w:val="left"/>
        <w:rPr>
          <w:rFonts w:ascii="Calibri" w:eastAsia="Calibri" w:hAnsi="Calibri" w:cs="Times New Roman"/>
          <w:szCs w:val="22"/>
        </w:rPr>
      </w:pPr>
      <w:r w:rsidRPr="00404373">
        <w:rPr>
          <w:rFonts w:ascii="Calibri" w:eastAsia="Calibri" w:hAnsi="Calibri" w:cs="Times New Roman"/>
          <w:szCs w:val="22"/>
        </w:rPr>
        <w:t>support the development and use of biodiversity-related indicators in progress reporting of other Multilateral Environmental Agreements (MEAs), as well as to support statistical needs, intergovernmental processes and development processes, including IPBES and the SDGs.</w:t>
      </w:r>
    </w:p>
    <w:p w14:paraId="29B1BB37" w14:textId="77777777" w:rsidR="00404373" w:rsidRPr="00404373" w:rsidRDefault="00404373" w:rsidP="00404373">
      <w:pPr>
        <w:numPr>
          <w:ilvl w:val="0"/>
          <w:numId w:val="42"/>
        </w:numPr>
        <w:spacing w:after="120" w:line="259" w:lineRule="auto"/>
        <w:jc w:val="left"/>
        <w:rPr>
          <w:rFonts w:ascii="Calibri" w:eastAsia="Calibri" w:hAnsi="Calibri" w:cs="Times New Roman"/>
          <w:szCs w:val="22"/>
        </w:rPr>
      </w:pPr>
      <w:r w:rsidRPr="00404373">
        <w:rPr>
          <w:rFonts w:ascii="Calibri" w:eastAsia="Calibri" w:hAnsi="Calibri" w:cs="Times New Roman"/>
          <w:szCs w:val="22"/>
        </w:rPr>
        <w:t>strengthen capacity at the national level for indicator development and use in implementation and reporting of National Biodiversity Strategies and Action Plans (NBSAPs) and the SDGs.</w:t>
      </w:r>
    </w:p>
    <w:p w14:paraId="2267FC55" w14:textId="77777777" w:rsidR="00404373" w:rsidRPr="00404373" w:rsidRDefault="00404373" w:rsidP="00404373">
      <w:pPr>
        <w:spacing w:after="160" w:line="259" w:lineRule="auto"/>
        <w:jc w:val="left"/>
        <w:rPr>
          <w:rFonts w:ascii="Calibri" w:eastAsia="Calibri" w:hAnsi="Calibri" w:cs="Times New Roman"/>
          <w:szCs w:val="22"/>
        </w:rPr>
      </w:pPr>
      <w:r w:rsidRPr="00404373">
        <w:rPr>
          <w:rFonts w:ascii="Calibri" w:eastAsia="Calibri" w:hAnsi="Calibri" w:cs="Times New Roman"/>
          <w:szCs w:val="22"/>
        </w:rPr>
        <w:t>The mandate of the BIP is derived primarily from the CBD and decisions taken by its Conference of Parties (COP). By making a diverse range of indicators widely accessible, and clearly demonstrating their qualities and attributes, the BIP helps potential users to easily identify those indicators which meet their needs. The Partnership comprises: indicator producers (including NGOs and intergovernmental agencies), indicator users (including Secretariats of MEAs and National Governments), and indicator supporters (including funding agencies and networks promoting indicator development).</w:t>
      </w:r>
    </w:p>
    <w:p w14:paraId="0A480A12" w14:textId="77777777" w:rsidR="00404373" w:rsidRPr="00404373" w:rsidRDefault="00404373" w:rsidP="00404373">
      <w:pPr>
        <w:keepNext/>
        <w:keepLines/>
        <w:spacing w:before="40" w:line="259" w:lineRule="auto"/>
        <w:jc w:val="left"/>
        <w:outlineLvl w:val="1"/>
        <w:rPr>
          <w:rFonts w:ascii="Calibri Light" w:hAnsi="Calibri Light" w:cs="Times New Roman"/>
          <w:color w:val="2E74B5"/>
          <w:sz w:val="26"/>
          <w:szCs w:val="26"/>
        </w:rPr>
      </w:pPr>
      <w:r w:rsidRPr="00404373">
        <w:rPr>
          <w:rFonts w:ascii="Calibri Light" w:hAnsi="Calibri Light" w:cs="Times New Roman"/>
          <w:color w:val="2E74B5"/>
          <w:sz w:val="26"/>
          <w:szCs w:val="26"/>
        </w:rPr>
        <w:t>Purpose of this Information Document</w:t>
      </w:r>
    </w:p>
    <w:p w14:paraId="08B70911" w14:textId="77777777" w:rsidR="00404373" w:rsidRPr="00404373" w:rsidRDefault="00404373" w:rsidP="00404373">
      <w:pPr>
        <w:spacing w:after="160" w:line="259" w:lineRule="auto"/>
        <w:jc w:val="left"/>
        <w:rPr>
          <w:rFonts w:ascii="Calibri" w:eastAsia="Calibri" w:hAnsi="Calibri" w:cs="Times New Roman"/>
          <w:color w:val="1C2E36"/>
          <w:szCs w:val="22"/>
        </w:rPr>
      </w:pPr>
      <w:r w:rsidRPr="00404373">
        <w:rPr>
          <w:rFonts w:ascii="Calibri" w:eastAsia="Calibri" w:hAnsi="Calibri" w:cs="Times New Roman"/>
          <w:szCs w:val="22"/>
        </w:rPr>
        <w:t xml:space="preserve">The </w:t>
      </w:r>
      <w:r w:rsidRPr="00404373">
        <w:rPr>
          <w:rFonts w:ascii="Calibri" w:eastAsia="Calibri" w:hAnsi="Calibri" w:cs="Times New Roman"/>
          <w:color w:val="1C2E36"/>
          <w:szCs w:val="22"/>
        </w:rPr>
        <w:t>Biodiversity Indicators Partnership (</w:t>
      </w:r>
      <w:r w:rsidRPr="00404373">
        <w:rPr>
          <w:rFonts w:ascii="Calibri" w:eastAsia="Calibri" w:hAnsi="Calibri" w:cs="Times New Roman"/>
          <w:szCs w:val="22"/>
        </w:rPr>
        <w:t>BIP) has over a decade of experience in developing and communicating indicators for international targets at a range of scales, in particular those indicators which support the Aichi Biodiversity Targets of the Strategic Plan for Biodiversity 2011-2020.  Since 2015, the BIP, with support provided by the European Union, has worked on filling indicator gaps for measuring progress towards the Aichi Biodiversity Targets. The BIP now brings together over 60 partners working on more than 60 indicators. In this document, the Partnership offers its extensive and diverse experience to share lessons learnt which could support development of the post-2020 global biodiversity framework.</w:t>
      </w:r>
      <w:r w:rsidRPr="00404373">
        <w:rPr>
          <w:rFonts w:ascii="Calibri" w:eastAsia="Calibri" w:hAnsi="Calibri" w:cs="Times New Roman"/>
          <w:color w:val="1C2E36"/>
          <w:szCs w:val="22"/>
        </w:rPr>
        <w:t xml:space="preserve"> </w:t>
      </w:r>
    </w:p>
    <w:p w14:paraId="70E39150" w14:textId="77777777" w:rsidR="00404373" w:rsidRPr="00404373" w:rsidRDefault="00404373" w:rsidP="00404373">
      <w:pPr>
        <w:keepNext/>
        <w:keepLines/>
        <w:spacing w:before="40" w:line="259" w:lineRule="auto"/>
        <w:jc w:val="left"/>
        <w:outlineLvl w:val="1"/>
        <w:rPr>
          <w:rFonts w:ascii="Calibri Light" w:hAnsi="Calibri Light" w:cs="Times New Roman"/>
          <w:color w:val="2E74B5"/>
          <w:sz w:val="26"/>
          <w:szCs w:val="26"/>
        </w:rPr>
      </w:pPr>
      <w:r w:rsidRPr="00404373">
        <w:rPr>
          <w:rFonts w:ascii="Calibri Light" w:hAnsi="Calibri Light" w:cs="Times New Roman"/>
          <w:color w:val="2E74B5"/>
          <w:sz w:val="26"/>
          <w:szCs w:val="26"/>
        </w:rPr>
        <w:t>Lessons learned from the experience of the BIP</w:t>
      </w:r>
    </w:p>
    <w:p w14:paraId="654A967B" w14:textId="77777777" w:rsidR="00404373" w:rsidRPr="00404373" w:rsidRDefault="00404373" w:rsidP="00404373">
      <w:pPr>
        <w:keepNext/>
        <w:keepLines/>
        <w:spacing w:before="40" w:line="259" w:lineRule="auto"/>
        <w:jc w:val="left"/>
        <w:outlineLvl w:val="2"/>
        <w:rPr>
          <w:rFonts w:ascii="Calibri" w:hAnsi="Calibri" w:cs="Times New Roman"/>
          <w:szCs w:val="22"/>
        </w:rPr>
      </w:pPr>
      <w:r w:rsidRPr="00404373">
        <w:rPr>
          <w:rFonts w:ascii="Calibri Light" w:hAnsi="Calibri Light" w:cs="Times New Roman"/>
          <w:color w:val="1F4D78"/>
          <w:sz w:val="24"/>
          <w:lang w:val="en-US"/>
        </w:rPr>
        <w:t>Specific and measurable targets make indicator selection easier</w:t>
      </w:r>
    </w:p>
    <w:p w14:paraId="797BE697" w14:textId="77777777" w:rsidR="00404373" w:rsidRPr="00404373" w:rsidRDefault="00404373" w:rsidP="00404373">
      <w:pPr>
        <w:numPr>
          <w:ilvl w:val="0"/>
          <w:numId w:val="41"/>
        </w:numPr>
        <w:spacing w:after="160" w:line="259" w:lineRule="auto"/>
        <w:contextualSpacing/>
        <w:jc w:val="left"/>
        <w:rPr>
          <w:rFonts w:ascii="Calibri" w:hAnsi="Calibri" w:cs="Times New Roman"/>
          <w:szCs w:val="22"/>
        </w:rPr>
      </w:pPr>
      <w:r w:rsidRPr="00404373">
        <w:rPr>
          <w:rFonts w:ascii="Calibri" w:hAnsi="Calibri" w:cs="Times New Roman"/>
          <w:szCs w:val="22"/>
        </w:rPr>
        <w:t xml:space="preserve">SMART targets (those that are </w:t>
      </w:r>
      <w:r w:rsidRPr="00404373">
        <w:rPr>
          <w:rFonts w:ascii="Calibri" w:hAnsi="Calibri" w:cs="Times New Roman"/>
          <w:b/>
          <w:szCs w:val="22"/>
        </w:rPr>
        <w:t>S</w:t>
      </w:r>
      <w:r w:rsidRPr="00404373">
        <w:rPr>
          <w:rFonts w:ascii="Calibri" w:hAnsi="Calibri" w:cs="Times New Roman"/>
          <w:szCs w:val="22"/>
        </w:rPr>
        <w:t xml:space="preserve">pecific, </w:t>
      </w:r>
      <w:r w:rsidRPr="00404373">
        <w:rPr>
          <w:rFonts w:ascii="Calibri" w:hAnsi="Calibri" w:cs="Times New Roman"/>
          <w:b/>
          <w:szCs w:val="22"/>
        </w:rPr>
        <w:t>M</w:t>
      </w:r>
      <w:r w:rsidRPr="00404373">
        <w:rPr>
          <w:rFonts w:ascii="Calibri" w:hAnsi="Calibri" w:cs="Times New Roman"/>
          <w:szCs w:val="22"/>
        </w:rPr>
        <w:t xml:space="preserve">easurable, </w:t>
      </w:r>
      <w:r w:rsidRPr="00404373">
        <w:rPr>
          <w:rFonts w:ascii="Calibri" w:hAnsi="Calibri" w:cs="Times New Roman"/>
          <w:b/>
          <w:szCs w:val="22"/>
        </w:rPr>
        <w:t>A</w:t>
      </w:r>
      <w:r w:rsidRPr="00404373">
        <w:rPr>
          <w:rFonts w:ascii="Calibri" w:hAnsi="Calibri" w:cs="Times New Roman"/>
          <w:szCs w:val="22"/>
        </w:rPr>
        <w:t xml:space="preserve">mbitious, </w:t>
      </w:r>
      <w:r w:rsidRPr="00404373">
        <w:rPr>
          <w:rFonts w:ascii="Calibri" w:hAnsi="Calibri" w:cs="Times New Roman"/>
          <w:b/>
          <w:szCs w:val="22"/>
        </w:rPr>
        <w:t>R</w:t>
      </w:r>
      <w:r w:rsidRPr="00404373">
        <w:rPr>
          <w:rFonts w:ascii="Calibri" w:hAnsi="Calibri" w:cs="Times New Roman"/>
          <w:szCs w:val="22"/>
        </w:rPr>
        <w:t xml:space="preserve">ealistic and </w:t>
      </w:r>
      <w:r w:rsidRPr="00404373">
        <w:rPr>
          <w:rFonts w:ascii="Calibri" w:hAnsi="Calibri" w:cs="Times New Roman"/>
          <w:b/>
          <w:szCs w:val="22"/>
        </w:rPr>
        <w:t>T</w:t>
      </w:r>
      <w:r w:rsidRPr="00404373">
        <w:rPr>
          <w:rFonts w:ascii="Calibri" w:hAnsi="Calibri" w:cs="Times New Roman"/>
          <w:szCs w:val="22"/>
        </w:rPr>
        <w:t xml:space="preserve">ime-bound) give a firm foundation for indicator development and use; </w:t>
      </w:r>
      <w:r w:rsidRPr="00404373">
        <w:rPr>
          <w:rFonts w:ascii="Calibri" w:eastAsia="Calibri" w:hAnsi="Calibri" w:cs="Times New Roman"/>
          <w:szCs w:val="22"/>
        </w:rPr>
        <w:t xml:space="preserve">some facet of the target </w:t>
      </w:r>
      <w:r w:rsidRPr="00404373">
        <w:rPr>
          <w:rFonts w:ascii="Calibri" w:hAnsi="Calibri" w:cs="Times New Roman"/>
          <w:szCs w:val="22"/>
        </w:rPr>
        <w:t>at least</w:t>
      </w:r>
      <w:r w:rsidRPr="00404373">
        <w:rPr>
          <w:rFonts w:ascii="Calibri" w:eastAsia="Calibri" w:hAnsi="Calibri" w:cs="Times New Roman"/>
          <w:szCs w:val="22"/>
        </w:rPr>
        <w:t xml:space="preserve"> needs to be measurable in order to assess progress in a meaningful way.</w:t>
      </w:r>
      <w:r w:rsidRPr="00404373">
        <w:rPr>
          <w:rFonts w:ascii="Calibri" w:hAnsi="Calibri" w:cs="Times New Roman"/>
          <w:szCs w:val="22"/>
        </w:rPr>
        <w:t xml:space="preserve"> </w:t>
      </w:r>
    </w:p>
    <w:p w14:paraId="214A1D01" w14:textId="77777777" w:rsidR="00404373" w:rsidRPr="00404373" w:rsidRDefault="00404373" w:rsidP="00404373">
      <w:pPr>
        <w:numPr>
          <w:ilvl w:val="0"/>
          <w:numId w:val="41"/>
        </w:numPr>
        <w:spacing w:after="160" w:line="259" w:lineRule="auto"/>
        <w:contextualSpacing/>
        <w:jc w:val="left"/>
        <w:rPr>
          <w:rFonts w:ascii="Calibri" w:eastAsia="Calibri" w:hAnsi="Calibri" w:cs="Times New Roman"/>
          <w:szCs w:val="22"/>
        </w:rPr>
      </w:pPr>
      <w:r w:rsidRPr="00404373">
        <w:rPr>
          <w:rFonts w:ascii="Calibri" w:eastAsia="Calibri" w:hAnsi="Calibri" w:cs="Times New Roman"/>
          <w:szCs w:val="22"/>
        </w:rPr>
        <w:t xml:space="preserve">As only a minority of targets in the Strategic Plan for Biodiversity 2011-2020 are SMART, this has resulted in challenges in effectively assessing progress at the global level. This challenge was </w:t>
      </w:r>
      <w:r w:rsidRPr="00404373">
        <w:rPr>
          <w:rFonts w:ascii="Calibri" w:eastAsia="Calibri" w:hAnsi="Calibri" w:cs="Times New Roman"/>
          <w:szCs w:val="22"/>
        </w:rPr>
        <w:lastRenderedPageBreak/>
        <w:t>highlighted in the mid-term analysis of progress towards the Aichi Biodiversity Targets</w:t>
      </w:r>
      <w:r w:rsidRPr="00404373">
        <w:rPr>
          <w:rFonts w:ascii="Calibri" w:eastAsia="Calibri" w:hAnsi="Calibri" w:cs="Times New Roman"/>
          <w:szCs w:val="22"/>
          <w:vertAlign w:val="superscript"/>
        </w:rPr>
        <w:footnoteReference w:id="2"/>
      </w:r>
      <w:r w:rsidRPr="00404373">
        <w:rPr>
          <w:rFonts w:ascii="Calibri" w:eastAsia="Calibri" w:hAnsi="Calibri" w:cs="Times New Roman"/>
          <w:szCs w:val="22"/>
        </w:rPr>
        <w:t xml:space="preserve"> which fed into the fourth edition of the Global Biodiversity Outlook (GBO-4). For the majority of the Aichi Biodiversity Targets, it was not possible to measure progress in terms of distance to a defined end point, and instead projected values in 2020 were compared against modelled 2010 values.  </w:t>
      </w:r>
    </w:p>
    <w:p w14:paraId="33476371" w14:textId="77777777" w:rsidR="00404373" w:rsidRPr="00404373" w:rsidRDefault="00404373" w:rsidP="00404373">
      <w:pPr>
        <w:numPr>
          <w:ilvl w:val="0"/>
          <w:numId w:val="41"/>
        </w:numPr>
        <w:spacing w:after="160" w:line="259" w:lineRule="auto"/>
        <w:contextualSpacing/>
        <w:jc w:val="left"/>
        <w:rPr>
          <w:rFonts w:ascii="Calibri" w:hAnsi="Calibri" w:cs="Times New Roman"/>
          <w:szCs w:val="22"/>
        </w:rPr>
      </w:pPr>
      <w:r w:rsidRPr="00404373">
        <w:rPr>
          <w:rFonts w:ascii="Calibri" w:hAnsi="Calibri" w:cs="Times New Roman"/>
          <w:szCs w:val="22"/>
        </w:rPr>
        <w:t xml:space="preserve">Where targets are very general, the associated indicators are often poorly aligned with the target, either because the target wording is open to flexible interpretation, or because no clear target value is assigned. </w:t>
      </w:r>
    </w:p>
    <w:p w14:paraId="54BEA2BE" w14:textId="77777777" w:rsidR="00404373" w:rsidRPr="00404373" w:rsidRDefault="00404373" w:rsidP="00404373">
      <w:pPr>
        <w:numPr>
          <w:ilvl w:val="0"/>
          <w:numId w:val="41"/>
        </w:numPr>
        <w:spacing w:after="160" w:line="259" w:lineRule="auto"/>
        <w:contextualSpacing/>
        <w:jc w:val="left"/>
        <w:rPr>
          <w:rFonts w:ascii="Calibri" w:hAnsi="Calibri" w:cs="Times New Roman"/>
          <w:szCs w:val="22"/>
        </w:rPr>
      </w:pPr>
      <w:r w:rsidRPr="00404373">
        <w:rPr>
          <w:rFonts w:ascii="Calibri" w:hAnsi="Calibri" w:cs="Times New Roman"/>
          <w:szCs w:val="22"/>
        </w:rPr>
        <w:t>This reinforces the finding of a review of outputs, experiences and lessons from the BIP to 2010, which noted that “in order for progress to be tracked these targets must be measurable, which in turn depends on scientific capability to develop and deliver appropriate indicators. Thus, the development of targets and indicators is best undertaken in tandem through an iterative process, and building upon existing baselines.”</w:t>
      </w:r>
      <w:r w:rsidRPr="00404373">
        <w:rPr>
          <w:rFonts w:ascii="Calibri" w:hAnsi="Calibri" w:cs="Times New Roman"/>
          <w:szCs w:val="22"/>
          <w:vertAlign w:val="superscript"/>
        </w:rPr>
        <w:footnoteReference w:id="3"/>
      </w:r>
    </w:p>
    <w:p w14:paraId="307631CF" w14:textId="77777777" w:rsidR="00404373" w:rsidRPr="00404373" w:rsidRDefault="00404373" w:rsidP="00404373">
      <w:pPr>
        <w:numPr>
          <w:ilvl w:val="0"/>
          <w:numId w:val="41"/>
        </w:numPr>
        <w:spacing w:after="160" w:line="259" w:lineRule="auto"/>
        <w:contextualSpacing/>
        <w:jc w:val="left"/>
        <w:rPr>
          <w:rFonts w:ascii="Calibri" w:hAnsi="Calibri" w:cs="Times New Roman"/>
          <w:szCs w:val="22"/>
        </w:rPr>
      </w:pPr>
      <w:r w:rsidRPr="00404373">
        <w:rPr>
          <w:rFonts w:ascii="Calibri" w:hAnsi="Calibri" w:cs="Times New Roman"/>
          <w:szCs w:val="22"/>
        </w:rPr>
        <w:t xml:space="preserve">A recent study also found that, under the current Strategic Plan, progress has been greater towards the targets that are </w:t>
      </w:r>
      <w:proofErr w:type="spellStart"/>
      <w:r w:rsidRPr="00404373">
        <w:rPr>
          <w:rFonts w:ascii="Calibri" w:hAnsi="Calibri" w:cs="Times New Roman"/>
          <w:szCs w:val="22"/>
        </w:rPr>
        <w:t>SMARTer</w:t>
      </w:r>
      <w:proofErr w:type="spellEnd"/>
      <w:r w:rsidRPr="00404373">
        <w:rPr>
          <w:rFonts w:ascii="Calibri" w:hAnsi="Calibri" w:cs="Times New Roman"/>
          <w:szCs w:val="22"/>
        </w:rPr>
        <w:t xml:space="preserve"> than towards those that are less SMART. In particular, most important is that a target is specific and measurable (all Aichi Targets are time-bound); neither ambition nor realism showed significant relationships with progress, suggesting need for a careful balance between the two in target setting</w:t>
      </w:r>
      <w:r w:rsidRPr="00404373">
        <w:rPr>
          <w:rFonts w:ascii="Calibri" w:hAnsi="Calibri" w:cs="Times New Roman"/>
          <w:szCs w:val="22"/>
          <w:vertAlign w:val="superscript"/>
        </w:rPr>
        <w:footnoteReference w:id="4"/>
      </w:r>
      <w:r w:rsidRPr="00404373">
        <w:rPr>
          <w:rFonts w:ascii="Calibri" w:hAnsi="Calibri" w:cs="Times New Roman"/>
          <w:szCs w:val="22"/>
        </w:rPr>
        <w:t xml:space="preserve">. </w:t>
      </w:r>
    </w:p>
    <w:p w14:paraId="4161A36C" w14:textId="77777777" w:rsidR="00404373" w:rsidRPr="00404373" w:rsidRDefault="00404373" w:rsidP="00404373">
      <w:pPr>
        <w:numPr>
          <w:ilvl w:val="0"/>
          <w:numId w:val="41"/>
        </w:numPr>
        <w:spacing w:after="160" w:line="259" w:lineRule="auto"/>
        <w:contextualSpacing/>
        <w:jc w:val="left"/>
        <w:rPr>
          <w:rFonts w:ascii="Calibri" w:hAnsi="Calibri" w:cs="Times New Roman"/>
          <w:szCs w:val="22"/>
        </w:rPr>
      </w:pPr>
      <w:r w:rsidRPr="00404373">
        <w:rPr>
          <w:rFonts w:ascii="Calibri" w:hAnsi="Calibri" w:cs="Times New Roman"/>
          <w:szCs w:val="22"/>
        </w:rPr>
        <w:t>Based on extensive experience developing and using indicators at the global and national scales, the BIP promotes the use of the Biodiversity Indicator Development Framework. A key element of this framework is the iterative process of target and indicator development; rather than being sequential (developing targets then indicators), the process should go back and forth between the two to ensure targets are measurable and indicators are fit for purpose.</w:t>
      </w:r>
    </w:p>
    <w:p w14:paraId="59C73C2D" w14:textId="77777777" w:rsidR="00404373" w:rsidRPr="00404373" w:rsidRDefault="00404373" w:rsidP="00404373">
      <w:pPr>
        <w:keepNext/>
        <w:keepLines/>
        <w:spacing w:before="40" w:line="259" w:lineRule="auto"/>
        <w:jc w:val="left"/>
        <w:outlineLvl w:val="2"/>
        <w:rPr>
          <w:rFonts w:ascii="Calibri Light" w:hAnsi="Calibri Light" w:cs="Times New Roman"/>
          <w:color w:val="1F4D78"/>
          <w:sz w:val="24"/>
        </w:rPr>
      </w:pPr>
      <w:r w:rsidRPr="00404373">
        <w:rPr>
          <w:rFonts w:ascii="Calibri Light" w:hAnsi="Calibri Light" w:cs="Times New Roman"/>
          <w:color w:val="1F4D78"/>
          <w:sz w:val="24"/>
        </w:rPr>
        <w:t>Multiple indicators may be needed to provide a true picture of progress</w:t>
      </w:r>
    </w:p>
    <w:p w14:paraId="4B5C714C"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Indicators should be used together to support one another, and to produce integrated storylines which draw on multiple indicators, at global, regional and national levels. </w:t>
      </w:r>
    </w:p>
    <w:p w14:paraId="3473607A"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Where indicators of responses to the pressures on biodiversity are needed (as opposed to indicators of state and pressure), a balance between input, output, outcome and impact indicators is important to clearly demonstrate not only the responses that have been taken, but also their success.</w:t>
      </w:r>
    </w:p>
    <w:p w14:paraId="4949096D" w14:textId="77777777" w:rsidR="00404373" w:rsidRPr="00404373" w:rsidRDefault="00404373" w:rsidP="00404373">
      <w:pPr>
        <w:keepNext/>
        <w:keepLines/>
        <w:spacing w:before="40" w:line="259" w:lineRule="auto"/>
        <w:jc w:val="left"/>
        <w:outlineLvl w:val="2"/>
        <w:rPr>
          <w:rFonts w:ascii="Calibri" w:hAnsi="Calibri" w:cs="Times New Roman"/>
          <w:szCs w:val="22"/>
        </w:rPr>
      </w:pPr>
      <w:r w:rsidRPr="00404373">
        <w:rPr>
          <w:rFonts w:ascii="Calibri" w:hAnsi="Calibri" w:cs="Times New Roman"/>
          <w:szCs w:val="22"/>
        </w:rPr>
        <w:t xml:space="preserve"> </w:t>
      </w:r>
    </w:p>
    <w:p w14:paraId="11FB8406" w14:textId="77777777" w:rsidR="00404373" w:rsidRPr="00404373" w:rsidRDefault="00404373" w:rsidP="00404373">
      <w:pPr>
        <w:keepNext/>
        <w:keepLines/>
        <w:spacing w:before="40" w:line="259" w:lineRule="auto"/>
        <w:jc w:val="left"/>
        <w:outlineLvl w:val="2"/>
        <w:rPr>
          <w:rFonts w:ascii="Calibri Light" w:hAnsi="Calibri Light" w:cs="Times New Roman"/>
          <w:color w:val="1F4D78"/>
          <w:sz w:val="24"/>
        </w:rPr>
      </w:pPr>
      <w:r w:rsidRPr="00404373">
        <w:rPr>
          <w:rFonts w:ascii="Calibri Light" w:hAnsi="Calibri Light" w:cs="Times New Roman"/>
          <w:color w:val="1F4D78"/>
          <w:sz w:val="24"/>
        </w:rPr>
        <w:t xml:space="preserve">Many global indicators are available but they need sustainable funding </w:t>
      </w:r>
    </w:p>
    <w:p w14:paraId="7904A375"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There has been a significant investment in the indicators brought together under the BIP to date; these indicators, as a result, often have long time series, and widespread use and uptake. The collection and collation of data, maintenance of databases and production of indicators is a resource-intensive process, requiring continual funding. Indicator providers often struggle to identify resources to keep indicators updated, as funders often prefer to support ‘novel’ </w:t>
      </w:r>
      <w:r w:rsidRPr="00404373">
        <w:rPr>
          <w:rFonts w:ascii="Calibri" w:hAnsi="Calibri" w:cs="Times New Roman"/>
          <w:szCs w:val="22"/>
        </w:rPr>
        <w:lastRenderedPageBreak/>
        <w:t>approaches rather than sustain existing indicators. For example, indicators such as the IUCN Red List Index, and Protected Area Coverage of Key Biodiversity Areas, among others, was estimated to cost more than $6.5 million USD annually, in a report in 2016</w:t>
      </w:r>
      <w:r w:rsidRPr="00404373">
        <w:rPr>
          <w:rFonts w:ascii="Calibri" w:hAnsi="Calibri" w:cs="Times New Roman"/>
          <w:szCs w:val="22"/>
          <w:vertAlign w:val="superscript"/>
        </w:rPr>
        <w:footnoteReference w:id="5"/>
      </w:r>
      <w:r w:rsidRPr="00404373">
        <w:rPr>
          <w:rFonts w:ascii="Calibri" w:hAnsi="Calibri" w:cs="Times New Roman"/>
          <w:szCs w:val="22"/>
        </w:rPr>
        <w:t>.</w:t>
      </w:r>
    </w:p>
    <w:p w14:paraId="41FFB212"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Comprehensive and reliable indicators are underpinned by a reasonable quantity and quality of data.  Key gaps in temporal, spatial and taxonomic coverage need to be addressed which would further strengthen the indicators available for flexibly tracking targets.</w:t>
      </w:r>
    </w:p>
    <w:p w14:paraId="095F2C0B" w14:textId="77777777" w:rsidR="00404373" w:rsidRPr="00404373" w:rsidRDefault="00404373" w:rsidP="00404373">
      <w:pPr>
        <w:ind w:left="720"/>
        <w:jc w:val="left"/>
        <w:rPr>
          <w:rFonts w:ascii="Calibri" w:hAnsi="Calibri" w:cs="Times New Roman"/>
          <w:szCs w:val="22"/>
        </w:rPr>
      </w:pPr>
    </w:p>
    <w:p w14:paraId="23294AC2" w14:textId="77777777" w:rsidR="00404373" w:rsidRPr="00404373" w:rsidRDefault="00404373" w:rsidP="00404373">
      <w:pPr>
        <w:keepNext/>
        <w:keepLines/>
        <w:spacing w:before="40" w:line="259" w:lineRule="auto"/>
        <w:jc w:val="left"/>
        <w:outlineLvl w:val="2"/>
        <w:rPr>
          <w:rFonts w:ascii="Calibri Light" w:hAnsi="Calibri Light" w:cs="Times New Roman"/>
          <w:color w:val="1F4D78"/>
          <w:sz w:val="24"/>
        </w:rPr>
      </w:pPr>
      <w:r w:rsidRPr="00404373">
        <w:rPr>
          <w:rFonts w:ascii="Calibri Light" w:hAnsi="Calibri Light" w:cs="Times New Roman"/>
          <w:color w:val="1F4D78"/>
          <w:sz w:val="24"/>
        </w:rPr>
        <w:t>Be both realistic and ambitious with indicator identification</w:t>
      </w:r>
    </w:p>
    <w:p w14:paraId="0225C720"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In Decision XIII/28, COP welcomed an indicative list of indicators for the Strategic Plan for Biodiversity 2011-2020; 98 specific indicators were identified in the list, of which only 31 were considered ‘available today’, and 10 ‘under active development’. A number of other indicators were simply based on one-off studies or datasets, which, although relevant and with potential to serve as a baseline, were not expected to be updated to actually help track progress towards the Aichi Biodiversity Target in question.</w:t>
      </w:r>
    </w:p>
    <w:p w14:paraId="7E54D782"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It is critical that indicators are championed by an identified responsible organisation, which is committed to producing and contributing their indicator(s) into the future. </w:t>
      </w:r>
    </w:p>
    <w:p w14:paraId="17DCA1F9"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However, it is important in the same instance that indicator identification is not limited solely to existing indicators that are available or those that can be easily operationalised. The new framework may contain novel and ambitious Targets for new biodiversity related themes and as such new and innovative indicators are required. The BIP has demonstrated through its European Union funded ‘Mind the gap’ project that it is possible subject to resources to develop new indicators for more challenging biodiversity-related subject areas. </w:t>
      </w:r>
    </w:p>
    <w:p w14:paraId="063E8EB9" w14:textId="77777777" w:rsidR="00404373" w:rsidRPr="00404373" w:rsidRDefault="00404373" w:rsidP="00404373">
      <w:pPr>
        <w:jc w:val="left"/>
        <w:rPr>
          <w:rFonts w:ascii="Calibri" w:hAnsi="Calibri" w:cs="Times New Roman"/>
          <w:szCs w:val="22"/>
        </w:rPr>
      </w:pPr>
    </w:p>
    <w:p w14:paraId="28F60AB4" w14:textId="77777777" w:rsidR="00404373" w:rsidRPr="00404373" w:rsidRDefault="00404373" w:rsidP="00404373">
      <w:pPr>
        <w:keepNext/>
        <w:keepLines/>
        <w:spacing w:before="40" w:line="259" w:lineRule="auto"/>
        <w:jc w:val="left"/>
        <w:outlineLvl w:val="2"/>
        <w:rPr>
          <w:rFonts w:ascii="Calibri Light" w:hAnsi="Calibri Light" w:cs="Times New Roman"/>
          <w:color w:val="1F4D78"/>
          <w:sz w:val="24"/>
        </w:rPr>
      </w:pPr>
      <w:r w:rsidRPr="00404373">
        <w:rPr>
          <w:rFonts w:ascii="Calibri Light" w:hAnsi="Calibri Light" w:cs="Times New Roman"/>
          <w:color w:val="1F4D78"/>
          <w:sz w:val="24"/>
        </w:rPr>
        <w:t>Linking global and national indicators is challenging</w:t>
      </w:r>
    </w:p>
    <w:p w14:paraId="0205576A"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Indicators that work across different scales, from global to sub-national, are useful to provide a point of comparison and a deeper understanding of the indicator’s storyline, such as where progress is being made towards a target and where progress is slower. They also can help identify conservation actions that are having a net positive impact. In addition, they represent a more efficient use of resources, for instance by developing just one methodology for data collection and calculation.</w:t>
      </w:r>
    </w:p>
    <w:p w14:paraId="21F71D94"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For indicators to work across scales, targets also need to work across scales. It could therefore be helpful for the targets to clearly state expectations at global, regional, national and potentially even ecoregional scales. </w:t>
      </w:r>
    </w:p>
    <w:p w14:paraId="203686B8"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Global targets are often translated into very different targets at the national level, which can vary depending on country context and priorities; this can make the use of the same or similar indicators across different countries problematic.</w:t>
      </w:r>
    </w:p>
    <w:p w14:paraId="66DB040D"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The tracking of global targets, via the Global Biodiversity Outlook reports, has represented an important means by which to repeatedly assess progress across the world on the targets.  The </w:t>
      </w:r>
      <w:r w:rsidRPr="00404373">
        <w:rPr>
          <w:rFonts w:ascii="Calibri" w:hAnsi="Calibri" w:cs="Times New Roman"/>
          <w:szCs w:val="22"/>
        </w:rPr>
        <w:lastRenderedPageBreak/>
        <w:t>nature of the reporting process, however, ultimately means that it is accessing and using indicators with data from several years prior.  There are opportunities to use new visualization platforms in combination with scenarios to make the tracking of global targets a more continual and forward looking process.</w:t>
      </w:r>
    </w:p>
    <w:p w14:paraId="7B37644D"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A review of the experience of the BIP to 2010 echoed this, and found that </w:t>
      </w:r>
      <w:r w:rsidRPr="00404373">
        <w:rPr>
          <w:rFonts w:ascii="Calibri" w:eastAsia="Calibri" w:hAnsi="Calibri" w:cs="Times New Roman"/>
          <w:szCs w:val="22"/>
        </w:rPr>
        <w:t>Biodiversity indicators need to be developed primarily to address national biodiversity and development priorities; international targets and commitments are a secondary priority</w:t>
      </w:r>
      <w:r w:rsidRPr="00404373">
        <w:rPr>
          <w:rFonts w:ascii="Calibri" w:eastAsia="Calibri" w:hAnsi="Calibri" w:cs="Times New Roman"/>
          <w:szCs w:val="22"/>
          <w:vertAlign w:val="superscript"/>
        </w:rPr>
        <w:footnoteReference w:id="6"/>
      </w:r>
      <w:r w:rsidRPr="00404373">
        <w:rPr>
          <w:rFonts w:ascii="Calibri" w:eastAsia="Calibri" w:hAnsi="Calibri" w:cs="Times New Roman"/>
          <w:szCs w:val="22"/>
        </w:rPr>
        <w:t>.</w:t>
      </w:r>
    </w:p>
    <w:p w14:paraId="170FC84C"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The use of global indicators at the national scale is often met with wariness (e.g. due to reticence to use non-national data, lack of mechanisms to fit national data into global indicators or lack of capacity to access and use indicators).</w:t>
      </w:r>
      <w:r w:rsidRPr="00404373">
        <w:rPr>
          <w:rFonts w:ascii="Calibri" w:eastAsia="Calibri" w:hAnsi="Calibri" w:cs="Times New Roman"/>
          <w:noProof/>
          <w:szCs w:val="22"/>
          <w:lang w:eastAsia="en-GB"/>
        </w:rPr>
        <w:t xml:space="preserve"> Some indicators within the BIP are built directly from national level data, and therefore are easily scalable. However, many of the global indicators included within the BIP are scientifically valid, but are not scalable to the national level in a scientifically robust way, and could even be misleading if used at this scale. Therefore, communication about indicators’ potential use and scalability needs to be improved.  Efforts to streamline access to these indicators would also help increase their use.</w:t>
      </w:r>
    </w:p>
    <w:p w14:paraId="5383DBDB"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The use of global indicators at the national scale is also sometimes hampered by an inability of the national user to flexibly scale the underlying data to the unit of measurement that is most relevant to them. Renewed efforts to establish national and regional biodiversity observation networks are required.</w:t>
      </w:r>
    </w:p>
    <w:p w14:paraId="04964F02"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eastAsia="Calibri" w:hAnsi="Calibri" w:cs="Times New Roman"/>
          <w:noProof/>
          <w:szCs w:val="22"/>
          <w:lang w:eastAsia="en-GB"/>
        </w:rPr>
        <w:t>Of the 98 specific indicators in the indicative list of indicators for the Strategic Plan, 35 are highlighted as having potential for disaggregation to the national level. However, uptake of these indicators by countries has been limited to date.</w:t>
      </w:r>
    </w:p>
    <w:p w14:paraId="1561A92A"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eastAsia="Calibri" w:hAnsi="Calibri" w:cs="Times New Roman"/>
          <w:noProof/>
          <w:szCs w:val="22"/>
          <w:lang w:eastAsia="en-GB"/>
        </w:rPr>
        <w:t>New resources on the BIP website, such as national indicator pages and the BIP Dashboard, an indicator visualization platform that allows downloadable, scaling of indicators at national and sub-national levels, have recently become available to make access to national level data easier for those wanting to use them in developing their Sixth National Report to the CBD.  The Dashboard has been designed to help streamline national reporting by improving discovery and access to indicators that can be scaled at national  and even sub-national levels. A large number of other freely available data sources exist, that could support countries in reporting on progress; these data sources should be widely promoted to Parties.</w:t>
      </w:r>
      <w:r w:rsidRPr="00404373">
        <w:rPr>
          <w:rFonts w:ascii="Calibri" w:eastAsia="Calibri" w:hAnsi="Calibri" w:cs="Times New Roman"/>
          <w:noProof/>
          <w:szCs w:val="22"/>
          <w:vertAlign w:val="superscript"/>
          <w:lang w:eastAsia="en-GB"/>
        </w:rPr>
        <w:footnoteReference w:id="7"/>
      </w:r>
    </w:p>
    <w:p w14:paraId="5EA374E4" w14:textId="77777777" w:rsidR="00404373" w:rsidRPr="00404373" w:rsidRDefault="00404373" w:rsidP="00404373">
      <w:pPr>
        <w:keepNext/>
        <w:keepLines/>
        <w:spacing w:before="40" w:line="259" w:lineRule="auto"/>
        <w:jc w:val="left"/>
        <w:outlineLvl w:val="1"/>
        <w:rPr>
          <w:rFonts w:ascii="Calibri Light" w:hAnsi="Calibri Light" w:cs="Times New Roman"/>
          <w:color w:val="2E74B5"/>
          <w:sz w:val="26"/>
          <w:szCs w:val="26"/>
        </w:rPr>
      </w:pPr>
    </w:p>
    <w:p w14:paraId="3FC8375A" w14:textId="77777777" w:rsidR="00404373" w:rsidRPr="00404373" w:rsidRDefault="00404373" w:rsidP="00404373">
      <w:pPr>
        <w:keepNext/>
        <w:keepLines/>
        <w:spacing w:before="40" w:line="259" w:lineRule="auto"/>
        <w:jc w:val="left"/>
        <w:outlineLvl w:val="1"/>
        <w:rPr>
          <w:rFonts w:ascii="Calibri Light" w:hAnsi="Calibri Light" w:cs="Times New Roman"/>
          <w:color w:val="2E74B5"/>
          <w:sz w:val="26"/>
          <w:szCs w:val="26"/>
        </w:rPr>
      </w:pPr>
      <w:r w:rsidRPr="00404373">
        <w:rPr>
          <w:rFonts w:ascii="Calibri Light" w:hAnsi="Calibri Light" w:cs="Times New Roman"/>
          <w:color w:val="2E74B5"/>
          <w:sz w:val="26"/>
          <w:szCs w:val="26"/>
        </w:rPr>
        <w:t>Recommendations for the post-2020 process based on lessons learned</w:t>
      </w:r>
    </w:p>
    <w:p w14:paraId="7F006071"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Post-2020 targets or some facets of the targets should be as SMART as possible to allow for the identification of clear and useful indicators.</w:t>
      </w:r>
    </w:p>
    <w:p w14:paraId="4C80CCB5"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lastRenderedPageBreak/>
        <w:t>As per the experience of the BIP using the Biodiversity Indicator Development Framework at sub-national, national and global scales, the development of targets and indicators should be an iterative process, with the identification of indicators helping to refine the target wording to ensure it is truly SMART. This is consistent with the recommendation from SBI-2 to develop targets and indicators in parallel</w:t>
      </w:r>
      <w:r w:rsidRPr="00404373">
        <w:rPr>
          <w:rFonts w:ascii="Calibri" w:hAnsi="Calibri" w:cs="Times New Roman"/>
          <w:szCs w:val="22"/>
          <w:vertAlign w:val="superscript"/>
        </w:rPr>
        <w:footnoteReference w:id="8"/>
      </w:r>
      <w:r w:rsidRPr="00404373">
        <w:rPr>
          <w:rFonts w:ascii="Calibri" w:hAnsi="Calibri" w:cs="Times New Roman"/>
          <w:szCs w:val="22"/>
        </w:rPr>
        <w:t>.</w:t>
      </w:r>
    </w:p>
    <w:p w14:paraId="043A06C3"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 xml:space="preserve">While it is important to build on what already exists, the lack of a known existing indicator should not limit target development. From the experience of the BIP secretariat, it is still possible to identify datasets and indicators that are previously unknown, and there is often ongoing work that, with minimal support, could provide a new and innovative indicator ready for use. The EU-funded Mind the Gap project identified three new indicators ready for global use, and 39 indicators either under active development or requiring further development before being ready for global use. Under the same project, three new indicators were developed to fill Aichi Target gaps in the existing indicator framework. </w:t>
      </w:r>
    </w:p>
    <w:p w14:paraId="4122137F"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Any voluntary national biodiversity commitments to be developed under the CBD should be developed by countries making use of an agreed common framework (such as that under the existing strategic plan), to facilitate and enable informed and effective conservation action, monitoring, and reporting.</w:t>
      </w:r>
    </w:p>
    <w:p w14:paraId="5352D2DE"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The BIP dashboard will be a valuable tool for supporting the availability and visualisation of global and national indicators.</w:t>
      </w:r>
    </w:p>
    <w:p w14:paraId="2B705F6C"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New technologies should be employed to track and communicate progress on the targets more dynamically and continually, using indicator visualization platforms and model-based scenarios to support an adaptive management approach that allows for continual improvements and feedback to actions to meet the targets.</w:t>
      </w:r>
    </w:p>
    <w:p w14:paraId="110984BC" w14:textId="77777777" w:rsidR="00404373" w:rsidRPr="00404373" w:rsidRDefault="00404373" w:rsidP="00404373">
      <w:pPr>
        <w:numPr>
          <w:ilvl w:val="0"/>
          <w:numId w:val="40"/>
        </w:numPr>
        <w:spacing w:after="160" w:line="259" w:lineRule="auto"/>
        <w:jc w:val="left"/>
        <w:rPr>
          <w:rFonts w:ascii="Calibri" w:hAnsi="Calibri" w:cs="Times New Roman"/>
          <w:szCs w:val="22"/>
        </w:rPr>
      </w:pPr>
      <w:r w:rsidRPr="00404373">
        <w:rPr>
          <w:rFonts w:ascii="Calibri" w:hAnsi="Calibri" w:cs="Times New Roman"/>
          <w:szCs w:val="22"/>
        </w:rPr>
        <w:t>A review of the use of indicators by Parties in their 6th National Reports would help to reinforce use of indicators at the national level in the post-2020 period</w:t>
      </w:r>
    </w:p>
    <w:p w14:paraId="3535D340" w14:textId="77777777" w:rsidR="00404373" w:rsidRPr="00404373" w:rsidRDefault="00404373" w:rsidP="00404373">
      <w:pPr>
        <w:spacing w:after="160" w:line="259" w:lineRule="auto"/>
        <w:jc w:val="left"/>
        <w:rPr>
          <w:rFonts w:ascii="Calibri" w:hAnsi="Calibri" w:cs="Times New Roman"/>
          <w:szCs w:val="22"/>
        </w:rPr>
      </w:pPr>
    </w:p>
    <w:p w14:paraId="6CF60581" w14:textId="77777777" w:rsidR="004B314B" w:rsidRDefault="00950726" w:rsidP="0011516C">
      <w:pPr>
        <w:spacing w:before="120" w:after="120"/>
        <w:jc w:val="center"/>
        <w:rPr>
          <w:sz w:val="20"/>
          <w:szCs w:val="20"/>
        </w:rPr>
      </w:pPr>
      <w:r>
        <w:rPr>
          <w:rFonts w:cs="Times New Roman"/>
          <w:color w:val="2E2E2E"/>
          <w:szCs w:val="22"/>
        </w:rPr>
        <w:t>__________</w:t>
      </w:r>
    </w:p>
    <w:sectPr w:rsidR="004B314B" w:rsidSect="00BC25BD">
      <w:headerReference w:type="even" r:id="rId11"/>
      <w:headerReference w:type="default" r:id="rId12"/>
      <w:type w:val="continuous"/>
      <w:pgSz w:w="12240" w:h="15840" w:code="1"/>
      <w:pgMar w:top="1021" w:right="1440" w:bottom="1134" w:left="1440"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B722" w14:textId="77777777" w:rsidR="00047AB1" w:rsidRDefault="00047AB1" w:rsidP="008B242F">
      <w:r>
        <w:separator/>
      </w:r>
    </w:p>
  </w:endnote>
  <w:endnote w:type="continuationSeparator" w:id="0">
    <w:p w14:paraId="284C2D44" w14:textId="77777777" w:rsidR="00047AB1" w:rsidRDefault="00047AB1" w:rsidP="008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51A0" w14:textId="77777777" w:rsidR="00047AB1" w:rsidRDefault="00047AB1" w:rsidP="008B242F">
      <w:r>
        <w:separator/>
      </w:r>
    </w:p>
  </w:footnote>
  <w:footnote w:type="continuationSeparator" w:id="0">
    <w:p w14:paraId="0FCB1788" w14:textId="77777777" w:rsidR="00047AB1" w:rsidRDefault="00047AB1" w:rsidP="008B242F">
      <w:r>
        <w:continuationSeparator/>
      </w:r>
    </w:p>
  </w:footnote>
  <w:footnote w:id="1">
    <w:p w14:paraId="479EB05B" w14:textId="77777777" w:rsidR="00872A41" w:rsidRPr="004F5CFD" w:rsidRDefault="00872A41" w:rsidP="004F5CFD">
      <w:pPr>
        <w:pStyle w:val="FootnoteText"/>
        <w:spacing w:after="60"/>
        <w:rPr>
          <w:sz w:val="18"/>
          <w:szCs w:val="18"/>
          <w:lang w:val="en-US"/>
        </w:rPr>
      </w:pPr>
      <w:r w:rsidRPr="004F5CFD">
        <w:rPr>
          <w:rFonts w:cs="Times New Roman"/>
          <w:sz w:val="22"/>
          <w:szCs w:val="22"/>
          <w:vertAlign w:val="superscript"/>
        </w:rPr>
        <w:t>*</w:t>
      </w:r>
      <w:r>
        <w:rPr>
          <w:rFonts w:cs="Times New Roman"/>
          <w:sz w:val="18"/>
          <w:szCs w:val="18"/>
        </w:rPr>
        <w:t xml:space="preserve"> </w:t>
      </w:r>
      <w:r w:rsidRPr="004F5CFD">
        <w:rPr>
          <w:rFonts w:cs="Times New Roman"/>
          <w:sz w:val="18"/>
          <w:szCs w:val="18"/>
        </w:rPr>
        <w:t>CBD/COP/14/1.</w:t>
      </w:r>
    </w:p>
  </w:footnote>
  <w:footnote w:id="2">
    <w:p w14:paraId="2DE06C13" w14:textId="77777777" w:rsidR="00404373" w:rsidRDefault="00404373" w:rsidP="00404373">
      <w:pPr>
        <w:pStyle w:val="FootnoteText"/>
      </w:pPr>
      <w:r>
        <w:rPr>
          <w:rStyle w:val="FootnoteReference"/>
        </w:rPr>
        <w:footnoteRef/>
      </w:r>
      <w:r>
        <w:t xml:space="preserve"> </w:t>
      </w:r>
      <w:proofErr w:type="spellStart"/>
      <w:r>
        <w:t>Tittensor</w:t>
      </w:r>
      <w:proofErr w:type="spellEnd"/>
      <w:r>
        <w:t xml:space="preserve"> D.P. </w:t>
      </w:r>
      <w:r w:rsidRPr="0099706C">
        <w:rPr>
          <w:i/>
        </w:rPr>
        <w:t>et al.</w:t>
      </w:r>
      <w:r>
        <w:rPr>
          <w:i/>
        </w:rPr>
        <w:t xml:space="preserve"> </w:t>
      </w:r>
      <w:r>
        <w:t>2014 A mid-term analysis of progress toward international biodiversity targets. Science 346, 241–244. (doi:10.1126/science.1257484)</w:t>
      </w:r>
    </w:p>
  </w:footnote>
  <w:footnote w:id="3">
    <w:p w14:paraId="159EE6A7" w14:textId="77777777" w:rsidR="00404373" w:rsidRDefault="00404373" w:rsidP="00404373">
      <w:pPr>
        <w:pStyle w:val="FootnoteText"/>
      </w:pPr>
      <w:r>
        <w:rPr>
          <w:rStyle w:val="FootnoteReference"/>
        </w:rPr>
        <w:footnoteRef/>
      </w:r>
      <w:r>
        <w:t xml:space="preserve"> 2010 Biodiversity Indicators Partnership. 2010. Biodiversity indicators and the 2010 Target: Experiences and lessons learnt from the 2010 Biodiversity Indicators Partnership. </w:t>
      </w:r>
      <w:r w:rsidRPr="00BF6091">
        <w:rPr>
          <w:i/>
        </w:rPr>
        <w:t>Secretariat of the Convention on Biological Diversity, Montréal, Canada. Technical Series No. 53, 196 pages.</w:t>
      </w:r>
    </w:p>
  </w:footnote>
  <w:footnote w:id="4">
    <w:p w14:paraId="0C034EAA" w14:textId="77777777" w:rsidR="00404373" w:rsidRDefault="00404373" w:rsidP="00404373">
      <w:pPr>
        <w:pStyle w:val="BodyA"/>
        <w:spacing w:after="0" w:line="240" w:lineRule="auto"/>
      </w:pPr>
      <w:r>
        <w:rPr>
          <w:rStyle w:val="FootnoteReference"/>
        </w:rPr>
        <w:footnoteRef/>
      </w:r>
      <w:r>
        <w:t xml:space="preserve"> </w:t>
      </w:r>
      <w:r w:rsidRPr="00C31F09">
        <w:rPr>
          <w:rFonts w:asciiTheme="minorHAnsi" w:hAnsiTheme="minorHAnsi" w:cstheme="minorBidi"/>
          <w:color w:val="auto"/>
        </w:rPr>
        <w:t xml:space="preserve">Green, E. J., Buchanan, G. M., Butchart, S. H. M., Chandler, G. M., Burgess, N. D., Hill, S. L. &amp; Gregory, R. D. </w:t>
      </w:r>
      <w:r>
        <w:rPr>
          <w:rFonts w:asciiTheme="minorHAnsi" w:hAnsiTheme="minorHAnsi" w:cstheme="minorBidi"/>
          <w:color w:val="auto"/>
        </w:rPr>
        <w:t xml:space="preserve"> (2018) S</w:t>
      </w:r>
      <w:r w:rsidRPr="00C31F09">
        <w:rPr>
          <w:rFonts w:asciiTheme="minorHAnsi" w:hAnsiTheme="minorHAnsi" w:cstheme="minorBidi"/>
          <w:color w:val="auto"/>
        </w:rPr>
        <w:t>marter biodiversity targets are associated with greater progress.</w:t>
      </w:r>
      <w:r>
        <w:rPr>
          <w:b/>
          <w:bCs/>
          <w:color w:val="1F497D"/>
          <w:lang w:val="en-US"/>
        </w:rPr>
        <w:t xml:space="preserve"> </w:t>
      </w:r>
      <w:r w:rsidRPr="00F814DA">
        <w:rPr>
          <w:rFonts w:asciiTheme="minorHAnsi" w:hAnsiTheme="minorHAnsi" w:cstheme="minorBidi"/>
          <w:i/>
          <w:color w:val="auto"/>
        </w:rPr>
        <w:t>In pre</w:t>
      </w:r>
      <w:r>
        <w:rPr>
          <w:rFonts w:asciiTheme="minorHAnsi" w:hAnsiTheme="minorHAnsi" w:cstheme="minorBidi"/>
          <w:i/>
          <w:color w:val="auto"/>
        </w:rPr>
        <w:t>p</w:t>
      </w:r>
    </w:p>
  </w:footnote>
  <w:footnote w:id="5">
    <w:p w14:paraId="75ED99DC" w14:textId="77777777" w:rsidR="00404373" w:rsidRDefault="00404373" w:rsidP="00404373">
      <w:pPr>
        <w:pStyle w:val="FootnoteText"/>
      </w:pPr>
      <w:r>
        <w:rPr>
          <w:rStyle w:val="FootnoteReference"/>
        </w:rPr>
        <w:footnoteRef/>
      </w:r>
      <w:r>
        <w:t xml:space="preserve"> </w:t>
      </w:r>
      <w:proofErr w:type="spellStart"/>
      <w:r w:rsidRPr="00604996">
        <w:t>Juffe-Bignoli</w:t>
      </w:r>
      <w:proofErr w:type="spellEnd"/>
      <w:r w:rsidRPr="00604996">
        <w:t xml:space="preserve"> D, Brooks TM, Butchart SHM, Jenkins RB, </w:t>
      </w:r>
      <w:proofErr w:type="spellStart"/>
      <w:r w:rsidRPr="00604996">
        <w:t>Boe</w:t>
      </w:r>
      <w:proofErr w:type="spellEnd"/>
      <w:r w:rsidRPr="00604996">
        <w:t xml:space="preserve"> K, Hoffmann M, </w:t>
      </w:r>
      <w:r w:rsidRPr="006C6616">
        <w:rPr>
          <w:i/>
        </w:rPr>
        <w:t>et al</w:t>
      </w:r>
      <w:r w:rsidRPr="00604996">
        <w:t>. (2016) Assessing the Cost of Global Biodiversity and Conservation Knowl</w:t>
      </w:r>
      <w:r>
        <w:t xml:space="preserve">edge. </w:t>
      </w:r>
      <w:proofErr w:type="spellStart"/>
      <w:r>
        <w:t>PLoS</w:t>
      </w:r>
      <w:proofErr w:type="spellEnd"/>
      <w:r>
        <w:t xml:space="preserve"> ONE 11(8): e0160640. </w:t>
      </w:r>
      <w:r w:rsidRPr="00604996">
        <w:t>https://doi.org/10.1371/journal.pone.0160640</w:t>
      </w:r>
    </w:p>
  </w:footnote>
  <w:footnote w:id="6">
    <w:p w14:paraId="37347F6A" w14:textId="77777777" w:rsidR="00404373" w:rsidRPr="00232EF9" w:rsidRDefault="00404373" w:rsidP="00404373">
      <w:pPr>
        <w:pStyle w:val="FootnoteText"/>
        <w:rPr>
          <w:i/>
        </w:rPr>
      </w:pPr>
      <w:r>
        <w:rPr>
          <w:rStyle w:val="FootnoteReference"/>
        </w:rPr>
        <w:footnoteRef/>
      </w:r>
      <w:r>
        <w:t xml:space="preserve"> 2010 Biodiversity Indicators Partnership. 2010. Biodiversity indicators and the 2010 Target: Experiences and lessons learnt from the 2010 Biodiversity Indicators Partnership. </w:t>
      </w:r>
      <w:r w:rsidRPr="00BF6091">
        <w:rPr>
          <w:i/>
        </w:rPr>
        <w:t>Secretariat of the Convention on Biological Diversity, Montréal, Canada. Technical Series No. 53, 196 pages.</w:t>
      </w:r>
    </w:p>
  </w:footnote>
  <w:footnote w:id="7">
    <w:p w14:paraId="7408CDF6" w14:textId="77777777" w:rsidR="00404373" w:rsidRPr="00F814DA" w:rsidRDefault="00404373" w:rsidP="00404373">
      <w:pPr>
        <w:pStyle w:val="FootnoteText"/>
        <w:rPr>
          <w:i/>
        </w:rPr>
      </w:pPr>
      <w:r>
        <w:rPr>
          <w:rStyle w:val="FootnoteReference"/>
        </w:rPr>
        <w:footnoteRef/>
      </w:r>
      <w:r>
        <w:t xml:space="preserve">E.g. UNEP-WCMC (2018) Compendium of guidance on key global databases related to biodiversity-related conventions </w:t>
      </w:r>
      <w:r w:rsidRPr="00F814DA">
        <w:rPr>
          <w:i/>
        </w:rPr>
        <w:t>Accessible at: https://www.unep-wcmc.org/system/comfy/cms/files/files/000/001/265/original/Compendium_of_guidance_on_databases_final.pdf</w:t>
      </w:r>
    </w:p>
  </w:footnote>
  <w:footnote w:id="8">
    <w:p w14:paraId="10D24903" w14:textId="77777777" w:rsidR="00404373" w:rsidRDefault="00404373" w:rsidP="00404373">
      <w:pPr>
        <w:pStyle w:val="FootnoteText"/>
      </w:pPr>
      <w:r>
        <w:rPr>
          <w:rStyle w:val="FootnoteReference"/>
        </w:rPr>
        <w:footnoteRef/>
      </w:r>
      <w:r>
        <w:t xml:space="preserve"> SBI-2/REC/2/19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751415983"/>
      <w:placeholder>
        <w:docPart w:val="262AA9134C5B457D9A2ABD913ED649F7"/>
      </w:placeholder>
      <w:dataBinding w:prefixMappings="xmlns:ns0='http://purl.org/dc/elements/1.1/' xmlns:ns1='http://schemas.openxmlformats.org/package/2006/metadata/core-properties' " w:xpath="/ns1:coreProperties[1]/ns0:subject[1]" w:storeItemID="{6C3C8BC8-F283-45AE-878A-BAB7291924A1}"/>
      <w:text/>
    </w:sdtPr>
    <w:sdtEndPr/>
    <w:sdtContent>
      <w:p w14:paraId="4E6706CF" w14:textId="77777777" w:rsidR="0011516C" w:rsidRDefault="00063EBC">
        <w:pPr>
          <w:pStyle w:val="Header"/>
        </w:pPr>
        <w:r>
          <w:t>CBD/COP/14/INF/40</w:t>
        </w:r>
      </w:p>
    </w:sdtContent>
  </w:sdt>
  <w:p w14:paraId="617D2337" w14:textId="77777777" w:rsidR="0011516C" w:rsidRDefault="0011516C" w:rsidP="0011516C">
    <w:pPr>
      <w:pStyle w:val="Header"/>
      <w:spacing w:after="120"/>
    </w:pPr>
    <w:r>
      <w:t xml:space="preserve">Page </w:t>
    </w:r>
    <w:r>
      <w:fldChar w:fldCharType="begin"/>
    </w:r>
    <w:r>
      <w:instrText xml:space="preserve"> PAGE   \* MERGEFORMAT </w:instrText>
    </w:r>
    <w:r>
      <w:fldChar w:fldCharType="separate"/>
    </w:r>
    <w:r w:rsidR="0080261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2009017410"/>
      <w:placeholder>
        <w:docPart w:val="8C1BA02B35114008B6CB5830C4E11B12"/>
      </w:placeholder>
      <w:dataBinding w:prefixMappings="xmlns:ns0='http://purl.org/dc/elements/1.1/' xmlns:ns1='http://schemas.openxmlformats.org/package/2006/metadata/core-properties' " w:xpath="/ns1:coreProperties[1]/ns0:subject[1]" w:storeItemID="{6C3C8BC8-F283-45AE-878A-BAB7291924A1}"/>
      <w:text/>
    </w:sdtPr>
    <w:sdtContent>
      <w:p w14:paraId="21849B5D" w14:textId="77777777" w:rsidR="00BC25BD" w:rsidRDefault="00BC25BD" w:rsidP="00BC25BD">
        <w:pPr>
          <w:pStyle w:val="Header"/>
          <w:jc w:val="right"/>
        </w:pPr>
        <w:r>
          <w:t>CBD/COP/14/INF/40</w:t>
        </w:r>
      </w:p>
    </w:sdtContent>
  </w:sdt>
  <w:p w14:paraId="774908D0" w14:textId="77777777" w:rsidR="00BC25BD" w:rsidRDefault="00BC25BD" w:rsidP="00BC25BD">
    <w:pPr>
      <w:pStyle w:val="Header"/>
      <w:spacing w:after="120"/>
      <w:jc w:val="right"/>
    </w:pPr>
    <w:r>
      <w:t xml:space="preserve">Page </w:t>
    </w:r>
    <w:r>
      <w:fldChar w:fldCharType="begin"/>
    </w:r>
    <w:r>
      <w:instrText xml:space="preserve"> PAGE   \* MERGEFORMAT </w:instrText>
    </w:r>
    <w:r>
      <w:fldChar w:fldCharType="separate"/>
    </w:r>
    <w:r>
      <w:t>2</w:t>
    </w:r>
    <w:r>
      <w:rPr>
        <w:noProof/>
      </w:rPr>
      <w:fldChar w:fldCharType="end"/>
    </w:r>
  </w:p>
  <w:p w14:paraId="47E3FF16" w14:textId="77777777" w:rsidR="00BC25BD" w:rsidRDefault="00BC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EE2"/>
    <w:multiLevelType w:val="hybridMultilevel"/>
    <w:tmpl w:val="4C642B5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BEB5D53"/>
    <w:multiLevelType w:val="hybridMultilevel"/>
    <w:tmpl w:val="41E677A2"/>
    <w:numStyleLink w:val="Bullets"/>
  </w:abstractNum>
  <w:abstractNum w:abstractNumId="2" w15:restartNumberingAfterBreak="0">
    <w:nsid w:val="0F042CCF"/>
    <w:multiLevelType w:val="hybridMultilevel"/>
    <w:tmpl w:val="6074B690"/>
    <w:lvl w:ilvl="0" w:tplc="3C7AA706">
      <w:start w:val="1"/>
      <w:numFmt w:val="bullet"/>
      <w:lvlText w:val="•"/>
      <w:lvlJc w:val="left"/>
      <w:pPr>
        <w:tabs>
          <w:tab w:val="num" w:pos="720"/>
        </w:tabs>
        <w:ind w:left="720" w:hanging="360"/>
      </w:pPr>
      <w:rPr>
        <w:rFonts w:ascii="Arial" w:hAnsi="Arial" w:hint="default"/>
      </w:rPr>
    </w:lvl>
    <w:lvl w:ilvl="1" w:tplc="22F6ACFC" w:tentative="1">
      <w:start w:val="1"/>
      <w:numFmt w:val="bullet"/>
      <w:lvlText w:val="•"/>
      <w:lvlJc w:val="left"/>
      <w:pPr>
        <w:tabs>
          <w:tab w:val="num" w:pos="1440"/>
        </w:tabs>
        <w:ind w:left="1440" w:hanging="360"/>
      </w:pPr>
      <w:rPr>
        <w:rFonts w:ascii="Arial" w:hAnsi="Arial" w:hint="default"/>
      </w:rPr>
    </w:lvl>
    <w:lvl w:ilvl="2" w:tplc="AF7CBBBA" w:tentative="1">
      <w:start w:val="1"/>
      <w:numFmt w:val="bullet"/>
      <w:lvlText w:val="•"/>
      <w:lvlJc w:val="left"/>
      <w:pPr>
        <w:tabs>
          <w:tab w:val="num" w:pos="2160"/>
        </w:tabs>
        <w:ind w:left="2160" w:hanging="360"/>
      </w:pPr>
      <w:rPr>
        <w:rFonts w:ascii="Arial" w:hAnsi="Arial" w:hint="default"/>
      </w:rPr>
    </w:lvl>
    <w:lvl w:ilvl="3" w:tplc="45100864" w:tentative="1">
      <w:start w:val="1"/>
      <w:numFmt w:val="bullet"/>
      <w:lvlText w:val="•"/>
      <w:lvlJc w:val="left"/>
      <w:pPr>
        <w:tabs>
          <w:tab w:val="num" w:pos="2880"/>
        </w:tabs>
        <w:ind w:left="2880" w:hanging="360"/>
      </w:pPr>
      <w:rPr>
        <w:rFonts w:ascii="Arial" w:hAnsi="Arial" w:hint="default"/>
      </w:rPr>
    </w:lvl>
    <w:lvl w:ilvl="4" w:tplc="42D43090" w:tentative="1">
      <w:start w:val="1"/>
      <w:numFmt w:val="bullet"/>
      <w:lvlText w:val="•"/>
      <w:lvlJc w:val="left"/>
      <w:pPr>
        <w:tabs>
          <w:tab w:val="num" w:pos="3600"/>
        </w:tabs>
        <w:ind w:left="3600" w:hanging="360"/>
      </w:pPr>
      <w:rPr>
        <w:rFonts w:ascii="Arial" w:hAnsi="Arial" w:hint="default"/>
      </w:rPr>
    </w:lvl>
    <w:lvl w:ilvl="5" w:tplc="62FA9B74" w:tentative="1">
      <w:start w:val="1"/>
      <w:numFmt w:val="bullet"/>
      <w:lvlText w:val="•"/>
      <w:lvlJc w:val="left"/>
      <w:pPr>
        <w:tabs>
          <w:tab w:val="num" w:pos="4320"/>
        </w:tabs>
        <w:ind w:left="4320" w:hanging="360"/>
      </w:pPr>
      <w:rPr>
        <w:rFonts w:ascii="Arial" w:hAnsi="Arial" w:hint="default"/>
      </w:rPr>
    </w:lvl>
    <w:lvl w:ilvl="6" w:tplc="57E699EA" w:tentative="1">
      <w:start w:val="1"/>
      <w:numFmt w:val="bullet"/>
      <w:lvlText w:val="•"/>
      <w:lvlJc w:val="left"/>
      <w:pPr>
        <w:tabs>
          <w:tab w:val="num" w:pos="5040"/>
        </w:tabs>
        <w:ind w:left="5040" w:hanging="360"/>
      </w:pPr>
      <w:rPr>
        <w:rFonts w:ascii="Arial" w:hAnsi="Arial" w:hint="default"/>
      </w:rPr>
    </w:lvl>
    <w:lvl w:ilvl="7" w:tplc="1A0ECC14" w:tentative="1">
      <w:start w:val="1"/>
      <w:numFmt w:val="bullet"/>
      <w:lvlText w:val="•"/>
      <w:lvlJc w:val="left"/>
      <w:pPr>
        <w:tabs>
          <w:tab w:val="num" w:pos="5760"/>
        </w:tabs>
        <w:ind w:left="5760" w:hanging="360"/>
      </w:pPr>
      <w:rPr>
        <w:rFonts w:ascii="Arial" w:hAnsi="Arial" w:hint="default"/>
      </w:rPr>
    </w:lvl>
    <w:lvl w:ilvl="8" w:tplc="CA42F7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1E0109"/>
    <w:multiLevelType w:val="hybridMultilevel"/>
    <w:tmpl w:val="AAAAB8D0"/>
    <w:lvl w:ilvl="0" w:tplc="B9BCF08C">
      <w:start w:val="1"/>
      <w:numFmt w:val="bullet"/>
      <w:lvlText w:val="•"/>
      <w:lvlJc w:val="left"/>
      <w:pPr>
        <w:tabs>
          <w:tab w:val="num" w:pos="720"/>
        </w:tabs>
        <w:ind w:left="720" w:hanging="360"/>
      </w:pPr>
      <w:rPr>
        <w:rFonts w:ascii="Arial" w:hAnsi="Arial" w:hint="default"/>
      </w:rPr>
    </w:lvl>
    <w:lvl w:ilvl="1" w:tplc="C02CE56A" w:tentative="1">
      <w:start w:val="1"/>
      <w:numFmt w:val="bullet"/>
      <w:lvlText w:val="•"/>
      <w:lvlJc w:val="left"/>
      <w:pPr>
        <w:tabs>
          <w:tab w:val="num" w:pos="1440"/>
        </w:tabs>
        <w:ind w:left="1440" w:hanging="360"/>
      </w:pPr>
      <w:rPr>
        <w:rFonts w:ascii="Arial" w:hAnsi="Arial" w:hint="default"/>
      </w:rPr>
    </w:lvl>
    <w:lvl w:ilvl="2" w:tplc="C1F8DB86" w:tentative="1">
      <w:start w:val="1"/>
      <w:numFmt w:val="bullet"/>
      <w:lvlText w:val="•"/>
      <w:lvlJc w:val="left"/>
      <w:pPr>
        <w:tabs>
          <w:tab w:val="num" w:pos="2160"/>
        </w:tabs>
        <w:ind w:left="2160" w:hanging="360"/>
      </w:pPr>
      <w:rPr>
        <w:rFonts w:ascii="Arial" w:hAnsi="Arial" w:hint="default"/>
      </w:rPr>
    </w:lvl>
    <w:lvl w:ilvl="3" w:tplc="2154E362" w:tentative="1">
      <w:start w:val="1"/>
      <w:numFmt w:val="bullet"/>
      <w:lvlText w:val="•"/>
      <w:lvlJc w:val="left"/>
      <w:pPr>
        <w:tabs>
          <w:tab w:val="num" w:pos="2880"/>
        </w:tabs>
        <w:ind w:left="2880" w:hanging="360"/>
      </w:pPr>
      <w:rPr>
        <w:rFonts w:ascii="Arial" w:hAnsi="Arial" w:hint="default"/>
      </w:rPr>
    </w:lvl>
    <w:lvl w:ilvl="4" w:tplc="A8EE3A4E" w:tentative="1">
      <w:start w:val="1"/>
      <w:numFmt w:val="bullet"/>
      <w:lvlText w:val="•"/>
      <w:lvlJc w:val="left"/>
      <w:pPr>
        <w:tabs>
          <w:tab w:val="num" w:pos="3600"/>
        </w:tabs>
        <w:ind w:left="3600" w:hanging="360"/>
      </w:pPr>
      <w:rPr>
        <w:rFonts w:ascii="Arial" w:hAnsi="Arial" w:hint="default"/>
      </w:rPr>
    </w:lvl>
    <w:lvl w:ilvl="5" w:tplc="144E6F3E" w:tentative="1">
      <w:start w:val="1"/>
      <w:numFmt w:val="bullet"/>
      <w:lvlText w:val="•"/>
      <w:lvlJc w:val="left"/>
      <w:pPr>
        <w:tabs>
          <w:tab w:val="num" w:pos="4320"/>
        </w:tabs>
        <w:ind w:left="4320" w:hanging="360"/>
      </w:pPr>
      <w:rPr>
        <w:rFonts w:ascii="Arial" w:hAnsi="Arial" w:hint="default"/>
      </w:rPr>
    </w:lvl>
    <w:lvl w:ilvl="6" w:tplc="254E8BF4" w:tentative="1">
      <w:start w:val="1"/>
      <w:numFmt w:val="bullet"/>
      <w:lvlText w:val="•"/>
      <w:lvlJc w:val="left"/>
      <w:pPr>
        <w:tabs>
          <w:tab w:val="num" w:pos="5040"/>
        </w:tabs>
        <w:ind w:left="5040" w:hanging="360"/>
      </w:pPr>
      <w:rPr>
        <w:rFonts w:ascii="Arial" w:hAnsi="Arial" w:hint="default"/>
      </w:rPr>
    </w:lvl>
    <w:lvl w:ilvl="7" w:tplc="BAC24160" w:tentative="1">
      <w:start w:val="1"/>
      <w:numFmt w:val="bullet"/>
      <w:lvlText w:val="•"/>
      <w:lvlJc w:val="left"/>
      <w:pPr>
        <w:tabs>
          <w:tab w:val="num" w:pos="5760"/>
        </w:tabs>
        <w:ind w:left="5760" w:hanging="360"/>
      </w:pPr>
      <w:rPr>
        <w:rFonts w:ascii="Arial" w:hAnsi="Arial" w:hint="default"/>
      </w:rPr>
    </w:lvl>
    <w:lvl w:ilvl="8" w:tplc="59D808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B0CEF"/>
    <w:multiLevelType w:val="hybridMultilevel"/>
    <w:tmpl w:val="9B9ADC6E"/>
    <w:lvl w:ilvl="0" w:tplc="200A000D">
      <w:start w:val="1"/>
      <w:numFmt w:val="bullet"/>
      <w:lvlText w:val=""/>
      <w:lvlJc w:val="left"/>
      <w:pPr>
        <w:ind w:left="1080" w:hanging="360"/>
      </w:pPr>
      <w:rPr>
        <w:rFonts w:ascii="Wingdings" w:hAnsi="Wingdings"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hint="default"/>
      </w:rPr>
    </w:lvl>
    <w:lvl w:ilvl="3" w:tplc="200A0001">
      <w:start w:val="1"/>
      <w:numFmt w:val="bullet"/>
      <w:lvlText w:val=""/>
      <w:lvlJc w:val="left"/>
      <w:pPr>
        <w:ind w:left="3240" w:hanging="360"/>
      </w:pPr>
      <w:rPr>
        <w:rFonts w:ascii="Symbol" w:hAnsi="Symbol" w:hint="default"/>
      </w:rPr>
    </w:lvl>
    <w:lvl w:ilvl="4" w:tplc="200A0003">
      <w:start w:val="1"/>
      <w:numFmt w:val="bullet"/>
      <w:lvlText w:val="o"/>
      <w:lvlJc w:val="left"/>
      <w:pPr>
        <w:ind w:left="3960" w:hanging="360"/>
      </w:pPr>
      <w:rPr>
        <w:rFonts w:ascii="Courier New" w:hAnsi="Courier New" w:cs="Courier New" w:hint="default"/>
      </w:rPr>
    </w:lvl>
    <w:lvl w:ilvl="5" w:tplc="200A0005">
      <w:start w:val="1"/>
      <w:numFmt w:val="bullet"/>
      <w:lvlText w:val=""/>
      <w:lvlJc w:val="left"/>
      <w:pPr>
        <w:ind w:left="4680" w:hanging="360"/>
      </w:pPr>
      <w:rPr>
        <w:rFonts w:ascii="Wingdings" w:hAnsi="Wingdings" w:hint="default"/>
      </w:rPr>
    </w:lvl>
    <w:lvl w:ilvl="6" w:tplc="200A0001">
      <w:start w:val="1"/>
      <w:numFmt w:val="bullet"/>
      <w:lvlText w:val=""/>
      <w:lvlJc w:val="left"/>
      <w:pPr>
        <w:ind w:left="5400" w:hanging="360"/>
      </w:pPr>
      <w:rPr>
        <w:rFonts w:ascii="Symbol" w:hAnsi="Symbol" w:hint="default"/>
      </w:rPr>
    </w:lvl>
    <w:lvl w:ilvl="7" w:tplc="200A0003">
      <w:start w:val="1"/>
      <w:numFmt w:val="bullet"/>
      <w:lvlText w:val="o"/>
      <w:lvlJc w:val="left"/>
      <w:pPr>
        <w:ind w:left="6120" w:hanging="360"/>
      </w:pPr>
      <w:rPr>
        <w:rFonts w:ascii="Courier New" w:hAnsi="Courier New" w:cs="Courier New" w:hint="default"/>
      </w:rPr>
    </w:lvl>
    <w:lvl w:ilvl="8" w:tplc="200A0005">
      <w:start w:val="1"/>
      <w:numFmt w:val="bullet"/>
      <w:lvlText w:val=""/>
      <w:lvlJc w:val="left"/>
      <w:pPr>
        <w:ind w:left="6840" w:hanging="360"/>
      </w:pPr>
      <w:rPr>
        <w:rFonts w:ascii="Wingdings" w:hAnsi="Wingdings" w:hint="default"/>
      </w:rPr>
    </w:lvl>
  </w:abstractNum>
  <w:abstractNum w:abstractNumId="5" w15:restartNumberingAfterBreak="0">
    <w:nsid w:val="13280DAF"/>
    <w:multiLevelType w:val="hybridMultilevel"/>
    <w:tmpl w:val="FA2297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C94A0F"/>
    <w:multiLevelType w:val="multilevel"/>
    <w:tmpl w:val="EBDCE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8360D1"/>
    <w:multiLevelType w:val="hybridMultilevel"/>
    <w:tmpl w:val="E266E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B62AF8"/>
    <w:multiLevelType w:val="hybridMultilevel"/>
    <w:tmpl w:val="7490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BA30E3"/>
    <w:multiLevelType w:val="hybridMultilevel"/>
    <w:tmpl w:val="589A9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A2DAD"/>
    <w:multiLevelType w:val="hybridMultilevel"/>
    <w:tmpl w:val="14EE76F6"/>
    <w:lvl w:ilvl="0" w:tplc="1D0CC996">
      <w:start w:val="1"/>
      <w:numFmt w:val="bullet"/>
      <w:lvlText w:val="•"/>
      <w:lvlJc w:val="left"/>
      <w:pPr>
        <w:tabs>
          <w:tab w:val="num" w:pos="720"/>
        </w:tabs>
        <w:ind w:left="720" w:hanging="360"/>
      </w:pPr>
      <w:rPr>
        <w:rFonts w:ascii="Arial" w:hAnsi="Arial" w:hint="default"/>
      </w:rPr>
    </w:lvl>
    <w:lvl w:ilvl="1" w:tplc="27C65456" w:tentative="1">
      <w:start w:val="1"/>
      <w:numFmt w:val="bullet"/>
      <w:lvlText w:val="•"/>
      <w:lvlJc w:val="left"/>
      <w:pPr>
        <w:tabs>
          <w:tab w:val="num" w:pos="1440"/>
        </w:tabs>
        <w:ind w:left="1440" w:hanging="360"/>
      </w:pPr>
      <w:rPr>
        <w:rFonts w:ascii="Arial" w:hAnsi="Arial" w:hint="default"/>
      </w:rPr>
    </w:lvl>
    <w:lvl w:ilvl="2" w:tplc="FA5640A0" w:tentative="1">
      <w:start w:val="1"/>
      <w:numFmt w:val="bullet"/>
      <w:lvlText w:val="•"/>
      <w:lvlJc w:val="left"/>
      <w:pPr>
        <w:tabs>
          <w:tab w:val="num" w:pos="2160"/>
        </w:tabs>
        <w:ind w:left="2160" w:hanging="360"/>
      </w:pPr>
      <w:rPr>
        <w:rFonts w:ascii="Arial" w:hAnsi="Arial" w:hint="default"/>
      </w:rPr>
    </w:lvl>
    <w:lvl w:ilvl="3" w:tplc="9A3202A4" w:tentative="1">
      <w:start w:val="1"/>
      <w:numFmt w:val="bullet"/>
      <w:lvlText w:val="•"/>
      <w:lvlJc w:val="left"/>
      <w:pPr>
        <w:tabs>
          <w:tab w:val="num" w:pos="2880"/>
        </w:tabs>
        <w:ind w:left="2880" w:hanging="360"/>
      </w:pPr>
      <w:rPr>
        <w:rFonts w:ascii="Arial" w:hAnsi="Arial" w:hint="default"/>
      </w:rPr>
    </w:lvl>
    <w:lvl w:ilvl="4" w:tplc="A91C2B6A" w:tentative="1">
      <w:start w:val="1"/>
      <w:numFmt w:val="bullet"/>
      <w:lvlText w:val="•"/>
      <w:lvlJc w:val="left"/>
      <w:pPr>
        <w:tabs>
          <w:tab w:val="num" w:pos="3600"/>
        </w:tabs>
        <w:ind w:left="3600" w:hanging="360"/>
      </w:pPr>
      <w:rPr>
        <w:rFonts w:ascii="Arial" w:hAnsi="Arial" w:hint="default"/>
      </w:rPr>
    </w:lvl>
    <w:lvl w:ilvl="5" w:tplc="0472C428" w:tentative="1">
      <w:start w:val="1"/>
      <w:numFmt w:val="bullet"/>
      <w:lvlText w:val="•"/>
      <w:lvlJc w:val="left"/>
      <w:pPr>
        <w:tabs>
          <w:tab w:val="num" w:pos="4320"/>
        </w:tabs>
        <w:ind w:left="4320" w:hanging="360"/>
      </w:pPr>
      <w:rPr>
        <w:rFonts w:ascii="Arial" w:hAnsi="Arial" w:hint="default"/>
      </w:rPr>
    </w:lvl>
    <w:lvl w:ilvl="6" w:tplc="EC88E59A" w:tentative="1">
      <w:start w:val="1"/>
      <w:numFmt w:val="bullet"/>
      <w:lvlText w:val="•"/>
      <w:lvlJc w:val="left"/>
      <w:pPr>
        <w:tabs>
          <w:tab w:val="num" w:pos="5040"/>
        </w:tabs>
        <w:ind w:left="5040" w:hanging="360"/>
      </w:pPr>
      <w:rPr>
        <w:rFonts w:ascii="Arial" w:hAnsi="Arial" w:hint="default"/>
      </w:rPr>
    </w:lvl>
    <w:lvl w:ilvl="7" w:tplc="F2E4CBC4" w:tentative="1">
      <w:start w:val="1"/>
      <w:numFmt w:val="bullet"/>
      <w:lvlText w:val="•"/>
      <w:lvlJc w:val="left"/>
      <w:pPr>
        <w:tabs>
          <w:tab w:val="num" w:pos="5760"/>
        </w:tabs>
        <w:ind w:left="5760" w:hanging="360"/>
      </w:pPr>
      <w:rPr>
        <w:rFonts w:ascii="Arial" w:hAnsi="Arial" w:hint="default"/>
      </w:rPr>
    </w:lvl>
    <w:lvl w:ilvl="8" w:tplc="9CEEE0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8F212D"/>
    <w:multiLevelType w:val="hybridMultilevel"/>
    <w:tmpl w:val="555E7A90"/>
    <w:lvl w:ilvl="0" w:tplc="F578BB20">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15:restartNumberingAfterBreak="0">
    <w:nsid w:val="1DF97E5A"/>
    <w:multiLevelType w:val="hybridMultilevel"/>
    <w:tmpl w:val="C108C6FC"/>
    <w:lvl w:ilvl="0" w:tplc="200A000D">
      <w:start w:val="1"/>
      <w:numFmt w:val="bullet"/>
      <w:lvlText w:val=""/>
      <w:lvlJc w:val="left"/>
      <w:pPr>
        <w:ind w:left="720" w:hanging="360"/>
      </w:pPr>
      <w:rPr>
        <w:rFonts w:ascii="Wingdings" w:hAnsi="Wingdings" w:hint="default"/>
      </w:rPr>
    </w:lvl>
    <w:lvl w:ilvl="1" w:tplc="200A000D">
      <w:start w:val="1"/>
      <w:numFmt w:val="bullet"/>
      <w:lvlText w:val=""/>
      <w:lvlJc w:val="left"/>
      <w:pPr>
        <w:ind w:left="1440" w:hanging="360"/>
      </w:pPr>
      <w:rPr>
        <w:rFonts w:ascii="Wingdings" w:hAnsi="Wingdings"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13" w15:restartNumberingAfterBreak="0">
    <w:nsid w:val="208A7D0F"/>
    <w:multiLevelType w:val="hybridMultilevel"/>
    <w:tmpl w:val="EF147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DCB7F75"/>
    <w:multiLevelType w:val="hybridMultilevel"/>
    <w:tmpl w:val="D9ECC4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53451F0"/>
    <w:multiLevelType w:val="hybridMultilevel"/>
    <w:tmpl w:val="71D8F6E2"/>
    <w:lvl w:ilvl="0" w:tplc="CC046630">
      <w:start w:val="1"/>
      <w:numFmt w:val="bullet"/>
      <w:lvlText w:val="•"/>
      <w:lvlJc w:val="left"/>
      <w:pPr>
        <w:tabs>
          <w:tab w:val="num" w:pos="720"/>
        </w:tabs>
        <w:ind w:left="720" w:hanging="360"/>
      </w:pPr>
      <w:rPr>
        <w:rFonts w:ascii="Arial" w:hAnsi="Arial" w:hint="default"/>
      </w:rPr>
    </w:lvl>
    <w:lvl w:ilvl="1" w:tplc="B3DA22CC">
      <w:start w:val="1597"/>
      <w:numFmt w:val="bullet"/>
      <w:lvlText w:val="•"/>
      <w:lvlJc w:val="left"/>
      <w:pPr>
        <w:tabs>
          <w:tab w:val="num" w:pos="1440"/>
        </w:tabs>
        <w:ind w:left="1440" w:hanging="360"/>
      </w:pPr>
      <w:rPr>
        <w:rFonts w:ascii="Arial" w:hAnsi="Arial" w:hint="default"/>
      </w:rPr>
    </w:lvl>
    <w:lvl w:ilvl="2" w:tplc="65F617C4" w:tentative="1">
      <w:start w:val="1"/>
      <w:numFmt w:val="bullet"/>
      <w:lvlText w:val="•"/>
      <w:lvlJc w:val="left"/>
      <w:pPr>
        <w:tabs>
          <w:tab w:val="num" w:pos="2160"/>
        </w:tabs>
        <w:ind w:left="2160" w:hanging="360"/>
      </w:pPr>
      <w:rPr>
        <w:rFonts w:ascii="Arial" w:hAnsi="Arial" w:hint="default"/>
      </w:rPr>
    </w:lvl>
    <w:lvl w:ilvl="3" w:tplc="2C5897C8" w:tentative="1">
      <w:start w:val="1"/>
      <w:numFmt w:val="bullet"/>
      <w:lvlText w:val="•"/>
      <w:lvlJc w:val="left"/>
      <w:pPr>
        <w:tabs>
          <w:tab w:val="num" w:pos="2880"/>
        </w:tabs>
        <w:ind w:left="2880" w:hanging="360"/>
      </w:pPr>
      <w:rPr>
        <w:rFonts w:ascii="Arial" w:hAnsi="Arial" w:hint="default"/>
      </w:rPr>
    </w:lvl>
    <w:lvl w:ilvl="4" w:tplc="43B8607A" w:tentative="1">
      <w:start w:val="1"/>
      <w:numFmt w:val="bullet"/>
      <w:lvlText w:val="•"/>
      <w:lvlJc w:val="left"/>
      <w:pPr>
        <w:tabs>
          <w:tab w:val="num" w:pos="3600"/>
        </w:tabs>
        <w:ind w:left="3600" w:hanging="360"/>
      </w:pPr>
      <w:rPr>
        <w:rFonts w:ascii="Arial" w:hAnsi="Arial" w:hint="default"/>
      </w:rPr>
    </w:lvl>
    <w:lvl w:ilvl="5" w:tplc="7B560132" w:tentative="1">
      <w:start w:val="1"/>
      <w:numFmt w:val="bullet"/>
      <w:lvlText w:val="•"/>
      <w:lvlJc w:val="left"/>
      <w:pPr>
        <w:tabs>
          <w:tab w:val="num" w:pos="4320"/>
        </w:tabs>
        <w:ind w:left="4320" w:hanging="360"/>
      </w:pPr>
      <w:rPr>
        <w:rFonts w:ascii="Arial" w:hAnsi="Arial" w:hint="default"/>
      </w:rPr>
    </w:lvl>
    <w:lvl w:ilvl="6" w:tplc="3B7A2E46" w:tentative="1">
      <w:start w:val="1"/>
      <w:numFmt w:val="bullet"/>
      <w:lvlText w:val="•"/>
      <w:lvlJc w:val="left"/>
      <w:pPr>
        <w:tabs>
          <w:tab w:val="num" w:pos="5040"/>
        </w:tabs>
        <w:ind w:left="5040" w:hanging="360"/>
      </w:pPr>
      <w:rPr>
        <w:rFonts w:ascii="Arial" w:hAnsi="Arial" w:hint="default"/>
      </w:rPr>
    </w:lvl>
    <w:lvl w:ilvl="7" w:tplc="8E109962" w:tentative="1">
      <w:start w:val="1"/>
      <w:numFmt w:val="bullet"/>
      <w:lvlText w:val="•"/>
      <w:lvlJc w:val="left"/>
      <w:pPr>
        <w:tabs>
          <w:tab w:val="num" w:pos="5760"/>
        </w:tabs>
        <w:ind w:left="5760" w:hanging="360"/>
      </w:pPr>
      <w:rPr>
        <w:rFonts w:ascii="Arial" w:hAnsi="Arial" w:hint="default"/>
      </w:rPr>
    </w:lvl>
    <w:lvl w:ilvl="8" w:tplc="EB5CE9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1275CA"/>
    <w:multiLevelType w:val="hybridMultilevel"/>
    <w:tmpl w:val="1FF8DEC6"/>
    <w:lvl w:ilvl="0" w:tplc="0409000F">
      <w:start w:val="1"/>
      <w:numFmt w:val="decimal"/>
      <w:lvlText w:val="%1."/>
      <w:lvlJc w:val="left"/>
      <w:pPr>
        <w:tabs>
          <w:tab w:val="num" w:pos="720"/>
        </w:tabs>
        <w:ind w:left="720" w:hanging="360"/>
      </w:pPr>
    </w:lvl>
    <w:lvl w:ilvl="1" w:tplc="18D893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461F7B"/>
    <w:multiLevelType w:val="hybridMultilevel"/>
    <w:tmpl w:val="BA840B1E"/>
    <w:lvl w:ilvl="0" w:tplc="EE3E63E6">
      <w:start w:val="1"/>
      <w:numFmt w:val="bullet"/>
      <w:lvlText w:val="•"/>
      <w:lvlJc w:val="left"/>
      <w:pPr>
        <w:tabs>
          <w:tab w:val="num" w:pos="720"/>
        </w:tabs>
        <w:ind w:left="720" w:hanging="360"/>
      </w:pPr>
      <w:rPr>
        <w:rFonts w:ascii="Arial" w:hAnsi="Arial" w:hint="default"/>
      </w:rPr>
    </w:lvl>
    <w:lvl w:ilvl="1" w:tplc="C9D44F2A">
      <w:start w:val="560"/>
      <w:numFmt w:val="bullet"/>
      <w:lvlText w:val="•"/>
      <w:lvlJc w:val="left"/>
      <w:pPr>
        <w:tabs>
          <w:tab w:val="num" w:pos="1440"/>
        </w:tabs>
        <w:ind w:left="1440" w:hanging="360"/>
      </w:pPr>
      <w:rPr>
        <w:rFonts w:ascii="Arial" w:hAnsi="Arial" w:hint="default"/>
      </w:rPr>
    </w:lvl>
    <w:lvl w:ilvl="2" w:tplc="71A648E2" w:tentative="1">
      <w:start w:val="1"/>
      <w:numFmt w:val="bullet"/>
      <w:lvlText w:val="•"/>
      <w:lvlJc w:val="left"/>
      <w:pPr>
        <w:tabs>
          <w:tab w:val="num" w:pos="2160"/>
        </w:tabs>
        <w:ind w:left="2160" w:hanging="360"/>
      </w:pPr>
      <w:rPr>
        <w:rFonts w:ascii="Arial" w:hAnsi="Arial" w:hint="default"/>
      </w:rPr>
    </w:lvl>
    <w:lvl w:ilvl="3" w:tplc="56045EB0" w:tentative="1">
      <w:start w:val="1"/>
      <w:numFmt w:val="bullet"/>
      <w:lvlText w:val="•"/>
      <w:lvlJc w:val="left"/>
      <w:pPr>
        <w:tabs>
          <w:tab w:val="num" w:pos="2880"/>
        </w:tabs>
        <w:ind w:left="2880" w:hanging="360"/>
      </w:pPr>
      <w:rPr>
        <w:rFonts w:ascii="Arial" w:hAnsi="Arial" w:hint="default"/>
      </w:rPr>
    </w:lvl>
    <w:lvl w:ilvl="4" w:tplc="FD2E5536" w:tentative="1">
      <w:start w:val="1"/>
      <w:numFmt w:val="bullet"/>
      <w:lvlText w:val="•"/>
      <w:lvlJc w:val="left"/>
      <w:pPr>
        <w:tabs>
          <w:tab w:val="num" w:pos="3600"/>
        </w:tabs>
        <w:ind w:left="3600" w:hanging="360"/>
      </w:pPr>
      <w:rPr>
        <w:rFonts w:ascii="Arial" w:hAnsi="Arial" w:hint="default"/>
      </w:rPr>
    </w:lvl>
    <w:lvl w:ilvl="5" w:tplc="7646DCFA" w:tentative="1">
      <w:start w:val="1"/>
      <w:numFmt w:val="bullet"/>
      <w:lvlText w:val="•"/>
      <w:lvlJc w:val="left"/>
      <w:pPr>
        <w:tabs>
          <w:tab w:val="num" w:pos="4320"/>
        </w:tabs>
        <w:ind w:left="4320" w:hanging="360"/>
      </w:pPr>
      <w:rPr>
        <w:rFonts w:ascii="Arial" w:hAnsi="Arial" w:hint="default"/>
      </w:rPr>
    </w:lvl>
    <w:lvl w:ilvl="6" w:tplc="0DE0B3E2" w:tentative="1">
      <w:start w:val="1"/>
      <w:numFmt w:val="bullet"/>
      <w:lvlText w:val="•"/>
      <w:lvlJc w:val="left"/>
      <w:pPr>
        <w:tabs>
          <w:tab w:val="num" w:pos="5040"/>
        </w:tabs>
        <w:ind w:left="5040" w:hanging="360"/>
      </w:pPr>
      <w:rPr>
        <w:rFonts w:ascii="Arial" w:hAnsi="Arial" w:hint="default"/>
      </w:rPr>
    </w:lvl>
    <w:lvl w:ilvl="7" w:tplc="6C463B78" w:tentative="1">
      <w:start w:val="1"/>
      <w:numFmt w:val="bullet"/>
      <w:lvlText w:val="•"/>
      <w:lvlJc w:val="left"/>
      <w:pPr>
        <w:tabs>
          <w:tab w:val="num" w:pos="5760"/>
        </w:tabs>
        <w:ind w:left="5760" w:hanging="360"/>
      </w:pPr>
      <w:rPr>
        <w:rFonts w:ascii="Arial" w:hAnsi="Arial" w:hint="default"/>
      </w:rPr>
    </w:lvl>
    <w:lvl w:ilvl="8" w:tplc="F71689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917620"/>
    <w:multiLevelType w:val="hybridMultilevel"/>
    <w:tmpl w:val="055E6822"/>
    <w:lvl w:ilvl="0" w:tplc="4E6010B6">
      <w:start w:val="1"/>
      <w:numFmt w:val="bullet"/>
      <w:lvlText w:val="•"/>
      <w:lvlJc w:val="left"/>
      <w:pPr>
        <w:tabs>
          <w:tab w:val="num" w:pos="720"/>
        </w:tabs>
        <w:ind w:left="720" w:hanging="360"/>
      </w:pPr>
      <w:rPr>
        <w:rFonts w:ascii="Arial" w:hAnsi="Arial" w:hint="default"/>
      </w:rPr>
    </w:lvl>
    <w:lvl w:ilvl="1" w:tplc="7DA6BB18" w:tentative="1">
      <w:start w:val="1"/>
      <w:numFmt w:val="bullet"/>
      <w:lvlText w:val="•"/>
      <w:lvlJc w:val="left"/>
      <w:pPr>
        <w:tabs>
          <w:tab w:val="num" w:pos="1440"/>
        </w:tabs>
        <w:ind w:left="1440" w:hanging="360"/>
      </w:pPr>
      <w:rPr>
        <w:rFonts w:ascii="Arial" w:hAnsi="Arial" w:hint="default"/>
      </w:rPr>
    </w:lvl>
    <w:lvl w:ilvl="2" w:tplc="15DE6104" w:tentative="1">
      <w:start w:val="1"/>
      <w:numFmt w:val="bullet"/>
      <w:lvlText w:val="•"/>
      <w:lvlJc w:val="left"/>
      <w:pPr>
        <w:tabs>
          <w:tab w:val="num" w:pos="2160"/>
        </w:tabs>
        <w:ind w:left="2160" w:hanging="360"/>
      </w:pPr>
      <w:rPr>
        <w:rFonts w:ascii="Arial" w:hAnsi="Arial" w:hint="default"/>
      </w:rPr>
    </w:lvl>
    <w:lvl w:ilvl="3" w:tplc="5FFA649A" w:tentative="1">
      <w:start w:val="1"/>
      <w:numFmt w:val="bullet"/>
      <w:lvlText w:val="•"/>
      <w:lvlJc w:val="left"/>
      <w:pPr>
        <w:tabs>
          <w:tab w:val="num" w:pos="2880"/>
        </w:tabs>
        <w:ind w:left="2880" w:hanging="360"/>
      </w:pPr>
      <w:rPr>
        <w:rFonts w:ascii="Arial" w:hAnsi="Arial" w:hint="default"/>
      </w:rPr>
    </w:lvl>
    <w:lvl w:ilvl="4" w:tplc="EABCF454" w:tentative="1">
      <w:start w:val="1"/>
      <w:numFmt w:val="bullet"/>
      <w:lvlText w:val="•"/>
      <w:lvlJc w:val="left"/>
      <w:pPr>
        <w:tabs>
          <w:tab w:val="num" w:pos="3600"/>
        </w:tabs>
        <w:ind w:left="3600" w:hanging="360"/>
      </w:pPr>
      <w:rPr>
        <w:rFonts w:ascii="Arial" w:hAnsi="Arial" w:hint="default"/>
      </w:rPr>
    </w:lvl>
    <w:lvl w:ilvl="5" w:tplc="E412134A" w:tentative="1">
      <w:start w:val="1"/>
      <w:numFmt w:val="bullet"/>
      <w:lvlText w:val="•"/>
      <w:lvlJc w:val="left"/>
      <w:pPr>
        <w:tabs>
          <w:tab w:val="num" w:pos="4320"/>
        </w:tabs>
        <w:ind w:left="4320" w:hanging="360"/>
      </w:pPr>
      <w:rPr>
        <w:rFonts w:ascii="Arial" w:hAnsi="Arial" w:hint="default"/>
      </w:rPr>
    </w:lvl>
    <w:lvl w:ilvl="6" w:tplc="796C8388" w:tentative="1">
      <w:start w:val="1"/>
      <w:numFmt w:val="bullet"/>
      <w:lvlText w:val="•"/>
      <w:lvlJc w:val="left"/>
      <w:pPr>
        <w:tabs>
          <w:tab w:val="num" w:pos="5040"/>
        </w:tabs>
        <w:ind w:left="5040" w:hanging="360"/>
      </w:pPr>
      <w:rPr>
        <w:rFonts w:ascii="Arial" w:hAnsi="Arial" w:hint="default"/>
      </w:rPr>
    </w:lvl>
    <w:lvl w:ilvl="7" w:tplc="7E448E40" w:tentative="1">
      <w:start w:val="1"/>
      <w:numFmt w:val="bullet"/>
      <w:lvlText w:val="•"/>
      <w:lvlJc w:val="left"/>
      <w:pPr>
        <w:tabs>
          <w:tab w:val="num" w:pos="5760"/>
        </w:tabs>
        <w:ind w:left="5760" w:hanging="360"/>
      </w:pPr>
      <w:rPr>
        <w:rFonts w:ascii="Arial" w:hAnsi="Arial" w:hint="default"/>
      </w:rPr>
    </w:lvl>
    <w:lvl w:ilvl="8" w:tplc="D53CE8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E00CF3"/>
    <w:multiLevelType w:val="hybridMultilevel"/>
    <w:tmpl w:val="F0D84CD8"/>
    <w:lvl w:ilvl="0" w:tplc="5DAC2A40">
      <w:start w:val="1"/>
      <w:numFmt w:val="bullet"/>
      <w:lvlText w:val="•"/>
      <w:lvlJc w:val="left"/>
      <w:pPr>
        <w:tabs>
          <w:tab w:val="num" w:pos="720"/>
        </w:tabs>
        <w:ind w:left="720" w:hanging="360"/>
      </w:pPr>
      <w:rPr>
        <w:rFonts w:ascii="Arial" w:hAnsi="Arial" w:hint="default"/>
      </w:rPr>
    </w:lvl>
    <w:lvl w:ilvl="1" w:tplc="567E9DD0">
      <w:start w:val="573"/>
      <w:numFmt w:val="bullet"/>
      <w:lvlText w:val="•"/>
      <w:lvlJc w:val="left"/>
      <w:pPr>
        <w:tabs>
          <w:tab w:val="num" w:pos="1440"/>
        </w:tabs>
        <w:ind w:left="1440" w:hanging="360"/>
      </w:pPr>
      <w:rPr>
        <w:rFonts w:ascii="Arial" w:hAnsi="Arial" w:hint="default"/>
      </w:rPr>
    </w:lvl>
    <w:lvl w:ilvl="2" w:tplc="E3F6DA94" w:tentative="1">
      <w:start w:val="1"/>
      <w:numFmt w:val="bullet"/>
      <w:lvlText w:val="•"/>
      <w:lvlJc w:val="left"/>
      <w:pPr>
        <w:tabs>
          <w:tab w:val="num" w:pos="2160"/>
        </w:tabs>
        <w:ind w:left="2160" w:hanging="360"/>
      </w:pPr>
      <w:rPr>
        <w:rFonts w:ascii="Arial" w:hAnsi="Arial" w:hint="default"/>
      </w:rPr>
    </w:lvl>
    <w:lvl w:ilvl="3" w:tplc="F6527468" w:tentative="1">
      <w:start w:val="1"/>
      <w:numFmt w:val="bullet"/>
      <w:lvlText w:val="•"/>
      <w:lvlJc w:val="left"/>
      <w:pPr>
        <w:tabs>
          <w:tab w:val="num" w:pos="2880"/>
        </w:tabs>
        <w:ind w:left="2880" w:hanging="360"/>
      </w:pPr>
      <w:rPr>
        <w:rFonts w:ascii="Arial" w:hAnsi="Arial" w:hint="default"/>
      </w:rPr>
    </w:lvl>
    <w:lvl w:ilvl="4" w:tplc="436C1904" w:tentative="1">
      <w:start w:val="1"/>
      <w:numFmt w:val="bullet"/>
      <w:lvlText w:val="•"/>
      <w:lvlJc w:val="left"/>
      <w:pPr>
        <w:tabs>
          <w:tab w:val="num" w:pos="3600"/>
        </w:tabs>
        <w:ind w:left="3600" w:hanging="360"/>
      </w:pPr>
      <w:rPr>
        <w:rFonts w:ascii="Arial" w:hAnsi="Arial" w:hint="default"/>
      </w:rPr>
    </w:lvl>
    <w:lvl w:ilvl="5" w:tplc="07D86954" w:tentative="1">
      <w:start w:val="1"/>
      <w:numFmt w:val="bullet"/>
      <w:lvlText w:val="•"/>
      <w:lvlJc w:val="left"/>
      <w:pPr>
        <w:tabs>
          <w:tab w:val="num" w:pos="4320"/>
        </w:tabs>
        <w:ind w:left="4320" w:hanging="360"/>
      </w:pPr>
      <w:rPr>
        <w:rFonts w:ascii="Arial" w:hAnsi="Arial" w:hint="default"/>
      </w:rPr>
    </w:lvl>
    <w:lvl w:ilvl="6" w:tplc="5BB21692" w:tentative="1">
      <w:start w:val="1"/>
      <w:numFmt w:val="bullet"/>
      <w:lvlText w:val="•"/>
      <w:lvlJc w:val="left"/>
      <w:pPr>
        <w:tabs>
          <w:tab w:val="num" w:pos="5040"/>
        </w:tabs>
        <w:ind w:left="5040" w:hanging="360"/>
      </w:pPr>
      <w:rPr>
        <w:rFonts w:ascii="Arial" w:hAnsi="Arial" w:hint="default"/>
      </w:rPr>
    </w:lvl>
    <w:lvl w:ilvl="7" w:tplc="4C6ACDF6" w:tentative="1">
      <w:start w:val="1"/>
      <w:numFmt w:val="bullet"/>
      <w:lvlText w:val="•"/>
      <w:lvlJc w:val="left"/>
      <w:pPr>
        <w:tabs>
          <w:tab w:val="num" w:pos="5760"/>
        </w:tabs>
        <w:ind w:left="5760" w:hanging="360"/>
      </w:pPr>
      <w:rPr>
        <w:rFonts w:ascii="Arial" w:hAnsi="Arial" w:hint="default"/>
      </w:rPr>
    </w:lvl>
    <w:lvl w:ilvl="8" w:tplc="CFA452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E51022"/>
    <w:multiLevelType w:val="hybridMultilevel"/>
    <w:tmpl w:val="29EA48D2"/>
    <w:lvl w:ilvl="0" w:tplc="03F64B72">
      <w:start w:val="1"/>
      <w:numFmt w:val="bullet"/>
      <w:lvlText w:val="•"/>
      <w:lvlJc w:val="left"/>
      <w:pPr>
        <w:tabs>
          <w:tab w:val="num" w:pos="720"/>
        </w:tabs>
        <w:ind w:left="720" w:hanging="360"/>
      </w:pPr>
      <w:rPr>
        <w:rFonts w:ascii="Arial" w:hAnsi="Arial" w:hint="default"/>
      </w:rPr>
    </w:lvl>
    <w:lvl w:ilvl="1" w:tplc="E1FC441A">
      <w:start w:val="560"/>
      <w:numFmt w:val="bullet"/>
      <w:lvlText w:val="•"/>
      <w:lvlJc w:val="left"/>
      <w:pPr>
        <w:tabs>
          <w:tab w:val="num" w:pos="1440"/>
        </w:tabs>
        <w:ind w:left="1440" w:hanging="360"/>
      </w:pPr>
      <w:rPr>
        <w:rFonts w:ascii="Arial" w:hAnsi="Arial" w:hint="default"/>
      </w:rPr>
    </w:lvl>
    <w:lvl w:ilvl="2" w:tplc="1E5649B8" w:tentative="1">
      <w:start w:val="1"/>
      <w:numFmt w:val="bullet"/>
      <w:lvlText w:val="•"/>
      <w:lvlJc w:val="left"/>
      <w:pPr>
        <w:tabs>
          <w:tab w:val="num" w:pos="2160"/>
        </w:tabs>
        <w:ind w:left="2160" w:hanging="360"/>
      </w:pPr>
      <w:rPr>
        <w:rFonts w:ascii="Arial" w:hAnsi="Arial" w:hint="default"/>
      </w:rPr>
    </w:lvl>
    <w:lvl w:ilvl="3" w:tplc="898C3CAA" w:tentative="1">
      <w:start w:val="1"/>
      <w:numFmt w:val="bullet"/>
      <w:lvlText w:val="•"/>
      <w:lvlJc w:val="left"/>
      <w:pPr>
        <w:tabs>
          <w:tab w:val="num" w:pos="2880"/>
        </w:tabs>
        <w:ind w:left="2880" w:hanging="360"/>
      </w:pPr>
      <w:rPr>
        <w:rFonts w:ascii="Arial" w:hAnsi="Arial" w:hint="default"/>
      </w:rPr>
    </w:lvl>
    <w:lvl w:ilvl="4" w:tplc="AE08F382" w:tentative="1">
      <w:start w:val="1"/>
      <w:numFmt w:val="bullet"/>
      <w:lvlText w:val="•"/>
      <w:lvlJc w:val="left"/>
      <w:pPr>
        <w:tabs>
          <w:tab w:val="num" w:pos="3600"/>
        </w:tabs>
        <w:ind w:left="3600" w:hanging="360"/>
      </w:pPr>
      <w:rPr>
        <w:rFonts w:ascii="Arial" w:hAnsi="Arial" w:hint="default"/>
      </w:rPr>
    </w:lvl>
    <w:lvl w:ilvl="5" w:tplc="616E160C" w:tentative="1">
      <w:start w:val="1"/>
      <w:numFmt w:val="bullet"/>
      <w:lvlText w:val="•"/>
      <w:lvlJc w:val="left"/>
      <w:pPr>
        <w:tabs>
          <w:tab w:val="num" w:pos="4320"/>
        </w:tabs>
        <w:ind w:left="4320" w:hanging="360"/>
      </w:pPr>
      <w:rPr>
        <w:rFonts w:ascii="Arial" w:hAnsi="Arial" w:hint="default"/>
      </w:rPr>
    </w:lvl>
    <w:lvl w:ilvl="6" w:tplc="33F24CD0" w:tentative="1">
      <w:start w:val="1"/>
      <w:numFmt w:val="bullet"/>
      <w:lvlText w:val="•"/>
      <w:lvlJc w:val="left"/>
      <w:pPr>
        <w:tabs>
          <w:tab w:val="num" w:pos="5040"/>
        </w:tabs>
        <w:ind w:left="5040" w:hanging="360"/>
      </w:pPr>
      <w:rPr>
        <w:rFonts w:ascii="Arial" w:hAnsi="Arial" w:hint="default"/>
      </w:rPr>
    </w:lvl>
    <w:lvl w:ilvl="7" w:tplc="22009E96" w:tentative="1">
      <w:start w:val="1"/>
      <w:numFmt w:val="bullet"/>
      <w:lvlText w:val="•"/>
      <w:lvlJc w:val="left"/>
      <w:pPr>
        <w:tabs>
          <w:tab w:val="num" w:pos="5760"/>
        </w:tabs>
        <w:ind w:left="5760" w:hanging="360"/>
      </w:pPr>
      <w:rPr>
        <w:rFonts w:ascii="Arial" w:hAnsi="Arial" w:hint="default"/>
      </w:rPr>
    </w:lvl>
    <w:lvl w:ilvl="8" w:tplc="7AEAEE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071076"/>
    <w:multiLevelType w:val="hybridMultilevel"/>
    <w:tmpl w:val="41E677A2"/>
    <w:styleLink w:val="Bullets"/>
    <w:lvl w:ilvl="0" w:tplc="EC74E43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23810">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E6FE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8EAB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8F47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EAC5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A5E0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C4AA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62AD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C3773B"/>
    <w:multiLevelType w:val="hybridMultilevel"/>
    <w:tmpl w:val="B1301D76"/>
    <w:lvl w:ilvl="0" w:tplc="10090001">
      <w:start w:val="1"/>
      <w:numFmt w:val="bullet"/>
      <w:lvlText w:val=""/>
      <w:lvlJc w:val="left"/>
      <w:pPr>
        <w:tabs>
          <w:tab w:val="num" w:pos="720"/>
        </w:tabs>
        <w:ind w:left="720" w:hanging="360"/>
      </w:pPr>
      <w:rPr>
        <w:rFonts w:ascii="Symbol" w:hAnsi="Symbol" w:hint="default"/>
      </w:rPr>
    </w:lvl>
    <w:lvl w:ilvl="1" w:tplc="E41CA80C" w:tentative="1">
      <w:start w:val="1"/>
      <w:numFmt w:val="bullet"/>
      <w:lvlText w:val=""/>
      <w:lvlJc w:val="left"/>
      <w:pPr>
        <w:tabs>
          <w:tab w:val="num" w:pos="1440"/>
        </w:tabs>
        <w:ind w:left="1440" w:hanging="360"/>
      </w:pPr>
      <w:rPr>
        <w:rFonts w:ascii="Wingdings 2" w:hAnsi="Wingdings 2" w:hint="default"/>
      </w:rPr>
    </w:lvl>
    <w:lvl w:ilvl="2" w:tplc="793C5078" w:tentative="1">
      <w:start w:val="1"/>
      <w:numFmt w:val="bullet"/>
      <w:lvlText w:val=""/>
      <w:lvlJc w:val="left"/>
      <w:pPr>
        <w:tabs>
          <w:tab w:val="num" w:pos="2160"/>
        </w:tabs>
        <w:ind w:left="2160" w:hanging="360"/>
      </w:pPr>
      <w:rPr>
        <w:rFonts w:ascii="Wingdings 2" w:hAnsi="Wingdings 2" w:hint="default"/>
      </w:rPr>
    </w:lvl>
    <w:lvl w:ilvl="3" w:tplc="81C255F0" w:tentative="1">
      <w:start w:val="1"/>
      <w:numFmt w:val="bullet"/>
      <w:lvlText w:val=""/>
      <w:lvlJc w:val="left"/>
      <w:pPr>
        <w:tabs>
          <w:tab w:val="num" w:pos="2880"/>
        </w:tabs>
        <w:ind w:left="2880" w:hanging="360"/>
      </w:pPr>
      <w:rPr>
        <w:rFonts w:ascii="Wingdings 2" w:hAnsi="Wingdings 2" w:hint="default"/>
      </w:rPr>
    </w:lvl>
    <w:lvl w:ilvl="4" w:tplc="63B2326A" w:tentative="1">
      <w:start w:val="1"/>
      <w:numFmt w:val="bullet"/>
      <w:lvlText w:val=""/>
      <w:lvlJc w:val="left"/>
      <w:pPr>
        <w:tabs>
          <w:tab w:val="num" w:pos="3600"/>
        </w:tabs>
        <w:ind w:left="3600" w:hanging="360"/>
      </w:pPr>
      <w:rPr>
        <w:rFonts w:ascii="Wingdings 2" w:hAnsi="Wingdings 2" w:hint="default"/>
      </w:rPr>
    </w:lvl>
    <w:lvl w:ilvl="5" w:tplc="6BDEA1EC" w:tentative="1">
      <w:start w:val="1"/>
      <w:numFmt w:val="bullet"/>
      <w:lvlText w:val=""/>
      <w:lvlJc w:val="left"/>
      <w:pPr>
        <w:tabs>
          <w:tab w:val="num" w:pos="4320"/>
        </w:tabs>
        <w:ind w:left="4320" w:hanging="360"/>
      </w:pPr>
      <w:rPr>
        <w:rFonts w:ascii="Wingdings 2" w:hAnsi="Wingdings 2" w:hint="default"/>
      </w:rPr>
    </w:lvl>
    <w:lvl w:ilvl="6" w:tplc="71589EF4" w:tentative="1">
      <w:start w:val="1"/>
      <w:numFmt w:val="bullet"/>
      <w:lvlText w:val=""/>
      <w:lvlJc w:val="left"/>
      <w:pPr>
        <w:tabs>
          <w:tab w:val="num" w:pos="5040"/>
        </w:tabs>
        <w:ind w:left="5040" w:hanging="360"/>
      </w:pPr>
      <w:rPr>
        <w:rFonts w:ascii="Wingdings 2" w:hAnsi="Wingdings 2" w:hint="default"/>
      </w:rPr>
    </w:lvl>
    <w:lvl w:ilvl="7" w:tplc="98904734" w:tentative="1">
      <w:start w:val="1"/>
      <w:numFmt w:val="bullet"/>
      <w:lvlText w:val=""/>
      <w:lvlJc w:val="left"/>
      <w:pPr>
        <w:tabs>
          <w:tab w:val="num" w:pos="5760"/>
        </w:tabs>
        <w:ind w:left="5760" w:hanging="360"/>
      </w:pPr>
      <w:rPr>
        <w:rFonts w:ascii="Wingdings 2" w:hAnsi="Wingdings 2" w:hint="default"/>
      </w:rPr>
    </w:lvl>
    <w:lvl w:ilvl="8" w:tplc="E7261EB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D3943CB"/>
    <w:multiLevelType w:val="hybridMultilevel"/>
    <w:tmpl w:val="A0C2C05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4"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20E0F"/>
    <w:multiLevelType w:val="hybridMultilevel"/>
    <w:tmpl w:val="9B00D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7B379C"/>
    <w:multiLevelType w:val="hybridMultilevel"/>
    <w:tmpl w:val="C2967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936737"/>
    <w:multiLevelType w:val="hybridMultilevel"/>
    <w:tmpl w:val="04EE9D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7022A2D"/>
    <w:multiLevelType w:val="hybridMultilevel"/>
    <w:tmpl w:val="6D0498D6"/>
    <w:lvl w:ilvl="0" w:tplc="C28604FA">
      <w:start w:val="1"/>
      <w:numFmt w:val="bullet"/>
      <w:lvlText w:val="•"/>
      <w:lvlJc w:val="left"/>
      <w:pPr>
        <w:tabs>
          <w:tab w:val="num" w:pos="720"/>
        </w:tabs>
        <w:ind w:left="720" w:hanging="360"/>
      </w:pPr>
      <w:rPr>
        <w:rFonts w:ascii="Arial" w:hAnsi="Arial" w:hint="default"/>
      </w:rPr>
    </w:lvl>
    <w:lvl w:ilvl="1" w:tplc="37D679FC">
      <w:start w:val="560"/>
      <w:numFmt w:val="bullet"/>
      <w:lvlText w:val="•"/>
      <w:lvlJc w:val="left"/>
      <w:pPr>
        <w:tabs>
          <w:tab w:val="num" w:pos="1440"/>
        </w:tabs>
        <w:ind w:left="1440" w:hanging="360"/>
      </w:pPr>
      <w:rPr>
        <w:rFonts w:ascii="Arial" w:hAnsi="Arial" w:hint="default"/>
      </w:rPr>
    </w:lvl>
    <w:lvl w:ilvl="2" w:tplc="50B25646" w:tentative="1">
      <w:start w:val="1"/>
      <w:numFmt w:val="bullet"/>
      <w:lvlText w:val="•"/>
      <w:lvlJc w:val="left"/>
      <w:pPr>
        <w:tabs>
          <w:tab w:val="num" w:pos="2160"/>
        </w:tabs>
        <w:ind w:left="2160" w:hanging="360"/>
      </w:pPr>
      <w:rPr>
        <w:rFonts w:ascii="Arial" w:hAnsi="Arial" w:hint="default"/>
      </w:rPr>
    </w:lvl>
    <w:lvl w:ilvl="3" w:tplc="2BB085C2" w:tentative="1">
      <w:start w:val="1"/>
      <w:numFmt w:val="bullet"/>
      <w:lvlText w:val="•"/>
      <w:lvlJc w:val="left"/>
      <w:pPr>
        <w:tabs>
          <w:tab w:val="num" w:pos="2880"/>
        </w:tabs>
        <w:ind w:left="2880" w:hanging="360"/>
      </w:pPr>
      <w:rPr>
        <w:rFonts w:ascii="Arial" w:hAnsi="Arial" w:hint="default"/>
      </w:rPr>
    </w:lvl>
    <w:lvl w:ilvl="4" w:tplc="DBC4A222" w:tentative="1">
      <w:start w:val="1"/>
      <w:numFmt w:val="bullet"/>
      <w:lvlText w:val="•"/>
      <w:lvlJc w:val="left"/>
      <w:pPr>
        <w:tabs>
          <w:tab w:val="num" w:pos="3600"/>
        </w:tabs>
        <w:ind w:left="3600" w:hanging="360"/>
      </w:pPr>
      <w:rPr>
        <w:rFonts w:ascii="Arial" w:hAnsi="Arial" w:hint="default"/>
      </w:rPr>
    </w:lvl>
    <w:lvl w:ilvl="5" w:tplc="8A427818" w:tentative="1">
      <w:start w:val="1"/>
      <w:numFmt w:val="bullet"/>
      <w:lvlText w:val="•"/>
      <w:lvlJc w:val="left"/>
      <w:pPr>
        <w:tabs>
          <w:tab w:val="num" w:pos="4320"/>
        </w:tabs>
        <w:ind w:left="4320" w:hanging="360"/>
      </w:pPr>
      <w:rPr>
        <w:rFonts w:ascii="Arial" w:hAnsi="Arial" w:hint="default"/>
      </w:rPr>
    </w:lvl>
    <w:lvl w:ilvl="6" w:tplc="C8CE3E66" w:tentative="1">
      <w:start w:val="1"/>
      <w:numFmt w:val="bullet"/>
      <w:lvlText w:val="•"/>
      <w:lvlJc w:val="left"/>
      <w:pPr>
        <w:tabs>
          <w:tab w:val="num" w:pos="5040"/>
        </w:tabs>
        <w:ind w:left="5040" w:hanging="360"/>
      </w:pPr>
      <w:rPr>
        <w:rFonts w:ascii="Arial" w:hAnsi="Arial" w:hint="default"/>
      </w:rPr>
    </w:lvl>
    <w:lvl w:ilvl="7" w:tplc="40045814" w:tentative="1">
      <w:start w:val="1"/>
      <w:numFmt w:val="bullet"/>
      <w:lvlText w:val="•"/>
      <w:lvlJc w:val="left"/>
      <w:pPr>
        <w:tabs>
          <w:tab w:val="num" w:pos="5760"/>
        </w:tabs>
        <w:ind w:left="5760" w:hanging="360"/>
      </w:pPr>
      <w:rPr>
        <w:rFonts w:ascii="Arial" w:hAnsi="Arial" w:hint="default"/>
      </w:rPr>
    </w:lvl>
    <w:lvl w:ilvl="8" w:tplc="5A109F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6C1957"/>
    <w:multiLevelType w:val="hybridMultilevel"/>
    <w:tmpl w:val="CCFE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806136"/>
    <w:multiLevelType w:val="hybridMultilevel"/>
    <w:tmpl w:val="2D406558"/>
    <w:lvl w:ilvl="0" w:tplc="6B088CF6">
      <w:start w:val="1"/>
      <w:numFmt w:val="bullet"/>
      <w:lvlText w:val="•"/>
      <w:lvlJc w:val="left"/>
      <w:pPr>
        <w:tabs>
          <w:tab w:val="num" w:pos="720"/>
        </w:tabs>
        <w:ind w:left="720" w:hanging="360"/>
      </w:pPr>
      <w:rPr>
        <w:rFonts w:ascii="Arial" w:hAnsi="Arial" w:hint="default"/>
      </w:rPr>
    </w:lvl>
    <w:lvl w:ilvl="1" w:tplc="2C1443C2" w:tentative="1">
      <w:start w:val="1"/>
      <w:numFmt w:val="bullet"/>
      <w:lvlText w:val="•"/>
      <w:lvlJc w:val="left"/>
      <w:pPr>
        <w:tabs>
          <w:tab w:val="num" w:pos="1440"/>
        </w:tabs>
        <w:ind w:left="1440" w:hanging="360"/>
      </w:pPr>
      <w:rPr>
        <w:rFonts w:ascii="Arial" w:hAnsi="Arial" w:hint="default"/>
      </w:rPr>
    </w:lvl>
    <w:lvl w:ilvl="2" w:tplc="D38A1750" w:tentative="1">
      <w:start w:val="1"/>
      <w:numFmt w:val="bullet"/>
      <w:lvlText w:val="•"/>
      <w:lvlJc w:val="left"/>
      <w:pPr>
        <w:tabs>
          <w:tab w:val="num" w:pos="2160"/>
        </w:tabs>
        <w:ind w:left="2160" w:hanging="360"/>
      </w:pPr>
      <w:rPr>
        <w:rFonts w:ascii="Arial" w:hAnsi="Arial" w:hint="default"/>
      </w:rPr>
    </w:lvl>
    <w:lvl w:ilvl="3" w:tplc="AA4EF5D2" w:tentative="1">
      <w:start w:val="1"/>
      <w:numFmt w:val="bullet"/>
      <w:lvlText w:val="•"/>
      <w:lvlJc w:val="left"/>
      <w:pPr>
        <w:tabs>
          <w:tab w:val="num" w:pos="2880"/>
        </w:tabs>
        <w:ind w:left="2880" w:hanging="360"/>
      </w:pPr>
      <w:rPr>
        <w:rFonts w:ascii="Arial" w:hAnsi="Arial" w:hint="default"/>
      </w:rPr>
    </w:lvl>
    <w:lvl w:ilvl="4" w:tplc="02C6CC3E" w:tentative="1">
      <w:start w:val="1"/>
      <w:numFmt w:val="bullet"/>
      <w:lvlText w:val="•"/>
      <w:lvlJc w:val="left"/>
      <w:pPr>
        <w:tabs>
          <w:tab w:val="num" w:pos="3600"/>
        </w:tabs>
        <w:ind w:left="3600" w:hanging="360"/>
      </w:pPr>
      <w:rPr>
        <w:rFonts w:ascii="Arial" w:hAnsi="Arial" w:hint="default"/>
      </w:rPr>
    </w:lvl>
    <w:lvl w:ilvl="5" w:tplc="E7D8E392" w:tentative="1">
      <w:start w:val="1"/>
      <w:numFmt w:val="bullet"/>
      <w:lvlText w:val="•"/>
      <w:lvlJc w:val="left"/>
      <w:pPr>
        <w:tabs>
          <w:tab w:val="num" w:pos="4320"/>
        </w:tabs>
        <w:ind w:left="4320" w:hanging="360"/>
      </w:pPr>
      <w:rPr>
        <w:rFonts w:ascii="Arial" w:hAnsi="Arial" w:hint="default"/>
      </w:rPr>
    </w:lvl>
    <w:lvl w:ilvl="6" w:tplc="0CBCC9F2" w:tentative="1">
      <w:start w:val="1"/>
      <w:numFmt w:val="bullet"/>
      <w:lvlText w:val="•"/>
      <w:lvlJc w:val="left"/>
      <w:pPr>
        <w:tabs>
          <w:tab w:val="num" w:pos="5040"/>
        </w:tabs>
        <w:ind w:left="5040" w:hanging="360"/>
      </w:pPr>
      <w:rPr>
        <w:rFonts w:ascii="Arial" w:hAnsi="Arial" w:hint="default"/>
      </w:rPr>
    </w:lvl>
    <w:lvl w:ilvl="7" w:tplc="E4AC5B0C" w:tentative="1">
      <w:start w:val="1"/>
      <w:numFmt w:val="bullet"/>
      <w:lvlText w:val="•"/>
      <w:lvlJc w:val="left"/>
      <w:pPr>
        <w:tabs>
          <w:tab w:val="num" w:pos="5760"/>
        </w:tabs>
        <w:ind w:left="5760" w:hanging="360"/>
      </w:pPr>
      <w:rPr>
        <w:rFonts w:ascii="Arial" w:hAnsi="Arial" w:hint="default"/>
      </w:rPr>
    </w:lvl>
    <w:lvl w:ilvl="8" w:tplc="5C08F1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425B89"/>
    <w:multiLevelType w:val="hybridMultilevel"/>
    <w:tmpl w:val="BD0C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25372"/>
    <w:multiLevelType w:val="hybridMultilevel"/>
    <w:tmpl w:val="14844C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D134673"/>
    <w:multiLevelType w:val="hybridMultilevel"/>
    <w:tmpl w:val="C8C60810"/>
    <w:lvl w:ilvl="0" w:tplc="CDACDB02">
      <w:start w:val="1"/>
      <w:numFmt w:val="bullet"/>
      <w:lvlText w:val="•"/>
      <w:lvlJc w:val="left"/>
      <w:pPr>
        <w:tabs>
          <w:tab w:val="num" w:pos="720"/>
        </w:tabs>
        <w:ind w:left="720" w:hanging="360"/>
      </w:pPr>
      <w:rPr>
        <w:rFonts w:ascii="Arial" w:hAnsi="Arial" w:hint="default"/>
      </w:rPr>
    </w:lvl>
    <w:lvl w:ilvl="1" w:tplc="81CAACB6">
      <w:start w:val="573"/>
      <w:numFmt w:val="bullet"/>
      <w:lvlText w:val="•"/>
      <w:lvlJc w:val="left"/>
      <w:pPr>
        <w:tabs>
          <w:tab w:val="num" w:pos="1440"/>
        </w:tabs>
        <w:ind w:left="1440" w:hanging="360"/>
      </w:pPr>
      <w:rPr>
        <w:rFonts w:ascii="Arial" w:hAnsi="Arial" w:hint="default"/>
      </w:rPr>
    </w:lvl>
    <w:lvl w:ilvl="2" w:tplc="69B81C4A" w:tentative="1">
      <w:start w:val="1"/>
      <w:numFmt w:val="bullet"/>
      <w:lvlText w:val="•"/>
      <w:lvlJc w:val="left"/>
      <w:pPr>
        <w:tabs>
          <w:tab w:val="num" w:pos="2160"/>
        </w:tabs>
        <w:ind w:left="2160" w:hanging="360"/>
      </w:pPr>
      <w:rPr>
        <w:rFonts w:ascii="Arial" w:hAnsi="Arial" w:hint="default"/>
      </w:rPr>
    </w:lvl>
    <w:lvl w:ilvl="3" w:tplc="9A60FE9C" w:tentative="1">
      <w:start w:val="1"/>
      <w:numFmt w:val="bullet"/>
      <w:lvlText w:val="•"/>
      <w:lvlJc w:val="left"/>
      <w:pPr>
        <w:tabs>
          <w:tab w:val="num" w:pos="2880"/>
        </w:tabs>
        <w:ind w:left="2880" w:hanging="360"/>
      </w:pPr>
      <w:rPr>
        <w:rFonts w:ascii="Arial" w:hAnsi="Arial" w:hint="default"/>
      </w:rPr>
    </w:lvl>
    <w:lvl w:ilvl="4" w:tplc="74DED71C" w:tentative="1">
      <w:start w:val="1"/>
      <w:numFmt w:val="bullet"/>
      <w:lvlText w:val="•"/>
      <w:lvlJc w:val="left"/>
      <w:pPr>
        <w:tabs>
          <w:tab w:val="num" w:pos="3600"/>
        </w:tabs>
        <w:ind w:left="3600" w:hanging="360"/>
      </w:pPr>
      <w:rPr>
        <w:rFonts w:ascii="Arial" w:hAnsi="Arial" w:hint="default"/>
      </w:rPr>
    </w:lvl>
    <w:lvl w:ilvl="5" w:tplc="E68402F8" w:tentative="1">
      <w:start w:val="1"/>
      <w:numFmt w:val="bullet"/>
      <w:lvlText w:val="•"/>
      <w:lvlJc w:val="left"/>
      <w:pPr>
        <w:tabs>
          <w:tab w:val="num" w:pos="4320"/>
        </w:tabs>
        <w:ind w:left="4320" w:hanging="360"/>
      </w:pPr>
      <w:rPr>
        <w:rFonts w:ascii="Arial" w:hAnsi="Arial" w:hint="default"/>
      </w:rPr>
    </w:lvl>
    <w:lvl w:ilvl="6" w:tplc="53568974" w:tentative="1">
      <w:start w:val="1"/>
      <w:numFmt w:val="bullet"/>
      <w:lvlText w:val="•"/>
      <w:lvlJc w:val="left"/>
      <w:pPr>
        <w:tabs>
          <w:tab w:val="num" w:pos="5040"/>
        </w:tabs>
        <w:ind w:left="5040" w:hanging="360"/>
      </w:pPr>
      <w:rPr>
        <w:rFonts w:ascii="Arial" w:hAnsi="Arial" w:hint="default"/>
      </w:rPr>
    </w:lvl>
    <w:lvl w:ilvl="7" w:tplc="868C2ADC" w:tentative="1">
      <w:start w:val="1"/>
      <w:numFmt w:val="bullet"/>
      <w:lvlText w:val="•"/>
      <w:lvlJc w:val="left"/>
      <w:pPr>
        <w:tabs>
          <w:tab w:val="num" w:pos="5760"/>
        </w:tabs>
        <w:ind w:left="5760" w:hanging="360"/>
      </w:pPr>
      <w:rPr>
        <w:rFonts w:ascii="Arial" w:hAnsi="Arial" w:hint="default"/>
      </w:rPr>
    </w:lvl>
    <w:lvl w:ilvl="8" w:tplc="C6C61C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9F16A4"/>
    <w:multiLevelType w:val="hybridMultilevel"/>
    <w:tmpl w:val="AB8C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F539DA"/>
    <w:multiLevelType w:val="hybridMultilevel"/>
    <w:tmpl w:val="26E2F0E6"/>
    <w:lvl w:ilvl="0" w:tplc="240A0001">
      <w:start w:val="1"/>
      <w:numFmt w:val="bullet"/>
      <w:lvlText w:val=""/>
      <w:lvlJc w:val="left"/>
      <w:pPr>
        <w:ind w:left="720" w:hanging="360"/>
      </w:pPr>
      <w:rPr>
        <w:rFonts w:ascii="Symbol" w:hAnsi="Symbol" w:hint="default"/>
      </w:rPr>
    </w:lvl>
    <w:lvl w:ilvl="1" w:tplc="49E68F26">
      <w:start w:val="1"/>
      <w:numFmt w:val="lowerLetter"/>
      <w:lvlText w:val="%2."/>
      <w:lvlJc w:val="left"/>
      <w:pPr>
        <w:ind w:left="1440" w:hanging="360"/>
      </w:pPr>
      <w:rPr>
        <w:rFonts w:ascii="Times New Roman" w:eastAsia="Calibri" w:hAnsi="Times New Roman"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77055E54"/>
    <w:multiLevelType w:val="hybridMultilevel"/>
    <w:tmpl w:val="2F7A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31F4"/>
    <w:multiLevelType w:val="hybridMultilevel"/>
    <w:tmpl w:val="0EF2CD3A"/>
    <w:lvl w:ilvl="0" w:tplc="200A000D">
      <w:start w:val="1"/>
      <w:numFmt w:val="bullet"/>
      <w:lvlText w:val=""/>
      <w:lvlJc w:val="left"/>
      <w:pPr>
        <w:ind w:left="720" w:hanging="360"/>
      </w:pPr>
      <w:rPr>
        <w:rFonts w:ascii="Wingdings" w:hAnsi="Wingdings" w:hint="default"/>
      </w:rPr>
    </w:lvl>
    <w:lvl w:ilvl="1" w:tplc="BC20908A">
      <w:numFmt w:val="bullet"/>
      <w:lvlText w:val="-"/>
      <w:lvlJc w:val="left"/>
      <w:pPr>
        <w:ind w:left="1440" w:hanging="360"/>
      </w:pPr>
      <w:rPr>
        <w:rFonts w:ascii="Calibri" w:eastAsia="Times New Roman" w:hAnsi="Calibri" w:cs="Times New Roman"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38" w15:restartNumberingAfterBreak="0">
    <w:nsid w:val="789B1755"/>
    <w:multiLevelType w:val="hybridMultilevel"/>
    <w:tmpl w:val="8BEEB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446594"/>
    <w:multiLevelType w:val="hybridMultilevel"/>
    <w:tmpl w:val="17ACA54C"/>
    <w:lvl w:ilvl="0" w:tplc="72BC2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84B5D"/>
    <w:multiLevelType w:val="hybridMultilevel"/>
    <w:tmpl w:val="8B720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32"/>
  </w:num>
  <w:num w:numId="11">
    <w:abstractNumId w:val="14"/>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8"/>
  </w:num>
  <w:num w:numId="16">
    <w:abstractNumId w:val="26"/>
  </w:num>
  <w:num w:numId="17">
    <w:abstractNumId w:val="29"/>
  </w:num>
  <w:num w:numId="18">
    <w:abstractNumId w:val="8"/>
  </w:num>
  <w:num w:numId="19">
    <w:abstractNumId w:val="34"/>
  </w:num>
  <w:num w:numId="20">
    <w:abstractNumId w:val="12"/>
  </w:num>
  <w:num w:numId="21">
    <w:abstractNumId w:val="37"/>
  </w:num>
  <w:num w:numId="22">
    <w:abstractNumId w:val="4"/>
  </w:num>
  <w:num w:numId="23">
    <w:abstractNumId w:val="15"/>
  </w:num>
  <w:num w:numId="24">
    <w:abstractNumId w:val="28"/>
  </w:num>
  <w:num w:numId="25">
    <w:abstractNumId w:val="10"/>
  </w:num>
  <w:num w:numId="26">
    <w:abstractNumId w:val="20"/>
  </w:num>
  <w:num w:numId="27">
    <w:abstractNumId w:val="17"/>
  </w:num>
  <w:num w:numId="28">
    <w:abstractNumId w:val="19"/>
  </w:num>
  <w:num w:numId="29">
    <w:abstractNumId w:val="3"/>
  </w:num>
  <w:num w:numId="30">
    <w:abstractNumId w:val="2"/>
  </w:num>
  <w:num w:numId="31">
    <w:abstractNumId w:val="30"/>
  </w:num>
  <w:num w:numId="32">
    <w:abstractNumId w:val="18"/>
  </w:num>
  <w:num w:numId="33">
    <w:abstractNumId w:val="33"/>
  </w:num>
  <w:num w:numId="34">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1"/>
  </w:num>
  <w:num w:numId="37">
    <w:abstractNumId w:val="13"/>
  </w:num>
  <w:num w:numId="38">
    <w:abstractNumId w:val="39"/>
  </w:num>
  <w:num w:numId="39">
    <w:abstractNumId w:val="16"/>
  </w:num>
  <w:num w:numId="40">
    <w:abstractNumId w:val="25"/>
  </w:num>
  <w:num w:numId="41">
    <w:abstractNumId w:val="31"/>
  </w:num>
  <w:num w:numId="42">
    <w:abstractNumId w:val="3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Q1MjcyNLA0NzY2MzVX0lEKTi0uzszPAykwNK4FAM/CesctAAAA"/>
  </w:docVars>
  <w:rsids>
    <w:rsidRoot w:val="008B242F"/>
    <w:rsid w:val="00000FC2"/>
    <w:rsid w:val="000070BD"/>
    <w:rsid w:val="00012A2A"/>
    <w:rsid w:val="00012C99"/>
    <w:rsid w:val="00013EB7"/>
    <w:rsid w:val="000210C7"/>
    <w:rsid w:val="00027659"/>
    <w:rsid w:val="00033095"/>
    <w:rsid w:val="0004200D"/>
    <w:rsid w:val="0004472D"/>
    <w:rsid w:val="00045D4E"/>
    <w:rsid w:val="00047AB1"/>
    <w:rsid w:val="00055ED3"/>
    <w:rsid w:val="00063EBC"/>
    <w:rsid w:val="00075259"/>
    <w:rsid w:val="00086AC7"/>
    <w:rsid w:val="0009625C"/>
    <w:rsid w:val="00096C4E"/>
    <w:rsid w:val="00096E73"/>
    <w:rsid w:val="000A1A5A"/>
    <w:rsid w:val="000C61FC"/>
    <w:rsid w:val="000D00F0"/>
    <w:rsid w:val="001026B0"/>
    <w:rsid w:val="00104A4E"/>
    <w:rsid w:val="00105361"/>
    <w:rsid w:val="00106AD2"/>
    <w:rsid w:val="00106D5E"/>
    <w:rsid w:val="0011516C"/>
    <w:rsid w:val="001201A0"/>
    <w:rsid w:val="0012567A"/>
    <w:rsid w:val="00144180"/>
    <w:rsid w:val="00147FD1"/>
    <w:rsid w:val="001566C3"/>
    <w:rsid w:val="00165D3A"/>
    <w:rsid w:val="001707AF"/>
    <w:rsid w:val="0018063D"/>
    <w:rsid w:val="0018322D"/>
    <w:rsid w:val="00192801"/>
    <w:rsid w:val="00196756"/>
    <w:rsid w:val="001C408C"/>
    <w:rsid w:val="001C552B"/>
    <w:rsid w:val="001D3E91"/>
    <w:rsid w:val="001D7C23"/>
    <w:rsid w:val="001F6B42"/>
    <w:rsid w:val="002022BE"/>
    <w:rsid w:val="00204AFC"/>
    <w:rsid w:val="00205952"/>
    <w:rsid w:val="00210907"/>
    <w:rsid w:val="00210E6F"/>
    <w:rsid w:val="002160B9"/>
    <w:rsid w:val="002270C3"/>
    <w:rsid w:val="00243448"/>
    <w:rsid w:val="002605DA"/>
    <w:rsid w:val="00263003"/>
    <w:rsid w:val="00263DF7"/>
    <w:rsid w:val="002751C6"/>
    <w:rsid w:val="002821EF"/>
    <w:rsid w:val="00283F4A"/>
    <w:rsid w:val="00284848"/>
    <w:rsid w:val="00292C09"/>
    <w:rsid w:val="00292C26"/>
    <w:rsid w:val="002A19F4"/>
    <w:rsid w:val="002D442E"/>
    <w:rsid w:val="002E1F12"/>
    <w:rsid w:val="002F057D"/>
    <w:rsid w:val="002F174F"/>
    <w:rsid w:val="002F75F9"/>
    <w:rsid w:val="00304E68"/>
    <w:rsid w:val="00316078"/>
    <w:rsid w:val="00316CBC"/>
    <w:rsid w:val="0032081F"/>
    <w:rsid w:val="00322D92"/>
    <w:rsid w:val="00347727"/>
    <w:rsid w:val="00347A43"/>
    <w:rsid w:val="00360B20"/>
    <w:rsid w:val="0036546D"/>
    <w:rsid w:val="003676FD"/>
    <w:rsid w:val="00374E27"/>
    <w:rsid w:val="0037616F"/>
    <w:rsid w:val="00377363"/>
    <w:rsid w:val="003778E7"/>
    <w:rsid w:val="003819F1"/>
    <w:rsid w:val="00385AEC"/>
    <w:rsid w:val="00390129"/>
    <w:rsid w:val="003955C9"/>
    <w:rsid w:val="00397A9A"/>
    <w:rsid w:val="003B127C"/>
    <w:rsid w:val="003B1F16"/>
    <w:rsid w:val="003B2110"/>
    <w:rsid w:val="003C5FCB"/>
    <w:rsid w:val="003D56DC"/>
    <w:rsid w:val="003E2D98"/>
    <w:rsid w:val="003E3EC7"/>
    <w:rsid w:val="003E518B"/>
    <w:rsid w:val="004010BC"/>
    <w:rsid w:val="00404373"/>
    <w:rsid w:val="004163BA"/>
    <w:rsid w:val="00423809"/>
    <w:rsid w:val="00432EB4"/>
    <w:rsid w:val="00442311"/>
    <w:rsid w:val="00454E67"/>
    <w:rsid w:val="00456EA9"/>
    <w:rsid w:val="00472C1E"/>
    <w:rsid w:val="004B314B"/>
    <w:rsid w:val="004B4DE1"/>
    <w:rsid w:val="004C3170"/>
    <w:rsid w:val="004C7130"/>
    <w:rsid w:val="004C77E2"/>
    <w:rsid w:val="004D2279"/>
    <w:rsid w:val="004F1C58"/>
    <w:rsid w:val="004F54F7"/>
    <w:rsid w:val="004F5CFD"/>
    <w:rsid w:val="00502167"/>
    <w:rsid w:val="00521311"/>
    <w:rsid w:val="005265D0"/>
    <w:rsid w:val="00537000"/>
    <w:rsid w:val="0053725C"/>
    <w:rsid w:val="00551DC1"/>
    <w:rsid w:val="00581DCC"/>
    <w:rsid w:val="00585B28"/>
    <w:rsid w:val="00592937"/>
    <w:rsid w:val="005B2F10"/>
    <w:rsid w:val="005B58D0"/>
    <w:rsid w:val="005C796D"/>
    <w:rsid w:val="005D700F"/>
    <w:rsid w:val="005E1B6D"/>
    <w:rsid w:val="005E3F24"/>
    <w:rsid w:val="005E5A18"/>
    <w:rsid w:val="005F4143"/>
    <w:rsid w:val="005F5A0A"/>
    <w:rsid w:val="0060112C"/>
    <w:rsid w:val="00601518"/>
    <w:rsid w:val="00612E79"/>
    <w:rsid w:val="00625CFE"/>
    <w:rsid w:val="00626923"/>
    <w:rsid w:val="00665BEF"/>
    <w:rsid w:val="006729FD"/>
    <w:rsid w:val="00676132"/>
    <w:rsid w:val="006814A9"/>
    <w:rsid w:val="006A5AE9"/>
    <w:rsid w:val="006B09D5"/>
    <w:rsid w:val="006B1548"/>
    <w:rsid w:val="006B3727"/>
    <w:rsid w:val="006B38DA"/>
    <w:rsid w:val="006B4A05"/>
    <w:rsid w:val="006C4497"/>
    <w:rsid w:val="006F74F9"/>
    <w:rsid w:val="00707F1C"/>
    <w:rsid w:val="0074333B"/>
    <w:rsid w:val="00755273"/>
    <w:rsid w:val="007618F2"/>
    <w:rsid w:val="0076535F"/>
    <w:rsid w:val="00772FA2"/>
    <w:rsid w:val="0077334A"/>
    <w:rsid w:val="007766B8"/>
    <w:rsid w:val="00776D2A"/>
    <w:rsid w:val="0078242B"/>
    <w:rsid w:val="0078429F"/>
    <w:rsid w:val="0079413A"/>
    <w:rsid w:val="007A0E87"/>
    <w:rsid w:val="007B098D"/>
    <w:rsid w:val="007B24CF"/>
    <w:rsid w:val="007C717B"/>
    <w:rsid w:val="007C79F9"/>
    <w:rsid w:val="007C7CAA"/>
    <w:rsid w:val="007D1241"/>
    <w:rsid w:val="007D2038"/>
    <w:rsid w:val="007D2740"/>
    <w:rsid w:val="007D4A8A"/>
    <w:rsid w:val="007E0E42"/>
    <w:rsid w:val="007F39D5"/>
    <w:rsid w:val="00800370"/>
    <w:rsid w:val="00802613"/>
    <w:rsid w:val="0080391D"/>
    <w:rsid w:val="0080587C"/>
    <w:rsid w:val="00805DC1"/>
    <w:rsid w:val="00815AEF"/>
    <w:rsid w:val="008332C0"/>
    <w:rsid w:val="00850685"/>
    <w:rsid w:val="00854336"/>
    <w:rsid w:val="008601C7"/>
    <w:rsid w:val="00860A46"/>
    <w:rsid w:val="00861287"/>
    <w:rsid w:val="00866317"/>
    <w:rsid w:val="00872A41"/>
    <w:rsid w:val="00874526"/>
    <w:rsid w:val="00875C3E"/>
    <w:rsid w:val="00876B3B"/>
    <w:rsid w:val="00895E96"/>
    <w:rsid w:val="008A3300"/>
    <w:rsid w:val="008A6BB3"/>
    <w:rsid w:val="008B242F"/>
    <w:rsid w:val="008C1DBF"/>
    <w:rsid w:val="008C6C92"/>
    <w:rsid w:val="008D0859"/>
    <w:rsid w:val="008D7E9C"/>
    <w:rsid w:val="00903259"/>
    <w:rsid w:val="00903D3E"/>
    <w:rsid w:val="00922E19"/>
    <w:rsid w:val="00925000"/>
    <w:rsid w:val="00930974"/>
    <w:rsid w:val="00933575"/>
    <w:rsid w:val="00936BC4"/>
    <w:rsid w:val="009431F6"/>
    <w:rsid w:val="009453FF"/>
    <w:rsid w:val="00950726"/>
    <w:rsid w:val="00952F88"/>
    <w:rsid w:val="00960683"/>
    <w:rsid w:val="00964C2C"/>
    <w:rsid w:val="00964D5D"/>
    <w:rsid w:val="00992506"/>
    <w:rsid w:val="00997869"/>
    <w:rsid w:val="009A607E"/>
    <w:rsid w:val="009B72E4"/>
    <w:rsid w:val="009C62CB"/>
    <w:rsid w:val="009C7811"/>
    <w:rsid w:val="009E715C"/>
    <w:rsid w:val="009F49B7"/>
    <w:rsid w:val="00A128B5"/>
    <w:rsid w:val="00A172DD"/>
    <w:rsid w:val="00A23C86"/>
    <w:rsid w:val="00A25C62"/>
    <w:rsid w:val="00A43199"/>
    <w:rsid w:val="00A44E4D"/>
    <w:rsid w:val="00A6081E"/>
    <w:rsid w:val="00A61C04"/>
    <w:rsid w:val="00A65C89"/>
    <w:rsid w:val="00A7153D"/>
    <w:rsid w:val="00AA4EE7"/>
    <w:rsid w:val="00AC6566"/>
    <w:rsid w:val="00AD09BD"/>
    <w:rsid w:val="00AD378A"/>
    <w:rsid w:val="00B03BE4"/>
    <w:rsid w:val="00B07AAE"/>
    <w:rsid w:val="00B11BA6"/>
    <w:rsid w:val="00B20ED0"/>
    <w:rsid w:val="00B26857"/>
    <w:rsid w:val="00B26912"/>
    <w:rsid w:val="00B35931"/>
    <w:rsid w:val="00B40359"/>
    <w:rsid w:val="00B40EC0"/>
    <w:rsid w:val="00B64E52"/>
    <w:rsid w:val="00B73718"/>
    <w:rsid w:val="00B758F2"/>
    <w:rsid w:val="00B75B45"/>
    <w:rsid w:val="00B87A9E"/>
    <w:rsid w:val="00B92D6E"/>
    <w:rsid w:val="00BC25BD"/>
    <w:rsid w:val="00BD565A"/>
    <w:rsid w:val="00BE4A3C"/>
    <w:rsid w:val="00BE6217"/>
    <w:rsid w:val="00BE77C1"/>
    <w:rsid w:val="00BF278B"/>
    <w:rsid w:val="00C228E2"/>
    <w:rsid w:val="00C25515"/>
    <w:rsid w:val="00C352D5"/>
    <w:rsid w:val="00C40F05"/>
    <w:rsid w:val="00C443C5"/>
    <w:rsid w:val="00C543CA"/>
    <w:rsid w:val="00C7028D"/>
    <w:rsid w:val="00C76A5D"/>
    <w:rsid w:val="00C80C1F"/>
    <w:rsid w:val="00C97487"/>
    <w:rsid w:val="00CA3AAA"/>
    <w:rsid w:val="00CA5429"/>
    <w:rsid w:val="00CB439E"/>
    <w:rsid w:val="00CB7321"/>
    <w:rsid w:val="00CB7986"/>
    <w:rsid w:val="00CD2E83"/>
    <w:rsid w:val="00CD6EF7"/>
    <w:rsid w:val="00CE1D7E"/>
    <w:rsid w:val="00CF0A01"/>
    <w:rsid w:val="00CF0F60"/>
    <w:rsid w:val="00CF1B87"/>
    <w:rsid w:val="00CF29CC"/>
    <w:rsid w:val="00CF3184"/>
    <w:rsid w:val="00CF4A26"/>
    <w:rsid w:val="00D079EF"/>
    <w:rsid w:val="00D1033E"/>
    <w:rsid w:val="00D103EB"/>
    <w:rsid w:val="00D2157B"/>
    <w:rsid w:val="00D23171"/>
    <w:rsid w:val="00D24A3D"/>
    <w:rsid w:val="00D26514"/>
    <w:rsid w:val="00D52660"/>
    <w:rsid w:val="00D53067"/>
    <w:rsid w:val="00D55D5A"/>
    <w:rsid w:val="00D60687"/>
    <w:rsid w:val="00D63D86"/>
    <w:rsid w:val="00D7721F"/>
    <w:rsid w:val="00D851A6"/>
    <w:rsid w:val="00D8688C"/>
    <w:rsid w:val="00D90022"/>
    <w:rsid w:val="00D91A6D"/>
    <w:rsid w:val="00D9758A"/>
    <w:rsid w:val="00D977A5"/>
    <w:rsid w:val="00DC0A13"/>
    <w:rsid w:val="00DC516A"/>
    <w:rsid w:val="00DE6956"/>
    <w:rsid w:val="00E107CC"/>
    <w:rsid w:val="00E111C0"/>
    <w:rsid w:val="00E21C28"/>
    <w:rsid w:val="00E230A9"/>
    <w:rsid w:val="00E5067C"/>
    <w:rsid w:val="00E55B58"/>
    <w:rsid w:val="00E55DFC"/>
    <w:rsid w:val="00E717CB"/>
    <w:rsid w:val="00E74595"/>
    <w:rsid w:val="00E86344"/>
    <w:rsid w:val="00EA23A9"/>
    <w:rsid w:val="00EB5D1D"/>
    <w:rsid w:val="00EB6B02"/>
    <w:rsid w:val="00EE0E61"/>
    <w:rsid w:val="00EF425F"/>
    <w:rsid w:val="00F02A52"/>
    <w:rsid w:val="00F02D13"/>
    <w:rsid w:val="00F176FF"/>
    <w:rsid w:val="00F20E7B"/>
    <w:rsid w:val="00F2418A"/>
    <w:rsid w:val="00F2607E"/>
    <w:rsid w:val="00F26BDD"/>
    <w:rsid w:val="00F32D3C"/>
    <w:rsid w:val="00F368F0"/>
    <w:rsid w:val="00F4040C"/>
    <w:rsid w:val="00F4164F"/>
    <w:rsid w:val="00F45147"/>
    <w:rsid w:val="00F870BF"/>
    <w:rsid w:val="00F93315"/>
    <w:rsid w:val="00F9562F"/>
    <w:rsid w:val="00F95D68"/>
    <w:rsid w:val="00FB34E4"/>
    <w:rsid w:val="00FB3CC4"/>
    <w:rsid w:val="00FB4106"/>
    <w:rsid w:val="00FB787D"/>
    <w:rsid w:val="00FC5C5B"/>
    <w:rsid w:val="00FE035E"/>
    <w:rsid w:val="00FE2AC8"/>
    <w:rsid w:val="00FE2B0D"/>
    <w:rsid w:val="00FF0342"/>
    <w:rsid w:val="00FF22A9"/>
    <w:rsid w:val="00FF6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EE2DA"/>
  <w15:docId w15:val="{481E1793-80C0-4F3C-AC83-0096003C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2F"/>
    <w:pPr>
      <w:jc w:val="both"/>
    </w:pPr>
    <w:rPr>
      <w:rFonts w:ascii="Times New Roman" w:eastAsia="Times New Roman" w:hAnsi="Times New Roman" w:cs="Angsana New"/>
      <w:sz w:val="22"/>
      <w:szCs w:val="24"/>
      <w:lang w:val="en-GB" w:eastAsia="en-US"/>
    </w:rPr>
  </w:style>
  <w:style w:type="paragraph" w:styleId="Heading1">
    <w:name w:val="heading 1"/>
    <w:basedOn w:val="Normal"/>
    <w:next w:val="Heading2"/>
    <w:link w:val="Heading1Char"/>
    <w:qFormat/>
    <w:rsid w:val="008B242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B242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unhideWhenUsed/>
    <w:qFormat/>
    <w:rsid w:val="005B2F10"/>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5B2F1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42F"/>
    <w:rPr>
      <w:rFonts w:ascii="Times New Roman" w:eastAsia="Times New Roman" w:hAnsi="Times New Roman" w:cs="Angsana New"/>
      <w:b/>
      <w:caps/>
      <w:szCs w:val="24"/>
      <w:lang w:val="en-GB"/>
    </w:rPr>
  </w:style>
  <w:style w:type="character" w:customStyle="1" w:styleId="Heading2Char">
    <w:name w:val="Heading 2 Char"/>
    <w:link w:val="Heading2"/>
    <w:rsid w:val="008B242F"/>
    <w:rPr>
      <w:rFonts w:ascii="Times New Roman" w:eastAsia="Times New Roman" w:hAnsi="Times New Roman" w:cs="Angsana New"/>
      <w:b/>
      <w:bCs/>
      <w:i/>
      <w:iCs/>
      <w:szCs w:val="24"/>
      <w:lang w:val="en-GB"/>
    </w:rPr>
  </w:style>
  <w:style w:type="paragraph" w:styleId="Header">
    <w:name w:val="header"/>
    <w:basedOn w:val="Normal"/>
    <w:link w:val="HeaderChar"/>
    <w:rsid w:val="008B242F"/>
    <w:pPr>
      <w:tabs>
        <w:tab w:val="center" w:pos="4320"/>
        <w:tab w:val="right" w:pos="8640"/>
      </w:tabs>
    </w:pPr>
  </w:style>
  <w:style w:type="character" w:customStyle="1" w:styleId="HeaderChar">
    <w:name w:val="Header Char"/>
    <w:link w:val="Header"/>
    <w:rsid w:val="008B242F"/>
    <w:rPr>
      <w:rFonts w:ascii="Times New Roman" w:eastAsia="Times New Roman" w:hAnsi="Times New Roman" w:cs="Angsana New"/>
      <w:szCs w:val="24"/>
      <w:lang w:val="en-GB"/>
    </w:rPr>
  </w:style>
  <w:style w:type="paragraph" w:styleId="Footer">
    <w:name w:val="footer"/>
    <w:basedOn w:val="Normal"/>
    <w:link w:val="FooterChar"/>
    <w:uiPriority w:val="99"/>
    <w:rsid w:val="008B242F"/>
    <w:pPr>
      <w:tabs>
        <w:tab w:val="center" w:pos="4320"/>
        <w:tab w:val="right" w:pos="8640"/>
      </w:tabs>
      <w:ind w:firstLine="720"/>
      <w:jc w:val="right"/>
    </w:pPr>
  </w:style>
  <w:style w:type="character" w:customStyle="1" w:styleId="FooterChar">
    <w:name w:val="Footer Char"/>
    <w:link w:val="Footer"/>
    <w:uiPriority w:val="99"/>
    <w:rsid w:val="008B242F"/>
    <w:rPr>
      <w:rFonts w:ascii="Times New Roman" w:eastAsia="Times New Roman" w:hAnsi="Times New Roman" w:cs="Angsana New"/>
      <w:szCs w:val="24"/>
      <w:lang w:val="en-GB"/>
    </w:rPr>
  </w:style>
  <w:style w:type="character" w:styleId="PageNumber">
    <w:name w:val="page number"/>
    <w:rsid w:val="008B242F"/>
    <w:rPr>
      <w:rFonts w:ascii="Times New Roman" w:hAnsi="Times New Roman"/>
      <w:sz w:val="22"/>
    </w:rPr>
  </w:style>
  <w:style w:type="paragraph" w:customStyle="1" w:styleId="Cornernotation">
    <w:name w:val="Corner notation"/>
    <w:basedOn w:val="Normal"/>
    <w:rsid w:val="008B242F"/>
    <w:pPr>
      <w:ind w:left="284" w:right="4398" w:hanging="284"/>
      <w:jc w:val="lef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8B242F"/>
    <w:rPr>
      <w:sz w:val="18"/>
      <w:u w:val="single"/>
      <w:vertAlign w:val="baseline"/>
    </w:rPr>
  </w:style>
  <w:style w:type="paragraph" w:customStyle="1" w:styleId="Default">
    <w:name w:val="Default"/>
    <w:rsid w:val="008B242F"/>
    <w:pPr>
      <w:autoSpaceDE w:val="0"/>
      <w:autoSpaceDN w:val="0"/>
      <w:adjustRightInd w:val="0"/>
    </w:pPr>
    <w:rPr>
      <w:rFonts w:ascii="Times New Roman" w:hAnsi="Times New Roman"/>
      <w:color w:val="000000"/>
      <w:sz w:val="24"/>
      <w:szCs w:val="24"/>
      <w:lang w:val="pt-BR" w:eastAsia="en-US"/>
    </w:rPr>
  </w:style>
  <w:style w:type="paragraph" w:styleId="BalloonText">
    <w:name w:val="Balloon Text"/>
    <w:basedOn w:val="Normal"/>
    <w:link w:val="BalloonTextChar"/>
    <w:uiPriority w:val="99"/>
    <w:semiHidden/>
    <w:unhideWhenUsed/>
    <w:rsid w:val="008B242F"/>
    <w:rPr>
      <w:rFonts w:ascii="Tahoma" w:hAnsi="Tahoma" w:cs="Tahoma"/>
      <w:sz w:val="16"/>
      <w:szCs w:val="16"/>
    </w:rPr>
  </w:style>
  <w:style w:type="character" w:customStyle="1" w:styleId="BalloonTextChar">
    <w:name w:val="Balloon Text Char"/>
    <w:link w:val="BalloonText"/>
    <w:uiPriority w:val="99"/>
    <w:semiHidden/>
    <w:rsid w:val="008B242F"/>
    <w:rPr>
      <w:rFonts w:ascii="Tahoma" w:eastAsia="Times New Roman" w:hAnsi="Tahoma" w:cs="Tahoma"/>
      <w:sz w:val="16"/>
      <w:szCs w:val="16"/>
      <w:lang w:val="en-GB"/>
    </w:rPr>
  </w:style>
  <w:style w:type="character" w:styleId="CommentReference">
    <w:name w:val="annotation reference"/>
    <w:uiPriority w:val="99"/>
    <w:semiHidden/>
    <w:unhideWhenUsed/>
    <w:rsid w:val="00F95D68"/>
    <w:rPr>
      <w:sz w:val="16"/>
      <w:szCs w:val="16"/>
    </w:rPr>
  </w:style>
  <w:style w:type="paragraph" w:styleId="CommentText">
    <w:name w:val="annotation text"/>
    <w:basedOn w:val="Normal"/>
    <w:link w:val="CommentTextChar"/>
    <w:uiPriority w:val="99"/>
    <w:unhideWhenUsed/>
    <w:rsid w:val="00F95D68"/>
    <w:rPr>
      <w:sz w:val="20"/>
      <w:szCs w:val="20"/>
    </w:rPr>
  </w:style>
  <w:style w:type="character" w:customStyle="1" w:styleId="CommentTextChar">
    <w:name w:val="Comment Text Char"/>
    <w:link w:val="CommentText"/>
    <w:uiPriority w:val="99"/>
    <w:rsid w:val="00F95D68"/>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uiPriority w:val="99"/>
    <w:semiHidden/>
    <w:unhideWhenUsed/>
    <w:rsid w:val="00F95D68"/>
    <w:rPr>
      <w:b/>
      <w:bCs/>
    </w:rPr>
  </w:style>
  <w:style w:type="character" w:customStyle="1" w:styleId="CommentSubjectChar">
    <w:name w:val="Comment Subject Char"/>
    <w:link w:val="CommentSubject"/>
    <w:uiPriority w:val="99"/>
    <w:semiHidden/>
    <w:rsid w:val="00F95D68"/>
    <w:rPr>
      <w:rFonts w:ascii="Times New Roman" w:eastAsia="Times New Roman" w:hAnsi="Times New Roman" w:cs="Angsana New"/>
      <w:b/>
      <w:bCs/>
      <w:sz w:val="20"/>
      <w:szCs w:val="20"/>
      <w:lang w:val="en-GB"/>
    </w:rPr>
  </w:style>
  <w:style w:type="paragraph" w:styleId="ListParagraph">
    <w:name w:val="List Paragraph"/>
    <w:basedOn w:val="Normal"/>
    <w:uiPriority w:val="34"/>
    <w:qFormat/>
    <w:rsid w:val="00106D5E"/>
    <w:pPr>
      <w:spacing w:after="113" w:line="248" w:lineRule="auto"/>
      <w:ind w:left="720" w:firstLine="710"/>
      <w:contextualSpacing/>
    </w:pPr>
    <w:rPr>
      <w:rFonts w:cs="Times New Roman"/>
      <w:color w:val="000000"/>
      <w:szCs w:val="22"/>
      <w:lang w:val="es-MX" w:eastAsia="es-MX"/>
    </w:rPr>
  </w:style>
  <w:style w:type="character" w:styleId="Hyperlink">
    <w:name w:val="Hyperlink"/>
    <w:uiPriority w:val="99"/>
    <w:unhideWhenUsed/>
    <w:rsid w:val="00AD378A"/>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B64E52"/>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B64E52"/>
    <w:rPr>
      <w:rFonts w:ascii="Times New Roman" w:eastAsia="Times New Roman" w:hAnsi="Times New Roman" w:cs="Angsana New"/>
      <w:lang w:val="en-GB"/>
    </w:rPr>
  </w:style>
  <w:style w:type="character" w:styleId="Strong">
    <w:name w:val="Strong"/>
    <w:uiPriority w:val="22"/>
    <w:qFormat/>
    <w:rsid w:val="0037616F"/>
    <w:rPr>
      <w:b/>
      <w:bCs/>
    </w:rPr>
  </w:style>
  <w:style w:type="paragraph" w:customStyle="1" w:styleId="Para1">
    <w:name w:val="Para1"/>
    <w:basedOn w:val="Normal"/>
    <w:link w:val="Para1Char"/>
    <w:rsid w:val="00601518"/>
    <w:pPr>
      <w:numPr>
        <w:numId w:val="3"/>
      </w:numPr>
      <w:snapToGrid w:val="0"/>
      <w:spacing w:before="120" w:after="120"/>
    </w:pPr>
    <w:rPr>
      <w:rFonts w:eastAsia="Malgun Gothic" w:cs="Times New Roman"/>
      <w:szCs w:val="18"/>
    </w:rPr>
  </w:style>
  <w:style w:type="paragraph" w:customStyle="1" w:styleId="HEADING">
    <w:name w:val="HEADING"/>
    <w:basedOn w:val="Normal"/>
    <w:rsid w:val="00012A2A"/>
    <w:pPr>
      <w:keepNext/>
      <w:tabs>
        <w:tab w:val="left" w:pos="1134"/>
      </w:tabs>
      <w:spacing w:before="240" w:after="120"/>
      <w:jc w:val="center"/>
    </w:pPr>
    <w:rPr>
      <w:rFonts w:eastAsia="Malgun Gothic" w:cs="Times New Roman"/>
      <w:b/>
      <w:caps/>
      <w:lang w:eastAsia="es-AR"/>
    </w:rPr>
  </w:style>
  <w:style w:type="character" w:customStyle="1" w:styleId="Heading3Char">
    <w:name w:val="Heading 3 Char"/>
    <w:link w:val="Heading3"/>
    <w:uiPriority w:val="9"/>
    <w:rsid w:val="005B2F10"/>
    <w:rPr>
      <w:rFonts w:ascii="Calibri Light" w:eastAsia="Times New Roman" w:hAnsi="Calibri Light" w:cs="Times New Roman"/>
      <w:b/>
      <w:bCs/>
      <w:sz w:val="26"/>
      <w:szCs w:val="26"/>
      <w:lang w:val="en-GB"/>
    </w:rPr>
  </w:style>
  <w:style w:type="character" w:customStyle="1" w:styleId="Heading4Char">
    <w:name w:val="Heading 4 Char"/>
    <w:link w:val="Heading4"/>
    <w:uiPriority w:val="9"/>
    <w:rsid w:val="005B2F10"/>
    <w:rPr>
      <w:rFonts w:ascii="Calibri" w:eastAsia="Times New Roman" w:hAnsi="Calibri" w:cs="Times New Roman"/>
      <w:b/>
      <w:bCs/>
      <w:sz w:val="28"/>
      <w:szCs w:val="28"/>
      <w:lang w:val="en-GB"/>
    </w:rPr>
  </w:style>
  <w:style w:type="paragraph" w:styleId="TOC1">
    <w:name w:val="toc 1"/>
    <w:basedOn w:val="Normal"/>
    <w:next w:val="Normal"/>
    <w:autoRedefine/>
    <w:uiPriority w:val="39"/>
    <w:unhideWhenUsed/>
    <w:rsid w:val="004010BC"/>
    <w:pPr>
      <w:spacing w:before="120"/>
      <w:jc w:val="left"/>
    </w:pPr>
    <w:rPr>
      <w:rFonts w:ascii="Calibri" w:hAnsi="Calibri"/>
      <w:b/>
      <w:bCs/>
      <w:i/>
      <w:iCs/>
      <w:sz w:val="24"/>
    </w:rPr>
  </w:style>
  <w:style w:type="paragraph" w:styleId="TOC2">
    <w:name w:val="toc 2"/>
    <w:basedOn w:val="Normal"/>
    <w:next w:val="Normal"/>
    <w:autoRedefine/>
    <w:uiPriority w:val="39"/>
    <w:unhideWhenUsed/>
    <w:rsid w:val="004010BC"/>
    <w:pPr>
      <w:spacing w:before="120"/>
      <w:ind w:left="220"/>
      <w:jc w:val="left"/>
    </w:pPr>
    <w:rPr>
      <w:rFonts w:ascii="Calibri" w:hAnsi="Calibri"/>
      <w:b/>
      <w:bCs/>
      <w:szCs w:val="22"/>
    </w:rPr>
  </w:style>
  <w:style w:type="paragraph" w:styleId="TOC3">
    <w:name w:val="toc 3"/>
    <w:basedOn w:val="Normal"/>
    <w:next w:val="Normal"/>
    <w:autoRedefine/>
    <w:uiPriority w:val="39"/>
    <w:unhideWhenUsed/>
    <w:rsid w:val="009A607E"/>
    <w:pPr>
      <w:tabs>
        <w:tab w:val="right" w:leader="dot" w:pos="9350"/>
      </w:tabs>
      <w:spacing w:before="120" w:after="120"/>
      <w:ind w:left="440"/>
      <w:jc w:val="left"/>
    </w:pPr>
    <w:rPr>
      <w:noProof/>
      <w:szCs w:val="20"/>
    </w:rPr>
  </w:style>
  <w:style w:type="paragraph" w:styleId="TOC4">
    <w:name w:val="toc 4"/>
    <w:basedOn w:val="Normal"/>
    <w:next w:val="Normal"/>
    <w:autoRedefine/>
    <w:uiPriority w:val="39"/>
    <w:unhideWhenUsed/>
    <w:rsid w:val="004010BC"/>
    <w:pPr>
      <w:ind w:left="660"/>
      <w:jc w:val="left"/>
    </w:pPr>
    <w:rPr>
      <w:rFonts w:ascii="Calibri" w:hAnsi="Calibri"/>
      <w:sz w:val="20"/>
      <w:szCs w:val="20"/>
    </w:rPr>
  </w:style>
  <w:style w:type="paragraph" w:styleId="TOC5">
    <w:name w:val="toc 5"/>
    <w:basedOn w:val="Normal"/>
    <w:next w:val="Normal"/>
    <w:autoRedefine/>
    <w:uiPriority w:val="39"/>
    <w:unhideWhenUsed/>
    <w:rsid w:val="004010BC"/>
    <w:pPr>
      <w:ind w:left="880"/>
      <w:jc w:val="left"/>
    </w:pPr>
    <w:rPr>
      <w:rFonts w:ascii="Calibri" w:hAnsi="Calibri"/>
      <w:sz w:val="20"/>
      <w:szCs w:val="20"/>
    </w:rPr>
  </w:style>
  <w:style w:type="paragraph" w:styleId="TOC6">
    <w:name w:val="toc 6"/>
    <w:basedOn w:val="Normal"/>
    <w:next w:val="Normal"/>
    <w:autoRedefine/>
    <w:uiPriority w:val="39"/>
    <w:unhideWhenUsed/>
    <w:rsid w:val="004010BC"/>
    <w:pPr>
      <w:ind w:left="1100"/>
      <w:jc w:val="left"/>
    </w:pPr>
    <w:rPr>
      <w:rFonts w:ascii="Calibri" w:hAnsi="Calibri"/>
      <w:sz w:val="20"/>
      <w:szCs w:val="20"/>
    </w:rPr>
  </w:style>
  <w:style w:type="paragraph" w:styleId="TOC7">
    <w:name w:val="toc 7"/>
    <w:basedOn w:val="Normal"/>
    <w:next w:val="Normal"/>
    <w:autoRedefine/>
    <w:uiPriority w:val="39"/>
    <w:unhideWhenUsed/>
    <w:rsid w:val="004010BC"/>
    <w:pPr>
      <w:ind w:left="1320"/>
      <w:jc w:val="left"/>
    </w:pPr>
    <w:rPr>
      <w:rFonts w:ascii="Calibri" w:hAnsi="Calibri"/>
      <w:sz w:val="20"/>
      <w:szCs w:val="20"/>
    </w:rPr>
  </w:style>
  <w:style w:type="paragraph" w:styleId="TOC8">
    <w:name w:val="toc 8"/>
    <w:basedOn w:val="Normal"/>
    <w:next w:val="Normal"/>
    <w:autoRedefine/>
    <w:uiPriority w:val="39"/>
    <w:unhideWhenUsed/>
    <w:rsid w:val="004010BC"/>
    <w:pPr>
      <w:ind w:left="1540"/>
      <w:jc w:val="left"/>
    </w:pPr>
    <w:rPr>
      <w:rFonts w:ascii="Calibri" w:hAnsi="Calibri"/>
      <w:sz w:val="20"/>
      <w:szCs w:val="20"/>
    </w:rPr>
  </w:style>
  <w:style w:type="paragraph" w:styleId="TOC9">
    <w:name w:val="toc 9"/>
    <w:basedOn w:val="Normal"/>
    <w:next w:val="Normal"/>
    <w:autoRedefine/>
    <w:uiPriority w:val="39"/>
    <w:unhideWhenUsed/>
    <w:rsid w:val="004010BC"/>
    <w:pPr>
      <w:ind w:left="1760"/>
      <w:jc w:val="left"/>
    </w:pPr>
    <w:rPr>
      <w:rFonts w:ascii="Calibri" w:hAnsi="Calibri"/>
      <w:sz w:val="20"/>
      <w:szCs w:val="20"/>
    </w:rPr>
  </w:style>
  <w:style w:type="character" w:styleId="Emphasis">
    <w:name w:val="Emphasis"/>
    <w:uiPriority w:val="20"/>
    <w:qFormat/>
    <w:rsid w:val="00A43199"/>
    <w:rPr>
      <w:i/>
      <w:iCs/>
    </w:rPr>
  </w:style>
  <w:style w:type="table" w:styleId="TableGrid">
    <w:name w:val="Table Grid"/>
    <w:basedOn w:val="TableNormal"/>
    <w:uiPriority w:val="59"/>
    <w:rsid w:val="00304E68"/>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4595"/>
    <w:pPr>
      <w:spacing w:before="100" w:beforeAutospacing="1" w:after="100" w:afterAutospacing="1"/>
      <w:jc w:val="left"/>
    </w:pPr>
    <w:rPr>
      <w:rFonts w:cs="Times New Roman"/>
      <w:sz w:val="24"/>
      <w:lang w:val="es-CO" w:eastAsia="es-ES_tradnl"/>
    </w:rPr>
  </w:style>
  <w:style w:type="paragraph" w:customStyle="1" w:styleId="m1952477789659951803msolistparagraph">
    <w:name w:val="m_1952477789659951803msolistparagraph"/>
    <w:basedOn w:val="Normal"/>
    <w:rsid w:val="003778E7"/>
    <w:pPr>
      <w:spacing w:before="100" w:beforeAutospacing="1" w:after="100" w:afterAutospacing="1"/>
      <w:jc w:val="left"/>
    </w:pPr>
    <w:rPr>
      <w:rFonts w:ascii="Calibri" w:eastAsia="Calibri" w:hAnsi="Calibri" w:cs="Calibri"/>
      <w:szCs w:val="22"/>
      <w:lang w:val="en-CA" w:eastAsia="en-CA"/>
    </w:rPr>
  </w:style>
  <w:style w:type="character" w:customStyle="1" w:styleId="UnresolvedMention1">
    <w:name w:val="Unresolved Mention1"/>
    <w:uiPriority w:val="99"/>
    <w:semiHidden/>
    <w:unhideWhenUsed/>
    <w:rsid w:val="006F74F9"/>
    <w:rPr>
      <w:color w:val="808080"/>
      <w:shd w:val="clear" w:color="auto" w:fill="E6E6E6"/>
    </w:rPr>
  </w:style>
  <w:style w:type="character" w:customStyle="1" w:styleId="Para1Char">
    <w:name w:val="Para1 Char"/>
    <w:link w:val="Para1"/>
    <w:locked/>
    <w:rsid w:val="007A0E87"/>
    <w:rPr>
      <w:rFonts w:ascii="Times New Roman" w:eastAsia="Malgun Gothic" w:hAnsi="Times New Roman"/>
      <w:sz w:val="22"/>
      <w:szCs w:val="18"/>
      <w:lang w:val="en-GB" w:eastAsia="en-US"/>
    </w:rPr>
  </w:style>
  <w:style w:type="character" w:customStyle="1" w:styleId="Hyperlink5">
    <w:name w:val="Hyperlink.5"/>
    <w:rsid w:val="007A0E87"/>
    <w:rPr>
      <w:kern w:val="22"/>
    </w:rPr>
  </w:style>
  <w:style w:type="numbering" w:customStyle="1" w:styleId="Bullets">
    <w:name w:val="Bullets"/>
    <w:rsid w:val="007A0E87"/>
    <w:pPr>
      <w:numPr>
        <w:numId w:val="36"/>
      </w:numPr>
    </w:pPr>
  </w:style>
  <w:style w:type="character" w:customStyle="1" w:styleId="UnresolvedMention2">
    <w:name w:val="Unresolved Mention2"/>
    <w:basedOn w:val="DefaultParagraphFont"/>
    <w:uiPriority w:val="99"/>
    <w:semiHidden/>
    <w:unhideWhenUsed/>
    <w:rsid w:val="002821EF"/>
    <w:rPr>
      <w:color w:val="808080"/>
      <w:shd w:val="clear" w:color="auto" w:fill="E6E6E6"/>
    </w:rPr>
  </w:style>
  <w:style w:type="character" w:styleId="PlaceholderText">
    <w:name w:val="Placeholder Text"/>
    <w:basedOn w:val="DefaultParagraphFont"/>
    <w:uiPriority w:val="99"/>
    <w:semiHidden/>
    <w:rsid w:val="004F1C58"/>
    <w:rPr>
      <w:color w:val="808080"/>
    </w:rPr>
  </w:style>
  <w:style w:type="character" w:styleId="FollowedHyperlink">
    <w:name w:val="FollowedHyperlink"/>
    <w:basedOn w:val="DefaultParagraphFont"/>
    <w:uiPriority w:val="99"/>
    <w:semiHidden/>
    <w:unhideWhenUsed/>
    <w:rsid w:val="00F45147"/>
    <w:rPr>
      <w:color w:val="954F72" w:themeColor="followedHyperlink"/>
      <w:u w:val="single"/>
    </w:rPr>
  </w:style>
  <w:style w:type="paragraph" w:customStyle="1" w:styleId="Mainbodytext10ptConst">
    <w:name w:val="Main body text (10pt Const)"/>
    <w:basedOn w:val="Normal"/>
    <w:qFormat/>
    <w:rsid w:val="00404373"/>
    <w:pPr>
      <w:jc w:val="left"/>
    </w:pPr>
    <w:rPr>
      <w:rFonts w:ascii="Constantia" w:hAnsi="Constantia" w:cs="Times New Roman"/>
    </w:rPr>
  </w:style>
  <w:style w:type="character" w:customStyle="1" w:styleId="BodyAChar">
    <w:name w:val="Body A Char"/>
    <w:basedOn w:val="DefaultParagraphFont"/>
    <w:link w:val="BodyA"/>
    <w:locked/>
    <w:rsid w:val="00404373"/>
    <w:rPr>
      <w:rFonts w:cs="Calibri"/>
      <w:color w:val="000000"/>
    </w:rPr>
  </w:style>
  <w:style w:type="paragraph" w:customStyle="1" w:styleId="BodyA">
    <w:name w:val="Body A"/>
    <w:basedOn w:val="Normal"/>
    <w:link w:val="BodyAChar"/>
    <w:rsid w:val="00404373"/>
    <w:pPr>
      <w:spacing w:after="160" w:line="252" w:lineRule="auto"/>
      <w:jc w:val="left"/>
    </w:pPr>
    <w:rPr>
      <w:rFonts w:ascii="Calibri" w:eastAsia="Calibri" w:hAnsi="Calibri" w:cs="Calibri"/>
      <w:color w:val="00000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2925">
      <w:bodyDiv w:val="1"/>
      <w:marLeft w:val="0"/>
      <w:marRight w:val="0"/>
      <w:marTop w:val="0"/>
      <w:marBottom w:val="0"/>
      <w:divBdr>
        <w:top w:val="none" w:sz="0" w:space="0" w:color="auto"/>
        <w:left w:val="none" w:sz="0" w:space="0" w:color="auto"/>
        <w:bottom w:val="none" w:sz="0" w:space="0" w:color="auto"/>
        <w:right w:val="none" w:sz="0" w:space="0" w:color="auto"/>
      </w:divBdr>
    </w:div>
    <w:div w:id="100953806">
      <w:bodyDiv w:val="1"/>
      <w:marLeft w:val="0"/>
      <w:marRight w:val="0"/>
      <w:marTop w:val="0"/>
      <w:marBottom w:val="0"/>
      <w:divBdr>
        <w:top w:val="none" w:sz="0" w:space="0" w:color="auto"/>
        <w:left w:val="none" w:sz="0" w:space="0" w:color="auto"/>
        <w:bottom w:val="none" w:sz="0" w:space="0" w:color="auto"/>
        <w:right w:val="none" w:sz="0" w:space="0" w:color="auto"/>
      </w:divBdr>
      <w:divsChild>
        <w:div w:id="505482244">
          <w:marLeft w:val="432"/>
          <w:marRight w:val="0"/>
          <w:marTop w:val="80"/>
          <w:marBottom w:val="0"/>
          <w:divBdr>
            <w:top w:val="none" w:sz="0" w:space="0" w:color="auto"/>
            <w:left w:val="none" w:sz="0" w:space="0" w:color="auto"/>
            <w:bottom w:val="none" w:sz="0" w:space="0" w:color="auto"/>
            <w:right w:val="none" w:sz="0" w:space="0" w:color="auto"/>
          </w:divBdr>
        </w:div>
        <w:div w:id="934172590">
          <w:marLeft w:val="432"/>
          <w:marRight w:val="0"/>
          <w:marTop w:val="80"/>
          <w:marBottom w:val="0"/>
          <w:divBdr>
            <w:top w:val="none" w:sz="0" w:space="0" w:color="auto"/>
            <w:left w:val="none" w:sz="0" w:space="0" w:color="auto"/>
            <w:bottom w:val="none" w:sz="0" w:space="0" w:color="auto"/>
            <w:right w:val="none" w:sz="0" w:space="0" w:color="auto"/>
          </w:divBdr>
        </w:div>
        <w:div w:id="1184904202">
          <w:marLeft w:val="432"/>
          <w:marRight w:val="0"/>
          <w:marTop w:val="80"/>
          <w:marBottom w:val="0"/>
          <w:divBdr>
            <w:top w:val="none" w:sz="0" w:space="0" w:color="auto"/>
            <w:left w:val="none" w:sz="0" w:space="0" w:color="auto"/>
            <w:bottom w:val="none" w:sz="0" w:space="0" w:color="auto"/>
            <w:right w:val="none" w:sz="0" w:space="0" w:color="auto"/>
          </w:divBdr>
        </w:div>
      </w:divsChild>
    </w:div>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122358695">
      <w:bodyDiv w:val="1"/>
      <w:marLeft w:val="0"/>
      <w:marRight w:val="0"/>
      <w:marTop w:val="0"/>
      <w:marBottom w:val="0"/>
      <w:divBdr>
        <w:top w:val="none" w:sz="0" w:space="0" w:color="auto"/>
        <w:left w:val="none" w:sz="0" w:space="0" w:color="auto"/>
        <w:bottom w:val="none" w:sz="0" w:space="0" w:color="auto"/>
        <w:right w:val="none" w:sz="0" w:space="0" w:color="auto"/>
      </w:divBdr>
    </w:div>
    <w:div w:id="136459727">
      <w:bodyDiv w:val="1"/>
      <w:marLeft w:val="0"/>
      <w:marRight w:val="0"/>
      <w:marTop w:val="0"/>
      <w:marBottom w:val="0"/>
      <w:divBdr>
        <w:top w:val="none" w:sz="0" w:space="0" w:color="auto"/>
        <w:left w:val="none" w:sz="0" w:space="0" w:color="auto"/>
        <w:bottom w:val="none" w:sz="0" w:space="0" w:color="auto"/>
        <w:right w:val="none" w:sz="0" w:space="0" w:color="auto"/>
      </w:divBdr>
    </w:div>
    <w:div w:id="143860135">
      <w:bodyDiv w:val="1"/>
      <w:marLeft w:val="0"/>
      <w:marRight w:val="0"/>
      <w:marTop w:val="0"/>
      <w:marBottom w:val="0"/>
      <w:divBdr>
        <w:top w:val="none" w:sz="0" w:space="0" w:color="auto"/>
        <w:left w:val="none" w:sz="0" w:space="0" w:color="auto"/>
        <w:bottom w:val="none" w:sz="0" w:space="0" w:color="auto"/>
        <w:right w:val="none" w:sz="0" w:space="0" w:color="auto"/>
      </w:divBdr>
      <w:divsChild>
        <w:div w:id="1061634262">
          <w:marLeft w:val="547"/>
          <w:marRight w:val="0"/>
          <w:marTop w:val="160"/>
          <w:marBottom w:val="0"/>
          <w:divBdr>
            <w:top w:val="none" w:sz="0" w:space="0" w:color="auto"/>
            <w:left w:val="none" w:sz="0" w:space="0" w:color="auto"/>
            <w:bottom w:val="none" w:sz="0" w:space="0" w:color="auto"/>
            <w:right w:val="none" w:sz="0" w:space="0" w:color="auto"/>
          </w:divBdr>
        </w:div>
        <w:div w:id="1099638133">
          <w:marLeft w:val="547"/>
          <w:marRight w:val="0"/>
          <w:marTop w:val="160"/>
          <w:marBottom w:val="0"/>
          <w:divBdr>
            <w:top w:val="none" w:sz="0" w:space="0" w:color="auto"/>
            <w:left w:val="none" w:sz="0" w:space="0" w:color="auto"/>
            <w:bottom w:val="none" w:sz="0" w:space="0" w:color="auto"/>
            <w:right w:val="none" w:sz="0" w:space="0" w:color="auto"/>
          </w:divBdr>
        </w:div>
      </w:divsChild>
    </w:div>
    <w:div w:id="149447089">
      <w:bodyDiv w:val="1"/>
      <w:marLeft w:val="0"/>
      <w:marRight w:val="0"/>
      <w:marTop w:val="0"/>
      <w:marBottom w:val="0"/>
      <w:divBdr>
        <w:top w:val="none" w:sz="0" w:space="0" w:color="auto"/>
        <w:left w:val="none" w:sz="0" w:space="0" w:color="auto"/>
        <w:bottom w:val="none" w:sz="0" w:space="0" w:color="auto"/>
        <w:right w:val="none" w:sz="0" w:space="0" w:color="auto"/>
      </w:divBdr>
    </w:div>
    <w:div w:id="193344710">
      <w:bodyDiv w:val="1"/>
      <w:marLeft w:val="0"/>
      <w:marRight w:val="0"/>
      <w:marTop w:val="0"/>
      <w:marBottom w:val="0"/>
      <w:divBdr>
        <w:top w:val="none" w:sz="0" w:space="0" w:color="auto"/>
        <w:left w:val="none" w:sz="0" w:space="0" w:color="auto"/>
        <w:bottom w:val="none" w:sz="0" w:space="0" w:color="auto"/>
        <w:right w:val="none" w:sz="0" w:space="0" w:color="auto"/>
      </w:divBdr>
      <w:divsChild>
        <w:div w:id="1032652869">
          <w:marLeft w:val="446"/>
          <w:marRight w:val="0"/>
          <w:marTop w:val="0"/>
          <w:marBottom w:val="200"/>
          <w:divBdr>
            <w:top w:val="none" w:sz="0" w:space="0" w:color="auto"/>
            <w:left w:val="none" w:sz="0" w:space="0" w:color="auto"/>
            <w:bottom w:val="none" w:sz="0" w:space="0" w:color="auto"/>
            <w:right w:val="none" w:sz="0" w:space="0" w:color="auto"/>
          </w:divBdr>
        </w:div>
        <w:div w:id="1468933064">
          <w:marLeft w:val="446"/>
          <w:marRight w:val="0"/>
          <w:marTop w:val="0"/>
          <w:marBottom w:val="200"/>
          <w:divBdr>
            <w:top w:val="none" w:sz="0" w:space="0" w:color="auto"/>
            <w:left w:val="none" w:sz="0" w:space="0" w:color="auto"/>
            <w:bottom w:val="none" w:sz="0" w:space="0" w:color="auto"/>
            <w:right w:val="none" w:sz="0" w:space="0" w:color="auto"/>
          </w:divBdr>
        </w:div>
        <w:div w:id="1474298861">
          <w:marLeft w:val="446"/>
          <w:marRight w:val="0"/>
          <w:marTop w:val="0"/>
          <w:marBottom w:val="200"/>
          <w:divBdr>
            <w:top w:val="none" w:sz="0" w:space="0" w:color="auto"/>
            <w:left w:val="none" w:sz="0" w:space="0" w:color="auto"/>
            <w:bottom w:val="none" w:sz="0" w:space="0" w:color="auto"/>
            <w:right w:val="none" w:sz="0" w:space="0" w:color="auto"/>
          </w:divBdr>
        </w:div>
        <w:div w:id="1538934799">
          <w:marLeft w:val="446"/>
          <w:marRight w:val="0"/>
          <w:marTop w:val="0"/>
          <w:marBottom w:val="200"/>
          <w:divBdr>
            <w:top w:val="none" w:sz="0" w:space="0" w:color="auto"/>
            <w:left w:val="none" w:sz="0" w:space="0" w:color="auto"/>
            <w:bottom w:val="none" w:sz="0" w:space="0" w:color="auto"/>
            <w:right w:val="none" w:sz="0" w:space="0" w:color="auto"/>
          </w:divBdr>
        </w:div>
        <w:div w:id="1540163868">
          <w:marLeft w:val="446"/>
          <w:marRight w:val="0"/>
          <w:marTop w:val="0"/>
          <w:marBottom w:val="200"/>
          <w:divBdr>
            <w:top w:val="none" w:sz="0" w:space="0" w:color="auto"/>
            <w:left w:val="none" w:sz="0" w:space="0" w:color="auto"/>
            <w:bottom w:val="none" w:sz="0" w:space="0" w:color="auto"/>
            <w:right w:val="none" w:sz="0" w:space="0" w:color="auto"/>
          </w:divBdr>
        </w:div>
      </w:divsChild>
    </w:div>
    <w:div w:id="273289020">
      <w:bodyDiv w:val="1"/>
      <w:marLeft w:val="0"/>
      <w:marRight w:val="0"/>
      <w:marTop w:val="0"/>
      <w:marBottom w:val="0"/>
      <w:divBdr>
        <w:top w:val="none" w:sz="0" w:space="0" w:color="auto"/>
        <w:left w:val="none" w:sz="0" w:space="0" w:color="auto"/>
        <w:bottom w:val="none" w:sz="0" w:space="0" w:color="auto"/>
        <w:right w:val="none" w:sz="0" w:space="0" w:color="auto"/>
      </w:divBdr>
    </w:div>
    <w:div w:id="322661541">
      <w:bodyDiv w:val="1"/>
      <w:marLeft w:val="0"/>
      <w:marRight w:val="0"/>
      <w:marTop w:val="0"/>
      <w:marBottom w:val="0"/>
      <w:divBdr>
        <w:top w:val="none" w:sz="0" w:space="0" w:color="auto"/>
        <w:left w:val="none" w:sz="0" w:space="0" w:color="auto"/>
        <w:bottom w:val="none" w:sz="0" w:space="0" w:color="auto"/>
        <w:right w:val="none" w:sz="0" w:space="0" w:color="auto"/>
      </w:divBdr>
    </w:div>
    <w:div w:id="338430409">
      <w:bodyDiv w:val="1"/>
      <w:marLeft w:val="0"/>
      <w:marRight w:val="0"/>
      <w:marTop w:val="0"/>
      <w:marBottom w:val="0"/>
      <w:divBdr>
        <w:top w:val="none" w:sz="0" w:space="0" w:color="auto"/>
        <w:left w:val="none" w:sz="0" w:space="0" w:color="auto"/>
        <w:bottom w:val="none" w:sz="0" w:space="0" w:color="auto"/>
        <w:right w:val="none" w:sz="0" w:space="0" w:color="auto"/>
      </w:divBdr>
    </w:div>
    <w:div w:id="374046526">
      <w:bodyDiv w:val="1"/>
      <w:marLeft w:val="0"/>
      <w:marRight w:val="0"/>
      <w:marTop w:val="0"/>
      <w:marBottom w:val="0"/>
      <w:divBdr>
        <w:top w:val="none" w:sz="0" w:space="0" w:color="auto"/>
        <w:left w:val="none" w:sz="0" w:space="0" w:color="auto"/>
        <w:bottom w:val="none" w:sz="0" w:space="0" w:color="auto"/>
        <w:right w:val="none" w:sz="0" w:space="0" w:color="auto"/>
      </w:divBdr>
      <w:divsChild>
        <w:div w:id="284775597">
          <w:marLeft w:val="1166"/>
          <w:marRight w:val="0"/>
          <w:marTop w:val="0"/>
          <w:marBottom w:val="200"/>
          <w:divBdr>
            <w:top w:val="none" w:sz="0" w:space="0" w:color="auto"/>
            <w:left w:val="none" w:sz="0" w:space="0" w:color="auto"/>
            <w:bottom w:val="none" w:sz="0" w:space="0" w:color="auto"/>
            <w:right w:val="none" w:sz="0" w:space="0" w:color="auto"/>
          </w:divBdr>
        </w:div>
        <w:div w:id="383675084">
          <w:marLeft w:val="1166"/>
          <w:marRight w:val="0"/>
          <w:marTop w:val="0"/>
          <w:marBottom w:val="200"/>
          <w:divBdr>
            <w:top w:val="none" w:sz="0" w:space="0" w:color="auto"/>
            <w:left w:val="none" w:sz="0" w:space="0" w:color="auto"/>
            <w:bottom w:val="none" w:sz="0" w:space="0" w:color="auto"/>
            <w:right w:val="none" w:sz="0" w:space="0" w:color="auto"/>
          </w:divBdr>
        </w:div>
        <w:div w:id="821852543">
          <w:marLeft w:val="446"/>
          <w:marRight w:val="0"/>
          <w:marTop w:val="0"/>
          <w:marBottom w:val="200"/>
          <w:divBdr>
            <w:top w:val="none" w:sz="0" w:space="0" w:color="auto"/>
            <w:left w:val="none" w:sz="0" w:space="0" w:color="auto"/>
            <w:bottom w:val="none" w:sz="0" w:space="0" w:color="auto"/>
            <w:right w:val="none" w:sz="0" w:space="0" w:color="auto"/>
          </w:divBdr>
        </w:div>
        <w:div w:id="1596329711">
          <w:marLeft w:val="1166"/>
          <w:marRight w:val="0"/>
          <w:marTop w:val="0"/>
          <w:marBottom w:val="200"/>
          <w:divBdr>
            <w:top w:val="none" w:sz="0" w:space="0" w:color="auto"/>
            <w:left w:val="none" w:sz="0" w:space="0" w:color="auto"/>
            <w:bottom w:val="none" w:sz="0" w:space="0" w:color="auto"/>
            <w:right w:val="none" w:sz="0" w:space="0" w:color="auto"/>
          </w:divBdr>
        </w:div>
        <w:div w:id="1874536649">
          <w:marLeft w:val="446"/>
          <w:marRight w:val="0"/>
          <w:marTop w:val="0"/>
          <w:marBottom w:val="200"/>
          <w:divBdr>
            <w:top w:val="none" w:sz="0" w:space="0" w:color="auto"/>
            <w:left w:val="none" w:sz="0" w:space="0" w:color="auto"/>
            <w:bottom w:val="none" w:sz="0" w:space="0" w:color="auto"/>
            <w:right w:val="none" w:sz="0" w:space="0" w:color="auto"/>
          </w:divBdr>
        </w:div>
        <w:div w:id="2023361210">
          <w:marLeft w:val="446"/>
          <w:marRight w:val="0"/>
          <w:marTop w:val="0"/>
          <w:marBottom w:val="200"/>
          <w:divBdr>
            <w:top w:val="none" w:sz="0" w:space="0" w:color="auto"/>
            <w:left w:val="none" w:sz="0" w:space="0" w:color="auto"/>
            <w:bottom w:val="none" w:sz="0" w:space="0" w:color="auto"/>
            <w:right w:val="none" w:sz="0" w:space="0" w:color="auto"/>
          </w:divBdr>
        </w:div>
        <w:div w:id="2144734582">
          <w:marLeft w:val="446"/>
          <w:marRight w:val="0"/>
          <w:marTop w:val="0"/>
          <w:marBottom w:val="200"/>
          <w:divBdr>
            <w:top w:val="none" w:sz="0" w:space="0" w:color="auto"/>
            <w:left w:val="none" w:sz="0" w:space="0" w:color="auto"/>
            <w:bottom w:val="none" w:sz="0" w:space="0" w:color="auto"/>
            <w:right w:val="none" w:sz="0" w:space="0" w:color="auto"/>
          </w:divBdr>
        </w:div>
      </w:divsChild>
    </w:div>
    <w:div w:id="390931814">
      <w:bodyDiv w:val="1"/>
      <w:marLeft w:val="0"/>
      <w:marRight w:val="0"/>
      <w:marTop w:val="0"/>
      <w:marBottom w:val="0"/>
      <w:divBdr>
        <w:top w:val="none" w:sz="0" w:space="0" w:color="auto"/>
        <w:left w:val="none" w:sz="0" w:space="0" w:color="auto"/>
        <w:bottom w:val="none" w:sz="0" w:space="0" w:color="auto"/>
        <w:right w:val="none" w:sz="0" w:space="0" w:color="auto"/>
      </w:divBdr>
    </w:div>
    <w:div w:id="423115022">
      <w:bodyDiv w:val="1"/>
      <w:marLeft w:val="0"/>
      <w:marRight w:val="0"/>
      <w:marTop w:val="0"/>
      <w:marBottom w:val="0"/>
      <w:divBdr>
        <w:top w:val="none" w:sz="0" w:space="0" w:color="auto"/>
        <w:left w:val="none" w:sz="0" w:space="0" w:color="auto"/>
        <w:bottom w:val="none" w:sz="0" w:space="0" w:color="auto"/>
        <w:right w:val="none" w:sz="0" w:space="0" w:color="auto"/>
      </w:divBdr>
    </w:div>
    <w:div w:id="459498895">
      <w:bodyDiv w:val="1"/>
      <w:marLeft w:val="0"/>
      <w:marRight w:val="0"/>
      <w:marTop w:val="0"/>
      <w:marBottom w:val="0"/>
      <w:divBdr>
        <w:top w:val="none" w:sz="0" w:space="0" w:color="auto"/>
        <w:left w:val="none" w:sz="0" w:space="0" w:color="auto"/>
        <w:bottom w:val="none" w:sz="0" w:space="0" w:color="auto"/>
        <w:right w:val="none" w:sz="0" w:space="0" w:color="auto"/>
      </w:divBdr>
    </w:div>
    <w:div w:id="659578165">
      <w:bodyDiv w:val="1"/>
      <w:marLeft w:val="0"/>
      <w:marRight w:val="0"/>
      <w:marTop w:val="0"/>
      <w:marBottom w:val="0"/>
      <w:divBdr>
        <w:top w:val="none" w:sz="0" w:space="0" w:color="auto"/>
        <w:left w:val="none" w:sz="0" w:space="0" w:color="auto"/>
        <w:bottom w:val="none" w:sz="0" w:space="0" w:color="auto"/>
        <w:right w:val="none" w:sz="0" w:space="0" w:color="auto"/>
      </w:divBdr>
    </w:div>
    <w:div w:id="783496799">
      <w:bodyDiv w:val="1"/>
      <w:marLeft w:val="0"/>
      <w:marRight w:val="0"/>
      <w:marTop w:val="0"/>
      <w:marBottom w:val="0"/>
      <w:divBdr>
        <w:top w:val="none" w:sz="0" w:space="0" w:color="auto"/>
        <w:left w:val="none" w:sz="0" w:space="0" w:color="auto"/>
        <w:bottom w:val="none" w:sz="0" w:space="0" w:color="auto"/>
        <w:right w:val="none" w:sz="0" w:space="0" w:color="auto"/>
      </w:divBdr>
    </w:div>
    <w:div w:id="790634350">
      <w:bodyDiv w:val="1"/>
      <w:marLeft w:val="0"/>
      <w:marRight w:val="0"/>
      <w:marTop w:val="0"/>
      <w:marBottom w:val="0"/>
      <w:divBdr>
        <w:top w:val="none" w:sz="0" w:space="0" w:color="auto"/>
        <w:left w:val="none" w:sz="0" w:space="0" w:color="auto"/>
        <w:bottom w:val="none" w:sz="0" w:space="0" w:color="auto"/>
        <w:right w:val="none" w:sz="0" w:space="0" w:color="auto"/>
      </w:divBdr>
    </w:div>
    <w:div w:id="802382741">
      <w:bodyDiv w:val="1"/>
      <w:marLeft w:val="0"/>
      <w:marRight w:val="0"/>
      <w:marTop w:val="0"/>
      <w:marBottom w:val="0"/>
      <w:divBdr>
        <w:top w:val="none" w:sz="0" w:space="0" w:color="auto"/>
        <w:left w:val="none" w:sz="0" w:space="0" w:color="auto"/>
        <w:bottom w:val="none" w:sz="0" w:space="0" w:color="auto"/>
        <w:right w:val="none" w:sz="0" w:space="0" w:color="auto"/>
      </w:divBdr>
    </w:div>
    <w:div w:id="815412227">
      <w:bodyDiv w:val="1"/>
      <w:marLeft w:val="0"/>
      <w:marRight w:val="0"/>
      <w:marTop w:val="0"/>
      <w:marBottom w:val="0"/>
      <w:divBdr>
        <w:top w:val="none" w:sz="0" w:space="0" w:color="auto"/>
        <w:left w:val="none" w:sz="0" w:space="0" w:color="auto"/>
        <w:bottom w:val="none" w:sz="0" w:space="0" w:color="auto"/>
        <w:right w:val="none" w:sz="0" w:space="0" w:color="auto"/>
      </w:divBdr>
    </w:div>
    <w:div w:id="836310426">
      <w:bodyDiv w:val="1"/>
      <w:marLeft w:val="0"/>
      <w:marRight w:val="0"/>
      <w:marTop w:val="0"/>
      <w:marBottom w:val="0"/>
      <w:divBdr>
        <w:top w:val="none" w:sz="0" w:space="0" w:color="auto"/>
        <w:left w:val="none" w:sz="0" w:space="0" w:color="auto"/>
        <w:bottom w:val="none" w:sz="0" w:space="0" w:color="auto"/>
        <w:right w:val="none" w:sz="0" w:space="0" w:color="auto"/>
      </w:divBdr>
    </w:div>
    <w:div w:id="958679669">
      <w:bodyDiv w:val="1"/>
      <w:marLeft w:val="0"/>
      <w:marRight w:val="0"/>
      <w:marTop w:val="0"/>
      <w:marBottom w:val="0"/>
      <w:divBdr>
        <w:top w:val="none" w:sz="0" w:space="0" w:color="auto"/>
        <w:left w:val="none" w:sz="0" w:space="0" w:color="auto"/>
        <w:bottom w:val="none" w:sz="0" w:space="0" w:color="auto"/>
        <w:right w:val="none" w:sz="0" w:space="0" w:color="auto"/>
      </w:divBdr>
    </w:div>
    <w:div w:id="988173328">
      <w:bodyDiv w:val="1"/>
      <w:marLeft w:val="0"/>
      <w:marRight w:val="0"/>
      <w:marTop w:val="0"/>
      <w:marBottom w:val="0"/>
      <w:divBdr>
        <w:top w:val="none" w:sz="0" w:space="0" w:color="auto"/>
        <w:left w:val="none" w:sz="0" w:space="0" w:color="auto"/>
        <w:bottom w:val="none" w:sz="0" w:space="0" w:color="auto"/>
        <w:right w:val="none" w:sz="0" w:space="0" w:color="auto"/>
      </w:divBdr>
    </w:div>
    <w:div w:id="1003238263">
      <w:bodyDiv w:val="1"/>
      <w:marLeft w:val="0"/>
      <w:marRight w:val="0"/>
      <w:marTop w:val="0"/>
      <w:marBottom w:val="0"/>
      <w:divBdr>
        <w:top w:val="none" w:sz="0" w:space="0" w:color="auto"/>
        <w:left w:val="none" w:sz="0" w:space="0" w:color="auto"/>
        <w:bottom w:val="none" w:sz="0" w:space="0" w:color="auto"/>
        <w:right w:val="none" w:sz="0" w:space="0" w:color="auto"/>
      </w:divBdr>
      <w:divsChild>
        <w:div w:id="703138374">
          <w:marLeft w:val="446"/>
          <w:marRight w:val="0"/>
          <w:marTop w:val="0"/>
          <w:marBottom w:val="200"/>
          <w:divBdr>
            <w:top w:val="none" w:sz="0" w:space="0" w:color="auto"/>
            <w:left w:val="none" w:sz="0" w:space="0" w:color="auto"/>
            <w:bottom w:val="none" w:sz="0" w:space="0" w:color="auto"/>
            <w:right w:val="none" w:sz="0" w:space="0" w:color="auto"/>
          </w:divBdr>
        </w:div>
        <w:div w:id="1174882438">
          <w:marLeft w:val="446"/>
          <w:marRight w:val="0"/>
          <w:marTop w:val="0"/>
          <w:marBottom w:val="200"/>
          <w:divBdr>
            <w:top w:val="none" w:sz="0" w:space="0" w:color="auto"/>
            <w:left w:val="none" w:sz="0" w:space="0" w:color="auto"/>
            <w:bottom w:val="none" w:sz="0" w:space="0" w:color="auto"/>
            <w:right w:val="none" w:sz="0" w:space="0" w:color="auto"/>
          </w:divBdr>
        </w:div>
        <w:div w:id="2117016244">
          <w:marLeft w:val="446"/>
          <w:marRight w:val="0"/>
          <w:marTop w:val="0"/>
          <w:marBottom w:val="200"/>
          <w:divBdr>
            <w:top w:val="none" w:sz="0" w:space="0" w:color="auto"/>
            <w:left w:val="none" w:sz="0" w:space="0" w:color="auto"/>
            <w:bottom w:val="none" w:sz="0" w:space="0" w:color="auto"/>
            <w:right w:val="none" w:sz="0" w:space="0" w:color="auto"/>
          </w:divBdr>
        </w:div>
        <w:div w:id="2123258306">
          <w:marLeft w:val="446"/>
          <w:marRight w:val="0"/>
          <w:marTop w:val="0"/>
          <w:marBottom w:val="200"/>
          <w:divBdr>
            <w:top w:val="none" w:sz="0" w:space="0" w:color="auto"/>
            <w:left w:val="none" w:sz="0" w:space="0" w:color="auto"/>
            <w:bottom w:val="none" w:sz="0" w:space="0" w:color="auto"/>
            <w:right w:val="none" w:sz="0" w:space="0" w:color="auto"/>
          </w:divBdr>
        </w:div>
      </w:divsChild>
    </w:div>
    <w:div w:id="1047529003">
      <w:bodyDiv w:val="1"/>
      <w:marLeft w:val="0"/>
      <w:marRight w:val="0"/>
      <w:marTop w:val="0"/>
      <w:marBottom w:val="0"/>
      <w:divBdr>
        <w:top w:val="none" w:sz="0" w:space="0" w:color="auto"/>
        <w:left w:val="none" w:sz="0" w:space="0" w:color="auto"/>
        <w:bottom w:val="none" w:sz="0" w:space="0" w:color="auto"/>
        <w:right w:val="none" w:sz="0" w:space="0" w:color="auto"/>
      </w:divBdr>
      <w:divsChild>
        <w:div w:id="904682974">
          <w:marLeft w:val="446"/>
          <w:marRight w:val="0"/>
          <w:marTop w:val="0"/>
          <w:marBottom w:val="200"/>
          <w:divBdr>
            <w:top w:val="none" w:sz="0" w:space="0" w:color="auto"/>
            <w:left w:val="none" w:sz="0" w:space="0" w:color="auto"/>
            <w:bottom w:val="none" w:sz="0" w:space="0" w:color="auto"/>
            <w:right w:val="none" w:sz="0" w:space="0" w:color="auto"/>
          </w:divBdr>
        </w:div>
        <w:div w:id="1192911072">
          <w:marLeft w:val="446"/>
          <w:marRight w:val="0"/>
          <w:marTop w:val="0"/>
          <w:marBottom w:val="200"/>
          <w:divBdr>
            <w:top w:val="none" w:sz="0" w:space="0" w:color="auto"/>
            <w:left w:val="none" w:sz="0" w:space="0" w:color="auto"/>
            <w:bottom w:val="none" w:sz="0" w:space="0" w:color="auto"/>
            <w:right w:val="none" w:sz="0" w:space="0" w:color="auto"/>
          </w:divBdr>
        </w:div>
        <w:div w:id="1549606939">
          <w:marLeft w:val="446"/>
          <w:marRight w:val="0"/>
          <w:marTop w:val="0"/>
          <w:marBottom w:val="200"/>
          <w:divBdr>
            <w:top w:val="none" w:sz="0" w:space="0" w:color="auto"/>
            <w:left w:val="none" w:sz="0" w:space="0" w:color="auto"/>
            <w:bottom w:val="none" w:sz="0" w:space="0" w:color="auto"/>
            <w:right w:val="none" w:sz="0" w:space="0" w:color="auto"/>
          </w:divBdr>
        </w:div>
        <w:div w:id="1731998427">
          <w:marLeft w:val="446"/>
          <w:marRight w:val="0"/>
          <w:marTop w:val="0"/>
          <w:marBottom w:val="200"/>
          <w:divBdr>
            <w:top w:val="none" w:sz="0" w:space="0" w:color="auto"/>
            <w:left w:val="none" w:sz="0" w:space="0" w:color="auto"/>
            <w:bottom w:val="none" w:sz="0" w:space="0" w:color="auto"/>
            <w:right w:val="none" w:sz="0" w:space="0" w:color="auto"/>
          </w:divBdr>
        </w:div>
      </w:divsChild>
    </w:div>
    <w:div w:id="1055353578">
      <w:bodyDiv w:val="1"/>
      <w:marLeft w:val="0"/>
      <w:marRight w:val="0"/>
      <w:marTop w:val="0"/>
      <w:marBottom w:val="0"/>
      <w:divBdr>
        <w:top w:val="none" w:sz="0" w:space="0" w:color="auto"/>
        <w:left w:val="none" w:sz="0" w:space="0" w:color="auto"/>
        <w:bottom w:val="none" w:sz="0" w:space="0" w:color="auto"/>
        <w:right w:val="none" w:sz="0" w:space="0" w:color="auto"/>
      </w:divBdr>
    </w:div>
    <w:div w:id="1057700577">
      <w:bodyDiv w:val="1"/>
      <w:marLeft w:val="0"/>
      <w:marRight w:val="0"/>
      <w:marTop w:val="0"/>
      <w:marBottom w:val="0"/>
      <w:divBdr>
        <w:top w:val="none" w:sz="0" w:space="0" w:color="auto"/>
        <w:left w:val="none" w:sz="0" w:space="0" w:color="auto"/>
        <w:bottom w:val="none" w:sz="0" w:space="0" w:color="auto"/>
        <w:right w:val="none" w:sz="0" w:space="0" w:color="auto"/>
      </w:divBdr>
    </w:div>
    <w:div w:id="1153520361">
      <w:bodyDiv w:val="1"/>
      <w:marLeft w:val="0"/>
      <w:marRight w:val="0"/>
      <w:marTop w:val="0"/>
      <w:marBottom w:val="0"/>
      <w:divBdr>
        <w:top w:val="none" w:sz="0" w:space="0" w:color="auto"/>
        <w:left w:val="none" w:sz="0" w:space="0" w:color="auto"/>
        <w:bottom w:val="none" w:sz="0" w:space="0" w:color="auto"/>
        <w:right w:val="none" w:sz="0" w:space="0" w:color="auto"/>
      </w:divBdr>
    </w:div>
    <w:div w:id="1210651114">
      <w:bodyDiv w:val="1"/>
      <w:marLeft w:val="0"/>
      <w:marRight w:val="0"/>
      <w:marTop w:val="0"/>
      <w:marBottom w:val="0"/>
      <w:divBdr>
        <w:top w:val="none" w:sz="0" w:space="0" w:color="auto"/>
        <w:left w:val="none" w:sz="0" w:space="0" w:color="auto"/>
        <w:bottom w:val="none" w:sz="0" w:space="0" w:color="auto"/>
        <w:right w:val="none" w:sz="0" w:space="0" w:color="auto"/>
      </w:divBdr>
    </w:div>
    <w:div w:id="1237665850">
      <w:bodyDiv w:val="1"/>
      <w:marLeft w:val="0"/>
      <w:marRight w:val="0"/>
      <w:marTop w:val="0"/>
      <w:marBottom w:val="0"/>
      <w:divBdr>
        <w:top w:val="none" w:sz="0" w:space="0" w:color="auto"/>
        <w:left w:val="none" w:sz="0" w:space="0" w:color="auto"/>
        <w:bottom w:val="none" w:sz="0" w:space="0" w:color="auto"/>
        <w:right w:val="none" w:sz="0" w:space="0" w:color="auto"/>
      </w:divBdr>
      <w:divsChild>
        <w:div w:id="132525232">
          <w:marLeft w:val="446"/>
          <w:marRight w:val="0"/>
          <w:marTop w:val="0"/>
          <w:marBottom w:val="200"/>
          <w:divBdr>
            <w:top w:val="none" w:sz="0" w:space="0" w:color="auto"/>
            <w:left w:val="none" w:sz="0" w:space="0" w:color="auto"/>
            <w:bottom w:val="none" w:sz="0" w:space="0" w:color="auto"/>
            <w:right w:val="none" w:sz="0" w:space="0" w:color="auto"/>
          </w:divBdr>
        </w:div>
        <w:div w:id="465122049">
          <w:marLeft w:val="446"/>
          <w:marRight w:val="0"/>
          <w:marTop w:val="0"/>
          <w:marBottom w:val="200"/>
          <w:divBdr>
            <w:top w:val="none" w:sz="0" w:space="0" w:color="auto"/>
            <w:left w:val="none" w:sz="0" w:space="0" w:color="auto"/>
            <w:bottom w:val="none" w:sz="0" w:space="0" w:color="auto"/>
            <w:right w:val="none" w:sz="0" w:space="0" w:color="auto"/>
          </w:divBdr>
        </w:div>
        <w:div w:id="1205869698">
          <w:marLeft w:val="446"/>
          <w:marRight w:val="0"/>
          <w:marTop w:val="0"/>
          <w:marBottom w:val="200"/>
          <w:divBdr>
            <w:top w:val="none" w:sz="0" w:space="0" w:color="auto"/>
            <w:left w:val="none" w:sz="0" w:space="0" w:color="auto"/>
            <w:bottom w:val="none" w:sz="0" w:space="0" w:color="auto"/>
            <w:right w:val="none" w:sz="0" w:space="0" w:color="auto"/>
          </w:divBdr>
        </w:div>
        <w:div w:id="2015717719">
          <w:marLeft w:val="446"/>
          <w:marRight w:val="0"/>
          <w:marTop w:val="0"/>
          <w:marBottom w:val="200"/>
          <w:divBdr>
            <w:top w:val="none" w:sz="0" w:space="0" w:color="auto"/>
            <w:left w:val="none" w:sz="0" w:space="0" w:color="auto"/>
            <w:bottom w:val="none" w:sz="0" w:space="0" w:color="auto"/>
            <w:right w:val="none" w:sz="0" w:space="0" w:color="auto"/>
          </w:divBdr>
        </w:div>
        <w:div w:id="2063946874">
          <w:marLeft w:val="1166"/>
          <w:marRight w:val="0"/>
          <w:marTop w:val="0"/>
          <w:marBottom w:val="200"/>
          <w:divBdr>
            <w:top w:val="none" w:sz="0" w:space="0" w:color="auto"/>
            <w:left w:val="none" w:sz="0" w:space="0" w:color="auto"/>
            <w:bottom w:val="none" w:sz="0" w:space="0" w:color="auto"/>
            <w:right w:val="none" w:sz="0" w:space="0" w:color="auto"/>
          </w:divBdr>
        </w:div>
      </w:divsChild>
    </w:div>
    <w:div w:id="1246308507">
      <w:bodyDiv w:val="1"/>
      <w:marLeft w:val="0"/>
      <w:marRight w:val="0"/>
      <w:marTop w:val="0"/>
      <w:marBottom w:val="0"/>
      <w:divBdr>
        <w:top w:val="none" w:sz="0" w:space="0" w:color="auto"/>
        <w:left w:val="none" w:sz="0" w:space="0" w:color="auto"/>
        <w:bottom w:val="none" w:sz="0" w:space="0" w:color="auto"/>
        <w:right w:val="none" w:sz="0" w:space="0" w:color="auto"/>
      </w:divBdr>
      <w:divsChild>
        <w:div w:id="159395590">
          <w:marLeft w:val="1166"/>
          <w:marRight w:val="0"/>
          <w:marTop w:val="0"/>
          <w:marBottom w:val="200"/>
          <w:divBdr>
            <w:top w:val="none" w:sz="0" w:space="0" w:color="auto"/>
            <w:left w:val="none" w:sz="0" w:space="0" w:color="auto"/>
            <w:bottom w:val="none" w:sz="0" w:space="0" w:color="auto"/>
            <w:right w:val="none" w:sz="0" w:space="0" w:color="auto"/>
          </w:divBdr>
        </w:div>
        <w:div w:id="812869078">
          <w:marLeft w:val="446"/>
          <w:marRight w:val="0"/>
          <w:marTop w:val="0"/>
          <w:marBottom w:val="200"/>
          <w:divBdr>
            <w:top w:val="none" w:sz="0" w:space="0" w:color="auto"/>
            <w:left w:val="none" w:sz="0" w:space="0" w:color="auto"/>
            <w:bottom w:val="none" w:sz="0" w:space="0" w:color="auto"/>
            <w:right w:val="none" w:sz="0" w:space="0" w:color="auto"/>
          </w:divBdr>
        </w:div>
        <w:div w:id="1910189314">
          <w:marLeft w:val="446"/>
          <w:marRight w:val="0"/>
          <w:marTop w:val="0"/>
          <w:marBottom w:val="200"/>
          <w:divBdr>
            <w:top w:val="none" w:sz="0" w:space="0" w:color="auto"/>
            <w:left w:val="none" w:sz="0" w:space="0" w:color="auto"/>
            <w:bottom w:val="none" w:sz="0" w:space="0" w:color="auto"/>
            <w:right w:val="none" w:sz="0" w:space="0" w:color="auto"/>
          </w:divBdr>
        </w:div>
      </w:divsChild>
    </w:div>
    <w:div w:id="1337726200">
      <w:bodyDiv w:val="1"/>
      <w:marLeft w:val="0"/>
      <w:marRight w:val="0"/>
      <w:marTop w:val="0"/>
      <w:marBottom w:val="0"/>
      <w:divBdr>
        <w:top w:val="none" w:sz="0" w:space="0" w:color="auto"/>
        <w:left w:val="none" w:sz="0" w:space="0" w:color="auto"/>
        <w:bottom w:val="none" w:sz="0" w:space="0" w:color="auto"/>
        <w:right w:val="none" w:sz="0" w:space="0" w:color="auto"/>
      </w:divBdr>
      <w:divsChild>
        <w:div w:id="51078475">
          <w:marLeft w:val="446"/>
          <w:marRight w:val="0"/>
          <w:marTop w:val="0"/>
          <w:marBottom w:val="200"/>
          <w:divBdr>
            <w:top w:val="none" w:sz="0" w:space="0" w:color="auto"/>
            <w:left w:val="none" w:sz="0" w:space="0" w:color="auto"/>
            <w:bottom w:val="none" w:sz="0" w:space="0" w:color="auto"/>
            <w:right w:val="none" w:sz="0" w:space="0" w:color="auto"/>
          </w:divBdr>
        </w:div>
        <w:div w:id="405107178">
          <w:marLeft w:val="446"/>
          <w:marRight w:val="0"/>
          <w:marTop w:val="0"/>
          <w:marBottom w:val="200"/>
          <w:divBdr>
            <w:top w:val="none" w:sz="0" w:space="0" w:color="auto"/>
            <w:left w:val="none" w:sz="0" w:space="0" w:color="auto"/>
            <w:bottom w:val="none" w:sz="0" w:space="0" w:color="auto"/>
            <w:right w:val="none" w:sz="0" w:space="0" w:color="auto"/>
          </w:divBdr>
        </w:div>
        <w:div w:id="1329213087">
          <w:marLeft w:val="446"/>
          <w:marRight w:val="0"/>
          <w:marTop w:val="0"/>
          <w:marBottom w:val="200"/>
          <w:divBdr>
            <w:top w:val="none" w:sz="0" w:space="0" w:color="auto"/>
            <w:left w:val="none" w:sz="0" w:space="0" w:color="auto"/>
            <w:bottom w:val="none" w:sz="0" w:space="0" w:color="auto"/>
            <w:right w:val="none" w:sz="0" w:space="0" w:color="auto"/>
          </w:divBdr>
        </w:div>
      </w:divsChild>
    </w:div>
    <w:div w:id="1395466174">
      <w:bodyDiv w:val="1"/>
      <w:marLeft w:val="0"/>
      <w:marRight w:val="0"/>
      <w:marTop w:val="0"/>
      <w:marBottom w:val="0"/>
      <w:divBdr>
        <w:top w:val="none" w:sz="0" w:space="0" w:color="auto"/>
        <w:left w:val="none" w:sz="0" w:space="0" w:color="auto"/>
        <w:bottom w:val="none" w:sz="0" w:space="0" w:color="auto"/>
        <w:right w:val="none" w:sz="0" w:space="0" w:color="auto"/>
      </w:divBdr>
    </w:div>
    <w:div w:id="1409621355">
      <w:bodyDiv w:val="1"/>
      <w:marLeft w:val="0"/>
      <w:marRight w:val="0"/>
      <w:marTop w:val="0"/>
      <w:marBottom w:val="0"/>
      <w:divBdr>
        <w:top w:val="none" w:sz="0" w:space="0" w:color="auto"/>
        <w:left w:val="none" w:sz="0" w:space="0" w:color="auto"/>
        <w:bottom w:val="none" w:sz="0" w:space="0" w:color="auto"/>
        <w:right w:val="none" w:sz="0" w:space="0" w:color="auto"/>
      </w:divBdr>
      <w:divsChild>
        <w:div w:id="10499889">
          <w:marLeft w:val="432"/>
          <w:marRight w:val="0"/>
          <w:marTop w:val="100"/>
          <w:marBottom w:val="0"/>
          <w:divBdr>
            <w:top w:val="none" w:sz="0" w:space="0" w:color="auto"/>
            <w:left w:val="none" w:sz="0" w:space="0" w:color="auto"/>
            <w:bottom w:val="none" w:sz="0" w:space="0" w:color="auto"/>
            <w:right w:val="none" w:sz="0" w:space="0" w:color="auto"/>
          </w:divBdr>
        </w:div>
        <w:div w:id="398288124">
          <w:marLeft w:val="432"/>
          <w:marRight w:val="0"/>
          <w:marTop w:val="100"/>
          <w:marBottom w:val="0"/>
          <w:divBdr>
            <w:top w:val="none" w:sz="0" w:space="0" w:color="auto"/>
            <w:left w:val="none" w:sz="0" w:space="0" w:color="auto"/>
            <w:bottom w:val="none" w:sz="0" w:space="0" w:color="auto"/>
            <w:right w:val="none" w:sz="0" w:space="0" w:color="auto"/>
          </w:divBdr>
        </w:div>
        <w:div w:id="421611872">
          <w:marLeft w:val="432"/>
          <w:marRight w:val="0"/>
          <w:marTop w:val="120"/>
          <w:marBottom w:val="0"/>
          <w:divBdr>
            <w:top w:val="none" w:sz="0" w:space="0" w:color="auto"/>
            <w:left w:val="none" w:sz="0" w:space="0" w:color="auto"/>
            <w:bottom w:val="none" w:sz="0" w:space="0" w:color="auto"/>
            <w:right w:val="none" w:sz="0" w:space="0" w:color="auto"/>
          </w:divBdr>
        </w:div>
        <w:div w:id="1127502910">
          <w:marLeft w:val="432"/>
          <w:marRight w:val="0"/>
          <w:marTop w:val="100"/>
          <w:marBottom w:val="0"/>
          <w:divBdr>
            <w:top w:val="none" w:sz="0" w:space="0" w:color="auto"/>
            <w:left w:val="none" w:sz="0" w:space="0" w:color="auto"/>
            <w:bottom w:val="none" w:sz="0" w:space="0" w:color="auto"/>
            <w:right w:val="none" w:sz="0" w:space="0" w:color="auto"/>
          </w:divBdr>
        </w:div>
        <w:div w:id="1292175062">
          <w:marLeft w:val="432"/>
          <w:marRight w:val="0"/>
          <w:marTop w:val="100"/>
          <w:marBottom w:val="0"/>
          <w:divBdr>
            <w:top w:val="none" w:sz="0" w:space="0" w:color="auto"/>
            <w:left w:val="none" w:sz="0" w:space="0" w:color="auto"/>
            <w:bottom w:val="none" w:sz="0" w:space="0" w:color="auto"/>
            <w:right w:val="none" w:sz="0" w:space="0" w:color="auto"/>
          </w:divBdr>
        </w:div>
        <w:div w:id="2139954705">
          <w:marLeft w:val="432"/>
          <w:marRight w:val="0"/>
          <w:marTop w:val="100"/>
          <w:marBottom w:val="0"/>
          <w:divBdr>
            <w:top w:val="none" w:sz="0" w:space="0" w:color="auto"/>
            <w:left w:val="none" w:sz="0" w:space="0" w:color="auto"/>
            <w:bottom w:val="none" w:sz="0" w:space="0" w:color="auto"/>
            <w:right w:val="none" w:sz="0" w:space="0" w:color="auto"/>
          </w:divBdr>
        </w:div>
      </w:divsChild>
    </w:div>
    <w:div w:id="1443652290">
      <w:bodyDiv w:val="1"/>
      <w:marLeft w:val="0"/>
      <w:marRight w:val="0"/>
      <w:marTop w:val="0"/>
      <w:marBottom w:val="0"/>
      <w:divBdr>
        <w:top w:val="none" w:sz="0" w:space="0" w:color="auto"/>
        <w:left w:val="none" w:sz="0" w:space="0" w:color="auto"/>
        <w:bottom w:val="none" w:sz="0" w:space="0" w:color="auto"/>
        <w:right w:val="none" w:sz="0" w:space="0" w:color="auto"/>
      </w:divBdr>
      <w:divsChild>
        <w:div w:id="248539683">
          <w:marLeft w:val="547"/>
          <w:marRight w:val="0"/>
          <w:marTop w:val="100"/>
          <w:marBottom w:val="0"/>
          <w:divBdr>
            <w:top w:val="none" w:sz="0" w:space="0" w:color="auto"/>
            <w:left w:val="none" w:sz="0" w:space="0" w:color="auto"/>
            <w:bottom w:val="none" w:sz="0" w:space="0" w:color="auto"/>
            <w:right w:val="none" w:sz="0" w:space="0" w:color="auto"/>
          </w:divBdr>
        </w:div>
        <w:div w:id="369499543">
          <w:marLeft w:val="547"/>
          <w:marRight w:val="0"/>
          <w:marTop w:val="100"/>
          <w:marBottom w:val="0"/>
          <w:divBdr>
            <w:top w:val="none" w:sz="0" w:space="0" w:color="auto"/>
            <w:left w:val="none" w:sz="0" w:space="0" w:color="auto"/>
            <w:bottom w:val="none" w:sz="0" w:space="0" w:color="auto"/>
            <w:right w:val="none" w:sz="0" w:space="0" w:color="auto"/>
          </w:divBdr>
        </w:div>
        <w:div w:id="645279430">
          <w:marLeft w:val="547"/>
          <w:marRight w:val="0"/>
          <w:marTop w:val="100"/>
          <w:marBottom w:val="0"/>
          <w:divBdr>
            <w:top w:val="none" w:sz="0" w:space="0" w:color="auto"/>
            <w:left w:val="none" w:sz="0" w:space="0" w:color="auto"/>
            <w:bottom w:val="none" w:sz="0" w:space="0" w:color="auto"/>
            <w:right w:val="none" w:sz="0" w:space="0" w:color="auto"/>
          </w:divBdr>
        </w:div>
        <w:div w:id="1140878239">
          <w:marLeft w:val="547"/>
          <w:marRight w:val="0"/>
          <w:marTop w:val="100"/>
          <w:marBottom w:val="0"/>
          <w:divBdr>
            <w:top w:val="none" w:sz="0" w:space="0" w:color="auto"/>
            <w:left w:val="none" w:sz="0" w:space="0" w:color="auto"/>
            <w:bottom w:val="none" w:sz="0" w:space="0" w:color="auto"/>
            <w:right w:val="none" w:sz="0" w:space="0" w:color="auto"/>
          </w:divBdr>
        </w:div>
        <w:div w:id="1537425665">
          <w:marLeft w:val="547"/>
          <w:marRight w:val="0"/>
          <w:marTop w:val="100"/>
          <w:marBottom w:val="0"/>
          <w:divBdr>
            <w:top w:val="none" w:sz="0" w:space="0" w:color="auto"/>
            <w:left w:val="none" w:sz="0" w:space="0" w:color="auto"/>
            <w:bottom w:val="none" w:sz="0" w:space="0" w:color="auto"/>
            <w:right w:val="none" w:sz="0" w:space="0" w:color="auto"/>
          </w:divBdr>
        </w:div>
      </w:divsChild>
    </w:div>
    <w:div w:id="1467238048">
      <w:bodyDiv w:val="1"/>
      <w:marLeft w:val="0"/>
      <w:marRight w:val="0"/>
      <w:marTop w:val="0"/>
      <w:marBottom w:val="0"/>
      <w:divBdr>
        <w:top w:val="none" w:sz="0" w:space="0" w:color="auto"/>
        <w:left w:val="none" w:sz="0" w:space="0" w:color="auto"/>
        <w:bottom w:val="none" w:sz="0" w:space="0" w:color="auto"/>
        <w:right w:val="none" w:sz="0" w:space="0" w:color="auto"/>
      </w:divBdr>
      <w:divsChild>
        <w:div w:id="1614629201">
          <w:marLeft w:val="446"/>
          <w:marRight w:val="0"/>
          <w:marTop w:val="0"/>
          <w:marBottom w:val="200"/>
          <w:divBdr>
            <w:top w:val="none" w:sz="0" w:space="0" w:color="auto"/>
            <w:left w:val="none" w:sz="0" w:space="0" w:color="auto"/>
            <w:bottom w:val="none" w:sz="0" w:space="0" w:color="auto"/>
            <w:right w:val="none" w:sz="0" w:space="0" w:color="auto"/>
          </w:divBdr>
        </w:div>
        <w:div w:id="1623464509">
          <w:marLeft w:val="446"/>
          <w:marRight w:val="0"/>
          <w:marTop w:val="0"/>
          <w:marBottom w:val="200"/>
          <w:divBdr>
            <w:top w:val="none" w:sz="0" w:space="0" w:color="auto"/>
            <w:left w:val="none" w:sz="0" w:space="0" w:color="auto"/>
            <w:bottom w:val="none" w:sz="0" w:space="0" w:color="auto"/>
            <w:right w:val="none" w:sz="0" w:space="0" w:color="auto"/>
          </w:divBdr>
        </w:div>
        <w:div w:id="2068456742">
          <w:marLeft w:val="446"/>
          <w:marRight w:val="0"/>
          <w:marTop w:val="0"/>
          <w:marBottom w:val="200"/>
          <w:divBdr>
            <w:top w:val="none" w:sz="0" w:space="0" w:color="auto"/>
            <w:left w:val="none" w:sz="0" w:space="0" w:color="auto"/>
            <w:bottom w:val="none" w:sz="0" w:space="0" w:color="auto"/>
            <w:right w:val="none" w:sz="0" w:space="0" w:color="auto"/>
          </w:divBdr>
        </w:div>
      </w:divsChild>
    </w:div>
    <w:div w:id="1480656765">
      <w:bodyDiv w:val="1"/>
      <w:marLeft w:val="0"/>
      <w:marRight w:val="0"/>
      <w:marTop w:val="0"/>
      <w:marBottom w:val="0"/>
      <w:divBdr>
        <w:top w:val="none" w:sz="0" w:space="0" w:color="auto"/>
        <w:left w:val="none" w:sz="0" w:space="0" w:color="auto"/>
        <w:bottom w:val="none" w:sz="0" w:space="0" w:color="auto"/>
        <w:right w:val="none" w:sz="0" w:space="0" w:color="auto"/>
      </w:divBdr>
    </w:div>
    <w:div w:id="1493180704">
      <w:bodyDiv w:val="1"/>
      <w:marLeft w:val="0"/>
      <w:marRight w:val="0"/>
      <w:marTop w:val="0"/>
      <w:marBottom w:val="0"/>
      <w:divBdr>
        <w:top w:val="none" w:sz="0" w:space="0" w:color="auto"/>
        <w:left w:val="none" w:sz="0" w:space="0" w:color="auto"/>
        <w:bottom w:val="none" w:sz="0" w:space="0" w:color="auto"/>
        <w:right w:val="none" w:sz="0" w:space="0" w:color="auto"/>
      </w:divBdr>
    </w:div>
    <w:div w:id="1520506699">
      <w:bodyDiv w:val="1"/>
      <w:marLeft w:val="0"/>
      <w:marRight w:val="0"/>
      <w:marTop w:val="0"/>
      <w:marBottom w:val="0"/>
      <w:divBdr>
        <w:top w:val="none" w:sz="0" w:space="0" w:color="auto"/>
        <w:left w:val="none" w:sz="0" w:space="0" w:color="auto"/>
        <w:bottom w:val="none" w:sz="0" w:space="0" w:color="auto"/>
        <w:right w:val="none" w:sz="0" w:space="0" w:color="auto"/>
      </w:divBdr>
    </w:div>
    <w:div w:id="1595547808">
      <w:bodyDiv w:val="1"/>
      <w:marLeft w:val="0"/>
      <w:marRight w:val="0"/>
      <w:marTop w:val="0"/>
      <w:marBottom w:val="0"/>
      <w:divBdr>
        <w:top w:val="none" w:sz="0" w:space="0" w:color="auto"/>
        <w:left w:val="none" w:sz="0" w:space="0" w:color="auto"/>
        <w:bottom w:val="none" w:sz="0" w:space="0" w:color="auto"/>
        <w:right w:val="none" w:sz="0" w:space="0" w:color="auto"/>
      </w:divBdr>
    </w:div>
    <w:div w:id="1609309091">
      <w:bodyDiv w:val="1"/>
      <w:marLeft w:val="0"/>
      <w:marRight w:val="0"/>
      <w:marTop w:val="0"/>
      <w:marBottom w:val="0"/>
      <w:divBdr>
        <w:top w:val="none" w:sz="0" w:space="0" w:color="auto"/>
        <w:left w:val="none" w:sz="0" w:space="0" w:color="auto"/>
        <w:bottom w:val="none" w:sz="0" w:space="0" w:color="auto"/>
        <w:right w:val="none" w:sz="0" w:space="0" w:color="auto"/>
      </w:divBdr>
    </w:div>
    <w:div w:id="1677146611">
      <w:bodyDiv w:val="1"/>
      <w:marLeft w:val="0"/>
      <w:marRight w:val="0"/>
      <w:marTop w:val="0"/>
      <w:marBottom w:val="0"/>
      <w:divBdr>
        <w:top w:val="none" w:sz="0" w:space="0" w:color="auto"/>
        <w:left w:val="none" w:sz="0" w:space="0" w:color="auto"/>
        <w:bottom w:val="none" w:sz="0" w:space="0" w:color="auto"/>
        <w:right w:val="none" w:sz="0" w:space="0" w:color="auto"/>
      </w:divBdr>
      <w:divsChild>
        <w:div w:id="3019416">
          <w:marLeft w:val="1166"/>
          <w:marRight w:val="0"/>
          <w:marTop w:val="0"/>
          <w:marBottom w:val="200"/>
          <w:divBdr>
            <w:top w:val="none" w:sz="0" w:space="0" w:color="auto"/>
            <w:left w:val="none" w:sz="0" w:space="0" w:color="auto"/>
            <w:bottom w:val="none" w:sz="0" w:space="0" w:color="auto"/>
            <w:right w:val="none" w:sz="0" w:space="0" w:color="auto"/>
          </w:divBdr>
        </w:div>
        <w:div w:id="41298429">
          <w:marLeft w:val="1166"/>
          <w:marRight w:val="0"/>
          <w:marTop w:val="0"/>
          <w:marBottom w:val="200"/>
          <w:divBdr>
            <w:top w:val="none" w:sz="0" w:space="0" w:color="auto"/>
            <w:left w:val="none" w:sz="0" w:space="0" w:color="auto"/>
            <w:bottom w:val="none" w:sz="0" w:space="0" w:color="auto"/>
            <w:right w:val="none" w:sz="0" w:space="0" w:color="auto"/>
          </w:divBdr>
        </w:div>
        <w:div w:id="507141396">
          <w:marLeft w:val="446"/>
          <w:marRight w:val="0"/>
          <w:marTop w:val="0"/>
          <w:marBottom w:val="200"/>
          <w:divBdr>
            <w:top w:val="none" w:sz="0" w:space="0" w:color="auto"/>
            <w:left w:val="none" w:sz="0" w:space="0" w:color="auto"/>
            <w:bottom w:val="none" w:sz="0" w:space="0" w:color="auto"/>
            <w:right w:val="none" w:sz="0" w:space="0" w:color="auto"/>
          </w:divBdr>
        </w:div>
        <w:div w:id="780999327">
          <w:marLeft w:val="446"/>
          <w:marRight w:val="0"/>
          <w:marTop w:val="0"/>
          <w:marBottom w:val="200"/>
          <w:divBdr>
            <w:top w:val="none" w:sz="0" w:space="0" w:color="auto"/>
            <w:left w:val="none" w:sz="0" w:space="0" w:color="auto"/>
            <w:bottom w:val="none" w:sz="0" w:space="0" w:color="auto"/>
            <w:right w:val="none" w:sz="0" w:space="0" w:color="auto"/>
          </w:divBdr>
        </w:div>
        <w:div w:id="1598830271">
          <w:marLeft w:val="446"/>
          <w:marRight w:val="0"/>
          <w:marTop w:val="0"/>
          <w:marBottom w:val="200"/>
          <w:divBdr>
            <w:top w:val="none" w:sz="0" w:space="0" w:color="auto"/>
            <w:left w:val="none" w:sz="0" w:space="0" w:color="auto"/>
            <w:bottom w:val="none" w:sz="0" w:space="0" w:color="auto"/>
            <w:right w:val="none" w:sz="0" w:space="0" w:color="auto"/>
          </w:divBdr>
        </w:div>
      </w:divsChild>
    </w:div>
    <w:div w:id="1686011263">
      <w:bodyDiv w:val="1"/>
      <w:marLeft w:val="0"/>
      <w:marRight w:val="0"/>
      <w:marTop w:val="0"/>
      <w:marBottom w:val="0"/>
      <w:divBdr>
        <w:top w:val="none" w:sz="0" w:space="0" w:color="auto"/>
        <w:left w:val="none" w:sz="0" w:space="0" w:color="auto"/>
        <w:bottom w:val="none" w:sz="0" w:space="0" w:color="auto"/>
        <w:right w:val="none" w:sz="0" w:space="0" w:color="auto"/>
      </w:divBdr>
    </w:div>
    <w:div w:id="1786804910">
      <w:bodyDiv w:val="1"/>
      <w:marLeft w:val="0"/>
      <w:marRight w:val="0"/>
      <w:marTop w:val="0"/>
      <w:marBottom w:val="0"/>
      <w:divBdr>
        <w:top w:val="none" w:sz="0" w:space="0" w:color="auto"/>
        <w:left w:val="none" w:sz="0" w:space="0" w:color="auto"/>
        <w:bottom w:val="none" w:sz="0" w:space="0" w:color="auto"/>
        <w:right w:val="none" w:sz="0" w:space="0" w:color="auto"/>
      </w:divBdr>
    </w:div>
    <w:div w:id="1788352205">
      <w:bodyDiv w:val="1"/>
      <w:marLeft w:val="0"/>
      <w:marRight w:val="0"/>
      <w:marTop w:val="0"/>
      <w:marBottom w:val="0"/>
      <w:divBdr>
        <w:top w:val="none" w:sz="0" w:space="0" w:color="auto"/>
        <w:left w:val="none" w:sz="0" w:space="0" w:color="auto"/>
        <w:bottom w:val="none" w:sz="0" w:space="0" w:color="auto"/>
        <w:right w:val="none" w:sz="0" w:space="0" w:color="auto"/>
      </w:divBdr>
    </w:div>
    <w:div w:id="1817064178">
      <w:bodyDiv w:val="1"/>
      <w:marLeft w:val="0"/>
      <w:marRight w:val="0"/>
      <w:marTop w:val="0"/>
      <w:marBottom w:val="0"/>
      <w:divBdr>
        <w:top w:val="none" w:sz="0" w:space="0" w:color="auto"/>
        <w:left w:val="none" w:sz="0" w:space="0" w:color="auto"/>
        <w:bottom w:val="none" w:sz="0" w:space="0" w:color="auto"/>
        <w:right w:val="none" w:sz="0" w:space="0" w:color="auto"/>
      </w:divBdr>
    </w:div>
    <w:div w:id="1843619607">
      <w:bodyDiv w:val="1"/>
      <w:marLeft w:val="0"/>
      <w:marRight w:val="0"/>
      <w:marTop w:val="0"/>
      <w:marBottom w:val="0"/>
      <w:divBdr>
        <w:top w:val="none" w:sz="0" w:space="0" w:color="auto"/>
        <w:left w:val="none" w:sz="0" w:space="0" w:color="auto"/>
        <w:bottom w:val="none" w:sz="0" w:space="0" w:color="auto"/>
        <w:right w:val="none" w:sz="0" w:space="0" w:color="auto"/>
      </w:divBdr>
    </w:div>
    <w:div w:id="1847554188">
      <w:bodyDiv w:val="1"/>
      <w:marLeft w:val="0"/>
      <w:marRight w:val="0"/>
      <w:marTop w:val="0"/>
      <w:marBottom w:val="0"/>
      <w:divBdr>
        <w:top w:val="none" w:sz="0" w:space="0" w:color="auto"/>
        <w:left w:val="none" w:sz="0" w:space="0" w:color="auto"/>
        <w:bottom w:val="none" w:sz="0" w:space="0" w:color="auto"/>
        <w:right w:val="none" w:sz="0" w:space="0" w:color="auto"/>
      </w:divBdr>
      <w:divsChild>
        <w:div w:id="151220210">
          <w:marLeft w:val="1166"/>
          <w:marRight w:val="0"/>
          <w:marTop w:val="0"/>
          <w:marBottom w:val="200"/>
          <w:divBdr>
            <w:top w:val="none" w:sz="0" w:space="0" w:color="auto"/>
            <w:left w:val="none" w:sz="0" w:space="0" w:color="auto"/>
            <w:bottom w:val="none" w:sz="0" w:space="0" w:color="auto"/>
            <w:right w:val="none" w:sz="0" w:space="0" w:color="auto"/>
          </w:divBdr>
        </w:div>
        <w:div w:id="240412614">
          <w:marLeft w:val="1166"/>
          <w:marRight w:val="0"/>
          <w:marTop w:val="0"/>
          <w:marBottom w:val="200"/>
          <w:divBdr>
            <w:top w:val="none" w:sz="0" w:space="0" w:color="auto"/>
            <w:left w:val="none" w:sz="0" w:space="0" w:color="auto"/>
            <w:bottom w:val="none" w:sz="0" w:space="0" w:color="auto"/>
            <w:right w:val="none" w:sz="0" w:space="0" w:color="auto"/>
          </w:divBdr>
        </w:div>
        <w:div w:id="327364278">
          <w:marLeft w:val="1166"/>
          <w:marRight w:val="0"/>
          <w:marTop w:val="0"/>
          <w:marBottom w:val="200"/>
          <w:divBdr>
            <w:top w:val="none" w:sz="0" w:space="0" w:color="auto"/>
            <w:left w:val="none" w:sz="0" w:space="0" w:color="auto"/>
            <w:bottom w:val="none" w:sz="0" w:space="0" w:color="auto"/>
            <w:right w:val="none" w:sz="0" w:space="0" w:color="auto"/>
          </w:divBdr>
        </w:div>
        <w:div w:id="871919089">
          <w:marLeft w:val="446"/>
          <w:marRight w:val="0"/>
          <w:marTop w:val="0"/>
          <w:marBottom w:val="200"/>
          <w:divBdr>
            <w:top w:val="none" w:sz="0" w:space="0" w:color="auto"/>
            <w:left w:val="none" w:sz="0" w:space="0" w:color="auto"/>
            <w:bottom w:val="none" w:sz="0" w:space="0" w:color="auto"/>
            <w:right w:val="none" w:sz="0" w:space="0" w:color="auto"/>
          </w:divBdr>
        </w:div>
        <w:div w:id="1600216284">
          <w:marLeft w:val="446"/>
          <w:marRight w:val="0"/>
          <w:marTop w:val="0"/>
          <w:marBottom w:val="200"/>
          <w:divBdr>
            <w:top w:val="none" w:sz="0" w:space="0" w:color="auto"/>
            <w:left w:val="none" w:sz="0" w:space="0" w:color="auto"/>
            <w:bottom w:val="none" w:sz="0" w:space="0" w:color="auto"/>
            <w:right w:val="none" w:sz="0" w:space="0" w:color="auto"/>
          </w:divBdr>
        </w:div>
        <w:div w:id="1617985291">
          <w:marLeft w:val="1166"/>
          <w:marRight w:val="0"/>
          <w:marTop w:val="0"/>
          <w:marBottom w:val="200"/>
          <w:divBdr>
            <w:top w:val="none" w:sz="0" w:space="0" w:color="auto"/>
            <w:left w:val="none" w:sz="0" w:space="0" w:color="auto"/>
            <w:bottom w:val="none" w:sz="0" w:space="0" w:color="auto"/>
            <w:right w:val="none" w:sz="0" w:space="0" w:color="auto"/>
          </w:divBdr>
        </w:div>
        <w:div w:id="1958095062">
          <w:marLeft w:val="1166"/>
          <w:marRight w:val="0"/>
          <w:marTop w:val="0"/>
          <w:marBottom w:val="200"/>
          <w:divBdr>
            <w:top w:val="none" w:sz="0" w:space="0" w:color="auto"/>
            <w:left w:val="none" w:sz="0" w:space="0" w:color="auto"/>
            <w:bottom w:val="none" w:sz="0" w:space="0" w:color="auto"/>
            <w:right w:val="none" w:sz="0" w:space="0" w:color="auto"/>
          </w:divBdr>
        </w:div>
        <w:div w:id="2011519926">
          <w:marLeft w:val="446"/>
          <w:marRight w:val="0"/>
          <w:marTop w:val="0"/>
          <w:marBottom w:val="200"/>
          <w:divBdr>
            <w:top w:val="none" w:sz="0" w:space="0" w:color="auto"/>
            <w:left w:val="none" w:sz="0" w:space="0" w:color="auto"/>
            <w:bottom w:val="none" w:sz="0" w:space="0" w:color="auto"/>
            <w:right w:val="none" w:sz="0" w:space="0" w:color="auto"/>
          </w:divBdr>
        </w:div>
        <w:div w:id="2138335885">
          <w:marLeft w:val="1166"/>
          <w:marRight w:val="0"/>
          <w:marTop w:val="0"/>
          <w:marBottom w:val="200"/>
          <w:divBdr>
            <w:top w:val="none" w:sz="0" w:space="0" w:color="auto"/>
            <w:left w:val="none" w:sz="0" w:space="0" w:color="auto"/>
            <w:bottom w:val="none" w:sz="0" w:space="0" w:color="auto"/>
            <w:right w:val="none" w:sz="0" w:space="0" w:color="auto"/>
          </w:divBdr>
        </w:div>
      </w:divsChild>
    </w:div>
    <w:div w:id="1871139189">
      <w:bodyDiv w:val="1"/>
      <w:marLeft w:val="0"/>
      <w:marRight w:val="0"/>
      <w:marTop w:val="0"/>
      <w:marBottom w:val="0"/>
      <w:divBdr>
        <w:top w:val="none" w:sz="0" w:space="0" w:color="auto"/>
        <w:left w:val="none" w:sz="0" w:space="0" w:color="auto"/>
        <w:bottom w:val="none" w:sz="0" w:space="0" w:color="auto"/>
        <w:right w:val="none" w:sz="0" w:space="0" w:color="auto"/>
      </w:divBdr>
    </w:div>
    <w:div w:id="1895311668">
      <w:bodyDiv w:val="1"/>
      <w:marLeft w:val="0"/>
      <w:marRight w:val="0"/>
      <w:marTop w:val="0"/>
      <w:marBottom w:val="0"/>
      <w:divBdr>
        <w:top w:val="none" w:sz="0" w:space="0" w:color="auto"/>
        <w:left w:val="none" w:sz="0" w:space="0" w:color="auto"/>
        <w:bottom w:val="none" w:sz="0" w:space="0" w:color="auto"/>
        <w:right w:val="none" w:sz="0" w:space="0" w:color="auto"/>
      </w:divBdr>
    </w:div>
    <w:div w:id="1974828261">
      <w:bodyDiv w:val="1"/>
      <w:marLeft w:val="0"/>
      <w:marRight w:val="0"/>
      <w:marTop w:val="0"/>
      <w:marBottom w:val="0"/>
      <w:divBdr>
        <w:top w:val="none" w:sz="0" w:space="0" w:color="auto"/>
        <w:left w:val="none" w:sz="0" w:space="0" w:color="auto"/>
        <w:bottom w:val="none" w:sz="0" w:space="0" w:color="auto"/>
        <w:right w:val="none" w:sz="0" w:space="0" w:color="auto"/>
      </w:divBdr>
    </w:div>
    <w:div w:id="2071341833">
      <w:bodyDiv w:val="1"/>
      <w:marLeft w:val="0"/>
      <w:marRight w:val="0"/>
      <w:marTop w:val="0"/>
      <w:marBottom w:val="0"/>
      <w:divBdr>
        <w:top w:val="none" w:sz="0" w:space="0" w:color="auto"/>
        <w:left w:val="none" w:sz="0" w:space="0" w:color="auto"/>
        <w:bottom w:val="none" w:sz="0" w:space="0" w:color="auto"/>
        <w:right w:val="none" w:sz="0" w:space="0" w:color="auto"/>
      </w:divBdr>
      <w:divsChild>
        <w:div w:id="114715089">
          <w:marLeft w:val="446"/>
          <w:marRight w:val="0"/>
          <w:marTop w:val="0"/>
          <w:marBottom w:val="200"/>
          <w:divBdr>
            <w:top w:val="none" w:sz="0" w:space="0" w:color="auto"/>
            <w:left w:val="none" w:sz="0" w:space="0" w:color="auto"/>
            <w:bottom w:val="none" w:sz="0" w:space="0" w:color="auto"/>
            <w:right w:val="none" w:sz="0" w:space="0" w:color="auto"/>
          </w:divBdr>
        </w:div>
        <w:div w:id="825390482">
          <w:marLeft w:val="1166"/>
          <w:marRight w:val="0"/>
          <w:marTop w:val="0"/>
          <w:marBottom w:val="200"/>
          <w:divBdr>
            <w:top w:val="none" w:sz="0" w:space="0" w:color="auto"/>
            <w:left w:val="none" w:sz="0" w:space="0" w:color="auto"/>
            <w:bottom w:val="none" w:sz="0" w:space="0" w:color="auto"/>
            <w:right w:val="none" w:sz="0" w:space="0" w:color="auto"/>
          </w:divBdr>
        </w:div>
        <w:div w:id="1656031990">
          <w:marLeft w:val="446"/>
          <w:marRight w:val="0"/>
          <w:marTop w:val="0"/>
          <w:marBottom w:val="200"/>
          <w:divBdr>
            <w:top w:val="none" w:sz="0" w:space="0" w:color="auto"/>
            <w:left w:val="none" w:sz="0" w:space="0" w:color="auto"/>
            <w:bottom w:val="none" w:sz="0" w:space="0" w:color="auto"/>
            <w:right w:val="none" w:sz="0" w:space="0" w:color="auto"/>
          </w:divBdr>
        </w:div>
        <w:div w:id="1821728588">
          <w:marLeft w:val="1166"/>
          <w:marRight w:val="0"/>
          <w:marTop w:val="0"/>
          <w:marBottom w:val="200"/>
          <w:divBdr>
            <w:top w:val="none" w:sz="0" w:space="0" w:color="auto"/>
            <w:left w:val="none" w:sz="0" w:space="0" w:color="auto"/>
            <w:bottom w:val="none" w:sz="0" w:space="0" w:color="auto"/>
            <w:right w:val="none" w:sz="0" w:space="0" w:color="auto"/>
          </w:divBdr>
        </w:div>
        <w:div w:id="2012950998">
          <w:marLeft w:val="1166"/>
          <w:marRight w:val="0"/>
          <w:marTop w:val="0"/>
          <w:marBottom w:val="200"/>
          <w:divBdr>
            <w:top w:val="none" w:sz="0" w:space="0" w:color="auto"/>
            <w:left w:val="none" w:sz="0" w:space="0" w:color="auto"/>
            <w:bottom w:val="none" w:sz="0" w:space="0" w:color="auto"/>
            <w:right w:val="none" w:sz="0" w:space="0" w:color="auto"/>
          </w:divBdr>
        </w:div>
      </w:divsChild>
    </w:div>
    <w:div w:id="2114978827">
      <w:bodyDiv w:val="1"/>
      <w:marLeft w:val="0"/>
      <w:marRight w:val="0"/>
      <w:marTop w:val="0"/>
      <w:marBottom w:val="0"/>
      <w:divBdr>
        <w:top w:val="none" w:sz="0" w:space="0" w:color="auto"/>
        <w:left w:val="none" w:sz="0" w:space="0" w:color="auto"/>
        <w:bottom w:val="none" w:sz="0" w:space="0" w:color="auto"/>
        <w:right w:val="none" w:sz="0" w:space="0" w:color="auto"/>
      </w:divBdr>
    </w:div>
    <w:div w:id="21170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96D7671564138B3F6B8720D78EA3F"/>
        <w:category>
          <w:name w:val="General"/>
          <w:gallery w:val="placeholder"/>
        </w:category>
        <w:types>
          <w:type w:val="bbPlcHdr"/>
        </w:types>
        <w:behaviors>
          <w:behavior w:val="content"/>
        </w:behaviors>
        <w:guid w:val="{EFF1A503-E914-49B9-A576-4763966A393B}"/>
      </w:docPartPr>
      <w:docPartBody>
        <w:p w:rsidR="00243D92" w:rsidRDefault="00477140">
          <w:r w:rsidRPr="00E90594">
            <w:rPr>
              <w:rStyle w:val="PlaceholderText"/>
            </w:rPr>
            <w:t>[Title]</w:t>
          </w:r>
        </w:p>
      </w:docPartBody>
    </w:docPart>
    <w:docPart>
      <w:docPartPr>
        <w:name w:val="D94D470887864B1E923638BACF0B1522"/>
        <w:category>
          <w:name w:val="General"/>
          <w:gallery w:val="placeholder"/>
        </w:category>
        <w:types>
          <w:type w:val="bbPlcHdr"/>
        </w:types>
        <w:behaviors>
          <w:behavior w:val="content"/>
        </w:behaviors>
        <w:guid w:val="{6BC9EC95-ED7C-4058-9A38-A577F75D4679}"/>
      </w:docPartPr>
      <w:docPartBody>
        <w:p w:rsidR="00D25F7D" w:rsidRDefault="00397FB3" w:rsidP="00397FB3">
          <w:pPr>
            <w:pStyle w:val="D94D470887864B1E923638BACF0B1522"/>
          </w:pPr>
          <w:r w:rsidRPr="007E02EB">
            <w:rPr>
              <w:rStyle w:val="PlaceholderText"/>
            </w:rPr>
            <w:t>[Subject]</w:t>
          </w:r>
        </w:p>
      </w:docPartBody>
    </w:docPart>
    <w:docPart>
      <w:docPartPr>
        <w:name w:val="262AA9134C5B457D9A2ABD913ED649F7"/>
        <w:category>
          <w:name w:val="General"/>
          <w:gallery w:val="placeholder"/>
        </w:category>
        <w:types>
          <w:type w:val="bbPlcHdr"/>
        </w:types>
        <w:behaviors>
          <w:behavior w:val="content"/>
        </w:behaviors>
        <w:guid w:val="{2A961BB1-4FB1-4399-BAA8-9D24C0CF00E7}"/>
      </w:docPartPr>
      <w:docPartBody>
        <w:p w:rsidR="00495463" w:rsidRDefault="007F4614">
          <w:r w:rsidRPr="00184CAC">
            <w:rPr>
              <w:rStyle w:val="PlaceholderText"/>
            </w:rPr>
            <w:t>[Subject]</w:t>
          </w:r>
        </w:p>
      </w:docPartBody>
    </w:docPart>
    <w:docPart>
      <w:docPartPr>
        <w:name w:val="8C1BA02B35114008B6CB5830C4E11B12"/>
        <w:category>
          <w:name w:val="General"/>
          <w:gallery w:val="placeholder"/>
        </w:category>
        <w:types>
          <w:type w:val="bbPlcHdr"/>
        </w:types>
        <w:behaviors>
          <w:behavior w:val="content"/>
        </w:behaviors>
        <w:guid w:val="{9CC25EC1-F5F2-41F7-8305-910AC258F196}"/>
      </w:docPartPr>
      <w:docPartBody>
        <w:p w:rsidR="00000000" w:rsidRDefault="004161D6" w:rsidP="004161D6">
          <w:pPr>
            <w:pStyle w:val="8C1BA02B35114008B6CB5830C4E11B12"/>
          </w:pPr>
          <w:r w:rsidRPr="00184CA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40"/>
    <w:rsid w:val="000E4117"/>
    <w:rsid w:val="00221D5E"/>
    <w:rsid w:val="00243D92"/>
    <w:rsid w:val="00260CD8"/>
    <w:rsid w:val="00397FB3"/>
    <w:rsid w:val="004161D6"/>
    <w:rsid w:val="00477140"/>
    <w:rsid w:val="00495463"/>
    <w:rsid w:val="00710DD5"/>
    <w:rsid w:val="007F4614"/>
    <w:rsid w:val="009C43F2"/>
    <w:rsid w:val="00D25F7D"/>
    <w:rsid w:val="00F37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1D6"/>
    <w:rPr>
      <w:color w:val="808080"/>
    </w:rPr>
  </w:style>
  <w:style w:type="paragraph" w:customStyle="1" w:styleId="D94D470887864B1E923638BACF0B1522">
    <w:name w:val="D94D470887864B1E923638BACF0B1522"/>
    <w:rsid w:val="00397FB3"/>
    <w:pPr>
      <w:spacing w:after="200" w:line="276" w:lineRule="auto"/>
    </w:pPr>
  </w:style>
  <w:style w:type="paragraph" w:customStyle="1" w:styleId="A9CE1162A38C4F0F96EFF4D905E84177">
    <w:name w:val="A9CE1162A38C4F0F96EFF4D905E84177"/>
    <w:rsid w:val="00397FB3"/>
    <w:pPr>
      <w:spacing w:after="200" w:line="276" w:lineRule="auto"/>
    </w:pPr>
  </w:style>
  <w:style w:type="paragraph" w:customStyle="1" w:styleId="94D97BE4C70C4B72956921DC54A798A7">
    <w:name w:val="94D97BE4C70C4B72956921DC54A798A7"/>
    <w:rsid w:val="00397FB3"/>
    <w:pPr>
      <w:spacing w:after="200" w:line="276" w:lineRule="auto"/>
    </w:pPr>
  </w:style>
  <w:style w:type="paragraph" w:customStyle="1" w:styleId="8C1BA02B35114008B6CB5830C4E11B12">
    <w:name w:val="8C1BA02B35114008B6CB5830C4E11B12"/>
    <w:rsid w:val="00416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0267D-667B-4A48-A814-F4E28B3E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2424</Words>
  <Characters>13820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DEVELOPING INDICATORS FOR THE POST-2020 GLOBAL BIODIVERSITY FRAMEWORK: LESSONS FROM THE BIODIVERSITY INDICATORS PARTNERSHIP</vt:lpstr>
    </vt:vector>
  </TitlesOfParts>
  <Company>SCBD</Company>
  <LinksUpToDate>false</LinksUpToDate>
  <CharactersWithSpaces>16212</CharactersWithSpaces>
  <SharedDoc>false</SharedDoc>
  <HLinks>
    <vt:vector size="102" baseType="variant">
      <vt:variant>
        <vt:i4>720954</vt:i4>
      </vt:variant>
      <vt:variant>
        <vt:i4>93</vt:i4>
      </vt:variant>
      <vt:variant>
        <vt:i4>0</vt:i4>
      </vt:variant>
      <vt:variant>
        <vt:i4>5</vt:i4>
      </vt:variant>
      <vt:variant>
        <vt:lpwstr>mailto:batzinr@gmail.com</vt:lpwstr>
      </vt:variant>
      <vt:variant>
        <vt:lpwstr/>
      </vt:variant>
      <vt:variant>
        <vt:i4>1900593</vt:i4>
      </vt:variant>
      <vt:variant>
        <vt:i4>86</vt:i4>
      </vt:variant>
      <vt:variant>
        <vt:i4>0</vt:i4>
      </vt:variant>
      <vt:variant>
        <vt:i4>5</vt:i4>
      </vt:variant>
      <vt:variant>
        <vt:lpwstr/>
      </vt:variant>
      <vt:variant>
        <vt:lpwstr>_Toc521509544</vt:lpwstr>
      </vt:variant>
      <vt:variant>
        <vt:i4>1900593</vt:i4>
      </vt:variant>
      <vt:variant>
        <vt:i4>80</vt:i4>
      </vt:variant>
      <vt:variant>
        <vt:i4>0</vt:i4>
      </vt:variant>
      <vt:variant>
        <vt:i4>5</vt:i4>
      </vt:variant>
      <vt:variant>
        <vt:lpwstr/>
      </vt:variant>
      <vt:variant>
        <vt:lpwstr>_Toc521509543</vt:lpwstr>
      </vt:variant>
      <vt:variant>
        <vt:i4>1900593</vt:i4>
      </vt:variant>
      <vt:variant>
        <vt:i4>74</vt:i4>
      </vt:variant>
      <vt:variant>
        <vt:i4>0</vt:i4>
      </vt:variant>
      <vt:variant>
        <vt:i4>5</vt:i4>
      </vt:variant>
      <vt:variant>
        <vt:lpwstr/>
      </vt:variant>
      <vt:variant>
        <vt:lpwstr>_Toc521509542</vt:lpwstr>
      </vt:variant>
      <vt:variant>
        <vt:i4>1900593</vt:i4>
      </vt:variant>
      <vt:variant>
        <vt:i4>68</vt:i4>
      </vt:variant>
      <vt:variant>
        <vt:i4>0</vt:i4>
      </vt:variant>
      <vt:variant>
        <vt:i4>5</vt:i4>
      </vt:variant>
      <vt:variant>
        <vt:lpwstr/>
      </vt:variant>
      <vt:variant>
        <vt:lpwstr>_Toc521509541</vt:lpwstr>
      </vt:variant>
      <vt:variant>
        <vt:i4>1900593</vt:i4>
      </vt:variant>
      <vt:variant>
        <vt:i4>62</vt:i4>
      </vt:variant>
      <vt:variant>
        <vt:i4>0</vt:i4>
      </vt:variant>
      <vt:variant>
        <vt:i4>5</vt:i4>
      </vt:variant>
      <vt:variant>
        <vt:lpwstr/>
      </vt:variant>
      <vt:variant>
        <vt:lpwstr>_Toc521509540</vt:lpwstr>
      </vt:variant>
      <vt:variant>
        <vt:i4>1703985</vt:i4>
      </vt:variant>
      <vt:variant>
        <vt:i4>56</vt:i4>
      </vt:variant>
      <vt:variant>
        <vt:i4>0</vt:i4>
      </vt:variant>
      <vt:variant>
        <vt:i4>5</vt:i4>
      </vt:variant>
      <vt:variant>
        <vt:lpwstr/>
      </vt:variant>
      <vt:variant>
        <vt:lpwstr>_Toc521509539</vt:lpwstr>
      </vt:variant>
      <vt:variant>
        <vt:i4>1703985</vt:i4>
      </vt:variant>
      <vt:variant>
        <vt:i4>50</vt:i4>
      </vt:variant>
      <vt:variant>
        <vt:i4>0</vt:i4>
      </vt:variant>
      <vt:variant>
        <vt:i4>5</vt:i4>
      </vt:variant>
      <vt:variant>
        <vt:lpwstr/>
      </vt:variant>
      <vt:variant>
        <vt:lpwstr>_Toc521509538</vt:lpwstr>
      </vt:variant>
      <vt:variant>
        <vt:i4>1703985</vt:i4>
      </vt:variant>
      <vt:variant>
        <vt:i4>44</vt:i4>
      </vt:variant>
      <vt:variant>
        <vt:i4>0</vt:i4>
      </vt:variant>
      <vt:variant>
        <vt:i4>5</vt:i4>
      </vt:variant>
      <vt:variant>
        <vt:lpwstr/>
      </vt:variant>
      <vt:variant>
        <vt:lpwstr>_Toc521509537</vt:lpwstr>
      </vt:variant>
      <vt:variant>
        <vt:i4>1703985</vt:i4>
      </vt:variant>
      <vt:variant>
        <vt:i4>38</vt:i4>
      </vt:variant>
      <vt:variant>
        <vt:i4>0</vt:i4>
      </vt:variant>
      <vt:variant>
        <vt:i4>5</vt:i4>
      </vt:variant>
      <vt:variant>
        <vt:lpwstr/>
      </vt:variant>
      <vt:variant>
        <vt:lpwstr>_Toc521509536</vt:lpwstr>
      </vt:variant>
      <vt:variant>
        <vt:i4>1703985</vt:i4>
      </vt:variant>
      <vt:variant>
        <vt:i4>32</vt:i4>
      </vt:variant>
      <vt:variant>
        <vt:i4>0</vt:i4>
      </vt:variant>
      <vt:variant>
        <vt:i4>5</vt:i4>
      </vt:variant>
      <vt:variant>
        <vt:lpwstr/>
      </vt:variant>
      <vt:variant>
        <vt:lpwstr>_Toc521509535</vt:lpwstr>
      </vt:variant>
      <vt:variant>
        <vt:i4>1703985</vt:i4>
      </vt:variant>
      <vt:variant>
        <vt:i4>26</vt:i4>
      </vt:variant>
      <vt:variant>
        <vt:i4>0</vt:i4>
      </vt:variant>
      <vt:variant>
        <vt:i4>5</vt:i4>
      </vt:variant>
      <vt:variant>
        <vt:lpwstr/>
      </vt:variant>
      <vt:variant>
        <vt:lpwstr>_Toc521509534</vt:lpwstr>
      </vt:variant>
      <vt:variant>
        <vt:i4>1703985</vt:i4>
      </vt:variant>
      <vt:variant>
        <vt:i4>20</vt:i4>
      </vt:variant>
      <vt:variant>
        <vt:i4>0</vt:i4>
      </vt:variant>
      <vt:variant>
        <vt:i4>5</vt:i4>
      </vt:variant>
      <vt:variant>
        <vt:lpwstr/>
      </vt:variant>
      <vt:variant>
        <vt:lpwstr>_Toc521509533</vt:lpwstr>
      </vt:variant>
      <vt:variant>
        <vt:i4>1703985</vt:i4>
      </vt:variant>
      <vt:variant>
        <vt:i4>14</vt:i4>
      </vt:variant>
      <vt:variant>
        <vt:i4>0</vt:i4>
      </vt:variant>
      <vt:variant>
        <vt:i4>5</vt:i4>
      </vt:variant>
      <vt:variant>
        <vt:lpwstr/>
      </vt:variant>
      <vt:variant>
        <vt:lpwstr>_Toc521509532</vt:lpwstr>
      </vt:variant>
      <vt:variant>
        <vt:i4>1703985</vt:i4>
      </vt:variant>
      <vt:variant>
        <vt:i4>8</vt:i4>
      </vt:variant>
      <vt:variant>
        <vt:i4>0</vt:i4>
      </vt:variant>
      <vt:variant>
        <vt:i4>5</vt:i4>
      </vt:variant>
      <vt:variant>
        <vt:lpwstr/>
      </vt:variant>
      <vt:variant>
        <vt:lpwstr>_Toc521509531</vt:lpwstr>
      </vt:variant>
      <vt:variant>
        <vt:i4>1703985</vt:i4>
      </vt:variant>
      <vt:variant>
        <vt:i4>2</vt:i4>
      </vt:variant>
      <vt:variant>
        <vt:i4>0</vt:i4>
      </vt:variant>
      <vt:variant>
        <vt:i4>5</vt:i4>
      </vt:variant>
      <vt:variant>
        <vt:lpwstr/>
      </vt:variant>
      <vt:variant>
        <vt:lpwstr>_Toc521509530</vt:lpwstr>
      </vt:variant>
      <vt:variant>
        <vt:i4>5242890</vt:i4>
      </vt:variant>
      <vt:variant>
        <vt:i4>0</vt:i4>
      </vt:variant>
      <vt:variant>
        <vt:i4>0</vt:i4>
      </vt:variant>
      <vt:variant>
        <vt:i4>5</vt:i4>
      </vt:variant>
      <vt:variant>
        <vt:lpwstr>https://www.cbd.int/doc/notifications/2018/ntf-2018-047-tk-es.pdf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INDICATORS FOR THE POST-2020 GLOBAL BIODIVERSITY FRAMEWORK: LESSONS FROM THE BIODIVERSITY INDICATORS PARTNERSHIP</dc:title>
  <dc:subject>CBD/COP/14/INF/40</dc:subject>
  <dc:creator>SCBD</dc:creator>
  <cp:lastModifiedBy>Veronique Lefebvre</cp:lastModifiedBy>
  <cp:revision>2</cp:revision>
  <cp:lastPrinted>2018-08-21T19:21:00Z</cp:lastPrinted>
  <dcterms:created xsi:type="dcterms:W3CDTF">2018-11-15T13:24:00Z</dcterms:created>
  <dcterms:modified xsi:type="dcterms:W3CDTF">2018-11-15T13:24:00Z</dcterms:modified>
</cp:coreProperties>
</file>