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F13AF8" w14:paraId="217AA429" w14:textId="77777777" w:rsidTr="009C2DE6">
        <w:trPr>
          <w:trHeight w:val="851"/>
        </w:trPr>
        <w:tc>
          <w:tcPr>
            <w:tcW w:w="976" w:type="dxa"/>
            <w:tcBorders>
              <w:bottom w:val="single" w:sz="12" w:space="0" w:color="auto"/>
            </w:tcBorders>
          </w:tcPr>
          <w:p w14:paraId="2DCC9F72" w14:textId="77777777" w:rsidR="00C9161D" w:rsidRPr="00F13AF8" w:rsidRDefault="00C9161D" w:rsidP="00321985">
            <w:r>
              <w:rPr>
                <w:noProof/>
              </w:rPr>
              <w:drawing>
                <wp:inline distT="0" distB="0" distL="0" distR="0" wp14:anchorId="32017C90" wp14:editId="7E145E9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E0DAEA9" w14:textId="0D9C8702" w:rsidR="00FA663B" w:rsidRPr="00F13AF8" w:rsidRDefault="004C7C42" w:rsidP="00321985">
            <w:r w:rsidRPr="004C7C42">
              <w:rPr>
                <w:noProof/>
              </w:rPr>
              <w:drawing>
                <wp:inline distT="0" distB="0" distL="0" distR="0" wp14:anchorId="48F420DB" wp14:editId="589D5630">
                  <wp:extent cx="701040" cy="40132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pic:cNvPicPr>
                        </pic:nvPicPr>
                        <pic:blipFill>
                          <a:blip r:embed="rId13"/>
                          <a:srcRect/>
                          <a:stretch>
                            <a:fillRect/>
                          </a:stretch>
                        </pic:blipFill>
                        <pic:spPr bwMode="auto">
                          <a:xfrm>
                            <a:off x="0" y="0"/>
                            <a:ext cx="701040" cy="40132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0DF23F7F" w14:textId="77777777" w:rsidR="00C9161D" w:rsidRPr="00F13AF8" w:rsidRDefault="00C9161D" w:rsidP="00C9161D">
            <w:pPr>
              <w:jc w:val="right"/>
              <w:rPr>
                <w:rFonts w:ascii="Arial" w:hAnsi="Arial" w:cs="Arial"/>
                <w:b/>
                <w:sz w:val="32"/>
                <w:szCs w:val="32"/>
              </w:rPr>
            </w:pPr>
            <w:r>
              <w:rPr>
                <w:rFonts w:ascii="Arial" w:hAnsi="Arial"/>
                <w:b/>
                <w:sz w:val="32"/>
              </w:rPr>
              <w:t>CBD</w:t>
            </w:r>
          </w:p>
        </w:tc>
      </w:tr>
      <w:tr w:rsidR="00C9161D" w:rsidRPr="00F13AF8" w14:paraId="02FDD80B" w14:textId="77777777" w:rsidTr="00CF1848">
        <w:tc>
          <w:tcPr>
            <w:tcW w:w="6117" w:type="dxa"/>
            <w:gridSpan w:val="2"/>
            <w:tcBorders>
              <w:top w:val="single" w:sz="12" w:space="0" w:color="auto"/>
              <w:bottom w:val="single" w:sz="36" w:space="0" w:color="auto"/>
            </w:tcBorders>
            <w:vAlign w:val="center"/>
          </w:tcPr>
          <w:p w14:paraId="78F87522" w14:textId="7162B097" w:rsidR="00C9161D" w:rsidRPr="00F13AF8" w:rsidRDefault="004C7C42" w:rsidP="00C9161D">
            <w:r>
              <w:rPr>
                <w:noProof/>
              </w:rPr>
              <w:drawing>
                <wp:inline distT="0" distB="0" distL="0" distR="0" wp14:anchorId="721D87B0" wp14:editId="71EB6E6F">
                  <wp:extent cx="3629025" cy="1323975"/>
                  <wp:effectExtent l="0" t="0" r="9525" b="9525"/>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3629025" cy="1323975"/>
                          </a:xfrm>
                          <a:prstGeom prst="rect">
                            <a:avLst/>
                          </a:prstGeom>
                        </pic:spPr>
                      </pic:pic>
                    </a:graphicData>
                  </a:graphic>
                </wp:inline>
              </w:drawing>
            </w:r>
          </w:p>
        </w:tc>
        <w:tc>
          <w:tcPr>
            <w:tcW w:w="4090" w:type="dxa"/>
            <w:tcBorders>
              <w:top w:val="single" w:sz="12" w:space="0" w:color="auto"/>
              <w:bottom w:val="single" w:sz="36" w:space="0" w:color="auto"/>
            </w:tcBorders>
          </w:tcPr>
          <w:p w14:paraId="6EB29B0D" w14:textId="77777777" w:rsidR="00C9161D" w:rsidRPr="00F13AF8" w:rsidRDefault="00C9161D" w:rsidP="00863139">
            <w:pPr>
              <w:ind w:left="1215"/>
              <w:jc w:val="left"/>
              <w:rPr>
                <w:kern w:val="22"/>
                <w:szCs w:val="22"/>
              </w:rPr>
            </w:pPr>
            <w:r>
              <w:t>Distr.</w:t>
            </w:r>
          </w:p>
          <w:p w14:paraId="54F32BBF" w14:textId="77777777" w:rsidR="00C9161D" w:rsidRPr="00F13AF8" w:rsidRDefault="00134846" w:rsidP="00863139">
            <w:pPr>
              <w:ind w:left="1215"/>
              <w:jc w:val="left"/>
              <w:rPr>
                <w:kern w:val="22"/>
                <w:szCs w:val="22"/>
              </w:rPr>
            </w:pPr>
            <w:r>
              <w:t>GENERAL</w:t>
            </w:r>
          </w:p>
          <w:p w14:paraId="0FE21921" w14:textId="77777777" w:rsidR="00C9161D" w:rsidRPr="00F13AF8" w:rsidRDefault="00C9161D" w:rsidP="00863139">
            <w:pPr>
              <w:ind w:left="1215"/>
              <w:jc w:val="left"/>
              <w:rPr>
                <w:kern w:val="22"/>
                <w:szCs w:val="22"/>
              </w:rPr>
            </w:pPr>
          </w:p>
          <w:p w14:paraId="6FEAB930" w14:textId="47856835" w:rsidR="00C9161D" w:rsidRPr="00F13AF8" w:rsidRDefault="00BB4195" w:rsidP="00863139">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34B1E">
                  <w:rPr>
                    <w:kern w:val="22"/>
                  </w:rPr>
                  <w:t>CBD/WG2020/4/2</w:t>
                </w:r>
              </w:sdtContent>
            </w:sdt>
          </w:p>
          <w:p w14:paraId="1ACF5B1A" w14:textId="14511CDC" w:rsidR="00C9161D" w:rsidRPr="00F13AF8" w:rsidRDefault="00F37E61" w:rsidP="00863139">
            <w:pPr>
              <w:ind w:left="1215"/>
              <w:jc w:val="left"/>
              <w:rPr>
                <w:kern w:val="22"/>
                <w:szCs w:val="22"/>
              </w:rPr>
            </w:pPr>
            <w:r>
              <w:t>16 de mayo de 2022</w:t>
            </w:r>
          </w:p>
          <w:p w14:paraId="1FE6C73E" w14:textId="77777777" w:rsidR="00C9161D" w:rsidRPr="00F13AF8" w:rsidRDefault="00C9161D" w:rsidP="00863139">
            <w:pPr>
              <w:ind w:left="1215"/>
              <w:jc w:val="left"/>
              <w:rPr>
                <w:kern w:val="22"/>
                <w:szCs w:val="22"/>
              </w:rPr>
            </w:pPr>
          </w:p>
          <w:p w14:paraId="6843D85A" w14:textId="77777777" w:rsidR="004C7C42" w:rsidRDefault="004C7C42" w:rsidP="004C7C42">
            <w:pPr>
              <w:suppressLineNumbers/>
              <w:suppressAutoHyphens/>
              <w:ind w:left="1215"/>
              <w:rPr>
                <w:kern w:val="22"/>
              </w:rPr>
            </w:pPr>
            <w:r>
              <w:rPr>
                <w:noProof/>
                <w:kern w:val="22"/>
              </w:rPr>
              <w:t>ESPAÑOL</w:t>
            </w:r>
          </w:p>
          <w:p w14:paraId="0DCFDA60" w14:textId="77777777" w:rsidR="004C7C42" w:rsidRDefault="004C7C42" w:rsidP="004C7C42">
            <w:pPr>
              <w:suppressLineNumbers/>
              <w:suppressAutoHyphens/>
              <w:ind w:left="1215"/>
              <w:rPr>
                <w:kern w:val="22"/>
              </w:rPr>
            </w:pPr>
            <w:r>
              <w:rPr>
                <w:noProof/>
                <w:kern w:val="22"/>
              </w:rPr>
              <w:t>ORIGINAL:</w:t>
            </w:r>
            <w:r>
              <w:rPr>
                <w:kern w:val="22"/>
              </w:rPr>
              <w:t xml:space="preserve"> </w:t>
            </w:r>
            <w:r>
              <w:rPr>
                <w:noProof/>
                <w:kern w:val="22"/>
              </w:rPr>
              <w:t>INGLÉS</w:t>
            </w:r>
          </w:p>
          <w:p w14:paraId="1FF48778" w14:textId="77777777" w:rsidR="00C9161D" w:rsidRPr="00F13AF8" w:rsidRDefault="00C9161D" w:rsidP="00863139">
            <w:pPr>
              <w:jc w:val="left"/>
              <w:rPr>
                <w:kern w:val="22"/>
              </w:rPr>
            </w:pPr>
          </w:p>
        </w:tc>
      </w:tr>
    </w:tbl>
    <w:p w14:paraId="5F55E27B" w14:textId="77777777" w:rsidR="00F8322D" w:rsidRPr="00F13AF8" w:rsidRDefault="00F8322D" w:rsidP="00F8322D">
      <w:pPr>
        <w:pStyle w:val="meetingname"/>
        <w:suppressLineNumbers/>
        <w:tabs>
          <w:tab w:val="left" w:pos="720"/>
        </w:tabs>
        <w:suppressAutoHyphens/>
        <w:ind w:left="0" w:right="5532"/>
        <w:jc w:val="left"/>
        <w:rPr>
          <w:caps w:val="0"/>
          <w:snapToGrid w:val="0"/>
          <w:kern w:val="22"/>
        </w:rPr>
      </w:pPr>
      <w:r>
        <w:rPr>
          <w:caps w:val="0"/>
          <w:snapToGrid w:val="0"/>
        </w:rPr>
        <w:t>GRUPO DE TRABAJO DE COMPOSICIÓN ABIERTA SOBRE EL MARCO MUNDIAL DE LA DIVERSIDAD BIOLÓGICA POSTERIOR A 2020</w:t>
      </w:r>
    </w:p>
    <w:p w14:paraId="7CDE6345" w14:textId="17E1DD3E" w:rsidR="00134846" w:rsidRPr="00F13AF8" w:rsidRDefault="00F37E61" w:rsidP="00134846">
      <w:pPr>
        <w:ind w:left="284" w:hanging="284"/>
        <w:jc w:val="left"/>
        <w:rPr>
          <w:snapToGrid w:val="0"/>
          <w:kern w:val="22"/>
          <w:szCs w:val="22"/>
        </w:rPr>
      </w:pPr>
      <w:r>
        <w:rPr>
          <w:snapToGrid w:val="0"/>
        </w:rPr>
        <w:t>Cuarta reunión</w:t>
      </w:r>
    </w:p>
    <w:p w14:paraId="7A93560F" w14:textId="662CDC41" w:rsidR="00134846" w:rsidRPr="00F13AF8" w:rsidRDefault="00F37E61" w:rsidP="00134846">
      <w:pPr>
        <w:ind w:left="284" w:hanging="284"/>
        <w:jc w:val="left"/>
        <w:rPr>
          <w:snapToGrid w:val="0"/>
          <w:kern w:val="22"/>
          <w:szCs w:val="22"/>
        </w:rPr>
      </w:pPr>
      <w:r>
        <w:rPr>
          <w:snapToGrid w:val="0"/>
        </w:rPr>
        <w:t>Nairobi, 21 a 26 de junio de 2022</w:t>
      </w:r>
    </w:p>
    <w:p w14:paraId="0159715E" w14:textId="413C07C6" w:rsidR="00C9161D" w:rsidRDefault="00F37E61" w:rsidP="00C9161D">
      <w:pPr>
        <w:rPr>
          <w:snapToGrid w:val="0"/>
          <w:kern w:val="22"/>
          <w:szCs w:val="22"/>
        </w:rPr>
      </w:pPr>
      <w:r>
        <w:rPr>
          <w:snapToGrid w:val="0"/>
        </w:rPr>
        <w:t>Tema 4 del programa provisional</w:t>
      </w:r>
      <w:r>
        <w:rPr>
          <w:rStyle w:val="Refdenotaalpie"/>
          <w:snapToGrid w:val="0"/>
          <w:kern w:val="22"/>
          <w:szCs w:val="22"/>
        </w:rPr>
        <w:footnoteReference w:customMarkFollows="1" w:id="2"/>
        <w:t>*</w:t>
      </w:r>
    </w:p>
    <w:p w14:paraId="370306CE" w14:textId="401AECD2" w:rsidR="004C7C42" w:rsidRPr="004C7C42" w:rsidRDefault="004C7C42" w:rsidP="004C7C42">
      <w:pPr>
        <w:pStyle w:val="Ttulo1"/>
        <w:tabs>
          <w:tab w:val="clear" w:pos="720"/>
        </w:tabs>
        <w:rPr>
          <w:rFonts w:ascii="Times New Roman Bold" w:hAnsi="Times New Roman Bold" w:cs="Times New Roman Bold"/>
          <w:snapToGrid w:val="0"/>
          <w:spacing w:val="-8"/>
          <w:kern w:val="22"/>
          <w:szCs w:val="22"/>
        </w:rPr>
      </w:pPr>
      <w:r w:rsidRPr="004C7C42">
        <w:rPr>
          <w:rFonts w:ascii="Times New Roman Bold" w:hAnsi="Times New Roman Bold" w:cs="Times New Roman Bold"/>
          <w:snapToGrid w:val="0"/>
          <w:spacing w:val="-8"/>
          <w:kern w:val="22"/>
          <w:szCs w:val="22"/>
        </w:rPr>
        <w:t>GLOSARIO PARA EL PRIMER PROYECTO DEL MARCO MUNDIAL DE LA DIVERSIDAD BIOLÓGICA POSTERIOR A 2020</w:t>
      </w:r>
    </w:p>
    <w:p w14:paraId="3FA7E7F5" w14:textId="77777777" w:rsidR="00A9001E" w:rsidRPr="00F13AF8" w:rsidRDefault="00A9001E" w:rsidP="00A9001E">
      <w:pPr>
        <w:pStyle w:val="Style1"/>
        <w:outlineLvl w:val="9"/>
        <w:rPr>
          <w:b w:val="0"/>
          <w:szCs w:val="22"/>
        </w:rPr>
      </w:pPr>
      <w:r>
        <w:rPr>
          <w:b w:val="0"/>
        </w:rPr>
        <w:t>Nota de la Secretaria Ejecutiva</w:t>
      </w:r>
    </w:p>
    <w:p w14:paraId="277A66A4" w14:textId="77777777" w:rsidR="00A9001E" w:rsidRPr="00F13AF8" w:rsidRDefault="00A9001E" w:rsidP="00A9001E">
      <w:pPr>
        <w:pStyle w:val="Ttulo1"/>
        <w:numPr>
          <w:ilvl w:val="0"/>
          <w:numId w:val="20"/>
        </w:numPr>
        <w:tabs>
          <w:tab w:val="clear" w:pos="720"/>
          <w:tab w:val="left" w:pos="360"/>
        </w:tabs>
        <w:spacing w:before="120"/>
        <w:ind w:left="0" w:firstLine="0"/>
        <w:rPr>
          <w:kern w:val="22"/>
          <w:szCs w:val="22"/>
        </w:rPr>
      </w:pPr>
      <w:r>
        <w:t>INTRODUCCIÓN</w:t>
      </w:r>
    </w:p>
    <w:p w14:paraId="1DC063BE" w14:textId="77777777" w:rsidR="00A9001E" w:rsidRPr="00F13AF8" w:rsidRDefault="00A9001E" w:rsidP="00A9001E">
      <w:pPr>
        <w:pStyle w:val="Para1"/>
        <w:numPr>
          <w:ilvl w:val="0"/>
          <w:numId w:val="19"/>
        </w:numPr>
        <w:tabs>
          <w:tab w:val="clear" w:pos="360"/>
          <w:tab w:val="num" w:pos="709"/>
        </w:tabs>
        <w:snapToGrid w:val="0"/>
        <w:rPr>
          <w:kern w:val="22"/>
          <w:szCs w:val="22"/>
        </w:rPr>
      </w:pPr>
      <w:r>
        <w:t xml:space="preserve">En la recomendación </w:t>
      </w:r>
      <w:hyperlink r:id="rId16" w:history="1">
        <w:r>
          <w:rPr>
            <w:rStyle w:val="Hipervnculo"/>
            <w:sz w:val="22"/>
          </w:rPr>
          <w:t>WG2020-1/1</w:t>
        </w:r>
      </w:hyperlink>
      <w:r>
        <w:t xml:space="preserve">, el Grupo de Trabajo de Composición Abierta sobre el Marco Mundial de la Diversidad Biológica posterior a 2020 invitó al Órgano Subsidiario de Asesoramiento Científico, Técnico y Tecnológico a que en su 24ª reunión llevara a cabo un examen científico y técnico de los objetivos y metas actualizados del proyecto de marco mundial de la diversidad biológica, incluidos indicadores y valores de referencia relacionados, así como de la versión revisada de los apéndices del marco, y que brindara asesoramiento al Grupo de Trabajo en su tercera reunión. Además, en la recomendación </w:t>
      </w:r>
      <w:hyperlink r:id="rId17" w:history="1">
        <w:r>
          <w:rPr>
            <w:rStyle w:val="Hipervnculo"/>
            <w:sz w:val="22"/>
          </w:rPr>
          <w:t>SBSTTA-23/1</w:t>
        </w:r>
      </w:hyperlink>
      <w:r>
        <w:t>, el Órgano Subsidiario pidió a los Copresidentes del Grupo de Trabajo y a la Secretaria Ejecutiva que tuvieran en cuenta la información preparada en respuesta a esa invitación.</w:t>
      </w:r>
    </w:p>
    <w:p w14:paraId="78BF3268" w14:textId="77777777" w:rsidR="00A9001E" w:rsidRPr="00F13AF8" w:rsidRDefault="00A9001E" w:rsidP="00A9001E">
      <w:pPr>
        <w:pStyle w:val="Para1"/>
        <w:numPr>
          <w:ilvl w:val="0"/>
          <w:numId w:val="19"/>
        </w:numPr>
        <w:tabs>
          <w:tab w:val="clear" w:pos="360"/>
          <w:tab w:val="num" w:pos="709"/>
        </w:tabs>
        <w:snapToGrid w:val="0"/>
        <w:rPr>
          <w:kern w:val="22"/>
          <w:szCs w:val="22"/>
        </w:rPr>
      </w:pPr>
      <w:r>
        <w:t xml:space="preserve">Respondiendo a esas recomendaciones, los Copresidentes del Grupo de Trabajo y la Secretaría, bajo la supervisión de la Mesa del Órgano Subsidiario de Asesoramiento Científico, Técnico y Tecnológico y de la Conferencia de las Partes, recopilaron una lista de anotaciones para explicar los términos y conceptos de los objetivos y metas actualizados </w:t>
      </w:r>
      <w:hyperlink r:id="rId18" w:history="1">
        <w:r>
          <w:rPr>
            <w:rStyle w:val="Hipervnculo"/>
            <w:sz w:val="22"/>
          </w:rPr>
          <w:t>(CBD/SBSTTA/24/INF/11</w:t>
        </w:r>
      </w:hyperlink>
      <w:r>
        <w:t xml:space="preserve">). Esta lista ha sido revisada y mejorada para reflejar los cambios en el primer proyecto del marco mundial de la diversidad biológica posterior a 2020 </w:t>
      </w:r>
      <w:hyperlink r:id="rId19" w:history="1">
        <w:r>
          <w:rPr>
            <w:rStyle w:val="Hipervnculo"/>
            <w:sz w:val="22"/>
          </w:rPr>
          <w:t>(</w:t>
        </w:r>
        <w:bookmarkStart w:id="0" w:name="_Hlk77314657"/>
        <w:r>
          <w:rPr>
            <w:rStyle w:val="Hipervnculo"/>
            <w:sz w:val="22"/>
          </w:rPr>
          <w:t>CBD/WG2020/3/3</w:t>
        </w:r>
        <w:bookmarkEnd w:id="0"/>
        <w:r>
          <w:rPr>
            <w:rStyle w:val="Hipervnculo"/>
            <w:sz w:val="22"/>
          </w:rPr>
          <w:t>)</w:t>
        </w:r>
      </w:hyperlink>
      <w:r>
        <w:t>, y se basa en las observaciones recibidas de las Partes e interesados directos durante la primera parte de la tercera reunión del Grupo de trabajo, celebrada en línea del 23 de agosto al 3 de septiembre de 2021 y durante la segunda parte de la reunión, celebrada en Ginebra del 14 al 29 de marzo de 2022.</w:t>
      </w:r>
    </w:p>
    <w:p w14:paraId="59FDBD6F" w14:textId="77777777" w:rsidR="00A9001E" w:rsidRPr="00F13AF8" w:rsidRDefault="00A9001E" w:rsidP="00A9001E">
      <w:pPr>
        <w:pStyle w:val="Para1"/>
        <w:numPr>
          <w:ilvl w:val="0"/>
          <w:numId w:val="19"/>
        </w:numPr>
        <w:tabs>
          <w:tab w:val="clear" w:pos="360"/>
          <w:tab w:val="num" w:pos="709"/>
        </w:tabs>
        <w:snapToGrid w:val="0"/>
        <w:rPr>
          <w:kern w:val="22"/>
          <w:szCs w:val="22"/>
        </w:rPr>
      </w:pPr>
      <w:r>
        <w:t>El presente documento tiene la finalidad de ayudar al Grupo de Trabajo en la revisión, el análisis y las deliberaciones sobre los objetivos y las metas del primer proyecto del marco mundial de la diversidad biológica posterior a 2020, sus elementos de seguimiento y sus indicadores.</w:t>
      </w:r>
    </w:p>
    <w:p w14:paraId="76593CB0" w14:textId="77777777" w:rsidR="00A9001E" w:rsidRPr="00F13AF8" w:rsidRDefault="00A9001E" w:rsidP="00A9001E">
      <w:pPr>
        <w:pStyle w:val="Para1"/>
        <w:numPr>
          <w:ilvl w:val="0"/>
          <w:numId w:val="19"/>
        </w:numPr>
        <w:tabs>
          <w:tab w:val="clear" w:pos="360"/>
          <w:tab w:val="num" w:pos="709"/>
        </w:tabs>
        <w:snapToGrid w:val="0"/>
        <w:rPr>
          <w:kern w:val="22"/>
          <w:szCs w:val="22"/>
        </w:rPr>
      </w:pPr>
      <w:r>
        <w:lastRenderedPageBreak/>
        <w:t>La lista de anotaciones contiene explicaciones y ejemplos relacionados con los términos y conceptos utilizados en el primer proyecto del marco mundial de la diversidad biológica posterior a 2020, así como el proyecto del marco de seguimiento</w:t>
      </w:r>
      <w:r w:rsidRPr="00F13AF8">
        <w:rPr>
          <w:rStyle w:val="Refdenotaalpie"/>
          <w:kern w:val="22"/>
          <w:szCs w:val="22"/>
        </w:rPr>
        <w:footnoteReference w:id="3"/>
      </w:r>
      <w:r>
        <w:t>.</w:t>
      </w:r>
    </w:p>
    <w:p w14:paraId="587A2552" w14:textId="77777777" w:rsidR="00A9001E" w:rsidRPr="00F13AF8" w:rsidRDefault="00A9001E" w:rsidP="00A9001E">
      <w:pPr>
        <w:jc w:val="left"/>
        <w:rPr>
          <w:snapToGrid w:val="0"/>
          <w:kern w:val="22"/>
          <w:szCs w:val="22"/>
        </w:rPr>
      </w:pPr>
      <w:r>
        <w:br w:type="page"/>
      </w:r>
    </w:p>
    <w:p w14:paraId="60F69E84" w14:textId="77777777" w:rsidR="00A9001E" w:rsidRPr="00F13AF8" w:rsidRDefault="00A9001E" w:rsidP="00A9001E">
      <w:pPr>
        <w:pStyle w:val="Ttulo1"/>
        <w:numPr>
          <w:ilvl w:val="0"/>
          <w:numId w:val="20"/>
        </w:numPr>
        <w:tabs>
          <w:tab w:val="clear" w:pos="720"/>
          <w:tab w:val="left" w:pos="360"/>
        </w:tabs>
        <w:spacing w:before="0" w:after="0"/>
        <w:ind w:left="0" w:firstLine="0"/>
        <w:rPr>
          <w:kern w:val="22"/>
          <w:szCs w:val="22"/>
        </w:rPr>
      </w:pPr>
      <w:r>
        <w:lastRenderedPageBreak/>
        <w:t>LISTA DE CONCEPTOS Y TÉRMINOS INCLUIDOS EN LOS OBJETIVOS Y METAS ACTUALIZADOS</w:t>
      </w:r>
    </w:p>
    <w:p w14:paraId="702C2516" w14:textId="77777777" w:rsidR="00A9001E" w:rsidRPr="00F13AF8" w:rsidRDefault="00A9001E" w:rsidP="00A9001E">
      <w:pPr>
        <w:keepNext/>
        <w:rPr>
          <w:kern w:val="22"/>
          <w:szCs w:val="22"/>
        </w:rPr>
      </w:pPr>
    </w:p>
    <w:tbl>
      <w:tblPr>
        <w:tblStyle w:val="Tablaconcuadrcula"/>
        <w:tblpPr w:leftFromText="180" w:rightFromText="180" w:vertAnchor="text" w:tblpXSpec="center" w:tblpY="1"/>
        <w:tblOverlap w:val="never"/>
        <w:tblW w:w="9625" w:type="dxa"/>
        <w:tblLayout w:type="fixed"/>
        <w:tblLook w:val="04A0" w:firstRow="1" w:lastRow="0" w:firstColumn="1" w:lastColumn="0" w:noHBand="0" w:noVBand="1"/>
      </w:tblPr>
      <w:tblGrid>
        <w:gridCol w:w="2137"/>
        <w:gridCol w:w="5958"/>
        <w:gridCol w:w="1530"/>
      </w:tblGrid>
      <w:tr w:rsidR="00A9001E" w:rsidRPr="00F13AF8" w14:paraId="6038B398" w14:textId="77777777" w:rsidTr="00D50788">
        <w:trPr>
          <w:tblHeader/>
        </w:trPr>
        <w:tc>
          <w:tcPr>
            <w:tcW w:w="2137" w:type="dxa"/>
            <w:shd w:val="clear" w:color="auto" w:fill="F2F2F2" w:themeFill="background1" w:themeFillShade="F2"/>
          </w:tcPr>
          <w:p w14:paraId="6897B5D9" w14:textId="77777777" w:rsidR="00A9001E" w:rsidRPr="00F13AF8" w:rsidRDefault="00A9001E" w:rsidP="00D50788">
            <w:pPr>
              <w:adjustRightInd w:val="0"/>
              <w:snapToGrid w:val="0"/>
              <w:spacing w:before="60" w:after="60"/>
              <w:jc w:val="center"/>
              <w:rPr>
                <w:b/>
                <w:kern w:val="22"/>
                <w:szCs w:val="22"/>
              </w:rPr>
            </w:pPr>
            <w:r>
              <w:rPr>
                <w:b/>
              </w:rPr>
              <w:t>Concepto/término</w:t>
            </w:r>
          </w:p>
        </w:tc>
        <w:tc>
          <w:tcPr>
            <w:tcW w:w="5958" w:type="dxa"/>
            <w:shd w:val="clear" w:color="auto" w:fill="F2F2F2" w:themeFill="background1" w:themeFillShade="F2"/>
          </w:tcPr>
          <w:p w14:paraId="1F284596" w14:textId="77777777" w:rsidR="00A9001E" w:rsidRPr="00F13AF8" w:rsidRDefault="00A9001E" w:rsidP="00D50788">
            <w:pPr>
              <w:adjustRightInd w:val="0"/>
              <w:snapToGrid w:val="0"/>
              <w:spacing w:before="60" w:after="60"/>
              <w:jc w:val="center"/>
              <w:rPr>
                <w:b/>
                <w:kern w:val="22"/>
                <w:szCs w:val="22"/>
              </w:rPr>
            </w:pPr>
            <w:r>
              <w:rPr>
                <w:b/>
              </w:rPr>
              <w:t>Anotación</w:t>
            </w:r>
          </w:p>
        </w:tc>
        <w:tc>
          <w:tcPr>
            <w:tcW w:w="1530" w:type="dxa"/>
            <w:shd w:val="clear" w:color="auto" w:fill="F2F2F2" w:themeFill="background1" w:themeFillShade="F2"/>
          </w:tcPr>
          <w:p w14:paraId="670259B7" w14:textId="360E2613" w:rsidR="00A9001E" w:rsidRPr="00F13AF8" w:rsidRDefault="00A9001E" w:rsidP="00D50788">
            <w:pPr>
              <w:adjustRightInd w:val="0"/>
              <w:snapToGrid w:val="0"/>
              <w:spacing w:before="60" w:after="60"/>
              <w:jc w:val="center"/>
              <w:rPr>
                <w:b/>
                <w:kern w:val="22"/>
                <w:szCs w:val="22"/>
              </w:rPr>
            </w:pPr>
            <w:r>
              <w:rPr>
                <w:b/>
              </w:rPr>
              <w:t>Objetivo/</w:t>
            </w:r>
            <w:r>
              <w:rPr>
                <w:b/>
              </w:rPr>
              <w:br/>
            </w:r>
            <w:r>
              <w:rPr>
                <w:b/>
              </w:rPr>
              <w:t>Meta</w:t>
            </w:r>
            <w:r>
              <w:rPr>
                <w:rStyle w:val="Refdenotaalpie"/>
                <w:b/>
                <w:kern w:val="22"/>
                <w:szCs w:val="22"/>
              </w:rPr>
              <w:footnoteReference w:id="4"/>
            </w:r>
          </w:p>
        </w:tc>
      </w:tr>
      <w:tr w:rsidR="00A9001E" w:rsidRPr="00F13AF8" w14:paraId="77430F7E" w14:textId="77777777" w:rsidTr="00D50788">
        <w:tc>
          <w:tcPr>
            <w:tcW w:w="2137" w:type="dxa"/>
          </w:tcPr>
          <w:p w14:paraId="7A4EC08E" w14:textId="77777777" w:rsidR="00A9001E" w:rsidRPr="00F13AF8" w:rsidRDefault="00A9001E" w:rsidP="00D50788">
            <w:pPr>
              <w:adjustRightInd w:val="0"/>
              <w:snapToGrid w:val="0"/>
              <w:spacing w:before="60" w:after="60"/>
              <w:jc w:val="left"/>
              <w:rPr>
                <w:kern w:val="22"/>
                <w:szCs w:val="22"/>
              </w:rPr>
            </w:pPr>
            <w:r>
              <w:t>Poblaciones saludables y resilientes</w:t>
            </w:r>
          </w:p>
        </w:tc>
        <w:tc>
          <w:tcPr>
            <w:tcW w:w="5958" w:type="dxa"/>
          </w:tcPr>
          <w:p w14:paraId="3A3E0ED5" w14:textId="77777777" w:rsidR="00A9001E" w:rsidRPr="00F13AF8" w:rsidRDefault="00A9001E" w:rsidP="00D50788">
            <w:pPr>
              <w:adjustRightInd w:val="0"/>
              <w:snapToGrid w:val="0"/>
              <w:spacing w:before="60" w:after="60"/>
              <w:rPr>
                <w:kern w:val="22"/>
                <w:szCs w:val="22"/>
              </w:rPr>
            </w:pPr>
            <w:r>
              <w:t>Demográfica y genéticamente viables, lo que permite su supervivencia y adaptabilidad a largo plazo.</w:t>
            </w:r>
          </w:p>
          <w:p w14:paraId="79CBD5F8" w14:textId="77777777" w:rsidR="00A9001E" w:rsidRPr="00434B1E" w:rsidRDefault="00A9001E" w:rsidP="00D50788">
            <w:pPr>
              <w:adjustRightInd w:val="0"/>
              <w:snapToGrid w:val="0"/>
              <w:spacing w:before="60" w:after="60"/>
              <w:rPr>
                <w:kern w:val="22"/>
                <w:szCs w:val="22"/>
              </w:rPr>
            </w:pPr>
            <w:r>
              <w:t>(</w:t>
            </w:r>
            <w:hyperlink r:id="rId20" w:history="1">
              <w:r>
                <w:rPr>
                  <w:rStyle w:val="Hipervnculo"/>
                  <w:sz w:val="22"/>
                </w:rPr>
                <w:t>CBD/SBSTTA/24/3/Add.2/Rev.1</w:t>
              </w:r>
            </w:hyperlink>
            <w:r>
              <w:t>, párr. 25)</w:t>
            </w:r>
          </w:p>
        </w:tc>
        <w:tc>
          <w:tcPr>
            <w:tcW w:w="1530" w:type="dxa"/>
          </w:tcPr>
          <w:p w14:paraId="1BDC8E12"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549EC8C9" w14:textId="77777777" w:rsidTr="00D50788">
        <w:tc>
          <w:tcPr>
            <w:tcW w:w="2137" w:type="dxa"/>
          </w:tcPr>
          <w:p w14:paraId="62B65580" w14:textId="77777777" w:rsidR="00A9001E" w:rsidRPr="00F13AF8" w:rsidRDefault="00A9001E" w:rsidP="00D50788">
            <w:pPr>
              <w:adjustRightInd w:val="0"/>
              <w:snapToGrid w:val="0"/>
              <w:spacing w:before="60" w:after="60"/>
              <w:jc w:val="left"/>
              <w:rPr>
                <w:kern w:val="22"/>
                <w:szCs w:val="22"/>
              </w:rPr>
            </w:pPr>
            <w:r>
              <w:t>Necesidades de las personas</w:t>
            </w:r>
          </w:p>
        </w:tc>
        <w:tc>
          <w:tcPr>
            <w:tcW w:w="5958" w:type="dxa"/>
          </w:tcPr>
          <w:p w14:paraId="07FAEBBE" w14:textId="77777777" w:rsidR="00A9001E" w:rsidRPr="00F13AF8" w:rsidRDefault="00A9001E" w:rsidP="00D50788">
            <w:pPr>
              <w:adjustRightInd w:val="0"/>
              <w:snapToGrid w:val="0"/>
              <w:spacing w:before="60" w:after="60"/>
              <w:rPr>
                <w:kern w:val="22"/>
                <w:szCs w:val="22"/>
              </w:rPr>
            </w:pPr>
            <w:r>
              <w:t>Las necesidades de las personas incluyen aire limpio, agua, alimentos, fibras, refugio, un clima seguro, seguridad energética (por ejemplo, para combustible, para cocinar, para la calefacción), medios de vida seguros, y salud y bienestar espiritual.</w:t>
            </w:r>
          </w:p>
          <w:p w14:paraId="40327C24" w14:textId="77777777" w:rsidR="00A9001E" w:rsidRPr="00F13AF8" w:rsidRDefault="00A9001E" w:rsidP="00D50788">
            <w:pPr>
              <w:adjustRightInd w:val="0"/>
              <w:snapToGrid w:val="0"/>
              <w:spacing w:before="60" w:after="60"/>
              <w:rPr>
                <w:kern w:val="22"/>
                <w:szCs w:val="22"/>
              </w:rPr>
            </w:pPr>
            <w:r>
              <w:t xml:space="preserve">(Basado en la </w:t>
            </w:r>
            <w:r>
              <w:rPr>
                <w:i/>
              </w:rPr>
              <w:t xml:space="preserve">Evaluación Mundial </w:t>
            </w:r>
            <w:r>
              <w:t>de la IPBES, 2019)</w:t>
            </w:r>
          </w:p>
        </w:tc>
        <w:tc>
          <w:tcPr>
            <w:tcW w:w="1530" w:type="dxa"/>
          </w:tcPr>
          <w:p w14:paraId="6BD139AE" w14:textId="77777777" w:rsidR="00A9001E" w:rsidRPr="00F13AF8" w:rsidRDefault="00A9001E" w:rsidP="00D50788">
            <w:pPr>
              <w:adjustRightInd w:val="0"/>
              <w:snapToGrid w:val="0"/>
              <w:spacing w:before="60" w:after="60"/>
              <w:jc w:val="left"/>
              <w:rPr>
                <w:kern w:val="22"/>
                <w:szCs w:val="22"/>
              </w:rPr>
            </w:pPr>
            <w:r>
              <w:t>Teoría del cambio, Metas 9 a 13</w:t>
            </w:r>
          </w:p>
        </w:tc>
      </w:tr>
      <w:tr w:rsidR="00A9001E" w:rsidRPr="00F13AF8" w14:paraId="5B94A5AB" w14:textId="77777777" w:rsidTr="00D50788">
        <w:tc>
          <w:tcPr>
            <w:tcW w:w="2137" w:type="dxa"/>
          </w:tcPr>
          <w:p w14:paraId="6A89BB88" w14:textId="77777777" w:rsidR="00A9001E" w:rsidRPr="00F13AF8" w:rsidRDefault="00A9001E" w:rsidP="00D50788">
            <w:pPr>
              <w:adjustRightInd w:val="0"/>
              <w:snapToGrid w:val="0"/>
              <w:spacing w:before="60" w:after="60"/>
              <w:jc w:val="left"/>
              <w:rPr>
                <w:kern w:val="22"/>
                <w:szCs w:val="22"/>
              </w:rPr>
            </w:pPr>
            <w:r>
              <w:t>Conectividad de los ecosistemas</w:t>
            </w:r>
          </w:p>
        </w:tc>
        <w:tc>
          <w:tcPr>
            <w:tcW w:w="5958" w:type="dxa"/>
          </w:tcPr>
          <w:p w14:paraId="40EC3B8E" w14:textId="77777777" w:rsidR="00A9001E" w:rsidRPr="00F13AF8" w:rsidRDefault="00A9001E" w:rsidP="00D50788">
            <w:pPr>
              <w:adjustRightInd w:val="0"/>
              <w:snapToGrid w:val="0"/>
              <w:spacing w:before="60" w:after="60"/>
              <w:rPr>
                <w:iCs/>
                <w:kern w:val="22"/>
                <w:szCs w:val="22"/>
              </w:rPr>
            </w:pPr>
            <w:r>
              <w:t>La conectividad (es decir, la conectividad ecológica) es el movimiento sin restricciones de las especies y el flujo de los procesos naturales que sustentan la vida sobre la Tierra. Por lo tanto, también puede referirse a ecosistemas continuos a menudo conectados a través de corredores ecológicos. Hay dos tipos de conectividad: estructural (en la que se identifica la continuidad entre ecosistemas) y funcional (en la que se verifica el movimiento de especies o procesos).</w:t>
            </w:r>
          </w:p>
          <w:p w14:paraId="41B586AF" w14:textId="77777777" w:rsidR="00A9001E" w:rsidRPr="00F13AF8" w:rsidRDefault="00A9001E" w:rsidP="00D50788">
            <w:pPr>
              <w:adjustRightInd w:val="0"/>
              <w:snapToGrid w:val="0"/>
              <w:spacing w:before="60" w:after="60"/>
              <w:rPr>
                <w:i/>
                <w:kern w:val="22"/>
                <w:szCs w:val="22"/>
              </w:rPr>
            </w:pPr>
            <w:r>
              <w:t>(</w:t>
            </w:r>
            <w:hyperlink r:id="rId21" w:history="1">
              <w:r>
                <w:rPr>
                  <w:rStyle w:val="Hipervnculo"/>
                  <w:sz w:val="22"/>
                </w:rPr>
                <w:t>UNEP/CMS/Resolución 12.26 (Rev.COP13)</w:t>
              </w:r>
            </w:hyperlink>
            <w:r>
              <w:t>)</w:t>
            </w:r>
          </w:p>
        </w:tc>
        <w:tc>
          <w:tcPr>
            <w:tcW w:w="1530" w:type="dxa"/>
          </w:tcPr>
          <w:p w14:paraId="6BFCC814"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3A142C77" w14:textId="77777777" w:rsidTr="00D50788">
        <w:tc>
          <w:tcPr>
            <w:tcW w:w="2137" w:type="dxa"/>
          </w:tcPr>
          <w:p w14:paraId="70A47B71" w14:textId="77777777" w:rsidR="00A9001E" w:rsidRPr="00F13AF8" w:rsidRDefault="00A9001E" w:rsidP="00D50788">
            <w:pPr>
              <w:adjustRightInd w:val="0"/>
              <w:snapToGrid w:val="0"/>
              <w:spacing w:before="60" w:after="60"/>
              <w:jc w:val="left"/>
              <w:rPr>
                <w:kern w:val="22"/>
                <w:szCs w:val="22"/>
              </w:rPr>
            </w:pPr>
            <w:r>
              <w:t>Integridad de los ecosistemas</w:t>
            </w:r>
          </w:p>
        </w:tc>
        <w:tc>
          <w:tcPr>
            <w:tcW w:w="5958" w:type="dxa"/>
          </w:tcPr>
          <w:p w14:paraId="71209496" w14:textId="77777777" w:rsidR="00A9001E" w:rsidRPr="00F13AF8" w:rsidRDefault="00A9001E" w:rsidP="00D50788">
            <w:pPr>
              <w:adjustRightInd w:val="0"/>
              <w:snapToGrid w:val="0"/>
              <w:spacing w:before="60" w:after="60"/>
              <w:rPr>
                <w:kern w:val="22"/>
                <w:szCs w:val="22"/>
              </w:rPr>
            </w:pPr>
            <w:r>
              <w:t>“En términos generales, se entiende que un sistema cuenta con integridad cuanto sus características ecológicas dominantes (por ejemplo, elementos de la composición, estructura, función y procesos ecológicos) se presentan dentro de sus intervalos de variación naturales y pueden soportar la mayoría de las perturbaciones y recuperarse de estas” (</w:t>
            </w:r>
            <w:hyperlink r:id="rId22" w:history="1">
              <w:r>
                <w:rPr>
                  <w:rStyle w:val="Hipervnculo"/>
                  <w:sz w:val="22"/>
                </w:rPr>
                <w:t>CBD/SBSTTA/24/3/Add.2/Rev.1</w:t>
              </w:r>
            </w:hyperlink>
            <w:r>
              <w:t>, párr. 18). Además, en el documento Add.2 se menciona “lo que incluye la diversidad y abundancia de especies y las comunidades de especies que interactúan dentro de los ecosistemas” (párr. 21).</w:t>
            </w:r>
          </w:p>
          <w:p w14:paraId="09F1261F" w14:textId="77777777" w:rsidR="00A9001E" w:rsidRPr="00F13AF8" w:rsidRDefault="00A9001E" w:rsidP="00D50788">
            <w:pPr>
              <w:adjustRightInd w:val="0"/>
              <w:snapToGrid w:val="0"/>
              <w:spacing w:before="60" w:after="60"/>
              <w:rPr>
                <w:kern w:val="22"/>
                <w:szCs w:val="22"/>
              </w:rPr>
            </w:pPr>
            <w:r>
              <w:t>Los indicadores de la integridad de los ecosistemas pueden incluir “la estructura, función y composición de un ecosistema en relación con el intervalo de variación preindustrial de estas características”.</w:t>
            </w:r>
          </w:p>
          <w:p w14:paraId="03502ED5" w14:textId="77777777" w:rsidR="00A9001E" w:rsidRPr="00F13AF8" w:rsidRDefault="00A9001E" w:rsidP="00D50788">
            <w:pPr>
              <w:adjustRightInd w:val="0"/>
              <w:snapToGrid w:val="0"/>
              <w:spacing w:before="60" w:after="60"/>
              <w:jc w:val="left"/>
              <w:rPr>
                <w:color w:val="000000"/>
                <w:kern w:val="22"/>
                <w:szCs w:val="22"/>
              </w:rPr>
            </w:pPr>
            <w:r>
              <w:t xml:space="preserve">(Hansen </w:t>
            </w:r>
            <w:r>
              <w:rPr>
                <w:i/>
                <w:iCs/>
              </w:rPr>
              <w:t>et al.</w:t>
            </w:r>
            <w:r>
              <w:t>, 2021). “</w:t>
            </w:r>
            <w:proofErr w:type="spellStart"/>
            <w:r>
              <w:t>Towards</w:t>
            </w:r>
            <w:proofErr w:type="spellEnd"/>
            <w:r>
              <w:t xml:space="preserve"> </w:t>
            </w:r>
            <w:proofErr w:type="spellStart"/>
            <w:r>
              <w:t>monitoring</w:t>
            </w:r>
            <w:proofErr w:type="spellEnd"/>
            <w:r>
              <w:t xml:space="preserve"> ecosystem </w:t>
            </w:r>
            <w:proofErr w:type="spellStart"/>
            <w:r>
              <w:t>integrity</w:t>
            </w:r>
            <w:proofErr w:type="spellEnd"/>
            <w:r>
              <w:t xml:space="preserve"> </w:t>
            </w:r>
            <w:proofErr w:type="spellStart"/>
            <w:r>
              <w:t>within</w:t>
            </w:r>
            <w:proofErr w:type="spellEnd"/>
            <w:r>
              <w:t xml:space="preserve"> the Post-2020 Global Biodiversity Framework”, </w:t>
            </w:r>
            <w:hyperlink r:id="rId23" w:history="1">
              <w:r>
                <w:rPr>
                  <w:rStyle w:val="Hipervnculo"/>
                  <w:sz w:val="22"/>
                </w:rPr>
                <w:t>https://doi.org/10.32942/osf.io/eyqw5</w:t>
              </w:r>
            </w:hyperlink>
            <w:r>
              <w:rPr>
                <w:rStyle w:val="Hipervnculo"/>
                <w:sz w:val="22"/>
              </w:rPr>
              <w:t>)</w:t>
            </w:r>
          </w:p>
        </w:tc>
        <w:tc>
          <w:tcPr>
            <w:tcW w:w="1530" w:type="dxa"/>
          </w:tcPr>
          <w:p w14:paraId="3621645E"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1C76E7E4" w14:textId="77777777" w:rsidTr="00D50788">
        <w:tc>
          <w:tcPr>
            <w:tcW w:w="2137" w:type="dxa"/>
          </w:tcPr>
          <w:p w14:paraId="32FA9232" w14:textId="77777777" w:rsidR="00A9001E" w:rsidRPr="00F13AF8" w:rsidRDefault="00A9001E" w:rsidP="00D50788">
            <w:pPr>
              <w:adjustRightInd w:val="0"/>
              <w:snapToGrid w:val="0"/>
              <w:spacing w:before="60" w:after="60"/>
              <w:jc w:val="left"/>
              <w:rPr>
                <w:kern w:val="22"/>
                <w:szCs w:val="22"/>
              </w:rPr>
            </w:pPr>
            <w:r>
              <w:t>Ecosistemas naturales (hábitats)</w:t>
            </w:r>
          </w:p>
        </w:tc>
        <w:tc>
          <w:tcPr>
            <w:tcW w:w="5958" w:type="dxa"/>
          </w:tcPr>
          <w:p w14:paraId="51C74E25" w14:textId="77777777" w:rsidR="00A9001E" w:rsidRPr="00F13AF8" w:rsidRDefault="00A9001E" w:rsidP="00D50788">
            <w:pPr>
              <w:adjustRightInd w:val="0"/>
              <w:snapToGrid w:val="0"/>
              <w:spacing w:before="60" w:after="60"/>
              <w:rPr>
                <w:kern w:val="22"/>
                <w:szCs w:val="22"/>
              </w:rPr>
            </w:pPr>
            <w:r>
              <w:t>Áreas conformadas por conjuntos viables de plantas o especies animales de origen en gran parte nativo, o áreas en las que la actividad humana no ha modificado esencialmente las funciones ecológicas primarias y la composición de especies de un área.</w:t>
            </w:r>
          </w:p>
          <w:p w14:paraId="660DD44E" w14:textId="77777777" w:rsidR="00A9001E" w:rsidRPr="00F13AF8" w:rsidRDefault="00A9001E" w:rsidP="00D50788">
            <w:pPr>
              <w:adjustRightInd w:val="0"/>
              <w:snapToGrid w:val="0"/>
              <w:spacing w:before="60" w:after="60"/>
              <w:rPr>
                <w:kern w:val="22"/>
                <w:szCs w:val="22"/>
              </w:rPr>
            </w:pPr>
            <w:r>
              <w:t xml:space="preserve">(Basado en la definición de hábitats naturales del CMVC-PNUMA, </w:t>
            </w:r>
            <w:hyperlink r:id="rId24" w:history="1">
              <w:r>
                <w:rPr>
                  <w:rStyle w:val="Hipervnculo"/>
                  <w:sz w:val="22"/>
                </w:rPr>
                <w:t>https://www.biodiversitya-z.org/content/natural-habitats</w:t>
              </w:r>
            </w:hyperlink>
            <w:r>
              <w:t>)</w:t>
            </w:r>
          </w:p>
        </w:tc>
        <w:tc>
          <w:tcPr>
            <w:tcW w:w="1530" w:type="dxa"/>
          </w:tcPr>
          <w:p w14:paraId="3B969FA2"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0CCF85DE" w14:textId="77777777" w:rsidTr="00D50788">
        <w:tc>
          <w:tcPr>
            <w:tcW w:w="2137" w:type="dxa"/>
          </w:tcPr>
          <w:p w14:paraId="18AAC7BC" w14:textId="77777777" w:rsidR="00A9001E" w:rsidRPr="00F13AF8" w:rsidRDefault="00A9001E" w:rsidP="00D50788">
            <w:pPr>
              <w:adjustRightInd w:val="0"/>
              <w:snapToGrid w:val="0"/>
              <w:spacing w:before="60" w:after="60"/>
              <w:jc w:val="left"/>
              <w:rPr>
                <w:kern w:val="22"/>
                <w:szCs w:val="22"/>
              </w:rPr>
            </w:pPr>
            <w:r>
              <w:lastRenderedPageBreak/>
              <w:t>Tasa de extinción</w:t>
            </w:r>
          </w:p>
        </w:tc>
        <w:tc>
          <w:tcPr>
            <w:tcW w:w="5958" w:type="dxa"/>
          </w:tcPr>
          <w:p w14:paraId="6ABD29B9" w14:textId="77777777" w:rsidR="00A9001E" w:rsidRPr="00F13AF8" w:rsidRDefault="00A9001E" w:rsidP="00D50788">
            <w:pPr>
              <w:adjustRightInd w:val="0"/>
              <w:snapToGrid w:val="0"/>
              <w:spacing w:before="60" w:after="60"/>
              <w:rPr>
                <w:kern w:val="22"/>
                <w:szCs w:val="22"/>
              </w:rPr>
            </w:pPr>
            <w:r>
              <w:t>El número de especies que se extinguen en determinado período.</w:t>
            </w:r>
          </w:p>
        </w:tc>
        <w:tc>
          <w:tcPr>
            <w:tcW w:w="1530" w:type="dxa"/>
          </w:tcPr>
          <w:p w14:paraId="75F68169"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1414E3A0" w14:textId="77777777" w:rsidTr="00D50788">
        <w:tc>
          <w:tcPr>
            <w:tcW w:w="2137" w:type="dxa"/>
          </w:tcPr>
          <w:p w14:paraId="104F5EB5" w14:textId="77777777" w:rsidR="00A9001E" w:rsidRPr="00F13AF8" w:rsidRDefault="00A9001E" w:rsidP="00D50788">
            <w:pPr>
              <w:adjustRightInd w:val="0"/>
              <w:snapToGrid w:val="0"/>
              <w:spacing w:before="60" w:after="60"/>
              <w:jc w:val="left"/>
              <w:rPr>
                <w:kern w:val="22"/>
                <w:szCs w:val="22"/>
              </w:rPr>
            </w:pPr>
            <w:r>
              <w:t>Riesgo de extinción</w:t>
            </w:r>
          </w:p>
        </w:tc>
        <w:tc>
          <w:tcPr>
            <w:tcW w:w="5958" w:type="dxa"/>
          </w:tcPr>
          <w:p w14:paraId="4FF0FD0D" w14:textId="77777777" w:rsidR="00A9001E" w:rsidRPr="00F13AF8" w:rsidRDefault="00A9001E" w:rsidP="00D50788">
            <w:pPr>
              <w:adjustRightInd w:val="0"/>
              <w:snapToGrid w:val="0"/>
              <w:spacing w:before="60" w:after="60"/>
              <w:rPr>
                <w:kern w:val="22"/>
                <w:szCs w:val="22"/>
              </w:rPr>
            </w:pPr>
            <w:r>
              <w:t>La probabilidad de que una especie se extinga en determinado período.</w:t>
            </w:r>
          </w:p>
        </w:tc>
        <w:tc>
          <w:tcPr>
            <w:tcW w:w="1530" w:type="dxa"/>
          </w:tcPr>
          <w:p w14:paraId="6B28B782" w14:textId="77777777" w:rsidR="00A9001E" w:rsidRPr="00F13AF8" w:rsidRDefault="00A9001E" w:rsidP="00D50788">
            <w:pPr>
              <w:adjustRightInd w:val="0"/>
              <w:snapToGrid w:val="0"/>
              <w:spacing w:before="60" w:after="60"/>
              <w:jc w:val="left"/>
              <w:rPr>
                <w:kern w:val="22"/>
                <w:szCs w:val="22"/>
              </w:rPr>
            </w:pPr>
            <w:r>
              <w:t>Objetivo A</w:t>
            </w:r>
          </w:p>
        </w:tc>
      </w:tr>
      <w:tr w:rsidR="00A9001E" w:rsidRPr="00F13AF8" w14:paraId="4BFAD347" w14:textId="77777777" w:rsidTr="00D50788">
        <w:tc>
          <w:tcPr>
            <w:tcW w:w="2137" w:type="dxa"/>
          </w:tcPr>
          <w:p w14:paraId="006D2C19" w14:textId="77777777" w:rsidR="00A9001E" w:rsidRPr="00F13AF8" w:rsidRDefault="00A9001E" w:rsidP="00D50788">
            <w:pPr>
              <w:adjustRightInd w:val="0"/>
              <w:snapToGrid w:val="0"/>
              <w:spacing w:before="60" w:after="60"/>
              <w:jc w:val="left"/>
              <w:rPr>
                <w:kern w:val="22"/>
                <w:szCs w:val="22"/>
              </w:rPr>
            </w:pPr>
            <w:r>
              <w:t>Contribuciones de la naturaleza a las personas</w:t>
            </w:r>
          </w:p>
        </w:tc>
        <w:tc>
          <w:tcPr>
            <w:tcW w:w="5958" w:type="dxa"/>
          </w:tcPr>
          <w:p w14:paraId="77416CAE" w14:textId="77777777" w:rsidR="00A9001E" w:rsidRPr="00F13AF8" w:rsidRDefault="00A9001E" w:rsidP="00D50788">
            <w:pPr>
              <w:adjustRightInd w:val="0"/>
              <w:snapToGrid w:val="0"/>
              <w:spacing w:before="60" w:after="60"/>
              <w:rPr>
                <w:kern w:val="22"/>
                <w:szCs w:val="22"/>
              </w:rPr>
            </w:pPr>
            <w:r>
              <w:t>Las contribuciones de la naturaleza a las personas (un concepto similar a los servicios de los ecosistemas y que los incluye) se refiere a todas las contribuciones de la diversidad biológica al bienestar o la calidad de vida de las personas. Entre estas se incluyen a) contribuciones materiales, como la producción de alimentos, piensos, fibras, medicamentos y energía, b) servicios de regulación como la regulación de la calidad del aire y del agua, la regulación del clima, la polinización, la regulación de plagas y enfermedades y la provisión de hábitats, y c) otras contribuciones inmateriales, como aprendizaje, inspiración, salud, experiencias físicas, psicológicas y espirituales y de bienestar y apoyo a identidades y culturas, así como el mantenimiento de opciones para las generaciones futuras.</w:t>
            </w:r>
          </w:p>
          <w:p w14:paraId="23F358DC" w14:textId="77777777" w:rsidR="00A9001E" w:rsidRPr="00434B1E" w:rsidRDefault="00A9001E" w:rsidP="00D50788">
            <w:pPr>
              <w:adjustRightInd w:val="0"/>
              <w:snapToGrid w:val="0"/>
              <w:spacing w:before="60" w:after="60"/>
              <w:rPr>
                <w:kern w:val="22"/>
                <w:szCs w:val="22"/>
              </w:rPr>
            </w:pPr>
            <w:r>
              <w:t>(</w:t>
            </w:r>
            <w:hyperlink r:id="rId25" w:history="1">
              <w:r>
                <w:rPr>
                  <w:rStyle w:val="Hipervnculo"/>
                  <w:sz w:val="22"/>
                </w:rPr>
                <w:t>CBD/SBSTTA/24/3/Add.2/Rev.1</w:t>
              </w:r>
            </w:hyperlink>
            <w:r>
              <w:t>, párr. 35)</w:t>
            </w:r>
          </w:p>
        </w:tc>
        <w:tc>
          <w:tcPr>
            <w:tcW w:w="1530" w:type="dxa"/>
          </w:tcPr>
          <w:p w14:paraId="49A4A280" w14:textId="77777777" w:rsidR="00A9001E" w:rsidRPr="00F13AF8" w:rsidRDefault="00A9001E" w:rsidP="00D50788">
            <w:pPr>
              <w:adjustRightInd w:val="0"/>
              <w:snapToGrid w:val="0"/>
              <w:spacing w:before="60" w:after="60"/>
              <w:jc w:val="left"/>
              <w:rPr>
                <w:kern w:val="22"/>
                <w:szCs w:val="22"/>
              </w:rPr>
            </w:pPr>
            <w:r>
              <w:t>Objetivo B, Hito B.2, Meta 11</w:t>
            </w:r>
          </w:p>
        </w:tc>
      </w:tr>
      <w:tr w:rsidR="00A9001E" w:rsidRPr="00F13AF8" w14:paraId="08AEDB5B" w14:textId="77777777" w:rsidTr="00D50788">
        <w:tc>
          <w:tcPr>
            <w:tcW w:w="2137" w:type="dxa"/>
          </w:tcPr>
          <w:p w14:paraId="70882F45" w14:textId="77777777" w:rsidR="00A9001E" w:rsidRPr="00F13AF8" w:rsidRDefault="00A9001E" w:rsidP="00D50788">
            <w:pPr>
              <w:adjustRightInd w:val="0"/>
              <w:snapToGrid w:val="0"/>
              <w:spacing w:before="60" w:after="60"/>
              <w:jc w:val="left"/>
              <w:rPr>
                <w:kern w:val="22"/>
                <w:szCs w:val="22"/>
              </w:rPr>
            </w:pPr>
            <w:r>
              <w:t>Ganancia neta</w:t>
            </w:r>
          </w:p>
        </w:tc>
        <w:tc>
          <w:tcPr>
            <w:tcW w:w="5958" w:type="dxa"/>
          </w:tcPr>
          <w:p w14:paraId="338A5A29" w14:textId="77777777" w:rsidR="00A9001E" w:rsidRPr="00F13AF8" w:rsidRDefault="00A9001E" w:rsidP="00D50788">
            <w:pPr>
              <w:adjustRightInd w:val="0"/>
              <w:snapToGrid w:val="0"/>
              <w:spacing w:before="60" w:after="60"/>
              <w:rPr>
                <w:kern w:val="22"/>
                <w:szCs w:val="22"/>
              </w:rPr>
            </w:pPr>
            <w:r>
              <w:t xml:space="preserve">Normalmente se establece un objetivo de </w:t>
            </w:r>
            <w:r>
              <w:rPr>
                <w:i/>
              </w:rPr>
              <w:t>cero pérdida neta</w:t>
            </w:r>
            <w:r>
              <w:t xml:space="preserve"> o de </w:t>
            </w:r>
            <w:r>
              <w:rPr>
                <w:i/>
              </w:rPr>
              <w:t>ganancia neta</w:t>
            </w:r>
            <w:r>
              <w:t xml:space="preserve"> de diversidad biológica (también denominados </w:t>
            </w:r>
            <w:r>
              <w:rPr>
                <w:i/>
              </w:rPr>
              <w:t>objetivos</w:t>
            </w:r>
            <w:r>
              <w:t xml:space="preserve"> </w:t>
            </w:r>
            <w:r>
              <w:rPr>
                <w:i/>
              </w:rPr>
              <w:t xml:space="preserve">de </w:t>
            </w:r>
            <w:proofErr w:type="gramStart"/>
            <w:r>
              <w:rPr>
                <w:i/>
              </w:rPr>
              <w:t>neutralidad neta</w:t>
            </w:r>
            <w:r>
              <w:t xml:space="preserve"> y </w:t>
            </w:r>
            <w:r>
              <w:rPr>
                <w:i/>
              </w:rPr>
              <w:t>objetivos netos</w:t>
            </w:r>
            <w:proofErr w:type="gramEnd"/>
            <w:r>
              <w:rPr>
                <w:i/>
              </w:rPr>
              <w:t xml:space="preserve"> positivos</w:t>
            </w:r>
            <w:r>
              <w:t>, respectivamente) en relación con un valor de referencia predeterminado. El proceso se lleva a cabo a través de los procesos de planificación nacional y las negociaciones entre los organismos gubernamentales, los agentes de la conservación y los promotores, con elementos del proceso a menudo formalizados en una evaluación del impacto ambiental y social. La jerarquía de mitigación comprende cuatro grandes pasos que se pretende implementar de forma secuencial: 1) evitar, 2) minimizar, 3) remediar y 4) compensar.</w:t>
            </w:r>
          </w:p>
          <w:p w14:paraId="5DB1A68B" w14:textId="77777777" w:rsidR="00A9001E" w:rsidRPr="00F13AF8" w:rsidRDefault="00A9001E" w:rsidP="00D50788">
            <w:pPr>
              <w:adjustRightInd w:val="0"/>
              <w:snapToGrid w:val="0"/>
              <w:spacing w:before="60" w:after="60"/>
              <w:rPr>
                <w:kern w:val="22"/>
                <w:szCs w:val="22"/>
              </w:rPr>
            </w:pPr>
            <w:r>
              <w:t xml:space="preserve">(Véase </w:t>
            </w:r>
            <w:proofErr w:type="spellStart"/>
            <w:r>
              <w:t>Arlidge</w:t>
            </w:r>
            <w:proofErr w:type="spellEnd"/>
            <w:r>
              <w:t xml:space="preserve"> </w:t>
            </w:r>
            <w:r>
              <w:rPr>
                <w:i/>
                <w:iCs/>
              </w:rPr>
              <w:t>et al.</w:t>
            </w:r>
            <w:r>
              <w:t xml:space="preserve">, “A Global </w:t>
            </w:r>
            <w:proofErr w:type="spellStart"/>
            <w:r>
              <w:t>Mitigation</w:t>
            </w:r>
            <w:proofErr w:type="spellEnd"/>
            <w:r>
              <w:t xml:space="preserve"> </w:t>
            </w:r>
            <w:proofErr w:type="spellStart"/>
            <w:r>
              <w:t>Hierarchy</w:t>
            </w:r>
            <w:proofErr w:type="spellEnd"/>
            <w:r>
              <w:t xml:space="preserve"> for </w:t>
            </w:r>
            <w:proofErr w:type="spellStart"/>
            <w:r>
              <w:t>Nature</w:t>
            </w:r>
            <w:proofErr w:type="spellEnd"/>
            <w:r>
              <w:t xml:space="preserve"> Conservation”, </w:t>
            </w:r>
            <w:proofErr w:type="spellStart"/>
            <w:r>
              <w:rPr>
                <w:i/>
              </w:rPr>
              <w:t>BioScience</w:t>
            </w:r>
            <w:proofErr w:type="spellEnd"/>
            <w:r>
              <w:t xml:space="preserve">, vol. 68, Número 5, mayo de 2018, págs. 336-347, </w:t>
            </w:r>
            <w:hyperlink r:id="rId26" w:history="1">
              <w:r>
                <w:rPr>
                  <w:rStyle w:val="Hipervnculo"/>
                  <w:sz w:val="22"/>
                </w:rPr>
                <w:t>https://doi.org/10.1093/biosci/biy029</w:t>
              </w:r>
            </w:hyperlink>
            <w:r>
              <w:t xml:space="preserve">; Programa de Negocios y Compensaciones por Pérdida de Biodiversidad (2012), “Estándar sobre compensaciones por pérdida de biodiversidad”; y </w:t>
            </w:r>
            <w:proofErr w:type="spellStart"/>
            <w:r>
              <w:t>Maron</w:t>
            </w:r>
            <w:proofErr w:type="spellEnd"/>
            <w:r>
              <w:t xml:space="preserve"> </w:t>
            </w:r>
            <w:r>
              <w:rPr>
                <w:i/>
                <w:iCs/>
              </w:rPr>
              <w:t>et al.</w:t>
            </w:r>
            <w:r>
              <w:t xml:space="preserve"> 2018, “The </w:t>
            </w:r>
            <w:proofErr w:type="spellStart"/>
            <w:r>
              <w:t>many</w:t>
            </w:r>
            <w:proofErr w:type="spellEnd"/>
            <w:r>
              <w:t xml:space="preserve"> </w:t>
            </w:r>
            <w:proofErr w:type="spellStart"/>
            <w:r>
              <w:t>meanings</w:t>
            </w:r>
            <w:proofErr w:type="spellEnd"/>
            <w:r>
              <w:t xml:space="preserve"> of no net </w:t>
            </w:r>
            <w:proofErr w:type="spellStart"/>
            <w:r>
              <w:t>loss</w:t>
            </w:r>
            <w:proofErr w:type="spellEnd"/>
            <w:r>
              <w:t xml:space="preserve"> in </w:t>
            </w:r>
            <w:proofErr w:type="spellStart"/>
            <w:r>
              <w:t>environmental</w:t>
            </w:r>
            <w:proofErr w:type="spellEnd"/>
            <w:r>
              <w:t xml:space="preserve"> </w:t>
            </w:r>
            <w:proofErr w:type="spellStart"/>
            <w:r>
              <w:t>policy</w:t>
            </w:r>
            <w:proofErr w:type="spellEnd"/>
            <w:r>
              <w:t>”,</w:t>
            </w:r>
            <w:r>
              <w:rPr>
                <w:i/>
                <w:color w:val="222222"/>
                <w:shd w:val="clear" w:color="auto" w:fill="FFFFFF"/>
              </w:rPr>
              <w:t xml:space="preserve"> </w:t>
            </w:r>
            <w:proofErr w:type="spellStart"/>
            <w:r>
              <w:rPr>
                <w:i/>
              </w:rPr>
              <w:t>Nature</w:t>
            </w:r>
            <w:proofErr w:type="spellEnd"/>
            <w:r>
              <w:rPr>
                <w:i/>
              </w:rPr>
              <w:t xml:space="preserve"> </w:t>
            </w:r>
            <w:proofErr w:type="spellStart"/>
            <w:r>
              <w:rPr>
                <w:i/>
              </w:rPr>
              <w:t>Sustainability</w:t>
            </w:r>
            <w:proofErr w:type="spellEnd"/>
            <w:r>
              <w:t> 1,</w:t>
            </w:r>
            <w:r>
              <w:rPr>
                <w:b/>
              </w:rPr>
              <w:t> </w:t>
            </w:r>
            <w:r>
              <w:t xml:space="preserve">19-27 (2018) </w:t>
            </w:r>
            <w:hyperlink r:id="rId27" w:history="1">
              <w:r>
                <w:rPr>
                  <w:rStyle w:val="Hipervnculo"/>
                  <w:sz w:val="22"/>
                </w:rPr>
                <w:t>https://www.nature.com/articles/s41893-017-0007-7</w:t>
              </w:r>
            </w:hyperlink>
            <w:r>
              <w:t>).</w:t>
            </w:r>
          </w:p>
        </w:tc>
        <w:tc>
          <w:tcPr>
            <w:tcW w:w="1530" w:type="dxa"/>
          </w:tcPr>
          <w:p w14:paraId="034EFF90" w14:textId="77777777" w:rsidR="00A9001E" w:rsidRPr="00F13AF8" w:rsidRDefault="00A9001E" w:rsidP="00D50788">
            <w:pPr>
              <w:adjustRightInd w:val="0"/>
              <w:snapToGrid w:val="0"/>
              <w:spacing w:before="60" w:after="60"/>
              <w:rPr>
                <w:kern w:val="22"/>
                <w:szCs w:val="22"/>
              </w:rPr>
            </w:pPr>
            <w:r>
              <w:t>Hito A.1 En el Objetivo A.</w:t>
            </w:r>
          </w:p>
        </w:tc>
      </w:tr>
      <w:tr w:rsidR="00A9001E" w:rsidRPr="00F13AF8" w14:paraId="2CBD0EF1" w14:textId="77777777" w:rsidTr="00D50788">
        <w:tc>
          <w:tcPr>
            <w:tcW w:w="2137" w:type="dxa"/>
          </w:tcPr>
          <w:p w14:paraId="3721F3B3" w14:textId="77777777" w:rsidR="00A9001E" w:rsidRPr="00F13AF8" w:rsidRDefault="00A9001E" w:rsidP="00D50788">
            <w:pPr>
              <w:adjustRightInd w:val="0"/>
              <w:snapToGrid w:val="0"/>
              <w:spacing w:before="60" w:after="60"/>
              <w:jc w:val="left"/>
              <w:rPr>
                <w:kern w:val="22"/>
                <w:szCs w:val="22"/>
              </w:rPr>
            </w:pPr>
            <w:r>
              <w:t>Déficit financiero</w:t>
            </w:r>
          </w:p>
        </w:tc>
        <w:tc>
          <w:tcPr>
            <w:tcW w:w="5958" w:type="dxa"/>
          </w:tcPr>
          <w:p w14:paraId="2C8EE8FE" w14:textId="77777777" w:rsidR="00A9001E" w:rsidRPr="00F13AF8" w:rsidRDefault="00A9001E" w:rsidP="00D50788">
            <w:pPr>
              <w:adjustRightInd w:val="0"/>
              <w:snapToGrid w:val="0"/>
              <w:spacing w:before="60" w:after="60"/>
              <w:rPr>
                <w:kern w:val="22"/>
                <w:szCs w:val="22"/>
              </w:rPr>
            </w:pPr>
            <w:r>
              <w:t>El déficit entre el actual flujo total de capital anual hacia la conservación de la diversidad biológica mundial y la cantidad total de fondos necesarios para gestionar la diversidad biológica de forma sostenible y mantener la integridad de los ecosistemas.</w:t>
            </w:r>
          </w:p>
          <w:p w14:paraId="018D3411" w14:textId="77777777" w:rsidR="00A9001E" w:rsidRPr="00F13AF8" w:rsidRDefault="00A9001E" w:rsidP="00D50788">
            <w:pPr>
              <w:adjustRightInd w:val="0"/>
              <w:snapToGrid w:val="0"/>
              <w:spacing w:before="60" w:after="60"/>
              <w:rPr>
                <w:kern w:val="22"/>
                <w:szCs w:val="22"/>
              </w:rPr>
            </w:pPr>
            <w:r>
              <w:t xml:space="preserve">(Deutz </w:t>
            </w:r>
            <w:r>
              <w:rPr>
                <w:i/>
                <w:iCs/>
              </w:rPr>
              <w:t>et al</w:t>
            </w:r>
            <w:r>
              <w:t xml:space="preserve">. (2020). </w:t>
            </w:r>
            <w:proofErr w:type="spellStart"/>
            <w:r>
              <w:rPr>
                <w:i/>
                <w:iCs/>
              </w:rPr>
              <w:t>Financing</w:t>
            </w:r>
            <w:proofErr w:type="spellEnd"/>
            <w:r>
              <w:rPr>
                <w:i/>
                <w:iCs/>
              </w:rPr>
              <w:t xml:space="preserve"> </w:t>
            </w:r>
            <w:proofErr w:type="spellStart"/>
            <w:r>
              <w:rPr>
                <w:i/>
                <w:iCs/>
              </w:rPr>
              <w:t>Nature</w:t>
            </w:r>
            <w:proofErr w:type="spellEnd"/>
            <w:r>
              <w:rPr>
                <w:i/>
                <w:iCs/>
              </w:rPr>
              <w:t>:</w:t>
            </w:r>
            <w:r>
              <w:t xml:space="preserve"> </w:t>
            </w:r>
            <w:proofErr w:type="spellStart"/>
            <w:r>
              <w:rPr>
                <w:i/>
                <w:iCs/>
              </w:rPr>
              <w:t>Closing</w:t>
            </w:r>
            <w:proofErr w:type="spellEnd"/>
            <w:r>
              <w:rPr>
                <w:i/>
                <w:iCs/>
              </w:rPr>
              <w:t xml:space="preserve"> the Global Biodiversity </w:t>
            </w:r>
            <w:proofErr w:type="spellStart"/>
            <w:r>
              <w:rPr>
                <w:i/>
                <w:iCs/>
              </w:rPr>
              <w:t>Financing</w:t>
            </w:r>
            <w:proofErr w:type="spellEnd"/>
            <w:r>
              <w:rPr>
                <w:i/>
                <w:iCs/>
              </w:rPr>
              <w:t xml:space="preserve"> Gap.</w:t>
            </w:r>
            <w:r>
              <w:t xml:space="preserve"> The Paulson </w:t>
            </w:r>
            <w:proofErr w:type="spellStart"/>
            <w:r>
              <w:t>Institute</w:t>
            </w:r>
            <w:proofErr w:type="spellEnd"/>
            <w:r>
              <w:t xml:space="preserve">, The </w:t>
            </w:r>
            <w:proofErr w:type="spellStart"/>
            <w:r>
              <w:t>Nature</w:t>
            </w:r>
            <w:proofErr w:type="spellEnd"/>
            <w:r>
              <w:t xml:space="preserve"> Conservancy y Cornell Atkinson Center for </w:t>
            </w:r>
            <w:proofErr w:type="spellStart"/>
            <w:r>
              <w:t>Sustainability</w:t>
            </w:r>
            <w:proofErr w:type="spellEnd"/>
            <w:r>
              <w:t xml:space="preserve">, </w:t>
            </w:r>
            <w:hyperlink r:id="rId28" w:history="1">
              <w:r>
                <w:rPr>
                  <w:rStyle w:val="Hipervnculo"/>
                  <w:sz w:val="22"/>
                </w:rPr>
                <w:t>https://www.paulsoninstitute.org/conservation/financing-nature-report/</w:t>
              </w:r>
            </w:hyperlink>
            <w:r>
              <w:t>)</w:t>
            </w:r>
          </w:p>
        </w:tc>
        <w:tc>
          <w:tcPr>
            <w:tcW w:w="1530" w:type="dxa"/>
          </w:tcPr>
          <w:p w14:paraId="211310D9" w14:textId="77777777" w:rsidR="00A9001E" w:rsidRDefault="00A9001E" w:rsidP="00D50788">
            <w:pPr>
              <w:adjustRightInd w:val="0"/>
              <w:snapToGrid w:val="0"/>
              <w:spacing w:before="60" w:after="60"/>
              <w:rPr>
                <w:kern w:val="22"/>
                <w:szCs w:val="22"/>
              </w:rPr>
            </w:pPr>
            <w:r>
              <w:t>Hito D.1</w:t>
            </w:r>
          </w:p>
          <w:p w14:paraId="737A0FCD" w14:textId="77777777" w:rsidR="00A9001E" w:rsidRPr="00F13AF8" w:rsidRDefault="00A9001E" w:rsidP="00D50788">
            <w:pPr>
              <w:adjustRightInd w:val="0"/>
              <w:snapToGrid w:val="0"/>
              <w:spacing w:before="60" w:after="60"/>
              <w:rPr>
                <w:kern w:val="22"/>
                <w:szCs w:val="22"/>
              </w:rPr>
            </w:pPr>
            <w:r>
              <w:t>En el Objetivo D</w:t>
            </w:r>
          </w:p>
        </w:tc>
      </w:tr>
      <w:tr w:rsidR="00A9001E" w:rsidRPr="00F13AF8" w14:paraId="5F45A13A" w14:textId="77777777" w:rsidTr="00D50788">
        <w:tc>
          <w:tcPr>
            <w:tcW w:w="2137" w:type="dxa"/>
          </w:tcPr>
          <w:p w14:paraId="6BF2FF27" w14:textId="77777777" w:rsidR="00A9001E" w:rsidRPr="00F13AF8" w:rsidRDefault="00A9001E" w:rsidP="00D50788">
            <w:pPr>
              <w:adjustRightInd w:val="0"/>
              <w:snapToGrid w:val="0"/>
              <w:spacing w:before="60" w:after="60"/>
              <w:jc w:val="left"/>
              <w:rPr>
                <w:kern w:val="22"/>
                <w:szCs w:val="22"/>
              </w:rPr>
            </w:pPr>
            <w:r>
              <w:lastRenderedPageBreak/>
              <w:t>Planificación espacial</w:t>
            </w:r>
          </w:p>
        </w:tc>
        <w:tc>
          <w:tcPr>
            <w:tcW w:w="5958" w:type="dxa"/>
          </w:tcPr>
          <w:p w14:paraId="64335F92" w14:textId="77777777" w:rsidR="00A9001E" w:rsidRPr="00F13AF8" w:rsidRDefault="00A9001E" w:rsidP="00D50788">
            <w:pPr>
              <w:adjustRightInd w:val="0"/>
              <w:snapToGrid w:val="0"/>
              <w:spacing w:before="60" w:after="60"/>
              <w:rPr>
                <w:kern w:val="22"/>
                <w:szCs w:val="22"/>
              </w:rPr>
            </w:pPr>
            <w:r>
              <w:t>Por planificación espacial se entiende generalmente un método o proceso público para analizar y asignar la distribución espacial y temporal de las actividades en un entorno determinado con el fin de alcanzar diversos objetivos, incluidos objetivos sociales, económicos y ecológicos (como la diversidad biológica), que se han especificado mediante un proceso político. La planificación espacial incluye la planificación del uso de la tierra, la planificación espacial marina, etc.</w:t>
            </w:r>
          </w:p>
          <w:p w14:paraId="21E64D2A" w14:textId="77777777" w:rsidR="00A9001E" w:rsidRPr="00F13AF8" w:rsidRDefault="00A9001E" w:rsidP="00D50788">
            <w:pPr>
              <w:adjustRightInd w:val="0"/>
              <w:snapToGrid w:val="0"/>
              <w:spacing w:before="60" w:after="60"/>
              <w:jc w:val="left"/>
              <w:rPr>
                <w:kern w:val="22"/>
                <w:szCs w:val="22"/>
              </w:rPr>
            </w:pPr>
            <w:r>
              <w:t xml:space="preserve">(Véase </w:t>
            </w:r>
            <w:proofErr w:type="spellStart"/>
            <w:r>
              <w:t>Metternicht</w:t>
            </w:r>
            <w:proofErr w:type="spellEnd"/>
            <w:r>
              <w:t xml:space="preserve"> (2017). </w:t>
            </w:r>
            <w:r>
              <w:rPr>
                <w:i/>
              </w:rPr>
              <w:t>“</w:t>
            </w:r>
            <w:proofErr w:type="spellStart"/>
            <w:r>
              <w:rPr>
                <w:i/>
              </w:rPr>
              <w:t>Land</w:t>
            </w:r>
            <w:proofErr w:type="spellEnd"/>
            <w:r>
              <w:rPr>
                <w:i/>
              </w:rPr>
              <w:t xml:space="preserve"> Use and </w:t>
            </w:r>
            <w:proofErr w:type="spellStart"/>
            <w:r>
              <w:rPr>
                <w:i/>
              </w:rPr>
              <w:t>Spatial</w:t>
            </w:r>
            <w:proofErr w:type="spellEnd"/>
            <w:r>
              <w:rPr>
                <w:i/>
              </w:rPr>
              <w:t xml:space="preserve"> </w:t>
            </w:r>
            <w:proofErr w:type="spellStart"/>
            <w:r>
              <w:rPr>
                <w:i/>
              </w:rPr>
              <w:t>Planning</w:t>
            </w:r>
            <w:proofErr w:type="spellEnd"/>
            <w:r>
              <w:rPr>
                <w:i/>
              </w:rPr>
              <w:t xml:space="preserve">: </w:t>
            </w:r>
            <w:proofErr w:type="spellStart"/>
            <w:r>
              <w:rPr>
                <w:i/>
              </w:rPr>
              <w:t>Enabling</w:t>
            </w:r>
            <w:proofErr w:type="spellEnd"/>
            <w:r>
              <w:rPr>
                <w:i/>
              </w:rPr>
              <w:t xml:space="preserve"> </w:t>
            </w:r>
            <w:proofErr w:type="spellStart"/>
            <w:r>
              <w:rPr>
                <w:i/>
              </w:rPr>
              <w:t>Sustainable</w:t>
            </w:r>
            <w:proofErr w:type="spellEnd"/>
            <w:r>
              <w:rPr>
                <w:i/>
              </w:rPr>
              <w:t xml:space="preserve"> Management of </w:t>
            </w:r>
            <w:proofErr w:type="spellStart"/>
            <w:r>
              <w:rPr>
                <w:i/>
              </w:rPr>
              <w:t>Land</w:t>
            </w:r>
            <w:proofErr w:type="spellEnd"/>
            <w:r>
              <w:rPr>
                <w:i/>
              </w:rPr>
              <w:t xml:space="preserve"> </w:t>
            </w:r>
            <w:proofErr w:type="spellStart"/>
            <w:r>
              <w:rPr>
                <w:i/>
              </w:rPr>
              <w:t>Resources</w:t>
            </w:r>
            <w:proofErr w:type="spellEnd"/>
            <w:r>
              <w:t xml:space="preserve">”. </w:t>
            </w:r>
            <w:proofErr w:type="spellStart"/>
            <w:r>
              <w:rPr>
                <w:i/>
                <w:iCs/>
              </w:rPr>
              <w:t>SpringerBriefs</w:t>
            </w:r>
            <w:proofErr w:type="spellEnd"/>
            <w:r>
              <w:rPr>
                <w:i/>
                <w:iCs/>
              </w:rPr>
              <w:t xml:space="preserve"> in </w:t>
            </w:r>
            <w:proofErr w:type="spellStart"/>
            <w:r>
              <w:rPr>
                <w:i/>
                <w:iCs/>
              </w:rPr>
              <w:t>Earth</w:t>
            </w:r>
            <w:proofErr w:type="spellEnd"/>
            <w:r>
              <w:rPr>
                <w:i/>
                <w:iCs/>
              </w:rPr>
              <w:t xml:space="preserve"> Sciences</w:t>
            </w:r>
            <w:r>
              <w:t xml:space="preserve">. </w:t>
            </w:r>
            <w:hyperlink r:id="rId29" w:history="1">
              <w:r>
                <w:rPr>
                  <w:rStyle w:val="Hipervnculo"/>
                  <w:sz w:val="22"/>
                </w:rPr>
                <w:t>https://www.springer.com/gp/book/9783319718606)</w:t>
              </w:r>
            </w:hyperlink>
          </w:p>
        </w:tc>
        <w:tc>
          <w:tcPr>
            <w:tcW w:w="1530" w:type="dxa"/>
          </w:tcPr>
          <w:p w14:paraId="1B2B1808" w14:textId="77777777" w:rsidR="00A9001E" w:rsidRPr="00F13AF8" w:rsidRDefault="00A9001E" w:rsidP="00D50788">
            <w:pPr>
              <w:adjustRightInd w:val="0"/>
              <w:snapToGrid w:val="0"/>
              <w:spacing w:before="60" w:after="60"/>
              <w:jc w:val="left"/>
              <w:rPr>
                <w:kern w:val="22"/>
                <w:szCs w:val="22"/>
              </w:rPr>
            </w:pPr>
            <w:r>
              <w:t>Meta 1</w:t>
            </w:r>
          </w:p>
        </w:tc>
      </w:tr>
      <w:tr w:rsidR="00A9001E" w:rsidRPr="00F13AF8" w14:paraId="140402E1" w14:textId="77777777" w:rsidTr="00D50788">
        <w:tc>
          <w:tcPr>
            <w:tcW w:w="2137" w:type="dxa"/>
          </w:tcPr>
          <w:p w14:paraId="0D47225D" w14:textId="77777777" w:rsidR="00A9001E" w:rsidRPr="00F13AF8" w:rsidRDefault="00A9001E" w:rsidP="00D50788">
            <w:pPr>
              <w:adjustRightInd w:val="0"/>
              <w:snapToGrid w:val="0"/>
              <w:spacing w:before="60" w:after="60"/>
              <w:jc w:val="left"/>
              <w:rPr>
                <w:kern w:val="22"/>
                <w:szCs w:val="22"/>
              </w:rPr>
            </w:pPr>
            <w:r>
              <w:t>Superficie terrestre y marina</w:t>
            </w:r>
          </w:p>
        </w:tc>
        <w:tc>
          <w:tcPr>
            <w:tcW w:w="5958" w:type="dxa"/>
          </w:tcPr>
          <w:p w14:paraId="7CFDF9A9" w14:textId="77777777" w:rsidR="00A9001E" w:rsidRPr="00F13AF8" w:rsidRDefault="00A9001E" w:rsidP="00D50788">
            <w:pPr>
              <w:adjustRightInd w:val="0"/>
              <w:snapToGrid w:val="0"/>
              <w:spacing w:before="60" w:after="60"/>
              <w:rPr>
                <w:kern w:val="22"/>
                <w:szCs w:val="22"/>
              </w:rPr>
            </w:pPr>
            <w:r>
              <w:t>Se entiende que la superficie terrestre y marina incluye todos los ecosistemas terrestres y acuáticos, incluidos los biomas de agua dulce.</w:t>
            </w:r>
          </w:p>
        </w:tc>
        <w:tc>
          <w:tcPr>
            <w:tcW w:w="1530" w:type="dxa"/>
          </w:tcPr>
          <w:p w14:paraId="365FCB38" w14:textId="77777777" w:rsidR="00A9001E" w:rsidRPr="00F13AF8" w:rsidDel="00AB4CB3" w:rsidRDefault="00A9001E" w:rsidP="00D50788">
            <w:pPr>
              <w:adjustRightInd w:val="0"/>
              <w:snapToGrid w:val="0"/>
              <w:spacing w:before="60" w:after="60"/>
              <w:jc w:val="left"/>
              <w:rPr>
                <w:kern w:val="22"/>
                <w:szCs w:val="22"/>
              </w:rPr>
            </w:pPr>
            <w:r>
              <w:t>Meta 1, 3</w:t>
            </w:r>
          </w:p>
        </w:tc>
      </w:tr>
      <w:tr w:rsidR="00A9001E" w:rsidRPr="00F13AF8" w14:paraId="4490244C" w14:textId="77777777" w:rsidTr="00D50788">
        <w:tc>
          <w:tcPr>
            <w:tcW w:w="2137" w:type="dxa"/>
          </w:tcPr>
          <w:p w14:paraId="78EF3BEA" w14:textId="77777777" w:rsidR="00A9001E" w:rsidRPr="00F13AF8" w:rsidRDefault="00A9001E" w:rsidP="00D50788">
            <w:pPr>
              <w:adjustRightInd w:val="0"/>
              <w:snapToGrid w:val="0"/>
              <w:spacing w:before="60" w:after="60"/>
              <w:jc w:val="left"/>
              <w:rPr>
                <w:kern w:val="22"/>
                <w:szCs w:val="22"/>
              </w:rPr>
            </w:pPr>
            <w:r>
              <w:t>Cambio en el uso de la tierra</w:t>
            </w:r>
          </w:p>
        </w:tc>
        <w:tc>
          <w:tcPr>
            <w:tcW w:w="5958" w:type="dxa"/>
          </w:tcPr>
          <w:p w14:paraId="0CDA7978" w14:textId="77777777" w:rsidR="00A9001E" w:rsidRPr="00F13AF8" w:rsidRDefault="00A9001E" w:rsidP="00D50788">
            <w:pPr>
              <w:adjustRightInd w:val="0"/>
              <w:snapToGrid w:val="0"/>
              <w:spacing w:before="60" w:after="60"/>
              <w:rPr>
                <w:kern w:val="22"/>
                <w:szCs w:val="22"/>
              </w:rPr>
            </w:pPr>
            <w:r>
              <w:t>El cambio en el uso de la tierra incluye la conversión de la cobertura terrestre (por ejemplo, la deforestación o la minería), los cambios en la gestión del ecosistema o del agroecosistema (por ejemplo, mediante la intensificación de la gestión agrícola o la explotación forestal) o los cambios en la configuración espacial del paisaje (por ejemplo, la fragmentación de los hábitats).</w:t>
            </w:r>
          </w:p>
          <w:p w14:paraId="3472B501" w14:textId="77777777" w:rsidR="00A9001E" w:rsidRPr="00F13AF8" w:rsidDel="00AB4CB3" w:rsidRDefault="00A9001E" w:rsidP="00D50788">
            <w:pPr>
              <w:adjustRightInd w:val="0"/>
              <w:snapToGrid w:val="0"/>
              <w:spacing w:before="60" w:after="60"/>
              <w:rPr>
                <w:kern w:val="22"/>
                <w:szCs w:val="22"/>
              </w:rPr>
            </w:pPr>
            <w:r>
              <w:t>(</w:t>
            </w:r>
            <w:hyperlink r:id="rId30" w:history="1">
              <w:r>
                <w:rPr>
                  <w:rStyle w:val="Hipervnculo"/>
                  <w:sz w:val="22"/>
                </w:rPr>
                <w:t>https://ipbes.net/models-drivers-biodiversity-ecosystem-change</w:t>
              </w:r>
            </w:hyperlink>
            <w:r>
              <w:t>)</w:t>
            </w:r>
          </w:p>
        </w:tc>
        <w:tc>
          <w:tcPr>
            <w:tcW w:w="1530" w:type="dxa"/>
          </w:tcPr>
          <w:p w14:paraId="2F96BAFC" w14:textId="77777777" w:rsidR="00A9001E" w:rsidRPr="00F13AF8" w:rsidRDefault="00A9001E" w:rsidP="00D50788">
            <w:pPr>
              <w:adjustRightInd w:val="0"/>
              <w:snapToGrid w:val="0"/>
              <w:spacing w:before="60" w:after="60"/>
              <w:jc w:val="left"/>
              <w:rPr>
                <w:kern w:val="22"/>
                <w:szCs w:val="22"/>
              </w:rPr>
            </w:pPr>
            <w:r>
              <w:t>Meta 1</w:t>
            </w:r>
          </w:p>
        </w:tc>
      </w:tr>
      <w:tr w:rsidR="00A9001E" w:rsidRPr="00F13AF8" w14:paraId="2DFF50E9" w14:textId="77777777" w:rsidTr="00D50788">
        <w:tc>
          <w:tcPr>
            <w:tcW w:w="2137" w:type="dxa"/>
          </w:tcPr>
          <w:p w14:paraId="68CD4DC6" w14:textId="77777777" w:rsidR="00A9001E" w:rsidRPr="00F13AF8" w:rsidRDefault="00A9001E" w:rsidP="00D50788">
            <w:pPr>
              <w:adjustRightInd w:val="0"/>
              <w:snapToGrid w:val="0"/>
              <w:spacing w:before="60" w:after="60"/>
              <w:jc w:val="left"/>
              <w:rPr>
                <w:kern w:val="22"/>
                <w:szCs w:val="22"/>
              </w:rPr>
            </w:pPr>
            <w:r>
              <w:t>Cambio en el uso de los océanos</w:t>
            </w:r>
          </w:p>
        </w:tc>
        <w:tc>
          <w:tcPr>
            <w:tcW w:w="5958" w:type="dxa"/>
          </w:tcPr>
          <w:p w14:paraId="272DA0CA" w14:textId="77777777" w:rsidR="00A9001E" w:rsidRPr="00F13AF8" w:rsidRDefault="00A9001E" w:rsidP="00D50788">
            <w:pPr>
              <w:adjustRightInd w:val="0"/>
              <w:snapToGrid w:val="0"/>
              <w:spacing w:before="60" w:after="60"/>
              <w:rPr>
                <w:kern w:val="22"/>
                <w:szCs w:val="22"/>
              </w:rPr>
            </w:pPr>
            <w:r>
              <w:t>Del mismo modo, el cambio en el uso de los océanos se refiere a las medidas y actividades que alteran el uso de las áreas marinas, por ejemplo, el desarrollo costero, la acuicultura en alta mar, la maricultura, la exploración de petróleo y gas, y la pesca de arrastre de fondo.</w:t>
            </w:r>
          </w:p>
        </w:tc>
        <w:tc>
          <w:tcPr>
            <w:tcW w:w="1530" w:type="dxa"/>
          </w:tcPr>
          <w:p w14:paraId="1C7E2287" w14:textId="77777777" w:rsidR="00A9001E" w:rsidRPr="00F13AF8" w:rsidRDefault="00A9001E" w:rsidP="00D50788">
            <w:pPr>
              <w:adjustRightInd w:val="0"/>
              <w:snapToGrid w:val="0"/>
              <w:spacing w:before="60" w:after="60"/>
              <w:jc w:val="left"/>
              <w:rPr>
                <w:kern w:val="22"/>
                <w:szCs w:val="22"/>
              </w:rPr>
            </w:pPr>
            <w:r>
              <w:t>Meta 1</w:t>
            </w:r>
          </w:p>
        </w:tc>
      </w:tr>
      <w:tr w:rsidR="00A9001E" w:rsidRPr="00F13AF8" w14:paraId="281709A8" w14:textId="77777777" w:rsidTr="00D50788">
        <w:tc>
          <w:tcPr>
            <w:tcW w:w="2137" w:type="dxa"/>
          </w:tcPr>
          <w:p w14:paraId="36CFD981" w14:textId="77777777" w:rsidR="00A9001E" w:rsidRPr="00F13AF8" w:rsidRDefault="00A9001E" w:rsidP="00D50788">
            <w:pPr>
              <w:adjustRightInd w:val="0"/>
              <w:snapToGrid w:val="0"/>
              <w:spacing w:before="60" w:after="60"/>
              <w:jc w:val="left"/>
              <w:rPr>
                <w:kern w:val="22"/>
                <w:szCs w:val="22"/>
              </w:rPr>
            </w:pPr>
            <w:r>
              <w:t>Zonas intactas y de naturaleza virgen</w:t>
            </w:r>
          </w:p>
        </w:tc>
        <w:tc>
          <w:tcPr>
            <w:tcW w:w="5958" w:type="dxa"/>
          </w:tcPr>
          <w:p w14:paraId="5ED8020D" w14:textId="77777777" w:rsidR="00A9001E" w:rsidRPr="00F13AF8" w:rsidRDefault="00A9001E" w:rsidP="00D50788">
            <w:pPr>
              <w:adjustRightInd w:val="0"/>
              <w:snapToGrid w:val="0"/>
              <w:spacing w:before="60" w:after="60"/>
              <w:rPr>
                <w:kern w:val="22"/>
                <w:szCs w:val="22"/>
              </w:rPr>
            </w:pPr>
            <w:r>
              <w:t>La expresión “naturaleza virgen” se utiliza para describir paisajes terrestres y marítimos en buena medida intactos desde el punto de vista biológico y ecológico, con una baja densidad de población humana y que en su mayoría están libres de infraestructura industrial. Por tanto, la expresión “naturaleza virgen” no es exclusiva de las personas, sino más bien de los usos humanos que producen importantes perturbaciones biofísicas. A raíz de ello, a menudo la calidad de la naturaleza virgen se define en función de la lejanía de los asentamientos urbanos e infraestructura moderna y el grado de los impactos ecológicos derivados de la actividad industrial. Sin embargo, la expresión no pretende sugerir que una zona deba ser completamente “prístina” o “intacta”, ya que quedan muy pocos lugares en la Tierra que cumplen ese criterio. Además, se debe reconocer que las expresiones “intacto” e “integridad” se miden como una progresión y no son binarios.</w:t>
            </w:r>
          </w:p>
          <w:p w14:paraId="1FD3A4E9" w14:textId="77777777" w:rsidR="00A9001E" w:rsidRPr="00F13AF8" w:rsidRDefault="00A9001E" w:rsidP="00D50788">
            <w:pPr>
              <w:adjustRightInd w:val="0"/>
              <w:snapToGrid w:val="0"/>
              <w:spacing w:before="60" w:after="60"/>
              <w:rPr>
                <w:kern w:val="22"/>
                <w:szCs w:val="22"/>
              </w:rPr>
            </w:pPr>
            <w:r>
              <w:t>(</w:t>
            </w:r>
            <w:proofErr w:type="spellStart"/>
            <w:r>
              <w:t>Cyril</w:t>
            </w:r>
            <w:proofErr w:type="spellEnd"/>
            <w:r>
              <w:t xml:space="preserve"> F. </w:t>
            </w:r>
            <w:proofErr w:type="spellStart"/>
            <w:r>
              <w:t>Kormos</w:t>
            </w:r>
            <w:proofErr w:type="spellEnd"/>
            <w:r>
              <w:t xml:space="preserve">, Tim </w:t>
            </w:r>
            <w:proofErr w:type="spellStart"/>
            <w:r>
              <w:t>Badman</w:t>
            </w:r>
            <w:proofErr w:type="spellEnd"/>
            <w:r>
              <w:t xml:space="preserve">, </w:t>
            </w:r>
            <w:proofErr w:type="spellStart"/>
            <w:r>
              <w:t>Tilman</w:t>
            </w:r>
            <w:proofErr w:type="spellEnd"/>
            <w:r>
              <w:t xml:space="preserve"> Jaeger, </w:t>
            </w:r>
            <w:proofErr w:type="spellStart"/>
            <w:r>
              <w:t>Bastian</w:t>
            </w:r>
            <w:proofErr w:type="spellEnd"/>
            <w:r>
              <w:t xml:space="preserve"> </w:t>
            </w:r>
            <w:proofErr w:type="spellStart"/>
            <w:r>
              <w:t>Bertzky</w:t>
            </w:r>
            <w:proofErr w:type="spellEnd"/>
            <w:r>
              <w:t xml:space="preserve">, </w:t>
            </w:r>
            <w:proofErr w:type="spellStart"/>
            <w:r>
              <w:t>Remco</w:t>
            </w:r>
            <w:proofErr w:type="spellEnd"/>
            <w:r>
              <w:t xml:space="preserve"> van </w:t>
            </w:r>
            <w:proofErr w:type="spellStart"/>
            <w:r>
              <w:t>Merm</w:t>
            </w:r>
            <w:proofErr w:type="spellEnd"/>
            <w:r>
              <w:t xml:space="preserve">, Elena </w:t>
            </w:r>
            <w:proofErr w:type="spellStart"/>
            <w:r>
              <w:t>Osipova</w:t>
            </w:r>
            <w:proofErr w:type="spellEnd"/>
            <w:r>
              <w:t xml:space="preserve">, </w:t>
            </w:r>
            <w:proofErr w:type="spellStart"/>
            <w:r>
              <w:t>Yichuan</w:t>
            </w:r>
            <w:proofErr w:type="spellEnd"/>
            <w:r>
              <w:t xml:space="preserve"> Shi, Peter Bille Larsen (2017). </w:t>
            </w:r>
            <w:proofErr w:type="spellStart"/>
            <w:r>
              <w:t>World</w:t>
            </w:r>
            <w:proofErr w:type="spellEnd"/>
            <w:r>
              <w:t xml:space="preserve"> </w:t>
            </w:r>
            <w:proofErr w:type="spellStart"/>
            <w:r>
              <w:t>Heritage</w:t>
            </w:r>
            <w:proofErr w:type="spellEnd"/>
            <w:r>
              <w:t xml:space="preserve">, </w:t>
            </w:r>
            <w:proofErr w:type="spellStart"/>
            <w:r>
              <w:t>Wilderness</w:t>
            </w:r>
            <w:proofErr w:type="spellEnd"/>
            <w:r>
              <w:t xml:space="preserve"> and </w:t>
            </w:r>
            <w:proofErr w:type="spellStart"/>
            <w:r>
              <w:t>Large</w:t>
            </w:r>
            <w:proofErr w:type="spellEnd"/>
            <w:r>
              <w:t xml:space="preserve"> </w:t>
            </w:r>
            <w:proofErr w:type="spellStart"/>
            <w:r>
              <w:t>Landscapes</w:t>
            </w:r>
            <w:proofErr w:type="spellEnd"/>
            <w:r>
              <w:t xml:space="preserve"> and </w:t>
            </w:r>
            <w:proofErr w:type="spellStart"/>
            <w:r>
              <w:t>Seascapes</w:t>
            </w:r>
            <w:proofErr w:type="spellEnd"/>
            <w:r>
              <w:t xml:space="preserve">. Gland (Suiza): UICN. viii + 70 págs, </w:t>
            </w:r>
            <w:hyperlink r:id="rId31" w:history="1">
              <w:r>
                <w:rPr>
                  <w:rStyle w:val="Hipervnculo"/>
                  <w:sz w:val="22"/>
                </w:rPr>
                <w:t>https://portals.iucn.org/library/sites/library/files/documents/2017-028.pdf</w:t>
              </w:r>
            </w:hyperlink>
            <w:r>
              <w:t>)</w:t>
            </w:r>
          </w:p>
        </w:tc>
        <w:tc>
          <w:tcPr>
            <w:tcW w:w="1530" w:type="dxa"/>
          </w:tcPr>
          <w:p w14:paraId="156A3F9C" w14:textId="77777777" w:rsidR="00A9001E" w:rsidRPr="00F13AF8" w:rsidRDefault="00A9001E" w:rsidP="00D50788">
            <w:pPr>
              <w:adjustRightInd w:val="0"/>
              <w:snapToGrid w:val="0"/>
              <w:spacing w:before="60" w:after="60"/>
              <w:jc w:val="left"/>
              <w:rPr>
                <w:kern w:val="22"/>
                <w:szCs w:val="22"/>
              </w:rPr>
            </w:pPr>
            <w:r>
              <w:lastRenderedPageBreak/>
              <w:t>Meta 1</w:t>
            </w:r>
          </w:p>
        </w:tc>
      </w:tr>
      <w:tr w:rsidR="00A9001E" w:rsidRPr="00F13AF8" w14:paraId="2EA3711C" w14:textId="77777777" w:rsidTr="00D50788">
        <w:tc>
          <w:tcPr>
            <w:tcW w:w="2137" w:type="dxa"/>
          </w:tcPr>
          <w:p w14:paraId="16DA3E89" w14:textId="77777777" w:rsidR="00A9001E" w:rsidRPr="00F13AF8" w:rsidRDefault="00A9001E" w:rsidP="00D50788">
            <w:pPr>
              <w:adjustRightInd w:val="0"/>
              <w:snapToGrid w:val="0"/>
              <w:spacing w:before="60" w:after="60"/>
              <w:jc w:val="left"/>
              <w:rPr>
                <w:kern w:val="22"/>
                <w:szCs w:val="22"/>
              </w:rPr>
            </w:pPr>
            <w:r>
              <w:t>Restauración</w:t>
            </w:r>
          </w:p>
        </w:tc>
        <w:tc>
          <w:tcPr>
            <w:tcW w:w="5958" w:type="dxa"/>
          </w:tcPr>
          <w:p w14:paraId="4D9DD2B4" w14:textId="77777777" w:rsidR="00A9001E" w:rsidRPr="00F13AF8" w:rsidRDefault="00A9001E" w:rsidP="00D50788">
            <w:pPr>
              <w:adjustRightInd w:val="0"/>
              <w:snapToGrid w:val="0"/>
              <w:spacing w:before="60" w:after="60"/>
              <w:rPr>
                <w:kern w:val="22"/>
                <w:szCs w:val="22"/>
              </w:rPr>
            </w:pPr>
            <w:r>
              <w:t xml:space="preserve">Según la definición de la IPBES, se entiende por restauración “toda actividad intencional que inicie o acelere la recuperación de un ecosistema que esté en estado de degradación” (2019). Esta definición abarca todas las formas e intensidades del estado de degradación y, en este sentido, incluye la definición adoptada por la </w:t>
            </w:r>
            <w:proofErr w:type="spellStart"/>
            <w:r>
              <w:t>Society</w:t>
            </w:r>
            <w:proofErr w:type="spellEnd"/>
            <w:r>
              <w:t xml:space="preserve"> for Ecological Restoration.</w:t>
            </w:r>
            <w:r>
              <w:br/>
              <w:t>(</w:t>
            </w:r>
            <w:hyperlink r:id="rId32" w:history="1">
              <w:r>
                <w:rPr>
                  <w:rStyle w:val="Hipervnculo"/>
                  <w:sz w:val="22"/>
                </w:rPr>
                <w:t>https://www.cbd.int/doc/c/fcd6/bfba/38ebc826221543e322173507/post2020-ws-2019-11-03-en.pdf</w:t>
              </w:r>
            </w:hyperlink>
            <w:r>
              <w:t>)</w:t>
            </w:r>
          </w:p>
          <w:p w14:paraId="3AA9216D" w14:textId="77777777" w:rsidR="00A9001E" w:rsidRPr="00F13AF8" w:rsidRDefault="00A9001E" w:rsidP="00D50788">
            <w:pPr>
              <w:adjustRightInd w:val="0"/>
              <w:snapToGrid w:val="0"/>
              <w:spacing w:before="60" w:after="60"/>
              <w:rPr>
                <w:kern w:val="22"/>
                <w:szCs w:val="22"/>
              </w:rPr>
            </w:pPr>
            <w:r>
              <w:t>Restaurar los ecosistemas significa “favorecer la recuperación de aquellos ecosistemas que hayan sido degradados o destruidos, así como conservar los que todavía siguen intactos”. La restauración puede producirse de varias formas entre las que se cuentan, por ejemplo, plantar de forma activa o eliminar las presiones que afectan a la naturaleza para que pueda recuperarse por sí sola. Devolver un ecosistema a su estado original no siempre es posible o deseable.</w:t>
            </w:r>
          </w:p>
          <w:p w14:paraId="05742ADE" w14:textId="77777777" w:rsidR="00A9001E" w:rsidRPr="00F13AF8" w:rsidDel="00AB4CB3" w:rsidRDefault="00A9001E" w:rsidP="00D50788">
            <w:pPr>
              <w:adjustRightInd w:val="0"/>
              <w:snapToGrid w:val="0"/>
              <w:spacing w:before="60" w:after="60"/>
              <w:jc w:val="left"/>
              <w:rPr>
                <w:kern w:val="22"/>
                <w:szCs w:val="22"/>
              </w:rPr>
            </w:pPr>
            <w:r>
              <w:t xml:space="preserve">(Decenio de las Naciones Unidas sobre la Restauración de los Ecosistemas, </w:t>
            </w:r>
            <w:hyperlink r:id="rId33" w:history="1">
              <w:r>
                <w:rPr>
                  <w:rStyle w:val="Hipervnculo"/>
                  <w:sz w:val="22"/>
                </w:rPr>
                <w:t>https://www.decadeonrestoration.org/es/en-que-consiste-la-restauracion-de-los-ecosistemas</w:t>
              </w:r>
            </w:hyperlink>
            <w:r>
              <w:t>)</w:t>
            </w:r>
          </w:p>
        </w:tc>
        <w:tc>
          <w:tcPr>
            <w:tcW w:w="1530" w:type="dxa"/>
          </w:tcPr>
          <w:p w14:paraId="549D3913" w14:textId="77777777" w:rsidR="00A9001E" w:rsidRPr="00F13AF8" w:rsidRDefault="00A9001E" w:rsidP="00D50788">
            <w:pPr>
              <w:adjustRightInd w:val="0"/>
              <w:snapToGrid w:val="0"/>
              <w:spacing w:before="60" w:after="60"/>
              <w:jc w:val="left"/>
              <w:rPr>
                <w:kern w:val="22"/>
                <w:szCs w:val="22"/>
              </w:rPr>
            </w:pPr>
            <w:r>
              <w:t>Meta 2</w:t>
            </w:r>
          </w:p>
        </w:tc>
      </w:tr>
      <w:tr w:rsidR="00A9001E" w:rsidRPr="00F13AF8" w14:paraId="64EA5D1B" w14:textId="77777777" w:rsidTr="00D50788">
        <w:tc>
          <w:tcPr>
            <w:tcW w:w="2137" w:type="dxa"/>
          </w:tcPr>
          <w:p w14:paraId="4F370587" w14:textId="77777777" w:rsidR="00A9001E" w:rsidRPr="00F13AF8" w:rsidRDefault="00A9001E" w:rsidP="00D50788">
            <w:pPr>
              <w:adjustRightInd w:val="0"/>
              <w:snapToGrid w:val="0"/>
              <w:spacing w:before="60" w:after="60"/>
              <w:jc w:val="left"/>
              <w:rPr>
                <w:kern w:val="22"/>
                <w:szCs w:val="22"/>
              </w:rPr>
            </w:pPr>
            <w:r>
              <w:t>Ecosistemas degradados</w:t>
            </w:r>
          </w:p>
        </w:tc>
        <w:tc>
          <w:tcPr>
            <w:tcW w:w="5958" w:type="dxa"/>
          </w:tcPr>
          <w:p w14:paraId="0CDBFB64" w14:textId="77777777" w:rsidR="00A9001E" w:rsidRPr="00F13AF8" w:rsidRDefault="00A9001E" w:rsidP="00D50788">
            <w:pPr>
              <w:adjustRightInd w:val="0"/>
              <w:snapToGrid w:val="0"/>
              <w:spacing w:before="60" w:after="60"/>
              <w:rPr>
                <w:kern w:val="22"/>
                <w:szCs w:val="22"/>
              </w:rPr>
            </w:pPr>
            <w:r>
              <w:t>La degradación de las tierras puede producirse por la pérdida de diversidad biológica o de funciones o servicios de los ecosistemas. Desde una perspectiva ecológica, la degradación de las tierras puede incluir una transformación completa en la clase o el uso del ecosistema, como la conversión de un pastizal natural en un campo de cultivo, que proporciona un espectro diferente de beneficios, pero también la degradación del sistema “natural” o “transformado”. Los ecosistemas naturales suelen estar degradados antes de ser transformados. El ecosistema transformado que resulta de esta conversión puede, a su vez, degradarse y ver reducida la prestación de sus nuevas funciones (por ejemplo, un campo agrícola en el que la degradación del suelo y la reducción de la fertilidad de este provocan una disminución de las cosechas).</w:t>
            </w:r>
          </w:p>
          <w:p w14:paraId="6E47DBA8" w14:textId="77777777" w:rsidR="00A9001E" w:rsidRPr="00F13AF8" w:rsidRDefault="00A9001E" w:rsidP="00D50788">
            <w:pPr>
              <w:adjustRightInd w:val="0"/>
              <w:snapToGrid w:val="0"/>
              <w:spacing w:before="60" w:after="60"/>
              <w:rPr>
                <w:kern w:val="22"/>
                <w:szCs w:val="22"/>
              </w:rPr>
            </w:pPr>
            <w:r>
              <w:t>Los mismos conceptos se aplican a la degradación de los ecosistemas marinos y de agua dulce. Puede adoptar la forma de un cambio en las estructuras tróficas de una comunidad marina (a través de la presión pesquera y la eliminación selectiva de especies), la transformación del bentos blando y duro (a través de barridos repetitivos de artes de contacto, como las redes de arrastre) o la construcción de arrecifes artificiales, por citar solo algunos ejemplos. En el caso de los ecosistemas acuáticos de agua dulce, la construcción de presas y embalses sobre los cursos de los ríos o la conversión de humedales naturales en arrozales son ejemplos de transformación de los ecosistemas.</w:t>
            </w:r>
          </w:p>
          <w:p w14:paraId="55C29BF0" w14:textId="77777777" w:rsidR="00A9001E" w:rsidRPr="00F13AF8" w:rsidDel="00AB4CB3" w:rsidRDefault="00A9001E" w:rsidP="00D50788">
            <w:pPr>
              <w:adjustRightInd w:val="0"/>
              <w:snapToGrid w:val="0"/>
              <w:spacing w:before="60" w:after="60"/>
              <w:rPr>
                <w:kern w:val="22"/>
                <w:szCs w:val="22"/>
              </w:rPr>
            </w:pPr>
            <w:r>
              <w:t>(</w:t>
            </w:r>
            <w:hyperlink r:id="rId34" w:history="1">
              <w:r>
                <w:rPr>
                  <w:rStyle w:val="Hipervnculo"/>
                  <w:sz w:val="22"/>
                </w:rPr>
                <w:t>CBD/POST2020/WS/2019/11/3</w:t>
              </w:r>
            </w:hyperlink>
            <w:r>
              <w:t>)</w:t>
            </w:r>
          </w:p>
        </w:tc>
        <w:tc>
          <w:tcPr>
            <w:tcW w:w="1530" w:type="dxa"/>
          </w:tcPr>
          <w:p w14:paraId="25E53336" w14:textId="77777777" w:rsidR="00A9001E" w:rsidRPr="00F13AF8" w:rsidRDefault="00A9001E" w:rsidP="00D50788">
            <w:pPr>
              <w:adjustRightInd w:val="0"/>
              <w:snapToGrid w:val="0"/>
              <w:spacing w:before="60" w:after="60"/>
              <w:jc w:val="left"/>
              <w:rPr>
                <w:kern w:val="22"/>
                <w:szCs w:val="22"/>
              </w:rPr>
            </w:pPr>
            <w:r>
              <w:t>Meta 2</w:t>
            </w:r>
          </w:p>
        </w:tc>
      </w:tr>
      <w:tr w:rsidR="00A9001E" w:rsidRPr="00F13AF8" w14:paraId="6E7E9D11" w14:textId="77777777" w:rsidTr="00D50788">
        <w:tc>
          <w:tcPr>
            <w:tcW w:w="2137" w:type="dxa"/>
          </w:tcPr>
          <w:p w14:paraId="0E02C162" w14:textId="77777777" w:rsidR="00A9001E" w:rsidRPr="00F13AF8" w:rsidRDefault="00A9001E" w:rsidP="00D50788">
            <w:pPr>
              <w:adjustRightInd w:val="0"/>
              <w:snapToGrid w:val="0"/>
              <w:spacing w:before="60" w:after="60"/>
              <w:jc w:val="left"/>
              <w:rPr>
                <w:kern w:val="22"/>
                <w:szCs w:val="22"/>
              </w:rPr>
            </w:pPr>
            <w:r>
              <w:lastRenderedPageBreak/>
              <w:t>Área protegida</w:t>
            </w:r>
          </w:p>
        </w:tc>
        <w:tc>
          <w:tcPr>
            <w:tcW w:w="5958" w:type="dxa"/>
          </w:tcPr>
          <w:p w14:paraId="1AC187A6" w14:textId="77777777" w:rsidR="00A9001E" w:rsidRPr="00C65D8E" w:rsidRDefault="00A9001E" w:rsidP="00D50788">
            <w:pPr>
              <w:adjustRightInd w:val="0"/>
              <w:snapToGrid w:val="0"/>
              <w:spacing w:before="60" w:after="60"/>
              <w:rPr>
                <w:kern w:val="22"/>
                <w:szCs w:val="22"/>
              </w:rPr>
            </w:pPr>
            <w:r>
              <w:t>Un área protegida es una zona geográfica definida designada o regulada y gestionada de manera de lograr objetivos de conservación específicos. (</w:t>
            </w:r>
            <w:hyperlink r:id="rId35" w:history="1">
              <w:r>
                <w:rPr>
                  <w:rStyle w:val="Hipervnculo"/>
                  <w:sz w:val="22"/>
                </w:rPr>
                <w:t>Convenio</w:t>
              </w:r>
            </w:hyperlink>
            <w:r>
              <w:rPr>
                <w:rStyle w:val="Hipervnculo"/>
                <w:sz w:val="22"/>
              </w:rPr>
              <w:t>,</w:t>
            </w:r>
            <w:r>
              <w:t xml:space="preserve"> </w:t>
            </w:r>
            <w:r>
              <w:rPr>
                <w:rStyle w:val="Hipervnculo"/>
                <w:sz w:val="22"/>
              </w:rPr>
              <w:t>artículo 2</w:t>
            </w:r>
            <w:r>
              <w:t xml:space="preserve">) </w:t>
            </w:r>
          </w:p>
          <w:p w14:paraId="0D7DA3E1" w14:textId="77777777" w:rsidR="00A9001E" w:rsidRPr="00C65D8E" w:rsidRDefault="00A9001E" w:rsidP="00D50788">
            <w:pPr>
              <w:adjustRightInd w:val="0"/>
              <w:snapToGrid w:val="0"/>
              <w:spacing w:before="60" w:after="60"/>
              <w:rPr>
                <w:kern w:val="22"/>
                <w:szCs w:val="22"/>
                <w:lang w:val="en-CA"/>
              </w:rPr>
            </w:pPr>
          </w:p>
          <w:p w14:paraId="2804A789" w14:textId="77777777" w:rsidR="00A9001E" w:rsidRPr="00F13AF8" w:rsidRDefault="00A9001E" w:rsidP="00D50788">
            <w:pPr>
              <w:adjustRightInd w:val="0"/>
              <w:snapToGrid w:val="0"/>
              <w:spacing w:before="60" w:after="60"/>
              <w:rPr>
                <w:kern w:val="22"/>
                <w:szCs w:val="22"/>
              </w:rPr>
            </w:pPr>
            <w:r>
              <w:t>Un espacio geográfico claramente definido, reconocido, dedicado y gestionado por medios legales y otros medios eficaces para lograr la conservación a largo plazo de la naturaleza y de los valores culturales y los servicios de los ecosistemas asociados.</w:t>
            </w:r>
          </w:p>
          <w:p w14:paraId="559C0078" w14:textId="77777777" w:rsidR="00A9001E" w:rsidRPr="00F13AF8" w:rsidRDefault="00A9001E" w:rsidP="00D50788">
            <w:pPr>
              <w:adjustRightInd w:val="0"/>
              <w:snapToGrid w:val="0"/>
              <w:spacing w:before="60" w:after="60"/>
              <w:jc w:val="left"/>
              <w:rPr>
                <w:kern w:val="22"/>
                <w:szCs w:val="22"/>
              </w:rPr>
            </w:pPr>
            <w:r>
              <w:t xml:space="preserve">(Dudley, N. (Editor) (2008). </w:t>
            </w:r>
            <w:proofErr w:type="spellStart"/>
            <w:r>
              <w:rPr>
                <w:i/>
                <w:iCs/>
              </w:rPr>
              <w:t>Guidelines</w:t>
            </w:r>
            <w:proofErr w:type="spellEnd"/>
            <w:r>
              <w:rPr>
                <w:i/>
                <w:iCs/>
              </w:rPr>
              <w:t xml:space="preserve"> for </w:t>
            </w:r>
            <w:proofErr w:type="spellStart"/>
            <w:r>
              <w:rPr>
                <w:i/>
                <w:iCs/>
              </w:rPr>
              <w:t>Applying</w:t>
            </w:r>
            <w:proofErr w:type="spellEnd"/>
            <w:r>
              <w:rPr>
                <w:i/>
                <w:iCs/>
              </w:rPr>
              <w:t xml:space="preserve"> </w:t>
            </w:r>
            <w:proofErr w:type="spellStart"/>
            <w:r>
              <w:rPr>
                <w:i/>
                <w:iCs/>
              </w:rPr>
              <w:t>Protected</w:t>
            </w:r>
            <w:proofErr w:type="spellEnd"/>
            <w:r>
              <w:rPr>
                <w:i/>
                <w:iCs/>
              </w:rPr>
              <w:t xml:space="preserve"> </w:t>
            </w:r>
            <w:proofErr w:type="spellStart"/>
            <w:r>
              <w:rPr>
                <w:i/>
                <w:iCs/>
              </w:rPr>
              <w:t>Area</w:t>
            </w:r>
            <w:proofErr w:type="spellEnd"/>
            <w:r>
              <w:rPr>
                <w:i/>
                <w:iCs/>
              </w:rPr>
              <w:t xml:space="preserve"> Management </w:t>
            </w:r>
            <w:proofErr w:type="spellStart"/>
            <w:r>
              <w:rPr>
                <w:i/>
                <w:iCs/>
              </w:rPr>
              <w:t>Categories</w:t>
            </w:r>
            <w:proofErr w:type="spellEnd"/>
            <w:r>
              <w:t xml:space="preserve">. Gland (Suiza): UICN. x + 86 págs. WITH Stolton, S., P. </w:t>
            </w:r>
            <w:proofErr w:type="spellStart"/>
            <w:r>
              <w:t>Shadie</w:t>
            </w:r>
            <w:proofErr w:type="spellEnd"/>
            <w:r>
              <w:t xml:space="preserve"> y N. Dudley (2013). UICN WCPA </w:t>
            </w:r>
            <w:proofErr w:type="spellStart"/>
            <w:r>
              <w:rPr>
                <w:i/>
                <w:iCs/>
              </w:rPr>
              <w:t>Best</w:t>
            </w:r>
            <w:proofErr w:type="spellEnd"/>
            <w:r>
              <w:rPr>
                <w:i/>
                <w:iCs/>
              </w:rPr>
              <w:t xml:space="preserve"> </w:t>
            </w:r>
            <w:proofErr w:type="spellStart"/>
            <w:r>
              <w:rPr>
                <w:i/>
                <w:iCs/>
              </w:rPr>
              <w:t>Practice</w:t>
            </w:r>
            <w:proofErr w:type="spellEnd"/>
            <w:r>
              <w:rPr>
                <w:i/>
                <w:iCs/>
              </w:rPr>
              <w:t xml:space="preserve"> </w:t>
            </w:r>
            <w:proofErr w:type="spellStart"/>
            <w:r>
              <w:rPr>
                <w:i/>
                <w:iCs/>
              </w:rPr>
              <w:t>Guidance</w:t>
            </w:r>
            <w:proofErr w:type="spellEnd"/>
            <w:r>
              <w:rPr>
                <w:i/>
                <w:iCs/>
              </w:rPr>
              <w:t xml:space="preserve"> on </w:t>
            </w:r>
            <w:proofErr w:type="spellStart"/>
            <w:r>
              <w:rPr>
                <w:i/>
                <w:iCs/>
              </w:rPr>
              <w:t>Recognising</w:t>
            </w:r>
            <w:proofErr w:type="spellEnd"/>
            <w:r>
              <w:rPr>
                <w:i/>
                <w:iCs/>
              </w:rPr>
              <w:t xml:space="preserve"> </w:t>
            </w:r>
            <w:proofErr w:type="spellStart"/>
            <w:r>
              <w:rPr>
                <w:i/>
                <w:iCs/>
              </w:rPr>
              <w:t>Protected</w:t>
            </w:r>
            <w:proofErr w:type="spellEnd"/>
            <w:r>
              <w:rPr>
                <w:i/>
                <w:iCs/>
              </w:rPr>
              <w:t xml:space="preserve"> </w:t>
            </w:r>
            <w:proofErr w:type="spellStart"/>
            <w:r>
              <w:rPr>
                <w:i/>
                <w:iCs/>
              </w:rPr>
              <w:t>Areas</w:t>
            </w:r>
            <w:proofErr w:type="spellEnd"/>
            <w:r>
              <w:rPr>
                <w:i/>
                <w:iCs/>
              </w:rPr>
              <w:t xml:space="preserve"> and </w:t>
            </w:r>
            <w:proofErr w:type="spellStart"/>
            <w:r>
              <w:rPr>
                <w:i/>
                <w:iCs/>
              </w:rPr>
              <w:t>Assigning</w:t>
            </w:r>
            <w:proofErr w:type="spellEnd"/>
            <w:r>
              <w:rPr>
                <w:i/>
                <w:iCs/>
              </w:rPr>
              <w:t xml:space="preserve"> Management </w:t>
            </w:r>
            <w:proofErr w:type="spellStart"/>
            <w:r>
              <w:rPr>
                <w:i/>
                <w:iCs/>
              </w:rPr>
              <w:t>Categories</w:t>
            </w:r>
            <w:proofErr w:type="spellEnd"/>
            <w:r>
              <w:rPr>
                <w:i/>
                <w:iCs/>
              </w:rPr>
              <w:t xml:space="preserve"> and </w:t>
            </w:r>
            <w:proofErr w:type="spellStart"/>
            <w:r>
              <w:rPr>
                <w:i/>
                <w:iCs/>
              </w:rPr>
              <w:t>Governance</w:t>
            </w:r>
            <w:proofErr w:type="spellEnd"/>
            <w:r>
              <w:rPr>
                <w:i/>
                <w:iCs/>
              </w:rPr>
              <w:t xml:space="preserve"> </w:t>
            </w:r>
            <w:proofErr w:type="spellStart"/>
            <w:r>
              <w:rPr>
                <w:i/>
                <w:iCs/>
              </w:rPr>
              <w:t>Types</w:t>
            </w:r>
            <w:proofErr w:type="spellEnd"/>
            <w:r>
              <w:rPr>
                <w:i/>
                <w:iCs/>
              </w:rPr>
              <w:t xml:space="preserve">, </w:t>
            </w:r>
            <w:proofErr w:type="spellStart"/>
            <w:r>
              <w:rPr>
                <w:i/>
                <w:iCs/>
              </w:rPr>
              <w:t>Best</w:t>
            </w:r>
            <w:proofErr w:type="spellEnd"/>
            <w:r>
              <w:rPr>
                <w:i/>
                <w:iCs/>
              </w:rPr>
              <w:t xml:space="preserve"> </w:t>
            </w:r>
            <w:proofErr w:type="spellStart"/>
            <w:r>
              <w:rPr>
                <w:i/>
                <w:iCs/>
              </w:rPr>
              <w:t>Practice</w:t>
            </w:r>
            <w:proofErr w:type="spellEnd"/>
            <w:r>
              <w:rPr>
                <w:i/>
                <w:iCs/>
              </w:rPr>
              <w:t xml:space="preserve"> </w:t>
            </w:r>
            <w:proofErr w:type="spellStart"/>
            <w:r>
              <w:rPr>
                <w:i/>
                <w:iCs/>
              </w:rPr>
              <w:t>Protected</w:t>
            </w:r>
            <w:proofErr w:type="spellEnd"/>
            <w:r>
              <w:rPr>
                <w:i/>
                <w:iCs/>
              </w:rPr>
              <w:t xml:space="preserve"> </w:t>
            </w:r>
            <w:proofErr w:type="spellStart"/>
            <w:r>
              <w:rPr>
                <w:i/>
                <w:iCs/>
              </w:rPr>
              <w:t>Area</w:t>
            </w:r>
            <w:proofErr w:type="spellEnd"/>
            <w:r>
              <w:rPr>
                <w:i/>
                <w:iCs/>
              </w:rPr>
              <w:t xml:space="preserve"> </w:t>
            </w:r>
            <w:proofErr w:type="spellStart"/>
            <w:r>
              <w:rPr>
                <w:i/>
                <w:iCs/>
              </w:rPr>
              <w:t>Guidelines</w:t>
            </w:r>
            <w:proofErr w:type="spellEnd"/>
            <w:r>
              <w:rPr>
                <w:i/>
                <w:iCs/>
              </w:rPr>
              <w:t xml:space="preserve"> Series N.º 21</w:t>
            </w:r>
            <w:r>
              <w:t>, Gland (Suiza):</w:t>
            </w:r>
            <w:r>
              <w:br/>
              <w:t xml:space="preserve">UICN. xx págs, </w:t>
            </w:r>
            <w:hyperlink r:id="rId36" w:history="1">
              <w:r>
                <w:rPr>
                  <w:rStyle w:val="Hipervnculo"/>
                  <w:sz w:val="22"/>
                </w:rPr>
                <w:t>https://portals.iucn.org/library/sites/library/files/documents/2017--021.pdf</w:t>
              </w:r>
            </w:hyperlink>
            <w:r>
              <w:t>)</w:t>
            </w:r>
          </w:p>
        </w:tc>
        <w:tc>
          <w:tcPr>
            <w:tcW w:w="1530" w:type="dxa"/>
          </w:tcPr>
          <w:p w14:paraId="5CCAE34B" w14:textId="77777777" w:rsidR="00A9001E" w:rsidRPr="00F13AF8" w:rsidRDefault="00A9001E" w:rsidP="00D50788">
            <w:pPr>
              <w:adjustRightInd w:val="0"/>
              <w:snapToGrid w:val="0"/>
              <w:spacing w:before="60" w:after="60"/>
              <w:jc w:val="left"/>
              <w:rPr>
                <w:kern w:val="22"/>
                <w:szCs w:val="22"/>
              </w:rPr>
            </w:pPr>
            <w:r>
              <w:t>Meta 3</w:t>
            </w:r>
          </w:p>
        </w:tc>
      </w:tr>
      <w:tr w:rsidR="00A9001E" w:rsidRPr="00F13AF8" w14:paraId="584E8D10" w14:textId="77777777" w:rsidTr="00D50788">
        <w:tc>
          <w:tcPr>
            <w:tcW w:w="2137" w:type="dxa"/>
          </w:tcPr>
          <w:p w14:paraId="0A5C99CD" w14:textId="77777777" w:rsidR="00A9001E" w:rsidRPr="00F13AF8" w:rsidRDefault="00A9001E" w:rsidP="00D50788">
            <w:pPr>
              <w:adjustRightInd w:val="0"/>
              <w:snapToGrid w:val="0"/>
              <w:spacing w:before="60" w:after="60"/>
              <w:jc w:val="left"/>
              <w:rPr>
                <w:kern w:val="22"/>
                <w:szCs w:val="22"/>
              </w:rPr>
            </w:pPr>
            <w:r>
              <w:t>Otras medidas eficaces de conservación basadas en áreas</w:t>
            </w:r>
          </w:p>
        </w:tc>
        <w:tc>
          <w:tcPr>
            <w:tcW w:w="5958" w:type="dxa"/>
          </w:tcPr>
          <w:p w14:paraId="1D85146F" w14:textId="77777777" w:rsidR="00A9001E" w:rsidRPr="00F13AF8" w:rsidRDefault="00A9001E" w:rsidP="00D50788">
            <w:pPr>
              <w:adjustRightInd w:val="0"/>
              <w:snapToGrid w:val="0"/>
              <w:spacing w:before="60" w:after="60"/>
              <w:rPr>
                <w:kern w:val="22"/>
                <w:szCs w:val="22"/>
              </w:rPr>
            </w:pPr>
            <w:r>
              <w:t xml:space="preserve">Una zona delimitada geográficamente que no sea un área protegida y que esté gobernada y gestionada de manera tal de lograr en forma sostenida resultados positivos y duraderos para la conservación de la diversidad biológica </w:t>
            </w:r>
            <w:r>
              <w:rPr>
                <w:i/>
                <w:iCs/>
              </w:rPr>
              <w:t>in situ</w:t>
            </w:r>
            <w:r>
              <w:t>, con funciones y servicios asociados de los ecosistemas y, donde proceda, valores culturales, espirituales, socioeconómicos y otros valores pertinentes a nivel local.</w:t>
            </w:r>
          </w:p>
          <w:p w14:paraId="156D9A54" w14:textId="77777777" w:rsidR="00A9001E" w:rsidRPr="00F13AF8" w:rsidRDefault="00A9001E" w:rsidP="00D50788">
            <w:pPr>
              <w:adjustRightInd w:val="0"/>
              <w:snapToGrid w:val="0"/>
              <w:spacing w:before="60" w:after="60"/>
              <w:rPr>
                <w:kern w:val="22"/>
                <w:szCs w:val="22"/>
              </w:rPr>
            </w:pPr>
            <w:r>
              <w:t>(</w:t>
            </w:r>
            <w:hyperlink r:id="rId37" w:history="1">
              <w:r>
                <w:rPr>
                  <w:rStyle w:val="Hipervnculo"/>
                  <w:sz w:val="22"/>
                </w:rPr>
                <w:t>CBD/COP/DEC/14/8</w:t>
              </w:r>
            </w:hyperlink>
            <w:r>
              <w:t>)</w:t>
            </w:r>
          </w:p>
        </w:tc>
        <w:tc>
          <w:tcPr>
            <w:tcW w:w="1530" w:type="dxa"/>
          </w:tcPr>
          <w:p w14:paraId="28C63E3E" w14:textId="77777777" w:rsidR="00A9001E" w:rsidRPr="00F13AF8" w:rsidRDefault="00A9001E" w:rsidP="00D50788">
            <w:pPr>
              <w:adjustRightInd w:val="0"/>
              <w:snapToGrid w:val="0"/>
              <w:spacing w:before="60" w:after="60"/>
              <w:jc w:val="left"/>
              <w:rPr>
                <w:kern w:val="22"/>
                <w:szCs w:val="22"/>
              </w:rPr>
            </w:pPr>
            <w:r>
              <w:t>Meta 3</w:t>
            </w:r>
          </w:p>
        </w:tc>
      </w:tr>
      <w:tr w:rsidR="00A9001E" w:rsidRPr="00F13AF8" w14:paraId="578CBF02" w14:textId="77777777" w:rsidTr="00D50788">
        <w:tc>
          <w:tcPr>
            <w:tcW w:w="2137" w:type="dxa"/>
          </w:tcPr>
          <w:p w14:paraId="58869606" w14:textId="77777777" w:rsidR="00A9001E" w:rsidRPr="00F13AF8" w:rsidRDefault="00A9001E" w:rsidP="00D50788">
            <w:pPr>
              <w:adjustRightInd w:val="0"/>
              <w:snapToGrid w:val="0"/>
              <w:spacing w:before="60" w:after="60"/>
              <w:jc w:val="left"/>
              <w:rPr>
                <w:kern w:val="22"/>
                <w:szCs w:val="22"/>
              </w:rPr>
            </w:pPr>
            <w:r>
              <w:t>Paisajes terrestres y marinos más amplios</w:t>
            </w:r>
          </w:p>
        </w:tc>
        <w:tc>
          <w:tcPr>
            <w:tcW w:w="5958" w:type="dxa"/>
          </w:tcPr>
          <w:p w14:paraId="3E363DA5" w14:textId="77777777" w:rsidR="00A9001E" w:rsidRPr="00F13AF8" w:rsidRDefault="00A9001E" w:rsidP="00D50788">
            <w:pPr>
              <w:adjustRightInd w:val="0"/>
              <w:snapToGrid w:val="0"/>
              <w:spacing w:before="60" w:after="60"/>
              <w:rPr>
                <w:kern w:val="22"/>
                <w:szCs w:val="22"/>
              </w:rPr>
            </w:pPr>
            <w:r>
              <w:t>Mosaico geográfico compuesto por ecosistemas que interactúan como respuesta a la influencia de la interacción de los suelos, el clima, la geología, la topografía, la biota y las influencias humanas en un área determinada.</w:t>
            </w:r>
          </w:p>
          <w:p w14:paraId="41E7B823" w14:textId="77777777" w:rsidR="00A9001E" w:rsidRPr="00F13AF8" w:rsidRDefault="00A9001E" w:rsidP="00D50788">
            <w:pPr>
              <w:adjustRightInd w:val="0"/>
              <w:snapToGrid w:val="0"/>
              <w:spacing w:before="60" w:after="60"/>
              <w:rPr>
                <w:kern w:val="22"/>
                <w:szCs w:val="22"/>
              </w:rPr>
            </w:pPr>
            <w:r>
              <w:t>Análogamente, un paisaje marino es una región marina espacialmente heterogénea que puede ser delimitada a diversas escalas y que incluye los aspectos físicos, geológicos y químicos del océano.</w:t>
            </w:r>
          </w:p>
          <w:p w14:paraId="718FDE58" w14:textId="77777777" w:rsidR="00A9001E" w:rsidRPr="00CE4E57" w:rsidRDefault="00A9001E" w:rsidP="00D50788">
            <w:pPr>
              <w:adjustRightInd w:val="0"/>
              <w:snapToGrid w:val="0"/>
              <w:spacing w:before="60" w:after="60"/>
              <w:rPr>
                <w:spacing w:val="-5"/>
                <w:kern w:val="22"/>
                <w:szCs w:val="22"/>
              </w:rPr>
            </w:pPr>
            <w:r>
              <w:t xml:space="preserve">(UICN, </w:t>
            </w:r>
            <w:hyperlink r:id="rId38" w:history="1">
              <w:r>
                <w:rPr>
                  <w:rStyle w:val="Hipervnculo"/>
                  <w:sz w:val="22"/>
                </w:rPr>
                <w:t>https://www.iucn.org/downloads/en_iucn__glossary_definitions.pdf</w:t>
              </w:r>
            </w:hyperlink>
            <w:r>
              <w:t>)</w:t>
            </w:r>
          </w:p>
        </w:tc>
        <w:tc>
          <w:tcPr>
            <w:tcW w:w="1530" w:type="dxa"/>
          </w:tcPr>
          <w:p w14:paraId="3751C8AF" w14:textId="77777777" w:rsidR="00A9001E" w:rsidRPr="00F13AF8" w:rsidRDefault="00A9001E" w:rsidP="00D50788">
            <w:pPr>
              <w:adjustRightInd w:val="0"/>
              <w:snapToGrid w:val="0"/>
              <w:spacing w:before="60" w:after="60"/>
              <w:jc w:val="left"/>
              <w:rPr>
                <w:kern w:val="22"/>
                <w:szCs w:val="22"/>
              </w:rPr>
            </w:pPr>
            <w:r>
              <w:t>Meta 3</w:t>
            </w:r>
          </w:p>
        </w:tc>
      </w:tr>
      <w:tr w:rsidR="00A9001E" w:rsidRPr="00F13AF8" w14:paraId="0A0957F4" w14:textId="77777777" w:rsidTr="00D50788">
        <w:tc>
          <w:tcPr>
            <w:tcW w:w="2137" w:type="dxa"/>
          </w:tcPr>
          <w:p w14:paraId="4D889CF9" w14:textId="77777777" w:rsidR="00A9001E" w:rsidRPr="00F13AF8" w:rsidRDefault="00A9001E" w:rsidP="00D50788">
            <w:pPr>
              <w:adjustRightInd w:val="0"/>
              <w:snapToGrid w:val="0"/>
              <w:spacing w:before="60" w:after="60"/>
              <w:jc w:val="left"/>
              <w:rPr>
                <w:kern w:val="22"/>
                <w:szCs w:val="22"/>
              </w:rPr>
            </w:pPr>
            <w:r>
              <w:t>Especies silvestres y domesticadas</w:t>
            </w:r>
          </w:p>
        </w:tc>
        <w:tc>
          <w:tcPr>
            <w:tcW w:w="5958" w:type="dxa"/>
          </w:tcPr>
          <w:p w14:paraId="0CFACFDB" w14:textId="77777777" w:rsidR="00A9001E" w:rsidRPr="00F13AF8" w:rsidRDefault="00A9001E" w:rsidP="00D50788">
            <w:pPr>
              <w:adjustRightInd w:val="0"/>
              <w:snapToGrid w:val="0"/>
              <w:spacing w:before="60" w:after="60"/>
              <w:rPr>
                <w:kern w:val="22"/>
                <w:szCs w:val="22"/>
              </w:rPr>
            </w:pPr>
            <w:r>
              <w:t>Todos los organismos vivos, incluidos la fauna, la flora, los hongos y las bacterias.</w:t>
            </w:r>
          </w:p>
        </w:tc>
        <w:tc>
          <w:tcPr>
            <w:tcW w:w="1530" w:type="dxa"/>
          </w:tcPr>
          <w:p w14:paraId="0D04BE68" w14:textId="77777777" w:rsidR="00A9001E" w:rsidRPr="00F13AF8" w:rsidRDefault="00A9001E" w:rsidP="00D50788">
            <w:pPr>
              <w:adjustRightInd w:val="0"/>
              <w:snapToGrid w:val="0"/>
              <w:spacing w:before="60" w:after="60"/>
              <w:jc w:val="left"/>
              <w:rPr>
                <w:kern w:val="22"/>
                <w:szCs w:val="22"/>
              </w:rPr>
            </w:pPr>
            <w:r>
              <w:t>Objetivo A, Hito A.3, Meta 4</w:t>
            </w:r>
          </w:p>
        </w:tc>
      </w:tr>
      <w:tr w:rsidR="00A9001E" w:rsidRPr="00F13AF8" w14:paraId="54EE48F1" w14:textId="77777777" w:rsidTr="00D50788">
        <w:tc>
          <w:tcPr>
            <w:tcW w:w="2137" w:type="dxa"/>
          </w:tcPr>
          <w:p w14:paraId="237FD9A6" w14:textId="77777777" w:rsidR="00A9001E" w:rsidRPr="00F13AF8" w:rsidRDefault="00A9001E" w:rsidP="00D50788">
            <w:pPr>
              <w:adjustRightInd w:val="0"/>
              <w:snapToGrid w:val="0"/>
              <w:spacing w:before="60" w:after="60"/>
              <w:jc w:val="left"/>
              <w:rPr>
                <w:kern w:val="22"/>
                <w:szCs w:val="22"/>
              </w:rPr>
            </w:pPr>
            <w:r>
              <w:t>Recuperación</w:t>
            </w:r>
          </w:p>
        </w:tc>
        <w:tc>
          <w:tcPr>
            <w:tcW w:w="5958" w:type="dxa"/>
          </w:tcPr>
          <w:p w14:paraId="7ACD7D02" w14:textId="77777777" w:rsidR="00A9001E" w:rsidRPr="00F13AF8" w:rsidRDefault="00A9001E" w:rsidP="00D50788">
            <w:pPr>
              <w:adjustRightInd w:val="0"/>
              <w:snapToGrid w:val="0"/>
              <w:spacing w:before="60" w:after="60"/>
              <w:rPr>
                <w:kern w:val="22"/>
                <w:szCs w:val="22"/>
              </w:rPr>
            </w:pPr>
            <w:r>
              <w:t xml:space="preserve">El restablecimiento de los procesos naturales y de los parámetros genéticos, demográficos o ecológicos de una población o especie, con referencia a su estado al iniciar las actividades de recuperación. También se refiere a su abundancia local, estructura y dinámica en el pasado, para retornar a cumplir con su papel </w:t>
            </w:r>
            <w:r>
              <w:lastRenderedPageBreak/>
              <w:t>ecológico y evolutivo con la consecuente mejoría en la calidad del hábitat.</w:t>
            </w:r>
          </w:p>
          <w:p w14:paraId="3841AF69" w14:textId="77777777" w:rsidR="00A9001E" w:rsidRPr="00F13AF8" w:rsidRDefault="00A9001E" w:rsidP="00D50788">
            <w:pPr>
              <w:adjustRightInd w:val="0"/>
              <w:snapToGrid w:val="0"/>
              <w:spacing w:before="60" w:after="60"/>
              <w:rPr>
                <w:kern w:val="22"/>
                <w:szCs w:val="22"/>
              </w:rPr>
            </w:pPr>
            <w:r>
              <w:t>La Lista Verde evalúa las especies en función de tres facetas de recuperación fundamentales:</w:t>
            </w:r>
          </w:p>
          <w:p w14:paraId="4AF32862" w14:textId="77777777" w:rsidR="00A9001E" w:rsidRPr="00F13AF8" w:rsidRDefault="00A9001E" w:rsidP="00D50788">
            <w:pPr>
              <w:numPr>
                <w:ilvl w:val="0"/>
                <w:numId w:val="21"/>
              </w:numPr>
              <w:adjustRightInd w:val="0"/>
              <w:snapToGrid w:val="0"/>
              <w:spacing w:before="60" w:after="60"/>
              <w:ind w:left="288" w:hanging="144"/>
              <w:rPr>
                <w:kern w:val="22"/>
                <w:szCs w:val="22"/>
              </w:rPr>
            </w:pPr>
            <w:r>
              <w:t>Una especie está plenamente recuperada si está presente en toda su área de distribución, incluso en aquellas que ya no están ocupadas, pero que estuvieron ocupadas antes de un importante impacto o perturbación humana;</w:t>
            </w:r>
          </w:p>
          <w:p w14:paraId="6D611E40" w14:textId="77777777" w:rsidR="00A9001E" w:rsidRPr="00F13AF8" w:rsidRDefault="00A9001E" w:rsidP="00D50788">
            <w:pPr>
              <w:numPr>
                <w:ilvl w:val="0"/>
                <w:numId w:val="21"/>
              </w:numPr>
              <w:adjustRightInd w:val="0"/>
              <w:snapToGrid w:val="0"/>
              <w:spacing w:before="60" w:after="60"/>
              <w:ind w:left="288" w:hanging="144"/>
              <w:rPr>
                <w:kern w:val="22"/>
                <w:szCs w:val="22"/>
              </w:rPr>
            </w:pPr>
            <w:r>
              <w:t>Es viable (es decir, no amenazada con su extinción) en toda su área de distribución;</w:t>
            </w:r>
          </w:p>
          <w:p w14:paraId="41D2779C" w14:textId="77777777" w:rsidR="00A9001E" w:rsidRPr="00F13AF8" w:rsidRDefault="00A9001E" w:rsidP="00D50788">
            <w:pPr>
              <w:numPr>
                <w:ilvl w:val="0"/>
                <w:numId w:val="21"/>
              </w:numPr>
              <w:adjustRightInd w:val="0"/>
              <w:snapToGrid w:val="0"/>
              <w:spacing w:before="60" w:after="60"/>
              <w:ind w:left="288" w:hanging="144"/>
              <w:rPr>
                <w:kern w:val="22"/>
                <w:szCs w:val="22"/>
              </w:rPr>
            </w:pPr>
            <w:r>
              <w:t>Desempeña sus funciones ecológicas en toda su área de distribución.</w:t>
            </w:r>
          </w:p>
          <w:p w14:paraId="424366FA" w14:textId="77777777" w:rsidR="00A9001E" w:rsidRPr="00F13AF8" w:rsidRDefault="00A9001E" w:rsidP="00D50788">
            <w:pPr>
              <w:adjustRightInd w:val="0"/>
              <w:snapToGrid w:val="0"/>
              <w:spacing w:before="60" w:after="60"/>
              <w:rPr>
                <w:kern w:val="22"/>
                <w:szCs w:val="22"/>
              </w:rPr>
            </w:pPr>
            <w:r>
              <w:t xml:space="preserve">(UICN, </w:t>
            </w:r>
            <w:hyperlink r:id="rId39" w:history="1">
              <w:r>
                <w:rPr>
                  <w:rStyle w:val="Hipervnculo"/>
                  <w:sz w:val="22"/>
                </w:rPr>
                <w:t>https://www.iucn.org/downloads/en_iucn__glossary_definitions.pdf</w:t>
              </w:r>
            </w:hyperlink>
            <w:r>
              <w:t xml:space="preserve">; </w:t>
            </w:r>
            <w:proofErr w:type="spellStart"/>
            <w:r>
              <w:t>Akçakaya</w:t>
            </w:r>
            <w:proofErr w:type="spellEnd"/>
            <w:r>
              <w:t xml:space="preserve"> HR, </w:t>
            </w:r>
            <w:proofErr w:type="spellStart"/>
            <w:r>
              <w:t>Ferson</w:t>
            </w:r>
            <w:proofErr w:type="spellEnd"/>
            <w:r>
              <w:t xml:space="preserve"> S, </w:t>
            </w:r>
            <w:proofErr w:type="spellStart"/>
            <w:r>
              <w:t>Burgman</w:t>
            </w:r>
            <w:proofErr w:type="spellEnd"/>
            <w:r>
              <w:t xml:space="preserve"> MA, Keith DA, Mace GM, Todd CR. 2000. “Making </w:t>
            </w:r>
            <w:proofErr w:type="spellStart"/>
            <w:r>
              <w:t>consistent</w:t>
            </w:r>
            <w:proofErr w:type="spellEnd"/>
            <w:r>
              <w:t xml:space="preserve"> IUCN </w:t>
            </w:r>
            <w:proofErr w:type="spellStart"/>
            <w:r>
              <w:t>classifications</w:t>
            </w:r>
            <w:proofErr w:type="spellEnd"/>
            <w:r>
              <w:t xml:space="preserve"> </w:t>
            </w:r>
            <w:proofErr w:type="spellStart"/>
            <w:r>
              <w:t>under</w:t>
            </w:r>
            <w:proofErr w:type="spellEnd"/>
            <w:r>
              <w:t xml:space="preserve"> </w:t>
            </w:r>
            <w:proofErr w:type="spellStart"/>
            <w:r>
              <w:t>uncertainty</w:t>
            </w:r>
            <w:proofErr w:type="spellEnd"/>
            <w:r>
              <w:t xml:space="preserve">”. </w:t>
            </w:r>
            <w:r>
              <w:rPr>
                <w:i/>
                <w:iCs/>
              </w:rPr>
              <w:t xml:space="preserve">Conservation </w:t>
            </w:r>
            <w:proofErr w:type="spellStart"/>
            <w:r>
              <w:rPr>
                <w:i/>
                <w:iCs/>
              </w:rPr>
              <w:t>Biology</w:t>
            </w:r>
            <w:proofErr w:type="spellEnd"/>
            <w:r>
              <w:t xml:space="preserve"> 14:1001–1013.)</w:t>
            </w:r>
          </w:p>
        </w:tc>
        <w:tc>
          <w:tcPr>
            <w:tcW w:w="1530" w:type="dxa"/>
          </w:tcPr>
          <w:p w14:paraId="2ED24D5A" w14:textId="77777777" w:rsidR="00A9001E" w:rsidRPr="00F13AF8" w:rsidRDefault="00A9001E" w:rsidP="00D50788">
            <w:pPr>
              <w:adjustRightInd w:val="0"/>
              <w:snapToGrid w:val="0"/>
              <w:spacing w:before="60" w:after="60"/>
              <w:jc w:val="left"/>
              <w:rPr>
                <w:kern w:val="22"/>
                <w:szCs w:val="22"/>
              </w:rPr>
            </w:pPr>
            <w:r>
              <w:lastRenderedPageBreak/>
              <w:t>Meta 4</w:t>
            </w:r>
          </w:p>
        </w:tc>
      </w:tr>
      <w:tr w:rsidR="00A9001E" w:rsidRPr="00F13AF8" w14:paraId="1F395414" w14:textId="77777777" w:rsidTr="00D50788">
        <w:tc>
          <w:tcPr>
            <w:tcW w:w="2137" w:type="dxa"/>
          </w:tcPr>
          <w:p w14:paraId="547117D2" w14:textId="77777777" w:rsidR="00A9001E" w:rsidRPr="00F13AF8" w:rsidRDefault="00A9001E" w:rsidP="00D50788">
            <w:pPr>
              <w:adjustRightInd w:val="0"/>
              <w:snapToGrid w:val="0"/>
              <w:spacing w:before="60" w:after="60"/>
              <w:jc w:val="left"/>
              <w:rPr>
                <w:kern w:val="22"/>
                <w:szCs w:val="22"/>
              </w:rPr>
            </w:pPr>
            <w:r>
              <w:t>Conflictos entre los seres humanos y la fauna y flora silvestres</w:t>
            </w:r>
          </w:p>
        </w:tc>
        <w:tc>
          <w:tcPr>
            <w:tcW w:w="5958" w:type="dxa"/>
          </w:tcPr>
          <w:p w14:paraId="11ABBE11" w14:textId="77777777" w:rsidR="00A9001E" w:rsidRPr="00F13AF8" w:rsidRDefault="00A9001E" w:rsidP="00D50788">
            <w:pPr>
              <w:adjustRightInd w:val="0"/>
              <w:snapToGrid w:val="0"/>
              <w:spacing w:before="60" w:after="60"/>
              <w:rPr>
                <w:iCs/>
                <w:kern w:val="22"/>
                <w:szCs w:val="22"/>
              </w:rPr>
            </w:pPr>
            <w:r>
              <w:t>Los conflictos entre los seres humanos y la fauna y flora silvestres se describen generalmente como conflictos que ocurren entre las personas y las especies silvestres que tienen un efecto adverso en la vida, la salud, el bienestar o los medios de vida de los seres humanos. Como consecuencia de esas acciones y amenazas, los seres humanos puedan dañar o eliminar las especies silvestres. Estas respuestas pueden ser tanto intencionales como no intencionales. (</w:t>
            </w:r>
            <w:hyperlink r:id="rId40" w:history="1">
              <w:r>
                <w:rPr>
                  <w:rStyle w:val="Hipervnculo"/>
                  <w:sz w:val="22"/>
                </w:rPr>
                <w:t>CBD/SBSTTA/24/3/Add.2/Rev.1</w:t>
              </w:r>
            </w:hyperlink>
            <w:r>
              <w:t>, párr. 65)</w:t>
            </w:r>
          </w:p>
        </w:tc>
        <w:tc>
          <w:tcPr>
            <w:tcW w:w="1530" w:type="dxa"/>
          </w:tcPr>
          <w:p w14:paraId="04A73F70" w14:textId="77777777" w:rsidR="00A9001E" w:rsidRPr="00F13AF8" w:rsidRDefault="00A9001E" w:rsidP="00D50788">
            <w:pPr>
              <w:adjustRightInd w:val="0"/>
              <w:snapToGrid w:val="0"/>
              <w:spacing w:before="60" w:after="60"/>
              <w:jc w:val="left"/>
              <w:rPr>
                <w:kern w:val="22"/>
                <w:szCs w:val="22"/>
              </w:rPr>
            </w:pPr>
            <w:r>
              <w:t>Meta 4</w:t>
            </w:r>
          </w:p>
        </w:tc>
      </w:tr>
      <w:tr w:rsidR="00A9001E" w:rsidRPr="00F13AF8" w14:paraId="48BB433F" w14:textId="77777777" w:rsidTr="00D50788">
        <w:tc>
          <w:tcPr>
            <w:tcW w:w="2137" w:type="dxa"/>
          </w:tcPr>
          <w:p w14:paraId="755B3311" w14:textId="77777777" w:rsidR="00A9001E" w:rsidRPr="00F13AF8" w:rsidRDefault="00A9001E" w:rsidP="00D50788">
            <w:pPr>
              <w:adjustRightInd w:val="0"/>
              <w:snapToGrid w:val="0"/>
              <w:spacing w:before="60" w:after="60"/>
              <w:jc w:val="left"/>
              <w:rPr>
                <w:kern w:val="22"/>
                <w:szCs w:val="22"/>
              </w:rPr>
            </w:pPr>
            <w:r>
              <w:t>Sostenibles, legales y seguras para la salud humana</w:t>
            </w:r>
          </w:p>
        </w:tc>
        <w:tc>
          <w:tcPr>
            <w:tcW w:w="5958" w:type="dxa"/>
          </w:tcPr>
          <w:p w14:paraId="46C30F08" w14:textId="77777777" w:rsidR="00A9001E" w:rsidRPr="00F13AF8" w:rsidRDefault="00A9001E" w:rsidP="00D50788">
            <w:pPr>
              <w:adjustRightInd w:val="0"/>
              <w:snapToGrid w:val="0"/>
              <w:spacing w:before="60" w:after="60"/>
              <w:rPr>
                <w:kern w:val="22"/>
                <w:szCs w:val="22"/>
              </w:rPr>
            </w:pPr>
            <w:r>
              <w:t>Implica la recolección, el comercio y el uso de una manera y a una tasa que no conduce a la disminución de la diversidad biológica a largo plazo, manteniendo de ese modo el potencial de satisfacer las necesidades y aspiraciones de las generaciones presentes y futuras (</w:t>
            </w:r>
            <w:hyperlink r:id="rId41" w:history="1">
              <w:r>
                <w:rPr>
                  <w:rStyle w:val="Hipervnculo"/>
                  <w:sz w:val="22"/>
                </w:rPr>
                <w:t>Convenio</w:t>
              </w:r>
            </w:hyperlink>
            <w:r>
              <w:rPr>
                <w:rStyle w:val="Hipervnculo"/>
                <w:sz w:val="22"/>
              </w:rPr>
              <w:t>,</w:t>
            </w:r>
            <w:r>
              <w:t xml:space="preserve"> </w:t>
            </w:r>
            <w:r>
              <w:rPr>
                <w:rStyle w:val="Hipervnculo"/>
                <w:sz w:val="22"/>
              </w:rPr>
              <w:t>artículo 2</w:t>
            </w:r>
            <w:r>
              <w:t>), que respetan las leyes internacionales y nacionales, son seguros para la salud humana, la sanidad animal y el medio ambiente (por ejemplo, no contribuyen a la propagación de patógenos o especies invasoras).</w:t>
            </w:r>
          </w:p>
        </w:tc>
        <w:tc>
          <w:tcPr>
            <w:tcW w:w="1530" w:type="dxa"/>
          </w:tcPr>
          <w:p w14:paraId="4424897C" w14:textId="77777777" w:rsidR="00A9001E" w:rsidRPr="00F13AF8" w:rsidRDefault="00A9001E" w:rsidP="00D50788">
            <w:pPr>
              <w:adjustRightInd w:val="0"/>
              <w:snapToGrid w:val="0"/>
              <w:spacing w:before="60" w:after="60"/>
              <w:jc w:val="left"/>
              <w:rPr>
                <w:kern w:val="22"/>
                <w:szCs w:val="22"/>
              </w:rPr>
            </w:pPr>
            <w:r>
              <w:t>Meta 5</w:t>
            </w:r>
          </w:p>
        </w:tc>
      </w:tr>
      <w:tr w:rsidR="00A9001E" w:rsidRPr="00F13AF8" w14:paraId="57B676AA" w14:textId="77777777" w:rsidTr="00D50788">
        <w:tc>
          <w:tcPr>
            <w:tcW w:w="2137" w:type="dxa"/>
          </w:tcPr>
          <w:p w14:paraId="530FA2A0" w14:textId="77777777" w:rsidR="00A9001E" w:rsidRPr="00F13AF8" w:rsidRDefault="00A9001E" w:rsidP="00D50788">
            <w:pPr>
              <w:adjustRightInd w:val="0"/>
              <w:snapToGrid w:val="0"/>
              <w:spacing w:before="60" w:after="60"/>
              <w:jc w:val="left"/>
              <w:rPr>
                <w:kern w:val="22"/>
                <w:szCs w:val="22"/>
              </w:rPr>
            </w:pPr>
            <w:r>
              <w:t>Recolección</w:t>
            </w:r>
          </w:p>
        </w:tc>
        <w:tc>
          <w:tcPr>
            <w:tcW w:w="5958" w:type="dxa"/>
          </w:tcPr>
          <w:p w14:paraId="19DEACB1" w14:textId="77777777" w:rsidR="00A9001E" w:rsidRPr="00F13AF8" w:rsidRDefault="00A9001E" w:rsidP="00D50788">
            <w:pPr>
              <w:adjustRightInd w:val="0"/>
              <w:snapToGrid w:val="0"/>
              <w:spacing w:before="60" w:after="60"/>
              <w:rPr>
                <w:kern w:val="22"/>
                <w:szCs w:val="22"/>
              </w:rPr>
            </w:pPr>
            <w:r>
              <w:t>Consiste en la extracción, captura o caza de especies silvestres para usos humanos.</w:t>
            </w:r>
          </w:p>
        </w:tc>
        <w:tc>
          <w:tcPr>
            <w:tcW w:w="1530" w:type="dxa"/>
          </w:tcPr>
          <w:p w14:paraId="0E93D09B" w14:textId="77777777" w:rsidR="00A9001E" w:rsidRPr="00F13AF8" w:rsidRDefault="00A9001E" w:rsidP="00D50788">
            <w:pPr>
              <w:adjustRightInd w:val="0"/>
              <w:snapToGrid w:val="0"/>
              <w:spacing w:before="60" w:after="60"/>
              <w:jc w:val="left"/>
              <w:rPr>
                <w:kern w:val="22"/>
                <w:szCs w:val="22"/>
              </w:rPr>
            </w:pPr>
            <w:r>
              <w:t>Meta 5</w:t>
            </w:r>
          </w:p>
        </w:tc>
      </w:tr>
      <w:tr w:rsidR="00A9001E" w:rsidRPr="00F13AF8" w14:paraId="28DCF2BE" w14:textId="77777777" w:rsidTr="00D50788">
        <w:tc>
          <w:tcPr>
            <w:tcW w:w="2137" w:type="dxa"/>
          </w:tcPr>
          <w:p w14:paraId="0DF345FB" w14:textId="77777777" w:rsidR="00A9001E" w:rsidRPr="00F13AF8" w:rsidRDefault="00A9001E" w:rsidP="00D50788">
            <w:pPr>
              <w:adjustRightInd w:val="0"/>
              <w:snapToGrid w:val="0"/>
              <w:spacing w:before="60" w:after="60"/>
              <w:jc w:val="left"/>
              <w:rPr>
                <w:kern w:val="22"/>
                <w:szCs w:val="22"/>
              </w:rPr>
            </w:pPr>
            <w:r>
              <w:t>Comercio y utilización</w:t>
            </w:r>
          </w:p>
        </w:tc>
        <w:tc>
          <w:tcPr>
            <w:tcW w:w="5958" w:type="dxa"/>
          </w:tcPr>
          <w:p w14:paraId="48D06914" w14:textId="77777777" w:rsidR="00A9001E" w:rsidRPr="00F13AF8" w:rsidDel="006624D1" w:rsidRDefault="00A9001E" w:rsidP="00D50788">
            <w:pPr>
              <w:adjustRightInd w:val="0"/>
              <w:snapToGrid w:val="0"/>
              <w:spacing w:before="60" w:after="60"/>
              <w:rPr>
                <w:kern w:val="22"/>
                <w:szCs w:val="22"/>
              </w:rPr>
            </w:pPr>
            <w:r>
              <w:t>Incluye la utilización de especies silvestres con fines alimentarios y no alimentarios, como por ejemplo para la vestimenta, usos medicinales, culturales, científicos, recreativos y laborales, así como para la venta o el comercio (es decir, la venta de ejemplares de fauna y flora silvestres muertos o vivos o de productos derivados de ellos).</w:t>
            </w:r>
          </w:p>
        </w:tc>
        <w:tc>
          <w:tcPr>
            <w:tcW w:w="1530" w:type="dxa"/>
          </w:tcPr>
          <w:p w14:paraId="7E5BF542" w14:textId="77777777" w:rsidR="00A9001E" w:rsidRPr="00F13AF8" w:rsidRDefault="00A9001E" w:rsidP="00D50788">
            <w:pPr>
              <w:adjustRightInd w:val="0"/>
              <w:snapToGrid w:val="0"/>
              <w:spacing w:before="60" w:after="60"/>
              <w:jc w:val="left"/>
              <w:rPr>
                <w:kern w:val="22"/>
                <w:szCs w:val="22"/>
              </w:rPr>
            </w:pPr>
            <w:r>
              <w:t>Meta 5</w:t>
            </w:r>
          </w:p>
        </w:tc>
      </w:tr>
      <w:tr w:rsidR="00A9001E" w:rsidRPr="00F13AF8" w14:paraId="65DD6F42" w14:textId="77777777" w:rsidTr="00D50788">
        <w:tc>
          <w:tcPr>
            <w:tcW w:w="2137" w:type="dxa"/>
          </w:tcPr>
          <w:p w14:paraId="3F592FFA" w14:textId="77777777" w:rsidR="00A9001E" w:rsidRPr="00F13AF8" w:rsidRDefault="00A9001E" w:rsidP="00D50788">
            <w:pPr>
              <w:adjustRightInd w:val="0"/>
              <w:snapToGrid w:val="0"/>
              <w:spacing w:before="60" w:after="60"/>
              <w:jc w:val="left"/>
              <w:rPr>
                <w:kern w:val="22"/>
                <w:szCs w:val="22"/>
              </w:rPr>
            </w:pPr>
            <w:r>
              <w:t xml:space="preserve">Vías </w:t>
            </w:r>
            <w:r>
              <w:br/>
              <w:t>(para la introducción de especies exóticas invasoras)</w:t>
            </w:r>
          </w:p>
        </w:tc>
        <w:tc>
          <w:tcPr>
            <w:tcW w:w="5958" w:type="dxa"/>
          </w:tcPr>
          <w:p w14:paraId="5B925233" w14:textId="77777777" w:rsidR="00A9001E" w:rsidRPr="00F13AF8" w:rsidRDefault="00A9001E" w:rsidP="00D50788">
            <w:pPr>
              <w:adjustRightInd w:val="0"/>
              <w:snapToGrid w:val="0"/>
              <w:spacing w:before="60" w:after="60"/>
              <w:rPr>
                <w:kern w:val="22"/>
                <w:szCs w:val="22"/>
              </w:rPr>
            </w:pPr>
            <w:r>
              <w:t xml:space="preserve">Las vías, también denominadas vectores, son los medios por los que las especies exóticas se introducen en nuevos entornos. Según el ecosistema, es probable que haya diferentes vías de introducción de especies exóticas. Las vías más comunes son el transporte marítimo (agua de lastre, cascos de buques y </w:t>
            </w:r>
            <w:r>
              <w:lastRenderedPageBreak/>
              <w:t>contenedores de transporte), la introducción accidental o intencional de especies procedentes de actividades agrícolas o acuícolas y el escape de especies introducidas en un nuevo entorno. Las vías variarán según los países y será necesario identificarlas para poder abordarlas con eficacia.</w:t>
            </w:r>
          </w:p>
          <w:p w14:paraId="17685A34" w14:textId="77777777" w:rsidR="00A9001E" w:rsidRPr="00F13AF8" w:rsidRDefault="00A9001E" w:rsidP="00D50788">
            <w:pPr>
              <w:adjustRightInd w:val="0"/>
              <w:snapToGrid w:val="0"/>
              <w:spacing w:before="60" w:after="60"/>
              <w:jc w:val="left"/>
              <w:rPr>
                <w:kern w:val="22"/>
                <w:szCs w:val="22"/>
              </w:rPr>
            </w:pPr>
            <w:r>
              <w:t xml:space="preserve">(Basado en la guía rápida de la Meta 9 de Aichi, </w:t>
            </w:r>
            <w:hyperlink r:id="rId42" w:history="1">
              <w:r>
                <w:rPr>
                  <w:rStyle w:val="Hipervnculo"/>
                  <w:sz w:val="22"/>
                </w:rPr>
                <w:t>https://www.cbd.int/doc/strategic-plan/targets/T9-quick-guide-en.pdf</w:t>
              </w:r>
            </w:hyperlink>
            <w:r>
              <w:t>)</w:t>
            </w:r>
          </w:p>
          <w:p w14:paraId="1959310B" w14:textId="77777777" w:rsidR="00A9001E" w:rsidRPr="00F13AF8" w:rsidRDefault="00A9001E" w:rsidP="00D50788">
            <w:pPr>
              <w:adjustRightInd w:val="0"/>
              <w:snapToGrid w:val="0"/>
              <w:spacing w:before="60" w:after="60"/>
              <w:jc w:val="left"/>
              <w:rPr>
                <w:kern w:val="22"/>
                <w:szCs w:val="22"/>
              </w:rPr>
            </w:pPr>
            <w:r>
              <w:t>Las vías se clasifican según la clasificación reconocida por el Convenio sobre la Diversidad Biológica, que comprende las categorías de liberación, fuga, contaminantes, polizones, pasillo y autónoma.</w:t>
            </w:r>
          </w:p>
          <w:p w14:paraId="0DBB36A9" w14:textId="77777777" w:rsidR="00A9001E" w:rsidRPr="00F13AF8" w:rsidRDefault="00A9001E" w:rsidP="00D50788">
            <w:pPr>
              <w:adjustRightInd w:val="0"/>
              <w:snapToGrid w:val="0"/>
              <w:spacing w:before="60" w:after="60"/>
              <w:jc w:val="left"/>
              <w:rPr>
                <w:i/>
                <w:kern w:val="22"/>
                <w:szCs w:val="22"/>
              </w:rPr>
            </w:pPr>
            <w:r>
              <w:t xml:space="preserve">(Véase </w:t>
            </w:r>
            <w:hyperlink r:id="rId43" w:history="1">
              <w:r>
                <w:rPr>
                  <w:rStyle w:val="Hipervnculo"/>
                  <w:sz w:val="22"/>
                </w:rPr>
                <w:t>CBD/SBSTTA/18/9/Add.1</w:t>
              </w:r>
            </w:hyperlink>
            <w:r>
              <w:t xml:space="preserve">, párr. 12, basado en Hulme </w:t>
            </w:r>
            <w:r>
              <w:rPr>
                <w:i/>
                <w:iCs/>
              </w:rPr>
              <w:t>et al.</w:t>
            </w:r>
            <w:r>
              <w:t xml:space="preserve"> 2008, </w:t>
            </w:r>
            <w:proofErr w:type="spellStart"/>
            <w:r>
              <w:rPr>
                <w:i/>
              </w:rPr>
              <w:t>Journal</w:t>
            </w:r>
            <w:proofErr w:type="spellEnd"/>
            <w:r>
              <w:rPr>
                <w:i/>
              </w:rPr>
              <w:t xml:space="preserve"> of </w:t>
            </w:r>
            <w:proofErr w:type="spellStart"/>
            <w:r>
              <w:rPr>
                <w:i/>
              </w:rPr>
              <w:t>Applied</w:t>
            </w:r>
            <w:proofErr w:type="spellEnd"/>
            <w:r>
              <w:rPr>
                <w:i/>
              </w:rPr>
              <w:t xml:space="preserve"> </w:t>
            </w:r>
            <w:proofErr w:type="spellStart"/>
            <w:r>
              <w:rPr>
                <w:i/>
              </w:rPr>
              <w:t>Ecology</w:t>
            </w:r>
            <w:proofErr w:type="spellEnd"/>
            <w:r>
              <w:t xml:space="preserve">); véase también: Faulkner </w:t>
            </w:r>
            <w:r>
              <w:rPr>
                <w:i/>
                <w:iCs/>
              </w:rPr>
              <w:t>et al</w:t>
            </w:r>
            <w:r>
              <w:t>. 2020, “</w:t>
            </w:r>
            <w:proofErr w:type="spellStart"/>
            <w:r>
              <w:t>Classifying</w:t>
            </w:r>
            <w:proofErr w:type="spellEnd"/>
            <w:r>
              <w:t xml:space="preserve"> the </w:t>
            </w:r>
            <w:proofErr w:type="spellStart"/>
            <w:r>
              <w:t>introduction</w:t>
            </w:r>
            <w:proofErr w:type="spellEnd"/>
            <w:r>
              <w:t xml:space="preserve"> </w:t>
            </w:r>
            <w:proofErr w:type="spellStart"/>
            <w:r>
              <w:t>pathways</w:t>
            </w:r>
            <w:proofErr w:type="spellEnd"/>
            <w:r>
              <w:t xml:space="preserve"> of </w:t>
            </w:r>
            <w:proofErr w:type="spellStart"/>
            <w:r>
              <w:t>alien</w:t>
            </w:r>
            <w:proofErr w:type="spellEnd"/>
            <w:r>
              <w:t xml:space="preserve"> </w:t>
            </w:r>
            <w:proofErr w:type="spellStart"/>
            <w:r>
              <w:t>species</w:t>
            </w:r>
            <w:proofErr w:type="spellEnd"/>
            <w:r>
              <w:t xml:space="preserve">: are </w:t>
            </w:r>
            <w:proofErr w:type="spellStart"/>
            <w:r>
              <w:t>we</w:t>
            </w:r>
            <w:proofErr w:type="spellEnd"/>
            <w:r>
              <w:t xml:space="preserve"> </w:t>
            </w:r>
            <w:proofErr w:type="spellStart"/>
            <w:r>
              <w:t>moving</w:t>
            </w:r>
            <w:proofErr w:type="spellEnd"/>
            <w:r>
              <w:t xml:space="preserve"> in the </w:t>
            </w:r>
            <w:proofErr w:type="spellStart"/>
            <w:r>
              <w:t>right</w:t>
            </w:r>
            <w:proofErr w:type="spellEnd"/>
            <w:r>
              <w:t xml:space="preserve"> </w:t>
            </w:r>
            <w:proofErr w:type="spellStart"/>
            <w:r>
              <w:t>direction</w:t>
            </w:r>
            <w:proofErr w:type="spellEnd"/>
            <w:r>
              <w:t xml:space="preserve">?” </w:t>
            </w:r>
            <w:r>
              <w:rPr>
                <w:i/>
              </w:rPr>
              <w:t>NeoBiota</w:t>
            </w:r>
            <w:r>
              <w:t xml:space="preserve"> 62: 143-159, </w:t>
            </w:r>
            <w:hyperlink r:id="rId44" w:history="1">
              <w:r>
                <w:rPr>
                  <w:rStyle w:val="Hipervnculo"/>
                  <w:sz w:val="22"/>
                </w:rPr>
                <w:t>https://neobiota.pensoft.net/article/53543/</w:t>
              </w:r>
            </w:hyperlink>
            <w:r>
              <w:t>)</w:t>
            </w:r>
          </w:p>
        </w:tc>
        <w:tc>
          <w:tcPr>
            <w:tcW w:w="1530" w:type="dxa"/>
          </w:tcPr>
          <w:p w14:paraId="622CA5B1" w14:textId="77777777" w:rsidR="00A9001E" w:rsidRPr="00F13AF8" w:rsidRDefault="00A9001E" w:rsidP="00D50788">
            <w:pPr>
              <w:adjustRightInd w:val="0"/>
              <w:snapToGrid w:val="0"/>
              <w:spacing w:before="60" w:after="60"/>
              <w:jc w:val="left"/>
              <w:rPr>
                <w:kern w:val="22"/>
                <w:szCs w:val="22"/>
              </w:rPr>
            </w:pPr>
            <w:r>
              <w:lastRenderedPageBreak/>
              <w:t>Meta 6</w:t>
            </w:r>
          </w:p>
        </w:tc>
      </w:tr>
      <w:tr w:rsidR="00A9001E" w:rsidRPr="00F13AF8" w14:paraId="1C29FDC4" w14:textId="77777777" w:rsidTr="00D50788">
        <w:tc>
          <w:tcPr>
            <w:tcW w:w="2137" w:type="dxa"/>
          </w:tcPr>
          <w:p w14:paraId="7B022FC2" w14:textId="77777777" w:rsidR="00A9001E" w:rsidRPr="00F13AF8" w:rsidRDefault="00A9001E" w:rsidP="00D50788">
            <w:pPr>
              <w:adjustRightInd w:val="0"/>
              <w:snapToGrid w:val="0"/>
              <w:spacing w:before="60" w:after="60"/>
              <w:jc w:val="left"/>
              <w:rPr>
                <w:kern w:val="22"/>
                <w:szCs w:val="22"/>
              </w:rPr>
            </w:pPr>
            <w:r>
              <w:t>Sitios prioritarios</w:t>
            </w:r>
            <w:r>
              <w:br/>
              <w:t>(en relación con el impacto de las especies exóticas invasoras)</w:t>
            </w:r>
          </w:p>
        </w:tc>
        <w:tc>
          <w:tcPr>
            <w:tcW w:w="5958" w:type="dxa"/>
          </w:tcPr>
          <w:p w14:paraId="1DEF1E30" w14:textId="77777777" w:rsidR="00A9001E" w:rsidRPr="00F13AF8" w:rsidRDefault="00A9001E" w:rsidP="00D50788">
            <w:pPr>
              <w:adjustRightInd w:val="0"/>
              <w:snapToGrid w:val="0"/>
              <w:spacing w:before="60" w:after="60"/>
              <w:rPr>
                <w:kern w:val="22"/>
                <w:szCs w:val="22"/>
              </w:rPr>
            </w:pPr>
            <w:r>
              <w:t>Ecosistemas y hábitats que son sensibles y susceptibles a las invasiones biológicas y zonas en las que los impactos de las especies exóticas invasoras sobre los componentes nativos de la diversidad biológica, así como sobre los valores sociales, económicos o culturales, son elevados. Los sitios prioritarios pueden incluir ecosistemas insulares, áreas protegidas, sitios prioritarios para la restauración de los ecosistemas, zonas con especies endémicas, zonas con agricultura y acuicultura intensivas y sitios de especial importancia para la diversidad biológica. Los sitios prioritarios pueden ser designados a nivel internacional o nacional en función de sus condiciones y circunstancias.</w:t>
            </w:r>
          </w:p>
          <w:p w14:paraId="7965E2E3" w14:textId="77777777" w:rsidR="00A9001E" w:rsidRPr="00F13AF8" w:rsidRDefault="00A9001E" w:rsidP="00D50788">
            <w:pPr>
              <w:adjustRightInd w:val="0"/>
              <w:snapToGrid w:val="0"/>
              <w:spacing w:before="60" w:after="60"/>
              <w:rPr>
                <w:i/>
                <w:kern w:val="22"/>
                <w:szCs w:val="22"/>
              </w:rPr>
            </w:pPr>
            <w:r>
              <w:t xml:space="preserve">(Véase </w:t>
            </w:r>
            <w:proofErr w:type="spellStart"/>
            <w:r>
              <w:t>también</w:t>
            </w:r>
            <w:hyperlink r:id="rId45" w:history="1">
              <w:r>
                <w:rPr>
                  <w:rStyle w:val="Hipervnculo"/>
                  <w:sz w:val="22"/>
                </w:rPr>
                <w:t>CBD</w:t>
              </w:r>
              <w:proofErr w:type="spellEnd"/>
              <w:r>
                <w:rPr>
                  <w:rStyle w:val="Hipervnculo"/>
                  <w:sz w:val="22"/>
                </w:rPr>
                <w:t>/SBSTTA/24/3/Add.2/Rev.1</w:t>
              </w:r>
            </w:hyperlink>
            <w:r>
              <w:t>, párr. 76)</w:t>
            </w:r>
          </w:p>
        </w:tc>
        <w:tc>
          <w:tcPr>
            <w:tcW w:w="1530" w:type="dxa"/>
          </w:tcPr>
          <w:p w14:paraId="54BE1B4B" w14:textId="77777777" w:rsidR="00A9001E" w:rsidRPr="00F13AF8" w:rsidRDefault="00A9001E" w:rsidP="00D50788">
            <w:pPr>
              <w:adjustRightInd w:val="0"/>
              <w:snapToGrid w:val="0"/>
              <w:spacing w:before="60" w:after="60"/>
              <w:jc w:val="left"/>
              <w:rPr>
                <w:kern w:val="22"/>
                <w:szCs w:val="22"/>
              </w:rPr>
            </w:pPr>
            <w:r>
              <w:t>Meta 6</w:t>
            </w:r>
          </w:p>
        </w:tc>
      </w:tr>
      <w:tr w:rsidR="00A9001E" w:rsidRPr="00F13AF8" w14:paraId="0C4CB5D0" w14:textId="77777777" w:rsidTr="00D50788">
        <w:tc>
          <w:tcPr>
            <w:tcW w:w="2137" w:type="dxa"/>
          </w:tcPr>
          <w:p w14:paraId="11F902CD" w14:textId="77777777" w:rsidR="00A9001E" w:rsidRPr="00F13AF8" w:rsidRDefault="00A9001E" w:rsidP="00D50788">
            <w:pPr>
              <w:adjustRightInd w:val="0"/>
              <w:snapToGrid w:val="0"/>
              <w:spacing w:before="60" w:after="60"/>
              <w:jc w:val="left"/>
              <w:rPr>
                <w:kern w:val="22"/>
                <w:szCs w:val="22"/>
              </w:rPr>
            </w:pPr>
            <w:r>
              <w:t>Contaminación (de todas las fuentes)</w:t>
            </w:r>
          </w:p>
        </w:tc>
        <w:tc>
          <w:tcPr>
            <w:tcW w:w="5958" w:type="dxa"/>
          </w:tcPr>
          <w:p w14:paraId="18ED2799" w14:textId="77777777" w:rsidR="00A9001E" w:rsidRPr="00F13AF8" w:rsidRDefault="00A9001E" w:rsidP="00D50788">
            <w:pPr>
              <w:adjustRightInd w:val="0"/>
              <w:snapToGrid w:val="0"/>
              <w:spacing w:before="60" w:after="60"/>
              <w:rPr>
                <w:kern w:val="22"/>
                <w:szCs w:val="22"/>
              </w:rPr>
            </w:pPr>
            <w:r>
              <w:t>La alteración directa o indirecta de las propiedades físicas, químicas, térmicas, biológicas o radiactivas en una parte del ambiente de manera que se genere un peligro, o potencial peligro, para la conservación, auxilio o prosperidad de cualquier especie viva.</w:t>
            </w:r>
          </w:p>
          <w:p w14:paraId="5D14EA1A" w14:textId="77777777" w:rsidR="00A9001E" w:rsidRPr="00F13AF8" w:rsidRDefault="00A9001E" w:rsidP="00D50788">
            <w:pPr>
              <w:adjustRightInd w:val="0"/>
              <w:snapToGrid w:val="0"/>
              <w:spacing w:before="60" w:after="60"/>
              <w:jc w:val="left"/>
              <w:rPr>
                <w:kern w:val="22"/>
                <w:szCs w:val="22"/>
              </w:rPr>
            </w:pPr>
            <w:r>
              <w:t xml:space="preserve">(PNUMA, LEAP, </w:t>
            </w:r>
            <w:hyperlink r:id="rId46" w:history="1">
              <w:r>
                <w:rPr>
                  <w:rStyle w:val="Hipervnculo"/>
                  <w:sz w:val="22"/>
                </w:rPr>
                <w:t>https://leap.unep.org/knowledge/glossary/pollution</w:t>
              </w:r>
            </w:hyperlink>
            <w:r>
              <w:t>)</w:t>
            </w:r>
          </w:p>
        </w:tc>
        <w:tc>
          <w:tcPr>
            <w:tcW w:w="1530" w:type="dxa"/>
          </w:tcPr>
          <w:p w14:paraId="0665D944" w14:textId="77777777" w:rsidR="00A9001E" w:rsidRPr="00F13AF8" w:rsidRDefault="00A9001E" w:rsidP="00D50788">
            <w:pPr>
              <w:adjustRightInd w:val="0"/>
              <w:snapToGrid w:val="0"/>
              <w:spacing w:before="60" w:after="60"/>
              <w:jc w:val="left"/>
              <w:rPr>
                <w:kern w:val="22"/>
                <w:szCs w:val="22"/>
              </w:rPr>
            </w:pPr>
            <w:r>
              <w:t>Meta 7</w:t>
            </w:r>
          </w:p>
        </w:tc>
      </w:tr>
      <w:tr w:rsidR="00A9001E" w:rsidRPr="00F13AF8" w14:paraId="6BF323A5" w14:textId="77777777" w:rsidTr="00D50788">
        <w:tc>
          <w:tcPr>
            <w:tcW w:w="2137" w:type="dxa"/>
          </w:tcPr>
          <w:p w14:paraId="75E79133" w14:textId="77777777" w:rsidR="00A9001E" w:rsidRPr="00F13AF8" w:rsidRDefault="00A9001E" w:rsidP="00D50788">
            <w:pPr>
              <w:adjustRightInd w:val="0"/>
              <w:snapToGrid w:val="0"/>
              <w:spacing w:before="60" w:after="60"/>
              <w:jc w:val="left"/>
              <w:rPr>
                <w:kern w:val="22"/>
                <w:szCs w:val="22"/>
              </w:rPr>
            </w:pPr>
            <w:r>
              <w:t>No nocivo (para la diversidad biológica y la función de los ecosistemas)</w:t>
            </w:r>
          </w:p>
        </w:tc>
        <w:tc>
          <w:tcPr>
            <w:tcW w:w="5958" w:type="dxa"/>
          </w:tcPr>
          <w:p w14:paraId="4FBA4AE9" w14:textId="77777777" w:rsidR="00A9001E" w:rsidRPr="00F13AF8" w:rsidRDefault="00A9001E" w:rsidP="00D50788">
            <w:pPr>
              <w:adjustRightInd w:val="0"/>
              <w:snapToGrid w:val="0"/>
              <w:spacing w:before="60" w:after="60"/>
              <w:rPr>
                <w:kern w:val="22"/>
                <w:szCs w:val="22"/>
              </w:rPr>
            </w:pPr>
            <w:r>
              <w:t>Se necesitarán distintos criterios de medición para distintos tipos de contaminación. Sin embargo, por “no nocivo” debería entenderse que no tiene un impacto negativo en alguno o ninguno de los tres componentes de la diversidad biológica, es decir, en la diversidad genética, de las especies y de los ecosistemas.</w:t>
            </w:r>
          </w:p>
        </w:tc>
        <w:tc>
          <w:tcPr>
            <w:tcW w:w="1530" w:type="dxa"/>
          </w:tcPr>
          <w:p w14:paraId="38D8B060" w14:textId="77777777" w:rsidR="00A9001E" w:rsidRPr="00F13AF8" w:rsidRDefault="00A9001E" w:rsidP="00D50788">
            <w:pPr>
              <w:adjustRightInd w:val="0"/>
              <w:snapToGrid w:val="0"/>
              <w:spacing w:before="60" w:after="60"/>
              <w:jc w:val="left"/>
              <w:rPr>
                <w:kern w:val="22"/>
                <w:szCs w:val="22"/>
              </w:rPr>
            </w:pPr>
            <w:r>
              <w:t>Meta 7</w:t>
            </w:r>
          </w:p>
        </w:tc>
      </w:tr>
      <w:tr w:rsidR="00A9001E" w:rsidRPr="00F13AF8" w14:paraId="08AB6EF3" w14:textId="77777777" w:rsidTr="00D50788">
        <w:tc>
          <w:tcPr>
            <w:tcW w:w="2137" w:type="dxa"/>
          </w:tcPr>
          <w:p w14:paraId="69AB69CC" w14:textId="77777777" w:rsidR="00A9001E" w:rsidRPr="00F13AF8" w:rsidRDefault="00A9001E" w:rsidP="00D50788">
            <w:pPr>
              <w:adjustRightInd w:val="0"/>
              <w:snapToGrid w:val="0"/>
              <w:spacing w:before="60" w:after="60"/>
              <w:jc w:val="left"/>
              <w:rPr>
                <w:kern w:val="22"/>
                <w:szCs w:val="22"/>
              </w:rPr>
            </w:pPr>
            <w:r>
              <w:t>Enfoques basados en los ecosistemas</w:t>
            </w:r>
          </w:p>
        </w:tc>
        <w:tc>
          <w:tcPr>
            <w:tcW w:w="5958" w:type="dxa"/>
          </w:tcPr>
          <w:p w14:paraId="7006B6DC" w14:textId="77777777" w:rsidR="00A9001E" w:rsidRPr="00F13AF8" w:rsidRDefault="00A9001E" w:rsidP="00D50788">
            <w:pPr>
              <w:adjustRightInd w:val="0"/>
              <w:snapToGrid w:val="0"/>
              <w:spacing w:before="60" w:after="60"/>
              <w:rPr>
                <w:iCs/>
                <w:kern w:val="22"/>
                <w:szCs w:val="22"/>
              </w:rPr>
            </w:pPr>
            <w:r>
              <w:t xml:space="preserve">Se define como el uso de la diversidad biológica y los servicios de los ecosistemas como parte de una estrategia global de adaptación para ayudar a las personas a adaptarse a los efectos adversos del cambio climático. Este término puede referirse a una amplia gama de actividades de gestión de los ecosistemas para </w:t>
            </w:r>
            <w:r>
              <w:lastRenderedPageBreak/>
              <w:t>aumentar la resiliencia y reducir la vulnerabilidad de las personas y el medio ambiente, incluso ante el cambio climático y los desastres.</w:t>
            </w:r>
          </w:p>
          <w:p w14:paraId="4CA20A83" w14:textId="77777777" w:rsidR="00A9001E" w:rsidRPr="00F13AF8" w:rsidRDefault="00A9001E" w:rsidP="00D50788">
            <w:pPr>
              <w:adjustRightInd w:val="0"/>
              <w:snapToGrid w:val="0"/>
              <w:spacing w:before="60" w:after="60"/>
              <w:jc w:val="left"/>
              <w:rPr>
                <w:i/>
                <w:kern w:val="22"/>
                <w:szCs w:val="22"/>
              </w:rPr>
            </w:pPr>
            <w:r>
              <w:rPr>
                <w:i/>
              </w:rPr>
              <w:t>(Serie Técnica del CDB Núm. 85</w:t>
            </w:r>
            <w:r>
              <w:t xml:space="preserve">, </w:t>
            </w:r>
            <w:proofErr w:type="spellStart"/>
            <w:r>
              <w:rPr>
                <w:i/>
              </w:rPr>
              <w:t>Synthesis</w:t>
            </w:r>
            <w:proofErr w:type="spellEnd"/>
            <w:r>
              <w:rPr>
                <w:i/>
              </w:rPr>
              <w:t xml:space="preserve"> Report on </w:t>
            </w:r>
            <w:proofErr w:type="spellStart"/>
            <w:r>
              <w:rPr>
                <w:i/>
              </w:rPr>
              <w:t>Experiences</w:t>
            </w:r>
            <w:proofErr w:type="spellEnd"/>
            <w:r>
              <w:rPr>
                <w:i/>
              </w:rPr>
              <w:t xml:space="preserve"> </w:t>
            </w:r>
            <w:proofErr w:type="spellStart"/>
            <w:r>
              <w:rPr>
                <w:i/>
              </w:rPr>
              <w:t>with</w:t>
            </w:r>
            <w:proofErr w:type="spellEnd"/>
            <w:r>
              <w:rPr>
                <w:i/>
              </w:rPr>
              <w:t xml:space="preserve"> Ecosystem-</w:t>
            </w:r>
            <w:proofErr w:type="spellStart"/>
            <w:r>
              <w:rPr>
                <w:i/>
              </w:rPr>
              <w:t>Based</w:t>
            </w:r>
            <w:proofErr w:type="spellEnd"/>
            <w:r>
              <w:rPr>
                <w:i/>
              </w:rPr>
              <w:t xml:space="preserve"> </w:t>
            </w:r>
            <w:proofErr w:type="spellStart"/>
            <w:r>
              <w:rPr>
                <w:i/>
              </w:rPr>
              <w:t>Approaches</w:t>
            </w:r>
            <w:proofErr w:type="spellEnd"/>
            <w:r>
              <w:rPr>
                <w:i/>
              </w:rPr>
              <w:t xml:space="preserve"> to </w:t>
            </w:r>
            <w:proofErr w:type="spellStart"/>
            <w:r>
              <w:rPr>
                <w:i/>
              </w:rPr>
              <w:t>Climate</w:t>
            </w:r>
            <w:proofErr w:type="spellEnd"/>
            <w:r>
              <w:rPr>
                <w:i/>
              </w:rPr>
              <w:t xml:space="preserve"> Change </w:t>
            </w:r>
            <w:proofErr w:type="spellStart"/>
            <w:r>
              <w:rPr>
                <w:i/>
              </w:rPr>
              <w:t>Adaptation</w:t>
            </w:r>
            <w:proofErr w:type="spellEnd"/>
            <w:r>
              <w:rPr>
                <w:i/>
              </w:rPr>
              <w:t xml:space="preserve"> and </w:t>
            </w:r>
            <w:proofErr w:type="spellStart"/>
            <w:r>
              <w:rPr>
                <w:i/>
              </w:rPr>
              <w:t>Disaster</w:t>
            </w:r>
            <w:proofErr w:type="spellEnd"/>
            <w:r>
              <w:rPr>
                <w:i/>
              </w:rPr>
              <w:t xml:space="preserve"> </w:t>
            </w:r>
            <w:proofErr w:type="spellStart"/>
            <w:r>
              <w:rPr>
                <w:i/>
              </w:rPr>
              <w:t>Risk</w:t>
            </w:r>
            <w:proofErr w:type="spellEnd"/>
            <w:r>
              <w:rPr>
                <w:i/>
              </w:rPr>
              <w:t xml:space="preserve"> </w:t>
            </w:r>
            <w:proofErr w:type="spellStart"/>
            <w:r>
              <w:rPr>
                <w:i/>
              </w:rPr>
              <w:t>Reduction</w:t>
            </w:r>
            <w:proofErr w:type="spellEnd"/>
            <w:r>
              <w:t>, 2016.</w:t>
            </w:r>
            <w:r>
              <w:br/>
            </w:r>
            <w:hyperlink r:id="rId47" w:history="1">
              <w:r>
                <w:rPr>
                  <w:rStyle w:val="Hipervnculo"/>
                  <w:sz w:val="22"/>
                </w:rPr>
                <w:t>https://www.cbd.int/doc/publications/cbd-ts-85-en.pdf</w:t>
              </w:r>
            </w:hyperlink>
            <w:r>
              <w:t>, pág. 16)</w:t>
            </w:r>
          </w:p>
        </w:tc>
        <w:tc>
          <w:tcPr>
            <w:tcW w:w="1530" w:type="dxa"/>
          </w:tcPr>
          <w:p w14:paraId="7F7A0F57" w14:textId="77777777" w:rsidR="00A9001E" w:rsidRPr="00F13AF8" w:rsidRDefault="00A9001E" w:rsidP="00D50788">
            <w:pPr>
              <w:adjustRightInd w:val="0"/>
              <w:snapToGrid w:val="0"/>
              <w:spacing w:before="60" w:after="60"/>
              <w:jc w:val="left"/>
              <w:rPr>
                <w:i/>
                <w:kern w:val="22"/>
                <w:szCs w:val="22"/>
              </w:rPr>
            </w:pPr>
            <w:r>
              <w:lastRenderedPageBreak/>
              <w:t>Meta 8</w:t>
            </w:r>
          </w:p>
        </w:tc>
      </w:tr>
      <w:tr w:rsidR="00A9001E" w:rsidRPr="00F13AF8" w14:paraId="72D3D9AF" w14:textId="77777777" w:rsidTr="00D50788">
        <w:tc>
          <w:tcPr>
            <w:tcW w:w="2137" w:type="dxa"/>
          </w:tcPr>
          <w:p w14:paraId="33CC1AF3" w14:textId="77777777" w:rsidR="00A9001E" w:rsidRPr="00F13AF8" w:rsidRDefault="00A9001E" w:rsidP="00D50788">
            <w:pPr>
              <w:adjustRightInd w:val="0"/>
              <w:snapToGrid w:val="0"/>
              <w:spacing w:before="60" w:after="60"/>
              <w:jc w:val="left"/>
              <w:rPr>
                <w:kern w:val="22"/>
                <w:szCs w:val="22"/>
              </w:rPr>
            </w:pPr>
            <w:r>
              <w:t>Utilización consuetudinaria sostenible</w:t>
            </w:r>
          </w:p>
        </w:tc>
        <w:tc>
          <w:tcPr>
            <w:tcW w:w="5958" w:type="dxa"/>
          </w:tcPr>
          <w:p w14:paraId="3832985F" w14:textId="77777777" w:rsidR="00A9001E" w:rsidRPr="00F13AF8" w:rsidRDefault="00A9001E" w:rsidP="00D50788">
            <w:pPr>
              <w:adjustRightInd w:val="0"/>
              <w:snapToGrid w:val="0"/>
              <w:spacing w:before="60" w:after="60"/>
              <w:rPr>
                <w:kern w:val="22"/>
                <w:szCs w:val="22"/>
              </w:rPr>
            </w:pPr>
            <w:r>
              <w:t>La utilización de los recursos biológicos, de conformidad con las prácticas culturales tradicionales que sean compatibles con los requisitos de la conservación o del uso sostenible.</w:t>
            </w:r>
          </w:p>
          <w:p w14:paraId="080C41EB" w14:textId="77777777" w:rsidR="00A9001E" w:rsidRPr="00F13AF8" w:rsidRDefault="00A9001E" w:rsidP="00D50788">
            <w:pPr>
              <w:adjustRightInd w:val="0"/>
              <w:snapToGrid w:val="0"/>
              <w:spacing w:before="60" w:after="60"/>
              <w:rPr>
                <w:kern w:val="22"/>
                <w:szCs w:val="22"/>
              </w:rPr>
            </w:pPr>
            <w:r>
              <w:t xml:space="preserve">(CBD, </w:t>
            </w:r>
            <w:hyperlink r:id="rId48" w:history="1">
              <w:r>
                <w:rPr>
                  <w:rStyle w:val="Hipervnculo"/>
                  <w:sz w:val="22"/>
                </w:rPr>
                <w:t>https://www.cbd.int/traditional/what.shtml</w:t>
              </w:r>
            </w:hyperlink>
            <w:r>
              <w:t>)</w:t>
            </w:r>
          </w:p>
        </w:tc>
        <w:tc>
          <w:tcPr>
            <w:tcW w:w="1530" w:type="dxa"/>
          </w:tcPr>
          <w:p w14:paraId="594979D6" w14:textId="77777777" w:rsidR="00A9001E" w:rsidRPr="00F13AF8" w:rsidRDefault="00A9001E" w:rsidP="00D50788">
            <w:pPr>
              <w:adjustRightInd w:val="0"/>
              <w:snapToGrid w:val="0"/>
              <w:spacing w:before="60" w:after="60"/>
              <w:jc w:val="left"/>
              <w:rPr>
                <w:kern w:val="22"/>
                <w:szCs w:val="22"/>
              </w:rPr>
            </w:pPr>
            <w:r>
              <w:t>Meta 9</w:t>
            </w:r>
          </w:p>
        </w:tc>
      </w:tr>
      <w:tr w:rsidR="00A9001E" w:rsidRPr="00F13AF8" w14:paraId="408EDFF6" w14:textId="77777777" w:rsidTr="00D50788">
        <w:tc>
          <w:tcPr>
            <w:tcW w:w="2137" w:type="dxa"/>
          </w:tcPr>
          <w:p w14:paraId="445311B3" w14:textId="77777777" w:rsidR="00A9001E" w:rsidRPr="00F13AF8" w:rsidRDefault="00A9001E" w:rsidP="00D50788">
            <w:pPr>
              <w:adjustRightInd w:val="0"/>
              <w:snapToGrid w:val="0"/>
              <w:spacing w:before="60" w:after="60"/>
              <w:jc w:val="left"/>
              <w:rPr>
                <w:kern w:val="22"/>
                <w:szCs w:val="22"/>
              </w:rPr>
            </w:pPr>
            <w:r>
              <w:t>Agricultura y acuicultura sostenible</w:t>
            </w:r>
          </w:p>
        </w:tc>
        <w:tc>
          <w:tcPr>
            <w:tcW w:w="5958" w:type="dxa"/>
          </w:tcPr>
          <w:p w14:paraId="41DAD512" w14:textId="77777777" w:rsidR="00A9001E" w:rsidRPr="00F13AF8" w:rsidRDefault="00A9001E" w:rsidP="00D50788">
            <w:pPr>
              <w:adjustRightInd w:val="0"/>
              <w:snapToGrid w:val="0"/>
              <w:spacing w:before="60" w:after="60"/>
              <w:rPr>
                <w:kern w:val="22"/>
                <w:szCs w:val="22"/>
              </w:rPr>
            </w:pPr>
            <w:r>
              <w:t>La visión de la Organización de las Naciones Unidas para la Alimentación y la Agricultura en favor de una alimentación y una agricultura sostenibles se basa en que los alimentos son nutritivos y accesibles para todos y en que los recursos naturales se gestionan de tal forma que se preservan las funciones de los ecosistemas para responder a las necesidades humanas del presente y el futuro.</w:t>
            </w:r>
          </w:p>
          <w:p w14:paraId="032CF39A" w14:textId="77777777" w:rsidR="00A9001E" w:rsidRPr="00F13AF8" w:rsidRDefault="00A9001E" w:rsidP="00D50788">
            <w:pPr>
              <w:adjustRightInd w:val="0"/>
              <w:snapToGrid w:val="0"/>
              <w:spacing w:before="60" w:after="60"/>
              <w:rPr>
                <w:kern w:val="22"/>
                <w:szCs w:val="22"/>
              </w:rPr>
            </w:pPr>
            <w:r>
              <w:t xml:space="preserve">(FAO, </w:t>
            </w:r>
            <w:hyperlink r:id="rId49" w:history="1">
              <w:r>
                <w:rPr>
                  <w:rStyle w:val="Hipervnculo"/>
                  <w:sz w:val="22"/>
                </w:rPr>
                <w:t>http://www.fao.org/sustainability/background/es/</w:t>
              </w:r>
            </w:hyperlink>
            <w:r>
              <w:t>)</w:t>
            </w:r>
          </w:p>
        </w:tc>
        <w:tc>
          <w:tcPr>
            <w:tcW w:w="1530" w:type="dxa"/>
          </w:tcPr>
          <w:p w14:paraId="6E8A092C" w14:textId="77777777" w:rsidR="00A9001E" w:rsidRPr="00F13AF8" w:rsidRDefault="00A9001E" w:rsidP="00D50788">
            <w:pPr>
              <w:adjustRightInd w:val="0"/>
              <w:snapToGrid w:val="0"/>
              <w:spacing w:before="60" w:after="60"/>
              <w:jc w:val="left"/>
              <w:rPr>
                <w:kern w:val="22"/>
                <w:szCs w:val="22"/>
              </w:rPr>
            </w:pPr>
            <w:r>
              <w:t xml:space="preserve">Meta 10 </w:t>
            </w:r>
          </w:p>
        </w:tc>
      </w:tr>
      <w:tr w:rsidR="00A9001E" w:rsidRPr="00F13AF8" w14:paraId="02F8C3A3" w14:textId="77777777" w:rsidTr="00D50788">
        <w:tc>
          <w:tcPr>
            <w:tcW w:w="2137" w:type="dxa"/>
          </w:tcPr>
          <w:p w14:paraId="4432BE67" w14:textId="77777777" w:rsidR="00A9001E" w:rsidRPr="00F13AF8" w:rsidRDefault="00A9001E" w:rsidP="00D50788">
            <w:pPr>
              <w:adjustRightInd w:val="0"/>
              <w:snapToGrid w:val="0"/>
              <w:spacing w:before="60" w:after="60"/>
              <w:jc w:val="left"/>
              <w:rPr>
                <w:kern w:val="22"/>
                <w:szCs w:val="22"/>
              </w:rPr>
            </w:pPr>
            <w:r>
              <w:t>Silvicultura sostenible (gestión)</w:t>
            </w:r>
          </w:p>
        </w:tc>
        <w:tc>
          <w:tcPr>
            <w:tcW w:w="5958" w:type="dxa"/>
          </w:tcPr>
          <w:p w14:paraId="69BF4DAE" w14:textId="77777777" w:rsidR="00A9001E" w:rsidRPr="00F13AF8" w:rsidRDefault="00A9001E" w:rsidP="00D50788">
            <w:pPr>
              <w:adjustRightInd w:val="0"/>
              <w:snapToGrid w:val="0"/>
              <w:spacing w:before="60" w:after="60"/>
              <w:rPr>
                <w:kern w:val="22"/>
                <w:szCs w:val="22"/>
              </w:rPr>
            </w:pPr>
            <w:r>
              <w:t>En su sentido más amplio, la gestión forestal sostenible abarca los aspectos administrativos, jurídicos, técnicos, económicos, sociales y ambientales del uso y conservación de los bosques. Implica diversos grados de intervención humana, que van desde acciones destinadas a salvaguardar y mantener los ecosistemas forestales y sus funciones hasta medidas que favorecen a determinadas especies o grupos de especies de valor social o económico para mejorar la producción de bienes y servicios. Además de los productos forestales (que comprenden tanto bienes forestales madereros como no madereros), los bosques gestionados de forma sostenible proporcionan importantes servicios ecosistémicos, como la captura del carbono, la conservación de la biodiversidad y la protección de los recursos hídricos.</w:t>
            </w:r>
          </w:p>
          <w:p w14:paraId="6B140B5D" w14:textId="77777777" w:rsidR="00A9001E" w:rsidRPr="00F13AF8" w:rsidRDefault="00A9001E" w:rsidP="00D50788">
            <w:pPr>
              <w:adjustRightInd w:val="0"/>
              <w:snapToGrid w:val="0"/>
              <w:spacing w:before="60" w:after="60"/>
              <w:rPr>
                <w:kern w:val="22"/>
                <w:szCs w:val="22"/>
              </w:rPr>
            </w:pPr>
            <w:r>
              <w:t xml:space="preserve">(FAO, </w:t>
            </w:r>
            <w:hyperlink r:id="rId50" w:history="1">
              <w:r>
                <w:rPr>
                  <w:rStyle w:val="Hipervnculo"/>
                  <w:sz w:val="22"/>
                </w:rPr>
                <w:t>https://www.fao.org/sustainable-forests-management/es/</w:t>
              </w:r>
            </w:hyperlink>
            <w:r>
              <w:t>)</w:t>
            </w:r>
          </w:p>
        </w:tc>
        <w:tc>
          <w:tcPr>
            <w:tcW w:w="1530" w:type="dxa"/>
          </w:tcPr>
          <w:p w14:paraId="7B04D1FD" w14:textId="77777777" w:rsidR="00A9001E" w:rsidRPr="00F13AF8" w:rsidRDefault="00A9001E" w:rsidP="00D50788">
            <w:pPr>
              <w:adjustRightInd w:val="0"/>
              <w:snapToGrid w:val="0"/>
              <w:spacing w:before="60" w:after="60"/>
              <w:jc w:val="left"/>
              <w:rPr>
                <w:kern w:val="22"/>
                <w:szCs w:val="22"/>
              </w:rPr>
            </w:pPr>
            <w:r>
              <w:t>Meta 10</w:t>
            </w:r>
          </w:p>
        </w:tc>
      </w:tr>
      <w:tr w:rsidR="00A9001E" w:rsidRPr="00F13AF8" w14:paraId="218CA4F0" w14:textId="77777777" w:rsidTr="00D50788">
        <w:tc>
          <w:tcPr>
            <w:tcW w:w="2137" w:type="dxa"/>
          </w:tcPr>
          <w:p w14:paraId="1C75E6E9" w14:textId="77777777" w:rsidR="00A9001E" w:rsidRPr="00F13AF8" w:rsidRDefault="00A9001E" w:rsidP="00D50788">
            <w:pPr>
              <w:adjustRightInd w:val="0"/>
              <w:snapToGrid w:val="0"/>
              <w:spacing w:before="60" w:after="60"/>
              <w:jc w:val="left"/>
              <w:rPr>
                <w:kern w:val="22"/>
                <w:szCs w:val="22"/>
              </w:rPr>
            </w:pPr>
            <w:r>
              <w:t>Espacios verdes y azules</w:t>
            </w:r>
          </w:p>
        </w:tc>
        <w:tc>
          <w:tcPr>
            <w:tcW w:w="5958" w:type="dxa"/>
          </w:tcPr>
          <w:p w14:paraId="72282FF1" w14:textId="77777777" w:rsidR="00A9001E" w:rsidRPr="00F13AF8" w:rsidRDefault="00A9001E" w:rsidP="00D50788">
            <w:pPr>
              <w:adjustRightInd w:val="0"/>
              <w:snapToGrid w:val="0"/>
              <w:spacing w:before="60" w:after="60"/>
              <w:rPr>
                <w:kern w:val="22"/>
                <w:szCs w:val="22"/>
              </w:rPr>
            </w:pPr>
            <w:r>
              <w:t>Zonas de vegetación, aguas interiores y costeras, que por lo general se encuentran en zonas urbanas o cerca de estas, en particular techos y paredes verdes, y otro tipo de infraestructura verde. Dichos espacios pueden ofrecer una serie de efectos positivos en el bienestar físico y mental humano y brindar oportunidades para volver a conectarse con la naturaleza. Los espacios verdes y azules ofrecen también importantes hábitats para las especies, mejoran la conectividad en los hábitats, aportan servicios de los ecosistemas y ayudan a mediar en fenómenos extremos, si se gestionan con dichos objetivos en mente.</w:t>
            </w:r>
          </w:p>
        </w:tc>
        <w:tc>
          <w:tcPr>
            <w:tcW w:w="1530" w:type="dxa"/>
          </w:tcPr>
          <w:p w14:paraId="0AC42358" w14:textId="77777777" w:rsidR="00A9001E" w:rsidRPr="00F13AF8" w:rsidRDefault="00A9001E" w:rsidP="00D50788">
            <w:pPr>
              <w:adjustRightInd w:val="0"/>
              <w:snapToGrid w:val="0"/>
              <w:spacing w:before="60" w:after="60"/>
              <w:jc w:val="left"/>
              <w:rPr>
                <w:kern w:val="22"/>
                <w:szCs w:val="22"/>
              </w:rPr>
            </w:pPr>
            <w:r>
              <w:t>Meta 12</w:t>
            </w:r>
          </w:p>
        </w:tc>
      </w:tr>
      <w:tr w:rsidR="00A9001E" w:rsidRPr="00F13AF8" w14:paraId="315B3F72" w14:textId="77777777" w:rsidTr="00D50788">
        <w:tc>
          <w:tcPr>
            <w:tcW w:w="2137" w:type="dxa"/>
          </w:tcPr>
          <w:p w14:paraId="2BA046FB" w14:textId="77777777" w:rsidR="00A9001E" w:rsidRPr="00F13AF8" w:rsidRDefault="00A9001E" w:rsidP="00D50788">
            <w:pPr>
              <w:adjustRightInd w:val="0"/>
              <w:snapToGrid w:val="0"/>
              <w:spacing w:before="60" w:after="60"/>
              <w:jc w:val="left"/>
              <w:rPr>
                <w:kern w:val="22"/>
                <w:szCs w:val="22"/>
              </w:rPr>
            </w:pPr>
            <w:r>
              <w:t xml:space="preserve">Flujos financieros armonizados con los </w:t>
            </w:r>
            <w:r>
              <w:lastRenderedPageBreak/>
              <w:t>valores de la diversidad biológica</w:t>
            </w:r>
          </w:p>
        </w:tc>
        <w:tc>
          <w:tcPr>
            <w:tcW w:w="5958" w:type="dxa"/>
          </w:tcPr>
          <w:p w14:paraId="3ECFE313" w14:textId="77777777" w:rsidR="00A9001E" w:rsidRPr="00F13AF8" w:rsidRDefault="00A9001E" w:rsidP="00D50788">
            <w:pPr>
              <w:adjustRightInd w:val="0"/>
              <w:snapToGrid w:val="0"/>
              <w:spacing w:before="60" w:after="60"/>
              <w:rPr>
                <w:kern w:val="22"/>
                <w:szCs w:val="22"/>
              </w:rPr>
            </w:pPr>
            <w:r>
              <w:lastRenderedPageBreak/>
              <w:t xml:space="preserve">“Armonizar los flujos” significa encauzar las inversiones financieras, tanto públicas como privadas, hacia las actividades </w:t>
            </w:r>
            <w:r>
              <w:lastRenderedPageBreak/>
              <w:t>económicas que mejoran las existencias de activos naturales y estimulan el consumo y la utilización sostenible.</w:t>
            </w:r>
          </w:p>
          <w:p w14:paraId="48472C37" w14:textId="77777777" w:rsidR="00A9001E" w:rsidRPr="00F13AF8" w:rsidRDefault="00A9001E" w:rsidP="00D50788">
            <w:pPr>
              <w:adjustRightInd w:val="0"/>
              <w:snapToGrid w:val="0"/>
              <w:spacing w:before="60" w:after="60"/>
              <w:rPr>
                <w:kern w:val="22"/>
                <w:szCs w:val="22"/>
              </w:rPr>
            </w:pPr>
            <w:r>
              <w:t xml:space="preserve">(CBD, </w:t>
            </w:r>
            <w:hyperlink r:id="rId51" w:history="1">
              <w:r>
                <w:rPr>
                  <w:rStyle w:val="Hipervnculo"/>
                  <w:sz w:val="22"/>
                </w:rPr>
                <w:t>https://www.cbd.int/doc/c/a6f8/8ccb/a7cb2a88bd13e86cfc59901a/roundtable-b-finance-en.pdf</w:t>
              </w:r>
            </w:hyperlink>
            <w:r>
              <w:t>)</w:t>
            </w:r>
          </w:p>
        </w:tc>
        <w:tc>
          <w:tcPr>
            <w:tcW w:w="1530" w:type="dxa"/>
          </w:tcPr>
          <w:p w14:paraId="6D780B6D" w14:textId="77777777" w:rsidR="00A9001E" w:rsidRPr="00F13AF8" w:rsidRDefault="00A9001E" w:rsidP="00D50788">
            <w:pPr>
              <w:adjustRightInd w:val="0"/>
              <w:snapToGrid w:val="0"/>
              <w:spacing w:before="60" w:after="60"/>
              <w:rPr>
                <w:kern w:val="22"/>
                <w:szCs w:val="22"/>
              </w:rPr>
            </w:pPr>
            <w:r>
              <w:lastRenderedPageBreak/>
              <w:t>Meta 14</w:t>
            </w:r>
          </w:p>
        </w:tc>
      </w:tr>
      <w:tr w:rsidR="00A9001E" w:rsidRPr="00F13AF8" w14:paraId="08ABE14E" w14:textId="77777777" w:rsidTr="00D50788">
        <w:tc>
          <w:tcPr>
            <w:tcW w:w="2137" w:type="dxa"/>
          </w:tcPr>
          <w:p w14:paraId="149DD328" w14:textId="77777777" w:rsidR="00A9001E" w:rsidRPr="00F13AF8" w:rsidRDefault="00A9001E" w:rsidP="00D50788">
            <w:pPr>
              <w:adjustRightInd w:val="0"/>
              <w:snapToGrid w:val="0"/>
              <w:spacing w:before="60" w:after="60"/>
              <w:jc w:val="left"/>
              <w:rPr>
                <w:kern w:val="22"/>
                <w:szCs w:val="22"/>
              </w:rPr>
            </w:pPr>
            <w:r>
              <w:t>Valores de diversidad biológica</w:t>
            </w:r>
          </w:p>
        </w:tc>
        <w:tc>
          <w:tcPr>
            <w:tcW w:w="5958" w:type="dxa"/>
          </w:tcPr>
          <w:p w14:paraId="05BA57BD" w14:textId="77777777" w:rsidR="00A9001E" w:rsidRPr="00F13AF8" w:rsidRDefault="00A9001E" w:rsidP="00D50788">
            <w:pPr>
              <w:adjustRightInd w:val="0"/>
              <w:snapToGrid w:val="0"/>
              <w:spacing w:before="60" w:after="60"/>
              <w:rPr>
                <w:kern w:val="22"/>
                <w:szCs w:val="22"/>
              </w:rPr>
            </w:pPr>
            <w:r>
              <w:t>Los valores de diversidad biológica incluyen diversas consideraciones desde una perspectiva ecológica, genética, económica, cultural, social, científica, educativa, recreativa, estética e intrínseca. La valoración y los valores de diversidad biológica requieren el reconocimiento de un amplio abanico de visiones del mundo y de dimensiones de valor plurales en cuanto al significado y la importancia de la naturaleza asociados a la calidad de la vida humana y su interdependencia en función de perspectivas biofísicas, socioculturales, económicas, sanitarias u holísticas.</w:t>
            </w:r>
          </w:p>
        </w:tc>
        <w:tc>
          <w:tcPr>
            <w:tcW w:w="1530" w:type="dxa"/>
          </w:tcPr>
          <w:p w14:paraId="58C49599" w14:textId="77777777" w:rsidR="00A9001E" w:rsidRPr="00F13AF8" w:rsidRDefault="00A9001E" w:rsidP="00D50788">
            <w:pPr>
              <w:adjustRightInd w:val="0"/>
              <w:snapToGrid w:val="0"/>
              <w:spacing w:before="60" w:after="60"/>
              <w:jc w:val="left"/>
              <w:rPr>
                <w:kern w:val="22"/>
                <w:szCs w:val="22"/>
              </w:rPr>
            </w:pPr>
            <w:r>
              <w:t>Meta 14</w:t>
            </w:r>
          </w:p>
        </w:tc>
      </w:tr>
      <w:tr w:rsidR="00A9001E" w:rsidRPr="00F13AF8" w14:paraId="43F26692" w14:textId="77777777" w:rsidTr="00D50788">
        <w:tc>
          <w:tcPr>
            <w:tcW w:w="2137" w:type="dxa"/>
          </w:tcPr>
          <w:p w14:paraId="44EF3531" w14:textId="77777777" w:rsidR="00A9001E" w:rsidRPr="00F13AF8" w:rsidRDefault="00A9001E" w:rsidP="00D50788">
            <w:pPr>
              <w:adjustRightInd w:val="0"/>
              <w:snapToGrid w:val="0"/>
              <w:spacing w:before="60" w:after="60"/>
              <w:jc w:val="left"/>
              <w:rPr>
                <w:kern w:val="22"/>
                <w:szCs w:val="22"/>
              </w:rPr>
            </w:pPr>
            <w:r>
              <w:t>Dependencias e impactos en la diversidad biológica</w:t>
            </w:r>
          </w:p>
        </w:tc>
        <w:tc>
          <w:tcPr>
            <w:tcW w:w="5958" w:type="dxa"/>
          </w:tcPr>
          <w:p w14:paraId="27D87A0F" w14:textId="77777777" w:rsidR="00A9001E" w:rsidRPr="00F13AF8" w:rsidRDefault="00A9001E" w:rsidP="00D50788">
            <w:pPr>
              <w:adjustRightInd w:val="0"/>
              <w:snapToGrid w:val="0"/>
              <w:spacing w:before="60" w:after="60"/>
              <w:rPr>
                <w:kern w:val="22"/>
                <w:szCs w:val="22"/>
              </w:rPr>
            </w:pPr>
            <w:r>
              <w:t>Impactos en la diversidad biológica: contribuciones positivas o negativas de una empresa u otro agente hacia el estado de la naturaleza, en particular la contaminación del aire, el agua, la tierra; la fragmentación o perturbación de los ecosistemas y hábitats para las especies [humanas y] no humanas; la alteración de los regímenes de los ecosistemas.</w:t>
            </w:r>
          </w:p>
          <w:p w14:paraId="36CF6273" w14:textId="77777777" w:rsidR="00A9001E" w:rsidRPr="00F13AF8" w:rsidRDefault="00A9001E" w:rsidP="00D50788">
            <w:pPr>
              <w:adjustRightInd w:val="0"/>
              <w:snapToGrid w:val="0"/>
              <w:spacing w:before="60"/>
              <w:rPr>
                <w:kern w:val="22"/>
                <w:szCs w:val="22"/>
              </w:rPr>
            </w:pPr>
            <w:r>
              <w:t>Dependencias de la diversidad biológica: aspectos de las contribuciones de la naturaleza a las personas [servicios de los ecosistemas] de las que una persona u organización depende para su funcionamiento, entre otras cosas el flujo hídrico y la regulación de la calidad; la regulación relativa a posibles peligros, por ejemplo incendios e inundaciones; la polinización; el secuestro de carbono.</w:t>
            </w:r>
          </w:p>
          <w:p w14:paraId="4D0096D1" w14:textId="77777777" w:rsidR="00A9001E" w:rsidRPr="00F13AF8" w:rsidRDefault="00A9001E" w:rsidP="00D50788">
            <w:pPr>
              <w:adjustRightInd w:val="0"/>
              <w:snapToGrid w:val="0"/>
              <w:rPr>
                <w:kern w:val="22"/>
                <w:szCs w:val="22"/>
              </w:rPr>
            </w:pPr>
          </w:p>
          <w:p w14:paraId="2AA69CE1" w14:textId="77777777" w:rsidR="00A9001E" w:rsidRPr="00F13AF8" w:rsidRDefault="00A9001E" w:rsidP="00D50788">
            <w:pPr>
              <w:adjustRightInd w:val="0"/>
              <w:snapToGrid w:val="0"/>
              <w:spacing w:after="60"/>
              <w:jc w:val="left"/>
              <w:rPr>
                <w:kern w:val="22"/>
                <w:szCs w:val="22"/>
              </w:rPr>
            </w:pPr>
            <w:r>
              <w:t>(</w:t>
            </w:r>
            <w:proofErr w:type="spellStart"/>
            <w:r>
              <w:rPr>
                <w:i/>
              </w:rPr>
              <w:t>Science-based</w:t>
            </w:r>
            <w:proofErr w:type="spellEnd"/>
            <w:r>
              <w:rPr>
                <w:i/>
              </w:rPr>
              <w:t xml:space="preserve"> Targets for </w:t>
            </w:r>
            <w:proofErr w:type="spellStart"/>
            <w:r>
              <w:rPr>
                <w:i/>
              </w:rPr>
              <w:t>Nature</w:t>
            </w:r>
            <w:proofErr w:type="spellEnd"/>
            <w:r>
              <w:t xml:space="preserve"> (2020): </w:t>
            </w:r>
            <w:proofErr w:type="spellStart"/>
            <w:r>
              <w:rPr>
                <w:i/>
              </w:rPr>
              <w:t>Initial</w:t>
            </w:r>
            <w:proofErr w:type="spellEnd"/>
            <w:r>
              <w:rPr>
                <w:i/>
              </w:rPr>
              <w:t xml:space="preserve"> </w:t>
            </w:r>
            <w:proofErr w:type="spellStart"/>
            <w:r>
              <w:rPr>
                <w:i/>
              </w:rPr>
              <w:t>Guidance</w:t>
            </w:r>
            <w:proofErr w:type="spellEnd"/>
            <w:r>
              <w:rPr>
                <w:i/>
              </w:rPr>
              <w:t xml:space="preserve"> for Business</w:t>
            </w:r>
            <w:r>
              <w:t>,</w:t>
            </w:r>
            <w:r>
              <w:br/>
            </w:r>
            <w:hyperlink r:id="rId52" w:history="1">
              <w:r>
                <w:rPr>
                  <w:rStyle w:val="Hipervnculo"/>
                  <w:sz w:val="22"/>
                </w:rPr>
                <w:t>https://sciencebasedtargetsnetwork.org/wp-content/uploads/2020/09/SBTN-initial-guidance-for-business.pdf</w:t>
              </w:r>
            </w:hyperlink>
            <w:r>
              <w:t>)</w:t>
            </w:r>
          </w:p>
        </w:tc>
        <w:tc>
          <w:tcPr>
            <w:tcW w:w="1530" w:type="dxa"/>
          </w:tcPr>
          <w:p w14:paraId="54DD2C1E" w14:textId="77777777" w:rsidR="00A9001E" w:rsidRPr="00F13AF8" w:rsidRDefault="00A9001E" w:rsidP="00D50788">
            <w:pPr>
              <w:adjustRightInd w:val="0"/>
              <w:snapToGrid w:val="0"/>
              <w:spacing w:before="60" w:after="60"/>
              <w:jc w:val="left"/>
              <w:rPr>
                <w:kern w:val="22"/>
                <w:szCs w:val="22"/>
              </w:rPr>
            </w:pPr>
            <w:r>
              <w:t>Meta 15</w:t>
            </w:r>
          </w:p>
        </w:tc>
      </w:tr>
      <w:tr w:rsidR="00A9001E" w:rsidRPr="00F13AF8" w14:paraId="70EBC1D1" w14:textId="77777777" w:rsidTr="00D50788">
        <w:tc>
          <w:tcPr>
            <w:tcW w:w="2137" w:type="dxa"/>
          </w:tcPr>
          <w:p w14:paraId="4555C98D" w14:textId="77777777" w:rsidR="00A9001E" w:rsidRPr="00F13AF8" w:rsidRDefault="00A9001E" w:rsidP="00D50788">
            <w:pPr>
              <w:adjustRightInd w:val="0"/>
              <w:snapToGrid w:val="0"/>
              <w:spacing w:before="60" w:after="60"/>
              <w:jc w:val="left"/>
              <w:rPr>
                <w:kern w:val="22"/>
                <w:szCs w:val="22"/>
              </w:rPr>
            </w:pPr>
            <w:r>
              <w:t>Decisiones responsables</w:t>
            </w:r>
          </w:p>
        </w:tc>
        <w:tc>
          <w:tcPr>
            <w:tcW w:w="5958" w:type="dxa"/>
          </w:tcPr>
          <w:p w14:paraId="07221040" w14:textId="77777777" w:rsidR="00A9001E" w:rsidRPr="00F13AF8" w:rsidRDefault="00A9001E" w:rsidP="00D50788">
            <w:pPr>
              <w:adjustRightInd w:val="0"/>
              <w:snapToGrid w:val="0"/>
              <w:spacing w:before="60" w:after="60"/>
              <w:rPr>
                <w:kern w:val="22"/>
                <w:szCs w:val="22"/>
              </w:rPr>
            </w:pPr>
            <w:r>
              <w:t>Las decisiones responsables son fundamentales para eliminar las modalidades de consumo insostenibles, y empiezan por garantizar que las personas de todo el mundo comprendan y aprecien el valor de la diversidad biológica.</w:t>
            </w:r>
          </w:p>
        </w:tc>
        <w:tc>
          <w:tcPr>
            <w:tcW w:w="1530" w:type="dxa"/>
          </w:tcPr>
          <w:p w14:paraId="40D61B8D" w14:textId="77777777" w:rsidR="00A9001E" w:rsidRPr="00F13AF8" w:rsidRDefault="00A9001E" w:rsidP="00D50788">
            <w:pPr>
              <w:adjustRightInd w:val="0"/>
              <w:snapToGrid w:val="0"/>
              <w:spacing w:before="60" w:after="60"/>
              <w:jc w:val="left"/>
              <w:rPr>
                <w:kern w:val="22"/>
                <w:szCs w:val="22"/>
              </w:rPr>
            </w:pPr>
            <w:r>
              <w:t>Meta 16</w:t>
            </w:r>
          </w:p>
        </w:tc>
      </w:tr>
      <w:tr w:rsidR="00A9001E" w:rsidRPr="00F13AF8" w14:paraId="20042B2C" w14:textId="77777777" w:rsidTr="00D50788">
        <w:tc>
          <w:tcPr>
            <w:tcW w:w="2137" w:type="dxa"/>
          </w:tcPr>
          <w:p w14:paraId="1F7767B6" w14:textId="77777777" w:rsidR="00A9001E" w:rsidRPr="00F13AF8" w:rsidRDefault="00A9001E" w:rsidP="00D50788">
            <w:pPr>
              <w:adjustRightInd w:val="0"/>
              <w:snapToGrid w:val="0"/>
              <w:spacing w:before="60" w:after="60"/>
              <w:jc w:val="left"/>
              <w:rPr>
                <w:kern w:val="22"/>
                <w:szCs w:val="22"/>
              </w:rPr>
            </w:pPr>
            <w:r>
              <w:t>Biotecnología</w:t>
            </w:r>
          </w:p>
        </w:tc>
        <w:tc>
          <w:tcPr>
            <w:tcW w:w="5958" w:type="dxa"/>
          </w:tcPr>
          <w:p w14:paraId="42D28377" w14:textId="77777777" w:rsidR="00A9001E" w:rsidRPr="00F13AF8" w:rsidRDefault="00A9001E" w:rsidP="00D50788">
            <w:pPr>
              <w:adjustRightInd w:val="0"/>
              <w:snapToGrid w:val="0"/>
              <w:spacing w:before="60" w:after="60"/>
              <w:rPr>
                <w:kern w:val="22"/>
                <w:szCs w:val="22"/>
              </w:rPr>
            </w:pPr>
            <w:r>
              <w:t>En virtud del Convenio, por “biotecnología” se entiende toda aplicación tecnológica que utilice sistemas biológicos y organismos vivos o sus derivados para la creación o modificación de productos o procesos para usos específicos (</w:t>
            </w:r>
            <w:hyperlink r:id="rId53" w:history="1">
              <w:r>
                <w:rPr>
                  <w:rStyle w:val="Hipervnculo"/>
                  <w:sz w:val="22"/>
                </w:rPr>
                <w:t>Convenio</w:t>
              </w:r>
            </w:hyperlink>
            <w:r>
              <w:rPr>
                <w:rStyle w:val="Hipervnculo"/>
                <w:sz w:val="22"/>
              </w:rPr>
              <w:t>,</w:t>
            </w:r>
            <w:r>
              <w:t xml:space="preserve"> </w:t>
            </w:r>
            <w:r>
              <w:rPr>
                <w:rStyle w:val="Hipervnculo"/>
                <w:sz w:val="22"/>
              </w:rPr>
              <w:t>artículo 2</w:t>
            </w:r>
            <w:r>
              <w:t xml:space="preserve">). En virtud del Protocolo de Cartagena, por “biotecnología moderna” se entiende la aplicación de técnicas in vitro de ácido nucleico, incluidos el ácido desoxirribonucleico (ADN) recombinante y la inyección directa de ácido nucleico en células u orgánulos o la fusión de células más allá de la familia taxonómica, que superan las barreras fisiológicas naturales de la </w:t>
            </w:r>
            <w:r>
              <w:lastRenderedPageBreak/>
              <w:t>reproducción o de la recombinación y que no son técnicas utilizadas en la reproducción y selección tradicional. (</w:t>
            </w:r>
            <w:hyperlink r:id="rId54" w:history="1">
              <w:r>
                <w:rPr>
                  <w:rStyle w:val="Hipervnculo"/>
                  <w:sz w:val="22"/>
                </w:rPr>
                <w:t>Protocolo de Cartagena, artículo 3 i)</w:t>
              </w:r>
            </w:hyperlink>
            <w:r>
              <w:t>).</w:t>
            </w:r>
          </w:p>
        </w:tc>
        <w:tc>
          <w:tcPr>
            <w:tcW w:w="1530" w:type="dxa"/>
          </w:tcPr>
          <w:p w14:paraId="210A379C" w14:textId="77777777" w:rsidR="00A9001E" w:rsidRPr="00F13AF8" w:rsidRDefault="00A9001E" w:rsidP="00D50788">
            <w:pPr>
              <w:adjustRightInd w:val="0"/>
              <w:snapToGrid w:val="0"/>
              <w:spacing w:before="60" w:after="60"/>
              <w:jc w:val="left"/>
              <w:rPr>
                <w:kern w:val="22"/>
                <w:szCs w:val="22"/>
              </w:rPr>
            </w:pPr>
            <w:r>
              <w:lastRenderedPageBreak/>
              <w:t>Meta 17</w:t>
            </w:r>
          </w:p>
        </w:tc>
      </w:tr>
      <w:tr w:rsidR="00A9001E" w:rsidRPr="00F13AF8" w14:paraId="0F961CBA" w14:textId="77777777" w:rsidTr="00D50788">
        <w:tc>
          <w:tcPr>
            <w:tcW w:w="2137" w:type="dxa"/>
          </w:tcPr>
          <w:p w14:paraId="5AF9061B" w14:textId="77777777" w:rsidR="00A9001E" w:rsidRPr="00F13AF8" w:rsidRDefault="00A9001E" w:rsidP="00D50788">
            <w:pPr>
              <w:adjustRightInd w:val="0"/>
              <w:snapToGrid w:val="0"/>
              <w:spacing w:before="60" w:after="60"/>
              <w:jc w:val="left"/>
              <w:rPr>
                <w:kern w:val="22"/>
                <w:szCs w:val="22"/>
              </w:rPr>
            </w:pPr>
            <w:r>
              <w:t>Subsidios perjudiciales</w:t>
            </w:r>
          </w:p>
        </w:tc>
        <w:tc>
          <w:tcPr>
            <w:tcW w:w="5958" w:type="dxa"/>
          </w:tcPr>
          <w:p w14:paraId="1E6C32D2" w14:textId="77777777" w:rsidR="00A9001E" w:rsidRPr="00F13AF8" w:rsidRDefault="00A9001E" w:rsidP="00D50788">
            <w:pPr>
              <w:adjustRightInd w:val="0"/>
              <w:snapToGrid w:val="0"/>
              <w:spacing w:before="60" w:after="60"/>
              <w:rPr>
                <w:kern w:val="22"/>
                <w:szCs w:val="22"/>
              </w:rPr>
            </w:pPr>
            <w:r>
              <w:t>“Resultado de una acción gubernamental que confiere una ventaja a los consumidores o productores, con el fin de complementar sus ingresos o reducir sus costos, pero que al hacerlo, discrimina las prácticas ambientales correctas”.</w:t>
            </w:r>
            <w:r>
              <w:rPr>
                <w:i/>
              </w:rPr>
              <w:t xml:space="preserve"> </w:t>
            </w:r>
            <w:r>
              <w:t>Adaptado de OCDE 1998, 2005.</w:t>
            </w:r>
          </w:p>
          <w:p w14:paraId="37E6632E" w14:textId="77777777" w:rsidR="00A9001E" w:rsidRPr="00F13AF8" w:rsidRDefault="00A9001E" w:rsidP="00D50788">
            <w:pPr>
              <w:adjustRightInd w:val="0"/>
              <w:snapToGrid w:val="0"/>
              <w:spacing w:before="60" w:after="60"/>
              <w:rPr>
                <w:kern w:val="22"/>
                <w:szCs w:val="22"/>
              </w:rPr>
            </w:pPr>
            <w:r>
              <w:t>“En igualdad de condiciones, el subsidio [perjudicial para el medio ambiente] aumenta los niveles de producción/utilización de un recurso natural y, por lo tanto, aumenta el nivel de residuos, contaminación y explotación natural a los que está vinculada”. Adaptado de OCDE, 2005.</w:t>
            </w:r>
          </w:p>
          <w:p w14:paraId="1C779ABA" w14:textId="77777777" w:rsidR="00A9001E" w:rsidRPr="00F13AF8" w:rsidRDefault="00A9001E" w:rsidP="00D50788">
            <w:pPr>
              <w:adjustRightInd w:val="0"/>
              <w:snapToGrid w:val="0"/>
              <w:spacing w:before="60" w:after="60"/>
              <w:jc w:val="left"/>
              <w:rPr>
                <w:kern w:val="22"/>
                <w:szCs w:val="22"/>
              </w:rPr>
            </w:pPr>
            <w:r>
              <w:t>(IEEP, “</w:t>
            </w:r>
            <w:proofErr w:type="spellStart"/>
            <w:r>
              <w:t>Environmentally</w:t>
            </w:r>
            <w:proofErr w:type="spellEnd"/>
            <w:r>
              <w:t xml:space="preserve"> </w:t>
            </w:r>
            <w:proofErr w:type="spellStart"/>
            <w:r>
              <w:t>Harmful</w:t>
            </w:r>
            <w:proofErr w:type="spellEnd"/>
            <w:r>
              <w:t xml:space="preserve"> Subsidies (EHS): </w:t>
            </w:r>
            <w:proofErr w:type="spellStart"/>
            <w:r>
              <w:t>Identification</w:t>
            </w:r>
            <w:proofErr w:type="spellEnd"/>
            <w:r>
              <w:t xml:space="preserve"> and </w:t>
            </w:r>
            <w:proofErr w:type="spellStart"/>
            <w:r>
              <w:t>Assessment</w:t>
            </w:r>
            <w:proofErr w:type="spellEnd"/>
            <w:r>
              <w:t>”, 2009:</w:t>
            </w:r>
            <w:r>
              <w:br/>
            </w:r>
            <w:hyperlink r:id="rId55" w:history="1">
              <w:r>
                <w:rPr>
                  <w:rStyle w:val="Hipervnculo"/>
                  <w:sz w:val="22"/>
                </w:rPr>
                <w:t>https://ec.europa.eu/environment/enveco/taxation/pdf/Harmful%20Subsidies%20Report.pdf</w:t>
              </w:r>
            </w:hyperlink>
            <w:r>
              <w:t xml:space="preserve"> en las páginas 15 y 16).</w:t>
            </w:r>
          </w:p>
        </w:tc>
        <w:tc>
          <w:tcPr>
            <w:tcW w:w="1530" w:type="dxa"/>
          </w:tcPr>
          <w:p w14:paraId="3377A232" w14:textId="77777777" w:rsidR="00A9001E" w:rsidRPr="00F13AF8" w:rsidRDefault="00A9001E" w:rsidP="00D50788">
            <w:pPr>
              <w:adjustRightInd w:val="0"/>
              <w:snapToGrid w:val="0"/>
              <w:spacing w:before="60" w:after="60"/>
              <w:jc w:val="left"/>
              <w:rPr>
                <w:kern w:val="22"/>
                <w:szCs w:val="22"/>
              </w:rPr>
            </w:pPr>
            <w:r>
              <w:t xml:space="preserve">Meta 18 </w:t>
            </w:r>
          </w:p>
        </w:tc>
      </w:tr>
      <w:tr w:rsidR="00A9001E" w:rsidRPr="00F13AF8" w14:paraId="46429BB8" w14:textId="77777777" w:rsidTr="00D50788">
        <w:tc>
          <w:tcPr>
            <w:tcW w:w="2137" w:type="dxa"/>
            <w:tcBorders>
              <w:top w:val="double" w:sz="4" w:space="0" w:color="auto"/>
            </w:tcBorders>
          </w:tcPr>
          <w:p w14:paraId="0CD8C6C4" w14:textId="77777777" w:rsidR="00A9001E" w:rsidRPr="00F13AF8" w:rsidRDefault="00A9001E" w:rsidP="00D50788">
            <w:pPr>
              <w:adjustRightInd w:val="0"/>
              <w:snapToGrid w:val="0"/>
              <w:spacing w:before="60" w:after="60"/>
              <w:jc w:val="left"/>
              <w:rPr>
                <w:kern w:val="22"/>
                <w:szCs w:val="22"/>
              </w:rPr>
            </w:pPr>
            <w:r>
              <w:t>Valor de referencia</w:t>
            </w:r>
          </w:p>
        </w:tc>
        <w:tc>
          <w:tcPr>
            <w:tcW w:w="5958" w:type="dxa"/>
            <w:tcBorders>
              <w:top w:val="double" w:sz="4" w:space="0" w:color="auto"/>
            </w:tcBorders>
          </w:tcPr>
          <w:p w14:paraId="734E13B5" w14:textId="77777777" w:rsidR="00A9001E" w:rsidRPr="00F13AF8" w:rsidRDefault="00A9001E" w:rsidP="00D50788">
            <w:pPr>
              <w:adjustRightInd w:val="0"/>
              <w:snapToGrid w:val="0"/>
              <w:spacing w:before="60" w:after="60"/>
              <w:rPr>
                <w:kern w:val="22"/>
                <w:szCs w:val="22"/>
              </w:rPr>
            </w:pPr>
            <w:r>
              <w:t>Un punto de referencia fijo que se utiliza a efectos de comparación.</w:t>
            </w:r>
          </w:p>
        </w:tc>
        <w:tc>
          <w:tcPr>
            <w:tcW w:w="1530" w:type="dxa"/>
            <w:tcBorders>
              <w:top w:val="double" w:sz="4" w:space="0" w:color="auto"/>
            </w:tcBorders>
          </w:tcPr>
          <w:p w14:paraId="15570409" w14:textId="77777777" w:rsidR="00A9001E" w:rsidRPr="00F13AF8" w:rsidRDefault="00A9001E" w:rsidP="00D50788">
            <w:pPr>
              <w:adjustRightInd w:val="0"/>
              <w:snapToGrid w:val="0"/>
              <w:spacing w:before="60" w:after="60"/>
              <w:jc w:val="left"/>
              <w:rPr>
                <w:kern w:val="22"/>
                <w:szCs w:val="22"/>
              </w:rPr>
            </w:pPr>
            <w:r>
              <w:t>Marco de seguimiento</w:t>
            </w:r>
          </w:p>
        </w:tc>
      </w:tr>
      <w:tr w:rsidR="00A9001E" w:rsidRPr="00F13AF8" w14:paraId="6FFB2078" w14:textId="77777777" w:rsidTr="00D50788">
        <w:tc>
          <w:tcPr>
            <w:tcW w:w="2137" w:type="dxa"/>
          </w:tcPr>
          <w:p w14:paraId="045CC281" w14:textId="77777777" w:rsidR="00A9001E" w:rsidRPr="00F13AF8" w:rsidRDefault="00A9001E" w:rsidP="00D50788">
            <w:pPr>
              <w:adjustRightInd w:val="0"/>
              <w:snapToGrid w:val="0"/>
              <w:spacing w:before="60" w:after="60"/>
              <w:jc w:val="left"/>
              <w:rPr>
                <w:kern w:val="22"/>
                <w:szCs w:val="22"/>
              </w:rPr>
            </w:pPr>
            <w:r>
              <w:t>Condición de referencia</w:t>
            </w:r>
          </w:p>
        </w:tc>
        <w:tc>
          <w:tcPr>
            <w:tcW w:w="5958" w:type="dxa"/>
          </w:tcPr>
          <w:p w14:paraId="759E8E79" w14:textId="77777777" w:rsidR="00A9001E" w:rsidRPr="00F13AF8" w:rsidRDefault="00A9001E" w:rsidP="00D50788">
            <w:pPr>
              <w:adjustRightInd w:val="0"/>
              <w:snapToGrid w:val="0"/>
              <w:spacing w:before="60" w:after="60"/>
              <w:rPr>
                <w:kern w:val="22"/>
                <w:szCs w:val="22"/>
              </w:rPr>
            </w:pPr>
            <w:r>
              <w:t>Un punto de referencia para la condición ecológica, económica o social que describe el estado del sistema en cuestión. La condición de referencia puede estar asociada a un estado histórico en el pasado, o a un estado contemporáneo observado en una ubicación geográfica pertinente.</w:t>
            </w:r>
          </w:p>
        </w:tc>
        <w:tc>
          <w:tcPr>
            <w:tcW w:w="1530" w:type="dxa"/>
          </w:tcPr>
          <w:p w14:paraId="5ECCC053" w14:textId="77777777" w:rsidR="00A9001E" w:rsidRPr="00F13AF8" w:rsidRDefault="00A9001E" w:rsidP="00D50788">
            <w:pPr>
              <w:adjustRightInd w:val="0"/>
              <w:snapToGrid w:val="0"/>
              <w:spacing w:before="60" w:after="60"/>
              <w:jc w:val="left"/>
              <w:rPr>
                <w:strike/>
                <w:kern w:val="22"/>
                <w:szCs w:val="22"/>
              </w:rPr>
            </w:pPr>
            <w:r>
              <w:t>Marco de seguimiento</w:t>
            </w:r>
          </w:p>
        </w:tc>
      </w:tr>
      <w:tr w:rsidR="00A9001E" w:rsidRPr="00F13AF8" w14:paraId="3D15DF8C" w14:textId="77777777" w:rsidTr="00D50788">
        <w:tc>
          <w:tcPr>
            <w:tcW w:w="2137" w:type="dxa"/>
          </w:tcPr>
          <w:p w14:paraId="10198027" w14:textId="77777777" w:rsidR="00A9001E" w:rsidRPr="00F13AF8" w:rsidRDefault="00A9001E" w:rsidP="00D50788">
            <w:pPr>
              <w:adjustRightInd w:val="0"/>
              <w:snapToGrid w:val="0"/>
              <w:spacing w:before="60" w:after="60"/>
              <w:jc w:val="left"/>
              <w:rPr>
                <w:kern w:val="22"/>
                <w:szCs w:val="22"/>
              </w:rPr>
            </w:pPr>
            <w:r>
              <w:t>Período de referencia</w:t>
            </w:r>
          </w:p>
        </w:tc>
        <w:tc>
          <w:tcPr>
            <w:tcW w:w="5958" w:type="dxa"/>
          </w:tcPr>
          <w:p w14:paraId="3D5602A7" w14:textId="77777777" w:rsidR="00A9001E" w:rsidRPr="00F13AF8" w:rsidRDefault="00A9001E" w:rsidP="00D50788">
            <w:pPr>
              <w:adjustRightInd w:val="0"/>
              <w:snapToGrid w:val="0"/>
              <w:spacing w:before="60" w:after="60"/>
              <w:rPr>
                <w:kern w:val="22"/>
                <w:szCs w:val="22"/>
              </w:rPr>
            </w:pPr>
            <w:r>
              <w:t>Un período histórico utilizado para identificar una condición de referencia específica.</w:t>
            </w:r>
          </w:p>
        </w:tc>
        <w:tc>
          <w:tcPr>
            <w:tcW w:w="1530" w:type="dxa"/>
          </w:tcPr>
          <w:p w14:paraId="27B09A22" w14:textId="77777777" w:rsidR="00A9001E" w:rsidRPr="00F13AF8" w:rsidRDefault="00A9001E" w:rsidP="00D50788">
            <w:pPr>
              <w:adjustRightInd w:val="0"/>
              <w:snapToGrid w:val="0"/>
              <w:spacing w:before="60" w:after="60"/>
              <w:jc w:val="left"/>
              <w:rPr>
                <w:strike/>
                <w:kern w:val="22"/>
                <w:szCs w:val="22"/>
              </w:rPr>
            </w:pPr>
            <w:r>
              <w:t>Marco de seguimiento</w:t>
            </w:r>
          </w:p>
        </w:tc>
      </w:tr>
      <w:tr w:rsidR="00A9001E" w:rsidRPr="00F13AF8" w14:paraId="69AF28F9" w14:textId="77777777" w:rsidTr="00D50788">
        <w:tc>
          <w:tcPr>
            <w:tcW w:w="2137" w:type="dxa"/>
          </w:tcPr>
          <w:p w14:paraId="0B2DC57F" w14:textId="77777777" w:rsidR="00A9001E" w:rsidRPr="00F13AF8" w:rsidRDefault="00A9001E" w:rsidP="00D50788">
            <w:pPr>
              <w:adjustRightInd w:val="0"/>
              <w:snapToGrid w:val="0"/>
              <w:spacing w:before="60" w:after="60"/>
              <w:jc w:val="left"/>
              <w:rPr>
                <w:kern w:val="22"/>
                <w:szCs w:val="22"/>
              </w:rPr>
            </w:pPr>
            <w:r>
              <w:t>Período de presentación de informes de referencia</w:t>
            </w:r>
          </w:p>
        </w:tc>
        <w:tc>
          <w:tcPr>
            <w:tcW w:w="5958" w:type="dxa"/>
          </w:tcPr>
          <w:p w14:paraId="75FE3F1F" w14:textId="77777777" w:rsidR="00A9001E" w:rsidRPr="00F13AF8" w:rsidRDefault="00A9001E" w:rsidP="00D50788">
            <w:pPr>
              <w:adjustRightInd w:val="0"/>
              <w:snapToGrid w:val="0"/>
              <w:spacing w:before="60" w:after="60"/>
              <w:rPr>
                <w:kern w:val="22"/>
                <w:szCs w:val="22"/>
              </w:rPr>
            </w:pPr>
            <w:r>
              <w:t>Período utilizado como punto de partida para informar sobre los progresos en las metas y objetivos.</w:t>
            </w:r>
          </w:p>
        </w:tc>
        <w:tc>
          <w:tcPr>
            <w:tcW w:w="1530" w:type="dxa"/>
          </w:tcPr>
          <w:p w14:paraId="35C88BFD" w14:textId="77777777" w:rsidR="00A9001E" w:rsidRPr="00F13AF8" w:rsidRDefault="00A9001E" w:rsidP="00D50788">
            <w:pPr>
              <w:adjustRightInd w:val="0"/>
              <w:snapToGrid w:val="0"/>
              <w:spacing w:before="60" w:after="60"/>
              <w:rPr>
                <w:kern w:val="22"/>
                <w:szCs w:val="22"/>
              </w:rPr>
            </w:pPr>
            <w:r>
              <w:t>Marco de seguimiento</w:t>
            </w:r>
          </w:p>
        </w:tc>
      </w:tr>
      <w:tr w:rsidR="00A9001E" w:rsidRPr="00F13AF8" w14:paraId="3C268662" w14:textId="77777777" w:rsidTr="00D50788">
        <w:tc>
          <w:tcPr>
            <w:tcW w:w="2137" w:type="dxa"/>
          </w:tcPr>
          <w:p w14:paraId="7FC3BDE8" w14:textId="77777777" w:rsidR="00A9001E" w:rsidRPr="00F13AF8" w:rsidRDefault="00A9001E" w:rsidP="00D50788">
            <w:pPr>
              <w:adjustRightInd w:val="0"/>
              <w:snapToGrid w:val="0"/>
              <w:spacing w:before="60" w:after="60"/>
              <w:jc w:val="left"/>
              <w:rPr>
                <w:kern w:val="22"/>
                <w:szCs w:val="22"/>
              </w:rPr>
            </w:pPr>
            <w:r>
              <w:t>Indicadores de cabecera</w:t>
            </w:r>
          </w:p>
        </w:tc>
        <w:tc>
          <w:tcPr>
            <w:tcW w:w="5958" w:type="dxa"/>
          </w:tcPr>
          <w:p w14:paraId="13596B3D" w14:textId="77777777" w:rsidR="00A9001E" w:rsidRPr="00F13AF8" w:rsidRDefault="00A9001E" w:rsidP="00D50788">
            <w:pPr>
              <w:adjustRightInd w:val="0"/>
              <w:snapToGrid w:val="0"/>
              <w:spacing w:before="60" w:after="60"/>
              <w:rPr>
                <w:kern w:val="22"/>
                <w:szCs w:val="22"/>
              </w:rPr>
            </w:pPr>
            <w:r>
              <w:t>Un conjunto mínimo de indicadores de alto nivel que reflejan el alcance general de los objetivos y metas del marco mundial de la diversidad biológica posterior a 2020 y que pueden utilizarse para el seguimiento de los progresos nacionales, así como para el seguimiento de los progresos regionales y mundiales. Estos indicadores también podrían utilizarse con fines de comunicación. Además, algunos países podrían querer utilizar un subconjunto de estos indicadores o solo los indicadores de cabecera del nivel de los objetivos para la comunicación y la divulgación de alto nivel.</w:t>
            </w:r>
          </w:p>
        </w:tc>
        <w:tc>
          <w:tcPr>
            <w:tcW w:w="1530" w:type="dxa"/>
          </w:tcPr>
          <w:p w14:paraId="6873C3AC" w14:textId="77777777" w:rsidR="00A9001E" w:rsidRPr="00F13AF8" w:rsidRDefault="00A9001E" w:rsidP="00D50788">
            <w:pPr>
              <w:adjustRightInd w:val="0"/>
              <w:snapToGrid w:val="0"/>
              <w:spacing w:before="60" w:after="60"/>
              <w:jc w:val="left"/>
              <w:rPr>
                <w:strike/>
                <w:kern w:val="22"/>
                <w:szCs w:val="22"/>
              </w:rPr>
            </w:pPr>
            <w:r>
              <w:t>Marco de seguimiento</w:t>
            </w:r>
          </w:p>
        </w:tc>
      </w:tr>
      <w:tr w:rsidR="00A9001E" w:rsidRPr="00F13AF8" w14:paraId="45E737A1" w14:textId="77777777" w:rsidTr="00D50788">
        <w:tc>
          <w:tcPr>
            <w:tcW w:w="2137" w:type="dxa"/>
          </w:tcPr>
          <w:p w14:paraId="2CFE42D5" w14:textId="77777777" w:rsidR="00A9001E" w:rsidRPr="00F13AF8" w:rsidRDefault="00A9001E" w:rsidP="00D50788">
            <w:pPr>
              <w:adjustRightInd w:val="0"/>
              <w:snapToGrid w:val="0"/>
              <w:spacing w:before="60" w:after="60"/>
              <w:jc w:val="left"/>
              <w:rPr>
                <w:kern w:val="22"/>
                <w:szCs w:val="22"/>
              </w:rPr>
            </w:pPr>
            <w:r>
              <w:t>Indicadores de componentes</w:t>
            </w:r>
          </w:p>
        </w:tc>
        <w:tc>
          <w:tcPr>
            <w:tcW w:w="5958" w:type="dxa"/>
          </w:tcPr>
          <w:p w14:paraId="3156A811" w14:textId="77777777" w:rsidR="00A9001E" w:rsidRPr="00F13AF8" w:rsidRDefault="00A9001E" w:rsidP="00D50788">
            <w:pPr>
              <w:adjustRightInd w:val="0"/>
              <w:snapToGrid w:val="0"/>
              <w:spacing w:before="60" w:after="60"/>
              <w:rPr>
                <w:kern w:val="22"/>
                <w:szCs w:val="22"/>
              </w:rPr>
            </w:pPr>
            <w:r>
              <w:t>Un conjunto de indicadores para hacer un seguimiento de cada uno de los componentes de cada objetivo y meta del marco mundial de la diversidad biológica posterior a 2020 a nivel nacional, así como de los progresos regionales y mundiales.</w:t>
            </w:r>
          </w:p>
        </w:tc>
        <w:tc>
          <w:tcPr>
            <w:tcW w:w="1530" w:type="dxa"/>
          </w:tcPr>
          <w:p w14:paraId="647A60FA" w14:textId="77777777" w:rsidR="00A9001E" w:rsidRPr="00F13AF8" w:rsidRDefault="00A9001E" w:rsidP="00D50788">
            <w:pPr>
              <w:adjustRightInd w:val="0"/>
              <w:snapToGrid w:val="0"/>
              <w:spacing w:before="60" w:after="60"/>
              <w:jc w:val="left"/>
              <w:rPr>
                <w:strike/>
                <w:kern w:val="22"/>
                <w:szCs w:val="22"/>
              </w:rPr>
            </w:pPr>
            <w:r>
              <w:t>Marco de seguimiento</w:t>
            </w:r>
          </w:p>
        </w:tc>
      </w:tr>
      <w:tr w:rsidR="00A9001E" w:rsidRPr="00F13AF8" w14:paraId="60B544FC" w14:textId="77777777" w:rsidTr="00D50788">
        <w:tc>
          <w:tcPr>
            <w:tcW w:w="2137" w:type="dxa"/>
            <w:tcBorders>
              <w:bottom w:val="double" w:sz="4" w:space="0" w:color="808080" w:themeColor="background1" w:themeShade="80"/>
            </w:tcBorders>
          </w:tcPr>
          <w:p w14:paraId="524DE90A" w14:textId="77777777" w:rsidR="00A9001E" w:rsidRPr="00F13AF8" w:rsidRDefault="00A9001E" w:rsidP="00D50788">
            <w:pPr>
              <w:adjustRightInd w:val="0"/>
              <w:snapToGrid w:val="0"/>
              <w:spacing w:before="60" w:after="60"/>
              <w:jc w:val="left"/>
              <w:rPr>
                <w:kern w:val="22"/>
                <w:szCs w:val="22"/>
              </w:rPr>
            </w:pPr>
            <w:r>
              <w:t>Indicador complementario</w:t>
            </w:r>
          </w:p>
        </w:tc>
        <w:tc>
          <w:tcPr>
            <w:tcW w:w="5958" w:type="dxa"/>
            <w:tcBorders>
              <w:bottom w:val="double" w:sz="4" w:space="0" w:color="808080" w:themeColor="background1" w:themeShade="80"/>
            </w:tcBorders>
          </w:tcPr>
          <w:p w14:paraId="11F1FE66" w14:textId="77777777" w:rsidR="00A9001E" w:rsidRPr="00F13AF8" w:rsidRDefault="00A9001E" w:rsidP="00D50788">
            <w:pPr>
              <w:adjustRightInd w:val="0"/>
              <w:snapToGrid w:val="0"/>
              <w:spacing w:before="60" w:after="60"/>
              <w:rPr>
                <w:kern w:val="22"/>
                <w:szCs w:val="22"/>
              </w:rPr>
            </w:pPr>
            <w:r>
              <w:t xml:space="preserve">Un conjunto de indicadores para el análisis temático o a fondo de cada objetivo y meta y que son menos pertinentes para la mayoría de los países, tienen importantes deficiencias metodológicas o de </w:t>
            </w:r>
            <w:r>
              <w:lastRenderedPageBreak/>
              <w:t>recopilación de datos, son muy específicos y no abarcan el alcance de un componente de los objetivos o metas o solo pueden aplicarse a nivel mundial y regional.</w:t>
            </w:r>
          </w:p>
        </w:tc>
        <w:tc>
          <w:tcPr>
            <w:tcW w:w="1530" w:type="dxa"/>
            <w:tcBorders>
              <w:bottom w:val="double" w:sz="4" w:space="0" w:color="808080" w:themeColor="background1" w:themeShade="80"/>
            </w:tcBorders>
          </w:tcPr>
          <w:p w14:paraId="0BB959C3" w14:textId="77777777" w:rsidR="00A9001E" w:rsidRPr="00F13AF8" w:rsidRDefault="00A9001E" w:rsidP="00D50788">
            <w:pPr>
              <w:adjustRightInd w:val="0"/>
              <w:snapToGrid w:val="0"/>
              <w:spacing w:before="60" w:after="60"/>
              <w:jc w:val="left"/>
              <w:rPr>
                <w:strike/>
                <w:kern w:val="22"/>
                <w:szCs w:val="22"/>
              </w:rPr>
            </w:pPr>
            <w:r>
              <w:lastRenderedPageBreak/>
              <w:t>Marco de seguimiento</w:t>
            </w:r>
          </w:p>
        </w:tc>
      </w:tr>
      <w:tr w:rsidR="00A9001E" w:rsidRPr="00F13AF8" w14:paraId="30FF71E9" w14:textId="77777777" w:rsidTr="00D50788">
        <w:tc>
          <w:tcPr>
            <w:tcW w:w="2137" w:type="dxa"/>
            <w:tcBorders>
              <w:top w:val="double" w:sz="4" w:space="0" w:color="808080" w:themeColor="background1" w:themeShade="80"/>
            </w:tcBorders>
          </w:tcPr>
          <w:p w14:paraId="25246BC3" w14:textId="77777777" w:rsidR="00A9001E" w:rsidRPr="00F13AF8" w:rsidRDefault="00A9001E" w:rsidP="00D50788">
            <w:pPr>
              <w:adjustRightInd w:val="0"/>
              <w:snapToGrid w:val="0"/>
              <w:spacing w:before="60" w:after="60"/>
              <w:jc w:val="left"/>
              <w:rPr>
                <w:kern w:val="22"/>
                <w:szCs w:val="22"/>
              </w:rPr>
            </w:pPr>
          </w:p>
        </w:tc>
        <w:tc>
          <w:tcPr>
            <w:tcW w:w="5958" w:type="dxa"/>
            <w:tcBorders>
              <w:top w:val="double" w:sz="4" w:space="0" w:color="808080" w:themeColor="background1" w:themeShade="80"/>
            </w:tcBorders>
          </w:tcPr>
          <w:p w14:paraId="0146E71E" w14:textId="77777777" w:rsidR="00A9001E" w:rsidRPr="004A6FE6" w:rsidRDefault="00A9001E" w:rsidP="00D50788">
            <w:pPr>
              <w:adjustRightInd w:val="0"/>
              <w:snapToGrid w:val="0"/>
              <w:spacing w:before="60" w:after="60"/>
              <w:rPr>
                <w:b/>
                <w:kern w:val="22"/>
                <w:szCs w:val="22"/>
              </w:rPr>
            </w:pPr>
            <w:r>
              <w:rPr>
                <w:b/>
              </w:rPr>
              <w:t>Actualizaciones – Mayo de 2022</w:t>
            </w:r>
          </w:p>
        </w:tc>
        <w:tc>
          <w:tcPr>
            <w:tcW w:w="1530" w:type="dxa"/>
            <w:tcBorders>
              <w:top w:val="double" w:sz="4" w:space="0" w:color="808080" w:themeColor="background1" w:themeShade="80"/>
            </w:tcBorders>
          </w:tcPr>
          <w:p w14:paraId="181D241F" w14:textId="77777777" w:rsidR="00A9001E" w:rsidRPr="00F13AF8" w:rsidRDefault="00A9001E" w:rsidP="00D50788">
            <w:pPr>
              <w:adjustRightInd w:val="0"/>
              <w:snapToGrid w:val="0"/>
              <w:spacing w:before="60" w:after="60"/>
              <w:jc w:val="left"/>
              <w:rPr>
                <w:kern w:val="22"/>
                <w:szCs w:val="22"/>
              </w:rPr>
            </w:pPr>
          </w:p>
        </w:tc>
      </w:tr>
      <w:tr w:rsidR="00A9001E" w:rsidRPr="00F13AF8" w14:paraId="1756D3CD" w14:textId="77777777" w:rsidTr="00D50788">
        <w:tc>
          <w:tcPr>
            <w:tcW w:w="2137" w:type="dxa"/>
          </w:tcPr>
          <w:p w14:paraId="52C1C2E9" w14:textId="77777777" w:rsidR="00A9001E" w:rsidRDefault="00A9001E" w:rsidP="00D50788">
            <w:pPr>
              <w:adjustRightInd w:val="0"/>
              <w:snapToGrid w:val="0"/>
              <w:spacing w:before="60" w:after="60"/>
              <w:jc w:val="left"/>
              <w:rPr>
                <w:kern w:val="22"/>
                <w:szCs w:val="22"/>
              </w:rPr>
            </w:pPr>
            <w:r>
              <w:t>Especies silvestres</w:t>
            </w:r>
          </w:p>
        </w:tc>
        <w:tc>
          <w:tcPr>
            <w:tcW w:w="5958" w:type="dxa"/>
          </w:tcPr>
          <w:p w14:paraId="6E5F3CDF" w14:textId="77777777" w:rsidR="00A9001E" w:rsidRPr="00C92C78" w:rsidRDefault="00A9001E" w:rsidP="00D50788">
            <w:pPr>
              <w:adjustRightInd w:val="0"/>
              <w:snapToGrid w:val="0"/>
              <w:spacing w:before="60" w:after="60"/>
              <w:rPr>
                <w:kern w:val="22"/>
                <w:szCs w:val="22"/>
              </w:rPr>
            </w:pPr>
            <w:r>
              <w:t xml:space="preserve">Organismos cautivos o que viven en la medio silvestre, en cuyo proceso evolutivo no ha influido el ser humano. (en contraste con la definición de especie domesticada del CDB, </w:t>
            </w:r>
            <w:hyperlink r:id="rId56" w:history="1">
              <w:r>
                <w:rPr>
                  <w:rStyle w:val="Hipervnculo"/>
                  <w:sz w:val="22"/>
                </w:rPr>
                <w:t>Convenio</w:t>
              </w:r>
            </w:hyperlink>
            <w:r>
              <w:rPr>
                <w:rStyle w:val="Hipervnculo"/>
                <w:sz w:val="22"/>
              </w:rPr>
              <w:t>,</w:t>
            </w:r>
            <w:r>
              <w:t xml:space="preserve"> </w:t>
            </w:r>
            <w:r>
              <w:rPr>
                <w:rStyle w:val="Hipervnculo"/>
                <w:sz w:val="22"/>
              </w:rPr>
              <w:t>artículo 2)</w:t>
            </w:r>
          </w:p>
        </w:tc>
        <w:tc>
          <w:tcPr>
            <w:tcW w:w="1530" w:type="dxa"/>
          </w:tcPr>
          <w:p w14:paraId="56AF1F76" w14:textId="77777777" w:rsidR="00A9001E" w:rsidRDefault="00A9001E" w:rsidP="00D50788">
            <w:pPr>
              <w:adjustRightInd w:val="0"/>
              <w:snapToGrid w:val="0"/>
              <w:spacing w:before="60" w:after="60"/>
              <w:jc w:val="left"/>
              <w:rPr>
                <w:kern w:val="22"/>
                <w:szCs w:val="22"/>
              </w:rPr>
            </w:pPr>
            <w:r>
              <w:t>Meta 5</w:t>
            </w:r>
          </w:p>
        </w:tc>
      </w:tr>
      <w:tr w:rsidR="00A9001E" w:rsidRPr="00F13AF8" w14:paraId="19C01B5C" w14:textId="77777777" w:rsidTr="00D50788">
        <w:tc>
          <w:tcPr>
            <w:tcW w:w="2137" w:type="dxa"/>
          </w:tcPr>
          <w:p w14:paraId="79082275" w14:textId="77777777" w:rsidR="00A9001E" w:rsidRPr="00F13AF8" w:rsidRDefault="00A9001E" w:rsidP="00D50788">
            <w:pPr>
              <w:adjustRightInd w:val="0"/>
              <w:snapToGrid w:val="0"/>
              <w:spacing w:before="60" w:after="60"/>
              <w:jc w:val="left"/>
              <w:rPr>
                <w:kern w:val="22"/>
                <w:szCs w:val="22"/>
              </w:rPr>
            </w:pPr>
            <w:r>
              <w:t>Plaguicidas</w:t>
            </w:r>
          </w:p>
        </w:tc>
        <w:tc>
          <w:tcPr>
            <w:tcW w:w="5958" w:type="dxa"/>
          </w:tcPr>
          <w:p w14:paraId="481ECB2E" w14:textId="77777777" w:rsidR="00A9001E" w:rsidRPr="00C92C78" w:rsidRDefault="00A9001E" w:rsidP="00D50788">
            <w:pPr>
              <w:adjustRightInd w:val="0"/>
              <w:snapToGrid w:val="0"/>
              <w:spacing w:before="60" w:after="60"/>
              <w:rPr>
                <w:kern w:val="22"/>
                <w:szCs w:val="22"/>
              </w:rPr>
            </w:pPr>
            <w:r>
              <w:t>Plaguicida, cualquier sustancia o mezcla de sustancias con ingredientes químicos o biológicos destinados a repeler, destruir o controlar cualquier plaga o a regular el crecimiento de las plantas.</w:t>
            </w:r>
          </w:p>
          <w:p w14:paraId="6065741B" w14:textId="77777777" w:rsidR="00A9001E" w:rsidRPr="00F13AF8" w:rsidRDefault="00A9001E" w:rsidP="00D50788">
            <w:pPr>
              <w:adjustRightInd w:val="0"/>
              <w:snapToGrid w:val="0"/>
              <w:spacing w:before="60" w:after="60"/>
              <w:rPr>
                <w:kern w:val="22"/>
                <w:szCs w:val="22"/>
              </w:rPr>
            </w:pPr>
            <w:r>
              <w:t xml:space="preserve">(Código Internacional de Conducta para la Gestión de Plaguicidas, </w:t>
            </w:r>
            <w:hyperlink r:id="rId57" w:tgtFrame="_blank" w:tooltip="https://www.fao.org/fileadmin/templates/agphome/documents/pests_pesticides/code/code_eng_2017updated.pdf" w:history="1">
              <w:r>
                <w:rPr>
                  <w:rStyle w:val="Hipervnculo"/>
                  <w:sz w:val="22"/>
                </w:rPr>
                <w:t>http://www.fao.org/3/i5566es/i5566es.pdf</w:t>
              </w:r>
            </w:hyperlink>
            <w:r>
              <w:t>)</w:t>
            </w:r>
          </w:p>
        </w:tc>
        <w:tc>
          <w:tcPr>
            <w:tcW w:w="1530" w:type="dxa"/>
          </w:tcPr>
          <w:p w14:paraId="2F242C31" w14:textId="77777777" w:rsidR="00A9001E" w:rsidRPr="00F13AF8" w:rsidRDefault="00A9001E" w:rsidP="00D50788">
            <w:pPr>
              <w:adjustRightInd w:val="0"/>
              <w:snapToGrid w:val="0"/>
              <w:spacing w:before="60" w:after="60"/>
              <w:jc w:val="left"/>
              <w:rPr>
                <w:kern w:val="22"/>
                <w:szCs w:val="22"/>
              </w:rPr>
            </w:pPr>
            <w:r>
              <w:t>Meta 7</w:t>
            </w:r>
          </w:p>
        </w:tc>
      </w:tr>
      <w:tr w:rsidR="00A9001E" w:rsidRPr="00F13AF8" w14:paraId="0DCC276D" w14:textId="77777777" w:rsidTr="00D50788">
        <w:tc>
          <w:tcPr>
            <w:tcW w:w="2137" w:type="dxa"/>
          </w:tcPr>
          <w:p w14:paraId="79E65DCD" w14:textId="77777777" w:rsidR="00A9001E" w:rsidRPr="00F13AF8" w:rsidRDefault="00A9001E" w:rsidP="00D50788">
            <w:pPr>
              <w:adjustRightInd w:val="0"/>
              <w:snapToGrid w:val="0"/>
              <w:spacing w:before="60" w:after="60"/>
              <w:jc w:val="left"/>
              <w:rPr>
                <w:kern w:val="22"/>
                <w:szCs w:val="22"/>
              </w:rPr>
            </w:pPr>
            <w:r>
              <w:t>Soluciones basadas en la naturaleza</w:t>
            </w:r>
          </w:p>
        </w:tc>
        <w:tc>
          <w:tcPr>
            <w:tcW w:w="5958" w:type="dxa"/>
          </w:tcPr>
          <w:p w14:paraId="15A98952" w14:textId="77777777" w:rsidR="00A9001E" w:rsidRPr="00F13AF8" w:rsidRDefault="00A9001E" w:rsidP="00D50788">
            <w:pPr>
              <w:adjustRightInd w:val="0"/>
              <w:snapToGrid w:val="0"/>
              <w:spacing w:before="60" w:after="60"/>
              <w:rPr>
                <w:kern w:val="22"/>
                <w:szCs w:val="22"/>
              </w:rPr>
            </w:pPr>
            <w:r>
              <w:t xml:space="preserve">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 (UNEP/EA.5/Res.5: </w:t>
            </w:r>
            <w:hyperlink r:id="rId58" w:history="1">
              <w:r>
                <w:rPr>
                  <w:rStyle w:val="Hipervnculo"/>
                  <w:sz w:val="22"/>
                </w:rPr>
                <w:t>https://wedocs.unep.org/bitstream/handle/20.500.11822/39867/NATURE-BASED%20SOLUTIONS%20FOR%20SUPPORTING%20SUSTAINABLE%20DEVELOPMENT.Spanish.pdf?sequence=1&amp;isAllowed=y</w:t>
              </w:r>
            </w:hyperlink>
            <w:r>
              <w:t>)</w:t>
            </w:r>
          </w:p>
        </w:tc>
        <w:tc>
          <w:tcPr>
            <w:tcW w:w="1530" w:type="dxa"/>
          </w:tcPr>
          <w:p w14:paraId="2405CE68" w14:textId="77777777" w:rsidR="00A9001E" w:rsidRPr="00F13AF8" w:rsidRDefault="00A9001E" w:rsidP="00D50788">
            <w:pPr>
              <w:adjustRightInd w:val="0"/>
              <w:snapToGrid w:val="0"/>
              <w:spacing w:before="60" w:after="60"/>
              <w:jc w:val="left"/>
              <w:rPr>
                <w:kern w:val="22"/>
                <w:szCs w:val="22"/>
              </w:rPr>
            </w:pPr>
            <w:r>
              <w:t>Meta 8</w:t>
            </w:r>
          </w:p>
        </w:tc>
      </w:tr>
      <w:tr w:rsidR="00A9001E" w:rsidRPr="00F13AF8" w14:paraId="104ED49F" w14:textId="77777777" w:rsidTr="00D50788">
        <w:tc>
          <w:tcPr>
            <w:tcW w:w="2137" w:type="dxa"/>
          </w:tcPr>
          <w:p w14:paraId="6C114A8D" w14:textId="77777777" w:rsidR="00A9001E" w:rsidRDefault="00A9001E" w:rsidP="00D50788">
            <w:pPr>
              <w:adjustRightInd w:val="0"/>
              <w:snapToGrid w:val="0"/>
              <w:spacing w:before="60" w:after="60"/>
              <w:jc w:val="left"/>
              <w:rPr>
                <w:kern w:val="22"/>
                <w:szCs w:val="22"/>
              </w:rPr>
            </w:pPr>
            <w:r>
              <w:t>Evaluación del impacto ambiental</w:t>
            </w:r>
          </w:p>
        </w:tc>
        <w:tc>
          <w:tcPr>
            <w:tcW w:w="5958" w:type="dxa"/>
          </w:tcPr>
          <w:p w14:paraId="6E65E7C6" w14:textId="77777777" w:rsidR="00A9001E" w:rsidRPr="004E7076" w:rsidRDefault="00A9001E" w:rsidP="00D50788">
            <w:pPr>
              <w:adjustRightInd w:val="0"/>
              <w:snapToGrid w:val="0"/>
              <w:spacing w:before="60" w:after="60"/>
              <w:rPr>
                <w:kern w:val="22"/>
                <w:szCs w:val="22"/>
              </w:rPr>
            </w:pPr>
            <w:r>
              <w:t xml:space="preserve">La evaluación del impacto ambiental es un proceso de evaluación de los posibles impactos ambientales de un proyecto o desarrollo propuesto, teniendo en cuenta los efectos socioeconómicos culturales y en la salud humana interrelacionados, tanto beneficiosos como perjudiciales. (CBD, </w:t>
            </w:r>
            <w:hyperlink r:id="rId59" w:history="1">
              <w:r>
                <w:rPr>
                  <w:rStyle w:val="Hipervnculo"/>
                  <w:sz w:val="22"/>
                </w:rPr>
                <w:t>https://www.cbd.int/decision/cop/?id=7181</w:t>
              </w:r>
            </w:hyperlink>
            <w:r>
              <w:t>)</w:t>
            </w:r>
          </w:p>
        </w:tc>
        <w:tc>
          <w:tcPr>
            <w:tcW w:w="1530" w:type="dxa"/>
          </w:tcPr>
          <w:p w14:paraId="56798E24" w14:textId="77777777" w:rsidR="00A9001E" w:rsidRPr="00F13AF8" w:rsidRDefault="00A9001E" w:rsidP="00D50788">
            <w:pPr>
              <w:adjustRightInd w:val="0"/>
              <w:snapToGrid w:val="0"/>
              <w:spacing w:before="60" w:after="60"/>
              <w:jc w:val="left"/>
              <w:rPr>
                <w:kern w:val="22"/>
                <w:szCs w:val="22"/>
              </w:rPr>
            </w:pPr>
            <w:r>
              <w:t>Meta 15</w:t>
            </w:r>
          </w:p>
        </w:tc>
      </w:tr>
      <w:tr w:rsidR="00A9001E" w:rsidRPr="00F13AF8" w14:paraId="28B75214" w14:textId="77777777" w:rsidTr="00D50788">
        <w:tc>
          <w:tcPr>
            <w:tcW w:w="2137" w:type="dxa"/>
          </w:tcPr>
          <w:p w14:paraId="3B3F8D90" w14:textId="77777777" w:rsidR="00A9001E" w:rsidRDefault="00A9001E" w:rsidP="00D50788">
            <w:pPr>
              <w:adjustRightInd w:val="0"/>
              <w:snapToGrid w:val="0"/>
              <w:spacing w:before="60" w:after="60"/>
              <w:jc w:val="left"/>
              <w:rPr>
                <w:kern w:val="22"/>
                <w:szCs w:val="22"/>
              </w:rPr>
            </w:pPr>
            <w:r>
              <w:t>Evaluación ambiental estratégica</w:t>
            </w:r>
          </w:p>
        </w:tc>
        <w:tc>
          <w:tcPr>
            <w:tcW w:w="5958" w:type="dxa"/>
          </w:tcPr>
          <w:p w14:paraId="102690D3" w14:textId="77777777" w:rsidR="00A9001E" w:rsidRPr="004E7076" w:rsidRDefault="00A9001E" w:rsidP="00D50788">
            <w:pPr>
              <w:adjustRightInd w:val="0"/>
              <w:snapToGrid w:val="0"/>
              <w:spacing w:before="60" w:after="60"/>
              <w:jc w:val="left"/>
              <w:rPr>
                <w:kern w:val="22"/>
                <w:szCs w:val="22"/>
              </w:rPr>
            </w:pPr>
            <w:r>
              <w:t xml:space="preserve">La evaluación ambiental estratégica es un proceso formalizado, sistemático y amplio para determinar y evaluar las consecuencias ambientales de las políticas, planes o programas propuestos para asegurar que se incorporen plenamente y se aborden adecuadamente en la etapa más temprana posible de la adopción de decisiones, simultáneamente con consideraciones económicas y sociales. La evaluación ambiental estratégica por su propia naturaleza abarca una gama de actividades o una esfera más amplias, y frecuentemente por un período de tiempo más prolongado que la evaluación del impacto ambiental correspondiente a un proyecto. La evaluación ambiental estratégica puede aplicarse a la totalidad de un sector (por ejemplo, la política nacional sobre energía) o a una zona geográfica (por ejemplo, en el contexto de un plan de desarrollo regional). (CBD, </w:t>
            </w:r>
            <w:hyperlink r:id="rId60" w:history="1">
              <w:r>
                <w:rPr>
                  <w:rStyle w:val="Hipervnculo"/>
                  <w:sz w:val="22"/>
                </w:rPr>
                <w:t>https://www.cbd.int/decision/cop/?id=7181</w:t>
              </w:r>
            </w:hyperlink>
            <w:r>
              <w:t>)</w:t>
            </w:r>
          </w:p>
        </w:tc>
        <w:tc>
          <w:tcPr>
            <w:tcW w:w="1530" w:type="dxa"/>
          </w:tcPr>
          <w:p w14:paraId="328EBB61" w14:textId="77777777" w:rsidR="00A9001E" w:rsidRDefault="00A9001E" w:rsidP="00D50788">
            <w:pPr>
              <w:adjustRightInd w:val="0"/>
              <w:snapToGrid w:val="0"/>
              <w:spacing w:before="60" w:after="60"/>
              <w:jc w:val="left"/>
              <w:rPr>
                <w:kern w:val="22"/>
                <w:szCs w:val="22"/>
              </w:rPr>
            </w:pPr>
            <w:r>
              <w:t>Meta 15</w:t>
            </w:r>
          </w:p>
        </w:tc>
      </w:tr>
      <w:tr w:rsidR="00A9001E" w:rsidRPr="00F13AF8" w14:paraId="0CF1A199" w14:textId="77777777" w:rsidTr="00D50788">
        <w:tc>
          <w:tcPr>
            <w:tcW w:w="2137" w:type="dxa"/>
          </w:tcPr>
          <w:p w14:paraId="1BD49AF1" w14:textId="77777777" w:rsidR="00A9001E" w:rsidRPr="004E7076" w:rsidRDefault="00A9001E" w:rsidP="00D50788">
            <w:pPr>
              <w:adjustRightInd w:val="0"/>
              <w:snapToGrid w:val="0"/>
              <w:spacing w:before="60" w:after="60"/>
              <w:jc w:val="left"/>
              <w:rPr>
                <w:kern w:val="22"/>
                <w:szCs w:val="22"/>
              </w:rPr>
            </w:pPr>
            <w:r>
              <w:lastRenderedPageBreak/>
              <w:t>Servicios de los ecosistemas</w:t>
            </w:r>
          </w:p>
        </w:tc>
        <w:tc>
          <w:tcPr>
            <w:tcW w:w="5958" w:type="dxa"/>
          </w:tcPr>
          <w:p w14:paraId="4648C294" w14:textId="77777777" w:rsidR="00A9001E" w:rsidRPr="00623DEC" w:rsidRDefault="00A9001E" w:rsidP="00D50788">
            <w:pPr>
              <w:adjustRightInd w:val="0"/>
              <w:snapToGrid w:val="0"/>
              <w:spacing w:before="60" w:after="60"/>
              <w:jc w:val="left"/>
              <w:rPr>
                <w:kern w:val="22"/>
                <w:szCs w:val="22"/>
              </w:rPr>
            </w:pPr>
            <w:r>
              <w:t xml:space="preserve">Beneficios que las personas obtienen de los ecosistema. Según la formulación original que figuraba en la Evaluación de los Ecosistemas del Milenio, los servicios de los ecosistemas se dividían en servicios de apoyo, de regulación, de aprovisionamiento y culturales. (Glosario de la IPBES - Informe de la Evaluación Mundial de la Diversidad Biológica y los Servicios de los Ecosistemas, </w:t>
            </w:r>
            <w:hyperlink r:id="rId61" w:history="1">
              <w:r>
                <w:rPr>
                  <w:rStyle w:val="Hipervnculo"/>
                  <w:sz w:val="22"/>
                </w:rPr>
                <w:t>https://zenodo.org/record/5657079#.YnQy2O3MJZU)</w:t>
              </w:r>
            </w:hyperlink>
          </w:p>
          <w:p w14:paraId="705D75FD" w14:textId="77777777" w:rsidR="00A9001E" w:rsidRPr="004E7076" w:rsidRDefault="00A9001E" w:rsidP="00D50788">
            <w:pPr>
              <w:adjustRightInd w:val="0"/>
              <w:snapToGrid w:val="0"/>
              <w:spacing w:before="60" w:after="60"/>
              <w:jc w:val="left"/>
              <w:rPr>
                <w:kern w:val="22"/>
                <w:szCs w:val="22"/>
              </w:rPr>
            </w:pPr>
            <w:r>
              <w:t xml:space="preserve"> </w:t>
            </w:r>
          </w:p>
        </w:tc>
        <w:tc>
          <w:tcPr>
            <w:tcW w:w="1530" w:type="dxa"/>
          </w:tcPr>
          <w:p w14:paraId="4C845D07" w14:textId="77777777" w:rsidR="00A9001E" w:rsidRDefault="00A9001E" w:rsidP="00D50788">
            <w:pPr>
              <w:adjustRightInd w:val="0"/>
              <w:snapToGrid w:val="0"/>
              <w:spacing w:before="60" w:after="60"/>
              <w:jc w:val="left"/>
              <w:rPr>
                <w:kern w:val="22"/>
                <w:szCs w:val="22"/>
              </w:rPr>
            </w:pPr>
          </w:p>
        </w:tc>
      </w:tr>
      <w:tr w:rsidR="00A9001E" w:rsidRPr="00F13AF8" w14:paraId="78DA1FCF" w14:textId="77777777" w:rsidTr="00D50788">
        <w:tc>
          <w:tcPr>
            <w:tcW w:w="2137" w:type="dxa"/>
          </w:tcPr>
          <w:p w14:paraId="2CD12C12" w14:textId="77777777" w:rsidR="00A9001E" w:rsidRPr="00623DEC" w:rsidRDefault="00A9001E" w:rsidP="00D50788">
            <w:pPr>
              <w:adjustRightInd w:val="0"/>
              <w:snapToGrid w:val="0"/>
              <w:spacing w:before="60" w:after="60"/>
              <w:jc w:val="left"/>
              <w:rPr>
                <w:kern w:val="22"/>
                <w:szCs w:val="22"/>
              </w:rPr>
            </w:pPr>
            <w:r>
              <w:t>Enfoque basado en los ecosistemas</w:t>
            </w:r>
          </w:p>
        </w:tc>
        <w:tc>
          <w:tcPr>
            <w:tcW w:w="5958" w:type="dxa"/>
          </w:tcPr>
          <w:p w14:paraId="6F947EEF" w14:textId="77777777" w:rsidR="00A9001E" w:rsidRPr="00623DEC" w:rsidRDefault="00A9001E" w:rsidP="00D50788">
            <w:pPr>
              <w:adjustRightInd w:val="0"/>
              <w:snapToGrid w:val="0"/>
              <w:spacing w:before="60" w:after="60"/>
              <w:jc w:val="left"/>
              <w:rPr>
                <w:kern w:val="22"/>
                <w:szCs w:val="22"/>
              </w:rPr>
            </w:pPr>
            <w:r>
              <w:t xml:space="preserve">Una estrategia para la gestión integrada de la tierra, el agua y los recursos vivos que promueve la conservación y el uso sostenible de la diversidad biológica en forma equitativa. Un enfoque por ecosistemas se basa en la aplicación de metodologías científicas apropiadas que se concentran en niveles de organización biológica que abarcan los procesos esenciales, las funciones y las interacciones entre los organismos y su medio ambiente. Reconoce que los seres humanos, con su diversidad cultural, son un componente integral de los ecosistemas. (CBD, </w:t>
            </w:r>
            <w:hyperlink r:id="rId62" w:history="1">
              <w:r>
                <w:rPr>
                  <w:rStyle w:val="Hipervnculo"/>
                  <w:sz w:val="22"/>
                </w:rPr>
                <w:t>https://www.cbd.int/ecosystem/description.shtml</w:t>
              </w:r>
            </w:hyperlink>
            <w:r>
              <w:t>)</w:t>
            </w:r>
          </w:p>
        </w:tc>
        <w:tc>
          <w:tcPr>
            <w:tcW w:w="1530" w:type="dxa"/>
          </w:tcPr>
          <w:p w14:paraId="2ED69335" w14:textId="77777777" w:rsidR="00A9001E" w:rsidRDefault="00A9001E" w:rsidP="00D50788">
            <w:pPr>
              <w:adjustRightInd w:val="0"/>
              <w:snapToGrid w:val="0"/>
              <w:spacing w:before="60" w:after="60"/>
              <w:jc w:val="left"/>
              <w:rPr>
                <w:kern w:val="22"/>
                <w:szCs w:val="22"/>
              </w:rPr>
            </w:pPr>
          </w:p>
        </w:tc>
      </w:tr>
    </w:tbl>
    <w:p w14:paraId="630333F2" w14:textId="77777777" w:rsidR="00A9001E" w:rsidRPr="00F13AF8" w:rsidRDefault="00A9001E" w:rsidP="00A9001E">
      <w:pPr>
        <w:rPr>
          <w:kern w:val="22"/>
          <w:szCs w:val="22"/>
        </w:rPr>
      </w:pPr>
      <w:r>
        <w:br w:type="textWrapping" w:clear="all"/>
      </w:r>
      <w:r>
        <w:br w:type="textWrapping" w:clear="all"/>
      </w:r>
    </w:p>
    <w:p w14:paraId="0CECAC8D" w14:textId="77777777" w:rsidR="00A9001E" w:rsidRPr="008E6238" w:rsidRDefault="00A9001E" w:rsidP="00A9001E">
      <w:pPr>
        <w:suppressLineNumbers/>
        <w:suppressAutoHyphens/>
        <w:jc w:val="center"/>
        <w:rPr>
          <w:snapToGrid w:val="0"/>
          <w:kern w:val="22"/>
          <w:szCs w:val="22"/>
        </w:rPr>
      </w:pPr>
      <w:r>
        <w:rPr>
          <w:snapToGrid w:val="0"/>
        </w:rPr>
        <w:t>__________</w:t>
      </w:r>
    </w:p>
    <w:p w14:paraId="14C3AE46" w14:textId="1F70A648" w:rsidR="00C9161D" w:rsidRPr="008E6238" w:rsidRDefault="00C9161D" w:rsidP="00A9001E">
      <w:pPr>
        <w:pStyle w:val="Style1"/>
        <w:outlineLvl w:val="9"/>
        <w:rPr>
          <w:snapToGrid w:val="0"/>
          <w:kern w:val="22"/>
          <w:szCs w:val="22"/>
        </w:rPr>
      </w:pPr>
    </w:p>
    <w:sectPr w:rsidR="00C9161D" w:rsidRPr="008E6238" w:rsidSect="00863139">
      <w:headerReference w:type="even" r:id="rId63"/>
      <w:headerReference w:type="default" r:id="rId64"/>
      <w:footerReference w:type="even" r:id="rId65"/>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BC9F" w14:textId="77777777" w:rsidR="00BB4195" w:rsidRDefault="00BB4195" w:rsidP="00CF1848">
      <w:r>
        <w:separator/>
      </w:r>
    </w:p>
  </w:endnote>
  <w:endnote w:type="continuationSeparator" w:id="0">
    <w:p w14:paraId="017396A8" w14:textId="77777777" w:rsidR="00BB4195" w:rsidRDefault="00BB4195" w:rsidP="00CF1848">
      <w:r>
        <w:continuationSeparator/>
      </w:r>
    </w:p>
  </w:endnote>
  <w:endnote w:type="continuationNotice" w:id="1">
    <w:p w14:paraId="7B01BE90" w14:textId="77777777" w:rsidR="00BB4195" w:rsidRDefault="00BB4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0F05" w14:textId="77777777" w:rsidR="00997DD6" w:rsidRDefault="00997DD6" w:rsidP="00863139">
    <w:pPr>
      <w:pStyle w:val="Piedepgina"/>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9FA8" w14:textId="77777777" w:rsidR="00BB4195" w:rsidRDefault="00BB4195" w:rsidP="00CF1848">
      <w:r>
        <w:separator/>
      </w:r>
    </w:p>
  </w:footnote>
  <w:footnote w:type="continuationSeparator" w:id="0">
    <w:p w14:paraId="0D473C84" w14:textId="77777777" w:rsidR="00BB4195" w:rsidRDefault="00BB4195" w:rsidP="00CF1848">
      <w:r>
        <w:continuationSeparator/>
      </w:r>
    </w:p>
  </w:footnote>
  <w:footnote w:type="continuationNotice" w:id="1">
    <w:p w14:paraId="0EA5ACD0" w14:textId="77777777" w:rsidR="00BB4195" w:rsidRDefault="00BB4195"/>
  </w:footnote>
  <w:footnote w:id="2">
    <w:p w14:paraId="2289E6DD" w14:textId="504B085C" w:rsidR="00F37E61" w:rsidRPr="00F37E61" w:rsidRDefault="00F37E61" w:rsidP="00434B1E">
      <w:pPr>
        <w:pStyle w:val="Textonotapie"/>
        <w:ind w:firstLine="0"/>
      </w:pPr>
      <w:r>
        <w:rPr>
          <w:rStyle w:val="Refdenotaalpie"/>
        </w:rPr>
        <w:t>*</w:t>
      </w:r>
      <w:r>
        <w:t xml:space="preserve"> CBD/WG2020/4/1.</w:t>
      </w:r>
    </w:p>
  </w:footnote>
  <w:footnote w:id="3">
    <w:p w14:paraId="6EA44455" w14:textId="77777777" w:rsidR="00A9001E" w:rsidRPr="00863139" w:rsidRDefault="00A9001E" w:rsidP="00A9001E">
      <w:pPr>
        <w:pStyle w:val="Textonotapie"/>
        <w:ind w:firstLine="0"/>
        <w:jc w:val="left"/>
        <w:rPr>
          <w:kern w:val="18"/>
          <w:szCs w:val="18"/>
        </w:rPr>
      </w:pPr>
      <w:r>
        <w:rPr>
          <w:rStyle w:val="Refdenotaalpie"/>
          <w:kern w:val="18"/>
          <w:sz w:val="18"/>
          <w:szCs w:val="18"/>
        </w:rPr>
        <w:footnoteRef/>
      </w:r>
      <w:r>
        <w:t xml:space="preserve"> El primer proyecto del marco mundial de la diversidad biológica posterior a 2020 figura en el documento CBD/WG2020/3/3. La lista de indicadores de cabecera para el marco mundial de la diversidad biológica posterior a 2020 se presenta en el documento CBD/WG2020/3/3/Add.1, que también describe los documentos de información relacionados con el marco de seguimiento, incluidos aquellos relacionados con el componente y los indicadores complementarios y otra información relacionada con los indicadores.</w:t>
      </w:r>
    </w:p>
  </w:footnote>
  <w:footnote w:id="4">
    <w:p w14:paraId="2EDE6A0A" w14:textId="1F9DB78C" w:rsidR="00A9001E" w:rsidRPr="00B64A3F" w:rsidRDefault="00A9001E" w:rsidP="00A9001E">
      <w:pPr>
        <w:pStyle w:val="Textonotapie"/>
      </w:pPr>
      <w:r>
        <w:rPr>
          <w:rStyle w:val="Refdenotaalpie"/>
        </w:rPr>
        <w:footnoteRef/>
      </w:r>
      <w:r>
        <w:t xml:space="preserve"> Las referencias </w:t>
      </w:r>
      <w:proofErr w:type="spellStart"/>
      <w:r>
        <w:t>se</w:t>
      </w:r>
      <w:proofErr w:type="spellEnd"/>
      <w:r>
        <w:t xml:space="preserve"> basan en</w:t>
      </w:r>
      <w:r>
        <w:t xml:space="preserve"> el primer proyecto del marco mundial de la diversidad biológica posterior 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43BBE58C" w14:textId="247DF837" w:rsidR="00997DD6" w:rsidRPr="00863139" w:rsidRDefault="00F37E61" w:rsidP="00863139">
        <w:pPr>
          <w:pStyle w:val="Encabezado"/>
          <w:tabs>
            <w:tab w:val="clear" w:pos="4320"/>
            <w:tab w:val="clear" w:pos="8640"/>
          </w:tabs>
          <w:rPr>
            <w:noProof/>
          </w:rPr>
        </w:pPr>
        <w:r>
          <w:t>CBD/WG2020/4/</w:t>
        </w:r>
        <w:r w:rsidR="00434B1E">
          <w:t>2</w:t>
        </w:r>
      </w:p>
    </w:sdtContent>
  </w:sdt>
  <w:p w14:paraId="1A62155C" w14:textId="77777777" w:rsidR="00997DD6" w:rsidRPr="00863139" w:rsidRDefault="00997DD6" w:rsidP="00863139">
    <w:pPr>
      <w:pStyle w:val="Encabezado"/>
      <w:tabs>
        <w:tab w:val="clear" w:pos="4320"/>
        <w:tab w:val="clear" w:pos="8640"/>
      </w:tabs>
      <w:rPr>
        <w:noProof/>
      </w:rPr>
    </w:pPr>
    <w:r>
      <w:t xml:space="preserve">Página </w:t>
    </w:r>
    <w:r w:rsidRPr="00863139">
      <w:fldChar w:fldCharType="begin"/>
    </w:r>
    <w:r w:rsidRPr="00863139">
      <w:instrText xml:space="preserve"> PAGE   \* MERGEFORMAT </w:instrText>
    </w:r>
    <w:r w:rsidRPr="00863139">
      <w:fldChar w:fldCharType="separate"/>
    </w:r>
    <w:r w:rsidR="00626547">
      <w:t>10</w:t>
    </w:r>
    <w:r w:rsidRPr="00863139">
      <w:fldChar w:fldCharType="end"/>
    </w:r>
  </w:p>
  <w:p w14:paraId="3FDA3AAC" w14:textId="77777777" w:rsidR="00997DD6" w:rsidRPr="00863139" w:rsidRDefault="00997DD6" w:rsidP="00863139">
    <w:pPr>
      <w:pStyle w:val="Encabezado"/>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661AA7A" w14:textId="2A1B4AB1" w:rsidR="00997DD6" w:rsidRPr="00863139" w:rsidRDefault="00F37E61" w:rsidP="00863139">
        <w:pPr>
          <w:pStyle w:val="Encabezado"/>
          <w:tabs>
            <w:tab w:val="clear" w:pos="4320"/>
            <w:tab w:val="clear" w:pos="8640"/>
          </w:tabs>
          <w:jc w:val="right"/>
          <w:rPr>
            <w:noProof/>
          </w:rPr>
        </w:pPr>
        <w:r>
          <w:t>CBD/WG2020/4/</w:t>
        </w:r>
        <w:r w:rsidR="00434B1E">
          <w:t>2</w:t>
        </w:r>
      </w:p>
    </w:sdtContent>
  </w:sdt>
  <w:p w14:paraId="5BD5CEF4" w14:textId="77777777" w:rsidR="00997DD6" w:rsidRPr="00863139" w:rsidRDefault="00997DD6" w:rsidP="00863139">
    <w:pPr>
      <w:pStyle w:val="Encabezado"/>
      <w:tabs>
        <w:tab w:val="clear" w:pos="4320"/>
        <w:tab w:val="clear" w:pos="8640"/>
      </w:tabs>
      <w:jc w:val="right"/>
      <w:rPr>
        <w:noProof/>
      </w:rPr>
    </w:pPr>
    <w:r>
      <w:t xml:space="preserve">Página </w:t>
    </w:r>
    <w:r w:rsidRPr="00863139">
      <w:fldChar w:fldCharType="begin"/>
    </w:r>
    <w:r w:rsidRPr="00863139">
      <w:instrText xml:space="preserve"> PAGE   \* MERGEFORMAT </w:instrText>
    </w:r>
    <w:r w:rsidRPr="00863139">
      <w:fldChar w:fldCharType="separate"/>
    </w:r>
    <w:r w:rsidR="00626547">
      <w:t>11</w:t>
    </w:r>
    <w:r w:rsidRPr="00863139">
      <w:fldChar w:fldCharType="end"/>
    </w:r>
  </w:p>
  <w:p w14:paraId="34714F2B" w14:textId="77777777" w:rsidR="00997DD6" w:rsidRPr="00863139" w:rsidRDefault="00997DD6" w:rsidP="00863139">
    <w:pPr>
      <w:pStyle w:val="Encabezado"/>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4D2E1E"/>
    <w:multiLevelType w:val="multilevel"/>
    <w:tmpl w:val="D63091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4E37"/>
    <w:multiLevelType w:val="hybridMultilevel"/>
    <w:tmpl w:val="B8807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3542480">
    <w:abstractNumId w:val="3"/>
  </w:num>
  <w:num w:numId="2" w16cid:durableId="1157843722">
    <w:abstractNumId w:val="7"/>
  </w:num>
  <w:num w:numId="3" w16cid:durableId="255721769">
    <w:abstractNumId w:val="5"/>
  </w:num>
  <w:num w:numId="4" w16cid:durableId="618994651">
    <w:abstractNumId w:val="7"/>
  </w:num>
  <w:num w:numId="5" w16cid:durableId="1315328557">
    <w:abstractNumId w:val="6"/>
  </w:num>
  <w:num w:numId="6" w16cid:durableId="715932453">
    <w:abstractNumId w:val="0"/>
  </w:num>
  <w:num w:numId="7" w16cid:durableId="313071608">
    <w:abstractNumId w:val="2"/>
  </w:num>
  <w:num w:numId="8" w16cid:durableId="331612645">
    <w:abstractNumId w:val="5"/>
    <w:lvlOverride w:ilvl="0">
      <w:startOverride w:val="1"/>
    </w:lvlOverride>
  </w:num>
  <w:num w:numId="9" w16cid:durableId="1246067855">
    <w:abstractNumId w:val="11"/>
  </w:num>
  <w:num w:numId="10" w16cid:durableId="434177393">
    <w:abstractNumId w:val="5"/>
    <w:lvlOverride w:ilvl="0">
      <w:startOverride w:val="1"/>
    </w:lvlOverride>
  </w:num>
  <w:num w:numId="11" w16cid:durableId="1431583906">
    <w:abstractNumId w:val="5"/>
    <w:lvlOverride w:ilvl="0">
      <w:startOverride w:val="1"/>
    </w:lvlOverride>
  </w:num>
  <w:num w:numId="12" w16cid:durableId="2088068911">
    <w:abstractNumId w:val="5"/>
    <w:lvlOverride w:ilvl="0">
      <w:startOverride w:val="1"/>
    </w:lvlOverride>
  </w:num>
  <w:num w:numId="13" w16cid:durableId="1778333646">
    <w:abstractNumId w:val="5"/>
    <w:lvlOverride w:ilvl="0">
      <w:startOverride w:val="1"/>
    </w:lvlOverride>
  </w:num>
  <w:num w:numId="14" w16cid:durableId="1746561945">
    <w:abstractNumId w:val="10"/>
  </w:num>
  <w:num w:numId="15" w16cid:durableId="980883687">
    <w:abstractNumId w:val="9"/>
  </w:num>
  <w:num w:numId="16" w16cid:durableId="1122773057">
    <w:abstractNumId w:val="1"/>
  </w:num>
  <w:num w:numId="17" w16cid:durableId="1287274281">
    <w:abstractNumId w:val="12"/>
  </w:num>
  <w:num w:numId="18" w16cid:durableId="450591276">
    <w:abstractNumId w:val="13"/>
  </w:num>
  <w:num w:numId="19" w16cid:durableId="116170192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3838587">
    <w:abstractNumId w:val="4"/>
  </w:num>
  <w:num w:numId="21" w16cid:durableId="1752509050">
    <w:abstractNumId w:val="8"/>
  </w:num>
  <w:num w:numId="22" w16cid:durableId="5484177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6" w:nlCheck="1" w:checkStyle="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1EC4"/>
    <w:rsid w:val="000401DB"/>
    <w:rsid w:val="0004449E"/>
    <w:rsid w:val="000460E3"/>
    <w:rsid w:val="00055488"/>
    <w:rsid w:val="00056635"/>
    <w:rsid w:val="0005745C"/>
    <w:rsid w:val="0007171B"/>
    <w:rsid w:val="00073F93"/>
    <w:rsid w:val="000925A9"/>
    <w:rsid w:val="000D04D7"/>
    <w:rsid w:val="000E41B2"/>
    <w:rsid w:val="000E673A"/>
    <w:rsid w:val="000E7901"/>
    <w:rsid w:val="000F0053"/>
    <w:rsid w:val="000F74F5"/>
    <w:rsid w:val="00105372"/>
    <w:rsid w:val="001108BB"/>
    <w:rsid w:val="001312AD"/>
    <w:rsid w:val="00131E7A"/>
    <w:rsid w:val="00134846"/>
    <w:rsid w:val="00172AF6"/>
    <w:rsid w:val="00172CBB"/>
    <w:rsid w:val="00176CEE"/>
    <w:rsid w:val="00186DD8"/>
    <w:rsid w:val="001B13FE"/>
    <w:rsid w:val="001B79C9"/>
    <w:rsid w:val="001D117A"/>
    <w:rsid w:val="001D68E9"/>
    <w:rsid w:val="001D6B5F"/>
    <w:rsid w:val="002032AB"/>
    <w:rsid w:val="00206C4B"/>
    <w:rsid w:val="00214696"/>
    <w:rsid w:val="00221552"/>
    <w:rsid w:val="002258EF"/>
    <w:rsid w:val="00231947"/>
    <w:rsid w:val="00244068"/>
    <w:rsid w:val="00247809"/>
    <w:rsid w:val="00262005"/>
    <w:rsid w:val="00263C83"/>
    <w:rsid w:val="002672FF"/>
    <w:rsid w:val="00267993"/>
    <w:rsid w:val="00276DC8"/>
    <w:rsid w:val="00290D93"/>
    <w:rsid w:val="00290E1A"/>
    <w:rsid w:val="002930DE"/>
    <w:rsid w:val="0029337F"/>
    <w:rsid w:val="002939EE"/>
    <w:rsid w:val="002A3584"/>
    <w:rsid w:val="002B0E91"/>
    <w:rsid w:val="002B39C1"/>
    <w:rsid w:val="002B7263"/>
    <w:rsid w:val="0030169D"/>
    <w:rsid w:val="00305D2E"/>
    <w:rsid w:val="003060EB"/>
    <w:rsid w:val="00313E56"/>
    <w:rsid w:val="003153EB"/>
    <w:rsid w:val="00321985"/>
    <w:rsid w:val="00335854"/>
    <w:rsid w:val="0033768F"/>
    <w:rsid w:val="00351205"/>
    <w:rsid w:val="00372F74"/>
    <w:rsid w:val="00392732"/>
    <w:rsid w:val="0039629A"/>
    <w:rsid w:val="003B12F1"/>
    <w:rsid w:val="003B4506"/>
    <w:rsid w:val="003D2220"/>
    <w:rsid w:val="003D5359"/>
    <w:rsid w:val="003E11B7"/>
    <w:rsid w:val="003E3DC0"/>
    <w:rsid w:val="003F7224"/>
    <w:rsid w:val="004025C8"/>
    <w:rsid w:val="004268DD"/>
    <w:rsid w:val="004273CD"/>
    <w:rsid w:val="00427D21"/>
    <w:rsid w:val="00432CEF"/>
    <w:rsid w:val="00434B1E"/>
    <w:rsid w:val="0045280E"/>
    <w:rsid w:val="00453FC9"/>
    <w:rsid w:val="004644C2"/>
    <w:rsid w:val="00467E32"/>
    <w:rsid w:val="00467F9C"/>
    <w:rsid w:val="00486CBE"/>
    <w:rsid w:val="00497BF3"/>
    <w:rsid w:val="004A2855"/>
    <w:rsid w:val="004A66CB"/>
    <w:rsid w:val="004A6FE6"/>
    <w:rsid w:val="004C01DA"/>
    <w:rsid w:val="004C7C42"/>
    <w:rsid w:val="004D66A5"/>
    <w:rsid w:val="004E7076"/>
    <w:rsid w:val="00501650"/>
    <w:rsid w:val="00506C72"/>
    <w:rsid w:val="00516AEB"/>
    <w:rsid w:val="00534681"/>
    <w:rsid w:val="00541647"/>
    <w:rsid w:val="00563442"/>
    <w:rsid w:val="00565B42"/>
    <w:rsid w:val="00570D9B"/>
    <w:rsid w:val="005774B9"/>
    <w:rsid w:val="00581F7F"/>
    <w:rsid w:val="0059608A"/>
    <w:rsid w:val="005A035C"/>
    <w:rsid w:val="005A76CE"/>
    <w:rsid w:val="005C4CE6"/>
    <w:rsid w:val="005C541F"/>
    <w:rsid w:val="005D6E0B"/>
    <w:rsid w:val="005E0F1F"/>
    <w:rsid w:val="005E330C"/>
    <w:rsid w:val="005E6BEA"/>
    <w:rsid w:val="006019A1"/>
    <w:rsid w:val="006122BA"/>
    <w:rsid w:val="00623DEC"/>
    <w:rsid w:val="00626547"/>
    <w:rsid w:val="006467B1"/>
    <w:rsid w:val="00663B37"/>
    <w:rsid w:val="00683A80"/>
    <w:rsid w:val="0069317E"/>
    <w:rsid w:val="006B2290"/>
    <w:rsid w:val="006B4C01"/>
    <w:rsid w:val="006B70CA"/>
    <w:rsid w:val="006C3B62"/>
    <w:rsid w:val="006C5D8B"/>
    <w:rsid w:val="006D15F3"/>
    <w:rsid w:val="006D72C1"/>
    <w:rsid w:val="006E1842"/>
    <w:rsid w:val="006E1A67"/>
    <w:rsid w:val="006E2C3A"/>
    <w:rsid w:val="00702401"/>
    <w:rsid w:val="00717D88"/>
    <w:rsid w:val="007546EE"/>
    <w:rsid w:val="007573D0"/>
    <w:rsid w:val="007713D0"/>
    <w:rsid w:val="00786056"/>
    <w:rsid w:val="007942D3"/>
    <w:rsid w:val="007B2099"/>
    <w:rsid w:val="007B6C09"/>
    <w:rsid w:val="007B7741"/>
    <w:rsid w:val="007C18F9"/>
    <w:rsid w:val="007D595F"/>
    <w:rsid w:val="007E09DA"/>
    <w:rsid w:val="007F305C"/>
    <w:rsid w:val="00801D6A"/>
    <w:rsid w:val="00802C86"/>
    <w:rsid w:val="00807286"/>
    <w:rsid w:val="00810911"/>
    <w:rsid w:val="008178B6"/>
    <w:rsid w:val="00817C12"/>
    <w:rsid w:val="0082258B"/>
    <w:rsid w:val="0086251A"/>
    <w:rsid w:val="00863139"/>
    <w:rsid w:val="008654A6"/>
    <w:rsid w:val="00865B74"/>
    <w:rsid w:val="00892AA5"/>
    <w:rsid w:val="008953D8"/>
    <w:rsid w:val="008974F0"/>
    <w:rsid w:val="008B012A"/>
    <w:rsid w:val="008C68C0"/>
    <w:rsid w:val="008D41DA"/>
    <w:rsid w:val="008E6238"/>
    <w:rsid w:val="0090084A"/>
    <w:rsid w:val="00902AE6"/>
    <w:rsid w:val="00906E17"/>
    <w:rsid w:val="00907BFC"/>
    <w:rsid w:val="009104EB"/>
    <w:rsid w:val="00930BA1"/>
    <w:rsid w:val="0093169E"/>
    <w:rsid w:val="0093735B"/>
    <w:rsid w:val="009505C9"/>
    <w:rsid w:val="00950752"/>
    <w:rsid w:val="00966424"/>
    <w:rsid w:val="009762E7"/>
    <w:rsid w:val="0098032D"/>
    <w:rsid w:val="00992F81"/>
    <w:rsid w:val="00997DD6"/>
    <w:rsid w:val="009A2156"/>
    <w:rsid w:val="009C2DE6"/>
    <w:rsid w:val="009C489B"/>
    <w:rsid w:val="009C6BF3"/>
    <w:rsid w:val="009F0B34"/>
    <w:rsid w:val="00A27839"/>
    <w:rsid w:val="00A3593B"/>
    <w:rsid w:val="00A507E4"/>
    <w:rsid w:val="00A51203"/>
    <w:rsid w:val="00A536B6"/>
    <w:rsid w:val="00A56BCC"/>
    <w:rsid w:val="00A6075E"/>
    <w:rsid w:val="00A80B8A"/>
    <w:rsid w:val="00A87F1A"/>
    <w:rsid w:val="00A9001E"/>
    <w:rsid w:val="00A95361"/>
    <w:rsid w:val="00A95C77"/>
    <w:rsid w:val="00AA0DF4"/>
    <w:rsid w:val="00AA6F92"/>
    <w:rsid w:val="00AA7BE9"/>
    <w:rsid w:val="00AB6934"/>
    <w:rsid w:val="00AC58CC"/>
    <w:rsid w:val="00AD17E7"/>
    <w:rsid w:val="00AE19E7"/>
    <w:rsid w:val="00AF42DE"/>
    <w:rsid w:val="00B168F5"/>
    <w:rsid w:val="00B3369F"/>
    <w:rsid w:val="00B376DB"/>
    <w:rsid w:val="00B6296A"/>
    <w:rsid w:val="00B64A3F"/>
    <w:rsid w:val="00B901EB"/>
    <w:rsid w:val="00B94E6C"/>
    <w:rsid w:val="00B960E5"/>
    <w:rsid w:val="00BB0323"/>
    <w:rsid w:val="00BB132A"/>
    <w:rsid w:val="00BB2A9F"/>
    <w:rsid w:val="00BB4195"/>
    <w:rsid w:val="00BB4606"/>
    <w:rsid w:val="00BD0332"/>
    <w:rsid w:val="00BD179F"/>
    <w:rsid w:val="00BD7E0B"/>
    <w:rsid w:val="00BF068C"/>
    <w:rsid w:val="00C001E7"/>
    <w:rsid w:val="00C044E4"/>
    <w:rsid w:val="00C17833"/>
    <w:rsid w:val="00C23D2F"/>
    <w:rsid w:val="00C443BD"/>
    <w:rsid w:val="00C451C5"/>
    <w:rsid w:val="00C475F9"/>
    <w:rsid w:val="00C51D16"/>
    <w:rsid w:val="00C575AB"/>
    <w:rsid w:val="00C65D8E"/>
    <w:rsid w:val="00C70B1F"/>
    <w:rsid w:val="00C77323"/>
    <w:rsid w:val="00C81012"/>
    <w:rsid w:val="00C87F5C"/>
    <w:rsid w:val="00C9161D"/>
    <w:rsid w:val="00C917A4"/>
    <w:rsid w:val="00C92C78"/>
    <w:rsid w:val="00CA0A92"/>
    <w:rsid w:val="00CA0C1D"/>
    <w:rsid w:val="00CC3CD7"/>
    <w:rsid w:val="00CE17CE"/>
    <w:rsid w:val="00CE4E57"/>
    <w:rsid w:val="00CE7401"/>
    <w:rsid w:val="00CF1848"/>
    <w:rsid w:val="00CF7631"/>
    <w:rsid w:val="00D12044"/>
    <w:rsid w:val="00D33EFC"/>
    <w:rsid w:val="00D36163"/>
    <w:rsid w:val="00D40DBC"/>
    <w:rsid w:val="00D438A8"/>
    <w:rsid w:val="00D46C8A"/>
    <w:rsid w:val="00D506BE"/>
    <w:rsid w:val="00D60FB6"/>
    <w:rsid w:val="00D6744D"/>
    <w:rsid w:val="00D72F03"/>
    <w:rsid w:val="00D76A18"/>
    <w:rsid w:val="00D77856"/>
    <w:rsid w:val="00D80849"/>
    <w:rsid w:val="00D8252C"/>
    <w:rsid w:val="00D82E8F"/>
    <w:rsid w:val="00D92193"/>
    <w:rsid w:val="00DB021D"/>
    <w:rsid w:val="00DB11EB"/>
    <w:rsid w:val="00DD118C"/>
    <w:rsid w:val="00DF2059"/>
    <w:rsid w:val="00E05077"/>
    <w:rsid w:val="00E312CF"/>
    <w:rsid w:val="00E43C30"/>
    <w:rsid w:val="00E5466A"/>
    <w:rsid w:val="00E60F12"/>
    <w:rsid w:val="00E6583E"/>
    <w:rsid w:val="00E66235"/>
    <w:rsid w:val="00E72C49"/>
    <w:rsid w:val="00E75B00"/>
    <w:rsid w:val="00E77154"/>
    <w:rsid w:val="00E83C24"/>
    <w:rsid w:val="00E9193D"/>
    <w:rsid w:val="00E9318D"/>
    <w:rsid w:val="00EA69C9"/>
    <w:rsid w:val="00EE2303"/>
    <w:rsid w:val="00EF110B"/>
    <w:rsid w:val="00EF6FD4"/>
    <w:rsid w:val="00F0005F"/>
    <w:rsid w:val="00F00FCB"/>
    <w:rsid w:val="00F0559A"/>
    <w:rsid w:val="00F13AF8"/>
    <w:rsid w:val="00F35B99"/>
    <w:rsid w:val="00F35C7A"/>
    <w:rsid w:val="00F37E61"/>
    <w:rsid w:val="00F42625"/>
    <w:rsid w:val="00F51687"/>
    <w:rsid w:val="00F53193"/>
    <w:rsid w:val="00F5357E"/>
    <w:rsid w:val="00F6586C"/>
    <w:rsid w:val="00F76146"/>
    <w:rsid w:val="00F77794"/>
    <w:rsid w:val="00F77928"/>
    <w:rsid w:val="00F81119"/>
    <w:rsid w:val="00F8322D"/>
    <w:rsid w:val="00F9020A"/>
    <w:rsid w:val="00F94774"/>
    <w:rsid w:val="00FA663B"/>
    <w:rsid w:val="00FB05A6"/>
    <w:rsid w:val="00FB769B"/>
    <w:rsid w:val="00FC1431"/>
    <w:rsid w:val="00FC53DB"/>
    <w:rsid w:val="00FE5960"/>
    <w:rsid w:val="00FE5F25"/>
    <w:rsid w:val="00FF0369"/>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36237"/>
  <w15:docId w15:val="{CFEBC2AE-9DD2-4839-9820-BF859A0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9104EB"/>
    <w:pPr>
      <w:spacing w:after="160" w:line="240" w:lineRule="exact"/>
      <w:jc w:val="lef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7C18F9"/>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C18F9"/>
    <w:rPr>
      <w:rFonts w:ascii="Times New Roman" w:eastAsia="Times New Roman" w:hAnsi="Times New Roman" w:cs="Times New Roman"/>
      <w:b/>
      <w:bCs/>
      <w:sz w:val="20"/>
      <w:szCs w:val="20"/>
      <w:lang w:val="es-ES"/>
    </w:rPr>
  </w:style>
  <w:style w:type="character" w:customStyle="1" w:styleId="UnresolvedMention1">
    <w:name w:val="Unresolved Mention1"/>
    <w:basedOn w:val="Fuentedeprrafopredeter"/>
    <w:uiPriority w:val="99"/>
    <w:semiHidden/>
    <w:unhideWhenUsed/>
    <w:rsid w:val="00E75B00"/>
    <w:rPr>
      <w:color w:val="605E5C"/>
      <w:shd w:val="clear" w:color="auto" w:fill="E1DFDD"/>
    </w:rPr>
  </w:style>
  <w:style w:type="paragraph" w:styleId="Revisin">
    <w:name w:val="Revision"/>
    <w:hidden/>
    <w:uiPriority w:val="99"/>
    <w:semiHidden/>
    <w:rsid w:val="00F76146"/>
    <w:rPr>
      <w:rFonts w:ascii="Times New Roman" w:eastAsia="Times New Roman" w:hAnsi="Times New Roman" w:cs="Times New Roman"/>
      <w:sz w:val="22"/>
    </w:rPr>
  </w:style>
  <w:style w:type="character" w:customStyle="1" w:styleId="UnresolvedMention2">
    <w:name w:val="Unresolved Mention2"/>
    <w:basedOn w:val="Fuentedeprrafopredeter"/>
    <w:uiPriority w:val="99"/>
    <w:semiHidden/>
    <w:unhideWhenUsed/>
    <w:rsid w:val="00221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4852">
      <w:bodyDiv w:val="1"/>
      <w:marLeft w:val="0"/>
      <w:marRight w:val="0"/>
      <w:marTop w:val="0"/>
      <w:marBottom w:val="0"/>
      <w:divBdr>
        <w:top w:val="none" w:sz="0" w:space="0" w:color="auto"/>
        <w:left w:val="none" w:sz="0" w:space="0" w:color="auto"/>
        <w:bottom w:val="none" w:sz="0" w:space="0" w:color="auto"/>
        <w:right w:val="none" w:sz="0" w:space="0" w:color="auto"/>
      </w:divBdr>
    </w:div>
    <w:div w:id="385107343">
      <w:bodyDiv w:val="1"/>
      <w:marLeft w:val="0"/>
      <w:marRight w:val="0"/>
      <w:marTop w:val="0"/>
      <w:marBottom w:val="0"/>
      <w:divBdr>
        <w:top w:val="none" w:sz="0" w:space="0" w:color="auto"/>
        <w:left w:val="none" w:sz="0" w:space="0" w:color="auto"/>
        <w:bottom w:val="none" w:sz="0" w:space="0" w:color="auto"/>
        <w:right w:val="none" w:sz="0" w:space="0" w:color="auto"/>
      </w:divBdr>
    </w:div>
    <w:div w:id="508953142">
      <w:bodyDiv w:val="1"/>
      <w:marLeft w:val="0"/>
      <w:marRight w:val="0"/>
      <w:marTop w:val="0"/>
      <w:marBottom w:val="0"/>
      <w:divBdr>
        <w:top w:val="none" w:sz="0" w:space="0" w:color="auto"/>
        <w:left w:val="none" w:sz="0" w:space="0" w:color="auto"/>
        <w:bottom w:val="none" w:sz="0" w:space="0" w:color="auto"/>
        <w:right w:val="none" w:sz="0" w:space="0" w:color="auto"/>
      </w:divBdr>
    </w:div>
    <w:div w:id="773945062">
      <w:bodyDiv w:val="1"/>
      <w:marLeft w:val="0"/>
      <w:marRight w:val="0"/>
      <w:marTop w:val="0"/>
      <w:marBottom w:val="0"/>
      <w:divBdr>
        <w:top w:val="none" w:sz="0" w:space="0" w:color="auto"/>
        <w:left w:val="none" w:sz="0" w:space="0" w:color="auto"/>
        <w:bottom w:val="none" w:sz="0" w:space="0" w:color="auto"/>
        <w:right w:val="none" w:sz="0" w:space="0" w:color="auto"/>
      </w:divBdr>
    </w:div>
    <w:div w:id="864636087">
      <w:bodyDiv w:val="1"/>
      <w:marLeft w:val="0"/>
      <w:marRight w:val="0"/>
      <w:marTop w:val="0"/>
      <w:marBottom w:val="0"/>
      <w:divBdr>
        <w:top w:val="none" w:sz="0" w:space="0" w:color="auto"/>
        <w:left w:val="none" w:sz="0" w:space="0" w:color="auto"/>
        <w:bottom w:val="none" w:sz="0" w:space="0" w:color="auto"/>
        <w:right w:val="none" w:sz="0" w:space="0" w:color="auto"/>
      </w:divBdr>
    </w:div>
    <w:div w:id="1023360874">
      <w:bodyDiv w:val="1"/>
      <w:marLeft w:val="0"/>
      <w:marRight w:val="0"/>
      <w:marTop w:val="0"/>
      <w:marBottom w:val="0"/>
      <w:divBdr>
        <w:top w:val="none" w:sz="0" w:space="0" w:color="auto"/>
        <w:left w:val="none" w:sz="0" w:space="0" w:color="auto"/>
        <w:bottom w:val="none" w:sz="0" w:space="0" w:color="auto"/>
        <w:right w:val="none" w:sz="0" w:space="0" w:color="auto"/>
      </w:divBdr>
    </w:div>
    <w:div w:id="1275870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cbd.int/doc/c/46bf/8fcc/4fc82767c058517caa96892d/sbstta-24-inf-11-en.pdf" TargetMode="External"/><Relationship Id="rId26" Type="http://schemas.openxmlformats.org/officeDocument/2006/relationships/hyperlink" Target="https://doi.org/10.1093/biosci/biy029" TargetMode="External"/><Relationship Id="rId39" Type="http://schemas.openxmlformats.org/officeDocument/2006/relationships/hyperlink" Target="https://www.iucn.org/downloads/en_iucn__glossary_definitions.pdf" TargetMode="External"/><Relationship Id="rId21" Type="http://schemas.openxmlformats.org/officeDocument/2006/relationships/hyperlink" Target="mailto:https://www.cms.int/sites/default/files/document/cms_cop13_res.12.26_rev.cop13_s.pdf" TargetMode="External"/><Relationship Id="rId34" Type="http://schemas.openxmlformats.org/officeDocument/2006/relationships/hyperlink" Target="https://www.cbd.int/doc/c/fcd6/bfba/38ebc826221543e322173507/post2020-ws-2019-11-03-en.pdf" TargetMode="External"/><Relationship Id="rId42" Type="http://schemas.openxmlformats.org/officeDocument/2006/relationships/hyperlink" Target="https://www.cbd.int/doc/strategic-plan/targets/T9-quick-guide-en.pdf" TargetMode="External"/><Relationship Id="rId47" Type="http://schemas.openxmlformats.org/officeDocument/2006/relationships/hyperlink" Target="https://www.cbd.int/doc/publications/cbd-ts-85-en.pdf" TargetMode="External"/><Relationship Id="rId50" Type="http://schemas.openxmlformats.org/officeDocument/2006/relationships/hyperlink" Target="https://www.fao.org/sustainable-forests-management/es/" TargetMode="External"/><Relationship Id="rId55" Type="http://schemas.openxmlformats.org/officeDocument/2006/relationships/hyperlink" Target="https://ec.europa.eu/environment/enveco/taxation/pdf/Harmful%20Subsidies%20Report.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cbd.int/doc/recommendations/wg2020-01/wg2020-01-rec-01-es.pdf" TargetMode="External"/><Relationship Id="rId29" Type="http://schemas.openxmlformats.org/officeDocument/2006/relationships/hyperlink" Target="https://www.springer.com/gp/book/97833197186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iodiversitya-z.org/content/natural-habitats" TargetMode="External"/><Relationship Id="rId32" Type="http://schemas.openxmlformats.org/officeDocument/2006/relationships/hyperlink" Target="https://www.cbd.int/doc/c/fcd6/21b1/38ebc826221543e322173507/post2020-ws-2019-11-03-en.pdf" TargetMode="External"/><Relationship Id="rId37" Type="http://schemas.openxmlformats.org/officeDocument/2006/relationships/hyperlink" Target="https://www.cbd.int/doc/decisions/cop-14/cop-14-dec-08-es.pdf" TargetMode="External"/><Relationship Id="rId40" Type="http://schemas.openxmlformats.org/officeDocument/2006/relationships/hyperlink" Target="https://www.cbd.int/doc/c/e84f/0c78/ba6891ab46342d7ae6f59816/sbstta-24-03-add2-rev1-es.pdf" TargetMode="External"/><Relationship Id="rId45" Type="http://schemas.openxmlformats.org/officeDocument/2006/relationships/hyperlink" Target="https://www.cbd.int/doc/c/e84f/0c78/ba6891ab46342d7ae6f59816/sbstta-24-03-add2-rev1-es.pdf" TargetMode="External"/><Relationship Id="rId53" Type="http://schemas.openxmlformats.org/officeDocument/2006/relationships/hyperlink" Target="https://www.cbd.int/convention/articles/?a=cbd-02" TargetMode="External"/><Relationship Id="rId58" Type="http://schemas.openxmlformats.org/officeDocument/2006/relationships/hyperlink" Target="https://wedocs.unep.org/bitstream/handle/20.500.11822/39867/NATURE-BASED%20SOLUTIONS%20FOR%20SUPPORTING%20SUSTAINABLE%20DEVELOPMENT.Spanish.pdf?sequence=1&amp;isAllowed=y"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https://doi.org/10.32942/osf.io/eyqw5" TargetMode="External"/><Relationship Id="rId28" Type="http://schemas.openxmlformats.org/officeDocument/2006/relationships/hyperlink" Target="https://www.paulsoninstitute.org/conservation/financing-nature-report/" TargetMode="External"/><Relationship Id="rId36" Type="http://schemas.openxmlformats.org/officeDocument/2006/relationships/hyperlink" Target="https://portals.iucn.org/library/sites/library/files/documents/pag-021.pdf" TargetMode="External"/><Relationship Id="rId49" Type="http://schemas.openxmlformats.org/officeDocument/2006/relationships/hyperlink" Target="http://www.fao.org/sustainability/background/es/" TargetMode="External"/><Relationship Id="rId57" Type="http://schemas.openxmlformats.org/officeDocument/2006/relationships/hyperlink" Target="http://www.fao.org/3/i5566es/i5566es.pdf" TargetMode="External"/><Relationship Id="rId61" Type="http://schemas.openxmlformats.org/officeDocument/2006/relationships/hyperlink" Target="https://zenodo.org/record/5657079" TargetMode="External"/><Relationship Id="rId10" Type="http://schemas.openxmlformats.org/officeDocument/2006/relationships/footnotes" Target="footnotes.xml"/><Relationship Id="rId19" Type="http://schemas.openxmlformats.org/officeDocument/2006/relationships/hyperlink" Target="https://www.cbd.int/doc/c/0671/4456/ff4979877c8a9a910912689e/wg2020-03-03-es.pdf" TargetMode="External"/><Relationship Id="rId31" Type="http://schemas.openxmlformats.org/officeDocument/2006/relationships/hyperlink" Target="https://portals.iucn.org/library/sites/library/files/documents/2017-028.pdf" TargetMode="External"/><Relationship Id="rId44" Type="http://schemas.openxmlformats.org/officeDocument/2006/relationships/hyperlink" Target="https://neobiota.pensoft.net/article/53543/" TargetMode="External"/><Relationship Id="rId52" Type="http://schemas.openxmlformats.org/officeDocument/2006/relationships/hyperlink" Target="https://sciencebasedtargetsnetwork.org/wp-content/uploads/2020/09/SBTN-initial-guidance-for-business.pdf" TargetMode="External"/><Relationship Id="rId60" Type="http://schemas.openxmlformats.org/officeDocument/2006/relationships/hyperlink" Target="https://www.cbd.int/decision/cop/?id=7181"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e84f/0c78/ba6891ab46342d7ae6f59816/sbstta-24-03-add2-rev1-es.pdf" TargetMode="External"/><Relationship Id="rId27" Type="http://schemas.openxmlformats.org/officeDocument/2006/relationships/hyperlink" Target="https://www.nature.com/articles/s41893-017-0007-7" TargetMode="External"/><Relationship Id="rId30" Type="http://schemas.openxmlformats.org/officeDocument/2006/relationships/hyperlink" Target="https://ipbes.net/models-drivers-biodiversity-ecosystem-change" TargetMode="External"/><Relationship Id="rId35" Type="http://schemas.openxmlformats.org/officeDocument/2006/relationships/hyperlink" Target="https://www.cbd.int/convention/articles/?a=cbd-02" TargetMode="External"/><Relationship Id="rId43" Type="http://schemas.openxmlformats.org/officeDocument/2006/relationships/hyperlink" Target="https://www.cbd.int/doc/meetings/sbstta/sbstta-18/official/sbstta-18-09-add1-es.pdf" TargetMode="External"/><Relationship Id="rId48" Type="http://schemas.openxmlformats.org/officeDocument/2006/relationships/hyperlink" Target="https://www.cbd.int/traditional/what.shtml" TargetMode="External"/><Relationship Id="rId56" Type="http://schemas.openxmlformats.org/officeDocument/2006/relationships/hyperlink" Target="https://www.cbd.int/convention/articles/?a=cbd-02" TargetMode="External"/><Relationship Id="rId64"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cbd.int/doc/c/a6f8/8ccb/a7cb2a88bd13e86cfc59901a/roundtable-b-finance-en.pdf"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www.cbd.int/doc/recommendations/sbstta-23/sbstta-23-rec-01-es.pdf" TargetMode="External"/><Relationship Id="rId25" Type="http://schemas.openxmlformats.org/officeDocument/2006/relationships/hyperlink" Target="https://www.cbd.int/doc/c/e84f/0c78/ba6891ab46342d7ae6f59816/sbstta-24-03-add2-rev1-es.pdf" TargetMode="External"/><Relationship Id="rId33" Type="http://schemas.openxmlformats.org/officeDocument/2006/relationships/hyperlink" Target="https://www.decadeonrestoration.org/es/en-que-consiste-la-restauracion-de-los-ecosistemas" TargetMode="External"/><Relationship Id="rId38" Type="http://schemas.openxmlformats.org/officeDocument/2006/relationships/hyperlink" Target="https://www.iucn.org/downloads/en_iucn__glossary_definitions.pdf" TargetMode="External"/><Relationship Id="rId46" Type="http://schemas.openxmlformats.org/officeDocument/2006/relationships/hyperlink" Target="https://leap.unep.org/knowledge/glossary/pollution" TargetMode="External"/><Relationship Id="rId59" Type="http://schemas.openxmlformats.org/officeDocument/2006/relationships/hyperlink" Target="https://www.cbd.int/decision/cop/?id=7181" TargetMode="External"/><Relationship Id="rId67" Type="http://schemas.openxmlformats.org/officeDocument/2006/relationships/glossaryDocument" Target="glossary/document.xml"/><Relationship Id="rId20" Type="http://schemas.openxmlformats.org/officeDocument/2006/relationships/hyperlink" Target="https://www.cbd.int/doc/c/e84f/0c78/ba6891ab46342d7ae6f59816/sbstta-24-03-add2-rev1-es.pdf" TargetMode="External"/><Relationship Id="rId41" Type="http://schemas.openxmlformats.org/officeDocument/2006/relationships/hyperlink" Target="https://www.cbd.int/convention/articles/?a=cbd-02" TargetMode="External"/><Relationship Id="rId54" Type="http://schemas.openxmlformats.org/officeDocument/2006/relationships/hyperlink" Target="https://bch.cbd.int/protocol/text/" TargetMode="External"/><Relationship Id="rId62" Type="http://schemas.openxmlformats.org/officeDocument/2006/relationships/hyperlink" Target="https://www.cbd.int/ecosystem/descrip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BB3"/>
    <w:rsid w:val="00060DE9"/>
    <w:rsid w:val="000641B5"/>
    <w:rsid w:val="00144A2D"/>
    <w:rsid w:val="001509C5"/>
    <w:rsid w:val="00203B70"/>
    <w:rsid w:val="002352F7"/>
    <w:rsid w:val="0038179F"/>
    <w:rsid w:val="0046422C"/>
    <w:rsid w:val="004760CF"/>
    <w:rsid w:val="004E092F"/>
    <w:rsid w:val="00500A2B"/>
    <w:rsid w:val="0058288D"/>
    <w:rsid w:val="00623443"/>
    <w:rsid w:val="00665C6B"/>
    <w:rsid w:val="006801B3"/>
    <w:rsid w:val="0078462C"/>
    <w:rsid w:val="00810A55"/>
    <w:rsid w:val="008C6619"/>
    <w:rsid w:val="008D13BE"/>
    <w:rsid w:val="008D420E"/>
    <w:rsid w:val="009627DD"/>
    <w:rsid w:val="0098642F"/>
    <w:rsid w:val="00AC010E"/>
    <w:rsid w:val="00B41263"/>
    <w:rsid w:val="00B8610D"/>
    <w:rsid w:val="00BA35E9"/>
    <w:rsid w:val="00BF7ADF"/>
    <w:rsid w:val="00C8104B"/>
    <w:rsid w:val="00CA5461"/>
    <w:rsid w:val="00D31D12"/>
    <w:rsid w:val="00DB0534"/>
    <w:rsid w:val="00E1596C"/>
    <w:rsid w:val="00E266F6"/>
    <w:rsid w:val="00E45E20"/>
    <w:rsid w:val="00EE5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E45E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AA08D5-2604-4169-8C9B-8BC548FCD2E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96E94FCD-02DC-42E1-A419-993263CC0325}">
  <ds:schemaRefs>
    <ds:schemaRef ds:uri="http://schemas.openxmlformats.org/officeDocument/2006/bibliography"/>
  </ds:schemaRefs>
</ds:datastoreItem>
</file>

<file path=customXml/itemProps4.xml><?xml version="1.0" encoding="utf-8"?>
<ds:datastoreItem xmlns:ds="http://schemas.openxmlformats.org/officeDocument/2006/customXml" ds:itemID="{054DBD5B-1388-48CA-86C0-96FC5C45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14</Pages>
  <Words>5860</Words>
  <Characters>32235</Characters>
  <Application>Microsoft Office Word</Application>
  <DocSecurity>0</DocSecurity>
  <Lines>268</Lines>
  <Paragraphs>76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Glossary for the first draft of the post-2020 global biodiversity framework</vt:lpstr>
      <vt:lpstr>Glossary for the first draft of the post-2020 global biodiversity framework</vt:lpstr>
      <vt:lpstr>Glossary for the first draft of the post-2020 global biodiversity framework</vt:lpstr>
    </vt:vector>
  </TitlesOfParts>
  <Company>SCBD</Company>
  <LinksUpToDate>false</LinksUpToDate>
  <CharactersWithSpaces>38019</CharactersWithSpaces>
  <SharedDoc>false</SharedDoc>
  <HyperlinkBase>https://www.cbd.int/conferences/geneva-2022/wg2020-03/documents</HyperlinkBase>
  <HLinks>
    <vt:vector size="228" baseType="variant">
      <vt:variant>
        <vt:i4>5636121</vt:i4>
      </vt:variant>
      <vt:variant>
        <vt:i4>111</vt:i4>
      </vt:variant>
      <vt:variant>
        <vt:i4>0</vt:i4>
      </vt:variant>
      <vt:variant>
        <vt:i4>5</vt:i4>
      </vt:variant>
      <vt:variant>
        <vt:lpwstr>https://ec.europa.eu/environment/enveco/taxation/pdf/Harmful Subsidies Report.pdf</vt:lpwstr>
      </vt:variant>
      <vt:variant>
        <vt:lpwstr/>
      </vt:variant>
      <vt:variant>
        <vt:i4>8061041</vt:i4>
      </vt:variant>
      <vt:variant>
        <vt:i4>108</vt:i4>
      </vt:variant>
      <vt:variant>
        <vt:i4>0</vt:i4>
      </vt:variant>
      <vt:variant>
        <vt:i4>5</vt:i4>
      </vt:variant>
      <vt:variant>
        <vt:lpwstr>https://bch.cbd.int/protocol/text/</vt:lpwstr>
      </vt:variant>
      <vt:variant>
        <vt:lpwstr/>
      </vt:variant>
      <vt:variant>
        <vt:i4>1310809</vt:i4>
      </vt:variant>
      <vt:variant>
        <vt:i4>105</vt:i4>
      </vt:variant>
      <vt:variant>
        <vt:i4>0</vt:i4>
      </vt:variant>
      <vt:variant>
        <vt:i4>5</vt:i4>
      </vt:variant>
      <vt:variant>
        <vt:lpwstr>https://www.cbd.int/kb/record/article/6872?RecordType=article</vt:lpwstr>
      </vt:variant>
      <vt:variant>
        <vt:lpwstr/>
      </vt:variant>
      <vt:variant>
        <vt:i4>786446</vt:i4>
      </vt:variant>
      <vt:variant>
        <vt:i4>102</vt:i4>
      </vt:variant>
      <vt:variant>
        <vt:i4>0</vt:i4>
      </vt:variant>
      <vt:variant>
        <vt:i4>5</vt:i4>
      </vt:variant>
      <vt:variant>
        <vt:lpwstr>https://www.nbbnbdp.org/uploads/1/3/1/4/131498886/biological_diversity_protocol__bd_protocol_.pdf</vt:lpwstr>
      </vt:variant>
      <vt:variant>
        <vt:lpwstr/>
      </vt:variant>
      <vt:variant>
        <vt:i4>720983</vt:i4>
      </vt:variant>
      <vt:variant>
        <vt:i4>99</vt:i4>
      </vt:variant>
      <vt:variant>
        <vt:i4>0</vt:i4>
      </vt:variant>
      <vt:variant>
        <vt:i4>5</vt:i4>
      </vt:variant>
      <vt:variant>
        <vt:lpwstr>https://www.cbd.int/doc/c/a6f8/8ccb/a7cb2a88bd13e86cfc59901a/roundtable-b-finance-en.pdf</vt:lpwstr>
      </vt:variant>
      <vt:variant>
        <vt:lpwstr/>
      </vt:variant>
      <vt:variant>
        <vt:i4>8323195</vt:i4>
      </vt:variant>
      <vt:variant>
        <vt:i4>96</vt:i4>
      </vt:variant>
      <vt:variant>
        <vt:i4>0</vt:i4>
      </vt:variant>
      <vt:variant>
        <vt:i4>5</vt:i4>
      </vt:variant>
      <vt:variant>
        <vt:lpwstr>https://www.fao.org/sustainable-forests-management/en/</vt:lpwstr>
      </vt:variant>
      <vt:variant>
        <vt:lpwstr/>
      </vt:variant>
      <vt:variant>
        <vt:i4>5439508</vt:i4>
      </vt:variant>
      <vt:variant>
        <vt:i4>93</vt:i4>
      </vt:variant>
      <vt:variant>
        <vt:i4>0</vt:i4>
      </vt:variant>
      <vt:variant>
        <vt:i4>5</vt:i4>
      </vt:variant>
      <vt:variant>
        <vt:lpwstr>http://www.fao.org/sustainability/background/en/</vt:lpwstr>
      </vt:variant>
      <vt:variant>
        <vt:lpwstr/>
      </vt:variant>
      <vt:variant>
        <vt:i4>7405680</vt:i4>
      </vt:variant>
      <vt:variant>
        <vt:i4>90</vt:i4>
      </vt:variant>
      <vt:variant>
        <vt:i4>0</vt:i4>
      </vt:variant>
      <vt:variant>
        <vt:i4>5</vt:i4>
      </vt:variant>
      <vt:variant>
        <vt:lpwstr>https://www.cbd.int/traditional/what.shtml</vt:lpwstr>
      </vt:variant>
      <vt:variant>
        <vt:lpwstr/>
      </vt:variant>
      <vt:variant>
        <vt:i4>5439576</vt:i4>
      </vt:variant>
      <vt:variant>
        <vt:i4>87</vt:i4>
      </vt:variant>
      <vt:variant>
        <vt:i4>0</vt:i4>
      </vt:variant>
      <vt:variant>
        <vt:i4>5</vt:i4>
      </vt:variant>
      <vt:variant>
        <vt:lpwstr>https://www.cbd.int/doc/publications/cbd-ts-85-en.pdf</vt:lpwstr>
      </vt:variant>
      <vt:variant>
        <vt:lpwstr/>
      </vt:variant>
      <vt:variant>
        <vt:i4>2949184</vt:i4>
      </vt:variant>
      <vt:variant>
        <vt:i4>84</vt:i4>
      </vt:variant>
      <vt:variant>
        <vt:i4>0</vt:i4>
      </vt:variant>
      <vt:variant>
        <vt:i4>5</vt:i4>
      </vt:variant>
      <vt:variant>
        <vt:lpwstr>http://www.fao.org/fileadmin/templates/agphome/documents/Pests_Pesticides/Code/CODE_2014Sep_ENG.pdf</vt:lpwstr>
      </vt:variant>
      <vt:variant>
        <vt:lpwstr/>
      </vt:variant>
      <vt:variant>
        <vt:i4>3801122</vt:i4>
      </vt:variant>
      <vt:variant>
        <vt:i4>81</vt:i4>
      </vt:variant>
      <vt:variant>
        <vt:i4>0</vt:i4>
      </vt:variant>
      <vt:variant>
        <vt:i4>5</vt:i4>
      </vt:variant>
      <vt:variant>
        <vt:lpwstr>https://leap.unep.org/knowledge/glossary/pollution</vt:lpwstr>
      </vt:variant>
      <vt:variant>
        <vt:lpwstr/>
      </vt:variant>
      <vt:variant>
        <vt:i4>2162749</vt:i4>
      </vt:variant>
      <vt:variant>
        <vt:i4>78</vt:i4>
      </vt:variant>
      <vt:variant>
        <vt:i4>0</vt:i4>
      </vt:variant>
      <vt:variant>
        <vt:i4>5</vt:i4>
      </vt:variant>
      <vt:variant>
        <vt:lpwstr>https://www.cbd.int/doc/c/e823/b80c/8b0e8a08470a476865e9b203/sbstta-24-03-add2-rev1-en.pdf</vt:lpwstr>
      </vt:variant>
      <vt:variant>
        <vt:lpwstr/>
      </vt:variant>
      <vt:variant>
        <vt:i4>2555961</vt:i4>
      </vt:variant>
      <vt:variant>
        <vt:i4>75</vt:i4>
      </vt:variant>
      <vt:variant>
        <vt:i4>0</vt:i4>
      </vt:variant>
      <vt:variant>
        <vt:i4>5</vt:i4>
      </vt:variant>
      <vt:variant>
        <vt:lpwstr>https://neobiota.pensoft.net/article/53543/</vt:lpwstr>
      </vt:variant>
      <vt:variant>
        <vt:lpwstr/>
      </vt:variant>
      <vt:variant>
        <vt:i4>3604514</vt:i4>
      </vt:variant>
      <vt:variant>
        <vt:i4>72</vt:i4>
      </vt:variant>
      <vt:variant>
        <vt:i4>0</vt:i4>
      </vt:variant>
      <vt:variant>
        <vt:i4>5</vt:i4>
      </vt:variant>
      <vt:variant>
        <vt:lpwstr>https://www.cbd.int/doc/meetings/sbstta/sbstta-18/official/sbstta-18-09-add1-en.pdf</vt:lpwstr>
      </vt:variant>
      <vt:variant>
        <vt:lpwstr/>
      </vt:variant>
      <vt:variant>
        <vt:i4>327745</vt:i4>
      </vt:variant>
      <vt:variant>
        <vt:i4>69</vt:i4>
      </vt:variant>
      <vt:variant>
        <vt:i4>0</vt:i4>
      </vt:variant>
      <vt:variant>
        <vt:i4>5</vt:i4>
      </vt:variant>
      <vt:variant>
        <vt:lpwstr>https://www.cbd.int/doc/strategic-plan/targets/T9-quick-guide-en.pdf</vt:lpwstr>
      </vt:variant>
      <vt:variant>
        <vt:lpwstr/>
      </vt:variant>
      <vt:variant>
        <vt:i4>2162749</vt:i4>
      </vt:variant>
      <vt:variant>
        <vt:i4>66</vt:i4>
      </vt:variant>
      <vt:variant>
        <vt:i4>0</vt:i4>
      </vt:variant>
      <vt:variant>
        <vt:i4>5</vt:i4>
      </vt:variant>
      <vt:variant>
        <vt:lpwstr>https://www.cbd.int/doc/c/e823/b80c/8b0e8a08470a476865e9b203/sbstta-24-03-add2-rev1-en.pdf</vt:lpwstr>
      </vt:variant>
      <vt:variant>
        <vt:lpwstr/>
      </vt:variant>
      <vt:variant>
        <vt:i4>6094937</vt:i4>
      </vt:variant>
      <vt:variant>
        <vt:i4>63</vt:i4>
      </vt:variant>
      <vt:variant>
        <vt:i4>0</vt:i4>
      </vt:variant>
      <vt:variant>
        <vt:i4>5</vt:i4>
      </vt:variant>
      <vt:variant>
        <vt:lpwstr>https://www.iucn.org/downloads/en_iucn__glossary_definitions.pdf</vt:lpwstr>
      </vt:variant>
      <vt:variant>
        <vt:lpwstr/>
      </vt:variant>
      <vt:variant>
        <vt:i4>6094937</vt:i4>
      </vt:variant>
      <vt:variant>
        <vt:i4>60</vt:i4>
      </vt:variant>
      <vt:variant>
        <vt:i4>0</vt:i4>
      </vt:variant>
      <vt:variant>
        <vt:i4>5</vt:i4>
      </vt:variant>
      <vt:variant>
        <vt:lpwstr>https://www.iucn.org/downloads/en_iucn__glossary_definitions.pdf</vt:lpwstr>
      </vt:variant>
      <vt:variant>
        <vt:lpwstr/>
      </vt:variant>
      <vt:variant>
        <vt:i4>458826</vt:i4>
      </vt:variant>
      <vt:variant>
        <vt:i4>57</vt:i4>
      </vt:variant>
      <vt:variant>
        <vt:i4>0</vt:i4>
      </vt:variant>
      <vt:variant>
        <vt:i4>5</vt:i4>
      </vt:variant>
      <vt:variant>
        <vt:lpwstr>https://www.cbd.int/doc/decisions/cop-14/cop-14-dec-08-en.pdf</vt:lpwstr>
      </vt:variant>
      <vt:variant>
        <vt:lpwstr/>
      </vt:variant>
      <vt:variant>
        <vt:i4>2162745</vt:i4>
      </vt:variant>
      <vt:variant>
        <vt:i4>54</vt:i4>
      </vt:variant>
      <vt:variant>
        <vt:i4>0</vt:i4>
      </vt:variant>
      <vt:variant>
        <vt:i4>5</vt:i4>
      </vt:variant>
      <vt:variant>
        <vt:lpwstr>https://portals.iucn.org/library/sites/library/files/documents/pag-021.pdf</vt:lpwstr>
      </vt:variant>
      <vt:variant>
        <vt:lpwstr/>
      </vt:variant>
      <vt:variant>
        <vt:i4>2293798</vt:i4>
      </vt:variant>
      <vt:variant>
        <vt:i4>51</vt:i4>
      </vt:variant>
      <vt:variant>
        <vt:i4>0</vt:i4>
      </vt:variant>
      <vt:variant>
        <vt:i4>5</vt:i4>
      </vt:variant>
      <vt:variant>
        <vt:lpwstr>https://www.cbd.int/doc/c/fcd6/bfba/38ebc826221543e322173507/post2020-ws-2019-11-03-en.pdf</vt:lpwstr>
      </vt:variant>
      <vt:variant>
        <vt:lpwstr/>
      </vt:variant>
      <vt:variant>
        <vt:i4>3276836</vt:i4>
      </vt:variant>
      <vt:variant>
        <vt:i4>48</vt:i4>
      </vt:variant>
      <vt:variant>
        <vt:i4>0</vt:i4>
      </vt:variant>
      <vt:variant>
        <vt:i4>5</vt:i4>
      </vt:variant>
      <vt:variant>
        <vt:lpwstr>https://www.decadeonrestoration.org/what-ecosystem-restoration</vt:lpwstr>
      </vt:variant>
      <vt:variant>
        <vt:lpwstr/>
      </vt:variant>
      <vt:variant>
        <vt:i4>2293798</vt:i4>
      </vt:variant>
      <vt:variant>
        <vt:i4>45</vt:i4>
      </vt:variant>
      <vt:variant>
        <vt:i4>0</vt:i4>
      </vt:variant>
      <vt:variant>
        <vt:i4>5</vt:i4>
      </vt:variant>
      <vt:variant>
        <vt:lpwstr>https://www.cbd.int/doc/c/fcd6/bfba/38ebc826221543e322173507/post2020-ws-2019-11-03-en.pdf</vt:lpwstr>
      </vt:variant>
      <vt:variant>
        <vt:lpwstr/>
      </vt:variant>
      <vt:variant>
        <vt:i4>7798898</vt:i4>
      </vt:variant>
      <vt:variant>
        <vt:i4>42</vt:i4>
      </vt:variant>
      <vt:variant>
        <vt:i4>0</vt:i4>
      </vt:variant>
      <vt:variant>
        <vt:i4>5</vt:i4>
      </vt:variant>
      <vt:variant>
        <vt:lpwstr>https://portals.iucn.org/library/sites/library/files/documents/2017-028.pdf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7143530</vt:i4>
      </vt:variant>
      <vt:variant>
        <vt:i4>36</vt:i4>
      </vt:variant>
      <vt:variant>
        <vt:i4>0</vt:i4>
      </vt:variant>
      <vt:variant>
        <vt:i4>5</vt:i4>
      </vt:variant>
      <vt:variant>
        <vt:lpwstr>https://www.paulsoninstitute.org/conservation/financing-nature-report/</vt:lpwstr>
      </vt:variant>
      <vt:variant>
        <vt:lpwstr/>
      </vt:variant>
      <vt:variant>
        <vt:i4>1966095</vt:i4>
      </vt:variant>
      <vt:variant>
        <vt:i4>33</vt:i4>
      </vt:variant>
      <vt:variant>
        <vt:i4>0</vt:i4>
      </vt:variant>
      <vt:variant>
        <vt:i4>5</vt:i4>
      </vt:variant>
      <vt:variant>
        <vt:lpwstr>https://www.nature.com/articles/s41893-017-0007-7</vt:lpwstr>
      </vt:variant>
      <vt:variant>
        <vt:lpwstr/>
      </vt:variant>
      <vt:variant>
        <vt:i4>4194369</vt:i4>
      </vt:variant>
      <vt:variant>
        <vt:i4>30</vt:i4>
      </vt:variant>
      <vt:variant>
        <vt:i4>0</vt:i4>
      </vt:variant>
      <vt:variant>
        <vt:i4>5</vt:i4>
      </vt:variant>
      <vt:variant>
        <vt:lpwstr>https://doi.org/10.1093/biosci/biy029</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1507399</vt:i4>
      </vt:variant>
      <vt:variant>
        <vt:i4>24</vt:i4>
      </vt:variant>
      <vt:variant>
        <vt:i4>0</vt:i4>
      </vt:variant>
      <vt:variant>
        <vt:i4>5</vt:i4>
      </vt:variant>
      <vt:variant>
        <vt:lpwstr>https://www.biodiversitya-z.org/content/natural-habitats</vt:lpwstr>
      </vt:variant>
      <vt:variant>
        <vt:lpwstr/>
      </vt:variant>
      <vt:variant>
        <vt:i4>4456533</vt:i4>
      </vt:variant>
      <vt:variant>
        <vt:i4>21</vt:i4>
      </vt:variant>
      <vt:variant>
        <vt:i4>0</vt:i4>
      </vt:variant>
      <vt:variant>
        <vt:i4>5</vt:i4>
      </vt:variant>
      <vt:variant>
        <vt:lpwstr>https://doi.org/10.32942/osf.io/eyqw5</vt:lpwstr>
      </vt:variant>
      <vt:variant>
        <vt:lpwstr/>
      </vt:variant>
      <vt:variant>
        <vt:i4>2162749</vt:i4>
      </vt:variant>
      <vt:variant>
        <vt:i4>18</vt:i4>
      </vt:variant>
      <vt:variant>
        <vt:i4>0</vt:i4>
      </vt:variant>
      <vt:variant>
        <vt:i4>5</vt:i4>
      </vt:variant>
      <vt:variant>
        <vt:lpwstr>https://www.cbd.int/doc/c/e823/b80c/8b0e8a08470a476865e9b203/sbstta-24-03-add2-rev1-en.pdf</vt:lpwstr>
      </vt:variant>
      <vt:variant>
        <vt:lpwstr/>
      </vt:variant>
      <vt:variant>
        <vt:i4>2949221</vt:i4>
      </vt:variant>
      <vt:variant>
        <vt:i4>15</vt:i4>
      </vt:variant>
      <vt:variant>
        <vt:i4>0</vt:i4>
      </vt:variant>
      <vt:variant>
        <vt:i4>5</vt:i4>
      </vt:variant>
      <vt:variant>
        <vt:lpwstr>mailto:https://www.cms.int/sites/default/files/document/cms_cop13_res.12.26_rev.cop13_e.pdf</vt:lpwstr>
      </vt:variant>
      <vt:variant>
        <vt:lpwstr/>
      </vt:variant>
      <vt:variant>
        <vt:i4>2162749</vt:i4>
      </vt:variant>
      <vt:variant>
        <vt:i4>12</vt:i4>
      </vt:variant>
      <vt:variant>
        <vt:i4>0</vt:i4>
      </vt:variant>
      <vt:variant>
        <vt:i4>5</vt:i4>
      </vt:variant>
      <vt:variant>
        <vt:lpwstr>https://www.cbd.int/doc/c/e823/b80c/8b0e8a08470a476865e9b203/sbstta-24-03-add2-rev1-en.pdf</vt:lpwstr>
      </vt:variant>
      <vt:variant>
        <vt:lpwstr/>
      </vt:variant>
      <vt:variant>
        <vt:i4>917512</vt:i4>
      </vt:variant>
      <vt:variant>
        <vt:i4>9</vt:i4>
      </vt:variant>
      <vt:variant>
        <vt:i4>0</vt:i4>
      </vt:variant>
      <vt:variant>
        <vt:i4>5</vt:i4>
      </vt:variant>
      <vt:variant>
        <vt:lpwstr>https://www.cbd.int/doc/c/abb5/591f/2e46096d3f0330b08ce87a45/wg2020-03-03-en.pdf</vt:lpwstr>
      </vt:variant>
      <vt:variant>
        <vt:lpwstr/>
      </vt:variant>
      <vt:variant>
        <vt:i4>393229</vt:i4>
      </vt:variant>
      <vt:variant>
        <vt:i4>6</vt:i4>
      </vt:variant>
      <vt:variant>
        <vt:i4>0</vt:i4>
      </vt:variant>
      <vt:variant>
        <vt:i4>5</vt:i4>
      </vt:variant>
      <vt:variant>
        <vt:lpwstr>https://www.cbd.int/doc/c/46bf/8fcc/4fc82767c058517caa96892d/sbstta-24-inf-11-en.pdf</vt:lpwstr>
      </vt:variant>
      <vt:variant>
        <vt:lpwstr/>
      </vt:variant>
      <vt:variant>
        <vt:i4>1114202</vt:i4>
      </vt:variant>
      <vt:variant>
        <vt:i4>3</vt:i4>
      </vt:variant>
      <vt:variant>
        <vt:i4>0</vt:i4>
      </vt:variant>
      <vt:variant>
        <vt:i4>5</vt:i4>
      </vt:variant>
      <vt:variant>
        <vt:lpwstr>https://www.cbd.int/doc/recommendations/sbstta-23/sbstta-23-rec-01-en.pdf</vt:lpwstr>
      </vt:variant>
      <vt:variant>
        <vt:lpwstr/>
      </vt:variant>
      <vt:variant>
        <vt:i4>1114202</vt:i4>
      </vt:variant>
      <vt:variant>
        <vt:i4>0</vt:i4>
      </vt:variant>
      <vt:variant>
        <vt:i4>0</vt:i4>
      </vt:variant>
      <vt:variant>
        <vt:i4>5</vt:i4>
      </vt:variant>
      <vt:variant>
        <vt:lpwstr>https://www.cbd.int/doc/recommendations/wg2020-01/wg2020-01-rec-01-en.pdf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the first draft of the post-2020 global biodiversity framework</dc:title>
  <dc:subject>CBD/WG2020/4/2</dc:subject>
  <dc:creator>SCBD</dc:creator>
  <cp:keywords>Convention on Biological Diversity, open-ended Working Group on the Post-2020 Global Biodveristy Framework</cp:keywords>
  <dc:description>Convention on Biological Diversity</dc:description>
  <cp:lastModifiedBy>Maria Troitino</cp:lastModifiedBy>
  <cp:revision>4</cp:revision>
  <cp:lastPrinted>2020-01-21T19:56:00Z</cp:lastPrinted>
  <dcterms:created xsi:type="dcterms:W3CDTF">2022-05-19T17:54:00Z</dcterms:created>
  <dcterms:modified xsi:type="dcterms:W3CDTF">2022-05-20T15:29:00Z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